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5"/>
        <w:rPr>
          <w:color w:val="auto"/>
          <w:highlight w:val="none"/>
        </w:rPr>
      </w:pPr>
      <w:r/>
      <w:bookmarkStart w:id="24" w:name="_GoBack"/>
      <w:r/>
      <w:bookmarkEnd w:id="24"/>
      <w:r/>
      <w:r/>
    </w:p>
    <w:p>
      <w:pPr>
        <w:jc w:val="center"/>
        <w:rPr>
          <w:rFonts w:hint="eastAsia" w:ascii="宋体" w:hAnsi="宋体" w:cs="宋体"/>
          <w:b/>
          <w:color w:val="auto"/>
          <w:spacing w:val="76"/>
          <w:sz w:val="84"/>
          <w:szCs w:val="84"/>
          <w:highlight w:val="none"/>
        </w:rPr>
      </w:pPr>
      <w:r>
        <w:rPr>
          <w:rFonts w:hint="eastAsia" w:ascii="宋体" w:hAnsi="宋体" w:cs="宋体"/>
          <w:b/>
          <w:color w:val="auto"/>
          <w:spacing w:val="76"/>
          <w:sz w:val="84"/>
          <w:szCs w:val="84"/>
          <w:highlight w:val="none"/>
        </w:rPr>
      </w:r>
      <w:r/>
    </w:p>
    <w:p>
      <w:pPr>
        <w:pStyle w:val="852"/>
        <w:rPr>
          <w:rFonts w:hint="default" w:ascii="宋体" w:hAnsi="宋体" w:cs="Times New Roman"/>
          <w:b w:val="0"/>
          <w:spacing w:val="0"/>
          <w:sz w:val="21"/>
          <w:szCs w:val="21"/>
        </w:rPr>
      </w:pPr>
      <w:r>
        <w:rPr>
          <w:rFonts w:hint="default" w:ascii="宋体" w:hAnsi="宋体" w:cs="Times New Roman"/>
          <w:b w:val="0"/>
          <w:spacing w:val="0"/>
          <w:sz w:val="21"/>
          <w:szCs w:val="21"/>
        </w:rPr>
      </w:r>
      <w:r/>
    </w:p>
    <w:p>
      <w:pPr>
        <w:jc w:val="center"/>
        <w:rPr>
          <w:rFonts w:hint="eastAsia" w:ascii="宋体" w:hAnsi="宋体" w:cs="宋体"/>
          <w:b/>
          <w:color w:val="auto"/>
          <w:spacing w:val="76"/>
          <w:sz w:val="84"/>
          <w:szCs w:val="84"/>
          <w:highlight w:val="none"/>
        </w:rPr>
      </w:pPr>
      <w:r>
        <w:rPr>
          <w:rFonts w:hint="eastAsia" w:ascii="宋体" w:hAnsi="宋体" w:cs="宋体"/>
          <w:b/>
          <w:color w:val="auto"/>
          <w:spacing w:val="76"/>
          <w:sz w:val="84"/>
          <w:szCs w:val="84"/>
          <w:highlight w:val="none"/>
        </w:rPr>
        <w:t xml:space="preserve">招标文件</w:t>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pStyle w:val="852"/>
        <w:rPr>
          <w:rFonts w:hint="eastAsia" w:ascii="宋体" w:hAnsi="宋体" w:cs="宋体"/>
          <w:b/>
          <w:color w:val="auto"/>
          <w:sz w:val="24"/>
          <w:highlight w:val="none"/>
        </w:rPr>
      </w:pPr>
      <w:r>
        <w:rPr>
          <w:rFonts w:hint="eastAsia" w:ascii="宋体" w:hAnsi="宋体" w:cs="宋体"/>
          <w:b/>
          <w:color w:val="auto"/>
          <w:sz w:val="24"/>
          <w:highlight w:val="none"/>
        </w:rPr>
      </w:r>
      <w:r/>
    </w:p>
    <w:p>
      <w:pPr>
        <w:pStyle w:val="852"/>
        <w:rPr>
          <w:rFonts w:hint="default" w:ascii="宋体" w:hAnsi="宋体" w:cs="宋体"/>
          <w:b/>
          <w:color w:val="auto"/>
          <w:sz w:val="24"/>
          <w:highlight w:val="none"/>
        </w:rPr>
      </w:pPr>
      <w:r>
        <w:rPr>
          <w:rFonts w:hint="default" w:ascii="宋体" w:hAnsi="宋体" w:cs="宋体"/>
          <w:b/>
          <w:color w:val="auto"/>
          <w:sz w:val="24"/>
          <w:highlight w:val="none"/>
        </w:rPr>
      </w:r>
      <w:r/>
    </w:p>
    <w:p>
      <w:pPr>
        <w:pStyle w:val="963"/>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963"/>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ind w:firstLine="1281"/>
        <w:spacing w:line="480" w:lineRule="auto"/>
        <w:rPr>
          <w:rFonts w:hint="eastAsia" w:ascii="宋体" w:hAnsi="宋体" w:eastAsia="宋体" w:cs="宋体"/>
          <w:color w:val="auto"/>
          <w:sz w:val="30"/>
          <w:szCs w:val="30"/>
          <w:highlight w:val="none"/>
          <w:u w:val="single"/>
          <w:lang w:eastAsia="zh-CN"/>
        </w:rPr>
      </w:pPr>
      <w:r>
        <w:rPr>
          <w:rFonts w:hint="eastAsia" w:ascii="宋体" w:hAnsi="宋体" w:cs="宋体"/>
          <w:color w:val="auto"/>
          <w:sz w:val="30"/>
          <w:szCs w:val="30"/>
          <w:highlight w:val="none"/>
        </w:rPr>
        <w:t xml:space="preserve">项目编号：</w:t>
      </w:r>
      <w:r>
        <w:rPr>
          <w:rFonts w:hint="eastAsia" w:ascii="宋体" w:hAnsi="宋体" w:cs="宋体"/>
          <w:color w:val="auto"/>
          <w:sz w:val="30"/>
          <w:szCs w:val="30"/>
          <w:highlight w:val="none"/>
          <w:u w:val="single"/>
          <w:lang w:eastAsia="zh-CN"/>
        </w:rPr>
        <w:t xml:space="preserve">JSZC-320300-JSKJ-G2026-0029</w:t>
      </w:r>
      <w:r/>
    </w:p>
    <w:p>
      <w:pPr>
        <w:ind w:firstLine="1281"/>
        <w:spacing w:line="480" w:lineRule="auto"/>
        <w:rPr>
          <w:rFonts w:hint="eastAsia" w:ascii="宋体" w:hAnsi="宋体" w:eastAsia="宋体" w:cs="宋体"/>
          <w:color w:val="auto"/>
          <w:sz w:val="30"/>
          <w:szCs w:val="30"/>
          <w:highlight w:val="none"/>
          <w:u w:val="single"/>
          <w:lang w:eastAsia="zh-CN"/>
        </w:rPr>
      </w:pPr>
      <w:r>
        <w:rPr>
          <w:rFonts w:hint="eastAsia" w:ascii="宋体" w:hAnsi="宋体" w:cs="宋体"/>
          <w:color w:val="auto"/>
          <w:sz w:val="30"/>
          <w:szCs w:val="30"/>
          <w:highlight w:val="none"/>
        </w:rPr>
        <w:t xml:space="preserve">项目名称：</w:t>
      </w:r>
      <w:r>
        <w:rPr>
          <w:rFonts w:hint="eastAsia" w:ascii="宋体" w:hAnsi="宋体" w:cs="宋体"/>
          <w:color w:val="auto"/>
          <w:sz w:val="30"/>
          <w:szCs w:val="30"/>
          <w:highlight w:val="none"/>
          <w:u w:val="single"/>
          <w:lang w:eastAsia="zh-CN"/>
        </w:rPr>
        <w:t xml:space="preserve">交通信号灯社会化管养服务</w:t>
      </w:r>
      <w:r/>
    </w:p>
    <w:p>
      <w:pPr>
        <w:ind w:firstLine="1281"/>
        <w:spacing w:line="480" w:lineRule="auto"/>
        <w:rPr>
          <w:rFonts w:hint="eastAsia" w:ascii="宋体" w:hAnsi="宋体" w:eastAsia="宋体" w:cs="宋体"/>
          <w:color w:val="auto"/>
          <w:sz w:val="30"/>
          <w:szCs w:val="30"/>
          <w:highlight w:val="none"/>
          <w:u w:val="single"/>
          <w:lang w:eastAsia="zh-CN"/>
        </w:rPr>
      </w:pPr>
      <w:r>
        <w:rPr>
          <w:rFonts w:hint="eastAsia" w:ascii="宋体" w:hAnsi="宋体" w:cs="宋体"/>
          <w:color w:val="auto"/>
          <w:sz w:val="30"/>
          <w:szCs w:val="30"/>
          <w:highlight w:val="none"/>
        </w:rPr>
        <w:t xml:space="preserve">采 购 人：</w:t>
      </w:r>
      <w:r>
        <w:rPr>
          <w:rFonts w:hint="eastAsia" w:ascii="宋体" w:hAnsi="宋体" w:cs="宋体"/>
          <w:color w:val="auto"/>
          <w:sz w:val="30"/>
          <w:szCs w:val="30"/>
          <w:highlight w:val="none"/>
          <w:u w:val="single"/>
          <w:lang w:eastAsia="zh-CN"/>
        </w:rPr>
        <w:t xml:space="preserve">徐州市公安局交通管理支队</w:t>
      </w:r>
      <w:r/>
    </w:p>
    <w:p>
      <w:pPr>
        <w:rPr>
          <w:rFonts w:hint="eastAsia" w:ascii="宋体" w:hAnsi="宋体" w:cs="宋体"/>
          <w:color w:val="auto"/>
          <w:sz w:val="44"/>
          <w:highlight w:val="none"/>
        </w:rPr>
      </w:pPr>
      <w:r>
        <w:rPr>
          <w:rFonts w:hint="eastAsia" w:ascii="宋体" w:hAnsi="宋体" w:cs="宋体"/>
          <w:color w:val="auto"/>
          <w:sz w:val="44"/>
          <w:highlight w:val="none"/>
        </w:rPr>
      </w:r>
      <w:r/>
    </w:p>
    <w:p>
      <w:pPr>
        <w:ind w:right="-159" w:firstLine="2112"/>
        <w:rPr>
          <w:rFonts w:hint="eastAsia" w:ascii="宋体" w:hAnsi="宋体" w:cs="宋体"/>
          <w:color w:val="auto"/>
          <w:sz w:val="44"/>
          <w:highlight w:val="none"/>
        </w:rPr>
      </w:pPr>
      <w:r>
        <w:rPr>
          <w:rFonts w:hint="eastAsia" w:ascii="宋体" w:hAnsi="宋体" w:cs="宋体"/>
          <w:color w:val="auto"/>
          <w:sz w:val="44"/>
          <w:highlight w:val="none"/>
        </w:rPr>
      </w:r>
      <w:r/>
    </w:p>
    <w:p>
      <w:pPr>
        <w:ind w:right="-159"/>
        <w:rPr>
          <w:rFonts w:hint="eastAsia" w:ascii="宋体" w:hAnsi="宋体" w:cs="宋体"/>
          <w:color w:val="auto"/>
          <w:sz w:val="44"/>
          <w:highlight w:val="none"/>
        </w:rPr>
      </w:pPr>
      <w:r>
        <w:rPr>
          <w:rFonts w:hint="eastAsia" w:ascii="宋体" w:hAnsi="宋体" w:cs="宋体"/>
          <w:color w:val="auto"/>
          <w:sz w:val="44"/>
          <w:highlight w:val="none"/>
        </w:rPr>
      </w:r>
      <w:r/>
    </w:p>
    <w:p>
      <w:pPr>
        <w:jc w:val="center"/>
        <w:rPr>
          <w:rFonts w:hint="eastAsia" w:ascii="宋体" w:hAnsi="宋体" w:cs="宋体"/>
          <w:color w:val="auto"/>
          <w:sz w:val="30"/>
          <w:highlight w:val="none"/>
        </w:rPr>
      </w:pPr>
      <w:r>
        <w:rPr>
          <w:rFonts w:hint="eastAsia" w:ascii="宋体" w:hAnsi="宋体" w:cs="宋体"/>
          <w:color w:val="auto"/>
          <w:sz w:val="44"/>
          <w:highlight w:val="none"/>
        </w:rPr>
        <mc:AlternateContent>
          <mc:Choice Requires="wpg">
            <w:drawing>
              <wp:inline xmlns:wp="http://schemas.openxmlformats.org/drawingml/2006/wordprocessingDrawing" distT="0" distB="0" distL="0" distR="0">
                <wp:extent cx="4762500" cy="68580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7"/>
                        <a:stretch/>
                      </pic:blipFill>
                      <pic:spPr bwMode="auto">
                        <a:xfrm>
                          <a:off x="0" y="0"/>
                          <a:ext cx="476250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75.0pt;height:54.0pt;mso-wrap-distance-left:0.0pt;mso-wrap-distance-top:0.0pt;mso-wrap-distance-right:0.0pt;mso-wrap-distance-bottom:0.0pt;" stroked="f">
                <v:path textboxrect="0,0,0,0"/>
                <v:imagedata r:id="rId17" o:title=""/>
              </v:shape>
            </w:pict>
          </mc:Fallback>
        </mc:AlternateContent>
      </w:r>
      <w:r/>
    </w:p>
    <w:p>
      <w:pPr>
        <w:jc w:val="center"/>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center"/>
        <w:rPr>
          <w:rFonts w:hint="eastAsia" w:ascii="宋体" w:hAnsi="宋体" w:cs="宋体"/>
          <w:bCs/>
          <w:color w:val="auto"/>
          <w:sz w:val="30"/>
          <w:szCs w:val="30"/>
          <w:highlight w:val="none"/>
        </w:rPr>
        <w:sectPr>
          <w:headerReference w:type="default" r:id="rId9"/>
          <w:footerReference w:type="default" r:id="rId12"/>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cs="宋体"/>
          <w:bCs/>
          <w:color w:val="auto"/>
          <w:sz w:val="30"/>
          <w:szCs w:val="30"/>
          <w:highlight w:val="none"/>
        </w:rPr>
        <w:t xml:space="preserve">二〇二六年</w:t>
      </w:r>
      <w:r>
        <w:rPr>
          <w:rFonts w:hint="eastAsia" w:ascii="宋体" w:hAnsi="宋体" w:cs="宋体"/>
          <w:bCs/>
          <w:color w:val="auto"/>
          <w:sz w:val="30"/>
          <w:szCs w:val="30"/>
          <w:highlight w:val="none"/>
          <w:lang w:val="en-US" w:eastAsia="zh-CN"/>
        </w:rPr>
        <w:t xml:space="preserve">七</w:t>
      </w:r>
      <w:r>
        <w:rPr>
          <w:rFonts w:hint="eastAsia" w:ascii="宋体" w:hAnsi="宋体" w:cs="宋体"/>
          <w:bCs/>
          <w:color w:val="auto"/>
          <w:sz w:val="30"/>
          <w:szCs w:val="30"/>
          <w:highlight w:val="none"/>
        </w:rPr>
        <w:t xml:space="preserve">月</w:t>
      </w:r>
      <w:r/>
    </w:p>
    <w:p>
      <w:pPr>
        <w:jc w:val="center"/>
        <w:spacing w:line="360" w:lineRule="auto"/>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目  录</w:t>
      </w:r>
      <w:r/>
    </w:p>
    <w:p>
      <w:pPr>
        <w:pStyle w:val="866"/>
        <w:spacing w:line="480" w:lineRule="auto"/>
        <w:tabs>
          <w:tab w:val="right" w:pos="9746"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66"/>
        <w:spacing w:line="480" w:lineRule="auto"/>
        <w:tabs>
          <w:tab w:val="right" w:pos="9746" w:leader="dot"/>
        </w:tabs>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TOC \o "1-1" \h \u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_Toc30237 </w:instrText>
      </w:r>
      <w:r>
        <w:rPr>
          <w:rFonts w:hint="eastAsia" w:ascii="宋体" w:hAnsi="宋体" w:cs="宋体"/>
          <w:color w:val="auto"/>
          <w:sz w:val="24"/>
          <w:szCs w:val="24"/>
          <w:highlight w:val="none"/>
        </w:rPr>
        <w:fldChar w:fldCharType="separate"/>
      </w:r>
      <w:r>
        <w:rPr>
          <w:rFonts w:hint="eastAsia" w:ascii="宋体" w:hAnsi="宋体" w:cs="宋体"/>
          <w:bCs/>
          <w:color w:val="auto"/>
          <w:sz w:val="24"/>
          <w:szCs w:val="24"/>
          <w:highlight w:val="none"/>
        </w:rPr>
        <w:t xml:space="preserve">第一章  投标邀请</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_Toc30237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p>
    <w:p>
      <w:pPr>
        <w:pStyle w:val="866"/>
        <w:spacing w:line="480" w:lineRule="auto"/>
        <w:tabs>
          <w:tab w:val="right" w:pos="9746" w:leader="dot"/>
        </w:tabs>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_Toc30515 </w:instrText>
      </w:r>
      <w:r>
        <w:rPr>
          <w:rFonts w:hint="eastAsia" w:ascii="宋体" w:hAnsi="宋体" w:cs="宋体"/>
          <w:color w:val="auto"/>
          <w:sz w:val="24"/>
          <w:szCs w:val="24"/>
          <w:highlight w:val="none"/>
        </w:rPr>
        <w:fldChar w:fldCharType="separate"/>
      </w:r>
      <w:r>
        <w:rPr>
          <w:rFonts w:hint="eastAsia" w:ascii="宋体" w:hAnsi="宋体" w:cs="宋体"/>
          <w:bCs/>
          <w:color w:val="auto"/>
          <w:sz w:val="24"/>
          <w:szCs w:val="24"/>
          <w:highlight w:val="none"/>
        </w:rPr>
        <w:t xml:space="preserve">第二章  投标人须知</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_Toc30515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p>
    <w:p>
      <w:pPr>
        <w:pStyle w:val="866"/>
        <w:spacing w:line="480" w:lineRule="auto"/>
        <w:tabs>
          <w:tab w:val="right" w:pos="9746" w:leader="dot"/>
        </w:tabs>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_Toc14927 </w:instrText>
      </w:r>
      <w:r>
        <w:rPr>
          <w:rFonts w:hint="eastAsia" w:ascii="宋体" w:hAnsi="宋体" w:cs="宋体"/>
          <w:color w:val="auto"/>
          <w:sz w:val="24"/>
          <w:szCs w:val="24"/>
          <w:highlight w:val="none"/>
        </w:rPr>
        <w:fldChar w:fldCharType="separate"/>
      </w:r>
      <w:r>
        <w:rPr>
          <w:rFonts w:hint="eastAsia" w:ascii="宋体" w:hAnsi="宋体" w:cs="宋体"/>
          <w:bCs/>
          <w:color w:val="auto"/>
          <w:sz w:val="24"/>
          <w:szCs w:val="24"/>
          <w:highlight w:val="none"/>
        </w:rPr>
        <w:t xml:space="preserve">第三章  投标资料表</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_Toc14927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p>
    <w:p>
      <w:pPr>
        <w:pStyle w:val="866"/>
        <w:spacing w:line="480" w:lineRule="auto"/>
        <w:tabs>
          <w:tab w:val="right" w:pos="9746" w:leader="dot"/>
        </w:tabs>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_Toc21007 </w:instrText>
      </w:r>
      <w:r>
        <w:rPr>
          <w:rFonts w:hint="eastAsia" w:ascii="宋体" w:hAnsi="宋体" w:cs="宋体"/>
          <w:color w:val="auto"/>
          <w:sz w:val="24"/>
          <w:szCs w:val="24"/>
          <w:highlight w:val="none"/>
        </w:rPr>
        <w:fldChar w:fldCharType="separate"/>
      </w:r>
      <w:r>
        <w:rPr>
          <w:rFonts w:hint="eastAsia" w:ascii="宋体" w:hAnsi="宋体" w:cs="宋体"/>
          <w:bCs/>
          <w:color w:val="auto"/>
          <w:sz w:val="24"/>
          <w:szCs w:val="24"/>
          <w:highlight w:val="none"/>
        </w:rPr>
        <w:t xml:space="preserve">第四章 </w:t>
      </w:r>
      <w:r>
        <w:rPr>
          <w:rFonts w:hint="eastAsia" w:ascii="宋体" w:hAnsi="宋体" w:eastAsia="宋体" w:cs="宋体"/>
          <w:color w:val="auto"/>
          <w:sz w:val="24"/>
          <w:szCs w:val="24"/>
          <w:highlight w:val="none"/>
        </w:rPr>
        <w:t xml:space="preserve">评标标准</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_Toc21007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22</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p>
    <w:p>
      <w:pPr>
        <w:pStyle w:val="866"/>
        <w:spacing w:line="480" w:lineRule="auto"/>
        <w:tabs>
          <w:tab w:val="right" w:pos="9746" w:leader="dot"/>
        </w:tabs>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_Toc2826 </w:instrText>
      </w:r>
      <w:r>
        <w:rPr>
          <w:rFonts w:hint="eastAsia" w:ascii="宋体" w:hAnsi="宋体" w:cs="宋体"/>
          <w:color w:val="auto"/>
          <w:sz w:val="24"/>
          <w:szCs w:val="24"/>
          <w:highlight w:val="none"/>
        </w:rPr>
        <w:fldChar w:fldCharType="separate"/>
      </w:r>
      <w:r>
        <w:rPr>
          <w:rFonts w:hint="eastAsia" w:ascii="宋体" w:hAnsi="宋体" w:cs="宋体"/>
          <w:bCs/>
          <w:color w:val="auto"/>
          <w:sz w:val="24"/>
          <w:szCs w:val="24"/>
          <w:highlight w:val="none"/>
        </w:rPr>
        <w:t xml:space="preserve">第五章 采购需求</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_Toc2826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25</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p>
    <w:p>
      <w:pPr>
        <w:pStyle w:val="866"/>
        <w:spacing w:line="480" w:lineRule="auto"/>
        <w:tabs>
          <w:tab w:val="right" w:pos="9746" w:leader="dot"/>
        </w:tabs>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_Toc13595 </w:instrText>
      </w:r>
      <w:r>
        <w:rPr>
          <w:rFonts w:hint="eastAsia" w:ascii="宋体" w:hAnsi="宋体" w:cs="宋体"/>
          <w:color w:val="auto"/>
          <w:sz w:val="24"/>
          <w:szCs w:val="24"/>
          <w:highlight w:val="none"/>
        </w:rPr>
        <w:fldChar w:fldCharType="separate"/>
      </w:r>
      <w:r>
        <w:rPr>
          <w:rFonts w:hint="eastAsia" w:ascii="宋体" w:hAnsi="宋体" w:cs="宋体"/>
          <w:bCs/>
          <w:color w:val="auto"/>
          <w:sz w:val="24"/>
          <w:szCs w:val="24"/>
          <w:highlight w:val="none"/>
        </w:rPr>
        <w:t xml:space="preserve">第六章  拟签订的合同文本</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_Toc13595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48</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p>
    <w:p>
      <w:pPr>
        <w:pStyle w:val="866"/>
        <w:spacing w:line="480" w:lineRule="auto"/>
        <w:tabs>
          <w:tab w:val="right" w:pos="9746" w:leader="dot"/>
        </w:tabs>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_Toc30413 </w:instrText>
      </w:r>
      <w:r>
        <w:rPr>
          <w:rFonts w:hint="eastAsia" w:ascii="宋体" w:hAnsi="宋体" w:cs="宋体"/>
          <w:color w:val="auto"/>
          <w:sz w:val="24"/>
          <w:szCs w:val="24"/>
          <w:highlight w:val="none"/>
        </w:rPr>
        <w:fldChar w:fldCharType="separate"/>
      </w:r>
      <w:r>
        <w:rPr>
          <w:rFonts w:hint="eastAsia" w:ascii="宋体" w:hAnsi="宋体" w:cs="宋体"/>
          <w:bCs/>
          <w:color w:val="auto"/>
          <w:sz w:val="24"/>
          <w:szCs w:val="24"/>
          <w:highlight w:val="none"/>
        </w:rPr>
        <w:t xml:space="preserve">第七章  投标文件相关格式</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_Toc30413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68</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p>
    <w:p>
      <w:pPr>
        <w:pStyle w:val="1044"/>
        <w:spacing w:line="480" w:lineRule="auto"/>
        <w:rPr>
          <w:rFonts w:hint="eastAsia" w:ascii="宋体" w:hAnsi="宋体" w:cs="宋体"/>
          <w:color w:val="auto"/>
          <w:sz w:val="28"/>
          <w:szCs w:val="28"/>
          <w:highlight w:val="none"/>
        </w:rP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cs="宋体"/>
          <w:color w:val="auto"/>
          <w:sz w:val="24"/>
          <w:szCs w:val="24"/>
          <w:highlight w:val="none"/>
        </w:rPr>
        <w:fldChar w:fldCharType="end"/>
      </w:r>
      <w:r/>
    </w:p>
    <w:p>
      <w:pPr>
        <w:jc w:val="center"/>
        <w:spacing w:line="312"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eastAsia="zh-CN"/>
        </w:rPr>
        <w:t xml:space="preserve">徐州市公安局交通管理支队</w:t>
      </w:r>
      <w:r>
        <w:rPr>
          <w:rFonts w:hint="eastAsia" w:ascii="宋体" w:hAnsi="宋体" w:cs="宋体"/>
          <w:b/>
          <w:bCs/>
          <w:color w:val="auto"/>
          <w:sz w:val="28"/>
          <w:szCs w:val="28"/>
          <w:highlight w:val="none"/>
        </w:rPr>
        <w:t xml:space="preserve">《</w:t>
      </w:r>
      <w:r>
        <w:rPr>
          <w:rFonts w:hint="eastAsia" w:ascii="宋体" w:hAnsi="宋体" w:cs="宋体"/>
          <w:b/>
          <w:bCs/>
          <w:color w:val="auto"/>
          <w:sz w:val="28"/>
          <w:szCs w:val="28"/>
          <w:highlight w:val="none"/>
          <w:lang w:eastAsia="zh-CN"/>
        </w:rPr>
        <w:t xml:space="preserve">交通信号灯社会化管养服务</w:t>
      </w:r>
      <w:r>
        <w:rPr>
          <w:rFonts w:hint="eastAsia" w:ascii="宋体" w:hAnsi="宋体" w:cs="宋体"/>
          <w:b/>
          <w:bCs/>
          <w:color w:val="auto"/>
          <w:sz w:val="28"/>
          <w:szCs w:val="28"/>
          <w:highlight w:val="none"/>
        </w:rPr>
        <w:t xml:space="preserve">》</w:t>
      </w:r>
      <w:r/>
    </w:p>
    <w:p>
      <w:pPr>
        <w:pStyle w:val="1198"/>
        <w:ind w:left="0" w:right="0" w:firstLine="0"/>
        <w:jc w:val="center"/>
        <w:spacing w:line="312" w:lineRule="auto"/>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招标文件</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遵照《中华人民共和国政府采购法》等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p>
    <w:p>
      <w:pPr>
        <w:jc w:val="center"/>
        <w:spacing w:line="312" w:lineRule="auto"/>
        <w:rPr>
          <w:rFonts w:hint="eastAsia" w:ascii="宋体" w:hAnsi="宋体" w:cs="宋体"/>
          <w:b/>
          <w:bCs/>
          <w:color w:val="auto"/>
          <w:sz w:val="32"/>
          <w:szCs w:val="32"/>
          <w:highlight w:val="none"/>
        </w:rPr>
        <w:outlineLvl w:val="0"/>
      </w:pPr>
      <w:r/>
      <w:bookmarkStart w:id="0" w:name="_Toc9602"/>
      <w:r/>
      <w:bookmarkStart w:id="1" w:name="_Toc30237"/>
      <w:r>
        <w:rPr>
          <w:rFonts w:hint="eastAsia" w:ascii="宋体" w:hAnsi="宋体" w:cs="宋体"/>
          <w:b/>
          <w:bCs/>
          <w:color w:val="auto"/>
          <w:sz w:val="32"/>
          <w:szCs w:val="32"/>
          <w:highlight w:val="none"/>
        </w:rPr>
        <w:t xml:space="preserve">第一章  投标邀请</w:t>
      </w:r>
      <w:bookmarkEnd w:id="0"/>
      <w:r/>
      <w:bookmarkEnd w:id="1"/>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江苏科建工程项目管理有限公司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徐州市公安局交通管理支队</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lang w:eastAsia="zh-CN"/>
        </w:rPr>
        <w:t xml:space="preserve">交通信号灯社会化管养服务</w:t>
      </w:r>
      <w:r>
        <w:rPr>
          <w:rFonts w:hint="eastAsia" w:ascii="宋体" w:hAnsi="宋体" w:cs="宋体"/>
          <w:color w:val="auto"/>
          <w:sz w:val="24"/>
          <w:highlight w:val="none"/>
        </w:rPr>
        <w:t xml:space="preserve">进行公开招标采购，现欢迎符合相关条件的投标人投标。</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一、项目名称和项目编号</w:t>
      </w:r>
      <w:r/>
    </w:p>
    <w:p>
      <w:pPr>
        <w:ind w:firstLine="480"/>
        <w:jc w:val="left"/>
        <w:spacing w:line="312"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1、项目名称：</w:t>
      </w:r>
      <w:r>
        <w:rPr>
          <w:rFonts w:hint="eastAsia" w:ascii="宋体" w:hAnsi="宋体" w:cs="宋体"/>
          <w:color w:val="auto"/>
          <w:sz w:val="24"/>
          <w:highlight w:val="none"/>
          <w:lang w:eastAsia="zh-CN"/>
        </w:rPr>
        <w:t xml:space="preserve">交通信号灯社会化管养服务</w:t>
      </w:r>
      <w:r/>
    </w:p>
    <w:p>
      <w:pPr>
        <w:ind w:firstLine="480"/>
        <w:jc w:val="left"/>
        <w:spacing w:line="312"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2、项目编号：</w:t>
      </w:r>
      <w:r>
        <w:rPr>
          <w:rFonts w:hint="eastAsia" w:ascii="宋体" w:hAnsi="宋体" w:cs="宋体"/>
          <w:color w:val="auto"/>
          <w:sz w:val="24"/>
          <w:highlight w:val="none"/>
          <w:lang w:eastAsia="zh-CN"/>
        </w:rPr>
        <w:t xml:space="preserve">JSZC-320300-JSKJ-G2026-0029</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二、投标人的资格要求：</w:t>
      </w:r>
      <w:r/>
    </w:p>
    <w:p>
      <w:pPr>
        <w:ind w:firstLine="1024"/>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详</w:t>
      </w:r>
      <w:r>
        <w:rPr>
          <w:rFonts w:hint="eastAsia" w:ascii="宋体" w:hAnsi="宋体" w:cs="宋体"/>
          <w:color w:val="auto"/>
          <w:sz w:val="24"/>
          <w:highlight w:val="none"/>
        </w:rPr>
        <w:t xml:space="preserve">见本项目公开招标公告（项目编号：</w:t>
      </w:r>
      <w:r>
        <w:rPr>
          <w:rFonts w:hint="eastAsia" w:ascii="宋体" w:hAnsi="宋体" w:cs="宋体"/>
          <w:color w:val="auto"/>
          <w:sz w:val="24"/>
          <w:highlight w:val="none"/>
          <w:lang w:eastAsia="zh-CN"/>
        </w:rPr>
        <w:t xml:space="preserve">JSZC-320300-JSKJ-G2026-0029</w:t>
      </w:r>
      <w:r>
        <w:rPr>
          <w:rFonts w:hint="eastAsia" w:ascii="宋体" w:hAnsi="宋体" w:cs="宋体"/>
          <w:color w:val="auto"/>
          <w:sz w:val="24"/>
          <w:highlight w:val="none"/>
        </w:rPr>
        <w:t xml:space="preserve">）。</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三、获取招标文件</w:t>
      </w:r>
      <w:r/>
    </w:p>
    <w:p>
      <w:pPr>
        <w:pStyle w:val="887"/>
        <w:ind w:firstLine="480"/>
        <w:jc w:val="left"/>
        <w:spacing w:line="312" w:lineRule="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 xml:space="preserve">（1）潜在投标人访问电子招标投标交易平台的网络地址和方法：</w:t>
      </w:r>
      <w:r/>
    </w:p>
    <w:p>
      <w:pPr>
        <w:pStyle w:val="887"/>
        <w:ind w:firstLine="480"/>
        <w:jc w:val="left"/>
        <w:spacing w:line="312" w:lineRule="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 xml:space="preserve">①登录http://jszfcg.jsczt.cn/。</w:t>
      </w:r>
      <w:r/>
    </w:p>
    <w:p>
      <w:pPr>
        <w:pStyle w:val="887"/>
        <w:ind w:firstLine="482"/>
        <w:jc w:val="left"/>
        <w:spacing w:line="312" w:lineRule="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 xml:space="preserve">②“CA数字证书”的获取：投标人需办理CA锁，“苏采云”系统目前仅支持“苏采云”系统下的政务CA，省内各地区办理的“苏采云”系统下的政务CA全省通用。</w:t>
      </w:r>
      <w:r>
        <w:rPr>
          <w:rFonts w:hint="eastAsia" w:ascii="宋体" w:hAnsi="宋体" w:cs="宋体"/>
          <w:bCs/>
          <w:color w:val="auto"/>
          <w:sz w:val="24"/>
          <w:highlight w:val="none"/>
        </w:rPr>
        <w:t xml:space="preserve">具体办理指南和操作手册见链接：http://www.ccgp-jiangsu.gov.cn/jiangsu/zlxz/ee/ee3a4bc5a3454aa2b0d9312230633ce9.html</w:t>
      </w:r>
      <w:r>
        <w:rPr>
          <w:rFonts w:hint="eastAsia" w:ascii="宋体" w:hAnsi="宋体" w:cs="宋体"/>
          <w:bCs/>
          <w:color w:val="auto"/>
          <w:sz w:val="24"/>
          <w:szCs w:val="28"/>
          <w:highlight w:val="none"/>
        </w:rPr>
        <w:t xml:space="preserve">。</w:t>
      </w:r>
      <w:r/>
    </w:p>
    <w:p>
      <w:pPr>
        <w:pStyle w:val="887"/>
        <w:ind w:firstLine="480"/>
        <w:jc w:val="left"/>
        <w:spacing w:line="312" w:lineRule="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 xml:space="preserve">（2）采购代理机构将数据电文形式的招标文件加载至“苏采云”系统，供潜在投标人下载或者查阅。</w:t>
      </w:r>
      <w:r/>
    </w:p>
    <w:p>
      <w:pPr>
        <w:pStyle w:val="887"/>
        <w:ind w:firstLine="480"/>
        <w:jc w:val="left"/>
        <w:spacing w:line="312" w:lineRule="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 xml:space="preserve">（3）售价：免费。</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四、投标有关信息：</w:t>
      </w:r>
      <w:r/>
    </w:p>
    <w:p>
      <w:pPr>
        <w:ind w:left="719" w:hanging="240"/>
        <w:jc w:val="left"/>
        <w:spacing w:line="312"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1.投标截止时间：</w:t>
      </w:r>
      <w:r>
        <w:rPr>
          <w:rFonts w:hint="eastAsia" w:ascii="宋体" w:hAnsi="宋体" w:cs="宋体"/>
          <w:bCs/>
          <w:color w:val="auto"/>
          <w:sz w:val="24"/>
          <w:szCs w:val="28"/>
          <w:highlight w:val="none"/>
        </w:rPr>
        <w:t xml:space="preserve">2026年</w:t>
      </w:r>
      <w:r>
        <w:rPr>
          <w:rFonts w:hint="eastAsia" w:ascii="宋体" w:hAnsi="宋体" w:cs="宋体"/>
          <w:bCs/>
          <w:color w:val="auto"/>
          <w:sz w:val="24"/>
          <w:szCs w:val="28"/>
          <w:highlight w:val="none"/>
          <w:u w:val="single"/>
        </w:rPr>
        <w:t xml:space="preserve">0</w:t>
      </w:r>
      <w:r>
        <w:rPr>
          <w:rFonts w:hint="eastAsia" w:ascii="宋体" w:hAnsi="宋体" w:cs="宋体"/>
          <w:bCs/>
          <w:color w:val="auto"/>
          <w:sz w:val="24"/>
          <w:szCs w:val="28"/>
          <w:highlight w:val="none"/>
          <w:u w:val="single"/>
          <w:lang w:val="en-US" w:eastAsia="zh-CN"/>
        </w:rPr>
        <w:t xml:space="preserve">8</w:t>
      </w:r>
      <w:r>
        <w:rPr>
          <w:rFonts w:hint="eastAsia" w:ascii="宋体" w:hAnsi="宋体" w:cs="宋体"/>
          <w:bCs/>
          <w:color w:val="auto"/>
          <w:sz w:val="24"/>
          <w:szCs w:val="28"/>
          <w:highlight w:val="none"/>
        </w:rPr>
        <w:t xml:space="preserve">月</w:t>
      </w:r>
      <w:r>
        <w:rPr>
          <w:rFonts w:hint="eastAsia" w:ascii="宋体" w:hAnsi="宋体" w:cs="宋体"/>
          <w:bCs/>
          <w:color w:val="auto"/>
          <w:sz w:val="24"/>
          <w:szCs w:val="28"/>
          <w:highlight w:val="none"/>
          <w:u w:val="single"/>
          <w:lang w:val="en-US" w:eastAsia="zh-CN"/>
        </w:rPr>
        <w:t xml:space="preserve">21</w:t>
      </w:r>
      <w:r>
        <w:rPr>
          <w:rFonts w:hint="eastAsia" w:ascii="宋体" w:hAnsi="宋体" w:cs="宋体"/>
          <w:bCs/>
          <w:color w:val="auto"/>
          <w:sz w:val="24"/>
          <w:szCs w:val="28"/>
          <w:highlight w:val="none"/>
        </w:rPr>
        <w:t xml:space="preserve">日09点30分</w:t>
      </w:r>
      <w:r>
        <w:rPr>
          <w:rFonts w:hint="eastAsia" w:ascii="宋体" w:hAnsi="宋体" w:cs="宋体"/>
          <w:color w:val="auto"/>
          <w:sz w:val="24"/>
          <w:highlight w:val="none"/>
        </w:rPr>
        <w:t xml:space="preserve">（北京时间）</w:t>
      </w:r>
      <w:r/>
    </w:p>
    <w:p>
      <w:pPr>
        <w:ind w:left="719" w:hanging="240"/>
        <w:jc w:val="left"/>
        <w:spacing w:line="312"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2.开标时间：</w:t>
      </w:r>
      <w:r>
        <w:rPr>
          <w:rFonts w:hint="eastAsia" w:ascii="宋体" w:hAnsi="宋体" w:cs="宋体"/>
          <w:bCs/>
          <w:color w:val="auto"/>
          <w:sz w:val="24"/>
          <w:szCs w:val="28"/>
          <w:highlight w:val="none"/>
        </w:rPr>
        <w:t xml:space="preserve">2026年</w:t>
      </w:r>
      <w:r>
        <w:rPr>
          <w:rFonts w:hint="eastAsia" w:ascii="宋体" w:hAnsi="宋体" w:cs="宋体"/>
          <w:bCs/>
          <w:color w:val="auto"/>
          <w:sz w:val="24"/>
          <w:szCs w:val="28"/>
          <w:highlight w:val="none"/>
          <w:u w:val="single"/>
        </w:rPr>
        <w:t xml:space="preserve">0</w:t>
      </w:r>
      <w:r>
        <w:rPr>
          <w:rFonts w:hint="eastAsia" w:ascii="宋体" w:hAnsi="宋体" w:cs="宋体"/>
          <w:bCs/>
          <w:color w:val="auto"/>
          <w:sz w:val="24"/>
          <w:szCs w:val="28"/>
          <w:highlight w:val="none"/>
          <w:u w:val="single"/>
          <w:lang w:val="en-US" w:eastAsia="zh-CN"/>
        </w:rPr>
        <w:t xml:space="preserve">8</w:t>
      </w:r>
      <w:r>
        <w:rPr>
          <w:rFonts w:hint="eastAsia" w:ascii="宋体" w:hAnsi="宋体" w:cs="宋体"/>
          <w:bCs/>
          <w:color w:val="auto"/>
          <w:sz w:val="24"/>
          <w:szCs w:val="28"/>
          <w:highlight w:val="none"/>
        </w:rPr>
        <w:t xml:space="preserve">月</w:t>
      </w:r>
      <w:r>
        <w:rPr>
          <w:rFonts w:hint="eastAsia" w:ascii="宋体" w:hAnsi="宋体" w:cs="宋体"/>
          <w:bCs/>
          <w:color w:val="auto"/>
          <w:sz w:val="24"/>
          <w:szCs w:val="28"/>
          <w:highlight w:val="none"/>
          <w:u w:val="single"/>
        </w:rPr>
        <w:t xml:space="preserve">21</w:t>
      </w:r>
      <w:r>
        <w:rPr>
          <w:rFonts w:hint="eastAsia" w:ascii="宋体" w:hAnsi="宋体" w:cs="宋体"/>
          <w:bCs/>
          <w:color w:val="auto"/>
          <w:sz w:val="24"/>
          <w:szCs w:val="28"/>
          <w:highlight w:val="none"/>
        </w:rPr>
        <w:t xml:space="preserve">日09点30分</w:t>
      </w:r>
      <w:r>
        <w:rPr>
          <w:rFonts w:hint="eastAsia" w:ascii="宋体" w:hAnsi="宋体" w:cs="宋体"/>
          <w:color w:val="auto"/>
          <w:sz w:val="24"/>
          <w:highlight w:val="none"/>
        </w:rPr>
        <w:t xml:space="preserve">（北京时间）</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3.线上开标地点：“苏采云”系统（网址：http://jszfcg.jsczt.cn/）“开标大厅”。</w:t>
      </w:r>
      <w:r/>
    </w:p>
    <w:p>
      <w:pPr>
        <w:ind w:firstLine="482"/>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五、公告发布媒介：在徐州政府采购网（</w:t>
      </w:r>
      <w:r>
        <w:rPr>
          <w:rFonts w:hint="eastAsia" w:ascii="宋体" w:hAnsi="宋体" w:cs="宋体"/>
          <w:color w:val="auto"/>
          <w:sz w:val="24"/>
          <w:highlight w:val="none"/>
          <w:lang w:eastAsia="zh-CN"/>
        </w:rPr>
        <w:t xml:space="preserve">https://czj.xz.gov.cn/zfcg/</w:t>
      </w:r>
      <w:r>
        <w:rPr>
          <w:rFonts w:hint="eastAsia" w:ascii="宋体" w:hAnsi="宋体" w:cs="宋体"/>
          <w:color w:val="auto"/>
          <w:sz w:val="24"/>
          <w:highlight w:val="none"/>
        </w:rPr>
        <w:t xml:space="preserve">）</w:t>
      </w:r>
      <w:r>
        <w:rPr>
          <w:rFonts w:hint="eastAsia" w:ascii="宋体" w:hAnsi="宋体" w:cs="宋体"/>
          <w:bCs/>
          <w:color w:val="auto"/>
          <w:sz w:val="24"/>
          <w:highlight w:val="none"/>
        </w:rPr>
        <w:t xml:space="preserve">上发布</w:t>
      </w:r>
      <w:r>
        <w:rPr>
          <w:rFonts w:hint="eastAsia" w:ascii="宋体" w:hAnsi="宋体" w:cs="宋体"/>
          <w:color w:val="auto"/>
          <w:sz w:val="24"/>
          <w:highlight w:val="none"/>
        </w:rPr>
        <w:t xml:space="preserve">。</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六、采购人</w:t>
      </w:r>
      <w:r/>
    </w:p>
    <w:p>
      <w:pPr>
        <w:ind w:firstLine="480"/>
        <w:jc w:val="left"/>
        <w:spacing w:line="312"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单位名称：</w:t>
      </w:r>
      <w:r>
        <w:rPr>
          <w:rFonts w:hint="eastAsia" w:ascii="宋体" w:hAnsi="宋体" w:cs="宋体"/>
          <w:color w:val="auto"/>
          <w:sz w:val="24"/>
          <w:highlight w:val="none"/>
          <w:lang w:eastAsia="zh-CN"/>
        </w:rPr>
        <w:t xml:space="preserve">徐州市公安局交通管理支队</w:t>
      </w:r>
      <w:r/>
    </w:p>
    <w:p>
      <w:pPr>
        <w:ind w:firstLine="480"/>
        <w:jc w:val="left"/>
        <w:spacing w:line="312"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单位地址：</w:t>
      </w:r>
      <w:r>
        <w:rPr>
          <w:rFonts w:hint="eastAsia" w:ascii="宋体" w:hAnsi="宋体" w:cs="宋体"/>
          <w:color w:val="auto"/>
          <w:sz w:val="24"/>
          <w:highlight w:val="none"/>
          <w:lang w:eastAsia="zh-CN"/>
        </w:rPr>
        <w:t xml:space="preserve">徐州市泉山区祥湖路3号</w:t>
      </w:r>
      <w:r/>
    </w:p>
    <w:p>
      <w:pPr>
        <w:ind w:firstLine="480"/>
        <w:jc w:val="left"/>
        <w:spacing w:line="312"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联系人：</w:t>
      </w:r>
      <w:r>
        <w:rPr>
          <w:rFonts w:hint="eastAsia" w:ascii="宋体" w:hAnsi="宋体" w:cs="宋体"/>
          <w:color w:val="auto"/>
          <w:sz w:val="24"/>
          <w:szCs w:val="21"/>
          <w:highlight w:val="none"/>
        </w:rPr>
        <w:t xml:space="preserve">彭光伟</w:t>
      </w:r>
      <w:r/>
    </w:p>
    <w:p>
      <w:pPr>
        <w:ind w:firstLine="480"/>
        <w:jc w:val="left"/>
        <w:spacing w:line="312"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联系电话：0516-83642908</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七、采购代理机构</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单位名称：江苏科建工程项目管理有限公司</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单位地址：徐州市泉山区软件园路2号</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联系人：朱文颖、朱柄昱</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联系电话：0516-85610680</w:t>
      </w:r>
      <w:r/>
    </w:p>
    <w:p>
      <w:pPr>
        <w:spacing w:line="312" w:lineRule="auto"/>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clear="all"/>
      </w:r>
      <w:r/>
    </w:p>
    <w:p>
      <w:pPr>
        <w:jc w:val="center"/>
        <w:rPr>
          <w:rFonts w:hint="eastAsia" w:ascii="宋体" w:hAnsi="宋体" w:cs="宋体"/>
          <w:b/>
          <w:bCs/>
          <w:color w:val="auto"/>
          <w:sz w:val="32"/>
          <w:szCs w:val="32"/>
          <w:highlight w:val="none"/>
        </w:rPr>
        <w:outlineLvl w:val="0"/>
      </w:pPr>
      <w:r/>
      <w:bookmarkStart w:id="2" w:name="_Toc13046"/>
      <w:r/>
      <w:bookmarkStart w:id="3" w:name="_Toc30515"/>
      <w:r>
        <w:rPr>
          <w:rFonts w:hint="eastAsia" w:ascii="宋体" w:hAnsi="宋体" w:cs="宋体"/>
          <w:b/>
          <w:bCs/>
          <w:color w:val="auto"/>
          <w:sz w:val="32"/>
          <w:szCs w:val="32"/>
          <w:highlight w:val="none"/>
        </w:rPr>
        <w:t xml:space="preserve">第二章  投标人须知</w:t>
      </w:r>
      <w:bookmarkEnd w:id="2"/>
      <w:r/>
      <w:bookmarkEnd w:id="3"/>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目录</w:t>
      </w:r>
      <w:r/>
    </w:p>
    <w:p>
      <w:pPr>
        <w:ind w:left="420"/>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left="420"/>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left="1894" w:firstLine="128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一、总则</w:t>
      </w:r>
      <w:r/>
    </w:p>
    <w:p>
      <w:pPr>
        <w:ind w:left="1894" w:firstLine="128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二、招标</w:t>
      </w:r>
      <w:r/>
    </w:p>
    <w:p>
      <w:pPr>
        <w:ind w:left="1894" w:firstLine="128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三、投标</w:t>
      </w:r>
      <w:r/>
    </w:p>
    <w:p>
      <w:pPr>
        <w:ind w:left="1894" w:firstLine="128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四、开标</w:t>
      </w:r>
      <w:r/>
    </w:p>
    <w:p>
      <w:pPr>
        <w:ind w:left="1894" w:firstLine="128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五、评标</w:t>
      </w:r>
      <w:r/>
    </w:p>
    <w:p>
      <w:pPr>
        <w:ind w:left="1894" w:firstLine="128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六、定标</w:t>
      </w:r>
      <w:r/>
    </w:p>
    <w:p>
      <w:pPr>
        <w:ind w:left="1894" w:firstLine="128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七、政府采购合同</w:t>
      </w:r>
      <w:r/>
    </w:p>
    <w:p>
      <w:pPr>
        <w:ind w:left="1894" w:firstLine="128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八、询问和质疑</w:t>
      </w:r>
      <w:r/>
    </w:p>
    <w:p>
      <w:pPr>
        <w:ind w:left="1894" w:firstLine="128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九、电子招标投标交易平台</w:t>
      </w:r>
      <w:r/>
    </w:p>
    <w:p>
      <w:pPr>
        <w:jc w:val="center"/>
        <w:spacing w:line="312"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clear="all"/>
      </w:r>
      <w:r>
        <w:rPr>
          <w:rFonts w:hint="eastAsia" w:ascii="宋体" w:hAnsi="宋体" w:cs="宋体"/>
          <w:b/>
          <w:bCs/>
          <w:color w:val="auto"/>
          <w:sz w:val="24"/>
          <w:highlight w:val="none"/>
        </w:rPr>
        <w:t xml:space="preserve">一、总则</w:t>
      </w:r>
      <w:r/>
    </w:p>
    <w:p>
      <w:pPr>
        <w:ind w:firstLine="42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（一）采购人。采购人是指依法进行政府采购的国家机关、事业单位、团体组织。</w:t>
      </w:r>
      <w:r/>
    </w:p>
    <w:p>
      <w:pPr>
        <w:ind w:firstLine="42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（二）政府采购方式。政府采购货物或者服务（以下简称“货物服务”）招标分为公开招标和邀请招标。</w:t>
      </w:r>
      <w:r/>
    </w:p>
    <w:p>
      <w:pPr>
        <w:ind w:firstLine="42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（三）采购人应当在货物服务招标投标活动中落实节约能源、保护环境、扶持不发达地区和少数民族地区、促进中小企业发展等政府采购政策。</w:t>
      </w:r>
      <w:r/>
    </w:p>
    <w:p>
      <w:pPr>
        <w:ind w:firstLine="42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四）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2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（五）采购人委托采购代理机构代理招标的，采购代理机构应当在采购人委托的范围内依法开展采购活动。本项目采购代理机构是指江苏科建工程项目管理有限公司。</w:t>
      </w:r>
      <w:r/>
    </w:p>
    <w:p>
      <w:pPr>
        <w:ind w:firstLine="42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（六）投标人的资格条件</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1.参加采购货物服务投标活动的投标人（以下简称“投标人”），应当是提供本国货物服务的本国投标人，但法律、行政法规规定外国投标人可以参加货物服务招标投标活动的除外。</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投标人，是指响应招标、参加投标竞争的法人、其他组织或者自然人。</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2.投标人授权代表系指法定代表人或受法人委托的受托人。</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（七）投标费用：投标人应承担所有与准备和参加投标有关的费用。无论投标的结果如何，采购代理机构对上述费用不承担任何责任和义务。</w:t>
      </w:r>
      <w:r/>
    </w:p>
    <w:p>
      <w:pPr>
        <w:jc w:val="center"/>
        <w:spacing w:line="312"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二、招标</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（八）招标文件的内容</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1.招标文件包括以下内容：</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第一章 投标邀请</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第二章 投标人须知</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第三章 投标资料表</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第四章 评标标准</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第五章 采购需求</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第六章 拟签订的合同文本</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第七章 投标文件相关格式</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3.样品 本项目对样品的要求：见招标文件第三章《投标资料表》。</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（九）招标文件澄清或者修改</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2.现场考察以招标文件第三章《投标资料表》中的要求为准。</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3.开标前答疑会以招标文件第三章《投标资料表》中的要求为准。</w:t>
      </w:r>
      <w:r/>
    </w:p>
    <w:p>
      <w:pPr>
        <w:jc w:val="center"/>
        <w:spacing w:line="312"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三、投标</w:t>
      </w:r>
      <w:r/>
    </w:p>
    <w:p>
      <w:pPr>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    （十）投标人应当按照招标文件的要求编制投标文件。投标文件应对招标文件提出的要求和条件作出实质性响应。</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（十一）投标文件的语言。投标文件以及投标人与采购代理机构就有关投标的往来函电均应使用招标文件第三章《投标资料表》规定的语言书写，否则无效。</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（十二）投标文件的构成</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1.投标文件的构成以招标文件第三章《投标资料表》中的要求为准。</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2.投标人应当提交的资格、资信证明文件：以招标文件第三章《投标资料表》中的要求为准。</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（十三）投标函和价格表、商务条件、交货和提供服务的时间</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1.投标函和价格表：要求见本章（十二）、（十三），格式见招标文件第七章《投标文件相关格式》中《投标函》和《开标一览表》。</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2.商务条件：以招标文件第三章《投标资料表》中的要求为准。</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3.交货和提供服务的时间：以招标文件第三章《投标资料表》中的要求为准。</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（十四）投标报价要求</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1.投标人应按照招标文件的要求报出分项价格和总价。</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2.投标人应按照招标文件的要求进行报价，如投标人作出偏离，应在《偏离表》中列出。</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3.采购人不支付报价以外的任何费用。</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4.投标人所报的价格在合同执行过程中是固定的，不得以任何理由予以变更。投标人提交滑动价格的投标文件在资格性、符合性检查时按照无效投标处理。</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5.投标人只能提交一个投标价格，投标人提交多个价格的投标文件在资格性、符合性检查时按照无效投标处理。</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（十五）投标货币。以招标文件第三章《投标资料表》中的要求为准。</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（十六）投标有效期</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1.投标有效期为开标之日后90天。采购人可以要求对投标有效期延长一次，但该延长期最长不超过30天。</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2.采购人应在距投标有效期满30日之前书面通知投标人，要求其延长投标有效期。如果有关投标人同意延长投标有效期的要求，其应在原投标有效期期满前以书面形式向采购人确认。</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3.如果采购人发出要求投标有效期延长的通知并在投标有效期届满前没有收到投标人同意其投标有效期延长的书面通知，则视为该投标人不接受上述延期的要求。投标人不接受延长投标有效期的要求。</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（十七）本项目为电子投标，电子投标文件编制要求和签署要求：</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（1）电子招标投标交易平台（即“苏采云”系统）相关要求是本招标文件的组成部分。</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（2）投标人应由其法定代表人或法定代表人授权代表在规定的网上投标时间，凭 CA 证书登陆“苏采云”系统在线编制投标文件（电子数据），并在投标截止时间之前上传投标文件。</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（3）投标人应对CA证书妥善保管，如被他人盗用投标，因此带来的结果均由投标人自行承担。</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（4）投标人应当对招标文件提出的要求和条件作出实质性响应，并在电子投标系统逐条应答。</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（5）投标人应对要求提供的资格证明文件（如资质证书、资格证书）、技术资料（如白皮书、彩页、手册、检测报告等）扫描上传至投标系统。</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（6）投标文件的份数：详见招标文件第三章《投标资料表》。</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（7）投标文件的退还：详见招标文件第三章《投标资料表》。</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（8）投标文件中承诺的投标有效期应当不少于招标文件中载明的投标有效期。</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（十八）线上投标文件的密封、签署、盖章要求：以本文件第三章《投标资料表》中所提要求为准。</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（十九）投标文件递交要求：</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1、投标人应当在招标文件要求的提交投标文件的截止时间前，将电子投标文件提交至“苏采云”系统，逾期提交的投标文件，“苏采云”系统将自动拒收。详见招标文件第三章《投标资料表》。</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2、各投标人应在规定时间内通过CA证书进行网上解密，投标人未在规定时间内解密电子投标文件的，所导致的一切后果均由投标人承担。</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（二十）提交投标文件的截止时间（投标截止时间）</w:t>
      </w:r>
      <w:r/>
    </w:p>
    <w:p>
      <w:pPr>
        <w:ind w:firstLine="480"/>
        <w:spacing w:line="312" w:lineRule="auto"/>
        <w:rPr>
          <w:rFonts w:hint="eastAsia" w:ascii="宋体" w:hAnsi="宋体" w:cs="宋体"/>
          <w:color w:val="auto"/>
          <w:sz w:val="24"/>
          <w:highlight w:val="none"/>
          <w:u w:val="none"/>
        </w:rPr>
      </w:pPr>
      <w:r>
        <w:rPr>
          <w:rFonts w:hint="eastAsia" w:ascii="宋体" w:hAnsi="宋体" w:eastAsia="宋体" w:cs="宋体"/>
          <w:color w:val="auto"/>
          <w:sz w:val="24"/>
          <w:szCs w:val="24"/>
          <w:highlight w:val="none"/>
          <w:u w:val="none"/>
        </w:rPr>
        <w:t xml:space="preserve">凡在招标文件要求提交投标文件的截止时间之后送达的投标文件，均为无效投标文件，“苏采云”系统将自动拒收。 各投标人应在规定时间内通过 CA 证书进行网上解密</w:t>
      </w:r>
      <w:r>
        <w:rPr>
          <w:rFonts w:hint="eastAsia" w:ascii="宋体" w:hAnsi="宋体" w:cs="宋体"/>
          <w:color w:val="auto"/>
          <w:sz w:val="24"/>
          <w:highlight w:val="none"/>
          <w:u w:val="none"/>
        </w:rPr>
        <w:t xml:space="preserve">。</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（二十一）提交投标文件的截止时间和收到投标文件后注意事项：</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投标人在投标截止时间前，可以对所递交的投标文件进行补充、修改或者撤回。</w:t>
      </w:r>
      <w:r>
        <w:rPr>
          <w:rFonts w:hint="eastAsia" w:ascii="宋体" w:hAnsi="宋体" w:eastAsia="宋体" w:cs="宋体"/>
          <w:color w:val="auto"/>
          <w:sz w:val="24"/>
          <w:szCs w:val="24"/>
          <w:highlight w:val="none"/>
        </w:rPr>
        <w:t xml:space="preserve">其所进行补充、修改的内容，应当按照招标文件要求进行签署、盖章、密封，然后纳为投标文件的组成部分。</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（二十二）本项目不允许分包。</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（二十三）投标人应当遵循公平竞争的原则，不得恶意串通，不得妨碍其他投标人的竞争行为，不得损害采购人或者其他投标人的合法权益。</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在评标过程中发现投标人有上述情形的，评标委员会应当认定其投标无效，并书面报告本级财政部门。</w:t>
      </w:r>
      <w:r/>
    </w:p>
    <w:p>
      <w:pPr>
        <w:ind w:firstLine="482"/>
        <w:jc w:val="left"/>
        <w:spacing w:line="312"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（二十四）有下列情形之一的，其投标无效：</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1.不同投标人委托同一单位或者个人办理投标事宜的；</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2.不同投标人的投标文件中，所载明的项目管理成员或联系人为同一人；</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3.不同投标人的投标文件，异常一致或者投标报价呈规律性差异；</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4.不同投标人的单位负责人为同一人或者存在直接控股、管理关系的；</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5.不同投标人投标文件内容存在非正常一致、项目组成员出现同一人、投标文件中错误（或异常）一致或雷同、电子文档信息一致或雷同的、投标报价呈规律性差异的；</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6.投标文件未按招标文件规定的内容和要求填写的；</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7.电子投标文件未按招标文件要求签章的；</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8.不具备招标文件中规定的资格要求或未按招标文件规定的要求提供资格、资信证明文件的； </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9.项目（标段）投标总价超过本项目（标段）预算或最高限价的；</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10.投标文件含有采购人不能接受的附加条件的；</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11.投标人的法定代表人授权代表，无法定代表人授权委托书的； </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12.被列入“信用中国”网站（www.creditchina.gov.cn）失信被执行人、重大税收违法案件当事人名单、政府采购严重违法失信行为记录名单的； </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13.投标文件中有招标文件未允许提供的选择性内容； </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14.提供虚假材料的（包括营业执照、财务报表、资格证明文件等）； </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15.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16.除单一来源采购项目外，为采购项目提供整体设计、规范编制或者项目管理、监理、检测等服务的； </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17.投标文件内容不全或不符合招标文件中规定的其它实质性要求的； </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18.投标人未在规定时间内解密电子投标文件的；</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19.法律法规和招标文件规定的其它无效情形。 </w:t>
      </w:r>
      <w:r/>
    </w:p>
    <w:p>
      <w:pPr>
        <w:jc w:val="center"/>
        <w:spacing w:line="312"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四、开标</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（二十五）开标：</w:t>
      </w:r>
      <w:r/>
    </w:p>
    <w:p>
      <w:pPr>
        <w:ind w:firstLine="480"/>
        <w:spacing w:line="312" w:lineRule="auto"/>
        <w:rPr>
          <w:rFonts w:hint="eastAsia" w:ascii="宋体" w:hAnsi="宋体" w:cs="宋体"/>
          <w:b/>
          <w:color w:val="auto"/>
          <w:sz w:val="24"/>
          <w:highlight w:val="none"/>
        </w:rPr>
      </w:pPr>
      <w:r>
        <w:rPr>
          <w:rFonts w:hint="eastAsia" w:ascii="宋体" w:hAnsi="宋体" w:cs="宋体"/>
          <w:bCs/>
          <w:iCs/>
          <w:color w:val="auto"/>
          <w:sz w:val="24"/>
          <w:highlight w:val="none"/>
        </w:rPr>
        <w:t xml:space="preserve">1.开标时间及地点。</w:t>
      </w:r>
      <w:r>
        <w:rPr>
          <w:rFonts w:hint="eastAsia" w:ascii="宋体" w:hAnsi="宋体" w:cs="宋体"/>
          <w:color w:val="auto"/>
          <w:sz w:val="24"/>
          <w:highlight w:val="none"/>
        </w:rPr>
        <w:t xml:space="preserve">开标应当在招标文件确定的提交投标文件截止时间的同一时间</w:t>
      </w:r>
      <w:r>
        <w:rPr>
          <w:rFonts w:hint="eastAsia" w:ascii="宋体" w:hAnsi="宋体" w:cs="宋体"/>
          <w:color w:val="auto"/>
          <w:sz w:val="24"/>
          <w:highlight w:val="none"/>
          <w:lang w:val="en-US" w:eastAsia="zh-CN"/>
        </w:rPr>
        <w:t xml:space="preserve">公开</w:t>
      </w:r>
      <w:r>
        <w:rPr>
          <w:rFonts w:hint="eastAsia" w:ascii="宋体" w:hAnsi="宋体" w:cs="宋体"/>
          <w:color w:val="auto"/>
          <w:sz w:val="24"/>
          <w:highlight w:val="none"/>
        </w:rPr>
        <w:t xml:space="preserve">进行。开标地点应当为招标文件中预先确定的地点。开标时间及地点：详见招标文件第三章《投标资料表》。</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2.所有投标单位使用 CA 证书在开标时间时，解密各自投标文件，由工作人员操作系统进行开标，开标时递交投标文件的投标人不足三家，不予开标。</w:t>
      </w:r>
      <w:r/>
    </w:p>
    <w:p>
      <w:pPr>
        <w:pStyle w:val="1198"/>
        <w:ind w:left="0" w:right="0"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.投标人原因造成投标文件未解密的，视为撤销其投标文件；因投标人之外的原因造成投标文件未解密的，视为撤回其投标文件。部分投标文件未解密的，其他投标文件的开标可以继续进行。</w:t>
      </w:r>
      <w:r/>
    </w:p>
    <w:p>
      <w:pPr>
        <w:ind w:firstLine="480"/>
        <w:spacing w:line="312" w:lineRule="auto"/>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none"/>
        </w:rPr>
        <w:t xml:space="preserve">投标人代表对开标过程和开标记录有疑义，以及认为采购人、采购代理机构相关工作人员有需要回避的情形的，应当场提出询问或者回避申请。</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.投标人未参加开标的，视同认可开标结果。</w:t>
      </w:r>
      <w:r/>
    </w:p>
    <w:p>
      <w:pPr>
        <w:jc w:val="center"/>
        <w:spacing w:line="312"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五、评标</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（二十六）公开招标采购项目开标结束后，采购人依法对投标人的资格进行审查。合格投标人不足三家的，不得评标。</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1.评标工作由采购代理机构负责组织，并履行下列职责：</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（1）核对评审专家身份和采购人代表授权函，对评审专家在政府采购活动中的职责履行情况予以记录，并及时将有关违法违规行为向财政部门报告；</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（2）宣布评标纪律；</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（3）公布投标人名单，告知评审专家应当回避的情形；</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（4）组织评标委员会推选评标组长，采购人代表不得担任组长；</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（5）在评标期间采取必要的通讯管理措施，保证评标活动不受外界干扰；</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（6）根据评标委员会的要求介绍政府采购相关政策法规、招标文件；</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（8）核对评标结果，有《</w:t>
      </w:r>
      <w:r>
        <w:rPr>
          <w:color w:val="auto"/>
          <w:highlight w:val="none"/>
        </w:rPr>
        <w:fldChar w:fldCharType="begin"/>
      </w:r>
      <w:r>
        <w:rPr>
          <w:color w:val="auto"/>
          <w:highlight w:val="none"/>
        </w:rPr>
        <w:instrText xml:space="preserve"> HYPERLINK "http://www.caigou2003.com/" \t "_blank" </w:instrText>
      </w:r>
      <w:r>
        <w:rPr>
          <w:color w:val="auto"/>
          <w:highlight w:val="none"/>
        </w:rPr>
        <w:fldChar w:fldCharType="separate"/>
      </w:r>
      <w:r>
        <w:rPr>
          <w:rFonts w:hint="eastAsia" w:ascii="宋体" w:hAnsi="宋体" w:cs="宋体"/>
          <w:color w:val="auto"/>
          <w:sz w:val="24"/>
          <w:highlight w:val="none"/>
        </w:rPr>
        <w:t xml:space="preserve">政府采购</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货物和服务招标投标管理办法》第六十四条规定情形的，要求评标委员会复核或者书面说明理由，评标委员会拒绝的，应予记录并向本级财政部门报告；</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（9）评审工作完成后，按照规定向评审专家支付劳务报酬和异地评审差旅费，不得向评审专家以外的其他人员支付评审劳务报酬；</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（10）处理与评标有关的其他事项。</w:t>
      </w:r>
      <w:r/>
    </w:p>
    <w:p>
      <w:pPr>
        <w:ind w:firstLine="36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采购人可以在评标前说明项目背景和采购需求，说明内容不得含有歧视性、倾向性意见，不得超出招标文件所述范围。说明应当提交书面材料，并随</w:t>
      </w:r>
      <w:r>
        <w:rPr>
          <w:rFonts w:hint="eastAsia" w:ascii="宋体" w:hAnsi="宋体" w:cs="宋体"/>
          <w:color w:val="auto"/>
          <w:sz w:val="24"/>
          <w:highlight w:val="none"/>
          <w:lang w:eastAsia="zh-CN"/>
        </w:rPr>
        <w:t xml:space="preserve">招标文件</w:t>
      </w:r>
      <w:r>
        <w:rPr>
          <w:rFonts w:hint="eastAsia" w:ascii="宋体" w:hAnsi="宋体" w:cs="宋体"/>
          <w:color w:val="auto"/>
          <w:sz w:val="24"/>
          <w:highlight w:val="none"/>
        </w:rPr>
        <w:t xml:space="preserve">一并存档。</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2.评标委员会负责具体评标事务，并独立履行下列职责：</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（1）审查、评价投标文件是否符合招标文件的商务、技术等实质性要求；</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（2）要求投标人对投标文件有关事项作出澄清或者说明；</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（3）对投标文件进行比较和评价；</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（4）确定中标候选人名单，以及根据采购人委托直接确定中标人；</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（5）向采购人、采购代理机构或者有关部门报告评标中发现的违法行为。</w:t>
      </w:r>
      <w:r/>
    </w:p>
    <w:p>
      <w:pPr>
        <w:ind w:firstLine="480"/>
        <w:jc w:val="left"/>
        <w:spacing w:line="312"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（二十七）评标方法、评标标准。评标方法分为最低评标价法和综合评分法。详见招标文件第三章《投标资料表》</w:t>
      </w:r>
      <w:r>
        <w:rPr>
          <w:rFonts w:hint="eastAsia" w:ascii="宋体" w:hAnsi="宋体" w:cs="宋体"/>
          <w:color w:val="auto"/>
          <w:sz w:val="24"/>
          <w:highlight w:val="none"/>
          <w:lang w:eastAsia="zh-CN"/>
        </w:rPr>
        <w:t xml:space="preserve">。</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（二十八）评标</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1.评标工作程序：</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（1）投标文件初审。</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①资格性审查。②符合性审查。</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（2）澄清有关问题。</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（3）比较与评价。</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（4）推荐中标候选投标人名单。</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（5）编写评审报告（评标报告）。</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3.采用</w:t>
      </w:r>
      <w:r>
        <w:rPr>
          <w:color w:val="auto"/>
          <w:highlight w:val="none"/>
        </w:rPr>
        <w:fldChar w:fldCharType="begin"/>
      </w:r>
      <w:r>
        <w:rPr>
          <w:color w:val="auto"/>
          <w:highlight w:val="none"/>
        </w:rPr>
        <w:instrText xml:space="preserve"> HYPERLINK "http://lilun.caigou2003.com/recijiedu/2365668.html" \t "_blank" </w:instrText>
      </w:r>
      <w:r>
        <w:rPr>
          <w:color w:val="auto"/>
          <w:highlight w:val="none"/>
        </w:rPr>
        <w:fldChar w:fldCharType="separate"/>
      </w:r>
      <w:r>
        <w:rPr>
          <w:rFonts w:hint="eastAsia" w:ascii="宋体" w:hAnsi="宋体" w:cs="宋体"/>
          <w:color w:val="auto"/>
          <w:sz w:val="24"/>
          <w:highlight w:val="none"/>
        </w:rPr>
        <w:t xml:space="preserve">最低评标价法</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采用</w:t>
      </w:r>
      <w:r>
        <w:rPr>
          <w:color w:val="auto"/>
          <w:highlight w:val="none"/>
        </w:rPr>
        <w:fldChar w:fldCharType="begin"/>
      </w:r>
      <w:r>
        <w:rPr>
          <w:color w:val="auto"/>
          <w:highlight w:val="none"/>
        </w:rPr>
        <w:instrText xml:space="preserve"> HYPERLINK "http://lilun.caigou2003.com/recijiedu/2365667.html" \t "_blank" </w:instrText>
      </w:r>
      <w:r>
        <w:rPr>
          <w:color w:val="auto"/>
          <w:highlight w:val="none"/>
        </w:rPr>
        <w:fldChar w:fldCharType="separate"/>
      </w:r>
      <w:r>
        <w:rPr>
          <w:rFonts w:hint="eastAsia" w:ascii="宋体" w:hAnsi="宋体" w:cs="宋体"/>
          <w:color w:val="auto"/>
          <w:sz w:val="24"/>
          <w:highlight w:val="none"/>
        </w:rPr>
        <w:t xml:space="preserve">综合评分法</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非单一产品采购项目，多家投标人提供的核心产品品牌相同的，按前两款规定处理。</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（二十九）投标文件报价出现前后不一致的，按照下列规定修正：</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1.投标文件中开标一览表（报价表）内容与投标文件中相应内容不一致的，以开标一览表（报价表）为准；</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4.总价金额与按单价合计金额不一致的，以单价金额计算结果为准。</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（三十）实施政府采购异常低价审查的有关要求：</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1.评审中出现下列情形之一的，评审（评标）委员会应当启动异常低价投标（响应）审查程序：</w:t>
      </w:r>
      <w:r/>
    </w:p>
    <w:p>
      <w:pPr>
        <w:ind w:firstLine="482"/>
        <w:jc w:val="left"/>
        <w:spacing w:line="312"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2"/>
        <w:jc w:val="left"/>
        <w:spacing w:line="312"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2"/>
        <w:jc w:val="left"/>
        <w:spacing w:line="312"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482"/>
        <w:jc w:val="left"/>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4.评审（评标）委员会基于专业判断，认为供应商报价过低，有可能影响产品质量或者不能诚信履约的其他情形。</w:t>
      </w:r>
      <w:r/>
    </w:p>
    <w:p>
      <w:pPr>
        <w:ind w:firstLine="482"/>
        <w:jc w:val="left"/>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相关法律法规对供应商报价有规定的，从其规定。</w:t>
      </w:r>
      <w:r/>
    </w:p>
    <w:p>
      <w:pPr>
        <w:ind w:firstLine="482"/>
        <w:jc w:val="left"/>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rPr>
        <w:t xml:space="preserve">评审（评标）委员会启动异常低价投标（响应）审查后，属于前述第1项至第4项情形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供应商说明应当采用通过“苏采云”系统（使用“CA数字证书”,加盖电子签章）形式。</w:t>
      </w:r>
      <w:r/>
    </w:p>
    <w:p>
      <w:pPr>
        <w:ind w:firstLine="482"/>
        <w:jc w:val="left"/>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2"/>
        <w:jc w:val="left"/>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312"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（三十一）</w:t>
      </w:r>
      <w:r>
        <w:rPr>
          <w:rFonts w:hint="eastAsia" w:ascii="宋体" w:hAnsi="宋体" w:cs="宋体"/>
          <w:color w:val="auto"/>
          <w:sz w:val="24"/>
          <w:szCs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（三十二）废标条款：</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出现下列情形之一的，应予废标：</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1.符合专业条件的投标人或者对招标文件作实质响应的投标人不足三家的；</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2.出现影响采购公正的违法、违规行为的；</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3.投标人的报价均超过了采购预算，采购人不能支付的；</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4.因重大变故，采购任务取消的。</w:t>
      </w:r>
      <w:r/>
    </w:p>
    <w:p>
      <w:pPr>
        <w:jc w:val="center"/>
        <w:spacing w:line="312"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六、定标</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（三十三）采购代理机构应当在评标结束后2个工作日内将评标报告送采购人。</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（三十四）采购人应当自收到评标报告之日起5个工作日内，在评标报告确定的中标候选人名单中按顺序确定中标人。</w:t>
      </w:r>
      <w:r/>
    </w:p>
    <w:p>
      <w:pPr>
        <w:ind w:firstLine="482"/>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中标结果公告发布媒介：在徐州政府采购网（</w:t>
      </w:r>
      <w:r>
        <w:rPr>
          <w:rFonts w:hint="eastAsia" w:ascii="宋体" w:hAnsi="宋体" w:cs="宋体"/>
          <w:color w:val="auto"/>
          <w:sz w:val="24"/>
          <w:highlight w:val="none"/>
          <w:lang w:eastAsia="zh-CN"/>
        </w:rPr>
        <w:t xml:space="preserve">https://czj.xz.gov.cn/zfcg/</w:t>
      </w:r>
      <w:r>
        <w:rPr>
          <w:rFonts w:hint="eastAsia" w:ascii="宋体" w:hAnsi="宋体" w:cs="宋体"/>
          <w:color w:val="auto"/>
          <w:sz w:val="24"/>
          <w:highlight w:val="none"/>
        </w:rPr>
        <w:t xml:space="preserve">）</w:t>
      </w:r>
      <w:r>
        <w:rPr>
          <w:rFonts w:hint="eastAsia" w:ascii="宋体" w:hAnsi="宋体" w:cs="宋体"/>
          <w:bCs/>
          <w:color w:val="auto"/>
          <w:sz w:val="24"/>
          <w:highlight w:val="none"/>
        </w:rPr>
        <w:t xml:space="preserve">上发布</w:t>
      </w:r>
      <w:r>
        <w:rPr>
          <w:rFonts w:hint="eastAsia" w:ascii="宋体" w:hAnsi="宋体" w:cs="宋体"/>
          <w:color w:val="auto"/>
          <w:sz w:val="24"/>
          <w:highlight w:val="none"/>
        </w:rPr>
        <w:t xml:space="preserve">。</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三十五）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jc w:val="center"/>
        <w:spacing w:line="312"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七、政府采购合同</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（三十六）签订政府采购合同（合同签订方式）</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采购人不得向中标人提出任何不合理的要求作为签订合同的条件。</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2.中标或者成交投标人拒绝与采购人签订合同的，采购人可以按照评审报告推荐的中标或者成交候选人名单排序，确定下一个候选人为中标或者成交投标人，也可以重新开展政府采购活动。</w:t>
      </w:r>
      <w:r/>
    </w:p>
    <w:p>
      <w:pPr>
        <w:ind w:firstLine="480"/>
        <w:jc w:val="left"/>
        <w:spacing w:line="312"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（三十八）履约保证金</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1.中标人应当在签订采购合同前，向采购人提交本文件第三章《投标资料表》中规定金额的履约保证金。</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（三十九）腐败和欺诈行为</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1.采购代理机构、采购人、投标人等参与招投标的各方，均应在招标、采购、合同执行等过程中保持廉洁和最高的道德水准。</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（1）腐败和欺诈行为的含义：</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②“欺诈行为”系指为了影响招标、采购和合同执行等过程，隐瞒事实</w:t>
      </w:r>
      <w:r>
        <w:rPr>
          <w:rFonts w:hint="eastAsia" w:ascii="宋体" w:hAnsi="宋体" w:cs="宋体"/>
          <w:color w:val="auto"/>
          <w:sz w:val="24"/>
          <w:highlight w:val="none"/>
          <w:lang w:val="en-US" w:eastAsia="zh-CN"/>
        </w:rPr>
        <w:t xml:space="preserve">真相</w:t>
      </w:r>
      <w:r>
        <w:rPr>
          <w:rFonts w:hint="eastAsia" w:ascii="宋体" w:hAnsi="宋体" w:cs="宋体"/>
          <w:color w:val="auto"/>
          <w:sz w:val="24"/>
          <w:highlight w:val="none"/>
        </w:rPr>
        <w:t xml:space="preserve">，给买方、卖方、采购代理机构及他人造成损害的行为，其中包括投标人之间的串通行为。</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（2）如果被推荐的中标人有腐败和欺诈行为，将取消其中标资格。</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（3）如果投标人在任何时候，被法院及政府有关管理部门认定为有腐败和欺诈行为，采购代理机构有权拒绝其投标、取消其中标资格和</w:t>
      </w:r>
      <w:r>
        <w:rPr>
          <w:rFonts w:hint="eastAsia" w:ascii="宋体" w:hAnsi="宋体" w:cs="宋体"/>
          <w:color w:val="auto"/>
          <w:sz w:val="24"/>
          <w:highlight w:val="none"/>
          <w:lang w:eastAsia="zh-CN"/>
        </w:rPr>
        <w:t xml:space="preserve">撤销</w:t>
      </w:r>
      <w:r>
        <w:rPr>
          <w:rFonts w:hint="eastAsia" w:ascii="宋体" w:hAnsi="宋体" w:cs="宋体"/>
          <w:color w:val="auto"/>
          <w:sz w:val="24"/>
          <w:highlight w:val="none"/>
        </w:rPr>
        <w:t xml:space="preserve">其已签署的合同。</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2.投标人应注意《合同通用条款》关于腐败和欺诈行为的相关规定。</w:t>
      </w:r>
      <w:r/>
    </w:p>
    <w:p>
      <w:pPr>
        <w:ind w:firstLine="482"/>
        <w:jc w:val="center"/>
        <w:spacing w:line="312" w:lineRule="auto"/>
        <w:rPr>
          <w:rFonts w:hint="eastAsia" w:ascii="宋体" w:hAnsi="宋体" w:cs="宋体"/>
          <w:b/>
          <w:color w:val="auto"/>
          <w:sz w:val="24"/>
          <w:highlight w:val="none"/>
        </w:rPr>
      </w:pPr>
      <w:r>
        <w:rPr>
          <w:rFonts w:hint="eastAsia" w:ascii="宋体" w:hAnsi="宋体" w:cs="宋体"/>
          <w:b/>
          <w:color w:val="auto"/>
          <w:sz w:val="24"/>
          <w:highlight w:val="none"/>
        </w:rPr>
        <w:t xml:space="preserve">八、询问和质疑</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（四十）询问和质疑</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投标人对政府采购活动事项有疑问的，向采购代理机构提出询问；投标人认为</w:t>
      </w:r>
      <w:r>
        <w:rPr>
          <w:rFonts w:hint="eastAsia" w:ascii="宋体" w:hAnsi="宋体" w:cs="宋体"/>
          <w:color w:val="auto"/>
          <w:sz w:val="24"/>
          <w:highlight w:val="none"/>
          <w:lang w:eastAsia="zh-CN"/>
        </w:rPr>
        <w:t xml:space="preserve">招标文件</w:t>
      </w:r>
      <w:r>
        <w:rPr>
          <w:rFonts w:hint="eastAsia" w:ascii="宋体" w:hAnsi="宋体" w:cs="宋体"/>
          <w:color w:val="auto"/>
          <w:sz w:val="24"/>
          <w:highlight w:val="none"/>
        </w:rPr>
        <w:t xml:space="preserve">、采购过程和中标、成交结果使自己的权益受到损害的，可以在知道或者应知其权益受到损害之日起，七个工作日内以书面形式向采购代理机构提出质疑。询问和质疑由采购代理机构依法处理。</w:t>
      </w:r>
      <w:r/>
    </w:p>
    <w:p>
      <w:pPr>
        <w:ind w:firstLine="482"/>
        <w:jc w:val="center"/>
        <w:spacing w:line="312" w:lineRule="auto"/>
        <w:rPr>
          <w:rFonts w:hint="eastAsia" w:ascii="宋体" w:hAnsi="宋体" w:cs="宋体"/>
          <w:b/>
          <w:color w:val="auto"/>
          <w:sz w:val="24"/>
          <w:highlight w:val="none"/>
        </w:rPr>
      </w:pPr>
      <w:r>
        <w:rPr>
          <w:rFonts w:hint="eastAsia" w:ascii="宋体" w:hAnsi="宋体" w:cs="宋体"/>
          <w:b/>
          <w:color w:val="auto"/>
          <w:sz w:val="24"/>
          <w:highlight w:val="none"/>
        </w:rPr>
        <w:t xml:space="preserve">九、电子招标投标交易平台</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（四十一）电子招标投标交易平台（即“苏采云”系统，网址：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）相关要求是本招标文件的组成部分。</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jc w:val="center"/>
        <w:spacing w:line="360" w:lineRule="auto"/>
        <w:rPr>
          <w:rFonts w:hint="eastAsia" w:ascii="宋体" w:hAnsi="宋体" w:cs="宋体"/>
          <w:b/>
          <w:bCs/>
          <w:color w:val="auto"/>
          <w:sz w:val="32"/>
          <w:szCs w:val="32"/>
          <w:highlight w:val="none"/>
        </w:rPr>
        <w:outlineLvl w:val="0"/>
      </w:pPr>
      <w:r>
        <w:rPr>
          <w:rFonts w:hint="eastAsia" w:ascii="宋体" w:hAnsi="宋体" w:cs="宋体"/>
          <w:color w:val="auto"/>
          <w:sz w:val="32"/>
          <w:szCs w:val="32"/>
          <w:highlight w:val="none"/>
        </w:rPr>
        <w:br w:type="page" w:clear="all"/>
      </w:r>
      <w:bookmarkStart w:id="4" w:name="_Toc30335"/>
      <w:r/>
      <w:bookmarkStart w:id="5" w:name="_Toc14927"/>
      <w:r>
        <w:rPr>
          <w:rFonts w:hint="eastAsia" w:ascii="宋体" w:hAnsi="宋体" w:cs="宋体"/>
          <w:b/>
          <w:bCs/>
          <w:color w:val="auto"/>
          <w:sz w:val="32"/>
          <w:szCs w:val="32"/>
          <w:highlight w:val="none"/>
        </w:rPr>
        <w:t xml:space="preserve">第三章  投标资料表</w:t>
      </w:r>
      <w:bookmarkEnd w:id="4"/>
      <w:r/>
      <w:bookmarkEnd w:id="5"/>
      <w:r/>
      <w:r/>
    </w:p>
    <w:p>
      <w:pPr>
        <w:pStyle w:val="1205"/>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该资料表的条款项号是与第二章《投标人须知》中条款项号对应的，或增加的条款，是对第二章《投标人须知》的补充、修改和完善，如果有矛盾的话，应以本资料表为准。</w:t>
      </w:r>
      <w:r/>
    </w:p>
    <w:p>
      <w:pPr>
        <w:rPr>
          <w:rFonts w:hint="eastAsia" w:ascii="宋体" w:hAnsi="宋体" w:cs="宋体"/>
          <w:color w:val="auto"/>
          <w:highlight w:val="none"/>
        </w:rPr>
      </w:pPr>
      <w:r>
        <w:rPr>
          <w:rFonts w:hint="eastAsia" w:ascii="宋体" w:hAnsi="宋体" w:cs="宋体"/>
          <w:color w:val="auto"/>
          <w:highlight w:val="none"/>
        </w:rPr>
      </w:r>
      <w:r/>
    </w:p>
    <w:tbl>
      <w:tblPr>
        <w:tblStyle w:val="851"/>
        <w:tblW w:w="99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1"/>
        <w:gridCol w:w="8730"/>
      </w:tblGrid>
      <w:tr>
        <w:trPr>
          <w:jc w:val="center"/>
          <w:trHeight w:val="397"/>
        </w:trPr>
        <w:tc>
          <w:tcPr>
            <w:tcW w:w="1261" w:type="dxa"/>
            <w:vAlign w:val="center"/>
            <w:textDirection w:val="lrTb"/>
            <w:noWrap w:val="false"/>
          </w:tcPr>
          <w:p>
            <w:pPr>
              <w:jc w:val="center"/>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条款项号</w:t>
            </w:r>
            <w:r/>
          </w:p>
        </w:tc>
        <w:tc>
          <w:tcPr>
            <w:tcW w:w="8730" w:type="dxa"/>
            <w:vAlign w:val="center"/>
            <w:textDirection w:val="lrTb"/>
            <w:noWrap w:val="false"/>
          </w:tcPr>
          <w:p>
            <w:pPr>
              <w:jc w:val="center"/>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内容</w:t>
            </w:r>
            <w:r/>
          </w:p>
        </w:tc>
      </w:tr>
      <w:tr>
        <w:trPr>
          <w:jc w:val="center"/>
          <w:trHeight w:val="397"/>
        </w:trPr>
        <w:tc>
          <w:tcPr>
            <w:tcW w:w="1261" w:type="dxa"/>
            <w:vAlign w:val="center"/>
            <w:textDirection w:val="lrTb"/>
            <w:noWrap w:val="false"/>
          </w:tcPr>
          <w:p>
            <w:pPr>
              <w:jc w:val="center"/>
              <w:spacing w:line="312"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730" w:type="dxa"/>
            <w:vAlign w:val="center"/>
            <w:textDirection w:val="lrTb"/>
            <w:noWrap w:val="false"/>
          </w:tcPr>
          <w:p>
            <w:pPr>
              <w:jc w:val="center"/>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一、总则</w:t>
            </w:r>
            <w:r/>
          </w:p>
        </w:tc>
      </w:tr>
      <w:tr>
        <w:trPr>
          <w:jc w:val="center"/>
          <w:trHeight w:val="397"/>
        </w:trPr>
        <w:tc>
          <w:tcPr>
            <w:tcW w:w="1261" w:type="dxa"/>
            <w:vAlign w:val="center"/>
            <w:textDirection w:val="lrTb"/>
            <w:noWrap w:val="false"/>
          </w:tcPr>
          <w:p>
            <w:pPr>
              <w:jc w:val="center"/>
              <w:spacing w:line="312"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(一)</w:t>
            </w:r>
            <w:r/>
          </w:p>
        </w:tc>
        <w:tc>
          <w:tcPr>
            <w:tcW w:w="8730" w:type="dxa"/>
            <w:vAlign w:val="center"/>
            <w:textDirection w:val="lrTb"/>
            <w:noWrap w:val="false"/>
          </w:tcPr>
          <w:p>
            <w:pPr>
              <w:spacing w:line="312"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本项目采购人：</w:t>
            </w:r>
            <w:r>
              <w:rPr>
                <w:rFonts w:hint="eastAsia" w:ascii="宋体" w:hAnsi="宋体" w:cs="宋体"/>
                <w:color w:val="auto"/>
                <w:sz w:val="24"/>
                <w:highlight w:val="none"/>
                <w:lang w:eastAsia="zh-CN"/>
              </w:rPr>
              <w:t xml:space="preserve">徐州市公安局交通管理支队</w:t>
            </w:r>
            <w:r/>
          </w:p>
        </w:tc>
      </w:tr>
      <w:tr>
        <w:trPr>
          <w:jc w:val="center"/>
          <w:trHeight w:val="397"/>
        </w:trPr>
        <w:tc>
          <w:tcPr>
            <w:tcW w:w="1261" w:type="dxa"/>
            <w:vAlign w:val="center"/>
            <w:textDirection w:val="lrTb"/>
            <w:noWrap w:val="false"/>
          </w:tcPr>
          <w:p>
            <w:pPr>
              <w:jc w:val="center"/>
              <w:spacing w:line="312"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(二)</w:t>
            </w:r>
            <w:r/>
          </w:p>
        </w:tc>
        <w:tc>
          <w:tcPr>
            <w:tcW w:w="8730" w:type="dxa"/>
            <w:vAlign w:val="center"/>
            <w:textDirection w:val="lrTb"/>
            <w:noWrap w:val="false"/>
          </w:tcPr>
          <w:p>
            <w:pPr>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本次采购采用的政府采购方式：公开招标</w:t>
            </w:r>
            <w:r/>
          </w:p>
        </w:tc>
      </w:tr>
      <w:tr>
        <w:trPr>
          <w:jc w:val="center"/>
          <w:trHeight w:val="397"/>
        </w:trPr>
        <w:tc>
          <w:tcPr>
            <w:tcW w:w="1261" w:type="dxa"/>
            <w:vAlign w:val="center"/>
            <w:textDirection w:val="lrTb"/>
            <w:noWrap w:val="false"/>
          </w:tcPr>
          <w:p>
            <w:pPr>
              <w:jc w:val="center"/>
              <w:spacing w:line="312"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(四)</w:t>
            </w:r>
            <w:r/>
          </w:p>
        </w:tc>
        <w:tc>
          <w:tcPr>
            <w:tcW w:w="8730" w:type="dxa"/>
            <w:vAlign w:val="center"/>
            <w:textDirection w:val="lrTb"/>
            <w:noWrap w:val="false"/>
          </w:tcPr>
          <w:p>
            <w:pPr>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采购人确定的采购项目属性：服务</w:t>
            </w:r>
            <w:r/>
          </w:p>
          <w:p>
            <w:pPr>
              <w:spacing w:line="312"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本项目是否为专门面向中小微企业采购的项目：</w:t>
            </w:r>
            <w:r>
              <w:rPr>
                <w:rFonts w:hint="eastAsia" w:ascii="宋体" w:hAnsi="宋体" w:cs="宋体"/>
                <w:color w:val="auto"/>
                <w:sz w:val="24"/>
                <w:szCs w:val="24"/>
                <w:highlight w:val="none"/>
                <w:lang w:val="en-US" w:eastAsia="zh-CN"/>
              </w:rPr>
              <w:t xml:space="preserve">是</w:t>
            </w:r>
            <w:r/>
          </w:p>
        </w:tc>
      </w:tr>
      <w:tr>
        <w:trPr>
          <w:jc w:val="center"/>
          <w:trHeight w:val="397"/>
        </w:trPr>
        <w:tc>
          <w:tcPr>
            <w:tcW w:w="1261" w:type="dxa"/>
            <w:vAlign w:val="center"/>
            <w:textDirection w:val="lrTb"/>
            <w:noWrap w:val="false"/>
          </w:tcPr>
          <w:p>
            <w:pPr>
              <w:jc w:val="center"/>
              <w:spacing w:line="312"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(五)</w:t>
            </w:r>
            <w:r/>
          </w:p>
        </w:tc>
        <w:tc>
          <w:tcPr>
            <w:tcW w:w="8730" w:type="dxa"/>
            <w:vAlign w:val="center"/>
            <w:textDirection w:val="lrTb"/>
            <w:noWrap w:val="false"/>
          </w:tcPr>
          <w:p>
            <w:pPr>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本项目采购代理机构：江苏科建工程项目管理有限公司</w:t>
            </w:r>
            <w:r/>
          </w:p>
        </w:tc>
      </w:tr>
      <w:tr>
        <w:trPr>
          <w:jc w:val="center"/>
          <w:trHeight w:val="397"/>
        </w:trPr>
        <w:tc>
          <w:tcPr>
            <w:tcW w:w="1261" w:type="dxa"/>
            <w:vAlign w:val="center"/>
            <w:textDirection w:val="lrTb"/>
            <w:noWrap w:val="false"/>
          </w:tcPr>
          <w:p>
            <w:pPr>
              <w:jc w:val="center"/>
              <w:spacing w:line="312"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(六)</w:t>
            </w:r>
            <w:r/>
          </w:p>
        </w:tc>
        <w:tc>
          <w:tcPr>
            <w:tcW w:w="8730" w:type="dxa"/>
            <w:vAlign w:val="center"/>
            <w:textDirection w:val="lrTb"/>
            <w:noWrap w:val="false"/>
          </w:tcPr>
          <w:p>
            <w:pPr>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投标人的资格条件：</w:t>
            </w:r>
            <w:r/>
          </w:p>
          <w:p>
            <w:pPr>
              <w:spacing w:line="312"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一、满足《中华人民共和国政府采购法》第二十二条的规定；</w:t>
            </w:r>
            <w:r/>
          </w:p>
          <w:p>
            <w:pPr>
              <w:spacing w:line="312"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二、落实政府采购政策需满足的资格要求：</w:t>
            </w:r>
            <w:r>
              <w:rPr>
                <w:rFonts w:hint="eastAsia" w:ascii="宋体" w:hAnsi="宋体" w:cs="宋体"/>
                <w:color w:val="auto"/>
                <w:sz w:val="24"/>
                <w:szCs w:val="24"/>
                <w:highlight w:val="none"/>
                <w:lang w:eastAsia="zh-CN"/>
              </w:rPr>
              <w:t xml:space="preserve">本项目属于专门面向中小微企业采购的项目，供应商应为中小微企业、监狱企业、残疾人福利性单位</w:t>
            </w:r>
            <w:r>
              <w:rPr>
                <w:rFonts w:hint="eastAsia" w:ascii="宋体" w:hAnsi="宋体" w:cs="宋体"/>
                <w:color w:val="auto"/>
                <w:sz w:val="24"/>
                <w:szCs w:val="24"/>
                <w:highlight w:val="none"/>
              </w:rPr>
              <w:t xml:space="preserve">。</w:t>
            </w:r>
            <w:r/>
          </w:p>
          <w:p>
            <w:pPr>
              <w:spacing w:line="312"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三、本项目的特定资格要求</w:t>
            </w:r>
            <w:r>
              <w:rPr>
                <w:rFonts w:hint="eastAsia" w:ascii="宋体" w:hAnsi="宋体" w:cs="宋体"/>
                <w:color w:val="auto"/>
                <w:sz w:val="24"/>
                <w:szCs w:val="24"/>
                <w:highlight w:val="none"/>
              </w:rPr>
              <w:t xml:space="preserve">：无。</w:t>
            </w:r>
            <w:r/>
          </w:p>
          <w:p>
            <w:pPr>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同时明确相关事项如下：</w:t>
            </w:r>
            <w:r/>
          </w:p>
          <w:p>
            <w:pPr>
              <w:ind w:firstLine="240"/>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1、本项目不接受联合体参与采购活动。</w:t>
            </w:r>
            <w:r/>
          </w:p>
          <w:p>
            <w:pPr>
              <w:ind w:firstLine="240"/>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2、单位负责人为同一人或者存在实际控制、直接控股、管理关系的不同投标人，不得参加同一合同项下的政府采购活动。</w:t>
            </w:r>
            <w:r/>
          </w:p>
          <w:p>
            <w:pPr>
              <w:ind w:firstLine="240"/>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3、为本采购项目提供整体设计、规范编制或者项目管理、监理、检测等服务的投标人，不得再参加本采购项目的采购活动。</w:t>
            </w:r>
            <w:r/>
          </w:p>
          <w:p>
            <w:pPr>
              <w:ind w:firstLine="240"/>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4、查询及使用投标人信用记录：</w:t>
            </w:r>
            <w:r/>
          </w:p>
          <w:p>
            <w:pPr>
              <w:ind w:firstLine="480"/>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GB2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⑴</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由采购人查询信用信息。</w:t>
            </w:r>
            <w:r/>
          </w:p>
          <w:p>
            <w:pPr>
              <w:ind w:firstLine="480"/>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GB2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⑵</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查询渠道包括：</w:t>
            </w:r>
            <w:r/>
          </w:p>
          <w:p>
            <w:pPr>
              <w:ind w:firstLine="480"/>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①“信用中国”网（</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color w:val="auto"/>
                <w:sz w:val="24"/>
                <w:szCs w:val="24"/>
                <w:highlight w:val="none"/>
              </w:rPr>
              <w:t xml:space="preserve">www.creditchina.gov.cn</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w:t>
            </w:r>
            <w:r/>
          </w:p>
          <w:p>
            <w:pPr>
              <w:ind w:firstLine="480"/>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ascii="宋体" w:hAnsi="宋体" w:cs="宋体"/>
                <w:color w:val="auto"/>
                <w:sz w:val="24"/>
                <w:szCs w:val="24"/>
                <w:highlight w:val="none"/>
              </w:rPr>
              <w:t xml:space="preserve">www.ccgp.gov.cn</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w:t>
            </w:r>
            <w:r/>
          </w:p>
          <w:p>
            <w:pPr>
              <w:ind w:firstLine="480"/>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③“信用江苏”网（www.jscredit.gov.cn）；</w:t>
            </w:r>
            <w:r/>
          </w:p>
          <w:p>
            <w:pPr>
              <w:ind w:firstLine="480"/>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④“信用中国 (江苏徐州)”网（www.xuzhoucredit.gov.cn/）。</w:t>
            </w:r>
            <w:r/>
          </w:p>
          <w:p>
            <w:pPr>
              <w:ind w:firstLine="480"/>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GB2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⑶</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截止时点（查询环节）：开标后资格审查结束前。</w:t>
            </w:r>
            <w:r/>
          </w:p>
          <w:p>
            <w:pPr>
              <w:ind w:firstLine="480"/>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⑷信用信息查询记录和证据留存的具体方式：</w:t>
            </w:r>
            <w:r/>
          </w:p>
          <w:p>
            <w:pPr>
              <w:ind w:firstLine="480"/>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网页截屏打印，与其他</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一并保存。</w:t>
            </w:r>
            <w:r/>
          </w:p>
          <w:p>
            <w:pPr>
              <w:ind w:firstLine="480"/>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⑸信用信息的使用规则：</w:t>
            </w:r>
            <w:r/>
          </w:p>
          <w:p>
            <w:pPr>
              <w:ind w:firstLine="480"/>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jc w:val="center"/>
          <w:trHeight w:val="397"/>
        </w:trPr>
        <w:tc>
          <w:tcPr>
            <w:tcW w:w="1261" w:type="dxa"/>
            <w:vAlign w:val="center"/>
            <w:textDirection w:val="lrTb"/>
            <w:noWrap w:val="false"/>
          </w:tcPr>
          <w:p>
            <w:pPr>
              <w:jc w:val="center"/>
              <w:spacing w:line="312"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(七)</w:t>
            </w:r>
            <w:r/>
          </w:p>
        </w:tc>
        <w:tc>
          <w:tcPr>
            <w:tcW w:w="8730" w:type="dxa"/>
            <w:vAlign w:val="center"/>
            <w:textDirection w:val="lrTb"/>
            <w:noWrap w:val="false"/>
          </w:tcPr>
          <w:p>
            <w:pPr>
              <w:spacing w:line="312"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本项目采购预算金额已包含招标代理服务费，招标代理服务费由中标人在领取中标通知书前</w:t>
            </w:r>
            <w:r>
              <w:rPr>
                <w:rFonts w:hint="eastAsia" w:ascii="宋体" w:hAnsi="宋体" w:cs="宋体"/>
                <w:color w:val="auto"/>
                <w:sz w:val="24"/>
                <w:highlight w:val="none"/>
                <w:lang w:val="en-US" w:eastAsia="zh-CN"/>
              </w:rPr>
              <w:t xml:space="preserve">一次性支付至采购代理机构指定账户</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招标代理服务费根据《委托代理协议》约定</w:t>
            </w:r>
            <w:r>
              <w:rPr>
                <w:rFonts w:hint="eastAsia" w:ascii="宋体" w:hAnsi="宋体" w:cs="宋体"/>
                <w:color w:val="auto"/>
                <w:sz w:val="24"/>
                <w:highlight w:val="none"/>
              </w:rPr>
              <w:t xml:space="preserve">。标准见《招标代理服务收费标准》</w:t>
            </w:r>
            <w:r>
              <w:rPr>
                <w:rFonts w:hint="eastAsia" w:ascii="宋体" w:hAnsi="宋体" w:cs="宋体"/>
                <w:color w:val="auto"/>
                <w:sz w:val="24"/>
                <w:highlight w:val="none"/>
                <w:lang w:eastAsia="zh-CN"/>
              </w:rPr>
              <w:t xml:space="preserve">。</w:t>
            </w:r>
            <w:r/>
          </w:p>
        </w:tc>
      </w:tr>
      <w:tr>
        <w:trPr>
          <w:jc w:val="center"/>
          <w:trHeight w:val="397"/>
        </w:trPr>
        <w:tc>
          <w:tcPr>
            <w:tcW w:w="1261" w:type="dxa"/>
            <w:vAlign w:val="center"/>
            <w:textDirection w:val="lrTb"/>
            <w:noWrap w:val="false"/>
          </w:tcPr>
          <w:p>
            <w:pPr>
              <w:jc w:val="center"/>
              <w:spacing w:line="312"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W w:w="8730" w:type="dxa"/>
            <w:vAlign w:val="center"/>
            <w:textDirection w:val="lrTb"/>
            <w:noWrap w:val="false"/>
          </w:tcPr>
          <w:p>
            <w:pPr>
              <w:jc w:val="center"/>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二、招标</w:t>
            </w:r>
            <w:r/>
          </w:p>
        </w:tc>
      </w:tr>
      <w:tr>
        <w:trPr>
          <w:jc w:val="center"/>
          <w:trHeight w:val="397"/>
        </w:trPr>
        <w:tc>
          <w:tcPr>
            <w:tcW w:w="1261" w:type="dxa"/>
            <w:vAlign w:val="center"/>
            <w:textDirection w:val="lrTb"/>
            <w:noWrap w:val="false"/>
          </w:tcPr>
          <w:p>
            <w:pPr>
              <w:jc w:val="center"/>
              <w:spacing w:line="312"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（九）1</w:t>
            </w:r>
            <w:r/>
          </w:p>
        </w:tc>
        <w:tc>
          <w:tcPr>
            <w:tcW w:w="8730" w:type="dxa"/>
            <w:vAlign w:val="center"/>
            <w:textDirection w:val="lrTb"/>
            <w:noWrap w:val="false"/>
          </w:tcPr>
          <w:p>
            <w:pPr>
              <w:ind w:firstLine="480"/>
              <w:spacing w:line="312"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对招标文件进行澄清或者修改的，通过“苏采云”系统及</w:t>
            </w:r>
            <w:r>
              <w:rPr>
                <w:rFonts w:hint="eastAsia" w:ascii="宋体" w:hAnsi="宋体" w:cs="宋体"/>
                <w:color w:val="auto"/>
                <w:sz w:val="24"/>
                <w:highlight w:val="none"/>
              </w:rPr>
              <w:t xml:space="preserve">徐州政府采购网（</w:t>
            </w:r>
            <w:r>
              <w:rPr>
                <w:rFonts w:hint="eastAsia" w:ascii="宋体" w:hAnsi="宋体" w:cs="宋体"/>
                <w:color w:val="auto"/>
                <w:sz w:val="24"/>
                <w:highlight w:val="none"/>
                <w:lang w:eastAsia="zh-CN"/>
              </w:rPr>
              <w:t xml:space="preserve">https://czj.xz.gov.cn/zfcg/</w:t>
            </w:r>
            <w:r>
              <w:rPr>
                <w:rFonts w:hint="eastAsia" w:ascii="宋体" w:hAnsi="宋体" w:cs="宋体"/>
                <w:color w:val="auto"/>
                <w:sz w:val="24"/>
                <w:highlight w:val="none"/>
              </w:rPr>
              <w:t xml:space="preserve">）</w:t>
            </w:r>
            <w:r>
              <w:rPr>
                <w:rFonts w:hint="eastAsia" w:ascii="宋体" w:hAnsi="宋体" w:cs="宋体"/>
                <w:bCs/>
                <w:color w:val="auto"/>
                <w:sz w:val="24"/>
                <w:highlight w:val="none"/>
              </w:rPr>
              <w:t xml:space="preserve">公告澄清或者修改的内容。澄清或者修改的内容以所发布的本项目的“更正（澄清）公告”的形式通知所有获取招标文件的潜在投标人。发布本项目的“更正（澄清）公告”后采购代理机构已尽通知义务。</w:t>
            </w:r>
            <w:r/>
          </w:p>
          <w:p>
            <w:pPr>
              <w:ind w:firstLine="480"/>
              <w:spacing w:line="312" w:lineRule="auto"/>
              <w:rPr>
                <w:rFonts w:hint="eastAsia" w:ascii="宋体" w:hAnsi="宋体" w:cs="宋体"/>
                <w:color w:val="auto"/>
                <w:sz w:val="24"/>
                <w:highlight w:val="none"/>
              </w:rPr>
            </w:pPr>
            <w:r>
              <w:rPr>
                <w:rFonts w:hint="eastAsia" w:ascii="宋体" w:hAnsi="宋体" w:cs="宋体"/>
                <w:bCs/>
                <w:color w:val="auto"/>
                <w:sz w:val="24"/>
                <w:highlight w:val="none"/>
              </w:rPr>
              <w:t xml:space="preserve">敬请各潜在投标人关注本项目的“更正（澄清）公告”，并通过“苏采云”系统重新下载更正（澄清）后的</w:t>
            </w:r>
            <w:r>
              <w:rPr>
                <w:rFonts w:hint="eastAsia" w:ascii="宋体" w:hAnsi="宋体" w:cs="宋体"/>
                <w:bCs/>
                <w:color w:val="auto"/>
                <w:sz w:val="24"/>
                <w:highlight w:val="none"/>
                <w:lang w:eastAsia="zh-CN"/>
              </w:rPr>
              <w:t xml:space="preserve">招标文件</w:t>
            </w:r>
            <w:r>
              <w:rPr>
                <w:rFonts w:hint="eastAsia" w:ascii="宋体" w:hAnsi="宋体" w:cs="宋体"/>
                <w:bCs/>
                <w:color w:val="auto"/>
                <w:sz w:val="24"/>
                <w:highlight w:val="none"/>
              </w:rPr>
              <w:t xml:space="preserve">（后缀名为“.kedt”），离线编制投标文件，否则，将自行承担相应的风险。</w:t>
            </w:r>
            <w:r/>
          </w:p>
        </w:tc>
      </w:tr>
      <w:tr>
        <w:trPr>
          <w:jc w:val="center"/>
          <w:trHeight w:val="397"/>
        </w:trPr>
        <w:tc>
          <w:tcPr>
            <w:tcW w:w="1261" w:type="dxa"/>
            <w:vAlign w:val="center"/>
            <w:textDirection w:val="lrTb"/>
            <w:noWrap w:val="false"/>
          </w:tcPr>
          <w:p>
            <w:pPr>
              <w:jc w:val="center"/>
              <w:spacing w:line="312"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（九）2</w:t>
            </w:r>
            <w:r/>
          </w:p>
        </w:tc>
        <w:tc>
          <w:tcPr>
            <w:tcW w:w="8730" w:type="dxa"/>
            <w:vAlign w:val="center"/>
            <w:textDirection w:val="lrTb"/>
            <w:noWrap w:val="false"/>
          </w:tcPr>
          <w:p>
            <w:pPr>
              <w:spacing w:line="312"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不安排现场考察。</w:t>
            </w:r>
            <w:r/>
          </w:p>
        </w:tc>
      </w:tr>
      <w:tr>
        <w:trPr>
          <w:jc w:val="center"/>
          <w:trHeight w:val="397"/>
        </w:trPr>
        <w:tc>
          <w:tcPr>
            <w:tcW w:w="1261" w:type="dxa"/>
            <w:vAlign w:val="center"/>
            <w:textDirection w:val="lrTb"/>
            <w:noWrap w:val="false"/>
          </w:tcPr>
          <w:p>
            <w:pPr>
              <w:jc w:val="center"/>
              <w:spacing w:line="312"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（九）3</w:t>
            </w:r>
            <w:r/>
          </w:p>
        </w:tc>
        <w:tc>
          <w:tcPr>
            <w:tcW w:w="8730" w:type="dxa"/>
            <w:vAlign w:val="center"/>
            <w:textDirection w:val="lrTb"/>
            <w:noWrap w:val="false"/>
          </w:tcPr>
          <w:p>
            <w:pPr>
              <w:spacing w:line="312"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不安排开标前答疑会</w:t>
            </w:r>
            <w:r/>
          </w:p>
        </w:tc>
      </w:tr>
      <w:tr>
        <w:trPr>
          <w:jc w:val="center"/>
          <w:trHeight w:val="397"/>
        </w:trPr>
        <w:tc>
          <w:tcPr>
            <w:tcW w:w="1261" w:type="dxa"/>
            <w:vAlign w:val="center"/>
            <w:textDirection w:val="lrTb"/>
            <w:noWrap w:val="false"/>
          </w:tcPr>
          <w:p>
            <w:pPr>
              <w:jc w:val="center"/>
              <w:spacing w:line="312"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W w:w="8730" w:type="dxa"/>
            <w:vAlign w:val="center"/>
            <w:textDirection w:val="lrTb"/>
            <w:noWrap w:val="false"/>
          </w:tcPr>
          <w:p>
            <w:pPr>
              <w:jc w:val="center"/>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三、投标</w:t>
            </w:r>
            <w:r/>
          </w:p>
        </w:tc>
      </w:tr>
      <w:tr>
        <w:trPr>
          <w:jc w:val="center"/>
          <w:trHeight w:val="397"/>
        </w:trPr>
        <w:tc>
          <w:tcPr>
            <w:tcW w:w="1261" w:type="dxa"/>
            <w:vAlign w:val="center"/>
            <w:textDirection w:val="lrTb"/>
            <w:noWrap w:val="false"/>
          </w:tcPr>
          <w:p>
            <w:pPr>
              <w:jc w:val="center"/>
              <w:spacing w:line="312"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（十一）</w:t>
            </w:r>
            <w:r/>
          </w:p>
        </w:tc>
        <w:tc>
          <w:tcPr>
            <w:tcW w:w="8730" w:type="dxa"/>
            <w:vAlign w:val="center"/>
            <w:textDirection w:val="lrTb"/>
            <w:noWrap w:val="false"/>
          </w:tcPr>
          <w:p>
            <w:pPr>
              <w:spacing w:line="312" w:lineRule="auto"/>
              <w:rPr>
                <w:rFonts w:hint="eastAsia" w:ascii="宋体" w:hAnsi="宋体" w:cs="宋体"/>
                <w:color w:val="auto"/>
                <w:sz w:val="24"/>
                <w:highlight w:val="none"/>
              </w:rPr>
            </w:pPr>
            <w:r>
              <w:rPr>
                <w:rFonts w:hint="eastAsia" w:ascii="宋体" w:hAnsi="宋体" w:cs="宋体"/>
                <w:bCs/>
                <w:color w:val="auto"/>
                <w:sz w:val="24"/>
                <w:highlight w:val="none"/>
              </w:rPr>
              <w:t xml:space="preserve">投标文件的语言为中文</w:t>
            </w:r>
            <w:r/>
          </w:p>
        </w:tc>
      </w:tr>
      <w:tr>
        <w:trPr>
          <w:jc w:val="center"/>
          <w:trHeight w:val="2645"/>
        </w:trPr>
        <w:tc>
          <w:tcPr>
            <w:tcW w:w="1261" w:type="dxa"/>
            <w:vAlign w:val="center"/>
            <w:textDirection w:val="lrTb"/>
            <w:noWrap w:val="false"/>
          </w:tcPr>
          <w:p>
            <w:pPr>
              <w:jc w:val="center"/>
              <w:spacing w:line="312"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十二</w:t>
            </w:r>
            <w:r/>
          </w:p>
        </w:tc>
        <w:tc>
          <w:tcPr>
            <w:tcW w:w="8730" w:type="dxa"/>
            <w:vAlign w:val="center"/>
            <w:textDirection w:val="lrTb"/>
            <w:noWrap w:val="false"/>
          </w:tcPr>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投标人须用政府采购客户端工具导入“苏采云”系统下载的招标文件后，离线编制投标文件。招标文件、投标人操作手册及政府采购客户端工具可通过“苏采云”系统（网址：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 w:val="24"/>
                <w:highlight w:val="none"/>
              </w:rPr>
              <w:t xml:space="preserve">http://jszfcg.jsc</w:t>
            </w:r>
            <w:bookmarkStart w:id="6" w:name="_Hlt91509263"/>
            <w:r/>
            <w:bookmarkStart w:id="7" w:name="_Hlt91509264"/>
            <w:r>
              <w:rPr>
                <w:rFonts w:hint="eastAsia" w:ascii="宋体" w:hAnsi="宋体" w:cs="宋体"/>
                <w:color w:val="auto"/>
                <w:sz w:val="24"/>
                <w:highlight w:val="none"/>
              </w:rPr>
              <w:t xml:space="preserve">z</w:t>
            </w:r>
            <w:bookmarkEnd w:id="6"/>
            <w:r/>
            <w:bookmarkEnd w:id="7"/>
            <w:r>
              <w:rPr>
                <w:rFonts w:hint="eastAsia" w:ascii="宋体" w:hAnsi="宋体" w:cs="宋体"/>
                <w:color w:val="auto"/>
                <w:sz w:val="24"/>
                <w:highlight w:val="none"/>
              </w:rPr>
              <w:t xml:space="preserve">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已报名项目--报名详情页面内相应链接进行下载；投标人操作手册及政府采购客户端工具也可通过徐州政府采购网--业务工作--快速服务--下载专区，点击进入《江苏省政府采购管理交易系统（苏采云）投标人操作手册及政府采购客户端》，进行下载。</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特别说明：政府采购客户端工具需要导出加密的投标文件（后缀名为zip）。投标文件不得超过150M！（以系统为准）</w:t>
            </w:r>
            <w:r/>
          </w:p>
        </w:tc>
      </w:tr>
      <w:tr>
        <w:trPr>
          <w:jc w:val="center"/>
          <w:trHeight w:val="90"/>
        </w:trPr>
        <w:tc>
          <w:tcPr>
            <w:tcW w:w="1261" w:type="dxa"/>
            <w:vAlign w:val="center"/>
            <w:textDirection w:val="lrTb"/>
            <w:noWrap w:val="false"/>
          </w:tcPr>
          <w:p>
            <w:pPr>
              <w:numPr>
                <w:ilvl w:val="0"/>
                <w:numId w:val="1"/>
              </w:numPr>
              <w:jc w:val="center"/>
              <w:spacing w:line="312"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w:t>
            </w:r>
            <w:r/>
          </w:p>
          <w:p>
            <w:pPr>
              <w:jc w:val="center"/>
              <w:spacing w:line="312"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(十二)2</w:t>
            </w:r>
            <w:r/>
          </w:p>
        </w:tc>
        <w:tc>
          <w:tcPr>
            <w:tcW w:w="8730" w:type="dxa"/>
            <w:vAlign w:val="center"/>
            <w:textDirection w:val="lrTb"/>
            <w:noWrap w:val="false"/>
          </w:tcPr>
          <w:p>
            <w:pPr>
              <w:spacing w:line="312"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线上投标文件编制要求</w:t>
            </w:r>
            <w:r>
              <w:rPr>
                <w:rFonts w:hint="eastAsia" w:ascii="宋体" w:hAnsi="宋体" w:cs="宋体"/>
                <w:b/>
                <w:color w:val="auto"/>
                <w:sz w:val="24"/>
                <w:szCs w:val="24"/>
                <w:highlight w:val="none"/>
              </w:rPr>
              <w:t xml:space="preserve">：</w:t>
            </w:r>
            <w:r/>
          </w:p>
          <w:p>
            <w:pPr>
              <w:spacing w:line="312"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请按照以下要求</w:t>
            </w:r>
            <w:r>
              <w:rPr>
                <w:rFonts w:hint="eastAsia" w:ascii="宋体" w:hAnsi="宋体" w:cs="宋体"/>
                <w:color w:val="auto"/>
                <w:sz w:val="24"/>
                <w:szCs w:val="24"/>
                <w:highlight w:val="none"/>
              </w:rPr>
              <w:t xml:space="preserve">（包括但不限于以下要求）制作：</w:t>
            </w:r>
            <w:r/>
          </w:p>
          <w:p>
            <w:pPr>
              <w:spacing w:line="312"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一、基本目录</w:t>
            </w:r>
            <w:r/>
          </w:p>
          <w:p>
            <w:pPr>
              <w:ind w:firstLine="480"/>
              <w:spacing w:line="312"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1、目录</w:t>
            </w:r>
            <w:r/>
          </w:p>
          <w:p>
            <w:pPr>
              <w:ind w:firstLine="480"/>
              <w:spacing w:line="312"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w:t>
            </w:r>
            <w:r>
              <w:rPr>
                <w:rFonts w:hint="eastAsia" w:ascii="宋体" w:hAnsi="宋体" w:cs="宋体"/>
                <w:bCs/>
                <w:color w:val="auto"/>
                <w:sz w:val="24"/>
                <w:szCs w:val="24"/>
                <w:highlight w:val="none"/>
              </w:rPr>
              <w:t xml:space="preserve">开标一览表</w:t>
            </w:r>
            <w:r>
              <w:rPr>
                <w:rFonts w:hint="eastAsia" w:ascii="宋体" w:hAnsi="宋体" w:cs="宋体"/>
                <w:color w:val="auto"/>
                <w:sz w:val="24"/>
                <w:szCs w:val="24"/>
                <w:highlight w:val="none"/>
              </w:rPr>
              <w:t xml:space="preserve">》（加盖电子签章，政府采购客户端工具输入报价自动生成）。</w:t>
            </w:r>
            <w:r/>
          </w:p>
          <w:p>
            <w:pPr>
              <w:ind w:firstLine="480"/>
              <w:spacing w:line="312"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w:t>
            </w:r>
            <w:r>
              <w:rPr>
                <w:rFonts w:hint="eastAsia" w:ascii="宋体" w:hAnsi="宋体" w:cs="宋体"/>
                <w:bCs/>
                <w:color w:val="auto"/>
                <w:sz w:val="24"/>
                <w:szCs w:val="24"/>
                <w:highlight w:val="none"/>
              </w:rPr>
              <w:t xml:space="preserve">投标人认为需要提供的其他资料</w:t>
            </w:r>
            <w:r>
              <w:rPr>
                <w:rFonts w:hint="eastAsia" w:ascii="宋体" w:hAnsi="宋体" w:cs="宋体"/>
                <w:color w:val="auto"/>
                <w:sz w:val="24"/>
                <w:szCs w:val="24"/>
                <w:highlight w:val="none"/>
              </w:rPr>
              <w:t xml:space="preserve">（如有）</w:t>
            </w:r>
            <w:r/>
          </w:p>
          <w:p>
            <w:pPr>
              <w:spacing w:line="312" w:lineRule="auto"/>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二、资格条件（必须提供，加盖电子签章，否则投标将被拒绝）</w:t>
            </w:r>
            <w:r/>
          </w:p>
          <w:p>
            <w:pPr>
              <w:jc w:val="both"/>
              <w:spacing w:beforeAutospacing="0" w:afterAutospacing="0" w:line="312"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1.具有独立承担民事责任的能力，提供投标人合法有效的营业执照</w:t>
            </w:r>
            <w:r>
              <w:rPr>
                <w:rFonts w:hint="eastAsia" w:ascii="宋体" w:hAnsi="宋体" w:cs="宋体"/>
                <w:color w:val="auto"/>
                <w:sz w:val="24"/>
                <w:szCs w:val="24"/>
                <w:highlight w:val="none"/>
                <w:lang w:eastAsia="zh-CN"/>
              </w:rPr>
              <w:t xml:space="preserve">(或事业单位法人证书或其他组织应提供合法证明文件）</w:t>
            </w:r>
            <w:r>
              <w:rPr>
                <w:rFonts w:hint="eastAsia" w:ascii="宋体" w:hAnsi="宋体" w:cs="宋体"/>
                <w:color w:val="auto"/>
                <w:sz w:val="24"/>
                <w:szCs w:val="24"/>
                <w:highlight w:val="none"/>
              </w:rPr>
              <w:t xml:space="preserve">扫描件；</w:t>
            </w:r>
            <w:r/>
          </w:p>
          <w:p>
            <w:pPr>
              <w:pStyle w:val="875"/>
              <w:jc w:val="both"/>
              <w:spacing w:beforeAutospacing="0" w:afterAutospacing="0" w:line="312" w:lineRule="auto"/>
              <w:widowControl/>
              <w:rPr>
                <w:rFonts w:hint="eastAsia" w:ascii="宋体" w:hAnsi="宋体" w:cs="宋体"/>
                <w:color w:val="auto"/>
                <w:szCs w:val="24"/>
                <w:highlight w:val="none"/>
              </w:rPr>
            </w:pPr>
            <w:r>
              <w:rPr>
                <w:rFonts w:hint="eastAsia" w:ascii="宋体" w:hAnsi="宋体" w:cs="宋体"/>
                <w:color w:val="auto"/>
                <w:szCs w:val="24"/>
                <w:highlight w:val="none"/>
              </w:rPr>
              <w:t xml:space="preserve">2.</w:t>
            </w:r>
            <w:r>
              <w:rPr>
                <w:rFonts w:hint="eastAsia" w:ascii="宋体" w:hAnsi="宋体" w:cs="宋体"/>
                <w:color w:val="auto"/>
                <w:szCs w:val="24"/>
                <w:highlight w:val="none"/>
                <w:lang w:eastAsia="zh-CN"/>
              </w:rPr>
              <w:t xml:space="preserve">投标人具有良好的商业信誉和健全的财务会计制度，提供</w:t>
            </w:r>
            <w:r>
              <w:rPr>
                <w:rFonts w:hint="eastAsia" w:ascii="宋体" w:hAnsi="宋体" w:cs="宋体"/>
                <w:color w:val="auto"/>
                <w:szCs w:val="24"/>
                <w:highlight w:val="none"/>
              </w:rPr>
              <w:t xml:space="preserve">投标人的本项目开标时间前6个月内</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不含开标当月</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任何时间的资产负债表和利润表扫描件各一份；或提供投标人2025年度经审计的财务报告扫描件一份；</w:t>
            </w:r>
            <w:r>
              <w:rPr>
                <w:rFonts w:hint="eastAsia" w:ascii="宋体" w:hAnsi="宋体" w:cs="宋体"/>
                <w:color w:val="auto"/>
                <w:szCs w:val="24"/>
                <w:highlight w:val="none"/>
                <w:lang w:eastAsia="zh-CN"/>
              </w:rPr>
              <w:t xml:space="preserve">或提供投标人的本项目开标时间前6个月内（</w:t>
            </w:r>
            <w:r>
              <w:rPr>
                <w:rFonts w:hint="eastAsia" w:ascii="宋体" w:hAnsi="宋体" w:cs="宋体"/>
                <w:color w:val="auto"/>
                <w:szCs w:val="24"/>
                <w:highlight w:val="none"/>
                <w:lang w:val="en-US" w:eastAsia="zh-CN"/>
              </w:rPr>
              <w:t xml:space="preserve">不含开标当月</w:t>
            </w:r>
            <w:r>
              <w:rPr>
                <w:rFonts w:hint="eastAsia" w:ascii="宋体" w:hAnsi="宋体" w:cs="宋体"/>
                <w:color w:val="auto"/>
                <w:szCs w:val="24"/>
                <w:highlight w:val="none"/>
                <w:lang w:eastAsia="zh-CN"/>
              </w:rPr>
              <w:t xml:space="preserve">）银行出具的资信证明扫描件一份</w:t>
            </w:r>
            <w:r>
              <w:rPr>
                <w:rFonts w:hint="eastAsia" w:ascii="宋体" w:hAnsi="宋体" w:cs="宋体"/>
                <w:color w:val="auto"/>
                <w:szCs w:val="24"/>
                <w:highlight w:val="none"/>
              </w:rPr>
              <w:t xml:space="preserve">；</w:t>
            </w:r>
            <w:r/>
          </w:p>
          <w:p>
            <w:pPr>
              <w:pStyle w:val="875"/>
              <w:jc w:val="both"/>
              <w:spacing w:beforeAutospacing="0" w:afterAutospacing="0" w:line="312" w:lineRule="auto"/>
              <w:widowControl/>
              <w:rPr>
                <w:rFonts w:hint="eastAsia" w:ascii="宋体" w:hAnsi="宋体" w:cs="宋体"/>
                <w:color w:val="auto"/>
                <w:szCs w:val="24"/>
                <w:highlight w:val="none"/>
              </w:rPr>
            </w:pPr>
            <w:r>
              <w:rPr>
                <w:rFonts w:hint="eastAsia" w:ascii="宋体" w:hAnsi="宋体" w:cs="宋体"/>
                <w:color w:val="auto"/>
                <w:szCs w:val="24"/>
                <w:highlight w:val="none"/>
              </w:rPr>
              <w:t xml:space="preserve">3.投标人依法缴纳税收和社会保障资金的记录（提供本项目开标时间前6个月内</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不含开标当月</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任何1月的依法缴纳税收的相关材料扫描件；和本项目开标时间前6个月内</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不含开标当月</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任何1月的依法缴纳社会保障资金的相关材料扫描件）（依法免税或不需要缴纳社会保障资金的投标人,提供相应文件扫描件证明其依法免税或不需要缴纳社会保障资金)；</w:t>
            </w:r>
            <w:r/>
          </w:p>
          <w:p>
            <w:pPr>
              <w:pStyle w:val="875"/>
              <w:jc w:val="both"/>
              <w:spacing w:beforeAutospacing="0" w:afterAutospacing="0" w:line="312" w:lineRule="auto"/>
              <w:widowControl/>
              <w:rPr>
                <w:rFonts w:hint="eastAsia" w:ascii="宋体" w:hAnsi="宋体" w:cs="宋体"/>
                <w:b/>
                <w:bCs/>
                <w:color w:val="auto"/>
                <w:szCs w:val="24"/>
                <w:highlight w:val="none"/>
                <w:lang w:val="en-US" w:eastAsia="zh-CN"/>
              </w:rPr>
            </w:pPr>
            <w:r>
              <w:rPr>
                <w:rFonts w:hint="eastAsia" w:ascii="宋体" w:hAnsi="宋体" w:cs="宋体"/>
                <w:color w:val="auto"/>
                <w:szCs w:val="24"/>
                <w:highlight w:val="none"/>
              </w:rPr>
              <w:t xml:space="preserve">4.具备履行合同所必需的设备和专业技术能力的证明（</w:t>
            </w:r>
            <w:r>
              <w:rPr>
                <w:rFonts w:hint="eastAsia" w:ascii="宋体" w:hAnsi="宋体" w:cs="宋体"/>
                <w:color w:val="auto"/>
                <w:szCs w:val="24"/>
                <w:highlight w:val="none"/>
                <w:lang w:eastAsia="zh-CN"/>
              </w:rPr>
              <w:t xml:space="preserve">投标文件</w:t>
            </w:r>
            <w:r>
              <w:rPr>
                <w:rFonts w:hint="eastAsia" w:ascii="宋体" w:hAnsi="宋体" w:cs="宋体"/>
                <w:color w:val="auto"/>
                <w:szCs w:val="24"/>
                <w:highlight w:val="none"/>
              </w:rPr>
              <w:t xml:space="preserve">中提供《具备履行合同所必需的设备和专业技术能力的书面声明（附证明材料扫描件）》，加盖电子签章，格式见</w:t>
            </w:r>
            <w:r>
              <w:rPr>
                <w:rFonts w:hint="eastAsia" w:ascii="宋体" w:hAnsi="宋体" w:cs="宋体"/>
                <w:color w:val="auto"/>
                <w:szCs w:val="24"/>
                <w:highlight w:val="none"/>
                <w:lang w:eastAsia="zh-CN"/>
              </w:rPr>
              <w:t xml:space="preserve">招标文件</w:t>
            </w:r>
            <w:r>
              <w:rPr>
                <w:rFonts w:hint="eastAsia" w:ascii="宋体" w:hAnsi="宋体" w:cs="宋体"/>
                <w:color w:val="auto"/>
                <w:szCs w:val="24"/>
                <w:highlight w:val="none"/>
              </w:rPr>
              <w:t xml:space="preserve">第七章《投标文件相关格式》,所附证明材料扫描件可不加盖电子签章）；</w:t>
            </w:r>
            <w:r>
              <w:rPr>
                <w:rFonts w:hint="eastAsia" w:ascii="宋体" w:hAnsi="宋体" w:cs="宋体"/>
                <w:b/>
                <w:bCs/>
                <w:color w:val="auto"/>
                <w:szCs w:val="24"/>
                <w:highlight w:val="none"/>
              </w:rPr>
              <w:t xml:space="preserve">所附</w:t>
            </w:r>
            <w:r>
              <w:rPr>
                <w:rFonts w:hint="eastAsia" w:ascii="宋体" w:hAnsi="宋体" w:cs="宋体"/>
                <w:b/>
                <w:bCs/>
                <w:color w:val="auto"/>
                <w:szCs w:val="24"/>
                <w:highlight w:val="none"/>
                <w:lang w:val="en-US" w:eastAsia="zh-CN"/>
              </w:rPr>
              <w:t xml:space="preserve">证明材料必须提供以下内容：</w:t>
            </w:r>
            <w:r/>
          </w:p>
          <w:p>
            <w:pPr>
              <w:pStyle w:val="875"/>
              <w:jc w:val="both"/>
              <w:spacing w:beforeAutospacing="0" w:afterAutospacing="0" w:line="312" w:lineRule="auto"/>
              <w:widowControl/>
              <w:rPr>
                <w:rFonts w:hint="eastAsia" w:ascii="宋体" w:hAnsi="宋体" w:cs="宋体"/>
                <w:b w:val="0"/>
                <w:bCs w:val="0"/>
                <w:color w:val="auto"/>
                <w:szCs w:val="24"/>
                <w:highlight w:val="none"/>
                <w:lang w:val="en-US" w:eastAsia="zh-CN"/>
              </w:rPr>
            </w:pPr>
            <w:r>
              <w:rPr>
                <w:rFonts w:hint="eastAsia" w:ascii="宋体" w:hAnsi="宋体" w:cs="宋体"/>
                <w:b w:val="0"/>
                <w:bCs w:val="0"/>
                <w:color w:val="auto"/>
                <w:szCs w:val="24"/>
                <w:highlight w:val="none"/>
                <w:lang w:val="en-US" w:eastAsia="zh-CN"/>
              </w:rPr>
              <w:t xml:space="preserve">（1）项目经理1人，具有城市道路交通信号控制工程建设或城市道路交通信号控制维护项目的工作经验，项目经理具有一级建造师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机电工程或通信与广电工程专业</w:t>
            </w:r>
            <w:r>
              <w:rPr>
                <w:rFonts w:hint="eastAsia" w:ascii="宋体" w:hAnsi="宋体" w:cs="宋体"/>
                <w:color w:val="auto"/>
                <w:sz w:val="24"/>
                <w:szCs w:val="24"/>
                <w:highlight w:val="none"/>
                <w:lang w:eastAsia="zh-CN"/>
              </w:rPr>
              <w:t xml:space="preserve">）</w:t>
            </w:r>
            <w:r>
              <w:rPr>
                <w:rFonts w:hint="eastAsia" w:ascii="宋体" w:hAnsi="宋体" w:cs="宋体"/>
                <w:b w:val="0"/>
                <w:bCs w:val="0"/>
                <w:color w:val="auto"/>
                <w:szCs w:val="24"/>
                <w:highlight w:val="none"/>
                <w:lang w:val="en-US" w:eastAsia="zh-CN"/>
              </w:rPr>
              <w:t xml:space="preserve">或高级工程师</w:t>
            </w:r>
            <w:r>
              <w:rPr>
                <w:rFonts w:hint="eastAsia" w:ascii="宋体" w:hAnsi="宋体" w:cs="宋体"/>
                <w:color w:val="auto"/>
                <w:sz w:val="24"/>
                <w:szCs w:val="24"/>
                <w:highlight w:val="none"/>
                <w:lang w:val="en-US" w:eastAsia="zh-CN"/>
              </w:rPr>
              <w:t xml:space="preserve">职称</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电力工程、机械工程、交通运输工程、通信工程、电子信息工程、智能交通专业方向均可</w:t>
            </w:r>
            <w:r>
              <w:rPr>
                <w:rFonts w:hint="eastAsia" w:ascii="宋体" w:hAnsi="宋体" w:cs="宋体"/>
                <w:color w:val="auto"/>
                <w:sz w:val="24"/>
                <w:szCs w:val="24"/>
                <w:highlight w:val="none"/>
                <w:lang w:eastAsia="zh-CN"/>
              </w:rPr>
              <w:t xml:space="preserve">）</w:t>
            </w:r>
            <w:r>
              <w:rPr>
                <w:rFonts w:hint="eastAsia" w:ascii="宋体" w:hAnsi="宋体" w:cs="宋体"/>
                <w:b w:val="0"/>
                <w:bCs w:val="0"/>
                <w:color w:val="auto"/>
                <w:szCs w:val="24"/>
                <w:highlight w:val="none"/>
                <w:lang w:val="en-US" w:eastAsia="zh-CN"/>
              </w:rPr>
              <w:t xml:space="preserve">。</w:t>
            </w:r>
            <w:r/>
          </w:p>
          <w:p>
            <w:pPr>
              <w:pStyle w:val="875"/>
              <w:jc w:val="both"/>
              <w:spacing w:beforeAutospacing="0" w:afterAutospacing="0" w:line="312" w:lineRule="auto"/>
              <w:widowControl/>
              <w:rPr>
                <w:rFonts w:hint="eastAsia" w:ascii="宋体" w:hAnsi="宋体" w:cs="宋体"/>
                <w:b w:val="0"/>
                <w:bCs w:val="0"/>
                <w:color w:val="auto"/>
                <w:szCs w:val="24"/>
                <w:highlight w:val="none"/>
                <w:lang w:val="en-US" w:eastAsia="zh-CN"/>
              </w:rPr>
            </w:pPr>
            <w:r>
              <w:rPr>
                <w:rFonts w:hint="eastAsia" w:ascii="宋体" w:hAnsi="宋体" w:cs="宋体"/>
                <w:b w:val="0"/>
                <w:bCs w:val="0"/>
                <w:color w:val="auto"/>
                <w:szCs w:val="24"/>
                <w:highlight w:val="none"/>
                <w:lang w:val="en-US" w:eastAsia="zh-CN"/>
              </w:rPr>
              <w:t xml:space="preserve">（2）技术负责人1人，具有城市道路交通信号控制工程建设或城市道路交通信号控制维护项目的工作经验，具有</w:t>
            </w:r>
            <w:r>
              <w:rPr>
                <w:rFonts w:hint="eastAsia" w:ascii="宋体" w:hAnsi="宋体" w:cs="宋体"/>
                <w:bCs/>
                <w:color w:val="auto"/>
                <w:sz w:val="24"/>
                <w:szCs w:val="24"/>
                <w:highlight w:val="none"/>
                <w:lang w:val="en-US" w:eastAsia="zh-CN"/>
              </w:rPr>
              <w:t xml:space="preserve">高级工程师</w:t>
            </w:r>
            <w:r>
              <w:rPr>
                <w:rFonts w:hint="eastAsia" w:ascii="宋体" w:hAnsi="宋体" w:cs="宋体"/>
                <w:bCs/>
                <w:color w:val="auto"/>
                <w:sz w:val="24"/>
                <w:szCs w:val="24"/>
                <w:highlight w:val="none"/>
              </w:rPr>
              <w:t xml:space="preserve">职称</w:t>
            </w:r>
            <w:r>
              <w:rPr>
                <w:rFonts w:hint="eastAsia" w:ascii="宋体" w:hAnsi="宋体" w:cs="宋体"/>
                <w:bCs/>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电力工程、机械工程、交通运输工程、通信工程、电子信息工程、智能交通专业方向均可</w:t>
            </w:r>
            <w:r>
              <w:rPr>
                <w:rFonts w:hint="eastAsia" w:ascii="宋体" w:hAnsi="宋体" w:cs="宋体"/>
                <w:bCs/>
                <w:color w:val="auto"/>
                <w:sz w:val="24"/>
                <w:szCs w:val="24"/>
                <w:highlight w:val="none"/>
                <w:lang w:eastAsia="zh-CN"/>
              </w:rPr>
              <w:t xml:space="preserve">）</w:t>
            </w:r>
            <w:r>
              <w:rPr>
                <w:rFonts w:hint="eastAsia" w:ascii="宋体" w:hAnsi="宋体" w:cs="宋体"/>
                <w:b w:val="0"/>
                <w:bCs w:val="0"/>
                <w:color w:val="auto"/>
                <w:szCs w:val="24"/>
                <w:highlight w:val="none"/>
                <w:lang w:val="en-US" w:eastAsia="zh-CN"/>
              </w:rPr>
              <w:t xml:space="preserve">。</w:t>
            </w:r>
            <w:r/>
          </w:p>
          <w:p>
            <w:pPr>
              <w:pStyle w:val="875"/>
              <w:jc w:val="both"/>
              <w:spacing w:beforeAutospacing="0" w:afterAutospacing="0" w:line="312" w:lineRule="auto"/>
              <w:widowControl/>
              <w:rPr>
                <w:rFonts w:hint="eastAsia" w:ascii="宋体" w:hAnsi="宋体" w:cs="宋体"/>
                <w:b w:val="0"/>
                <w:bCs w:val="0"/>
                <w:color w:val="auto"/>
                <w:szCs w:val="24"/>
                <w:highlight w:val="none"/>
                <w:lang w:val="en-US" w:eastAsia="zh-CN"/>
              </w:rPr>
            </w:pPr>
            <w:r>
              <w:rPr>
                <w:rFonts w:hint="eastAsia" w:ascii="宋体" w:hAnsi="宋体" w:cs="宋体"/>
                <w:b w:val="0"/>
                <w:bCs w:val="0"/>
                <w:color w:val="auto"/>
                <w:szCs w:val="24"/>
                <w:highlight w:val="none"/>
                <w:lang w:val="en-US" w:eastAsia="zh-CN"/>
              </w:rPr>
              <w:t xml:space="preserve">（3）外场工程师共计13人，均应具有相应电工证或高空作业证，熟练掌握前端施工规范及建设标准，掌握接线技能和基础调试技能。</w:t>
            </w:r>
            <w:r/>
          </w:p>
          <w:p>
            <w:pPr>
              <w:pStyle w:val="875"/>
              <w:jc w:val="both"/>
              <w:spacing w:beforeAutospacing="0" w:afterAutospacing="0" w:line="312" w:lineRule="auto"/>
              <w:widowControl/>
              <w:rPr>
                <w:rFonts w:hint="eastAsia" w:ascii="宋体" w:hAnsi="宋体" w:cs="宋体"/>
                <w:b w:val="0"/>
                <w:bCs w:val="0"/>
                <w:color w:val="auto"/>
                <w:szCs w:val="24"/>
                <w:highlight w:val="none"/>
                <w:lang w:val="en-US" w:eastAsia="zh-CN"/>
              </w:rPr>
            </w:pPr>
            <w:r>
              <w:rPr>
                <w:rFonts w:hint="eastAsia" w:ascii="宋体" w:hAnsi="宋体" w:cs="宋体"/>
                <w:b w:val="0"/>
                <w:bCs w:val="0"/>
                <w:color w:val="auto"/>
                <w:szCs w:val="24"/>
                <w:highlight w:val="none"/>
                <w:lang w:val="en-US" w:eastAsia="zh-CN"/>
              </w:rPr>
              <w:t xml:space="preserve">（4）内场工程师共计7人，能熟练操作本市信号控制系统，具有交通、通信相关专业学历，并配备至少一名CAD绘图专业技术人员，能熟练利用CAD软件绘制路口效果图。</w:t>
            </w:r>
            <w:r/>
          </w:p>
          <w:p>
            <w:pPr>
              <w:ind w:right="28"/>
              <w:jc w:val="both"/>
              <w:spacing w:line="346" w:lineRule="auto"/>
              <w:rPr>
                <w:rFonts w:hint="default" w:ascii="宋体" w:hAnsi="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val="en-US" w:eastAsia="zh-CN"/>
              </w:rPr>
              <w:t xml:space="preserve">注：提供人员花名册，</w:t>
            </w:r>
            <w:r>
              <w:rPr>
                <w:rFonts w:hint="eastAsia" w:cs="宋体"/>
                <w:b/>
                <w:bCs w:val="0"/>
                <w:color w:val="auto"/>
                <w:sz w:val="24"/>
                <w:szCs w:val="24"/>
                <w:highlight w:val="none"/>
                <w:lang w:val="en-US" w:eastAsia="zh-CN"/>
              </w:rPr>
              <w:t xml:space="preserve">以上人员为本项目最低人员配置要求，人员不重复计取；</w:t>
            </w:r>
            <w:r>
              <w:rPr>
                <w:rFonts w:hint="eastAsia" w:ascii="宋体" w:hAnsi="宋体" w:cs="宋体"/>
                <w:b/>
                <w:bCs w:val="0"/>
                <w:color w:val="auto"/>
                <w:sz w:val="24"/>
                <w:szCs w:val="24"/>
                <w:highlight w:val="none"/>
                <w:lang w:val="en-US" w:eastAsia="zh-CN"/>
              </w:rPr>
              <w:t xml:space="preserve">投标文件中提供</w:t>
            </w:r>
            <w:r>
              <w:rPr>
                <w:rFonts w:hint="eastAsia" w:ascii="宋体" w:hAnsi="宋体" w:cs="宋体"/>
                <w:b/>
                <w:color w:val="auto"/>
                <w:sz w:val="24"/>
                <w:szCs w:val="24"/>
                <w:highlight w:val="none"/>
                <w:lang w:val="en-US" w:eastAsia="zh-CN"/>
              </w:rPr>
              <w:t xml:space="preserve">以上人员相关</w:t>
            </w:r>
            <w:r>
              <w:rPr>
                <w:rFonts w:hint="eastAsia" w:ascii="宋体" w:hAnsi="宋体" w:cs="宋体"/>
                <w:b/>
                <w:color w:val="auto"/>
                <w:sz w:val="24"/>
                <w:szCs w:val="24"/>
                <w:highlight w:val="none"/>
              </w:rPr>
              <w:t xml:space="preserve">证书</w:t>
            </w:r>
            <w:r>
              <w:rPr>
                <w:rFonts w:hint="eastAsia" w:ascii="宋体" w:hAnsi="宋体" w:cs="宋体"/>
                <w:b/>
                <w:color w:val="auto"/>
                <w:sz w:val="24"/>
                <w:szCs w:val="24"/>
                <w:highlight w:val="none"/>
                <w:lang w:val="en-US" w:eastAsia="zh-CN"/>
              </w:rPr>
              <w:t xml:space="preserve">扫描件</w:t>
            </w:r>
            <w:r>
              <w:rPr>
                <w:rFonts w:hint="eastAsia" w:ascii="宋体" w:hAnsi="宋体" w:cs="宋体"/>
                <w:b/>
                <w:bCs w:val="0"/>
                <w:color w:val="auto"/>
                <w:sz w:val="24"/>
                <w:szCs w:val="24"/>
                <w:highlight w:val="none"/>
                <w:lang w:val="en-US" w:eastAsia="zh-CN"/>
              </w:rPr>
              <w:t xml:space="preserve">和投标人为其缴纳的开标时间前</w:t>
            </w:r>
            <w:r>
              <w:rPr>
                <w:rFonts w:hint="eastAsia" w:ascii="宋体" w:hAnsi="宋体" w:eastAsia="宋体" w:cs="宋体"/>
                <w:b/>
                <w:bCs w:val="0"/>
                <w:color w:val="auto"/>
                <w:sz w:val="24"/>
                <w:szCs w:val="24"/>
                <w:highlight w:val="none"/>
              </w:rPr>
              <w:t xml:space="preserve">近六个月</w:t>
            </w:r>
            <w:r>
              <w:rPr>
                <w:rFonts w:hint="eastAsia" w:ascii="宋体" w:hAnsi="宋体" w:cs="宋体"/>
                <w:b/>
                <w:bCs w:val="0"/>
                <w:color w:val="auto"/>
                <w:sz w:val="24"/>
                <w:szCs w:val="24"/>
                <w:highlight w:val="none"/>
                <w:lang w:val="en-US" w:eastAsia="zh-CN"/>
              </w:rPr>
              <w:t xml:space="preserve">内</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不含开标当月</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任意一个月</w:t>
            </w:r>
            <w:r>
              <w:rPr>
                <w:rFonts w:hint="eastAsia" w:ascii="宋体" w:hAnsi="宋体" w:cs="宋体"/>
                <w:b/>
                <w:bCs w:val="0"/>
                <w:color w:val="auto"/>
                <w:sz w:val="24"/>
                <w:szCs w:val="24"/>
                <w:highlight w:val="none"/>
                <w:lang w:val="en-US" w:eastAsia="zh-CN"/>
              </w:rPr>
              <w:t xml:space="preserve">的</w:t>
            </w:r>
            <w:r>
              <w:rPr>
                <w:rFonts w:hint="eastAsia" w:ascii="宋体" w:hAnsi="宋体" w:eastAsia="宋体" w:cs="宋体"/>
                <w:b/>
                <w:bCs w:val="0"/>
                <w:color w:val="auto"/>
                <w:sz w:val="24"/>
                <w:szCs w:val="24"/>
                <w:highlight w:val="none"/>
              </w:rPr>
              <w:t xml:space="preserve">社保证明</w:t>
            </w:r>
            <w:r>
              <w:rPr>
                <w:rFonts w:hint="eastAsia" w:ascii="宋体" w:hAnsi="宋体" w:cs="宋体"/>
                <w:b/>
                <w:color w:val="auto"/>
                <w:sz w:val="24"/>
                <w:szCs w:val="24"/>
                <w:highlight w:val="none"/>
                <w:lang w:val="en-US" w:eastAsia="zh-CN"/>
              </w:rPr>
              <w:t xml:space="preserve">扫描件</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未提供或提供不全为无效投标！</w:t>
            </w:r>
            <w:r/>
          </w:p>
          <w:p>
            <w:pPr>
              <w:pStyle w:val="875"/>
              <w:jc w:val="both"/>
              <w:spacing w:beforeAutospacing="0" w:afterAutospacing="0" w:line="312" w:lineRule="auto"/>
              <w:widowControl/>
              <w:rPr>
                <w:rFonts w:hint="eastAsia" w:ascii="宋体" w:hAnsi="宋体" w:cs="宋体"/>
                <w:color w:val="auto"/>
                <w:szCs w:val="24"/>
                <w:highlight w:val="none"/>
              </w:rPr>
            </w:pPr>
            <w:r>
              <w:rPr>
                <w:rFonts w:hint="eastAsia" w:ascii="宋体" w:hAnsi="宋体" w:cs="宋体"/>
                <w:color w:val="auto"/>
                <w:szCs w:val="24"/>
                <w:highlight w:val="none"/>
              </w:rPr>
              <w:t xml:space="preserve">5.投标人参加政府采购活动前3年内在经营活动中没有重大违法记录的书面声明（加盖电子签章，格式见</w:t>
            </w:r>
            <w:r>
              <w:rPr>
                <w:rFonts w:hint="eastAsia" w:ascii="宋体" w:hAnsi="宋体" w:cs="宋体"/>
                <w:color w:val="auto"/>
                <w:szCs w:val="24"/>
                <w:highlight w:val="none"/>
                <w:lang w:eastAsia="zh-CN"/>
              </w:rPr>
              <w:t xml:space="preserve">招标文件</w:t>
            </w:r>
            <w:r>
              <w:rPr>
                <w:rFonts w:hint="eastAsia" w:ascii="宋体" w:hAnsi="宋体" w:cs="宋体"/>
                <w:color w:val="auto"/>
                <w:szCs w:val="24"/>
                <w:highlight w:val="none"/>
              </w:rPr>
              <w:t xml:space="preserve">第七章《投标文件相关格式》）。</w:t>
            </w:r>
            <w:r/>
          </w:p>
          <w:p>
            <w:pPr>
              <w:pStyle w:val="875"/>
              <w:spacing w:beforeAutospacing="0" w:afterAutospacing="0" w:line="312" w:lineRule="auto"/>
              <w:widowControl/>
              <w:rPr>
                <w:rFonts w:hint="eastAsia" w:ascii="宋体" w:hAnsi="宋体" w:cs="宋体"/>
                <w:b/>
                <w:bCs/>
                <w:color w:val="auto"/>
                <w:szCs w:val="24"/>
                <w:highlight w:val="none"/>
                <w:lang w:eastAsia="zh-CN"/>
              </w:rPr>
            </w:pPr>
            <w:r>
              <w:rPr>
                <w:rFonts w:hint="eastAsia" w:ascii="宋体" w:hAnsi="宋体" w:cs="宋体"/>
                <w:color w:val="auto"/>
                <w:szCs w:val="24"/>
                <w:highlight w:val="none"/>
                <w:lang w:eastAsia="zh-CN"/>
              </w:rPr>
              <w:t xml:space="preserve">6.投标人应为中小微企业(含中型、小型、微型企业，下同)，投标文件中须提供《中小企业声明函》(加盖电子签章，填写完整，格式见招标文件</w:t>
            </w:r>
            <w:r>
              <w:rPr>
                <w:rFonts w:hint="eastAsia" w:ascii="宋体" w:hAnsi="宋体" w:cs="宋体"/>
                <w:color w:val="auto"/>
                <w:szCs w:val="24"/>
                <w:highlight w:val="none"/>
              </w:rPr>
              <w:t xml:space="preserve">第七章</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投标文件相关格式</w:t>
            </w:r>
            <w:r>
              <w:rPr>
                <w:rFonts w:hint="eastAsia" w:ascii="宋体" w:hAnsi="宋体" w:cs="宋体"/>
                <w:color w:val="auto"/>
                <w:szCs w:val="24"/>
                <w:highlight w:val="none"/>
                <w:lang w:eastAsia="zh-CN"/>
              </w:rPr>
              <w:t xml:space="preserve">》)。《中小企业声明函》查询渠道用微信搜素“中小企业规模类型自测小程序”。</w:t>
            </w:r>
            <w:r>
              <w:rPr>
                <w:rFonts w:hint="eastAsia" w:ascii="宋体" w:hAnsi="宋体" w:cs="宋体"/>
                <w:b/>
                <w:bCs/>
                <w:color w:val="auto"/>
                <w:szCs w:val="24"/>
                <w:highlight w:val="none"/>
                <w:lang w:eastAsia="zh-CN"/>
              </w:rPr>
              <w:t xml:space="preserve">(必须提供，如不填写完整，视为无效)</w:t>
            </w:r>
            <w:r/>
          </w:p>
          <w:p>
            <w:pPr>
              <w:spacing w:line="312"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注：中小</w:t>
            </w:r>
            <w:r>
              <w:rPr>
                <w:rFonts w:hint="eastAsia" w:ascii="宋体" w:hAnsi="宋体" w:eastAsia="宋体" w:cs="宋体"/>
                <w:b w:val="0"/>
                <w:bCs w:val="0"/>
                <w:color w:val="auto"/>
                <w:sz w:val="24"/>
                <w:szCs w:val="24"/>
                <w:highlight w:val="none"/>
                <w:lang w:val="en-US" w:eastAsia="zh-CN"/>
              </w:rPr>
              <w:t xml:space="preserve">微</w:t>
            </w:r>
            <w:r>
              <w:rPr>
                <w:rFonts w:hint="eastAsia" w:ascii="宋体" w:hAnsi="宋体" w:eastAsia="宋体" w:cs="宋体"/>
                <w:b w:val="0"/>
                <w:bCs w:val="0"/>
                <w:color w:val="auto"/>
                <w:sz w:val="24"/>
                <w:szCs w:val="24"/>
                <w:highlight w:val="none"/>
              </w:rPr>
              <w:t xml:space="preserve">企业，应当符合以下条件：</w:t>
            </w:r>
            <w:r/>
          </w:p>
          <w:p>
            <w:pPr>
              <w:ind w:firstLine="480"/>
              <w:spacing w:line="312"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中小企业</w:t>
            </w:r>
            <w:r>
              <w:rPr>
                <w:rFonts w:hint="eastAsia" w:ascii="宋体" w:hAnsi="宋体" w:eastAsia="宋体" w:cs="宋体"/>
                <w:b w:val="0"/>
                <w:bCs w:val="0"/>
                <w:color w:val="auto"/>
                <w:sz w:val="24"/>
                <w:szCs w:val="24"/>
                <w:highlight w:val="none"/>
                <w:lang w:val="en-US" w:eastAsia="zh-CN"/>
              </w:rPr>
              <w:t xml:space="preserve">需满足的条件</w:t>
            </w:r>
            <w:r>
              <w:rPr>
                <w:rFonts w:hint="eastAsia" w:ascii="宋体" w:hAnsi="宋体" w:eastAsia="宋体" w:cs="宋体"/>
                <w:b w:val="0"/>
                <w:bCs w:val="0"/>
                <w:color w:val="auto"/>
                <w:sz w:val="24"/>
                <w:szCs w:val="24"/>
                <w:highlight w:val="none"/>
              </w:rPr>
              <w:t xml:space="preserve">具体以《政府采购促进中小企业发展管理办法》（财库[2020]46号）</w:t>
            </w:r>
            <w:r>
              <w:rPr>
                <w:rFonts w:hint="eastAsia" w:ascii="宋体" w:hAnsi="宋体" w:eastAsia="宋体" w:cs="宋体"/>
                <w:color w:val="auto"/>
                <w:sz w:val="24"/>
                <w:szCs w:val="24"/>
                <w:highlight w:val="none"/>
              </w:rPr>
              <w:t xml:space="preserve">、（苏财购( 2022 ) 45 号）和</w:t>
            </w:r>
            <w:r>
              <w:rPr>
                <w:rFonts w:hint="eastAsia" w:ascii="宋体" w:hAnsi="宋体" w:eastAsia="宋体" w:cs="宋体"/>
                <w:b w:val="0"/>
                <w:bCs w:val="0"/>
                <w:color w:val="auto"/>
                <w:sz w:val="24"/>
                <w:szCs w:val="24"/>
                <w:highlight w:val="none"/>
              </w:rPr>
              <w:t xml:space="preserve">《工业和信息化部、国家统计局、国家发展和改革委员会、财政部关于印发中小企业划型标准规定的通知》（工信部联企业[2011]300号）的规定为准。</w:t>
            </w:r>
            <w:r/>
          </w:p>
          <w:p>
            <w:pPr>
              <w:ind w:firstLine="480"/>
              <w:spacing w:line="312"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投标人为监狱企业的，</w:t>
            </w:r>
            <w:r>
              <w:rPr>
                <w:rFonts w:hint="eastAsia" w:ascii="宋体" w:hAnsi="宋体" w:eastAsia="宋体" w:cs="宋体"/>
                <w:b w:val="0"/>
                <w:bCs w:val="0"/>
                <w:color w:val="auto"/>
                <w:sz w:val="24"/>
                <w:szCs w:val="24"/>
                <w:highlight w:val="none"/>
                <w:lang w:val="en-US" w:eastAsia="zh-CN"/>
              </w:rPr>
              <w:t xml:space="preserve">视同小微企业，</w:t>
            </w:r>
            <w:r>
              <w:rPr>
                <w:rFonts w:hint="eastAsia" w:ascii="宋体" w:hAnsi="宋体" w:eastAsia="宋体" w:cs="宋体"/>
                <w:b w:val="0"/>
                <w:bCs w:val="0"/>
                <w:color w:val="auto"/>
                <w:sz w:val="24"/>
                <w:szCs w:val="24"/>
                <w:highlight w:val="none"/>
              </w:rPr>
              <w:t xml:space="preserve">提供省级以上监狱管理局、戒毒管理局（含新疆生产建设兵团）出具的属于监狱企业的证明文件</w:t>
            </w:r>
            <w:r>
              <w:rPr>
                <w:rFonts w:hint="eastAsia" w:ascii="宋体" w:hAnsi="宋体" w:eastAsia="宋体" w:cs="宋体"/>
                <w:b w:val="0"/>
                <w:bCs w:val="0"/>
                <w:color w:val="auto"/>
                <w:sz w:val="24"/>
                <w:szCs w:val="24"/>
                <w:highlight w:val="none"/>
                <w:lang w:eastAsia="zh-CN"/>
              </w:rPr>
              <w:t xml:space="preserve">扫描件</w:t>
            </w:r>
            <w:r>
              <w:rPr>
                <w:rFonts w:hint="eastAsia" w:ascii="宋体" w:hAnsi="宋体" w:eastAsia="宋体" w:cs="宋体"/>
                <w:b w:val="0"/>
                <w:bCs w:val="0"/>
                <w:color w:val="auto"/>
                <w:sz w:val="24"/>
                <w:szCs w:val="24"/>
                <w:highlight w:val="none"/>
              </w:rPr>
              <w:t xml:space="preserve">。具体以《财政部司法部关于政府采购支持监狱企业发展有关问题的通知》（财库〔2014〕68号）的规定为准。</w:t>
            </w:r>
            <w:r/>
          </w:p>
          <w:p>
            <w:pPr>
              <w:ind w:firstLine="480"/>
              <w:spacing w:line="312"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投标人为残疾人福利性单位的，</w:t>
            </w:r>
            <w:r>
              <w:rPr>
                <w:rFonts w:hint="eastAsia" w:ascii="宋体" w:hAnsi="宋体" w:eastAsia="宋体" w:cs="宋体"/>
                <w:b w:val="0"/>
                <w:bCs w:val="0"/>
                <w:color w:val="auto"/>
                <w:sz w:val="24"/>
                <w:szCs w:val="24"/>
                <w:highlight w:val="none"/>
                <w:lang w:val="en-US" w:eastAsia="zh-CN"/>
              </w:rPr>
              <w:t xml:space="preserve">视同小微企业，</w:t>
            </w:r>
            <w:r>
              <w:rPr>
                <w:rFonts w:hint="eastAsia" w:ascii="宋体" w:hAnsi="宋体" w:eastAsia="宋体" w:cs="宋体"/>
                <w:b w:val="0"/>
                <w:bCs w:val="0"/>
                <w:color w:val="auto"/>
                <w:sz w:val="24"/>
                <w:szCs w:val="24"/>
                <w:highlight w:val="none"/>
              </w:rPr>
              <w:t xml:space="preserve">提供《残疾人福利性单位声明函》（加盖电子签章，格式见招标文件第七章《投标文件相关格式》）</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具体以《三部门联合发布关于促进残疾人就业政府采购政策的通知》（财库〔2017〕141号）规定为准。</w:t>
            </w:r>
            <w:r/>
          </w:p>
          <w:p>
            <w:pPr>
              <w:ind w:firstLine="482"/>
              <w:spacing w:line="312"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三、符合条件（必须提供，否则投标无效）</w:t>
            </w:r>
            <w:r/>
          </w:p>
          <w:p>
            <w:pPr>
              <w:ind w:firstLine="480"/>
              <w:spacing w:line="312"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（一）报价</w:t>
            </w:r>
            <w:r/>
          </w:p>
          <w:p>
            <w:pPr>
              <w:ind w:firstLine="480"/>
              <w:spacing w:line="312"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1.《开标一览表》（加盖电子签章，格式见招标文件第七章《投标文件相关格式》）</w:t>
            </w:r>
            <w:r/>
          </w:p>
          <w:p>
            <w:pPr>
              <w:ind w:firstLine="480"/>
              <w:spacing w:line="312"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2.《分项价格表》（加盖电子签章，格式见招标文件第七章《投标文件相关格式》）</w:t>
            </w:r>
            <w:r/>
          </w:p>
          <w:p>
            <w:pPr>
              <w:ind w:firstLine="480"/>
              <w:spacing w:line="312"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（二）商务资信</w:t>
            </w:r>
            <w:r/>
          </w:p>
          <w:p>
            <w:pPr>
              <w:ind w:firstLine="480"/>
              <w:spacing w:line="312"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1.《投标函》（加盖电子签章，格式见招标文件第七章《投标文件相关格式》。）</w:t>
            </w:r>
            <w:r/>
          </w:p>
          <w:p>
            <w:pPr>
              <w:ind w:firstLine="480"/>
              <w:spacing w:line="312" w:lineRule="auto"/>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rPr>
              <w:t xml:space="preserve">2.《法定代表人身份证明》或《法定代表人授权委托书》（加盖电子签章，格式见招标文件第七章《投标文件相关格式》，必须提供,否则在符合性审查时按照投标无效处理。）（特别提醒：如公司法定代表人直接参与本项目投标的，提供《法定代表人身份证明》（并附身份证扫描件），可不单独提供《授权委托书》）</w:t>
            </w:r>
            <w:r/>
          </w:p>
          <w:p>
            <w:pPr>
              <w:ind w:firstLine="480"/>
              <w:spacing w:line="312"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（三）技术响应</w:t>
            </w:r>
            <w:r/>
          </w:p>
          <w:p>
            <w:pPr>
              <w:ind w:firstLine="480"/>
              <w:spacing w:line="312"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《偏离表》（加盖电子签章，格式见招标文件第七章《投标文件相关格式》。）</w:t>
            </w:r>
            <w:r/>
          </w:p>
          <w:p>
            <w:pPr>
              <w:ind w:firstLine="482"/>
              <w:spacing w:line="312"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四、</w:t>
            </w:r>
            <w:r>
              <w:rPr>
                <w:rFonts w:hint="eastAsia" w:ascii="宋体" w:hAnsi="宋体" w:cs="宋体"/>
                <w:b/>
                <w:bCs/>
                <w:color w:val="auto"/>
                <w:sz w:val="24"/>
                <w:szCs w:val="24"/>
                <w:highlight w:val="none"/>
              </w:rPr>
              <w:t xml:space="preserve">综合评审评分项</w:t>
            </w:r>
            <w:r/>
          </w:p>
          <w:p>
            <w:pPr>
              <w:ind w:firstLine="480"/>
              <w:spacing w:line="312"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（一）技术部分</w:t>
            </w:r>
            <w:r/>
          </w:p>
          <w:p>
            <w:pPr>
              <w:ind w:firstLine="480"/>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要求见招标文件第四章《评标标准》和第五章《采购需求》。</w:t>
            </w:r>
            <w:r/>
          </w:p>
          <w:p>
            <w:pPr>
              <w:ind w:firstLine="480"/>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（二）商务部分</w:t>
            </w:r>
            <w:r/>
          </w:p>
          <w:p>
            <w:pPr>
              <w:ind w:firstLine="480"/>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要求见招标文件第四章《评标标准》。</w:t>
            </w:r>
            <w:r/>
          </w:p>
          <w:p>
            <w:pPr>
              <w:ind w:firstLine="480"/>
              <w:spacing w:line="312"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（三）投标人其它证明文件及材料扫描件。</w:t>
            </w:r>
            <w:r/>
          </w:p>
          <w:p>
            <w:pPr>
              <w:ind w:firstLine="480"/>
              <w:spacing w:line="312"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rPr>
              <w:t xml:space="preserve">五、报价折扣证明：</w:t>
            </w:r>
            <w:r>
              <w:rPr>
                <w:rFonts w:hint="eastAsia" w:ascii="宋体" w:hAnsi="宋体" w:cs="宋体"/>
                <w:b/>
                <w:bCs/>
                <w:color w:val="auto"/>
                <w:sz w:val="24"/>
                <w:szCs w:val="24"/>
                <w:highlight w:val="none"/>
                <w:lang w:val="en-US" w:eastAsia="zh-CN"/>
              </w:rPr>
              <w:t xml:space="preserve">无</w:t>
            </w:r>
            <w:r/>
          </w:p>
          <w:p>
            <w:pPr>
              <w:ind w:firstLine="480"/>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1、投标人应对以上文件的合法性、真实性负责。</w:t>
            </w:r>
            <w:r/>
          </w:p>
          <w:p>
            <w:pPr>
              <w:ind w:firstLine="480"/>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ind w:firstLine="480"/>
              <w:spacing w:line="312"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3、线下纸质投标文件：中标人领取中标通知书时须向代理机构提交纸质胶装投标文件一正四副和投标文件电子版2份（载体为U盘）。后期招标人如有需要中标人仍需免费提供。</w:t>
            </w:r>
            <w:r/>
          </w:p>
        </w:tc>
      </w:tr>
      <w:tr>
        <w:trPr>
          <w:jc w:val="center"/>
          <w:trHeight w:val="397"/>
        </w:trPr>
        <w:tc>
          <w:tcPr>
            <w:tcW w:w="1261" w:type="dxa"/>
            <w:vAlign w:val="center"/>
            <w:textDirection w:val="lrTb"/>
            <w:noWrap w:val="false"/>
          </w:tcPr>
          <w:p>
            <w:pPr>
              <w:jc w:val="center"/>
              <w:spacing w:line="312"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(十三)2</w:t>
            </w:r>
            <w:r/>
          </w:p>
        </w:tc>
        <w:tc>
          <w:tcPr>
            <w:tcW w:w="8730" w:type="dxa"/>
            <w:vAlign w:val="center"/>
            <w:textDirection w:val="lrTb"/>
            <w:noWrap w:val="false"/>
          </w:tcPr>
          <w:p>
            <w:pPr>
              <w:ind w:firstLine="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商务条件见：1.招标文件第四章《评标标准》中《评分细则》</w:t>
            </w:r>
            <w:r/>
          </w:p>
          <w:p>
            <w:pPr>
              <w:ind w:firstLine="482"/>
              <w:spacing w:line="312" w:lineRule="auto"/>
              <w:rPr>
                <w:rFonts w:hint="eastAsia" w:ascii="宋体" w:hAnsi="宋体" w:cs="宋体"/>
                <w:bCs/>
                <w:color w:val="auto"/>
                <w:sz w:val="24"/>
                <w:highlight w:val="none"/>
              </w:rPr>
            </w:pPr>
            <w:r>
              <w:rPr>
                <w:rFonts w:hint="eastAsia" w:ascii="宋体" w:hAnsi="宋体" w:cs="宋体"/>
                <w:color w:val="auto"/>
                <w:sz w:val="24"/>
                <w:highlight w:val="none"/>
              </w:rPr>
              <w:t xml:space="preserve">2.招标文件第三章《投标资料表》中(十二)1和(十二)2</w:t>
            </w:r>
            <w:r/>
          </w:p>
        </w:tc>
      </w:tr>
      <w:tr>
        <w:trPr>
          <w:jc w:val="center"/>
          <w:trHeight w:val="397"/>
        </w:trPr>
        <w:tc>
          <w:tcPr>
            <w:tcW w:w="1261" w:type="dxa"/>
            <w:vAlign w:val="center"/>
            <w:textDirection w:val="lrTb"/>
            <w:noWrap w:val="false"/>
          </w:tcPr>
          <w:p>
            <w:pPr>
              <w:jc w:val="center"/>
              <w:spacing w:line="312"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(十三)3</w:t>
            </w:r>
            <w:r/>
          </w:p>
        </w:tc>
        <w:tc>
          <w:tcPr>
            <w:tcW w:w="8730" w:type="dxa"/>
            <w:vAlign w:val="center"/>
            <w:textDirection w:val="lrTb"/>
            <w:noWrap w:val="false"/>
          </w:tcPr>
          <w:p>
            <w:pPr>
              <w:ind w:firstLine="482"/>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提供服务或交付成果的时间见：招标文件第五章 《采购需求》及或招标文件第六章《拟签订的合同文本》。</w:t>
            </w:r>
            <w:r/>
          </w:p>
        </w:tc>
      </w:tr>
      <w:tr>
        <w:trPr>
          <w:jc w:val="center"/>
          <w:trHeight w:val="397"/>
        </w:trPr>
        <w:tc>
          <w:tcPr>
            <w:tcW w:w="1261" w:type="dxa"/>
            <w:vAlign w:val="center"/>
            <w:textDirection w:val="lrTb"/>
            <w:noWrap w:val="false"/>
          </w:tcPr>
          <w:p>
            <w:pPr>
              <w:jc w:val="center"/>
              <w:spacing w:line="312"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(十四)2</w:t>
            </w:r>
            <w:r/>
          </w:p>
        </w:tc>
        <w:tc>
          <w:tcPr>
            <w:tcW w:w="8730" w:type="dxa"/>
            <w:vAlign w:val="center"/>
            <w:textDirection w:val="lrTb"/>
            <w:noWrap w:val="false"/>
          </w:tcPr>
          <w:p>
            <w:pPr>
              <w:ind w:firstLine="480"/>
              <w:spacing w:line="312" w:lineRule="auto"/>
              <w:rPr>
                <w:rFonts w:hint="eastAsia" w:cs="宋体" w:asciiTheme="minorEastAsia" w:hAnsiTheme="minorEastAsia"/>
                <w:color w:val="auto"/>
                <w:sz w:val="24"/>
                <w:szCs w:val="24"/>
                <w:highlight w:val="none"/>
                <w:lang w:eastAsia="zh-CN"/>
              </w:rPr>
            </w:pPr>
            <w:r>
              <w:rPr>
                <w:rFonts w:hint="eastAsia" w:ascii="宋体" w:hAnsi="宋体" w:cs="宋体"/>
                <w:color w:val="auto"/>
                <w:sz w:val="24"/>
                <w:highlight w:val="none"/>
              </w:rPr>
              <w:t xml:space="preserve">本项目预算金额为</w:t>
            </w:r>
            <w:r>
              <w:rPr>
                <w:rFonts w:hint="eastAsia" w:ascii="宋体" w:hAnsi="宋体" w:cs="宋体"/>
                <w:color w:val="auto"/>
                <w:sz w:val="24"/>
                <w:szCs w:val="24"/>
                <w:highlight w:val="none"/>
                <w:lang w:eastAsia="zh-CN"/>
              </w:rPr>
              <w:t xml:space="preserve">202.5</w:t>
            </w:r>
            <w:r>
              <w:rPr>
                <w:rFonts w:hint="eastAsia" w:ascii="宋体" w:hAnsi="宋体" w:cs="宋体"/>
                <w:color w:val="auto"/>
                <w:sz w:val="24"/>
                <w:szCs w:val="24"/>
                <w:highlight w:val="none"/>
              </w:rPr>
              <w:t xml:space="preserve">万元</w:t>
            </w:r>
            <w:r>
              <w:rPr>
                <w:rFonts w:hint="eastAsia" w:ascii="宋体" w:hAnsi="宋体" w:cs="宋体"/>
                <w:color w:val="auto"/>
                <w:sz w:val="24"/>
                <w:highlight w:val="none"/>
              </w:rPr>
              <w:t xml:space="preserve">人民币</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最终</w:t>
            </w:r>
            <w:r>
              <w:rPr>
                <w:rFonts w:hint="eastAsia" w:cs="宋体" w:asciiTheme="minorEastAsia" w:hAnsiTheme="minorEastAsia"/>
                <w:b/>
                <w:bCs/>
                <w:color w:val="auto"/>
                <w:sz w:val="24"/>
                <w:szCs w:val="24"/>
                <w:highlight w:val="none"/>
              </w:rPr>
              <w:t xml:space="preserve">结算总价</w:t>
            </w:r>
            <w:r>
              <w:rPr>
                <w:rFonts w:hint="eastAsia" w:cs="宋体" w:asciiTheme="minorEastAsia" w:hAnsiTheme="minorEastAsia"/>
                <w:b/>
                <w:bCs/>
                <w:color w:val="auto"/>
                <w:sz w:val="24"/>
                <w:szCs w:val="24"/>
                <w:highlight w:val="none"/>
                <w:lang w:val="en-US" w:eastAsia="zh-CN"/>
              </w:rPr>
              <w:t xml:space="preserve">不</w:t>
            </w:r>
            <w:r>
              <w:rPr>
                <w:rFonts w:hint="eastAsia" w:cs="宋体" w:asciiTheme="minorEastAsia" w:hAnsiTheme="minorEastAsia"/>
                <w:b/>
                <w:bCs/>
                <w:color w:val="auto"/>
                <w:sz w:val="24"/>
                <w:szCs w:val="24"/>
                <w:highlight w:val="none"/>
              </w:rPr>
              <w:t xml:space="preserve">超过</w:t>
            </w:r>
            <w:r>
              <w:rPr>
                <w:rFonts w:hint="eastAsia" w:cs="宋体" w:asciiTheme="minorEastAsia" w:hAnsiTheme="minorEastAsia"/>
                <w:b/>
                <w:bCs/>
                <w:color w:val="auto"/>
                <w:sz w:val="24"/>
                <w:szCs w:val="24"/>
                <w:highlight w:val="none"/>
                <w:lang w:val="en-US" w:eastAsia="zh-CN"/>
              </w:rPr>
              <w:t xml:space="preserve">202.5</w:t>
            </w:r>
            <w:r>
              <w:rPr>
                <w:rFonts w:hint="eastAsia" w:cs="宋体" w:asciiTheme="minorEastAsia" w:hAnsiTheme="minorEastAsia"/>
                <w:b/>
                <w:bCs/>
                <w:color w:val="auto"/>
                <w:sz w:val="24"/>
                <w:szCs w:val="24"/>
                <w:highlight w:val="none"/>
              </w:rPr>
              <w:t xml:space="preserve">万元</w:t>
            </w:r>
            <w:r>
              <w:rPr>
                <w:rFonts w:hint="eastAsia" w:cs="宋体" w:asciiTheme="minorEastAsia" w:hAnsiTheme="minorEastAsia"/>
                <w:color w:val="auto"/>
                <w:sz w:val="24"/>
                <w:szCs w:val="24"/>
                <w:highlight w:val="none"/>
              </w:rPr>
              <w:t xml:space="preserve">（采购项目预算金额）</w:t>
            </w:r>
            <w:r>
              <w:rPr>
                <w:rFonts w:hint="eastAsia" w:cs="宋体" w:asciiTheme="minorEastAsia" w:hAnsiTheme="minorEastAsia"/>
                <w:color w:val="auto"/>
                <w:sz w:val="24"/>
                <w:szCs w:val="24"/>
                <w:highlight w:val="none"/>
                <w:lang w:eastAsia="zh-CN"/>
              </w:rPr>
              <w:t xml:space="preserve">。</w:t>
            </w:r>
            <w:r/>
          </w:p>
          <w:p>
            <w:pPr>
              <w:ind w:firstLine="480"/>
              <w:spacing w:line="312" w:lineRule="auto"/>
              <w:rPr>
                <w:rFonts w:hint="default" w:cs="宋体"/>
                <w:color w:val="auto"/>
                <w:sz w:val="24"/>
                <w:highlight w:val="none"/>
                <w:lang w:val="en-US" w:eastAsia="zh-CN"/>
              </w:rPr>
            </w:pPr>
            <w:r>
              <w:rPr>
                <w:rFonts w:hint="eastAsia" w:cs="宋体"/>
                <w:color w:val="auto"/>
                <w:sz w:val="24"/>
                <w:highlight w:val="none"/>
                <w:lang w:val="en-US" w:eastAsia="zh-CN"/>
              </w:rPr>
              <w:t xml:space="preserve">特别说明：</w:t>
            </w:r>
            <w:r/>
          </w:p>
          <w:p>
            <w:pPr>
              <w:ind w:firstLine="482"/>
              <w:spacing w:line="312" w:lineRule="auto"/>
              <w:rPr>
                <w:rFonts w:hint="eastAsia" w:cs="宋体"/>
                <w:color w:val="auto"/>
                <w:sz w:val="24"/>
                <w:highlight w:val="none"/>
                <w:lang w:val="en-US" w:eastAsia="zh-CN"/>
              </w:rPr>
            </w:pPr>
            <w:r>
              <w:rPr>
                <w:rFonts w:hint="eastAsia" w:cs="宋体"/>
                <w:color w:val="auto"/>
                <w:sz w:val="24"/>
                <w:highlight w:val="none"/>
                <w:lang w:val="en-US" w:eastAsia="zh-CN"/>
              </w:rPr>
              <w:t xml:space="preserve">最高限价单价合计293545.00元；</w:t>
            </w:r>
            <w:r/>
          </w:p>
          <w:p>
            <w:pPr>
              <w:ind w:firstLine="482"/>
              <w:spacing w:line="312" w:lineRule="auto"/>
              <w:rPr>
                <w:rFonts w:hint="default" w:cs="宋体"/>
                <w:color w:val="auto"/>
                <w:sz w:val="24"/>
                <w:highlight w:val="none"/>
                <w:lang w:val="en-US" w:eastAsia="zh-CN"/>
              </w:rPr>
            </w:pPr>
            <w:r>
              <w:rPr>
                <w:rFonts w:hint="eastAsia" w:cs="宋体"/>
                <w:color w:val="auto"/>
                <w:sz w:val="24"/>
                <w:highlight w:val="none"/>
                <w:lang w:val="en-US" w:eastAsia="zh-CN"/>
              </w:rPr>
              <w:t xml:space="preserve">权重最高限制单价合计10647.6206元。</w:t>
            </w:r>
            <w:r/>
          </w:p>
          <w:p>
            <w:pPr>
              <w:ind w:firstLine="482"/>
              <w:spacing w:line="312" w:lineRule="auto"/>
              <w:rPr>
                <w:rFonts w:hint="eastAsia" w:ascii="宋体" w:hAnsi="宋体" w:cs="宋体"/>
                <w:color w:val="auto"/>
                <w:sz w:val="24"/>
                <w:highlight w:val="none"/>
              </w:rPr>
            </w:pPr>
            <w:r>
              <w:rPr>
                <w:rFonts w:hint="eastAsia" w:ascii="宋体" w:hAnsi="宋体" w:eastAsia="宋体" w:cs="宋体"/>
                <w:b w:val="0"/>
                <w:bCs w:val="0"/>
                <w:color w:val="auto"/>
                <w:sz w:val="24"/>
                <w:highlight w:val="none"/>
              </w:rPr>
              <w:t xml:space="preserve">本项目采用单价报价，不接受超过</w:t>
            </w:r>
            <w:r>
              <w:rPr>
                <w:rFonts w:hint="eastAsia" w:ascii="宋体" w:hAnsi="宋体" w:eastAsia="宋体" w:cs="宋体"/>
                <w:b w:val="0"/>
                <w:bCs w:val="0"/>
                <w:i w:val="0"/>
                <w:iCs w:val="0"/>
                <w:color w:val="auto"/>
                <w:sz w:val="24"/>
                <w:szCs w:val="21"/>
                <w:highlight w:val="none"/>
                <w:u w:val="none"/>
                <w:lang w:val="en-US" w:eastAsia="zh-CN" w:bidi="ar"/>
              </w:rPr>
              <w:t xml:space="preserve">最高限价单价</w:t>
            </w:r>
            <w:r>
              <w:rPr>
                <w:rFonts w:hint="eastAsia" w:ascii="宋体" w:hAnsi="宋体" w:cs="宋体"/>
                <w:b w:val="0"/>
                <w:bCs w:val="0"/>
                <w:color w:val="auto"/>
                <w:sz w:val="24"/>
                <w:highlight w:val="none"/>
                <w:lang w:val="en-US" w:eastAsia="zh-CN"/>
              </w:rPr>
              <w:t xml:space="preserve">及单价合计（含</w:t>
            </w:r>
            <w:r>
              <w:rPr>
                <w:rFonts w:hint="eastAsia" w:cs="宋体"/>
                <w:color w:val="auto"/>
                <w:sz w:val="24"/>
                <w:highlight w:val="none"/>
                <w:lang w:val="en-US" w:eastAsia="zh-CN"/>
              </w:rPr>
              <w:t xml:space="preserve">权重最高限制单价及单价合计）</w:t>
            </w:r>
            <w:r>
              <w:rPr>
                <w:rFonts w:hint="eastAsia" w:ascii="宋体" w:hAnsi="宋体" w:cs="宋体"/>
                <w:b w:val="0"/>
                <w:bCs w:val="0"/>
                <w:color w:val="auto"/>
                <w:sz w:val="24"/>
                <w:highlight w:val="none"/>
                <w:lang w:val="en-US" w:eastAsia="zh-CN"/>
              </w:rPr>
              <w:t xml:space="preserve">的</w:t>
            </w:r>
            <w:r>
              <w:rPr>
                <w:rFonts w:hint="eastAsia" w:ascii="宋体" w:hAnsi="宋体" w:eastAsia="宋体" w:cs="宋体"/>
                <w:b w:val="0"/>
                <w:bCs w:val="0"/>
                <w:color w:val="auto"/>
                <w:sz w:val="24"/>
                <w:highlight w:val="none"/>
              </w:rPr>
              <w:t xml:space="preserve">报价</w:t>
            </w:r>
            <w:r>
              <w:rPr>
                <w:rFonts w:hint="eastAsia" w:ascii="宋体" w:hAnsi="宋体" w:cs="宋体"/>
                <w:color w:val="auto"/>
                <w:sz w:val="24"/>
                <w:highlight w:val="none"/>
              </w:rPr>
              <w:t xml:space="preserve">，报价包含项目完成所需全部费用及其它相关费用，采购人不再支付报价以外的任何费用。</w:t>
            </w:r>
            <w:r/>
          </w:p>
          <w:p>
            <w:pPr>
              <w:ind w:firstLine="482"/>
              <w:spacing w:line="312"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397"/>
        </w:trPr>
        <w:tc>
          <w:tcPr>
            <w:tcW w:w="1261" w:type="dxa"/>
            <w:vAlign w:val="center"/>
            <w:textDirection w:val="lrTb"/>
            <w:noWrap w:val="false"/>
          </w:tcPr>
          <w:p>
            <w:pPr>
              <w:jc w:val="center"/>
              <w:spacing w:line="312"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(十五)</w:t>
            </w:r>
            <w:r/>
          </w:p>
        </w:tc>
        <w:tc>
          <w:tcPr>
            <w:tcW w:w="8730" w:type="dxa"/>
            <w:vAlign w:val="center"/>
            <w:textDirection w:val="lrTb"/>
            <w:noWrap w:val="false"/>
          </w:tcPr>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以人民币报价。</w:t>
            </w:r>
            <w:r/>
          </w:p>
        </w:tc>
      </w:tr>
      <w:tr>
        <w:trPr>
          <w:jc w:val="center"/>
          <w:trHeight w:val="397"/>
        </w:trPr>
        <w:tc>
          <w:tcPr>
            <w:tcW w:w="1261" w:type="dxa"/>
            <w:vAlign w:val="center"/>
            <w:textDirection w:val="lrTb"/>
            <w:noWrap w:val="false"/>
          </w:tcPr>
          <w:p>
            <w:pPr>
              <w:jc w:val="center"/>
              <w:spacing w:line="312"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（十七）2（1）</w:t>
            </w:r>
            <w:r/>
          </w:p>
        </w:tc>
        <w:tc>
          <w:tcPr>
            <w:tcW w:w="8730" w:type="dxa"/>
            <w:vAlign w:val="center"/>
            <w:textDirection w:val="lrTb"/>
            <w:noWrap w:val="false"/>
          </w:tcPr>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线上要求：投标人应当通过“苏采云”系统提交数据电文形式的投标文件（即电子投标）。</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特别说明：投标人通过“苏采云”系统提交政府采购客户端工具导出加密的投标文件（后缀名为zip）。投标文件不得超过150M！（以系统为准）</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说明：本项目采用线上投标，即投标人投标文件从政府采购客户端工具制作通过“苏采云”系统提交，未提供线上投标文件的，投标无效。</w:t>
            </w:r>
            <w:r/>
          </w:p>
        </w:tc>
      </w:tr>
      <w:tr>
        <w:trPr>
          <w:jc w:val="center"/>
          <w:trHeight w:val="397"/>
        </w:trPr>
        <w:tc>
          <w:tcPr>
            <w:tcW w:w="1261" w:type="dxa"/>
            <w:vAlign w:val="center"/>
            <w:textDirection w:val="lrTb"/>
            <w:noWrap w:val="false"/>
          </w:tcPr>
          <w:p>
            <w:pPr>
              <w:jc w:val="center"/>
              <w:spacing w:line="312"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(十八)4</w:t>
            </w:r>
            <w:r/>
          </w:p>
        </w:tc>
        <w:tc>
          <w:tcPr>
            <w:tcW w:w="8730" w:type="dxa"/>
            <w:vAlign w:val="center"/>
            <w:textDirection w:val="lrTb"/>
            <w:noWrap w:val="false"/>
          </w:tcPr>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见招标文件第三章《投标资料表》中(十二)1和(十二)2</w:t>
            </w:r>
            <w:r/>
          </w:p>
        </w:tc>
      </w:tr>
      <w:tr>
        <w:trPr>
          <w:jc w:val="center"/>
          <w:trHeight w:val="397"/>
        </w:trPr>
        <w:tc>
          <w:tcPr>
            <w:tcW w:w="1261" w:type="dxa"/>
            <w:textDirection w:val="lrTb"/>
            <w:noWrap w:val="false"/>
          </w:tcPr>
          <w:p>
            <w:pPr>
              <w:jc w:val="center"/>
              <w:spacing w:line="312"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(十八)</w:t>
            </w:r>
            <w:r/>
          </w:p>
        </w:tc>
        <w:tc>
          <w:tcPr>
            <w:tcW w:w="8730" w:type="dxa"/>
            <w:textDirection w:val="lrTb"/>
            <w:noWrap w:val="false"/>
          </w:tcPr>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线上投标文件的密封、签署、盖章要求：</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一、投标文件的密封（加密）要求：</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二、投标文件的签署要求：见招标文件第七章《投标文件相关格式》。</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1、未进行线上投标并解密(因“苏采云”系统导致解密失败的除外)的，所导致的一切后果均由投标人承担。</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2、投标文件的签署要求：见招标文件第七章《投标文件相关格式》。</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3、投标文件的盖章要求：见招标文件第三章《投标资料表》和招标文件第七章《投标文件相关格式》。</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说明：投标人应凭CA数字证书以及自备的能够登录“苏采云”系统的电脑，在达到开标时间后，使用CA数字证书解密各自投标文件。</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投标人未按规定加密的投标文件，“苏采云”系统应当拒收并提示。</w:t>
            </w:r>
            <w:r/>
          </w:p>
        </w:tc>
      </w:tr>
      <w:tr>
        <w:trPr>
          <w:jc w:val="center"/>
          <w:trHeight w:val="397"/>
        </w:trPr>
        <w:tc>
          <w:tcPr>
            <w:tcW w:w="1261" w:type="dxa"/>
            <w:vAlign w:val="center"/>
            <w:textDirection w:val="lrTb"/>
            <w:noWrap w:val="false"/>
          </w:tcPr>
          <w:p>
            <w:pPr>
              <w:jc w:val="center"/>
              <w:spacing w:line="312"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(十九)</w:t>
            </w:r>
            <w:r/>
          </w:p>
        </w:tc>
        <w:tc>
          <w:tcPr>
            <w:tcW w:w="8730" w:type="dxa"/>
            <w:vAlign w:val="center"/>
            <w:textDirection w:val="lrTb"/>
            <w:noWrap w:val="false"/>
          </w:tcPr>
          <w:p>
            <w:pPr>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一、投标文件提交时间：</w:t>
            </w:r>
            <w:r>
              <w:rPr>
                <w:rFonts w:hint="eastAsia" w:ascii="宋体" w:hAnsi="宋体" w:cs="宋体"/>
                <w:b/>
                <w:bCs/>
                <w:color w:val="auto"/>
                <w:sz w:val="24"/>
                <w:highlight w:val="none"/>
              </w:rPr>
              <w:t xml:space="preserve">2026年</w:t>
            </w:r>
            <w:r>
              <w:rPr>
                <w:rFonts w:hint="eastAsia" w:ascii="宋体" w:hAnsi="宋体" w:cs="宋体"/>
                <w:b/>
                <w:bCs/>
                <w:color w:val="auto"/>
                <w:sz w:val="24"/>
                <w:highlight w:val="none"/>
                <w:lang w:val="en-US" w:eastAsia="zh-CN"/>
              </w:rPr>
              <w:t xml:space="preserve">08</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lang w:val="en-US" w:eastAsia="zh-CN"/>
              </w:rPr>
              <w:t xml:space="preserve">21</w:t>
            </w:r>
            <w:r>
              <w:rPr>
                <w:rFonts w:hint="eastAsia" w:ascii="宋体" w:hAnsi="宋体" w:cs="宋体"/>
                <w:b/>
                <w:bCs/>
                <w:color w:val="auto"/>
                <w:sz w:val="24"/>
                <w:highlight w:val="none"/>
              </w:rPr>
              <w:t xml:space="preserve">日09:30前</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北京时间</w:t>
            </w:r>
            <w:r>
              <w:rPr>
                <w:rFonts w:hint="eastAsia" w:ascii="宋体" w:hAnsi="宋体" w:cs="宋体"/>
                <w:b/>
                <w:bCs/>
                <w:color w:val="auto"/>
                <w:sz w:val="24"/>
                <w:highlight w:val="none"/>
                <w:lang w:eastAsia="zh-CN"/>
              </w:rPr>
              <w:t xml:space="preserve">）</w:t>
            </w:r>
            <w:r>
              <w:rPr>
                <w:rFonts w:hint="eastAsia" w:ascii="宋体" w:hAnsi="宋体" w:cs="宋体"/>
                <w:color w:val="auto"/>
                <w:sz w:val="24"/>
                <w:highlight w:val="none"/>
              </w:rPr>
              <w:t xml:space="preserve">。</w:t>
            </w:r>
            <w:r/>
          </w:p>
          <w:p>
            <w:pPr>
              <w:spacing w:line="312" w:lineRule="auto"/>
              <w:rPr>
                <w:rFonts w:hint="eastAsia" w:ascii="宋体" w:hAnsi="宋体" w:eastAsia="宋体" w:cs="宋体"/>
                <w:b/>
                <w:bCs/>
                <w:color w:val="auto"/>
                <w:sz w:val="24"/>
                <w:highlight w:val="none"/>
                <w:lang w:eastAsia="zh-CN"/>
              </w:rPr>
            </w:pPr>
            <w:r>
              <w:rPr>
                <w:rFonts w:hint="eastAsia" w:ascii="宋体" w:hAnsi="宋体" w:cs="宋体"/>
                <w:color w:val="auto"/>
                <w:sz w:val="24"/>
                <w:highlight w:val="none"/>
              </w:rPr>
              <w:t xml:space="preserve">二、投标截止时间：</w:t>
            </w:r>
            <w:r>
              <w:rPr>
                <w:rFonts w:hint="eastAsia" w:ascii="宋体" w:hAnsi="宋体" w:cs="宋体"/>
                <w:b/>
                <w:bCs/>
                <w:color w:val="auto"/>
                <w:sz w:val="24"/>
                <w:highlight w:val="none"/>
              </w:rPr>
              <w:t xml:space="preserve">2026年</w:t>
            </w:r>
            <w:r>
              <w:rPr>
                <w:rFonts w:hint="eastAsia" w:ascii="宋体" w:hAnsi="宋体" w:cs="宋体"/>
                <w:b/>
                <w:bCs/>
                <w:color w:val="auto"/>
                <w:sz w:val="24"/>
                <w:highlight w:val="none"/>
                <w:lang w:val="en-US" w:eastAsia="zh-CN"/>
              </w:rPr>
              <w:t xml:space="preserve">08</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rPr>
              <w:t xml:space="preserve">21</w:t>
            </w:r>
            <w:r>
              <w:rPr>
                <w:rFonts w:hint="eastAsia" w:ascii="宋体" w:hAnsi="宋体" w:cs="宋体"/>
                <w:b/>
                <w:bCs/>
                <w:color w:val="auto"/>
                <w:sz w:val="24"/>
                <w:highlight w:val="none"/>
              </w:rPr>
              <w:t xml:space="preserve">日09:30</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北京时间</w:t>
            </w:r>
            <w:r>
              <w:rPr>
                <w:rFonts w:hint="eastAsia" w:ascii="宋体" w:hAnsi="宋体" w:cs="宋体"/>
                <w:b/>
                <w:bCs/>
                <w:color w:val="auto"/>
                <w:sz w:val="24"/>
                <w:highlight w:val="none"/>
                <w:lang w:eastAsia="zh-CN"/>
              </w:rPr>
              <w:t xml:space="preserve">）</w:t>
            </w:r>
            <w:r/>
          </w:p>
          <w:p>
            <w:pPr>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三、投标文件的提交与接收地点：投标人应当通过“苏采云”系统提交数据电文形式的投标文件（即电子投标），“苏采云”系统自动接收。</w:t>
            </w:r>
            <w:r/>
          </w:p>
        </w:tc>
      </w:tr>
      <w:tr>
        <w:trPr>
          <w:jc w:val="center"/>
          <w:trHeight w:val="397"/>
        </w:trPr>
        <w:tc>
          <w:tcPr>
            <w:tcW w:w="1261" w:type="dxa"/>
            <w:vAlign w:val="center"/>
            <w:textDirection w:val="lrTb"/>
            <w:noWrap w:val="false"/>
          </w:tcPr>
          <w:p>
            <w:pPr>
              <w:jc w:val="center"/>
              <w:spacing w:line="312" w:lineRule="auto"/>
              <w:rPr>
                <w:rFonts w:hint="eastAsia" w:ascii="宋体" w:hAnsi="宋体" w:cs="宋体"/>
                <w:color w:val="auto"/>
                <w:sz w:val="22"/>
                <w:szCs w:val="22"/>
                <w:highlight w:val="none"/>
              </w:rPr>
            </w:pPr>
            <w:r>
              <w:rPr>
                <w:rFonts w:hint="eastAsia" w:ascii="宋体" w:hAnsi="宋体" w:cs="宋体"/>
                <w:color w:val="auto"/>
                <w:sz w:val="24"/>
                <w:highlight w:val="none"/>
              </w:rPr>
              <w:t xml:space="preserve">（二十）</w:t>
            </w:r>
            <w:r/>
          </w:p>
        </w:tc>
        <w:tc>
          <w:tcPr>
            <w:tcW w:w="8730" w:type="dxa"/>
            <w:vAlign w:val="center"/>
            <w:textDirection w:val="lrTb"/>
            <w:noWrap w:val="false"/>
          </w:tcPr>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电子投标文件应由其法定代表人或法定代表人授权代表在规定的网上投标时间内，凭 CA 证书登陆“苏采云”在线编制投标文件（电子数据），并在投标截止时间之前上传投标文件。逾期提交的投标文件，“苏采云”系统将自动拒收。</w:t>
            </w:r>
            <w:r/>
          </w:p>
          <w:p>
            <w:pPr>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投标人应携带 CA 数字证书以及自备的能够登录“苏采云”系统的电脑在到达开标时间后，使用 CA 数字证书解密各自投标文件。</w:t>
            </w:r>
            <w:r/>
          </w:p>
        </w:tc>
      </w:tr>
      <w:tr>
        <w:trPr>
          <w:jc w:val="center"/>
          <w:trHeight w:val="397"/>
        </w:trPr>
        <w:tc>
          <w:tcPr>
            <w:tcW w:w="1261" w:type="dxa"/>
            <w:textDirection w:val="lrTb"/>
            <w:noWrap w:val="false"/>
          </w:tcPr>
          <w:p>
            <w:pPr>
              <w:jc w:val="center"/>
              <w:spacing w:line="312"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730" w:type="dxa"/>
            <w:vAlign w:val="center"/>
            <w:textDirection w:val="lrTb"/>
            <w:noWrap w:val="false"/>
          </w:tcPr>
          <w:p>
            <w:pPr>
              <w:jc w:val="center"/>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四、开标</w:t>
            </w:r>
            <w:r/>
          </w:p>
        </w:tc>
      </w:tr>
      <w:tr>
        <w:trPr>
          <w:jc w:val="center"/>
          <w:trHeight w:val="397"/>
        </w:trPr>
        <w:tc>
          <w:tcPr>
            <w:tcW w:w="1261" w:type="dxa"/>
            <w:vAlign w:val="center"/>
            <w:textDirection w:val="lrTb"/>
            <w:noWrap w:val="false"/>
          </w:tcPr>
          <w:p>
            <w:pPr>
              <w:jc w:val="center"/>
              <w:spacing w:line="312"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(二十五)1</w:t>
            </w:r>
            <w:r/>
          </w:p>
        </w:tc>
        <w:tc>
          <w:tcPr>
            <w:tcW w:w="8730" w:type="dxa"/>
            <w:vAlign w:val="center"/>
            <w:textDirection w:val="lrTb"/>
            <w:noWrap w:val="false"/>
          </w:tcPr>
          <w:p>
            <w:pPr>
              <w:jc w:val="left"/>
              <w:spacing w:line="312" w:lineRule="auto"/>
              <w:rPr>
                <w:rFonts w:hint="eastAsia" w:ascii="宋体" w:hAnsi="宋体" w:eastAsia="宋体" w:cs="宋体"/>
                <w:b/>
                <w:bCs/>
                <w:color w:val="auto"/>
                <w:sz w:val="24"/>
                <w:highlight w:val="none"/>
                <w:lang w:eastAsia="zh-CN"/>
              </w:rPr>
            </w:pPr>
            <w:r>
              <w:rPr>
                <w:rFonts w:hint="eastAsia" w:ascii="宋体" w:hAnsi="宋体" w:cs="宋体"/>
                <w:b/>
                <w:color w:val="auto"/>
                <w:sz w:val="24"/>
                <w:highlight w:val="none"/>
                <w:lang w:val="en-US" w:eastAsia="zh-CN"/>
              </w:rPr>
              <w:t xml:space="preserve">线上</w:t>
            </w:r>
            <w:r>
              <w:rPr>
                <w:rFonts w:hint="eastAsia" w:ascii="宋体" w:hAnsi="宋体" w:cs="宋体"/>
                <w:b/>
                <w:color w:val="auto"/>
                <w:sz w:val="24"/>
                <w:highlight w:val="none"/>
              </w:rPr>
              <w:t xml:space="preserve">开标时间：</w:t>
            </w:r>
            <w:r>
              <w:rPr>
                <w:rFonts w:hint="eastAsia" w:ascii="宋体" w:hAnsi="宋体" w:cs="宋体"/>
                <w:b/>
                <w:bCs/>
                <w:color w:val="auto"/>
                <w:sz w:val="24"/>
                <w:highlight w:val="none"/>
              </w:rPr>
              <w:t xml:space="preserve">2026年</w:t>
            </w:r>
            <w:r>
              <w:rPr>
                <w:rFonts w:hint="eastAsia" w:ascii="宋体" w:hAnsi="宋体" w:cs="宋体"/>
                <w:b/>
                <w:bCs/>
                <w:color w:val="auto"/>
                <w:sz w:val="24"/>
                <w:highlight w:val="none"/>
                <w:lang w:val="en-US" w:eastAsia="zh-CN"/>
              </w:rPr>
              <w:t xml:space="preserve">08</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rPr>
              <w:t xml:space="preserve">21</w:t>
            </w:r>
            <w:r>
              <w:rPr>
                <w:rFonts w:hint="eastAsia" w:ascii="宋体" w:hAnsi="宋体" w:cs="宋体"/>
                <w:b/>
                <w:bCs/>
                <w:color w:val="auto"/>
                <w:sz w:val="24"/>
                <w:highlight w:val="none"/>
              </w:rPr>
              <w:t xml:space="preserve">日09:30</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北京时间</w:t>
            </w:r>
            <w:r>
              <w:rPr>
                <w:rFonts w:hint="eastAsia" w:ascii="宋体" w:hAnsi="宋体" w:cs="宋体"/>
                <w:b/>
                <w:bCs/>
                <w:color w:val="auto"/>
                <w:sz w:val="24"/>
                <w:highlight w:val="none"/>
                <w:lang w:eastAsia="zh-CN"/>
              </w:rPr>
              <w:t xml:space="preserve">）</w:t>
            </w:r>
            <w:r/>
          </w:p>
          <w:p>
            <w:pPr>
              <w:jc w:val="left"/>
              <w:spacing w:line="312" w:lineRule="auto"/>
              <w:rPr>
                <w:rFonts w:hint="eastAsia" w:ascii="宋体" w:hAnsi="宋体" w:cs="宋体"/>
                <w:color w:val="auto"/>
                <w:sz w:val="24"/>
                <w:highlight w:val="none"/>
              </w:rPr>
            </w:pPr>
            <w:r>
              <w:rPr>
                <w:rFonts w:hint="eastAsia" w:ascii="宋体" w:hAnsi="宋体" w:cs="宋体"/>
                <w:b/>
                <w:color w:val="auto"/>
                <w:sz w:val="24"/>
                <w:highlight w:val="none"/>
                <w:lang w:val="en-US" w:eastAsia="zh-CN"/>
              </w:rPr>
              <w:t xml:space="preserve">线上</w:t>
            </w:r>
            <w:r>
              <w:rPr>
                <w:rFonts w:hint="eastAsia" w:ascii="宋体" w:hAnsi="宋体" w:cs="宋体"/>
                <w:b/>
                <w:color w:val="auto"/>
                <w:sz w:val="24"/>
                <w:highlight w:val="none"/>
              </w:rPr>
              <w:t xml:space="preserve">开标地点：</w:t>
            </w:r>
            <w:r>
              <w:rPr>
                <w:rFonts w:hint="eastAsia" w:ascii="宋体" w:hAnsi="宋体" w:cs="宋体"/>
                <w:color w:val="auto"/>
                <w:sz w:val="24"/>
                <w:highlight w:val="none"/>
              </w:rPr>
              <w:t xml:space="preserve">“苏采云”系统（网址：http://jszfcg.jsczt.cn/）“开标大厅”</w:t>
            </w:r>
            <w:r/>
          </w:p>
        </w:tc>
      </w:tr>
      <w:tr>
        <w:trPr>
          <w:jc w:val="center"/>
          <w:trHeight w:val="397"/>
        </w:trPr>
        <w:tc>
          <w:tcPr>
            <w:tcW w:w="1261" w:type="dxa"/>
            <w:vAlign w:val="center"/>
            <w:textDirection w:val="lrTb"/>
            <w:noWrap w:val="false"/>
          </w:tcPr>
          <w:p>
            <w:pPr>
              <w:jc w:val="center"/>
              <w:spacing w:line="312"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(二十五)3</w:t>
            </w:r>
            <w:r/>
          </w:p>
        </w:tc>
        <w:tc>
          <w:tcPr>
            <w:tcW w:w="8730" w:type="dxa"/>
            <w:vAlign w:val="center"/>
            <w:textDirection w:val="lrTb"/>
            <w:noWrap w:val="false"/>
          </w:tcPr>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线上开标时，“苏采云”系统自动提取所有投标文件，投标人按招标文件规定方式按时在线解密。本项目招标文件规定的投标人按时在线解密方式：“苏采云”系统提示解密30分钟内，通过“苏采云”系统（使用“CA数字证书”）解密。</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所有投标人解密（或解密时间）结束后，“苏采云”系统生成开标记录并向社会公众公布，但依法应当保密的除外。</w:t>
            </w:r>
            <w:r/>
          </w:p>
        </w:tc>
      </w:tr>
      <w:tr>
        <w:trPr>
          <w:jc w:val="center"/>
          <w:trHeight w:val="397"/>
        </w:trPr>
        <w:tc>
          <w:tcPr>
            <w:tcW w:w="1261" w:type="dxa"/>
            <w:vAlign w:val="center"/>
            <w:textDirection w:val="lrTb"/>
            <w:noWrap w:val="false"/>
          </w:tcPr>
          <w:p>
            <w:pPr>
              <w:jc w:val="center"/>
              <w:spacing w:line="312"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W w:w="8730" w:type="dxa"/>
            <w:vAlign w:val="center"/>
            <w:textDirection w:val="lrTb"/>
            <w:noWrap w:val="false"/>
          </w:tcPr>
          <w:p>
            <w:pPr>
              <w:jc w:val="center"/>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五、评标</w:t>
            </w:r>
            <w:r/>
          </w:p>
        </w:tc>
      </w:tr>
      <w:tr>
        <w:trPr>
          <w:jc w:val="center"/>
          <w:trHeight w:val="397"/>
        </w:trPr>
        <w:tc>
          <w:tcPr>
            <w:tcW w:w="1261" w:type="dxa"/>
            <w:vAlign w:val="center"/>
            <w:textDirection w:val="lrTb"/>
            <w:noWrap w:val="false"/>
          </w:tcPr>
          <w:p>
            <w:pPr>
              <w:jc w:val="center"/>
              <w:spacing w:line="312"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(二十六)2</w:t>
            </w:r>
            <w:r/>
          </w:p>
        </w:tc>
        <w:tc>
          <w:tcPr>
            <w:tcW w:w="8730" w:type="dxa"/>
            <w:vAlign w:val="center"/>
            <w:textDirection w:val="lrTb"/>
            <w:noWrap w:val="false"/>
          </w:tcPr>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评标小组的组建：</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人，其中采购人评委</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人，其余由政府采购专家组成（从《江苏省政府采购专家库》随机抽取）。</w:t>
            </w:r>
            <w:r/>
          </w:p>
        </w:tc>
      </w:tr>
      <w:tr>
        <w:trPr>
          <w:jc w:val="center"/>
          <w:trHeight w:val="397"/>
        </w:trPr>
        <w:tc>
          <w:tcPr>
            <w:tcW w:w="1261" w:type="dxa"/>
            <w:vAlign w:val="center"/>
            <w:textDirection w:val="lrTb"/>
            <w:noWrap w:val="false"/>
          </w:tcPr>
          <w:p>
            <w:pPr>
              <w:jc w:val="center"/>
              <w:spacing w:line="312"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(二十七)</w:t>
            </w:r>
            <w:r/>
          </w:p>
        </w:tc>
        <w:tc>
          <w:tcPr>
            <w:tcW w:w="8730" w:type="dxa"/>
            <w:vAlign w:val="center"/>
            <w:textDirection w:val="lrTb"/>
            <w:noWrap w:val="false"/>
          </w:tcPr>
          <w:p>
            <w:pPr>
              <w:ind w:firstLine="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本项目的评标方法：采用综合评分法。各评标因素权数详见第四章《评标标准》中《评分细则》</w:t>
            </w:r>
            <w:r/>
          </w:p>
        </w:tc>
      </w:tr>
      <w:tr>
        <w:trPr>
          <w:jc w:val="center"/>
          <w:trHeight w:val="397"/>
        </w:trPr>
        <w:tc>
          <w:tcPr>
            <w:tcW w:w="1261" w:type="dxa"/>
            <w:vAlign w:val="center"/>
            <w:textDirection w:val="lrTb"/>
            <w:noWrap w:val="false"/>
          </w:tcPr>
          <w:p>
            <w:pPr>
              <w:jc w:val="center"/>
              <w:spacing w:line="312"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(二十八)1</w:t>
            </w:r>
            <w:r/>
          </w:p>
          <w:p>
            <w:pPr>
              <w:jc w:val="center"/>
              <w:spacing w:line="312"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（4）</w:t>
            </w:r>
            <w:r/>
          </w:p>
        </w:tc>
        <w:tc>
          <w:tcPr>
            <w:tcW w:w="8730" w:type="dxa"/>
            <w:vAlign w:val="center"/>
            <w:textDirection w:val="lrTb"/>
            <w:noWrap w:val="false"/>
          </w:tcPr>
          <w:p>
            <w:pPr>
              <w:ind w:firstLine="480"/>
              <w:spacing w:line="312"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1、推荐中标候选投标人名单。中标候选投标人数量应当根据采购需要确定，但必须按顺序排列中标候选投标人。</w:t>
            </w:r>
            <w:r>
              <w:rPr>
                <w:rFonts w:hint="eastAsia" w:ascii="宋体" w:hAnsi="宋体" w:cs="宋体"/>
                <w:color w:val="auto"/>
                <w:sz w:val="24"/>
                <w:highlight w:val="none"/>
                <w:lang w:val="en-US" w:eastAsia="zh-CN"/>
              </w:rPr>
              <w:t xml:space="preserve">3名。</w:t>
            </w:r>
            <w:r/>
          </w:p>
          <w:p>
            <w:pPr>
              <w:ind w:firstLine="480"/>
              <w:spacing w:line="312"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2、采用综合评分法的，按评审后得分由高到低顺序排列。得分相同的，按投标报价由低到高顺序排列；投标报价得分相同的，按商务部分得分由高到低顺序排列。投标报价且商务得分相同的，按项目实施方案得分由高到低顺序排列。</w:t>
            </w:r>
            <w:r>
              <w:rPr>
                <w:rFonts w:hint="eastAsia" w:ascii="宋体" w:hAnsi="宋体" w:cs="宋体"/>
                <w:color w:val="auto"/>
                <w:sz w:val="24"/>
                <w:highlight w:val="none"/>
                <w:lang w:val="en-US" w:eastAsia="zh-CN"/>
              </w:rPr>
              <w:t xml:space="preserve">  </w:t>
            </w:r>
            <w:r/>
          </w:p>
          <w:p>
            <w:pPr>
              <w:ind w:firstLine="480"/>
              <w:spacing w:line="312" w:lineRule="auto"/>
              <w:rPr>
                <w:rFonts w:hint="eastAsia" w:eastAsia="宋体"/>
                <w:color w:val="auto"/>
                <w:highlight w:val="none"/>
                <w:lang w:val="en-US" w:eastAsia="zh-CN"/>
              </w:rPr>
            </w:pPr>
            <w:r>
              <w:rPr>
                <w:rFonts w:hint="eastAsia" w:ascii="宋体" w:hAnsi="宋体" w:cs="宋体"/>
                <w:color w:val="auto"/>
                <w:sz w:val="24"/>
                <w:highlight w:val="none"/>
                <w:lang w:val="en-US" w:eastAsia="zh-CN"/>
              </w:rPr>
              <w:t xml:space="preserve">3、采购人应当自收到评标报告之日起５个工作日内，在评标报告确定的中标候选人名单中按得分最高顺序确定一名中标人。</w:t>
            </w:r>
            <w:r/>
          </w:p>
        </w:tc>
      </w:tr>
      <w:tr>
        <w:trPr>
          <w:jc w:val="center"/>
          <w:trHeight w:val="3440"/>
        </w:trPr>
        <w:tc>
          <w:tcPr>
            <w:tcW w:w="1261" w:type="dxa"/>
            <w:vAlign w:val="center"/>
            <w:textDirection w:val="lrTb"/>
            <w:noWrap w:val="false"/>
          </w:tcPr>
          <w:p>
            <w:pPr>
              <w:jc w:val="center"/>
              <w:spacing w:line="312"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（二十九）</w:t>
            </w:r>
            <w:r/>
          </w:p>
          <w:p>
            <w:pPr>
              <w:jc w:val="center"/>
              <w:spacing w:line="312"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（4）</w:t>
            </w:r>
            <w:r/>
          </w:p>
        </w:tc>
        <w:tc>
          <w:tcPr>
            <w:tcW w:w="8730" w:type="dxa"/>
            <w:vAlign w:val="center"/>
            <w:textDirection w:val="lrTb"/>
            <w:noWrap w:val="false"/>
          </w:tcPr>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1.评标中需要投标人对投标文件澄清或者说明的，应当通过“苏采云”系统交换数据电文。在评标期间，请投标人保持在线。</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638"/>
        </w:trPr>
        <w:tc>
          <w:tcPr>
            <w:tcW w:w="1261" w:type="dxa"/>
            <w:vAlign w:val="center"/>
            <w:textDirection w:val="lrTb"/>
            <w:noWrap w:val="false"/>
          </w:tcPr>
          <w:p>
            <w:pPr>
              <w:jc w:val="center"/>
              <w:spacing w:line="312" w:lineRule="auto"/>
              <w:rPr>
                <w:rFonts w:hint="eastAsia" w:ascii="宋体" w:hAnsi="宋体" w:cs="宋体"/>
                <w:color w:val="auto"/>
                <w:sz w:val="22"/>
                <w:szCs w:val="22"/>
                <w:highlight w:val="none"/>
              </w:rPr>
            </w:pP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val="en-US" w:eastAsia="zh-CN"/>
              </w:rPr>
              <w:t xml:space="preserve">三十</w:t>
            </w:r>
            <w:r>
              <w:rPr>
                <w:rFonts w:hint="eastAsia" w:asciiTheme="minorEastAsia" w:hAnsiTheme="minorEastAsia" w:eastAsiaTheme="minorEastAsia" w:cstheme="minorEastAsia"/>
                <w:b w:val="0"/>
                <w:bCs w:val="0"/>
                <w:color w:val="auto"/>
                <w:sz w:val="24"/>
                <w:szCs w:val="24"/>
                <w:highlight w:val="none"/>
                <w:lang w:eastAsia="zh-CN"/>
              </w:rPr>
              <w:t xml:space="preserve">）</w:t>
            </w:r>
            <w:r/>
          </w:p>
        </w:tc>
        <w:tc>
          <w:tcPr>
            <w:tcW w:w="8730" w:type="dxa"/>
            <w:vAlign w:val="center"/>
            <w:textDirection w:val="lrTb"/>
            <w:noWrap w:val="false"/>
          </w:tcPr>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启动异常低价投标审查后，评审委员会应当要求相关供应商在评标现场合理的时间内，通过“苏采云”系统（使用“CA数字证书”,加盖电子签章）提供项目具体成本测算等与报价合理性相关的书面说明及相关证明材料，对投标价格作出解释，由评审委员会结合同类</w:t>
            </w:r>
            <w:r>
              <w:rPr>
                <w:rFonts w:hint="eastAsia" w:ascii="宋体" w:hAnsi="宋体" w:cs="宋体"/>
                <w:color w:val="auto"/>
                <w:sz w:val="24"/>
                <w:highlight w:val="none"/>
                <w:lang w:val="en-US" w:eastAsia="zh-CN"/>
              </w:rPr>
              <w:t xml:space="preserve">服务</w:t>
            </w:r>
            <w:r>
              <w:rPr>
                <w:rFonts w:hint="eastAsia" w:ascii="宋体" w:hAnsi="宋体" w:cs="宋体"/>
                <w:color w:val="auto"/>
                <w:sz w:val="24"/>
                <w:highlight w:val="none"/>
              </w:rPr>
              <w:t xml:space="preserve">、该行业当地薪资水平等情况，依据专业经验对供应商报价合理性进行判断。投标供应商不提供书面说明、证明材料，或者提供的书面说明、证明材料不能证明其报价合理性的，评审委员会应当将其作为无效投标处理。</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特别说明：“苏采云”系统通过“江苏省政府采购一体化不见面开标大厅”提醒投标人，投标人自行查看。投标人未及时查看或因自身原因导致未收到信息的，责任自负。</w:t>
            </w:r>
            <w:r/>
          </w:p>
        </w:tc>
      </w:tr>
      <w:tr>
        <w:trPr>
          <w:jc w:val="center"/>
          <w:trHeight w:val="397"/>
        </w:trPr>
        <w:tc>
          <w:tcPr>
            <w:tcW w:w="1261" w:type="dxa"/>
            <w:vAlign w:val="center"/>
            <w:textDirection w:val="lrTb"/>
            <w:noWrap w:val="false"/>
          </w:tcPr>
          <w:p>
            <w:pPr>
              <w:jc w:val="center"/>
              <w:spacing w:line="312"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W w:w="8730" w:type="dxa"/>
            <w:vAlign w:val="center"/>
            <w:textDirection w:val="lrTb"/>
            <w:noWrap w:val="false"/>
          </w:tcPr>
          <w:p>
            <w:pPr>
              <w:jc w:val="center"/>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七、</w:t>
            </w:r>
            <w:r>
              <w:rPr>
                <w:rFonts w:hint="eastAsia" w:ascii="宋体" w:hAnsi="宋体" w:cs="宋体"/>
                <w:color w:val="auto"/>
                <w:sz w:val="24"/>
                <w:highlight w:val="none"/>
                <w:lang w:val="en-US" w:eastAsia="zh-CN"/>
              </w:rPr>
              <w:t xml:space="preserve">政府</w:t>
            </w:r>
            <w:r>
              <w:rPr>
                <w:rFonts w:hint="eastAsia" w:ascii="宋体" w:hAnsi="宋体" w:cs="宋体"/>
                <w:color w:val="auto"/>
                <w:sz w:val="24"/>
                <w:highlight w:val="none"/>
              </w:rPr>
              <w:t xml:space="preserve">采购合同</w:t>
            </w:r>
            <w:r/>
          </w:p>
        </w:tc>
      </w:tr>
      <w:tr>
        <w:trPr>
          <w:jc w:val="center"/>
          <w:trHeight w:val="717"/>
        </w:trPr>
        <w:tc>
          <w:tcPr>
            <w:tcW w:w="1261" w:type="dxa"/>
            <w:vAlign w:val="center"/>
            <w:textDirection w:val="lrTb"/>
            <w:noWrap w:val="false"/>
          </w:tcPr>
          <w:p>
            <w:pPr>
              <w:jc w:val="center"/>
              <w:spacing w:line="312"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(三十七)1</w:t>
            </w:r>
            <w:r/>
          </w:p>
        </w:tc>
        <w:tc>
          <w:tcPr>
            <w:tcW w:w="8730" w:type="dxa"/>
            <w:vAlign w:val="center"/>
            <w:textDirection w:val="lrTb"/>
            <w:noWrap w:val="false"/>
          </w:tcPr>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采购人与中标、成交投标人应当在中标、成交通知书发出之日起30日内，按照</w:t>
            </w:r>
            <w:r>
              <w:rPr>
                <w:rFonts w:hint="eastAsia" w:ascii="宋体" w:hAnsi="宋体" w:cs="宋体"/>
                <w:color w:val="auto"/>
                <w:sz w:val="24"/>
                <w:highlight w:val="none"/>
                <w:lang w:eastAsia="zh-CN"/>
              </w:rPr>
              <w:t xml:space="preserve">招标文件</w:t>
            </w:r>
            <w:r>
              <w:rPr>
                <w:rFonts w:hint="eastAsia" w:ascii="宋体" w:hAnsi="宋体" w:cs="宋体"/>
                <w:color w:val="auto"/>
                <w:sz w:val="24"/>
                <w:highlight w:val="none"/>
              </w:rPr>
              <w:t xml:space="preserve">确定的事项签订采购合同。</w:t>
            </w:r>
            <w:r/>
          </w:p>
        </w:tc>
      </w:tr>
      <w:tr>
        <w:trPr>
          <w:jc w:val="center"/>
          <w:trHeight w:val="397"/>
        </w:trPr>
        <w:tc>
          <w:tcPr>
            <w:tcW w:w="1261" w:type="dxa"/>
            <w:vAlign w:val="center"/>
            <w:textDirection w:val="lrTb"/>
            <w:noWrap w:val="false"/>
          </w:tcPr>
          <w:p>
            <w:pPr>
              <w:spacing w:line="312"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(三十八)</w:t>
            </w:r>
            <w:r/>
          </w:p>
        </w:tc>
        <w:tc>
          <w:tcPr>
            <w:tcW w:w="8730" w:type="dxa"/>
            <w:vAlign w:val="center"/>
            <w:textDirection w:val="lrTb"/>
            <w:noWrap w:val="false"/>
          </w:tcPr>
          <w:p>
            <w:pPr>
              <w:ind w:firstLine="480"/>
              <w:spacing w:line="312" w:lineRule="auto"/>
              <w:rPr>
                <w:rFonts w:hint="eastAsia" w:ascii="宋体" w:hAnsi="宋体" w:cs="宋体"/>
                <w:b/>
                <w:bCs/>
                <w:color w:val="auto"/>
                <w:sz w:val="24"/>
                <w:highlight w:val="none"/>
              </w:rPr>
            </w:pPr>
            <w:r>
              <w:rPr>
                <w:rFonts w:hint="eastAsia" w:ascii="宋体" w:hAnsi="宋体" w:cs="宋体"/>
                <w:b/>
                <w:bCs/>
                <w:color w:val="auto"/>
                <w:sz w:val="24"/>
                <w:szCs w:val="21"/>
                <w:highlight w:val="none"/>
              </w:rPr>
              <w:t xml:space="preserve">签订合同前，乙方向甲方提供采购合同金额（合同总价）的10%的履约保证金。（乙方以支票、汇票、本票或者金融机构、担保机构出具的保函等非现金形式提交给甲方）</w:t>
            </w:r>
            <w:r/>
          </w:p>
        </w:tc>
      </w:tr>
      <w:tr>
        <w:trPr>
          <w:jc w:val="center"/>
          <w:trHeight w:val="3297"/>
        </w:trPr>
        <w:tc>
          <w:tcPr>
            <w:tcW w:w="1261" w:type="dxa"/>
            <w:vAlign w:val="center"/>
            <w:textDirection w:val="lrTb"/>
            <w:noWrap w:val="false"/>
          </w:tcPr>
          <w:p>
            <w:pPr>
              <w:jc w:val="center"/>
              <w:spacing w:line="312"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(四十)</w:t>
            </w:r>
            <w:r/>
          </w:p>
        </w:tc>
        <w:tc>
          <w:tcPr>
            <w:tcW w:w="8730" w:type="dxa"/>
            <w:vAlign w:val="center"/>
            <w:textDirection w:val="lrTb"/>
            <w:noWrap w:val="false"/>
          </w:tcPr>
          <w:p>
            <w:pPr>
              <w:ind w:firstLine="480"/>
              <w:spacing w:line="312"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1、投标人认为</w:t>
            </w:r>
            <w:r>
              <w:rPr>
                <w:rFonts w:hint="eastAsia" w:ascii="宋体" w:hAnsi="宋体" w:cs="宋体"/>
                <w:color w:val="auto"/>
                <w:sz w:val="24"/>
                <w:szCs w:val="21"/>
                <w:highlight w:val="none"/>
                <w:lang w:eastAsia="zh-CN"/>
              </w:rPr>
              <w:t xml:space="preserve">招标文件</w:t>
            </w:r>
            <w:r>
              <w:rPr>
                <w:rFonts w:hint="eastAsia" w:ascii="宋体" w:hAnsi="宋体" w:cs="宋体"/>
                <w:color w:val="auto"/>
                <w:sz w:val="24"/>
                <w:szCs w:val="21"/>
                <w:highlight w:val="none"/>
              </w:rPr>
              <w:t xml:space="preserve">、采购过程和中标、成交结果使自己的权益受到损害的，可以在知道或者应知其权益受到损害之日起七个工作日内，以书面形式向采购人或采购代理机构提出质疑。</w:t>
            </w:r>
            <w:r/>
          </w:p>
          <w:p>
            <w:pPr>
              <w:ind w:firstLine="480"/>
              <w:spacing w:line="312"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2、质疑和投诉按《政府采购质疑和投诉办法》执行，投标人在法定质疑期内一次性提出针对同一采购程序环节的质疑。</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3、质疑时效期间的计算：（1）对</w:t>
            </w:r>
            <w:r>
              <w:rPr>
                <w:rFonts w:hint="eastAsia" w:ascii="宋体" w:hAnsi="宋体" w:cs="宋体"/>
                <w:color w:val="auto"/>
                <w:sz w:val="24"/>
                <w:highlight w:val="none"/>
                <w:lang w:eastAsia="zh-CN"/>
              </w:rPr>
              <w:t xml:space="preserve">招标文件</w:t>
            </w:r>
            <w:r>
              <w:rPr>
                <w:rFonts w:hint="eastAsia" w:ascii="宋体" w:hAnsi="宋体" w:cs="宋体"/>
                <w:color w:val="auto"/>
                <w:sz w:val="24"/>
                <w:highlight w:val="none"/>
              </w:rPr>
              <w:t xml:space="preserve">提出质疑的，为收到</w:t>
            </w:r>
            <w:r>
              <w:rPr>
                <w:rFonts w:hint="eastAsia" w:ascii="宋体" w:hAnsi="宋体" w:cs="宋体"/>
                <w:color w:val="auto"/>
                <w:sz w:val="24"/>
                <w:highlight w:val="none"/>
                <w:lang w:eastAsia="zh-CN"/>
              </w:rPr>
              <w:t xml:space="preserve">招标文件</w:t>
            </w:r>
            <w:r>
              <w:rPr>
                <w:rFonts w:hint="eastAsia" w:ascii="宋体" w:hAnsi="宋体" w:cs="宋体"/>
                <w:color w:val="auto"/>
                <w:sz w:val="24"/>
                <w:highlight w:val="none"/>
              </w:rPr>
              <w:t xml:space="preserve">之日或</w:t>
            </w:r>
            <w:r>
              <w:rPr>
                <w:rFonts w:hint="eastAsia" w:ascii="宋体" w:hAnsi="宋体" w:cs="宋体"/>
                <w:color w:val="auto"/>
                <w:sz w:val="24"/>
                <w:highlight w:val="none"/>
                <w:lang w:eastAsia="zh-CN"/>
              </w:rPr>
              <w:t xml:space="preserve">招标文件</w:t>
            </w:r>
            <w:r>
              <w:rPr>
                <w:rFonts w:hint="eastAsia" w:ascii="宋体" w:hAnsi="宋体" w:cs="宋体"/>
                <w:color w:val="auto"/>
                <w:sz w:val="24"/>
                <w:highlight w:val="none"/>
              </w:rPr>
              <w:t xml:space="preserve">公告期限届满之日；（2）对招标过程提出质疑的，为招标程序各环节结束之日；（3）对成交结果提出质疑的，为成交公告期限届满之日。</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质疑接收人：朱文颖、朱柄昱   联系电话：0516-85610680</w:t>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地址：徐州市泉山区软件园路2号</w:t>
            </w:r>
            <w:r/>
          </w:p>
        </w:tc>
      </w:tr>
      <w:tr>
        <w:trPr>
          <w:jc w:val="center"/>
          <w:trHeight w:val="907"/>
        </w:trPr>
        <w:tc>
          <w:tcPr>
            <w:tcW w:w="1261" w:type="dxa"/>
            <w:vAlign w:val="center"/>
            <w:textDirection w:val="lrTb"/>
            <w:noWrap w:val="false"/>
          </w:tcPr>
          <w:p>
            <w:pPr>
              <w:jc w:val="center"/>
              <w:spacing w:line="312"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附加说明</w:t>
            </w:r>
            <w:r/>
          </w:p>
        </w:tc>
        <w:tc>
          <w:tcPr>
            <w:tcW w:w="8730" w:type="dxa"/>
            <w:vAlign w:val="center"/>
            <w:textDirection w:val="lrTb"/>
            <w:noWrap w:val="false"/>
          </w:tcPr>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中标人在收到中标通知书时，须向采购代理机构提交《开标一览表》和《分项价格表》的数据文件（WORD格式）。</w:t>
            </w:r>
            <w:r/>
          </w:p>
        </w:tc>
      </w:tr>
    </w:tbl>
    <w:p>
      <w:pPr>
        <w:rPr>
          <w:rFonts w:hint="eastAsia" w:ascii="宋体" w:hAnsi="宋体" w:cs="宋体"/>
          <w:color w:val="auto"/>
          <w:sz w:val="30"/>
          <w:szCs w:val="30"/>
          <w:highlight w:val="none"/>
        </w:rPr>
        <w:sectPr>
          <w:headerReference w:type="default" r:id="rId10"/>
          <w:footerReference w:type="default" r:id="rId13"/>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cs="宋体"/>
          <w:color w:val="auto"/>
          <w:sz w:val="30"/>
          <w:szCs w:val="30"/>
          <w:highlight w:val="none"/>
        </w:rPr>
      </w:r>
      <w:r/>
    </w:p>
    <w:p>
      <w:pPr>
        <w:ind w:firstLine="2520"/>
        <w:jc w:val="both"/>
        <w:spacing w:line="312" w:lineRule="atLeast"/>
        <w:rPr>
          <w:color w:val="auto"/>
          <w:highlight w:val="none"/>
        </w:rPr>
        <w:pBdr>
          <w:top w:val="none" w:color="000000" w:sz="0" w:space="0"/>
          <w:left w:val="none" w:color="000000" w:sz="0" w:space="0"/>
          <w:bottom w:val="none" w:color="000000" w:sz="0" w:space="0"/>
          <w:right w:val="none" w:color="000000" w:sz="0" w:space="0"/>
        </w:pBdr>
      </w:pPr>
      <w:r/>
      <w:bookmarkStart w:id="8" w:name="_Toc10026"/>
      <w:r/>
      <w:bookmarkStart w:id="9" w:name="_Toc9429"/>
      <w:r>
        <w:rPr>
          <w:rFonts w:ascii="宋体" w:hAnsi="宋体" w:cs="宋体"/>
          <w:color w:val="auto"/>
          <w:sz w:val="28"/>
          <w:highlight w:val="none"/>
        </w:rPr>
        <w:t xml:space="preserve">本章附件：</w:t>
      </w:r>
      <w:r>
        <w:rPr>
          <w:rFonts w:ascii="宋体" w:hAnsi="宋体" w:cs="宋体"/>
          <w:b/>
          <w:color w:val="auto"/>
          <w:sz w:val="28"/>
          <w:highlight w:val="none"/>
        </w:rPr>
        <w:t xml:space="preserve">招标代理服务收费标准</w:t>
      </w:r>
      <w:r/>
    </w:p>
    <w:tbl>
      <w:tblPr>
        <w:tblStyle w:val="851"/>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810"/>
        <w:gridCol w:w="2709"/>
      </w:tblGrid>
      <w:tr>
        <w:trPr>
          <w:jc w:val="center"/>
          <w:trHeight w:val="522"/>
        </w:trPr>
        <w:tc>
          <w:tcPr>
            <w:tcMar>
              <w:left w:w="108" w:type="dxa"/>
              <w:top w:w="0" w:type="dxa"/>
              <w:right w:w="108" w:type="dxa"/>
              <w:bottom w:w="0" w:type="dxa"/>
            </w:tcMar>
            <w:tcW w:w="5810" w:type="dxa"/>
            <w:vAlign w:val="center"/>
            <w:textDirection w:val="lrTb"/>
            <w:noWrap w:val="false"/>
          </w:tcPr>
          <w:p>
            <w:pPr>
              <w:jc w:val="center"/>
              <w:spacing w:line="400" w:lineRule="atLeast"/>
              <w:rPr>
                <w:color w:val="auto"/>
                <w:sz w:val="24"/>
                <w:szCs w:val="24"/>
                <w:highlight w:val="none"/>
              </w:rPr>
            </w:pPr>
            <w:r>
              <w:rPr>
                <w:rFonts w:hint="eastAsia" w:ascii="宋体" w:hAnsi="宋体"/>
                <w:color w:val="auto"/>
                <w:sz w:val="24"/>
                <w:szCs w:val="24"/>
                <w:highlight w:val="none"/>
              </w:rPr>
              <w:t xml:space="preserve">中标或成交金额</w:t>
            </w:r>
            <w:r/>
          </w:p>
        </w:tc>
        <w:tc>
          <w:tcPr>
            <w:tcMar>
              <w:left w:w="108" w:type="dxa"/>
              <w:top w:w="0" w:type="dxa"/>
              <w:right w:w="108" w:type="dxa"/>
              <w:bottom w:w="0" w:type="dxa"/>
            </w:tcMar>
            <w:tcW w:w="2709" w:type="dxa"/>
            <w:vAlign w:val="center"/>
            <w:textDirection w:val="lrTb"/>
            <w:noWrap w:val="false"/>
          </w:tcPr>
          <w:p>
            <w:pPr>
              <w:jc w:val="center"/>
              <w:spacing w:line="400" w:lineRule="atLeast"/>
              <w:rPr>
                <w:color w:val="auto"/>
                <w:sz w:val="24"/>
                <w:szCs w:val="24"/>
                <w:highlight w:val="none"/>
              </w:rPr>
            </w:pPr>
            <w:r>
              <w:rPr>
                <w:rFonts w:hint="eastAsia" w:ascii="宋体" w:hAnsi="宋体"/>
                <w:color w:val="auto"/>
                <w:sz w:val="24"/>
                <w:szCs w:val="24"/>
                <w:highlight w:val="none"/>
              </w:rPr>
              <w:t xml:space="preserve">费率</w:t>
            </w:r>
            <w:r/>
          </w:p>
        </w:tc>
      </w:tr>
      <w:tr>
        <w:trPr>
          <w:jc w:val="center"/>
          <w:trHeight w:val="541"/>
        </w:trPr>
        <w:tc>
          <w:tcPr>
            <w:tcMar>
              <w:left w:w="108" w:type="dxa"/>
              <w:top w:w="0" w:type="dxa"/>
              <w:right w:w="108" w:type="dxa"/>
              <w:bottom w:w="0" w:type="dxa"/>
            </w:tcMar>
            <w:tcW w:w="5810" w:type="dxa"/>
            <w:vAlign w:val="center"/>
            <w:textDirection w:val="lrTb"/>
            <w:noWrap w:val="false"/>
          </w:tcPr>
          <w:p>
            <w:pPr>
              <w:jc w:val="both"/>
              <w:spacing w:line="400" w:lineRule="atLeast"/>
              <w:rPr>
                <w:color w:val="auto"/>
                <w:sz w:val="24"/>
                <w:szCs w:val="24"/>
                <w:highlight w:val="none"/>
              </w:rPr>
            </w:pPr>
            <w:r>
              <w:rPr>
                <w:rFonts w:hint="eastAsia" w:ascii="宋体" w:hAnsi="宋体"/>
                <w:color w:val="auto"/>
                <w:sz w:val="24"/>
                <w:szCs w:val="24"/>
                <w:highlight w:val="none"/>
              </w:rPr>
              <w:t xml:space="preserve">最低收费金额(每个委托项目)</w:t>
            </w:r>
            <w:r/>
          </w:p>
        </w:tc>
        <w:tc>
          <w:tcPr>
            <w:tcMar>
              <w:left w:w="108" w:type="dxa"/>
              <w:top w:w="0" w:type="dxa"/>
              <w:right w:w="108" w:type="dxa"/>
              <w:bottom w:w="0" w:type="dxa"/>
            </w:tcMar>
            <w:tcW w:w="2709" w:type="dxa"/>
            <w:vAlign w:val="center"/>
            <w:textDirection w:val="lrTb"/>
            <w:noWrap w:val="false"/>
          </w:tcPr>
          <w:p>
            <w:pPr>
              <w:jc w:val="center"/>
              <w:spacing w:line="400" w:lineRule="atLeast"/>
              <w:rPr>
                <w:color w:val="auto"/>
                <w:sz w:val="24"/>
                <w:szCs w:val="24"/>
                <w:highlight w:val="none"/>
              </w:rPr>
            </w:pPr>
            <w:r>
              <w:rPr>
                <w:rFonts w:hint="eastAsia" w:ascii="宋体" w:hAnsi="宋体"/>
                <w:color w:val="auto"/>
                <w:sz w:val="24"/>
                <w:szCs w:val="24"/>
                <w:highlight w:val="none"/>
              </w:rPr>
              <w:t xml:space="preserve">5000元</w:t>
            </w:r>
            <w:r/>
          </w:p>
        </w:tc>
      </w:tr>
      <w:tr>
        <w:trPr>
          <w:jc w:val="center"/>
          <w:trHeight w:val="486"/>
        </w:trPr>
        <w:tc>
          <w:tcPr>
            <w:tcMar>
              <w:left w:w="108" w:type="dxa"/>
              <w:top w:w="0" w:type="dxa"/>
              <w:right w:w="108" w:type="dxa"/>
              <w:bottom w:w="0" w:type="dxa"/>
            </w:tcMar>
            <w:tcW w:w="5810" w:type="dxa"/>
            <w:vAlign w:val="center"/>
            <w:textDirection w:val="lrTb"/>
            <w:noWrap w:val="false"/>
          </w:tcPr>
          <w:p>
            <w:pPr>
              <w:jc w:val="both"/>
              <w:spacing w:line="400" w:lineRule="atLeast"/>
              <w:rPr>
                <w:color w:val="auto"/>
                <w:sz w:val="24"/>
                <w:szCs w:val="24"/>
                <w:highlight w:val="none"/>
              </w:rPr>
            </w:pPr>
            <w:r>
              <w:rPr>
                <w:rFonts w:hint="eastAsia" w:ascii="宋体" w:hAnsi="宋体"/>
                <w:color w:val="auto"/>
                <w:sz w:val="24"/>
                <w:szCs w:val="24"/>
                <w:highlight w:val="none"/>
              </w:rPr>
              <w:t xml:space="preserve">50万元以下（含50万元）</w:t>
            </w:r>
            <w:r/>
          </w:p>
        </w:tc>
        <w:tc>
          <w:tcPr>
            <w:tcMar>
              <w:left w:w="108" w:type="dxa"/>
              <w:top w:w="0" w:type="dxa"/>
              <w:right w:w="108" w:type="dxa"/>
              <w:bottom w:w="0" w:type="dxa"/>
            </w:tcMar>
            <w:tcW w:w="2709" w:type="dxa"/>
            <w:vAlign w:val="center"/>
            <w:textDirection w:val="lrTb"/>
            <w:noWrap w:val="false"/>
          </w:tcPr>
          <w:p>
            <w:pPr>
              <w:jc w:val="center"/>
              <w:spacing w:line="400" w:lineRule="atLeast"/>
              <w:rPr>
                <w:color w:val="auto"/>
                <w:sz w:val="24"/>
                <w:szCs w:val="24"/>
                <w:highlight w:val="none"/>
              </w:rPr>
            </w:pPr>
            <w:r>
              <w:rPr>
                <w:rFonts w:hint="eastAsia" w:ascii="宋体" w:hAnsi="宋体"/>
                <w:color w:val="auto"/>
                <w:sz w:val="24"/>
                <w:szCs w:val="24"/>
                <w:highlight w:val="none"/>
              </w:rPr>
              <w:t xml:space="preserve">1.60%</w:t>
            </w:r>
            <w:r/>
          </w:p>
        </w:tc>
      </w:tr>
      <w:tr>
        <w:trPr>
          <w:jc w:val="center"/>
          <w:trHeight w:val="464"/>
        </w:trPr>
        <w:tc>
          <w:tcPr>
            <w:tcMar>
              <w:left w:w="108" w:type="dxa"/>
              <w:top w:w="0" w:type="dxa"/>
              <w:right w:w="108" w:type="dxa"/>
              <w:bottom w:w="0" w:type="dxa"/>
            </w:tcMar>
            <w:tcW w:w="5810" w:type="dxa"/>
            <w:vAlign w:val="center"/>
            <w:textDirection w:val="lrTb"/>
            <w:noWrap w:val="false"/>
          </w:tcPr>
          <w:p>
            <w:pPr>
              <w:jc w:val="both"/>
              <w:spacing w:line="400" w:lineRule="atLeast"/>
              <w:rPr>
                <w:color w:val="auto"/>
                <w:sz w:val="24"/>
                <w:szCs w:val="24"/>
                <w:highlight w:val="none"/>
              </w:rPr>
            </w:pPr>
            <w:r>
              <w:rPr>
                <w:rFonts w:hint="eastAsia" w:ascii="宋体" w:hAnsi="宋体"/>
                <w:color w:val="auto"/>
                <w:sz w:val="24"/>
                <w:szCs w:val="24"/>
                <w:highlight w:val="none"/>
              </w:rPr>
              <w:t xml:space="preserve">50-400万元（含400万元）</w:t>
            </w:r>
            <w:r/>
          </w:p>
        </w:tc>
        <w:tc>
          <w:tcPr>
            <w:tcMar>
              <w:left w:w="108" w:type="dxa"/>
              <w:top w:w="0" w:type="dxa"/>
              <w:right w:w="108" w:type="dxa"/>
              <w:bottom w:w="0" w:type="dxa"/>
            </w:tcMar>
            <w:tcW w:w="2709" w:type="dxa"/>
            <w:vAlign w:val="center"/>
            <w:textDirection w:val="lrTb"/>
            <w:noWrap w:val="false"/>
          </w:tcPr>
          <w:p>
            <w:pPr>
              <w:jc w:val="center"/>
              <w:spacing w:line="400" w:lineRule="atLeast"/>
              <w:rPr>
                <w:color w:val="auto"/>
                <w:sz w:val="24"/>
                <w:szCs w:val="24"/>
                <w:highlight w:val="none"/>
              </w:rPr>
            </w:pPr>
            <w:r>
              <w:rPr>
                <w:rFonts w:hint="eastAsia" w:ascii="宋体" w:hAnsi="宋体"/>
                <w:color w:val="auto"/>
                <w:sz w:val="24"/>
                <w:szCs w:val="24"/>
                <w:highlight w:val="none"/>
              </w:rPr>
              <w:t xml:space="preserve">1.50%</w:t>
            </w:r>
            <w:r/>
          </w:p>
        </w:tc>
      </w:tr>
      <w:tr>
        <w:trPr>
          <w:jc w:val="center"/>
          <w:trHeight w:val="659"/>
        </w:trPr>
        <w:tc>
          <w:tcPr>
            <w:tcMar>
              <w:left w:w="108" w:type="dxa"/>
              <w:top w:w="0" w:type="dxa"/>
              <w:right w:w="108" w:type="dxa"/>
              <w:bottom w:w="0" w:type="dxa"/>
            </w:tcMar>
            <w:tcW w:w="5810" w:type="dxa"/>
            <w:vAlign w:val="center"/>
            <w:textDirection w:val="lrTb"/>
            <w:noWrap w:val="false"/>
          </w:tcPr>
          <w:p>
            <w:pPr>
              <w:jc w:val="both"/>
              <w:spacing w:line="400" w:lineRule="atLeast"/>
              <w:rPr>
                <w:color w:val="auto"/>
                <w:sz w:val="24"/>
                <w:szCs w:val="24"/>
                <w:highlight w:val="none"/>
              </w:rPr>
            </w:pPr>
            <w:r>
              <w:rPr>
                <w:rFonts w:hint="eastAsia" w:ascii="宋体" w:hAnsi="宋体"/>
                <w:color w:val="auto"/>
                <w:sz w:val="24"/>
                <w:szCs w:val="24"/>
                <w:highlight w:val="none"/>
              </w:rPr>
              <w:t xml:space="preserve">400-1000万元（含1000万元）</w:t>
            </w:r>
            <w:r/>
          </w:p>
        </w:tc>
        <w:tc>
          <w:tcPr>
            <w:tcMar>
              <w:left w:w="108" w:type="dxa"/>
              <w:top w:w="0" w:type="dxa"/>
              <w:right w:w="108" w:type="dxa"/>
              <w:bottom w:w="0" w:type="dxa"/>
            </w:tcMar>
            <w:tcW w:w="2709" w:type="dxa"/>
            <w:vAlign w:val="center"/>
            <w:textDirection w:val="lrTb"/>
            <w:noWrap w:val="false"/>
          </w:tcPr>
          <w:p>
            <w:pPr>
              <w:jc w:val="center"/>
              <w:spacing w:line="400" w:lineRule="atLeast"/>
              <w:rPr>
                <w:color w:val="auto"/>
                <w:sz w:val="24"/>
                <w:szCs w:val="24"/>
                <w:highlight w:val="none"/>
              </w:rPr>
            </w:pPr>
            <w:r>
              <w:rPr>
                <w:rFonts w:hint="eastAsia" w:ascii="宋体" w:hAnsi="宋体"/>
                <w:color w:val="auto"/>
                <w:sz w:val="24"/>
                <w:szCs w:val="24"/>
                <w:highlight w:val="none"/>
              </w:rPr>
              <w:t xml:space="preserve">1.10%</w:t>
            </w:r>
            <w:r/>
          </w:p>
        </w:tc>
      </w:tr>
      <w:tr>
        <w:trPr>
          <w:jc w:val="center"/>
          <w:trHeight w:val="532"/>
        </w:trPr>
        <w:tc>
          <w:tcPr>
            <w:tcMar>
              <w:left w:w="108" w:type="dxa"/>
              <w:top w:w="0" w:type="dxa"/>
              <w:right w:w="108" w:type="dxa"/>
              <w:bottom w:w="0" w:type="dxa"/>
            </w:tcMar>
            <w:tcW w:w="5810" w:type="dxa"/>
            <w:vAlign w:val="center"/>
            <w:textDirection w:val="lrTb"/>
            <w:noWrap w:val="false"/>
          </w:tcPr>
          <w:p>
            <w:pPr>
              <w:jc w:val="both"/>
              <w:spacing w:line="400" w:lineRule="atLeast"/>
              <w:rPr>
                <w:color w:val="auto"/>
                <w:sz w:val="24"/>
                <w:szCs w:val="24"/>
                <w:highlight w:val="none"/>
              </w:rPr>
            </w:pPr>
            <w:r>
              <w:rPr>
                <w:rFonts w:hint="eastAsia" w:ascii="宋体" w:hAnsi="宋体"/>
                <w:color w:val="auto"/>
                <w:sz w:val="24"/>
                <w:szCs w:val="24"/>
                <w:highlight w:val="none"/>
              </w:rPr>
              <w:t xml:space="preserve">1000-5000万元（含5000万元）</w:t>
            </w:r>
            <w:r/>
          </w:p>
        </w:tc>
        <w:tc>
          <w:tcPr>
            <w:tcMar>
              <w:left w:w="108" w:type="dxa"/>
              <w:top w:w="0" w:type="dxa"/>
              <w:right w:w="108" w:type="dxa"/>
              <w:bottom w:w="0" w:type="dxa"/>
            </w:tcMar>
            <w:tcW w:w="2709" w:type="dxa"/>
            <w:vAlign w:val="center"/>
            <w:textDirection w:val="lrTb"/>
            <w:noWrap w:val="false"/>
          </w:tcPr>
          <w:p>
            <w:pPr>
              <w:jc w:val="center"/>
              <w:spacing w:line="400" w:lineRule="atLeast"/>
              <w:rPr>
                <w:color w:val="auto"/>
                <w:sz w:val="24"/>
                <w:szCs w:val="24"/>
                <w:highlight w:val="none"/>
              </w:rPr>
            </w:pPr>
            <w:r>
              <w:rPr>
                <w:rFonts w:hint="eastAsia" w:ascii="宋体" w:hAnsi="宋体"/>
                <w:color w:val="auto"/>
                <w:sz w:val="24"/>
                <w:szCs w:val="24"/>
                <w:highlight w:val="none"/>
              </w:rPr>
              <w:t xml:space="preserve">0.80%</w:t>
            </w:r>
            <w:r/>
          </w:p>
        </w:tc>
      </w:tr>
      <w:tr>
        <w:trPr>
          <w:jc w:val="center"/>
          <w:trHeight w:val="538"/>
        </w:trPr>
        <w:tc>
          <w:tcPr>
            <w:tcMar>
              <w:left w:w="108" w:type="dxa"/>
              <w:top w:w="0" w:type="dxa"/>
              <w:right w:w="108" w:type="dxa"/>
              <w:bottom w:w="0" w:type="dxa"/>
            </w:tcMar>
            <w:tcW w:w="5810" w:type="dxa"/>
            <w:vAlign w:val="center"/>
            <w:textDirection w:val="lrTb"/>
            <w:noWrap w:val="false"/>
          </w:tcPr>
          <w:p>
            <w:pPr>
              <w:jc w:val="both"/>
              <w:spacing w:line="400" w:lineRule="atLeast"/>
              <w:rPr>
                <w:color w:val="auto"/>
                <w:sz w:val="24"/>
                <w:szCs w:val="24"/>
                <w:highlight w:val="none"/>
              </w:rPr>
            </w:pPr>
            <w:r>
              <w:rPr>
                <w:rFonts w:hint="eastAsia" w:ascii="宋体" w:hAnsi="宋体"/>
                <w:color w:val="auto"/>
                <w:sz w:val="24"/>
                <w:szCs w:val="24"/>
                <w:highlight w:val="none"/>
              </w:rPr>
              <w:t xml:space="preserve">5000-1亿元（含1亿元）</w:t>
            </w:r>
            <w:r/>
          </w:p>
        </w:tc>
        <w:tc>
          <w:tcPr>
            <w:tcMar>
              <w:left w:w="108" w:type="dxa"/>
              <w:top w:w="0" w:type="dxa"/>
              <w:right w:w="108" w:type="dxa"/>
              <w:bottom w:w="0" w:type="dxa"/>
            </w:tcMar>
            <w:tcW w:w="2709" w:type="dxa"/>
            <w:vAlign w:val="center"/>
            <w:textDirection w:val="lrTb"/>
            <w:noWrap w:val="false"/>
          </w:tcPr>
          <w:p>
            <w:pPr>
              <w:jc w:val="center"/>
              <w:spacing w:line="400" w:lineRule="atLeast"/>
              <w:rPr>
                <w:color w:val="auto"/>
                <w:sz w:val="24"/>
                <w:szCs w:val="24"/>
                <w:highlight w:val="none"/>
              </w:rPr>
            </w:pPr>
            <w:r>
              <w:rPr>
                <w:rFonts w:hint="eastAsia" w:ascii="宋体" w:hAnsi="宋体"/>
                <w:color w:val="auto"/>
                <w:sz w:val="24"/>
                <w:szCs w:val="24"/>
                <w:highlight w:val="none"/>
              </w:rPr>
              <w:t xml:space="preserve">0.25%</w:t>
            </w:r>
            <w:r/>
          </w:p>
        </w:tc>
      </w:tr>
      <w:tr>
        <w:trPr>
          <w:jc w:val="center"/>
          <w:trHeight w:val="532"/>
        </w:trPr>
        <w:tc>
          <w:tcPr>
            <w:tcMar>
              <w:left w:w="108" w:type="dxa"/>
              <w:top w:w="0" w:type="dxa"/>
              <w:right w:w="108" w:type="dxa"/>
              <w:bottom w:w="0" w:type="dxa"/>
            </w:tcMar>
            <w:tcW w:w="5810" w:type="dxa"/>
            <w:vAlign w:val="center"/>
            <w:textDirection w:val="lrTb"/>
            <w:noWrap w:val="false"/>
          </w:tcPr>
          <w:p>
            <w:pPr>
              <w:jc w:val="both"/>
              <w:spacing w:line="400" w:lineRule="atLeast"/>
              <w:rPr>
                <w:color w:val="auto"/>
                <w:sz w:val="24"/>
                <w:szCs w:val="24"/>
                <w:highlight w:val="none"/>
              </w:rPr>
            </w:pPr>
            <w:r>
              <w:rPr>
                <w:rFonts w:hint="eastAsia" w:ascii="宋体" w:hAnsi="宋体"/>
                <w:color w:val="auto"/>
                <w:sz w:val="24"/>
                <w:szCs w:val="24"/>
                <w:highlight w:val="none"/>
              </w:rPr>
              <w:t xml:space="preserve">1-10亿（含10亿元）</w:t>
            </w:r>
            <w:r/>
          </w:p>
        </w:tc>
        <w:tc>
          <w:tcPr>
            <w:tcMar>
              <w:left w:w="108" w:type="dxa"/>
              <w:top w:w="0" w:type="dxa"/>
              <w:right w:w="108" w:type="dxa"/>
              <w:bottom w:w="0" w:type="dxa"/>
            </w:tcMar>
            <w:tcW w:w="2709" w:type="dxa"/>
            <w:vAlign w:val="center"/>
            <w:textDirection w:val="lrTb"/>
            <w:noWrap w:val="false"/>
          </w:tcPr>
          <w:p>
            <w:pPr>
              <w:jc w:val="center"/>
              <w:spacing w:line="400" w:lineRule="atLeast"/>
              <w:rPr>
                <w:color w:val="auto"/>
                <w:sz w:val="24"/>
                <w:szCs w:val="24"/>
                <w:highlight w:val="none"/>
              </w:rPr>
            </w:pPr>
            <w:r>
              <w:rPr>
                <w:rFonts w:hint="eastAsia" w:ascii="宋体" w:hAnsi="宋体"/>
                <w:color w:val="auto"/>
                <w:sz w:val="24"/>
                <w:szCs w:val="24"/>
                <w:highlight w:val="none"/>
              </w:rPr>
              <w:t xml:space="preserve">0.05%</w:t>
            </w:r>
            <w:r/>
          </w:p>
        </w:tc>
      </w:tr>
      <w:tr>
        <w:trPr>
          <w:jc w:val="center"/>
          <w:trHeight w:val="532"/>
        </w:trPr>
        <w:tc>
          <w:tcPr>
            <w:tcMar>
              <w:left w:w="108" w:type="dxa"/>
              <w:top w:w="0" w:type="dxa"/>
              <w:right w:w="108" w:type="dxa"/>
              <w:bottom w:w="0" w:type="dxa"/>
            </w:tcMar>
            <w:tcW w:w="5810" w:type="dxa"/>
            <w:vAlign w:val="center"/>
            <w:textDirection w:val="lrTb"/>
            <w:noWrap w:val="false"/>
          </w:tcPr>
          <w:p>
            <w:pPr>
              <w:jc w:val="both"/>
              <w:spacing w:line="400" w:lineRule="atLeast"/>
              <w:rPr>
                <w:color w:val="auto"/>
                <w:sz w:val="24"/>
                <w:szCs w:val="24"/>
                <w:highlight w:val="none"/>
              </w:rPr>
            </w:pPr>
            <w:r>
              <w:rPr>
                <w:rFonts w:hint="eastAsia" w:ascii="宋体" w:hAnsi="宋体"/>
                <w:color w:val="auto"/>
                <w:sz w:val="24"/>
                <w:szCs w:val="24"/>
                <w:highlight w:val="none"/>
              </w:rPr>
              <w:t xml:space="preserve">10-50亿元（含50亿元）</w:t>
            </w:r>
            <w:r/>
          </w:p>
        </w:tc>
        <w:tc>
          <w:tcPr>
            <w:tcMar>
              <w:left w:w="108" w:type="dxa"/>
              <w:top w:w="0" w:type="dxa"/>
              <w:right w:w="108" w:type="dxa"/>
              <w:bottom w:w="0" w:type="dxa"/>
            </w:tcMar>
            <w:tcW w:w="2709" w:type="dxa"/>
            <w:vAlign w:val="center"/>
            <w:textDirection w:val="lrTb"/>
            <w:noWrap w:val="false"/>
          </w:tcPr>
          <w:p>
            <w:pPr>
              <w:jc w:val="center"/>
              <w:spacing w:line="400" w:lineRule="atLeast"/>
              <w:rPr>
                <w:color w:val="auto"/>
                <w:sz w:val="24"/>
                <w:szCs w:val="24"/>
                <w:highlight w:val="none"/>
              </w:rPr>
            </w:pPr>
            <w:r>
              <w:rPr>
                <w:rFonts w:hint="eastAsia" w:ascii="宋体" w:hAnsi="宋体"/>
                <w:color w:val="auto"/>
                <w:sz w:val="24"/>
                <w:szCs w:val="24"/>
                <w:highlight w:val="none"/>
              </w:rPr>
              <w:t xml:space="preserve">0.01%</w:t>
            </w:r>
            <w:r/>
          </w:p>
        </w:tc>
      </w:tr>
      <w:tr>
        <w:trPr>
          <w:jc w:val="center"/>
          <w:trHeight w:val="577"/>
        </w:trPr>
        <w:tc>
          <w:tcPr>
            <w:tcMar>
              <w:left w:w="108" w:type="dxa"/>
              <w:top w:w="0" w:type="dxa"/>
              <w:right w:w="108" w:type="dxa"/>
              <w:bottom w:w="0" w:type="dxa"/>
            </w:tcMar>
            <w:tcW w:w="5810" w:type="dxa"/>
            <w:vAlign w:val="center"/>
            <w:textDirection w:val="lrTb"/>
            <w:noWrap w:val="false"/>
          </w:tcPr>
          <w:p>
            <w:pPr>
              <w:jc w:val="both"/>
              <w:spacing w:line="400" w:lineRule="atLeast"/>
              <w:rPr>
                <w:color w:val="auto"/>
                <w:sz w:val="24"/>
                <w:szCs w:val="24"/>
                <w:highlight w:val="none"/>
              </w:rPr>
            </w:pPr>
            <w:r>
              <w:rPr>
                <w:rFonts w:hint="eastAsia" w:ascii="宋体" w:hAnsi="宋体"/>
                <w:color w:val="auto"/>
                <w:sz w:val="24"/>
                <w:szCs w:val="24"/>
                <w:highlight w:val="none"/>
              </w:rPr>
              <w:t xml:space="preserve">50亿元</w:t>
            </w:r>
            <w:r/>
          </w:p>
        </w:tc>
        <w:tc>
          <w:tcPr>
            <w:tcMar>
              <w:left w:w="108" w:type="dxa"/>
              <w:top w:w="0" w:type="dxa"/>
              <w:right w:w="108" w:type="dxa"/>
              <w:bottom w:w="0" w:type="dxa"/>
            </w:tcMar>
            <w:tcW w:w="2709" w:type="dxa"/>
            <w:vAlign w:val="center"/>
            <w:textDirection w:val="lrTb"/>
            <w:noWrap w:val="false"/>
          </w:tcPr>
          <w:p>
            <w:pPr>
              <w:jc w:val="center"/>
              <w:spacing w:line="400" w:lineRule="atLeast"/>
              <w:rPr>
                <w:color w:val="auto"/>
                <w:sz w:val="24"/>
                <w:szCs w:val="24"/>
                <w:highlight w:val="none"/>
              </w:rPr>
            </w:pPr>
            <w:r>
              <w:rPr>
                <w:rFonts w:hint="eastAsia" w:ascii="宋体" w:hAnsi="宋体"/>
                <w:color w:val="auto"/>
                <w:sz w:val="24"/>
                <w:szCs w:val="24"/>
                <w:highlight w:val="none"/>
              </w:rPr>
              <w:t xml:space="preserve">0.005%</w:t>
            </w:r>
            <w:r/>
          </w:p>
        </w:tc>
      </w:tr>
    </w:tbl>
    <w:p>
      <w:pPr>
        <w:jc w:val="both"/>
        <w:spacing w:line="360" w:lineRule="auto"/>
        <w:rPr>
          <w:color w:val="auto"/>
          <w:sz w:val="24"/>
          <w:szCs w:val="24"/>
          <w:highlight w:val="none"/>
        </w:rPr>
      </w:pPr>
      <w:r>
        <w:rPr>
          <w:rFonts w:hint="eastAsia" w:ascii="宋体" w:hAnsi="宋体"/>
          <w:color w:val="auto"/>
          <w:sz w:val="24"/>
          <w:szCs w:val="24"/>
          <w:highlight w:val="none"/>
        </w:rPr>
        <w:t xml:space="preserve">说明：</w:t>
      </w:r>
      <w:r/>
    </w:p>
    <w:p>
      <w:pPr>
        <w:ind w:firstLine="480"/>
        <w:jc w:val="both"/>
        <w:spacing w:line="360" w:lineRule="auto"/>
        <w:rPr>
          <w:color w:val="auto"/>
          <w:sz w:val="24"/>
          <w:szCs w:val="24"/>
          <w:highlight w:val="none"/>
        </w:rPr>
      </w:pPr>
      <w:r>
        <w:rPr>
          <w:rFonts w:hint="eastAsia" w:ascii="宋体" w:hAnsi="宋体"/>
          <w:color w:val="auto"/>
          <w:sz w:val="24"/>
          <w:szCs w:val="24"/>
          <w:highlight w:val="none"/>
        </w:rPr>
        <w:t xml:space="preserve">1.按上表计算的收费为代理服务全过程的收费金额。各社会代理机构不另外收取采购文件制作售卖费用。</w:t>
      </w:r>
      <w:r/>
    </w:p>
    <w:p>
      <w:pPr>
        <w:ind w:firstLine="480"/>
        <w:jc w:val="both"/>
        <w:spacing w:line="360" w:lineRule="auto"/>
        <w:rPr>
          <w:color w:val="auto"/>
          <w:sz w:val="24"/>
          <w:szCs w:val="24"/>
          <w:highlight w:val="none"/>
        </w:rPr>
      </w:pPr>
      <w:r>
        <w:rPr>
          <w:rFonts w:hint="eastAsia" w:ascii="宋体" w:hAnsi="宋体"/>
          <w:color w:val="auto"/>
          <w:sz w:val="24"/>
          <w:szCs w:val="24"/>
          <w:highlight w:val="none"/>
        </w:rPr>
        <w:t xml:space="preserve">2.代理服务费按差额定率累进法计算。</w:t>
      </w:r>
      <w:r/>
    </w:p>
    <w:p>
      <w:pPr>
        <w:ind w:firstLine="480"/>
        <w:jc w:val="both"/>
        <w:spacing w:line="360" w:lineRule="auto"/>
        <w:rPr>
          <w:color w:val="auto"/>
          <w:sz w:val="24"/>
          <w:szCs w:val="24"/>
          <w:highlight w:val="none"/>
        </w:rPr>
      </w:pPr>
      <w:r>
        <w:rPr>
          <w:rFonts w:hint="eastAsia" w:ascii="宋体" w:hAnsi="宋体"/>
          <w:color w:val="auto"/>
          <w:sz w:val="24"/>
          <w:szCs w:val="24"/>
          <w:highlight w:val="none"/>
        </w:rPr>
        <w:t xml:space="preserve">3.代理服务费基准金额（按差额定率累进法计算的）=中标金额（按差额定率累进法计算的）*费率（%）。</w:t>
      </w:r>
      <w:r/>
    </w:p>
    <w:p>
      <w:pPr>
        <w:ind w:firstLine="480"/>
        <w:jc w:val="both"/>
        <w:spacing w:line="360" w:lineRule="auto"/>
        <w:rPr>
          <w:color w:val="auto"/>
          <w:sz w:val="24"/>
          <w:szCs w:val="24"/>
          <w:highlight w:val="none"/>
        </w:rPr>
      </w:pPr>
      <w:r>
        <w:rPr>
          <w:rFonts w:hint="eastAsia" w:ascii="宋体" w:hAnsi="宋体"/>
          <w:color w:val="auto"/>
          <w:sz w:val="24"/>
          <w:szCs w:val="24"/>
          <w:highlight w:val="none"/>
        </w:rPr>
        <w:t xml:space="preserve">4.代理服务费应收取金额=代理服务费基准金额（按差额定率累进法计算的）的合计数。</w:t>
      </w:r>
      <w:r/>
    </w:p>
    <w:p>
      <w:pPr>
        <w:ind w:firstLine="480"/>
        <w:jc w:val="both"/>
        <w:spacing w:line="360" w:lineRule="auto"/>
        <w:rPr>
          <w:color w:val="auto"/>
          <w:sz w:val="24"/>
          <w:szCs w:val="24"/>
          <w:highlight w:val="none"/>
        </w:rPr>
      </w:pPr>
      <w:r>
        <w:rPr>
          <w:rFonts w:hint="eastAsia" w:ascii="宋体" w:hAnsi="宋体"/>
          <w:color w:val="auto"/>
          <w:sz w:val="24"/>
          <w:szCs w:val="24"/>
          <w:highlight w:val="none"/>
        </w:rPr>
        <w:t xml:space="preserve">5.定点类等无金额或事先不能计算出价格总额的项目，按中标（成交）金额100万元计算服务费。</w:t>
      </w:r>
      <w:r/>
    </w:p>
    <w:p>
      <w:pPr>
        <w:pStyle w:val="888"/>
        <w:ind w:firstLine="420"/>
        <w:jc w:val="both"/>
        <w:spacing w:line="360" w:lineRule="auto"/>
        <w:widowControl/>
        <w:rPr>
          <w:rFonts w:hint="eastAsia" w:ascii="宋体" w:hAnsi="宋体" w:cs="宋体"/>
          <w:b/>
          <w:bCs/>
          <w:color w:val="auto"/>
          <w:sz w:val="30"/>
          <w:szCs w:val="44"/>
          <w:highlight w:val="none"/>
        </w:rPr>
        <w:sectPr>
          <w:headerReference w:type="default" r:id="rId11"/>
          <w:footerReference w:type="default" r:id="rId14"/>
          <w:footnotePr/>
          <w:endnotePr/>
          <w:type w:val="nextPage"/>
          <w:pgSz w:w="11906" w:h="16838" w:orient="portrait"/>
          <w:pgMar w:top="1440" w:right="1080" w:bottom="1440" w:left="1080" w:header="851" w:footer="992" w:gutter="0"/>
          <w:cols w:num="1" w:sep="0" w:space="1701" w:equalWidth="1"/>
          <w:docGrid w:linePitch="360"/>
        </w:sectPr>
        <w:outlineLvl w:val="9"/>
      </w:pPr>
      <w:r>
        <w:rPr>
          <w:rFonts w:hint="eastAsia" w:ascii="宋体" w:hAnsi="宋体"/>
          <w:color w:val="auto"/>
          <w:sz w:val="24"/>
          <w:highlight w:val="none"/>
        </w:rPr>
        <w:t xml:space="preserve">6.有分包（分标段）的按一个项目计算。</w:t>
      </w:r>
      <w:r/>
    </w:p>
    <w:p>
      <w:pPr>
        <w:pStyle w:val="888"/>
        <w:ind w:firstLine="420"/>
        <w:jc w:val="center"/>
        <w:spacing w:line="360" w:lineRule="auto"/>
        <w:widowControl/>
        <w:rPr>
          <w:rFonts w:hint="eastAsia" w:ascii="宋体" w:hAnsi="宋体" w:cs="宋体"/>
          <w:b/>
          <w:bCs/>
          <w:color w:val="auto"/>
          <w:sz w:val="30"/>
          <w:szCs w:val="44"/>
          <w:highlight w:val="none"/>
        </w:rPr>
        <w:outlineLvl w:val="0"/>
      </w:pPr>
      <w:r/>
      <w:bookmarkStart w:id="10" w:name="_Toc21007"/>
      <w:r>
        <w:rPr>
          <w:rFonts w:hint="eastAsia" w:ascii="宋体" w:hAnsi="宋体" w:cs="宋体"/>
          <w:b/>
          <w:bCs/>
          <w:color w:val="auto"/>
          <w:sz w:val="30"/>
          <w:szCs w:val="44"/>
          <w:highlight w:val="none"/>
        </w:rPr>
        <w:t xml:space="preserve">第四章 </w:t>
      </w:r>
      <w:r>
        <w:rPr>
          <w:rStyle w:val="1013"/>
          <w:rFonts w:hint="eastAsia" w:ascii="宋体" w:hAnsi="宋体" w:eastAsia="宋体" w:cs="宋体"/>
          <w:color w:val="auto"/>
          <w:highlight w:val="none"/>
        </w:rPr>
        <w:t xml:space="preserve">评标标准</w:t>
      </w:r>
      <w:bookmarkEnd w:id="8"/>
      <w:r/>
      <w:bookmarkEnd w:id="10"/>
      <w:r/>
      <w:bookmarkEnd w:id="9"/>
      <w:r/>
      <w:r/>
    </w:p>
    <w:tbl>
      <w:tblPr>
        <w:tblStyle w:val="851"/>
        <w:tblW w:w="103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6"/>
        <w:gridCol w:w="1455"/>
        <w:gridCol w:w="7784"/>
      </w:tblGrid>
      <w:tr>
        <w:trPr>
          <w:jc w:val="center"/>
          <w:trHeight w:val="601"/>
        </w:trPr>
        <w:tc>
          <w:tcPr>
            <w:gridSpan w:val="2"/>
            <w:tcW w:w="2601" w:type="dxa"/>
            <w:vAlign w:val="center"/>
            <w:textDirection w:val="lrTb"/>
            <w:noWrap w:val="false"/>
          </w:tcPr>
          <w:p>
            <w:pPr>
              <w:ind w:firstLine="0"/>
              <w:jc w:val="center"/>
              <w:spacing w:line="288"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项目</w:t>
            </w:r>
            <w:r/>
          </w:p>
        </w:tc>
        <w:tc>
          <w:tcPr>
            <w:tcW w:w="7784" w:type="dxa"/>
            <w:vAlign w:val="center"/>
            <w:textDirection w:val="lrTb"/>
            <w:noWrap w:val="false"/>
          </w:tcPr>
          <w:p>
            <w:pPr>
              <w:ind w:firstLine="0"/>
              <w:jc w:val="center"/>
              <w:spacing w:line="288"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评分办法</w:t>
            </w:r>
            <w:r/>
          </w:p>
        </w:tc>
      </w:tr>
      <w:tr>
        <w:trPr>
          <w:jc w:val="center"/>
          <w:trHeight w:val="90"/>
        </w:trPr>
        <w:tc>
          <w:tcPr>
            <w:gridSpan w:val="2"/>
            <w:tcW w:w="2601" w:type="dxa"/>
            <w:vAlign w:val="center"/>
            <w:textDirection w:val="lrTb"/>
            <w:noWrap w:val="false"/>
          </w:tcPr>
          <w:p>
            <w:pPr>
              <w:ind w:firstLine="0"/>
              <w:jc w:val="center"/>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投标报价</w:t>
            </w:r>
            <w:r/>
          </w:p>
          <w:p>
            <w:pPr>
              <w:ind w:firstLine="0"/>
              <w:jc w:val="center"/>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分）</w:t>
            </w:r>
            <w:r/>
          </w:p>
        </w:tc>
        <w:tc>
          <w:tcPr>
            <w:tcW w:w="7784" w:type="dxa"/>
            <w:vAlign w:val="center"/>
            <w:textDirection w:val="lrTb"/>
            <w:noWrap w:val="false"/>
          </w:tcPr>
          <w:p>
            <w:pPr>
              <w:ind w:firstLine="0"/>
              <w:jc w:val="both"/>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价格分采用低价优先法计算，即满足招标文件要求且投标价格最低的投标报价为评标基准价，其价格分为满分</w:t>
            </w:r>
            <w:r>
              <w:rPr>
                <w:rFonts w:hint="eastAsia" w:ascii="宋体" w:hAnsi="宋体" w:cs="宋体"/>
                <w:color w:val="auto"/>
                <w:sz w:val="24"/>
                <w:szCs w:val="24"/>
                <w:highlight w:val="none"/>
                <w:lang w:val="en-US" w:eastAsia="zh-CN"/>
              </w:rPr>
              <w:t xml:space="preserve">25</w:t>
            </w:r>
            <w:r>
              <w:rPr>
                <w:rFonts w:hint="eastAsia" w:ascii="宋体" w:hAnsi="宋体" w:cs="宋体"/>
                <w:color w:val="auto"/>
                <w:sz w:val="24"/>
                <w:szCs w:val="24"/>
                <w:highlight w:val="none"/>
              </w:rPr>
              <w:t xml:space="preserve">分。其他投标人的价格分按照下列公式计算：</w:t>
            </w:r>
            <w:r/>
          </w:p>
          <w:p>
            <w:pPr>
              <w:ind w:firstLine="0"/>
              <w:jc w:val="both"/>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投标报价得分=（评标基准价／各投标人评审价格）×</w:t>
            </w:r>
            <w:r>
              <w:rPr>
                <w:rFonts w:hint="eastAsia" w:ascii="宋体" w:hAnsi="宋体" w:cs="宋体"/>
                <w:color w:val="auto"/>
                <w:sz w:val="24"/>
                <w:szCs w:val="24"/>
                <w:highlight w:val="none"/>
                <w:lang w:val="en-US" w:eastAsia="zh-CN"/>
              </w:rPr>
              <w:t xml:space="preserve">25</w:t>
            </w:r>
            <w:r>
              <w:rPr>
                <w:rFonts w:hint="eastAsia" w:ascii="宋体" w:hAnsi="宋体" w:cs="宋体"/>
                <w:color w:val="auto"/>
                <w:sz w:val="24"/>
                <w:szCs w:val="24"/>
                <w:highlight w:val="none"/>
              </w:rPr>
              <w:t xml:space="preserve">（分值计算结果保留两位小数）。</w:t>
            </w:r>
            <w:r/>
          </w:p>
          <w:p>
            <w:pPr>
              <w:pStyle w:val="852"/>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52"/>
              <w:ind w:firstLine="0"/>
              <w:rPr>
                <w:rFonts w:hint="eastAsia" w:ascii="宋体" w:hAnsi="宋体" w:cs="宋体"/>
                <w:strike w:val="0"/>
                <w:color w:val="auto"/>
                <w:sz w:val="24"/>
                <w:szCs w:val="24"/>
                <w:highlight w:val="none"/>
              </w:rPr>
            </w:pPr>
            <w:r>
              <w:rPr>
                <w:rFonts w:hint="eastAsia" w:ascii="宋体" w:hAnsi="宋体" w:cs="宋体"/>
                <w:strike w:val="0"/>
                <w:color w:val="auto"/>
                <w:sz w:val="24"/>
                <w:szCs w:val="24"/>
                <w:highlight w:val="none"/>
              </w:rPr>
            </w:r>
            <w:r/>
          </w:p>
        </w:tc>
      </w:tr>
      <w:tr>
        <w:trPr>
          <w:jc w:val="center"/>
          <w:trHeight w:val="2327"/>
        </w:trPr>
        <w:tc>
          <w:tcPr>
            <w:tcW w:w="1146" w:type="dxa"/>
            <w:vAlign w:val="center"/>
            <w:vMerge w:val="restart"/>
            <w:textDirection w:val="lrTb"/>
            <w:noWrap w:val="false"/>
          </w:tcPr>
          <w:p>
            <w:pPr>
              <w:numPr>
                <w:ilvl w:val="255"/>
                <w:numId w:val="0"/>
              </w:numPr>
              <w:ind w:firstLine="0"/>
              <w:jc w:val="center"/>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商务</w:t>
            </w:r>
            <w:r/>
          </w:p>
          <w:p>
            <w:pPr>
              <w:numPr>
                <w:ilvl w:val="255"/>
                <w:numId w:val="0"/>
              </w:numPr>
              <w:ind w:firstLine="0"/>
              <w:jc w:val="center"/>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部分</w:t>
            </w:r>
            <w:r/>
          </w:p>
          <w:p>
            <w:pPr>
              <w:numPr>
                <w:ilvl w:val="255"/>
                <w:numId w:val="0"/>
              </w:numPr>
              <w:ind w:firstLine="0"/>
              <w:jc w:val="center"/>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7</w:t>
            </w:r>
            <w:r>
              <w:rPr>
                <w:rFonts w:hint="eastAsia" w:ascii="宋体" w:hAnsi="宋体" w:cs="宋体"/>
                <w:color w:val="auto"/>
                <w:sz w:val="24"/>
                <w:szCs w:val="24"/>
                <w:highlight w:val="none"/>
              </w:rPr>
              <w:t xml:space="preserve">分）</w:t>
            </w:r>
            <w:r/>
          </w:p>
        </w:tc>
        <w:tc>
          <w:tcPr>
            <w:tcW w:w="1455" w:type="dxa"/>
            <w:vAlign w:val="center"/>
            <w:textDirection w:val="lrTb"/>
            <w:noWrap w:val="false"/>
          </w:tcPr>
          <w:p>
            <w:pPr>
              <w:numPr>
                <w:ilvl w:val="255"/>
                <w:numId w:val="0"/>
              </w:numPr>
              <w:ind w:firstLine="0"/>
              <w:jc w:val="center"/>
              <w:spacing w:line="288"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类似</w:t>
            </w:r>
            <w:r>
              <w:rPr>
                <w:rFonts w:hint="eastAsia" w:ascii="宋体" w:hAnsi="宋体" w:cs="宋体"/>
                <w:color w:val="auto"/>
                <w:sz w:val="24"/>
                <w:szCs w:val="24"/>
                <w:highlight w:val="none"/>
              </w:rPr>
              <w:t xml:space="preserve">业绩</w:t>
            </w:r>
            <w:r/>
          </w:p>
          <w:p>
            <w:pPr>
              <w:numPr>
                <w:ilvl w:val="255"/>
                <w:numId w:val="0"/>
              </w:numPr>
              <w:ind w:firstLine="0"/>
              <w:jc w:val="center"/>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（4分）</w:t>
            </w:r>
            <w:r/>
          </w:p>
        </w:tc>
        <w:tc>
          <w:tcPr>
            <w:tcW w:w="7784" w:type="dxa"/>
            <w:vAlign w:val="center"/>
            <w:textDirection w:val="lrTb"/>
            <w:noWrap w:val="false"/>
          </w:tcPr>
          <w:p>
            <w:pPr>
              <w:ind w:right="0" w:firstLine="0"/>
              <w:jc w:val="both"/>
              <w:spacing w:line="288"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投标文件中提供</w:t>
            </w:r>
            <w:r>
              <w:rPr>
                <w:rFonts w:hint="eastAsia" w:ascii="宋体" w:hAnsi="宋体" w:cs="宋体"/>
                <w:color w:val="auto"/>
                <w:sz w:val="24"/>
                <w:szCs w:val="24"/>
                <w:highlight w:val="none"/>
              </w:rPr>
              <w:t xml:space="preserve">投标人自202</w:t>
            </w: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eastAsia="zh-CN"/>
              </w:rPr>
              <w:t xml:space="preserve">7</w:t>
            </w:r>
            <w:r>
              <w:rPr>
                <w:rFonts w:hint="eastAsia" w:ascii="宋体" w:hAnsi="宋体" w:cs="宋体"/>
                <w:color w:val="auto"/>
                <w:sz w:val="24"/>
                <w:szCs w:val="24"/>
                <w:highlight w:val="none"/>
              </w:rPr>
              <w:t xml:space="preserve">月1日以来（时间以合同签订时间为准）</w:t>
            </w:r>
            <w:r>
              <w:rPr>
                <w:rFonts w:hint="eastAsia" w:ascii="宋体" w:hAnsi="宋体" w:cs="宋体"/>
                <w:color w:val="auto"/>
                <w:sz w:val="24"/>
                <w:szCs w:val="24"/>
                <w:highlight w:val="none"/>
                <w:lang w:val="en-US" w:eastAsia="zh-CN"/>
              </w:rPr>
              <w:t xml:space="preserve">承担过</w:t>
            </w:r>
            <w:r>
              <w:rPr>
                <w:rFonts w:hint="eastAsia" w:ascii="宋体" w:hAnsi="宋体" w:cs="宋体"/>
                <w:color w:val="auto"/>
                <w:sz w:val="24"/>
                <w:szCs w:val="24"/>
                <w:highlight w:val="none"/>
              </w:rPr>
              <w:t xml:space="preserve">类似项目业绩，每有一个得2分，最高得4分。</w:t>
            </w:r>
            <w:r/>
          </w:p>
          <w:p>
            <w:pPr>
              <w:ind w:firstLine="0"/>
              <w:jc w:val="both"/>
              <w:spacing w:line="288"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注：投标文件中同时提供中标（成交）通知书原件扫描件、合同原件扫描件、发票（或对应银行收款进账凭证）原件扫描件并加盖电子签章，业绩合同中主要内容</w:t>
            </w:r>
            <w:r>
              <w:rPr>
                <w:rFonts w:hint="eastAsia" w:ascii="宋体" w:hAnsi="宋体" w:cs="宋体"/>
                <w:b/>
                <w:bCs/>
                <w:color w:val="auto"/>
                <w:sz w:val="24"/>
                <w:szCs w:val="24"/>
                <w:highlight w:val="none"/>
                <w:lang w:val="en-US" w:eastAsia="zh-CN"/>
              </w:rPr>
              <w:t xml:space="preserve">应</w:t>
            </w:r>
            <w:r>
              <w:rPr>
                <w:rFonts w:hint="eastAsia" w:ascii="宋体" w:hAnsi="宋体" w:cs="宋体"/>
                <w:b/>
                <w:bCs/>
                <w:color w:val="auto"/>
                <w:sz w:val="24"/>
                <w:szCs w:val="24"/>
                <w:highlight w:val="none"/>
              </w:rPr>
              <w:t xml:space="preserve">清晰可见，</w:t>
            </w:r>
            <w:r>
              <w:rPr>
                <w:rFonts w:hint="eastAsia" w:ascii="宋体" w:hAnsi="宋体" w:cs="宋体"/>
                <w:b/>
                <w:bCs/>
                <w:color w:val="auto"/>
                <w:sz w:val="24"/>
                <w:szCs w:val="24"/>
                <w:highlight w:val="none"/>
                <w:lang w:val="en-US" w:eastAsia="zh-CN"/>
              </w:rPr>
              <w:t xml:space="preserve">提供不全</w:t>
            </w:r>
            <w:r>
              <w:rPr>
                <w:rFonts w:hint="eastAsia" w:ascii="宋体" w:hAnsi="宋体" w:cs="宋体"/>
                <w:b/>
                <w:bCs/>
                <w:color w:val="auto"/>
                <w:sz w:val="24"/>
                <w:szCs w:val="24"/>
                <w:highlight w:val="none"/>
              </w:rPr>
              <w:t xml:space="preserve">或提供内容模糊不清的不得分。</w:t>
            </w:r>
            <w:r/>
          </w:p>
        </w:tc>
      </w:tr>
      <w:tr>
        <w:trPr>
          <w:jc w:val="center"/>
          <w:trHeight w:val="1580"/>
        </w:trPr>
        <w:tc>
          <w:tcPr>
            <w:tcW w:w="1146" w:type="dxa"/>
            <w:vAlign w:val="center"/>
            <w:vMerge w:val="continue"/>
            <w:textDirection w:val="lrTb"/>
            <w:noWrap w:val="false"/>
          </w:tcPr>
          <w:p>
            <w:pPr>
              <w:numPr>
                <w:ilvl w:val="255"/>
                <w:numId w:val="0"/>
              </w:numPr>
              <w:ind w:firstLine="0"/>
              <w:jc w:val="center"/>
              <w:spacing w:line="288"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55" w:type="dxa"/>
            <w:vAlign w:val="center"/>
            <w:textDirection w:val="lrTb"/>
            <w:noWrap w:val="false"/>
          </w:tcPr>
          <w:p>
            <w:pPr>
              <w:numPr>
                <w:ilvl w:val="255"/>
                <w:numId w:val="0"/>
              </w:numPr>
              <w:ind w:firstLine="0"/>
              <w:jc w:val="center"/>
              <w:spacing w:line="288"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企业</w:t>
            </w:r>
            <w:r>
              <w:rPr>
                <w:rFonts w:hint="eastAsia" w:ascii="宋体" w:hAnsi="宋体" w:cs="宋体"/>
                <w:color w:val="auto"/>
                <w:sz w:val="24"/>
                <w:szCs w:val="24"/>
                <w:highlight w:val="none"/>
              </w:rPr>
              <w:t xml:space="preserve">评价</w:t>
            </w:r>
            <w:r/>
          </w:p>
          <w:p>
            <w:pPr>
              <w:numPr>
                <w:ilvl w:val="255"/>
                <w:numId w:val="0"/>
              </w:numPr>
              <w:ind w:firstLine="0"/>
              <w:jc w:val="center"/>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rPr>
              <w:t xml:space="preserve">分）</w:t>
            </w:r>
            <w:r/>
          </w:p>
        </w:tc>
        <w:tc>
          <w:tcPr>
            <w:tcW w:w="7784" w:type="dxa"/>
            <w:vAlign w:val="center"/>
            <w:textDirection w:val="lrTb"/>
            <w:noWrap w:val="false"/>
          </w:tcPr>
          <w:p>
            <w:pPr>
              <w:ind w:firstLine="0"/>
              <w:jc w:val="both"/>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投标人通过ISO9001质量管理体系认证、ISO14001环境管理体系认证、ISO45001职业健康安全管理体系认证的，每提供一个</w:t>
            </w:r>
            <w:r>
              <w:rPr>
                <w:rFonts w:hint="eastAsia" w:ascii="宋体" w:hAnsi="宋体" w:cs="宋体"/>
                <w:color w:val="auto"/>
                <w:sz w:val="24"/>
                <w:szCs w:val="24"/>
                <w:highlight w:val="none"/>
                <w:lang w:val="en-US" w:eastAsia="zh-CN"/>
              </w:rPr>
              <w:t xml:space="preserve">证书</w:t>
            </w:r>
            <w:r>
              <w:rPr>
                <w:rFonts w:hint="eastAsia" w:ascii="宋体" w:hAnsi="宋体" w:cs="宋体"/>
                <w:color w:val="auto"/>
                <w:sz w:val="24"/>
                <w:szCs w:val="24"/>
                <w:highlight w:val="none"/>
              </w:rPr>
              <w:t xml:space="preserve">得1分，本项最多3分。</w:t>
            </w:r>
            <w:r/>
          </w:p>
          <w:p>
            <w:pPr>
              <w:ind w:firstLine="0"/>
              <w:jc w:val="both"/>
              <w:spacing w:line="288"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投标文件中提供以上证书原件扫描件并加盖电子签章，同时提供国家市场监督管理总局“全国认证认可信息公共服务平台”（http://cx.cnca.cn）查询截图，未提供查询截图、失效、撤销或暂停均属于无效证书不得分。</w:t>
            </w:r>
            <w:r/>
          </w:p>
        </w:tc>
      </w:tr>
      <w:tr>
        <w:trPr>
          <w:jc w:val="center"/>
          <w:trHeight w:val="446"/>
        </w:trPr>
        <w:tc>
          <w:tcPr>
            <w:tcW w:w="1146" w:type="dxa"/>
            <w:vAlign w:val="center"/>
            <w:vMerge w:val="restart"/>
            <w:textDirection w:val="lrTb"/>
            <w:noWrap w:val="false"/>
          </w:tcPr>
          <w:p>
            <w:pPr>
              <w:numPr>
                <w:ilvl w:val="255"/>
                <w:numId w:val="0"/>
              </w:numPr>
              <w:ind w:firstLine="0"/>
              <w:jc w:val="center"/>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技术</w:t>
            </w:r>
            <w:r/>
          </w:p>
          <w:p>
            <w:pPr>
              <w:numPr>
                <w:ilvl w:val="255"/>
                <w:numId w:val="0"/>
              </w:numPr>
              <w:ind w:firstLine="0"/>
              <w:jc w:val="center"/>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部分</w:t>
            </w:r>
            <w:r/>
          </w:p>
          <w:p>
            <w:pPr>
              <w:numPr>
                <w:ilvl w:val="255"/>
                <w:numId w:val="0"/>
              </w:numPr>
              <w:ind w:firstLine="0"/>
              <w:jc w:val="center"/>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68</w:t>
            </w:r>
            <w:r>
              <w:rPr>
                <w:rFonts w:hint="eastAsia" w:ascii="宋体" w:hAnsi="宋体" w:cs="宋体"/>
                <w:color w:val="auto"/>
                <w:sz w:val="24"/>
                <w:szCs w:val="24"/>
                <w:highlight w:val="none"/>
              </w:rPr>
              <w:t xml:space="preserve">分）</w:t>
            </w:r>
            <w:r/>
          </w:p>
        </w:tc>
        <w:tc>
          <w:tcPr>
            <w:tcW w:w="1455" w:type="dxa"/>
            <w:vAlign w:val="center"/>
            <w:textDirection w:val="lrTb"/>
            <w:noWrap w:val="false"/>
          </w:tcPr>
          <w:p>
            <w:pPr>
              <w:ind w:firstLine="0"/>
              <w:jc w:val="center"/>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项目实施方案</w:t>
            </w:r>
            <w:r/>
          </w:p>
          <w:p>
            <w:pPr>
              <w:pStyle w:val="866"/>
              <w:ind w:firstLine="0"/>
              <w:jc w:val="center"/>
              <w:spacing w:after="0" w:line="288" w:lineRule="auto"/>
              <w:rPr>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8</w:t>
            </w:r>
            <w:r>
              <w:rPr>
                <w:rFonts w:hint="eastAsia" w:ascii="宋体" w:hAnsi="宋体" w:cs="宋体"/>
                <w:color w:val="auto"/>
                <w:sz w:val="24"/>
                <w:szCs w:val="24"/>
                <w:highlight w:val="none"/>
              </w:rPr>
              <w:t xml:space="preserve">分）</w:t>
            </w:r>
            <w:r/>
          </w:p>
        </w:tc>
        <w:tc>
          <w:tcPr>
            <w:tcW w:w="7784" w:type="dxa"/>
            <w:vAlign w:val="center"/>
            <w:textDirection w:val="lrTb"/>
            <w:noWrap w:val="false"/>
          </w:tcPr>
          <w:p>
            <w:pPr>
              <w:ind w:firstLine="0"/>
              <w:jc w:val="both"/>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投标文件中</w:t>
            </w:r>
            <w:r>
              <w:rPr>
                <w:rFonts w:hint="eastAsia" w:ascii="宋体" w:hAnsi="宋体" w:cs="宋体"/>
                <w:color w:val="auto"/>
                <w:sz w:val="24"/>
                <w:szCs w:val="24"/>
                <w:highlight w:val="none"/>
              </w:rPr>
              <w:t xml:space="preserve">提供详细的项目实施方案，</w:t>
            </w:r>
            <w:r>
              <w:rPr>
                <w:rFonts w:hint="eastAsia" w:ascii="Times New Roman" w:hAnsi="Times New Roman" w:eastAsia="宋体" w:cs="Times New Roman"/>
                <w:color w:val="auto"/>
                <w:sz w:val="24"/>
                <w:szCs w:val="24"/>
                <w:highlight w:val="none"/>
              </w:rPr>
              <w:t xml:space="preserve">详细的</w:t>
            </w:r>
            <w:r>
              <w:rPr>
                <w:rFonts w:hint="eastAsia" w:ascii="Times New Roman" w:hAnsi="Times New Roman" w:eastAsia="宋体" w:cs="Times New Roman"/>
                <w:color w:val="auto"/>
                <w:sz w:val="24"/>
                <w:szCs w:val="24"/>
                <w:highlight w:val="none"/>
                <w:lang w:val="en-US" w:eastAsia="zh-CN"/>
              </w:rPr>
              <w:t xml:space="preserve">维护</w:t>
            </w:r>
            <w:r>
              <w:rPr>
                <w:rFonts w:hint="eastAsia" w:ascii="Times New Roman" w:hAnsi="Times New Roman" w:eastAsia="宋体" w:cs="Times New Roman"/>
                <w:color w:val="auto"/>
                <w:sz w:val="24"/>
                <w:szCs w:val="24"/>
                <w:highlight w:val="none"/>
              </w:rPr>
              <w:t xml:space="preserve">计划，维护巡查记录表管理方案等</w:t>
            </w:r>
            <w:r>
              <w:rPr>
                <w:rFonts w:hint="eastAsia" w:ascii="Times New Roman" w:hAnsi="Times New Roman" w:eastAsia="宋体" w:cs="Times New Roman"/>
                <w:color w:val="auto"/>
                <w:sz w:val="24"/>
                <w:szCs w:val="24"/>
                <w:highlight w:val="none"/>
                <w:lang w:eastAsia="zh-CN"/>
              </w:rPr>
              <w:t xml:space="preserve">，</w:t>
            </w:r>
            <w:r>
              <w:rPr>
                <w:rFonts w:hint="eastAsia" w:ascii="宋体" w:hAnsi="宋体" w:cs="宋体"/>
                <w:color w:val="auto"/>
                <w:sz w:val="24"/>
                <w:szCs w:val="24"/>
                <w:highlight w:val="none"/>
              </w:rPr>
              <w:t xml:space="preserve">包括但不限于</w:t>
            </w:r>
            <w:r>
              <w:rPr>
                <w:rFonts w:hint="eastAsia" w:ascii="Times New Roman" w:hAnsi="Times New Roman" w:eastAsia="宋体" w:cs="Times New Roman"/>
                <w:color w:val="auto"/>
                <w:sz w:val="24"/>
                <w:szCs w:val="24"/>
                <w:highlight w:val="none"/>
                <w:lang w:val="en-US" w:eastAsia="zh-CN"/>
              </w:rPr>
              <w:t xml:space="preserve">：</w:t>
            </w:r>
            <w:r>
              <w:rPr>
                <w:rFonts w:hint="eastAsia" w:ascii="宋体" w:hAnsi="宋体" w:cs="宋体"/>
                <w:color w:val="auto"/>
                <w:sz w:val="24"/>
                <w:szCs w:val="24"/>
                <w:highlight w:val="none"/>
              </w:rPr>
              <w:t xml:space="preserve">巡视计划</w:t>
            </w:r>
            <w:r>
              <w:rPr>
                <w:rFonts w:hint="eastAsia" w:ascii="Times New Roman" w:hAnsi="Times New Roman" w:eastAsia="宋体" w:cs="Times New Roman"/>
                <w:b w:val="0"/>
                <w:bCs w:val="0"/>
                <w:color w:val="auto"/>
                <w:sz w:val="24"/>
                <w:szCs w:val="22"/>
                <w:highlight w:val="none"/>
                <w:lang w:val="en-US" w:eastAsia="zh-CN" w:bidi="ar-SA"/>
              </w:rPr>
              <w:t xml:space="preserve">、</w:t>
            </w:r>
            <w:r>
              <w:rPr>
                <w:rFonts w:hint="eastAsia" w:ascii="宋体" w:hAnsi="宋体" w:cs="宋体"/>
                <w:color w:val="auto"/>
                <w:sz w:val="24"/>
                <w:szCs w:val="24"/>
                <w:highlight w:val="none"/>
              </w:rPr>
              <w:t xml:space="preserve">详细的日常</w:t>
            </w:r>
            <w:r>
              <w:rPr>
                <w:rFonts w:hint="eastAsia" w:ascii="Times New Roman" w:hAnsi="Times New Roman" w:eastAsia="宋体" w:cs="Times New Roman"/>
                <w:b w:val="0"/>
                <w:bCs w:val="0"/>
                <w:color w:val="auto"/>
                <w:sz w:val="24"/>
                <w:szCs w:val="22"/>
                <w:highlight w:val="none"/>
                <w:lang w:val="en-US" w:eastAsia="zh-CN" w:bidi="ar-SA"/>
              </w:rPr>
              <w:t xml:space="preserve">设备</w:t>
            </w:r>
            <w:r>
              <w:rPr>
                <w:rFonts w:hint="eastAsia" w:ascii="宋体" w:hAnsi="宋体" w:cs="宋体"/>
                <w:color w:val="auto"/>
                <w:sz w:val="24"/>
                <w:szCs w:val="24"/>
                <w:highlight w:val="none"/>
              </w:rPr>
              <w:t xml:space="preserve">维护</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系统维护</w:t>
            </w:r>
            <w:r>
              <w:rPr>
                <w:rFonts w:hint="eastAsia" w:ascii="宋体" w:hAnsi="宋体" w:cs="宋体"/>
                <w:color w:val="auto"/>
                <w:sz w:val="24"/>
                <w:szCs w:val="24"/>
                <w:highlight w:val="none"/>
                <w:lang w:eastAsia="zh-CN"/>
              </w:rPr>
              <w:t xml:space="preserve">、</w:t>
            </w:r>
            <w:r>
              <w:rPr>
                <w:rFonts w:hint="eastAsia" w:ascii="Times New Roman" w:hAnsi="Times New Roman" w:eastAsia="宋体" w:cs="Times New Roman"/>
                <w:b w:val="0"/>
                <w:bCs w:val="0"/>
                <w:color w:val="auto"/>
                <w:sz w:val="24"/>
                <w:szCs w:val="22"/>
                <w:highlight w:val="none"/>
                <w:lang w:val="en-US" w:eastAsia="zh-CN" w:bidi="ar-SA"/>
              </w:rPr>
              <w:t xml:space="preserve">校准与调试、设备运行问题处理</w:t>
            </w:r>
            <w:r>
              <w:rPr>
                <w:rFonts w:hint="eastAsia" w:ascii="Times New Roman" w:hAnsi="Times New Roman" w:eastAsia="宋体" w:cs="Times New Roman"/>
                <w:color w:val="auto"/>
                <w:sz w:val="24"/>
                <w:szCs w:val="24"/>
                <w:highlight w:val="none"/>
                <w:lang w:eastAsia="zh-CN"/>
              </w:rPr>
              <w:t xml:space="preserve">、</w:t>
            </w:r>
            <w:r>
              <w:rPr>
                <w:rFonts w:hint="eastAsia" w:ascii="宋体" w:hAnsi="宋体" w:cs="宋体"/>
                <w:color w:val="auto"/>
                <w:sz w:val="24"/>
                <w:szCs w:val="24"/>
                <w:highlight w:val="none"/>
              </w:rPr>
              <w:t xml:space="preserve">巡查记录表管理、人员日常管理方案等</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对内容的全面性、可行性、针对性进行评价</w:t>
            </w:r>
            <w:r>
              <w:rPr>
                <w:rFonts w:hint="eastAsia" w:ascii="宋体" w:hAnsi="宋体" w:cs="宋体"/>
                <w:color w:val="auto"/>
                <w:sz w:val="24"/>
                <w:szCs w:val="24"/>
                <w:highlight w:val="none"/>
                <w:lang w:eastAsia="zh-CN"/>
              </w:rPr>
              <w:t xml:space="preserve">：</w:t>
            </w:r>
            <w:r/>
          </w:p>
          <w:p>
            <w:pPr>
              <w:ind w:firstLine="0"/>
              <w:jc w:val="both"/>
              <w:spacing w:line="288"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内容全面具体</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细化</w:t>
            </w:r>
            <w:r>
              <w:rPr>
                <w:rFonts w:hint="eastAsia" w:ascii="宋体" w:hAnsi="宋体" w:cs="宋体"/>
                <w:color w:val="auto"/>
                <w:sz w:val="24"/>
                <w:szCs w:val="24"/>
                <w:highlight w:val="none"/>
              </w:rPr>
              <w:t xml:space="preserve">详实</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贴合项目实际</w:t>
            </w:r>
            <w:r>
              <w:rPr>
                <w:rFonts w:hint="eastAsia" w:ascii="宋体" w:hAnsi="宋体" w:cs="宋体"/>
                <w:color w:val="auto"/>
                <w:sz w:val="24"/>
                <w:szCs w:val="24"/>
                <w:highlight w:val="none"/>
              </w:rPr>
              <w:t xml:space="preserve">针对强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符合项目需求的得8分；</w:t>
            </w:r>
            <w:r/>
          </w:p>
          <w:p>
            <w:pPr>
              <w:ind w:firstLine="0"/>
              <w:jc w:val="both"/>
              <w:spacing w:line="288"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整体内容较为全面细化，贴合项目实际有针对性</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基本符合项目需求的</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eastAsia="zh-CN"/>
              </w:rPr>
              <w:t xml:space="preserve">6</w:t>
            </w:r>
            <w:r>
              <w:rPr>
                <w:rFonts w:hint="eastAsia" w:ascii="宋体" w:hAnsi="宋体" w:cs="宋体"/>
                <w:color w:val="auto"/>
                <w:sz w:val="24"/>
                <w:szCs w:val="24"/>
                <w:highlight w:val="none"/>
              </w:rPr>
              <w:t xml:space="preserve">分。</w:t>
            </w:r>
            <w:r/>
          </w:p>
          <w:p>
            <w:pPr>
              <w:ind w:firstLine="0"/>
              <w:jc w:val="both"/>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方案核心内容基本全面，内容基本细化，与项目实际贴合度一般，可行性针对性一般，</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ind w:firstLine="0"/>
              <w:jc w:val="both"/>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方案核心内容存在缺失，内容细化程度不足，与项目实际贴合度不足</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ind w:firstLine="0"/>
              <w:jc w:val="both"/>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未提供的</w:t>
            </w:r>
            <w:r>
              <w:rPr>
                <w:rFonts w:hint="eastAsia" w:ascii="宋体" w:hAnsi="宋体" w:cs="宋体"/>
                <w:color w:val="auto"/>
                <w:sz w:val="24"/>
                <w:szCs w:val="24"/>
                <w:highlight w:val="none"/>
                <w:lang w:val="en-US" w:eastAsia="zh-CN"/>
              </w:rPr>
              <w:t xml:space="preserve">不得分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本项最高得</w:t>
            </w:r>
            <w:r>
              <w:rPr>
                <w:rFonts w:hint="eastAsia" w:ascii="宋体" w:hAnsi="宋体" w:cs="宋体"/>
                <w:color w:val="auto"/>
                <w:sz w:val="24"/>
                <w:szCs w:val="24"/>
                <w:highlight w:val="none"/>
                <w:lang w:eastAsia="zh-CN"/>
              </w:rPr>
              <w:t xml:space="preserve">8</w:t>
            </w:r>
            <w:r>
              <w:rPr>
                <w:rFonts w:hint="eastAsia" w:ascii="宋体" w:hAnsi="宋体" w:cs="宋体"/>
                <w:color w:val="auto"/>
                <w:sz w:val="24"/>
                <w:szCs w:val="24"/>
                <w:highlight w:val="none"/>
              </w:rPr>
              <w:t xml:space="preserve">分。</w:t>
            </w:r>
            <w:r/>
          </w:p>
        </w:tc>
      </w:tr>
      <w:tr>
        <w:trPr>
          <w:jc w:val="center"/>
          <w:trHeight w:val="4027"/>
        </w:trPr>
        <w:tc>
          <w:tcPr>
            <w:tcW w:w="1146" w:type="dxa"/>
            <w:vAlign w:val="center"/>
            <w:vMerge w:val="continue"/>
            <w:textDirection w:val="lrTb"/>
            <w:noWrap w:val="false"/>
          </w:tcPr>
          <w:p>
            <w:pPr>
              <w:numPr>
                <w:ilvl w:val="255"/>
                <w:numId w:val="0"/>
              </w:numPr>
              <w:ind w:firstLine="0"/>
              <w:jc w:val="center"/>
              <w:spacing w:line="288"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55" w:type="dxa"/>
            <w:vAlign w:val="center"/>
            <w:textDirection w:val="lrTb"/>
            <w:noWrap w:val="false"/>
          </w:tcPr>
          <w:p>
            <w:pPr>
              <w:ind w:firstLine="0"/>
              <w:jc w:val="center"/>
              <w:spacing w:line="288" w:lineRule="auto"/>
              <w:rPr>
                <w:rFonts w:ascii="宋体" w:hAnsi="宋体" w:cs="宋体"/>
                <w:bCs/>
                <w:color w:val="auto"/>
                <w:sz w:val="24"/>
                <w:szCs w:val="24"/>
                <w:highlight w:val="none"/>
              </w:rPr>
            </w:pPr>
            <w:r>
              <w:rPr>
                <w:rFonts w:hint="eastAsia" w:ascii="Times New Roman" w:eastAsia="宋体"/>
                <w:color w:val="auto"/>
                <w:highlight w:val="none"/>
                <w:lang w:val="en-US" w:eastAsia="zh-CN"/>
              </w:rPr>
              <w:t xml:space="preserve">外场维护</w:t>
            </w:r>
            <w:r>
              <w:rPr>
                <w:rFonts w:hint="eastAsia" w:ascii="宋体" w:hAnsi="宋体" w:cs="宋体"/>
                <w:bCs/>
                <w:color w:val="auto"/>
                <w:sz w:val="24"/>
                <w:szCs w:val="24"/>
                <w:highlight w:val="none"/>
              </w:rPr>
              <w:t xml:space="preserve">方案</w:t>
            </w:r>
            <w:r/>
          </w:p>
          <w:p>
            <w:pPr>
              <w:numPr>
                <w:ilvl w:val="255"/>
                <w:numId w:val="0"/>
              </w:numPr>
              <w:ind w:firstLine="0"/>
              <w:jc w:val="center"/>
              <w:spacing w:line="288"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（15分）</w:t>
            </w:r>
            <w:r/>
          </w:p>
        </w:tc>
        <w:tc>
          <w:tcPr>
            <w:tcW w:w="7784" w:type="dxa"/>
            <w:vAlign w:val="center"/>
            <w:textDirection w:val="lrTb"/>
            <w:noWrap w:val="false"/>
          </w:tcPr>
          <w:p>
            <w:pPr>
              <w:ind w:firstLine="0"/>
              <w:jc w:val="both"/>
              <w:spacing w:line="288"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根据提供的</w:t>
            </w:r>
            <w:r>
              <w:rPr>
                <w:rFonts w:hint="eastAsia" w:ascii="宋体" w:hAnsi="宋体" w:cs="宋体"/>
                <w:color w:val="auto"/>
                <w:sz w:val="24"/>
                <w:szCs w:val="24"/>
                <w:highlight w:val="none"/>
                <w:lang w:val="en-US" w:eastAsia="zh-CN"/>
              </w:rPr>
              <w:t xml:space="preserve">外场维护</w:t>
            </w:r>
            <w:r>
              <w:rPr>
                <w:rFonts w:hint="eastAsia" w:ascii="宋体" w:hAnsi="宋体" w:cs="宋体"/>
                <w:color w:val="auto"/>
                <w:sz w:val="24"/>
                <w:szCs w:val="24"/>
                <w:highlight w:val="none"/>
              </w:rPr>
              <w:t xml:space="preserve">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包括但不限于</w:t>
            </w:r>
            <w:r>
              <w:rPr>
                <w:rFonts w:hint="eastAsia" w:ascii="宋体" w:hAnsi="宋体" w:cs="宋体"/>
                <w:bCs/>
                <w:color w:val="auto"/>
                <w:sz w:val="24"/>
                <w:szCs w:val="24"/>
                <w:highlight w:val="none"/>
                <w:lang w:val="en-US" w:eastAsia="zh-CN"/>
              </w:rPr>
              <w:t xml:space="preserve">信号机及组件拆装更换、设备维护、设备台账数据更新、路口移交管理、管线调查、信号灯及其附属设施日常安全巡查、故障处置、勤务保障等外场维护工作，</w:t>
            </w:r>
            <w:r>
              <w:rPr>
                <w:rFonts w:hint="eastAsia" w:ascii="宋体" w:hAnsi="宋体" w:cs="宋体"/>
                <w:color w:val="auto"/>
                <w:sz w:val="24"/>
                <w:szCs w:val="24"/>
                <w:highlight w:val="none"/>
              </w:rPr>
              <w:t xml:space="preserve">对内容的全面性、可行性、针对性进行评价</w:t>
            </w:r>
            <w:r>
              <w:rPr>
                <w:rFonts w:hint="eastAsia" w:ascii="宋体" w:hAnsi="宋体" w:cs="宋体"/>
                <w:color w:val="auto"/>
                <w:sz w:val="24"/>
                <w:szCs w:val="24"/>
                <w:highlight w:val="none"/>
                <w:lang w:eastAsia="zh-CN"/>
              </w:rPr>
              <w:t xml:space="preserve">：</w:t>
            </w:r>
            <w:r/>
          </w:p>
          <w:p>
            <w:pPr>
              <w:ind w:firstLine="0"/>
              <w:jc w:val="both"/>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全面性(5分)：</w:t>
            </w:r>
            <w:r>
              <w:rPr>
                <w:rFonts w:hint="eastAsia" w:ascii="宋体" w:hAnsi="宋体" w:cs="宋体"/>
                <w:color w:val="auto"/>
                <w:sz w:val="24"/>
                <w:szCs w:val="24"/>
                <w:highlight w:val="none"/>
                <w:lang w:val="en-US" w:eastAsia="zh-CN"/>
              </w:rPr>
              <w:t xml:space="preserve">内容全面覆盖</w:t>
            </w:r>
            <w:r>
              <w:rPr>
                <w:rFonts w:hint="eastAsia" w:ascii="宋体" w:hAnsi="宋体" w:cs="宋体"/>
                <w:color w:val="auto"/>
                <w:sz w:val="24"/>
                <w:szCs w:val="24"/>
                <w:highlight w:val="none"/>
              </w:rPr>
              <w:t xml:space="preserve">具体详实得5分；</w:t>
            </w:r>
            <w:r>
              <w:rPr>
                <w:rFonts w:hint="eastAsia" w:ascii="宋体" w:hAnsi="宋体" w:cs="宋体"/>
                <w:color w:val="auto"/>
                <w:sz w:val="24"/>
                <w:szCs w:val="24"/>
                <w:highlight w:val="none"/>
                <w:lang w:val="en-US" w:eastAsia="zh-CN"/>
              </w:rPr>
              <w:t xml:space="preserve">内容全面覆盖</w:t>
            </w:r>
            <w:r>
              <w:rPr>
                <w:rFonts w:hint="eastAsia" w:ascii="宋体" w:hAnsi="宋体" w:cs="宋体"/>
                <w:color w:val="auto"/>
                <w:sz w:val="24"/>
                <w:szCs w:val="24"/>
                <w:highlight w:val="none"/>
              </w:rPr>
              <w:t xml:space="preserve">但内容简单得3分；</w:t>
            </w:r>
            <w:r>
              <w:rPr>
                <w:rFonts w:ascii="宋体" w:hAnsi="宋体" w:eastAsia="宋体" w:cs="宋体"/>
                <w:color w:val="auto"/>
                <w:sz w:val="24"/>
                <w:szCs w:val="24"/>
                <w:highlight w:val="none"/>
              </w:rPr>
              <w:t xml:space="preserve">仅覆盖部分业务，</w:t>
            </w:r>
            <w:r>
              <w:rPr>
                <w:rFonts w:hint="eastAsia" w:ascii="宋体" w:hAnsi="宋体" w:eastAsia="宋体" w:cs="宋体"/>
                <w:color w:val="auto"/>
                <w:sz w:val="24"/>
                <w:szCs w:val="24"/>
                <w:highlight w:val="none"/>
                <w:lang w:val="en-US" w:eastAsia="zh-CN"/>
              </w:rPr>
              <w:t xml:space="preserve">有</w:t>
            </w:r>
            <w:r>
              <w:rPr>
                <w:rFonts w:ascii="宋体" w:hAnsi="宋体" w:eastAsia="宋体" w:cs="宋体"/>
                <w:color w:val="auto"/>
                <w:sz w:val="24"/>
                <w:szCs w:val="24"/>
                <w:highlight w:val="none"/>
              </w:rPr>
              <w:t xml:space="preserve">缺漏</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rPr>
              <w:t xml:space="preserve">存在较大漏项或缺陷得0分。</w:t>
            </w:r>
            <w:r/>
          </w:p>
          <w:p>
            <w:pPr>
              <w:ind w:firstLine="0"/>
              <w:jc w:val="both"/>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可行性(5分)：</w:t>
            </w:r>
            <w:r>
              <w:rPr>
                <w:rFonts w:ascii="宋体" w:hAnsi="宋体" w:eastAsia="宋体" w:cs="宋体"/>
                <w:color w:val="auto"/>
                <w:sz w:val="24"/>
                <w:szCs w:val="24"/>
                <w:highlight w:val="none"/>
              </w:rPr>
              <w:t xml:space="preserve">贴合现场</w:t>
            </w:r>
            <w:r>
              <w:rPr>
                <w:rFonts w:hint="eastAsia" w:ascii="宋体" w:hAnsi="宋体" w:cs="宋体"/>
                <w:color w:val="auto"/>
                <w:sz w:val="24"/>
                <w:szCs w:val="24"/>
                <w:highlight w:val="none"/>
              </w:rPr>
              <w:t xml:space="preserve">切实可行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具体详实得5分；</w:t>
            </w:r>
            <w:r>
              <w:rPr>
                <w:rFonts w:ascii="宋体" w:hAnsi="宋体" w:eastAsia="宋体" w:cs="宋体"/>
                <w:color w:val="auto"/>
                <w:sz w:val="24"/>
                <w:szCs w:val="24"/>
                <w:highlight w:val="none"/>
              </w:rPr>
              <w:t xml:space="preserve">贴合现场</w:t>
            </w:r>
            <w:r>
              <w:rPr>
                <w:rFonts w:hint="eastAsia" w:ascii="宋体" w:hAnsi="宋体" w:cs="宋体"/>
                <w:color w:val="auto"/>
                <w:sz w:val="24"/>
                <w:szCs w:val="24"/>
                <w:highlight w:val="none"/>
              </w:rPr>
              <w:t xml:space="preserve">切实可行性一般得3分；</w:t>
            </w:r>
            <w:r>
              <w:rPr>
                <w:rFonts w:hint="eastAsia" w:ascii="宋体" w:hAnsi="宋体" w:cs="宋体"/>
                <w:color w:val="auto"/>
                <w:sz w:val="24"/>
                <w:szCs w:val="24"/>
                <w:highlight w:val="none"/>
                <w:lang w:val="en-US" w:eastAsia="zh-CN"/>
              </w:rPr>
              <w:t xml:space="preserve">仅</w:t>
            </w:r>
            <w:r>
              <w:rPr>
                <w:rFonts w:ascii="宋体" w:hAnsi="宋体" w:eastAsia="宋体" w:cs="宋体"/>
                <w:color w:val="auto"/>
                <w:sz w:val="24"/>
                <w:szCs w:val="24"/>
                <w:highlight w:val="none"/>
              </w:rPr>
              <w:t xml:space="preserve">少量内容</w:t>
            </w:r>
            <w:r>
              <w:rPr>
                <w:rFonts w:hint="eastAsia" w:ascii="宋体" w:hAnsi="宋体" w:cs="宋体"/>
                <w:color w:val="auto"/>
                <w:sz w:val="24"/>
                <w:szCs w:val="24"/>
                <w:highlight w:val="none"/>
              </w:rPr>
              <w:t xml:space="preserve">可行得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rPr>
              <w:t xml:space="preserve">可行性差得0分。</w:t>
            </w:r>
            <w:r/>
          </w:p>
          <w:p>
            <w:pPr>
              <w:ind w:firstLine="0"/>
              <w:jc w:val="both"/>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针对性(5分)：</w:t>
            </w:r>
            <w:r>
              <w:rPr>
                <w:rFonts w:ascii="宋体" w:hAnsi="宋体" w:eastAsia="宋体" w:cs="宋体"/>
                <w:color w:val="auto"/>
                <w:sz w:val="24"/>
                <w:szCs w:val="24"/>
                <w:highlight w:val="none"/>
              </w:rPr>
              <w:t xml:space="preserve">紧扣</w:t>
            </w:r>
            <w:r>
              <w:rPr>
                <w:rFonts w:hint="eastAsia" w:ascii="宋体" w:hAnsi="宋体" w:eastAsia="宋体" w:cs="宋体"/>
                <w:color w:val="auto"/>
                <w:sz w:val="24"/>
                <w:szCs w:val="24"/>
                <w:highlight w:val="none"/>
                <w:lang w:val="en-US" w:eastAsia="zh-CN"/>
              </w:rPr>
              <w:t xml:space="preserve">维护特点</w:t>
            </w:r>
            <w:r>
              <w:rPr>
                <w:rFonts w:hint="eastAsia" w:ascii="宋体" w:hAnsi="宋体" w:cs="宋体"/>
                <w:color w:val="auto"/>
                <w:sz w:val="24"/>
                <w:szCs w:val="24"/>
                <w:highlight w:val="none"/>
              </w:rPr>
              <w:t xml:space="preserve">针对性强得5分；针对性一般得3分；</w:t>
            </w:r>
            <w:r>
              <w:rPr>
                <w:rFonts w:hint="eastAsia" w:ascii="宋体" w:hAnsi="宋体" w:cs="宋体"/>
                <w:color w:val="auto"/>
                <w:sz w:val="24"/>
                <w:szCs w:val="24"/>
                <w:highlight w:val="none"/>
                <w:lang w:val="en-US" w:eastAsia="zh-CN"/>
              </w:rPr>
              <w:t xml:space="preserve">仅</w:t>
            </w:r>
            <w:r>
              <w:rPr>
                <w:rFonts w:ascii="宋体" w:hAnsi="宋体" w:eastAsia="宋体" w:cs="宋体"/>
                <w:color w:val="auto"/>
                <w:sz w:val="24"/>
                <w:szCs w:val="24"/>
                <w:highlight w:val="none"/>
              </w:rPr>
              <w:t xml:space="preserve">少量内容</w:t>
            </w:r>
            <w:r>
              <w:rPr>
                <w:rFonts w:hint="eastAsia" w:ascii="宋体" w:hAnsi="宋体" w:eastAsia="宋体" w:cs="宋体"/>
                <w:color w:val="auto"/>
                <w:sz w:val="24"/>
                <w:szCs w:val="24"/>
                <w:highlight w:val="none"/>
                <w:lang w:val="en-US" w:eastAsia="zh-CN"/>
              </w:rPr>
              <w:t xml:space="preserve">有针对</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rPr>
              <w:t xml:space="preserve">针对性差得0分。</w:t>
            </w:r>
            <w:r/>
          </w:p>
          <w:p>
            <w:pPr>
              <w:ind w:firstLine="0"/>
              <w:jc w:val="both"/>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未提供的</w:t>
            </w:r>
            <w:r>
              <w:rPr>
                <w:rFonts w:hint="eastAsia" w:ascii="宋体" w:hAnsi="宋体" w:cs="宋体"/>
                <w:color w:val="auto"/>
                <w:sz w:val="24"/>
                <w:szCs w:val="24"/>
                <w:highlight w:val="none"/>
                <w:lang w:val="en-US" w:eastAsia="zh-CN"/>
              </w:rPr>
              <w:t xml:space="preserve">不得分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本项最高得15分。</w:t>
            </w:r>
            <w:r/>
          </w:p>
        </w:tc>
      </w:tr>
      <w:tr>
        <w:trPr>
          <w:jc w:val="center"/>
          <w:trHeight w:val="3995"/>
        </w:trPr>
        <w:tc>
          <w:tcPr>
            <w:tcW w:w="1146" w:type="dxa"/>
            <w:vAlign w:val="center"/>
            <w:vMerge w:val="continue"/>
            <w:textDirection w:val="lrTb"/>
            <w:noWrap w:val="false"/>
          </w:tcPr>
          <w:p>
            <w:pPr>
              <w:numPr>
                <w:ilvl w:val="255"/>
                <w:numId w:val="0"/>
              </w:numPr>
              <w:ind w:firstLine="0"/>
              <w:jc w:val="center"/>
              <w:spacing w:line="288"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455" w:type="dxa"/>
            <w:vAlign w:val="center"/>
            <w:textDirection w:val="lrTb"/>
            <w:noWrap w:val="false"/>
          </w:tcPr>
          <w:p>
            <w:pPr>
              <w:numPr>
                <w:ilvl w:val="255"/>
                <w:numId w:val="0"/>
              </w:numPr>
              <w:ind w:firstLine="0"/>
              <w:jc w:val="center"/>
              <w:spacing w:line="288" w:lineRule="auto"/>
              <w:rPr>
                <w:rFonts w:hint="eastAsia" w:ascii="Times New Roman" w:eastAsia="宋体"/>
                <w:color w:val="auto"/>
                <w:highlight w:val="none"/>
                <w:lang w:val="en-US" w:eastAsia="zh-CN"/>
              </w:rPr>
            </w:pPr>
            <w:r>
              <w:rPr>
                <w:rFonts w:hint="eastAsia" w:ascii="Times New Roman" w:eastAsia="宋体"/>
                <w:color w:val="auto"/>
                <w:highlight w:val="none"/>
                <w:lang w:val="en-US" w:eastAsia="zh-CN"/>
              </w:rPr>
              <w:t xml:space="preserve">内场维护</w:t>
            </w:r>
            <w:r>
              <w:rPr>
                <w:rFonts w:hint="eastAsia"/>
                <w:color w:val="auto"/>
                <w:highlight w:val="none"/>
                <w:lang w:val="en-US" w:eastAsia="zh-CN"/>
              </w:rPr>
              <w:t xml:space="preserve">方案</w:t>
            </w:r>
            <w:r/>
          </w:p>
          <w:p>
            <w:pPr>
              <w:numPr>
                <w:ilvl w:val="255"/>
                <w:numId w:val="0"/>
              </w:numPr>
              <w:ind w:firstLine="0"/>
              <w:jc w:val="center"/>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tc>
        <w:tc>
          <w:tcPr>
            <w:shd w:val="clear" w:color="auto" w:fill="auto"/>
            <w:tcW w:w="7784" w:type="dxa"/>
            <w:vAlign w:val="center"/>
            <w:textDirection w:val="lrTb"/>
            <w:noWrap w:val="false"/>
          </w:tcPr>
          <w:p>
            <w:pPr>
              <w:ind w:firstLine="0"/>
              <w:jc w:val="both"/>
              <w:spacing w:line="288"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根据提供的</w:t>
            </w:r>
            <w:r>
              <w:rPr>
                <w:rFonts w:hint="eastAsia" w:ascii="宋体" w:hAnsi="宋体" w:cs="宋体"/>
                <w:color w:val="auto"/>
                <w:sz w:val="24"/>
                <w:szCs w:val="24"/>
                <w:highlight w:val="none"/>
                <w:lang w:val="en-US" w:eastAsia="zh-CN"/>
              </w:rPr>
              <w:t xml:space="preserve">内场维护</w:t>
            </w:r>
            <w:r>
              <w:rPr>
                <w:rFonts w:hint="eastAsia" w:ascii="宋体" w:hAnsi="宋体" w:cs="宋体"/>
                <w:color w:val="auto"/>
                <w:sz w:val="24"/>
                <w:szCs w:val="24"/>
                <w:highlight w:val="none"/>
              </w:rPr>
              <w:t xml:space="preserve">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包括但不限于交通优化方案、系统维护方案，</w:t>
            </w:r>
            <w:r>
              <w:rPr>
                <w:rFonts w:hint="eastAsia" w:ascii="宋体" w:hAnsi="宋体" w:cs="宋体"/>
                <w:bCs/>
                <w:color w:val="auto"/>
                <w:sz w:val="24"/>
                <w:szCs w:val="24"/>
                <w:highlight w:val="none"/>
                <w:lang w:val="en-US" w:eastAsia="zh-CN"/>
              </w:rPr>
              <w:t xml:space="preserve">系统软件维护升级、信号配时优化、精细化拥堵治理等，</w:t>
            </w:r>
            <w:r>
              <w:rPr>
                <w:rFonts w:hint="eastAsia" w:ascii="宋体" w:hAnsi="宋体" w:cs="宋体"/>
                <w:color w:val="auto"/>
                <w:sz w:val="24"/>
                <w:szCs w:val="24"/>
                <w:highlight w:val="none"/>
              </w:rPr>
              <w:t xml:space="preserve">对内容的全面性、可行性、针对性进行评价</w:t>
            </w:r>
            <w:r>
              <w:rPr>
                <w:rFonts w:hint="eastAsia" w:ascii="宋体" w:hAnsi="宋体" w:cs="宋体"/>
                <w:color w:val="auto"/>
                <w:sz w:val="24"/>
                <w:szCs w:val="24"/>
                <w:highlight w:val="none"/>
                <w:lang w:eastAsia="zh-CN"/>
              </w:rPr>
              <w:t xml:space="preserve">：</w:t>
            </w:r>
            <w:r/>
          </w:p>
          <w:p>
            <w:pPr>
              <w:ind w:firstLine="0"/>
              <w:jc w:val="both"/>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全面性(</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内容全面覆盖</w:t>
            </w:r>
            <w:r>
              <w:rPr>
                <w:rFonts w:hint="eastAsia" w:ascii="宋体" w:hAnsi="宋体" w:cs="宋体"/>
                <w:color w:val="auto"/>
                <w:sz w:val="24"/>
                <w:szCs w:val="24"/>
                <w:highlight w:val="none"/>
              </w:rPr>
              <w:t xml:space="preserve">具体详实得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内容全面覆盖</w:t>
            </w:r>
            <w:r>
              <w:rPr>
                <w:rFonts w:hint="eastAsia" w:ascii="宋体" w:hAnsi="宋体" w:cs="宋体"/>
                <w:color w:val="auto"/>
                <w:sz w:val="24"/>
                <w:szCs w:val="24"/>
                <w:highlight w:val="none"/>
              </w:rPr>
              <w:t xml:space="preserve">但内容简单得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rPr>
                <w:rFonts w:ascii="宋体" w:hAnsi="宋体" w:eastAsia="宋体" w:cs="宋体"/>
                <w:color w:val="auto"/>
                <w:sz w:val="24"/>
                <w:szCs w:val="24"/>
                <w:highlight w:val="none"/>
              </w:rPr>
              <w:t xml:space="preserve">仅覆盖部分业务，</w:t>
            </w:r>
            <w:r>
              <w:rPr>
                <w:rFonts w:hint="eastAsia" w:ascii="宋体" w:hAnsi="宋体" w:eastAsia="宋体" w:cs="宋体"/>
                <w:color w:val="auto"/>
                <w:sz w:val="24"/>
                <w:szCs w:val="24"/>
                <w:highlight w:val="none"/>
                <w:lang w:val="en-US" w:eastAsia="zh-CN"/>
              </w:rPr>
              <w:t xml:space="preserve">有</w:t>
            </w:r>
            <w:r>
              <w:rPr>
                <w:rFonts w:ascii="宋体" w:hAnsi="宋体" w:eastAsia="宋体" w:cs="宋体"/>
                <w:color w:val="auto"/>
                <w:sz w:val="24"/>
                <w:szCs w:val="24"/>
                <w:highlight w:val="none"/>
              </w:rPr>
              <w:t xml:space="preserve">缺漏</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rPr>
              <w:t xml:space="preserve">存在较大漏项或缺陷得0分。</w:t>
            </w:r>
            <w:r/>
          </w:p>
          <w:p>
            <w:pPr>
              <w:ind w:firstLine="0"/>
              <w:jc w:val="both"/>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rPr>
                <w:rFonts w:ascii="宋体" w:hAnsi="宋体" w:eastAsia="宋体" w:cs="宋体"/>
                <w:color w:val="auto"/>
                <w:sz w:val="24"/>
                <w:szCs w:val="24"/>
                <w:highlight w:val="none"/>
              </w:rPr>
              <w:t xml:space="preserve">贴合现场</w:t>
            </w:r>
            <w:r>
              <w:rPr>
                <w:rFonts w:hint="eastAsia" w:ascii="宋体" w:hAnsi="宋体" w:cs="宋体"/>
                <w:color w:val="auto"/>
                <w:sz w:val="24"/>
                <w:szCs w:val="24"/>
                <w:highlight w:val="none"/>
              </w:rPr>
              <w:t xml:space="preserve">切实可行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具体详实得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rPr>
                <w:rFonts w:ascii="宋体" w:hAnsi="宋体" w:eastAsia="宋体" w:cs="宋体"/>
                <w:color w:val="auto"/>
                <w:sz w:val="24"/>
                <w:szCs w:val="24"/>
                <w:highlight w:val="none"/>
              </w:rPr>
              <w:t xml:space="preserve">贴合现场</w:t>
            </w:r>
            <w:r>
              <w:rPr>
                <w:rFonts w:hint="eastAsia" w:ascii="宋体" w:hAnsi="宋体" w:cs="宋体"/>
                <w:color w:val="auto"/>
                <w:sz w:val="24"/>
                <w:szCs w:val="24"/>
                <w:highlight w:val="none"/>
              </w:rPr>
              <w:t xml:space="preserve">切实可行性一般得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仅</w:t>
            </w:r>
            <w:r>
              <w:rPr>
                <w:rFonts w:ascii="宋体" w:hAnsi="宋体" w:eastAsia="宋体" w:cs="宋体"/>
                <w:color w:val="auto"/>
                <w:sz w:val="24"/>
                <w:szCs w:val="24"/>
                <w:highlight w:val="none"/>
              </w:rPr>
              <w:t xml:space="preserve">少量内容</w:t>
            </w:r>
            <w:r>
              <w:rPr>
                <w:rFonts w:hint="eastAsia" w:ascii="宋体" w:hAnsi="宋体" w:cs="宋体"/>
                <w:color w:val="auto"/>
                <w:sz w:val="24"/>
                <w:szCs w:val="24"/>
                <w:highlight w:val="none"/>
              </w:rPr>
              <w:t xml:space="preserve">可行得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rPr>
              <w:t xml:space="preserve">可行性差得0分。</w:t>
            </w:r>
            <w:r/>
          </w:p>
          <w:p>
            <w:pPr>
              <w:ind w:firstLine="0"/>
              <w:jc w:val="both"/>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针对性(</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分)：针对性强得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分；针对性一般得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仅</w:t>
            </w:r>
            <w:r>
              <w:rPr>
                <w:rFonts w:ascii="宋体" w:hAnsi="宋体" w:eastAsia="宋体" w:cs="宋体"/>
                <w:color w:val="auto"/>
                <w:sz w:val="24"/>
                <w:szCs w:val="24"/>
                <w:highlight w:val="none"/>
              </w:rPr>
              <w:t xml:space="preserve">少量内容</w:t>
            </w:r>
            <w:r>
              <w:rPr>
                <w:rFonts w:hint="eastAsia" w:ascii="宋体" w:hAnsi="宋体" w:eastAsia="宋体" w:cs="宋体"/>
                <w:color w:val="auto"/>
                <w:sz w:val="24"/>
                <w:szCs w:val="24"/>
                <w:highlight w:val="none"/>
                <w:lang w:val="en-US" w:eastAsia="zh-CN"/>
              </w:rPr>
              <w:t xml:space="preserve">有针对</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rPr>
              <w:t xml:space="preserve">针对性差得0分。</w:t>
            </w:r>
            <w:r/>
          </w:p>
          <w:p>
            <w:pPr>
              <w:ind w:firstLine="0"/>
              <w:spacing w:line="288"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未提供的</w:t>
            </w:r>
            <w:r>
              <w:rPr>
                <w:rFonts w:hint="eastAsia" w:ascii="宋体" w:hAnsi="宋体" w:cs="宋体"/>
                <w:color w:val="auto"/>
                <w:sz w:val="24"/>
                <w:szCs w:val="24"/>
                <w:highlight w:val="none"/>
                <w:lang w:val="en-US" w:eastAsia="zh-CN"/>
              </w:rPr>
              <w:t xml:space="preserve">不得分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分。</w:t>
            </w:r>
            <w:r/>
          </w:p>
        </w:tc>
      </w:tr>
      <w:tr>
        <w:trPr>
          <w:jc w:val="center"/>
          <w:trHeight w:val="431"/>
        </w:trPr>
        <w:tc>
          <w:tcPr>
            <w:tcW w:w="1146" w:type="dxa"/>
            <w:vAlign w:val="center"/>
            <w:vMerge w:val="continue"/>
            <w:textDirection w:val="lrTb"/>
            <w:noWrap w:val="false"/>
          </w:tcPr>
          <w:p>
            <w:pPr>
              <w:numPr>
                <w:ilvl w:val="255"/>
                <w:numId w:val="0"/>
              </w:numPr>
              <w:ind w:firstLine="0"/>
              <w:jc w:val="center"/>
              <w:spacing w:line="288"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1455" w:type="dxa"/>
            <w:vAlign w:val="center"/>
            <w:textDirection w:val="lrTb"/>
            <w:noWrap w:val="false"/>
          </w:tcPr>
          <w:p>
            <w:pPr>
              <w:numPr>
                <w:ilvl w:val="255"/>
                <w:numId w:val="0"/>
              </w:numPr>
              <w:ind w:firstLine="0"/>
              <w:jc w:val="center"/>
              <w:spacing w:line="288" w:lineRule="auto"/>
              <w:rPr>
                <w:rFonts w:hint="eastAsia" w:ascii="宋体" w:hAnsi="宋体" w:cs="宋体"/>
                <w:color w:val="auto"/>
                <w:sz w:val="24"/>
                <w:szCs w:val="24"/>
                <w:highlight w:val="none"/>
              </w:rPr>
            </w:pPr>
            <w:r>
              <w:rPr>
                <w:rFonts w:hint="eastAsia"/>
                <w:color w:val="auto"/>
                <w:highlight w:val="none"/>
                <w:lang w:val="en-US" w:eastAsia="zh-CN"/>
              </w:rPr>
              <w:t xml:space="preserve">交通</w:t>
            </w:r>
            <w:r>
              <w:rPr>
                <w:rFonts w:hint="eastAsia" w:ascii="Times New Roman" w:eastAsia="宋体"/>
                <w:color w:val="auto"/>
                <w:highlight w:val="none"/>
                <w:lang w:val="en-US" w:eastAsia="zh-CN"/>
              </w:rPr>
              <w:t xml:space="preserve">信号</w:t>
            </w:r>
            <w:r>
              <w:rPr>
                <w:rFonts w:hint="eastAsia"/>
                <w:color w:val="auto"/>
                <w:highlight w:val="none"/>
                <w:lang w:val="en-US" w:eastAsia="zh-CN"/>
              </w:rPr>
              <w:t xml:space="preserve">灯</w:t>
            </w:r>
            <w:r>
              <w:rPr>
                <w:rFonts w:hint="eastAsia" w:ascii="Times New Roman" w:eastAsia="宋体"/>
                <w:color w:val="auto"/>
                <w:highlight w:val="none"/>
                <w:lang w:val="en-US" w:eastAsia="zh-CN"/>
              </w:rPr>
              <w:t xml:space="preserve">系统</w:t>
            </w:r>
            <w:r>
              <w:rPr>
                <w:rFonts w:hint="eastAsia"/>
                <w:color w:val="auto"/>
                <w:highlight w:val="none"/>
                <w:lang w:val="en-US" w:eastAsia="zh-CN"/>
              </w:rPr>
              <w:t xml:space="preserve">优化方案（7分）</w:t>
            </w:r>
            <w:r/>
          </w:p>
        </w:tc>
        <w:tc>
          <w:tcPr>
            <w:shd w:val="clear" w:color="auto" w:fill="auto"/>
            <w:tcW w:w="7784" w:type="dxa"/>
            <w:vAlign w:val="center"/>
            <w:textDirection w:val="lrTb"/>
            <w:noWrap w:val="false"/>
          </w:tcPr>
          <w:p>
            <w:pPr>
              <w:numPr>
                <w:ilvl w:val="-1"/>
                <w:numId w:val="0"/>
              </w:numPr>
              <w:ind w:left="0" w:right="0" w:firstLine="0"/>
              <w:jc w:val="left"/>
              <w:keepLines w:val="0"/>
              <w:keepNext w:val="0"/>
              <w:spacing w:before="0" w:beforeAutospacing="0" w:after="0" w:afterAutospacing="0" w:line="288" w:lineRule="auto"/>
              <w:widowControl/>
              <w:rPr>
                <w:rFonts w:hint="eastAsia"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rPr>
              <w:t xml:space="preserve">根据提供的</w:t>
            </w:r>
            <w:r>
              <w:rPr>
                <w:rFonts w:hint="eastAsia" w:cs="宋体"/>
                <w:color w:val="auto"/>
                <w:sz w:val="24"/>
                <w:szCs w:val="24"/>
                <w:highlight w:val="none"/>
                <w:lang w:val="en-US" w:eastAsia="zh-CN"/>
              </w:rPr>
              <w:t xml:space="preserve">交通信号灯系统优化方案，包括不限于通过现代化信号控制手段，降低管养范围内的交通拥堵指数，提升出行体验等综合评价：</w:t>
            </w:r>
            <w:r/>
          </w:p>
          <w:p>
            <w:pPr>
              <w:numPr>
                <w:ilvl w:val="-1"/>
                <w:numId w:val="0"/>
              </w:numPr>
              <w:ind w:left="0" w:right="0" w:firstLine="0"/>
              <w:jc w:val="left"/>
              <w:keepLines w:val="0"/>
              <w:keepNext w:val="0"/>
              <w:spacing w:before="0" w:beforeAutospacing="0" w:after="0" w:afterAutospacing="0" w:line="288" w:lineRule="auto"/>
              <w:widowControl/>
              <w:rPr>
                <w:rFonts w:hint="eastAsia" w:ascii="宋体" w:hAnsi="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i w:val="0"/>
                <w:iCs w:val="0"/>
                <w:caps w:val="0"/>
                <w:color w:val="auto"/>
                <w:spacing w:val="0"/>
                <w:sz w:val="24"/>
                <w:szCs w:val="24"/>
                <w:highlight w:val="none"/>
                <w:shd w:val="clear" w:color="auto" w:fill="auto"/>
              </w:rPr>
              <w:t xml:space="preserve">方案完整覆盖智能信号调控、拥堵治理等核心内容，可落地性极强，能</w:t>
            </w:r>
            <w:r>
              <w:rPr>
                <w:rFonts w:hint="eastAsia" w:ascii="宋体" w:hAnsi="宋体" w:eastAsia="宋体" w:cs="宋体"/>
                <w:i w:val="0"/>
                <w:iCs w:val="0"/>
                <w:caps w:val="0"/>
                <w:color w:val="auto"/>
                <w:spacing w:val="0"/>
                <w:sz w:val="24"/>
                <w:szCs w:val="24"/>
                <w:highlight w:val="none"/>
                <w:shd w:val="clear" w:color="auto" w:fill="auto"/>
              </w:rPr>
              <w:t xml:space="preserve">明确实现拥堵指数大幅下降、出行体验显著提升目标</w:t>
            </w:r>
            <w:r>
              <w:rPr>
                <w:rFonts w:hint="eastAsia" w:ascii="宋体" w:hAnsi="宋体" w:eastAsia="宋体" w:cs="宋体"/>
                <w:i w:val="0"/>
                <w:iCs w:val="0"/>
                <w:caps w:val="0"/>
                <w:color w:val="auto"/>
                <w:spacing w:val="0"/>
                <w:sz w:val="24"/>
                <w:szCs w:val="24"/>
                <w:highlight w:val="none"/>
                <w:shd w:val="clear" w:color="auto"/>
              </w:rPr>
              <w:t xml:space="preserve">的</w:t>
            </w:r>
            <w:r>
              <w:rPr>
                <w:rFonts w:hint="eastAsia" w:ascii="宋体" w:hAnsi="宋体" w:cs="宋体"/>
                <w:i w:val="0"/>
                <w:iCs w:val="0"/>
                <w:caps w:val="0"/>
                <w:color w:val="auto"/>
                <w:spacing w:val="0"/>
                <w:sz w:val="24"/>
                <w:szCs w:val="24"/>
                <w:highlight w:val="none"/>
                <w:shd w:val="clear" w:color="auto"/>
                <w:lang w:eastAsia="zh-CN"/>
              </w:rPr>
              <w:t xml:space="preserve">，</w:t>
            </w:r>
            <w:r>
              <w:rPr>
                <w:rFonts w:hint="eastAsia" w:ascii="宋体" w:hAnsi="宋体" w:cs="宋体"/>
                <w:i w:val="0"/>
                <w:iCs w:val="0"/>
                <w:caps w:val="0"/>
                <w:color w:val="auto"/>
                <w:spacing w:val="0"/>
                <w:sz w:val="24"/>
                <w:szCs w:val="24"/>
                <w:highlight w:val="none"/>
                <w:shd w:val="clear" w:color="auto"/>
                <w:lang w:val="en-US" w:eastAsia="zh-CN"/>
              </w:rPr>
              <w:t xml:space="preserve">得7分</w:t>
            </w:r>
            <w:r>
              <w:rPr>
                <w:rFonts w:hint="eastAsia" w:ascii="宋体" w:hAnsi="宋体" w:cs="宋体"/>
                <w:i w:val="0"/>
                <w:iCs w:val="0"/>
                <w:caps w:val="0"/>
                <w:color w:val="auto"/>
                <w:spacing w:val="0"/>
                <w:sz w:val="24"/>
                <w:szCs w:val="24"/>
                <w:highlight w:val="none"/>
                <w:shd w:val="clear" w:color="auto"/>
                <w:lang w:eastAsia="zh-CN"/>
              </w:rPr>
              <w:t xml:space="preserve">。</w:t>
            </w:r>
            <w:r/>
          </w:p>
          <w:p>
            <w:pPr>
              <w:numPr>
                <w:ilvl w:val="-1"/>
                <w:numId w:val="0"/>
              </w:numPr>
              <w:ind w:left="0" w:right="0" w:firstLine="0"/>
              <w:jc w:val="left"/>
              <w:keepLines w:val="0"/>
              <w:keepNext w:val="0"/>
              <w:spacing w:before="0" w:beforeAutospacing="0" w:after="0" w:afterAutospacing="0" w:line="288" w:lineRule="auto"/>
              <w:widowControl/>
              <w:rPr>
                <w:rFonts w:hint="eastAsia" w:ascii="宋体" w:hAnsi="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rPr>
              <w:t xml:space="preserve">方案具备基础信号优化思路，核心措施基本完整，可落地性较好，能一定程度缓解区域拥堵</w:t>
            </w:r>
            <w:r>
              <w:rPr>
                <w:rFonts w:hint="eastAsia" w:ascii="宋体" w:hAnsi="宋体" w:eastAsia="宋体" w:cs="宋体"/>
                <w:i w:val="0"/>
                <w:iCs w:val="0"/>
                <w:caps w:val="0"/>
                <w:color w:val="auto"/>
                <w:spacing w:val="0"/>
                <w:sz w:val="24"/>
                <w:szCs w:val="24"/>
                <w:highlight w:val="none"/>
                <w:shd w:val="clear" w:color="auto"/>
              </w:rPr>
              <w:t xml:space="preserve">的</w:t>
            </w:r>
            <w:r>
              <w:rPr>
                <w:rFonts w:hint="eastAsia" w:ascii="宋体" w:hAnsi="宋体" w:cs="宋体"/>
                <w:i w:val="0"/>
                <w:iCs w:val="0"/>
                <w:caps w:val="0"/>
                <w:color w:val="auto"/>
                <w:spacing w:val="0"/>
                <w:sz w:val="24"/>
                <w:szCs w:val="24"/>
                <w:highlight w:val="none"/>
                <w:shd w:val="clear" w:color="auto"/>
                <w:lang w:eastAsia="zh-CN"/>
              </w:rPr>
              <w:t xml:space="preserve">，</w:t>
            </w:r>
            <w:r>
              <w:rPr>
                <w:rFonts w:hint="eastAsia" w:ascii="宋体" w:hAnsi="宋体" w:cs="宋体"/>
                <w:i w:val="0"/>
                <w:iCs w:val="0"/>
                <w:caps w:val="0"/>
                <w:color w:val="auto"/>
                <w:spacing w:val="0"/>
                <w:sz w:val="24"/>
                <w:szCs w:val="24"/>
                <w:highlight w:val="none"/>
                <w:shd w:val="clear" w:color="auto"/>
                <w:lang w:val="en-US" w:eastAsia="zh-CN"/>
              </w:rPr>
              <w:t xml:space="preserve">得5分</w:t>
            </w:r>
            <w:r>
              <w:rPr>
                <w:rFonts w:hint="eastAsia" w:ascii="宋体" w:hAnsi="宋体" w:cs="宋体"/>
                <w:i w:val="0"/>
                <w:iCs w:val="0"/>
                <w:caps w:val="0"/>
                <w:color w:val="auto"/>
                <w:spacing w:val="0"/>
                <w:sz w:val="24"/>
                <w:szCs w:val="24"/>
                <w:highlight w:val="none"/>
                <w:shd w:val="clear" w:color="auto"/>
                <w:lang w:eastAsia="zh-CN"/>
              </w:rPr>
              <w:t xml:space="preserve">。</w:t>
            </w:r>
            <w:r/>
          </w:p>
          <w:p>
            <w:pPr>
              <w:numPr>
                <w:ilvl w:val="-1"/>
                <w:numId w:val="0"/>
              </w:numPr>
              <w:ind w:left="0" w:right="0" w:firstLine="0"/>
              <w:jc w:val="left"/>
              <w:keepLines w:val="0"/>
              <w:keepNext w:val="0"/>
              <w:spacing w:before="0" w:beforeAutospacing="0" w:after="0" w:afterAutospacing="0" w:line="288" w:lineRule="auto"/>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rPr>
              <w:t xml:space="preserve">方案仅提及</w:t>
            </w:r>
            <w:r>
              <w:rPr>
                <w:rFonts w:hint="eastAsia" w:ascii="宋体" w:hAnsi="宋体" w:eastAsia="宋体" w:cs="宋体"/>
                <w:i w:val="0"/>
                <w:iCs w:val="0"/>
                <w:caps w:val="0"/>
                <w:color w:val="auto"/>
                <w:spacing w:val="0"/>
                <w:sz w:val="24"/>
                <w:szCs w:val="24"/>
                <w:highlight w:val="none"/>
                <w:shd w:val="clear" w:color="auto"/>
                <w:lang w:val="en-US" w:eastAsia="zh-CN" w:bidi="ar-SA"/>
              </w:rPr>
              <w:t xml:space="preserve">部分</w:t>
            </w:r>
            <w:r>
              <w:rPr>
                <w:rFonts w:hint="eastAsia" w:ascii="宋体" w:hAnsi="宋体" w:eastAsia="宋体" w:cs="宋体"/>
                <w:i w:val="0"/>
                <w:iCs w:val="0"/>
                <w:caps w:val="0"/>
                <w:color w:val="auto"/>
                <w:spacing w:val="0"/>
                <w:sz w:val="24"/>
                <w:szCs w:val="24"/>
                <w:highlight w:val="none"/>
                <w:shd w:val="clear" w:color="auto" w:fill="auto"/>
              </w:rPr>
              <w:t xml:space="preserve">信号优化方向，核心措施存在缺失，落地性不足，对拥堵改善作用有限</w:t>
            </w:r>
            <w:r>
              <w:rPr>
                <w:rFonts w:hint="eastAsia" w:ascii="宋体" w:hAnsi="宋体" w:eastAsia="宋体" w:cs="宋体"/>
                <w:i w:val="0"/>
                <w:iCs w:val="0"/>
                <w:caps w:val="0"/>
                <w:color w:val="auto"/>
                <w:spacing w:val="0"/>
                <w:sz w:val="24"/>
                <w:szCs w:val="24"/>
                <w:highlight w:val="none"/>
                <w:shd w:val="clear" w:color="auto"/>
              </w:rPr>
              <w:t xml:space="preserve">的</w:t>
            </w:r>
            <w:r>
              <w:rPr>
                <w:rFonts w:hint="eastAsia" w:ascii="宋体" w:hAnsi="宋体" w:cs="宋体"/>
                <w:i w:val="0"/>
                <w:iCs w:val="0"/>
                <w:caps w:val="0"/>
                <w:color w:val="auto"/>
                <w:spacing w:val="0"/>
                <w:sz w:val="24"/>
                <w:szCs w:val="24"/>
                <w:highlight w:val="none"/>
                <w:shd w:val="clear" w:color="auto"/>
                <w:lang w:eastAsia="zh-CN"/>
              </w:rPr>
              <w:t xml:space="preserve">，</w:t>
            </w:r>
            <w:r>
              <w:rPr>
                <w:rFonts w:hint="eastAsia" w:ascii="宋体" w:hAnsi="宋体" w:cs="宋体"/>
                <w:i w:val="0"/>
                <w:iCs w:val="0"/>
                <w:caps w:val="0"/>
                <w:color w:val="auto"/>
                <w:spacing w:val="0"/>
                <w:sz w:val="24"/>
                <w:szCs w:val="24"/>
                <w:highlight w:val="none"/>
                <w:shd w:val="clear" w:color="auto"/>
                <w:lang w:val="en-US" w:eastAsia="zh-CN"/>
              </w:rPr>
              <w:t xml:space="preserve">得3分</w:t>
            </w:r>
            <w:r>
              <w:rPr>
                <w:rFonts w:hint="eastAsia" w:ascii="宋体" w:hAnsi="宋体" w:cs="宋体"/>
                <w:i w:val="0"/>
                <w:iCs w:val="0"/>
                <w:caps w:val="0"/>
                <w:color w:val="auto"/>
                <w:spacing w:val="0"/>
                <w:sz w:val="24"/>
                <w:szCs w:val="24"/>
                <w:highlight w:val="none"/>
                <w:shd w:val="clear" w:color="auto"/>
                <w:lang w:eastAsia="zh-CN"/>
              </w:rPr>
              <w:t xml:space="preserve">。</w:t>
            </w:r>
            <w:r/>
          </w:p>
          <w:p>
            <w:pPr>
              <w:numPr>
                <w:ilvl w:val="-1"/>
                <w:numId w:val="0"/>
              </w:numPr>
              <w:ind w:left="0" w:right="0" w:firstLine="0"/>
              <w:jc w:val="left"/>
              <w:keepLines w:val="0"/>
              <w:keepNext w:val="0"/>
              <w:spacing w:before="0" w:beforeAutospacing="0" w:after="0" w:afterAutospacing="0" w:line="288" w:lineRule="auto"/>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rPr>
              <w:t xml:space="preserve">方案内容空泛，未</w:t>
            </w:r>
            <w:r>
              <w:rPr>
                <w:rFonts w:hint="eastAsia" w:ascii="宋体" w:hAnsi="宋体" w:eastAsia="宋体" w:cs="宋体"/>
                <w:i w:val="0"/>
                <w:iCs w:val="0"/>
                <w:caps w:val="0"/>
                <w:color w:val="auto"/>
                <w:spacing w:val="0"/>
                <w:sz w:val="24"/>
                <w:szCs w:val="24"/>
                <w:highlight w:val="none"/>
                <w:shd w:val="clear" w:color="auto"/>
                <w:lang w:val="en-US" w:eastAsia="zh-CN" w:bidi="ar-SA"/>
              </w:rPr>
              <w:t xml:space="preserve">完全</w:t>
            </w:r>
            <w:r>
              <w:rPr>
                <w:rFonts w:hint="eastAsia" w:ascii="宋体" w:hAnsi="宋体" w:eastAsia="宋体" w:cs="宋体"/>
                <w:i w:val="0"/>
                <w:iCs w:val="0"/>
                <w:caps w:val="0"/>
                <w:color w:val="auto"/>
                <w:spacing w:val="0"/>
                <w:sz w:val="24"/>
                <w:szCs w:val="24"/>
                <w:highlight w:val="none"/>
                <w:shd w:val="clear" w:color="auto" w:fill="auto"/>
              </w:rPr>
              <w:t xml:space="preserve">结合实际</w:t>
            </w:r>
            <w:r>
              <w:rPr>
                <w:rFonts w:hint="eastAsia" w:ascii="宋体" w:hAnsi="宋体" w:eastAsia="宋体" w:cs="宋体"/>
                <w:i w:val="0"/>
                <w:iCs w:val="0"/>
                <w:caps w:val="0"/>
                <w:color w:val="auto"/>
                <w:spacing w:val="0"/>
                <w:sz w:val="24"/>
                <w:szCs w:val="24"/>
                <w:highlight w:val="none"/>
                <w:shd w:val="clear" w:color="auto"/>
                <w:lang w:val="en-US" w:eastAsia="zh-CN" w:bidi="ar-SA"/>
              </w:rPr>
              <w:t xml:space="preserve">得1分</w:t>
            </w:r>
            <w:r>
              <w:rPr>
                <w:rFonts w:hint="eastAsia" w:ascii="宋体" w:hAnsi="宋体" w:cs="宋体"/>
                <w:i w:val="0"/>
                <w:iCs w:val="0"/>
                <w:caps w:val="0"/>
                <w:color w:val="auto"/>
                <w:spacing w:val="0"/>
                <w:sz w:val="24"/>
                <w:szCs w:val="24"/>
                <w:highlight w:val="none"/>
                <w:shd w:val="clear" w:color="auto"/>
                <w:lang w:val="en-US" w:eastAsia="zh-CN" w:bidi="ar-SA"/>
              </w:rPr>
              <w:t xml:space="preserve">。</w:t>
            </w:r>
            <w:r/>
          </w:p>
          <w:p>
            <w:pPr>
              <w:numPr>
                <w:ilvl w:val="0"/>
                <w:numId w:val="0"/>
              </w:numPr>
              <w:ind w:firstLine="0"/>
              <w:jc w:val="left"/>
              <w:spacing w:line="288" w:lineRule="auto"/>
              <w:widowControl/>
              <w:rPr>
                <w:rFonts w:hint="eastAsia" w:ascii="宋体" w:hAnsi="宋体" w:eastAsia="宋体" w:cs="宋体"/>
                <w:i w:val="0"/>
                <w:iCs w:val="0"/>
                <w:caps w:val="0"/>
                <w:color w:val="auto"/>
                <w:spacing w:val="0"/>
                <w:sz w:val="24"/>
                <w:szCs w:val="24"/>
                <w:highlight w:val="none"/>
                <w:shd w:val="clear" w:color="auto"/>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无有效落地措施，无法实现预设优化目标</w:t>
            </w:r>
            <w:r>
              <w:rPr>
                <w:rFonts w:hint="eastAsia" w:ascii="宋体" w:hAnsi="宋体" w:eastAsia="宋体" w:cs="宋体"/>
                <w:i w:val="0"/>
                <w:iCs w:val="0"/>
                <w:caps w:val="0"/>
                <w:color w:val="auto"/>
                <w:spacing w:val="0"/>
                <w:sz w:val="24"/>
                <w:szCs w:val="24"/>
                <w:highlight w:val="none"/>
                <w:shd w:val="clear" w:color="auto"/>
                <w:lang w:val="en-US" w:eastAsia="zh-CN" w:bidi="ar-SA"/>
              </w:rPr>
              <w:t xml:space="preserve">得0分</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p>
          <w:p>
            <w:pPr>
              <w:numPr>
                <w:ilvl w:val="0"/>
                <w:numId w:val="0"/>
              </w:numPr>
              <w:ind w:firstLine="0"/>
              <w:jc w:val="left"/>
              <w:spacing w:line="288" w:lineRule="auto"/>
              <w:widowControl/>
              <w:rPr>
                <w:rFonts w:hint="eastAsia" w:cs="宋体"/>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cs="宋体"/>
                <w:color w:val="auto"/>
                <w:sz w:val="24"/>
                <w:szCs w:val="24"/>
                <w:highlight w:val="none"/>
              </w:rPr>
              <w:t xml:space="preserve">未提供的</w:t>
            </w:r>
            <w:r>
              <w:rPr>
                <w:rFonts w:hint="eastAsia" w:ascii="宋体" w:hAnsi="宋体" w:cs="宋体"/>
                <w:color w:val="auto"/>
                <w:sz w:val="24"/>
                <w:szCs w:val="24"/>
                <w:highlight w:val="none"/>
                <w:lang w:val="en-US" w:eastAsia="zh-CN"/>
              </w:rPr>
              <w:t xml:space="preserve">不得分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本项最高</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分。</w:t>
            </w:r>
            <w:r/>
          </w:p>
        </w:tc>
      </w:tr>
      <w:tr>
        <w:trPr>
          <w:jc w:val="center"/>
          <w:trHeight w:val="358"/>
        </w:trPr>
        <w:tc>
          <w:tcPr>
            <w:tcW w:w="1146" w:type="dxa"/>
            <w:vAlign w:val="center"/>
            <w:vMerge w:val="continue"/>
            <w:textDirection w:val="lrTb"/>
            <w:noWrap w:val="false"/>
          </w:tcPr>
          <w:p>
            <w:pPr>
              <w:numPr>
                <w:ilvl w:val="255"/>
                <w:numId w:val="0"/>
              </w:numPr>
              <w:ind w:firstLine="0"/>
              <w:jc w:val="center"/>
              <w:spacing w:line="288"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55" w:type="dxa"/>
            <w:vAlign w:val="center"/>
            <w:textDirection w:val="lrTb"/>
            <w:noWrap w:val="false"/>
          </w:tcPr>
          <w:p>
            <w:pPr>
              <w:ind w:firstLine="0"/>
              <w:jc w:val="center"/>
              <w:spacing w:line="288"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机械设备配置</w:t>
            </w:r>
            <w:r/>
          </w:p>
          <w:p>
            <w:pPr>
              <w:numPr>
                <w:ilvl w:val="255"/>
                <w:numId w:val="0"/>
              </w:numPr>
              <w:ind w:firstLine="0"/>
              <w:jc w:val="center"/>
              <w:spacing w:line="288"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1</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分）</w:t>
            </w:r>
            <w:r/>
          </w:p>
        </w:tc>
        <w:tc>
          <w:tcPr>
            <w:tcW w:w="7784" w:type="dxa"/>
            <w:vAlign w:val="center"/>
            <w:textDirection w:val="lrTb"/>
            <w:noWrap w:val="false"/>
          </w:tcPr>
          <w:p>
            <w:pPr>
              <w:ind w:firstLine="0"/>
              <w:jc w:val="left"/>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bCs w:val="0"/>
                <w:color w:val="auto"/>
                <w:sz w:val="24"/>
                <w:szCs w:val="24"/>
                <w:highlight w:val="none"/>
              </w:rPr>
              <w:t xml:space="preserve">投标人配备悬臂6米以上高空车</w:t>
            </w:r>
            <w:r>
              <w:rPr>
                <w:rFonts w:hint="eastAsia" w:ascii="宋体" w:hAnsi="宋体" w:cs="宋体"/>
                <w:bCs w:val="0"/>
                <w:color w:val="auto"/>
                <w:sz w:val="24"/>
                <w:szCs w:val="24"/>
                <w:highlight w:val="none"/>
                <w:lang w:val="en-US" w:eastAsia="zh-CN"/>
              </w:rPr>
              <w:t xml:space="preserve">2</w:t>
            </w:r>
            <w:r>
              <w:rPr>
                <w:rFonts w:hint="eastAsia" w:ascii="宋体" w:hAnsi="宋体" w:cs="宋体"/>
                <w:bCs w:val="0"/>
                <w:color w:val="auto"/>
                <w:sz w:val="24"/>
                <w:szCs w:val="24"/>
                <w:highlight w:val="none"/>
              </w:rPr>
              <w:t xml:space="preserve">辆，巡视小型车</w:t>
            </w:r>
            <w:r>
              <w:rPr>
                <w:rFonts w:hint="eastAsia" w:ascii="宋体" w:hAnsi="宋体" w:cs="宋体"/>
                <w:bCs w:val="0"/>
                <w:color w:val="auto"/>
                <w:sz w:val="24"/>
                <w:szCs w:val="24"/>
                <w:highlight w:val="none"/>
                <w:lang w:val="en-US" w:eastAsia="zh-CN"/>
              </w:rPr>
              <w:t xml:space="preserve">5</w:t>
            </w:r>
            <w:r>
              <w:rPr>
                <w:rFonts w:hint="eastAsia" w:ascii="宋体" w:hAnsi="宋体" w:cs="宋体"/>
                <w:bCs w:val="0"/>
                <w:color w:val="auto"/>
                <w:sz w:val="24"/>
                <w:szCs w:val="24"/>
                <w:highlight w:val="none"/>
              </w:rPr>
              <w:t xml:space="preserve">辆</w:t>
            </w:r>
            <w:r>
              <w:rPr>
                <w:rFonts w:hint="eastAsia" w:ascii="宋体" w:hAnsi="宋体" w:eastAsia="宋体" w:cs="宋体"/>
                <w:bCs w:val="0"/>
                <w:color w:val="auto"/>
                <w:sz w:val="24"/>
                <w:szCs w:val="24"/>
                <w:highlight w:val="none"/>
              </w:rPr>
              <w:t xml:space="preserve">。</w:t>
            </w:r>
            <w:r/>
          </w:p>
          <w:p>
            <w:pPr>
              <w:ind w:firstLine="0"/>
              <w:jc w:val="left"/>
              <w:spacing w:line="288"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w:t>
            </w:r>
            <w:r>
              <w:rPr>
                <w:rFonts w:hint="eastAsia" w:ascii="宋体" w:hAnsi="宋体" w:cs="宋体"/>
                <w:bCs w:val="0"/>
                <w:color w:val="auto"/>
                <w:sz w:val="24"/>
                <w:szCs w:val="24"/>
                <w:highlight w:val="none"/>
              </w:rPr>
              <w:t xml:space="preserve">投标人应自置交安设施维护管理系统手持终端设备，并安装软件，用于设施维护工作。按维护人员数量配备，</w:t>
            </w:r>
            <w:r>
              <w:rPr>
                <w:rFonts w:hint="eastAsia" w:ascii="宋体" w:hAnsi="宋体" w:cs="宋体"/>
                <w:bCs w:val="0"/>
                <w:color w:val="auto"/>
                <w:sz w:val="24"/>
                <w:szCs w:val="24"/>
                <w:highlight w:val="none"/>
                <w:lang w:eastAsia="zh-CN"/>
              </w:rPr>
              <w:t xml:space="preserve">1</w:t>
            </w:r>
            <w:r>
              <w:rPr>
                <w:rFonts w:hint="eastAsia" w:ascii="宋体" w:hAnsi="宋体" w:cs="宋体"/>
                <w:bCs w:val="0"/>
                <w:color w:val="auto"/>
                <w:sz w:val="24"/>
                <w:szCs w:val="24"/>
                <w:highlight w:val="none"/>
              </w:rPr>
              <w:t xml:space="preserve">部</w:t>
            </w:r>
            <w:r>
              <w:rPr>
                <w:rFonts w:hint="eastAsia" w:ascii="宋体" w:hAnsi="宋体" w:cs="宋体"/>
                <w:bCs w:val="0"/>
                <w:color w:val="auto"/>
                <w:sz w:val="24"/>
                <w:szCs w:val="24"/>
                <w:highlight w:val="none"/>
                <w:lang w:val="en-US" w:eastAsia="zh-CN"/>
              </w:rPr>
              <w:t xml:space="preserve">/</w:t>
            </w:r>
            <w:r>
              <w:rPr>
                <w:rFonts w:hint="eastAsia" w:ascii="宋体" w:hAnsi="宋体" w:cs="宋体"/>
                <w:bCs w:val="0"/>
                <w:color w:val="auto"/>
                <w:sz w:val="24"/>
                <w:szCs w:val="24"/>
                <w:highlight w:val="none"/>
              </w:rPr>
              <w:t xml:space="preserve">1人</w:t>
            </w:r>
            <w:r>
              <w:rPr>
                <w:rFonts w:hint="eastAsia" w:ascii="宋体" w:hAnsi="宋体" w:cs="宋体"/>
                <w:bCs w:val="0"/>
                <w:color w:val="auto"/>
                <w:sz w:val="24"/>
                <w:szCs w:val="24"/>
                <w:highlight w:val="none"/>
                <w:lang w:eastAsia="zh-CN"/>
              </w:rPr>
              <w:t xml:space="preserve">。</w:t>
            </w:r>
            <w:r/>
          </w:p>
          <w:p>
            <w:pPr>
              <w:ind w:firstLine="0"/>
              <w:jc w:val="left"/>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bCs w:val="0"/>
                <w:color w:val="auto"/>
                <w:sz w:val="24"/>
                <w:szCs w:val="24"/>
                <w:highlight w:val="none"/>
              </w:rPr>
              <w:t xml:space="preserve">临时应急太阳能信号灯</w:t>
            </w:r>
            <w:r>
              <w:rPr>
                <w:rFonts w:hint="eastAsia" w:ascii="宋体" w:hAnsi="宋体" w:cs="宋体"/>
                <w:bCs w:val="0"/>
                <w:color w:val="auto"/>
                <w:sz w:val="24"/>
                <w:szCs w:val="24"/>
                <w:highlight w:val="none"/>
                <w:lang w:val="en-US" w:eastAsia="zh-CN"/>
              </w:rPr>
              <w:t xml:space="preserve">4</w:t>
            </w:r>
            <w:r>
              <w:rPr>
                <w:rFonts w:hint="eastAsia" w:ascii="宋体" w:hAnsi="宋体" w:cs="宋体"/>
                <w:bCs w:val="0"/>
                <w:color w:val="auto"/>
                <w:sz w:val="24"/>
                <w:szCs w:val="24"/>
                <w:highlight w:val="none"/>
              </w:rPr>
              <w:t xml:space="preserve">部</w:t>
            </w:r>
            <w:r>
              <w:rPr>
                <w:rFonts w:hint="eastAsia" w:ascii="宋体" w:hAnsi="宋体" w:cs="宋体"/>
                <w:color w:val="auto"/>
                <w:sz w:val="24"/>
                <w:szCs w:val="24"/>
                <w:highlight w:val="none"/>
              </w:rPr>
              <w:t xml:space="preserve">。</w:t>
            </w:r>
            <w:r/>
          </w:p>
          <w:p>
            <w:pPr>
              <w:ind w:firstLine="0"/>
              <w:jc w:val="left"/>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4、投标人承诺中标后</w:t>
            </w:r>
            <w:r>
              <w:rPr>
                <w:rFonts w:hint="eastAsia" w:ascii="宋体" w:hAnsi="宋体" w:cs="宋体"/>
                <w:bCs w:val="0"/>
                <w:color w:val="auto"/>
                <w:sz w:val="24"/>
                <w:szCs w:val="24"/>
                <w:highlight w:val="none"/>
              </w:rPr>
              <w:t xml:space="preserve">在</w:t>
            </w:r>
            <w:r>
              <w:rPr>
                <w:rFonts w:hint="eastAsia" w:ascii="宋体" w:hAnsi="宋体" w:cs="宋体"/>
                <w:bCs w:val="0"/>
                <w:color w:val="auto"/>
                <w:sz w:val="24"/>
                <w:szCs w:val="24"/>
                <w:highlight w:val="none"/>
                <w:lang w:val="en-US" w:eastAsia="zh-CN"/>
              </w:rPr>
              <w:t xml:space="preserve">属地</w:t>
            </w:r>
            <w:r>
              <w:rPr>
                <w:rFonts w:hint="eastAsia" w:ascii="宋体" w:hAnsi="宋体" w:eastAsia="宋体" w:cs="宋体"/>
                <w:bCs w:val="0"/>
                <w:color w:val="auto"/>
                <w:sz w:val="24"/>
                <w:szCs w:val="24"/>
                <w:highlight w:val="none"/>
              </w:rPr>
              <w:t xml:space="preserve">租赁场地仓库</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存放</w:t>
            </w:r>
            <w:r>
              <w:rPr>
                <w:rFonts w:hint="eastAsia" w:ascii="宋体" w:hAnsi="宋体" w:cs="宋体"/>
                <w:bCs/>
                <w:color w:val="auto"/>
                <w:sz w:val="24"/>
                <w:szCs w:val="24"/>
                <w:highlight w:val="none"/>
                <w:lang w:val="en-US" w:eastAsia="zh-CN"/>
              </w:rPr>
              <w:t xml:space="preserve">维护设备及</w:t>
            </w:r>
            <w:r>
              <w:rPr>
                <w:rFonts w:hint="eastAsia" w:ascii="宋体" w:hAnsi="宋体" w:cs="宋体"/>
                <w:bCs/>
                <w:color w:val="auto"/>
                <w:sz w:val="24"/>
                <w:szCs w:val="24"/>
                <w:highlight w:val="none"/>
              </w:rPr>
              <w:t xml:space="preserve">物资</w:t>
            </w:r>
            <w:r>
              <w:rPr>
                <w:rFonts w:hint="eastAsia" w:ascii="宋体" w:hAnsi="宋体" w:cs="宋体"/>
                <w:bCs w:val="0"/>
                <w:color w:val="auto"/>
                <w:sz w:val="24"/>
                <w:szCs w:val="24"/>
                <w:highlight w:val="none"/>
              </w:rPr>
              <w:t xml:space="preserve">。</w:t>
            </w:r>
            <w:r/>
          </w:p>
          <w:p>
            <w:pPr>
              <w:ind w:firstLine="0"/>
              <w:jc w:val="left"/>
              <w:spacing w:line="288"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5、</w:t>
            </w:r>
            <w:r>
              <w:rPr>
                <w:rFonts w:hint="eastAsia" w:ascii="宋体" w:hAnsi="宋体" w:cs="宋体"/>
                <w:bCs w:val="0"/>
                <w:color w:val="auto"/>
                <w:sz w:val="24"/>
                <w:szCs w:val="24"/>
                <w:highlight w:val="none"/>
              </w:rPr>
              <w:t xml:space="preserve">投标人须配备</w:t>
            </w:r>
            <w:r>
              <w:rPr>
                <w:rFonts w:hint="eastAsia" w:ascii="宋体" w:hAnsi="宋体" w:cs="宋体"/>
                <w:bCs w:val="0"/>
                <w:color w:val="auto"/>
                <w:sz w:val="24"/>
                <w:szCs w:val="24"/>
                <w:highlight w:val="none"/>
                <w:lang w:val="en-US" w:eastAsia="zh-CN"/>
              </w:rPr>
              <w:t xml:space="preserve">4台3kW</w:t>
            </w:r>
            <w:r>
              <w:rPr>
                <w:rFonts w:hint="eastAsia" w:ascii="宋体" w:hAnsi="宋体" w:cs="宋体"/>
                <w:bCs w:val="0"/>
                <w:color w:val="auto"/>
                <w:sz w:val="24"/>
                <w:szCs w:val="24"/>
                <w:highlight w:val="none"/>
              </w:rPr>
              <w:t xml:space="preserve">汽油发电机</w:t>
            </w:r>
            <w:r>
              <w:rPr>
                <w:rFonts w:hint="eastAsia" w:ascii="宋体" w:hAnsi="宋体" w:cs="宋体"/>
                <w:bCs w:val="0"/>
                <w:color w:val="auto"/>
                <w:sz w:val="24"/>
                <w:szCs w:val="24"/>
                <w:highlight w:val="none"/>
                <w:lang w:eastAsia="zh-CN"/>
              </w:rPr>
              <w:t xml:space="preserve">。</w:t>
            </w:r>
            <w:r/>
          </w:p>
          <w:p>
            <w:pPr>
              <w:ind w:firstLine="0"/>
              <w:jc w:val="left"/>
              <w:spacing w:line="288" w:lineRule="auto"/>
              <w:rPr>
                <w:rFonts w:hint="eastAsia" w:ascii="宋体" w:hAnsi="宋体" w:cs="宋体"/>
                <w:bCs w:val="0"/>
                <w:color w:val="auto"/>
                <w:sz w:val="24"/>
                <w:szCs w:val="24"/>
                <w:highlight w:val="none"/>
                <w:lang w:eastAsia="zh-CN"/>
              </w:rPr>
            </w:pPr>
            <w:r>
              <w:rPr>
                <w:rFonts w:hint="eastAsia" w:ascii="宋体" w:hAnsi="宋体" w:cs="宋体"/>
                <w:color w:val="auto"/>
                <w:sz w:val="24"/>
                <w:szCs w:val="24"/>
                <w:highlight w:val="none"/>
              </w:rPr>
              <w:t xml:space="preserve">6、</w:t>
            </w:r>
            <w:r>
              <w:rPr>
                <w:rFonts w:hint="eastAsia" w:ascii="宋体" w:hAnsi="宋体" w:cs="宋体"/>
                <w:bCs w:val="0"/>
                <w:color w:val="auto"/>
                <w:sz w:val="24"/>
                <w:szCs w:val="24"/>
                <w:highlight w:val="none"/>
              </w:rPr>
              <w:t xml:space="preserve">备品备件要求，联网信号机（具体参数按照采购需求要求提供），灯具（式样按需），电缆、井盖、连接件、杆件等数量</w:t>
            </w:r>
            <w:r>
              <w:rPr>
                <w:rFonts w:hint="eastAsia" w:ascii="宋体" w:hAnsi="宋体" w:cs="宋体"/>
                <w:bCs w:val="0"/>
                <w:color w:val="auto"/>
                <w:sz w:val="24"/>
                <w:szCs w:val="24"/>
                <w:highlight w:val="none"/>
                <w:lang w:val="en-US" w:eastAsia="zh-CN"/>
              </w:rPr>
              <w:t xml:space="preserve">满足实际需求</w:t>
            </w:r>
            <w:r>
              <w:rPr>
                <w:rFonts w:hint="eastAsia" w:ascii="宋体" w:hAnsi="宋体" w:cs="宋体"/>
                <w:bCs w:val="0"/>
                <w:color w:val="auto"/>
                <w:sz w:val="24"/>
                <w:szCs w:val="24"/>
                <w:highlight w:val="none"/>
                <w:lang w:eastAsia="zh-CN"/>
              </w:rPr>
              <w:t xml:space="preserve">。</w:t>
            </w:r>
            <w:r/>
          </w:p>
          <w:p>
            <w:pPr>
              <w:ind w:firstLine="0"/>
              <w:jc w:val="left"/>
              <w:spacing w:line="288"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以上</w:t>
            </w:r>
            <w:r>
              <w:rPr>
                <w:rFonts w:hint="eastAsia" w:ascii="宋体" w:hAnsi="宋体" w:cs="宋体"/>
                <w:bCs/>
                <w:color w:val="auto"/>
                <w:sz w:val="24"/>
                <w:szCs w:val="24"/>
                <w:highlight w:val="none"/>
              </w:rPr>
              <w:t xml:space="preserve">机械设备配置</w:t>
            </w:r>
            <w:r>
              <w:rPr>
                <w:rFonts w:hint="eastAsia" w:ascii="宋体" w:hAnsi="宋体" w:cs="宋体"/>
                <w:color w:val="auto"/>
                <w:sz w:val="24"/>
                <w:szCs w:val="24"/>
                <w:highlight w:val="none"/>
              </w:rPr>
              <w:t xml:space="preserve">每有一</w:t>
            </w:r>
            <w:r>
              <w:rPr>
                <w:rFonts w:hint="eastAsia" w:ascii="宋体" w:hAnsi="宋体" w:cs="宋体"/>
                <w:bCs/>
                <w:color w:val="auto"/>
                <w:sz w:val="24"/>
                <w:szCs w:val="24"/>
                <w:highlight w:val="none"/>
              </w:rPr>
              <w:t xml:space="preserve">项不满足扣</w:t>
            </w:r>
            <w:r>
              <w:rPr>
                <w:rFonts w:hint="eastAsia" w:ascii="宋体" w:hAnsi="宋体" w:cs="宋体"/>
                <w:bCs/>
                <w:color w:val="auto"/>
                <w:sz w:val="24"/>
                <w:szCs w:val="24"/>
                <w:highlight w:val="none"/>
                <w:lang w:eastAsia="zh-CN"/>
              </w:rPr>
              <w:t xml:space="preserve">2</w:t>
            </w:r>
            <w:r>
              <w:rPr>
                <w:rFonts w:hint="eastAsia" w:ascii="宋体" w:hAnsi="宋体" w:cs="宋体"/>
                <w:bCs/>
                <w:color w:val="auto"/>
                <w:sz w:val="24"/>
                <w:szCs w:val="24"/>
                <w:highlight w:val="none"/>
              </w:rPr>
              <w:t xml:space="preserve">分，共</w:t>
            </w:r>
            <w:r>
              <w:rPr>
                <w:rFonts w:hint="eastAsia" w:ascii="宋体" w:hAnsi="宋体" w:cs="宋体"/>
                <w:bCs/>
                <w:color w:val="auto"/>
                <w:sz w:val="24"/>
                <w:szCs w:val="24"/>
                <w:highlight w:val="none"/>
                <w:lang w:eastAsia="zh-CN"/>
              </w:rPr>
              <w:t xml:space="preserve">1</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分，扣完为止</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最低得0分</w:t>
            </w:r>
            <w:r>
              <w:rPr>
                <w:rFonts w:hint="eastAsia" w:ascii="宋体" w:hAnsi="宋体" w:cs="宋体"/>
                <w:bCs/>
                <w:color w:val="auto"/>
                <w:sz w:val="24"/>
                <w:szCs w:val="24"/>
                <w:highlight w:val="none"/>
              </w:rPr>
              <w:t xml:space="preserve">。</w:t>
            </w:r>
            <w:r/>
          </w:p>
          <w:p>
            <w:pPr>
              <w:ind w:firstLine="0"/>
              <w:jc w:val="both"/>
              <w:spacing w:line="288" w:lineRule="auto"/>
              <w:rPr>
                <w:rFonts w:hint="default" w:eastAsia="宋体"/>
                <w:color w:val="auto"/>
                <w:sz w:val="24"/>
                <w:szCs w:val="24"/>
                <w:highlight w:val="none"/>
                <w:lang w:val="en-US" w:eastAsia="zh-CN"/>
              </w:rPr>
            </w:pPr>
            <w:r>
              <w:rPr>
                <w:rFonts w:hint="eastAsia" w:ascii="宋体" w:hAnsi="宋体" w:cs="宋体"/>
                <w:b/>
                <w:bCs/>
                <w:color w:val="auto"/>
                <w:sz w:val="24"/>
                <w:szCs w:val="24"/>
                <w:highlight w:val="none"/>
              </w:rPr>
              <w:t xml:space="preserve">注：投标文件中提供承诺书原件扫描件，针对以上内容，承诺书必须</w:t>
            </w:r>
            <w:r>
              <w:rPr>
                <w:rFonts w:hint="eastAsia" w:ascii="宋体" w:hAnsi="宋体" w:cs="宋体"/>
                <w:b/>
                <w:bCs/>
                <w:color w:val="auto"/>
                <w:sz w:val="24"/>
                <w:szCs w:val="24"/>
                <w:highlight w:val="none"/>
                <w:lang w:val="en-US" w:eastAsia="zh-CN"/>
              </w:rPr>
              <w:t xml:space="preserve">针对采购需求“4.机械设备要求”</w:t>
            </w:r>
            <w:r>
              <w:rPr>
                <w:rFonts w:hint="eastAsia" w:ascii="宋体" w:hAnsi="宋体" w:cs="宋体"/>
                <w:b/>
                <w:bCs/>
                <w:color w:val="auto"/>
                <w:sz w:val="24"/>
                <w:szCs w:val="24"/>
                <w:highlight w:val="none"/>
              </w:rPr>
              <w:t xml:space="preserve">逐条详细响应并承诺，否则不得分。</w:t>
            </w:r>
            <w:r>
              <w:rPr>
                <w:rFonts w:hint="eastAsia" w:ascii="宋体" w:hAnsi="宋体" w:cs="宋体"/>
                <w:b/>
                <w:bCs/>
                <w:color w:val="auto"/>
                <w:sz w:val="24"/>
                <w:szCs w:val="24"/>
                <w:highlight w:val="none"/>
                <w:lang w:val="en-US" w:eastAsia="zh-CN"/>
              </w:rPr>
              <w:t xml:space="preserve">承诺书格式自拟。</w:t>
            </w:r>
            <w:r/>
          </w:p>
        </w:tc>
      </w:tr>
      <w:tr>
        <w:trPr>
          <w:jc w:val="center"/>
          <w:trHeight w:val="445"/>
        </w:trPr>
        <w:tc>
          <w:tcPr>
            <w:tcW w:w="1146" w:type="dxa"/>
            <w:vAlign w:val="center"/>
            <w:vMerge w:val="continue"/>
            <w:textDirection w:val="lrTb"/>
            <w:noWrap w:val="false"/>
          </w:tcPr>
          <w:p>
            <w:pPr>
              <w:numPr>
                <w:ilvl w:val="255"/>
                <w:numId w:val="0"/>
              </w:numPr>
              <w:ind w:firstLine="0"/>
              <w:jc w:val="center"/>
              <w:spacing w:line="288"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55" w:type="dxa"/>
            <w:vAlign w:val="center"/>
            <w:textDirection w:val="lrTb"/>
            <w:noWrap w:val="false"/>
          </w:tcPr>
          <w:p>
            <w:pPr>
              <w:numPr>
                <w:ilvl w:val="255"/>
                <w:numId w:val="0"/>
              </w:numPr>
              <w:ind w:firstLine="0"/>
              <w:jc w:val="center"/>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维修工具、备品备件配备方案</w:t>
            </w:r>
            <w:r/>
          </w:p>
          <w:p>
            <w:pPr>
              <w:numPr>
                <w:ilvl w:val="255"/>
                <w:numId w:val="0"/>
              </w:numPr>
              <w:ind w:firstLine="0"/>
              <w:jc w:val="center"/>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（6分）</w:t>
            </w:r>
            <w:r/>
          </w:p>
        </w:tc>
        <w:tc>
          <w:tcPr>
            <w:tcW w:w="7784" w:type="dxa"/>
            <w:vAlign w:val="center"/>
            <w:textDirection w:val="lrTb"/>
            <w:noWrap w:val="false"/>
          </w:tcPr>
          <w:p>
            <w:pPr>
              <w:ind w:firstLine="0"/>
              <w:jc w:val="both"/>
              <w:spacing w:line="288" w:lineRule="auto"/>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 xml:space="preserve">根据投标文件中维修工具配置完整性、备品备件储备合理性、配套库存管理制度完善程度、应急保障能力</w:t>
            </w:r>
            <w:r>
              <w:rPr>
                <w:rFonts w:hint="eastAsia" w:ascii="宋体" w:hAnsi="宋体" w:eastAsia="宋体" w:cs="宋体"/>
                <w:color w:val="auto"/>
                <w:sz w:val="24"/>
                <w:szCs w:val="24"/>
                <w:highlight w:val="none"/>
                <w:lang w:val="en-US" w:eastAsia="zh-CN"/>
              </w:rPr>
              <w:t xml:space="preserve">等</w:t>
            </w:r>
            <w:r>
              <w:rPr>
                <w:rFonts w:ascii="宋体" w:hAnsi="宋体" w:eastAsia="宋体" w:cs="宋体"/>
                <w:color w:val="auto"/>
                <w:sz w:val="24"/>
                <w:szCs w:val="24"/>
                <w:highlight w:val="none"/>
              </w:rPr>
              <w:t xml:space="preserve">综合</w:t>
            </w:r>
            <w:r>
              <w:rPr>
                <w:rFonts w:hint="eastAsia" w:ascii="宋体" w:hAnsi="宋体" w:eastAsia="宋体" w:cs="宋体"/>
                <w:color w:val="auto"/>
                <w:sz w:val="24"/>
                <w:szCs w:val="24"/>
                <w:highlight w:val="none"/>
                <w:lang w:val="en-US" w:eastAsia="zh-CN"/>
              </w:rPr>
              <w:t xml:space="preserve">评价：</w:t>
            </w:r>
            <w:r/>
          </w:p>
          <w:p>
            <w:pPr>
              <w:ind w:firstLine="0"/>
              <w:jc w:val="both"/>
              <w:spacing w:line="288"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工具齐全匹配</w:t>
            </w:r>
            <w:r>
              <w:rPr>
                <w:rFonts w:hint="eastAsia" w:ascii="宋体" w:hAnsi="宋体" w:eastAsia="宋体" w:cs="宋体"/>
                <w:color w:val="auto"/>
                <w:sz w:val="24"/>
                <w:szCs w:val="24"/>
                <w:highlight w:val="none"/>
                <w:lang w:val="en-US" w:eastAsia="zh-CN"/>
              </w:rPr>
              <w:t xml:space="preserve">维护</w:t>
            </w:r>
            <w:r>
              <w:rPr>
                <w:rFonts w:ascii="宋体" w:hAnsi="宋体" w:eastAsia="宋体" w:cs="宋体"/>
                <w:color w:val="auto"/>
                <w:sz w:val="24"/>
                <w:szCs w:val="24"/>
                <w:highlight w:val="none"/>
              </w:rPr>
              <w:t xml:space="preserve">需求，备件足量储备，应急保障制度完整规范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得6分；</w:t>
            </w:r>
            <w:r/>
          </w:p>
          <w:p>
            <w:pPr>
              <w:ind w:firstLine="0"/>
              <w:jc w:val="both"/>
              <w:spacing w:line="288" w:lineRule="auto"/>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常规工具、常用备件</w:t>
            </w:r>
            <w:r>
              <w:rPr>
                <w:rFonts w:hint="eastAsia" w:ascii="宋体" w:hAnsi="宋体" w:eastAsia="宋体" w:cs="宋体"/>
                <w:color w:val="auto"/>
                <w:sz w:val="24"/>
                <w:szCs w:val="24"/>
                <w:highlight w:val="none"/>
                <w:lang w:val="en-US" w:eastAsia="zh-CN"/>
              </w:rPr>
              <w:t xml:space="preserve">基本</w:t>
            </w:r>
            <w:r>
              <w:rPr>
                <w:rFonts w:ascii="宋体" w:hAnsi="宋体" w:eastAsia="宋体" w:cs="宋体"/>
                <w:color w:val="auto"/>
                <w:sz w:val="24"/>
                <w:szCs w:val="24"/>
                <w:highlight w:val="none"/>
              </w:rPr>
              <w:t xml:space="preserve">配置到位，具备基础库存管理</w:t>
            </w:r>
            <w:r>
              <w:rPr>
                <w:rFonts w:hint="eastAsia" w:ascii="宋体" w:hAnsi="宋体" w:eastAsia="宋体" w:cs="宋体"/>
                <w:color w:val="auto"/>
                <w:sz w:val="24"/>
                <w:szCs w:val="24"/>
                <w:highlight w:val="none"/>
                <w:lang w:val="en-US" w:eastAsia="zh-CN"/>
              </w:rPr>
              <w:t xml:space="preserve">得4分；</w:t>
            </w:r>
            <w:r/>
          </w:p>
          <w:p>
            <w:pPr>
              <w:ind w:firstLine="0"/>
              <w:jc w:val="both"/>
              <w:spacing w:line="288" w:lineRule="auto"/>
              <w:rPr>
                <w:rFonts w:hint="default" w:ascii="宋体" w:hAnsi="宋体" w:cs="宋体"/>
                <w:color w:val="auto"/>
                <w:sz w:val="24"/>
                <w:szCs w:val="24"/>
                <w:highlight w:val="none"/>
              </w:rPr>
            </w:pPr>
            <w:r>
              <w:rPr>
                <w:rFonts w:ascii="宋体" w:hAnsi="宋体" w:eastAsia="宋体" w:cs="宋体"/>
                <w:color w:val="auto"/>
                <w:sz w:val="24"/>
                <w:szCs w:val="24"/>
                <w:highlight w:val="none"/>
              </w:rPr>
              <w:t xml:space="preserve">仅配齐基础通用工具，备件储备偏少，</w:t>
            </w:r>
            <w:r>
              <w:rPr>
                <w:rFonts w:hint="eastAsia" w:ascii="宋体" w:hAnsi="宋体" w:eastAsia="宋体" w:cs="宋体"/>
                <w:color w:val="auto"/>
                <w:sz w:val="24"/>
                <w:szCs w:val="24"/>
                <w:highlight w:val="none"/>
                <w:lang w:val="en-US" w:eastAsia="zh-CN"/>
              </w:rPr>
              <w:t xml:space="preserve">有基本</w:t>
            </w:r>
            <w:r>
              <w:rPr>
                <w:rFonts w:ascii="宋体" w:hAnsi="宋体" w:eastAsia="宋体" w:cs="宋体"/>
                <w:color w:val="auto"/>
                <w:sz w:val="24"/>
                <w:szCs w:val="24"/>
                <w:highlight w:val="none"/>
              </w:rPr>
              <w:t xml:space="preserve">管理</w:t>
            </w:r>
            <w:r>
              <w:rPr>
                <w:rFonts w:hint="eastAsia" w:ascii="宋体" w:hAnsi="宋体" w:eastAsia="宋体" w:cs="宋体"/>
                <w:color w:val="auto"/>
                <w:sz w:val="24"/>
                <w:szCs w:val="24"/>
                <w:highlight w:val="none"/>
                <w:lang w:val="en-US" w:eastAsia="zh-CN"/>
              </w:rPr>
              <w:t xml:space="preserve">制度得2分；</w:t>
            </w:r>
            <w:r/>
          </w:p>
          <w:p>
            <w:pPr>
              <w:ind w:firstLine="0"/>
              <w:jc w:val="both"/>
              <w:spacing w:line="288" w:lineRule="auto"/>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 xml:space="preserve">工具、备件缺失</w:t>
            </w:r>
            <w:r>
              <w:rPr>
                <w:rFonts w:hint="eastAsia" w:ascii="宋体" w:hAnsi="宋体" w:eastAsia="宋体" w:cs="宋体"/>
                <w:color w:val="auto"/>
                <w:sz w:val="24"/>
                <w:szCs w:val="24"/>
                <w:highlight w:val="none"/>
                <w:lang w:val="en-US" w:eastAsia="zh-CN"/>
              </w:rPr>
              <w:t xml:space="preserve">多</w:t>
            </w:r>
            <w:r>
              <w:rPr>
                <w:rFonts w:ascii="宋体" w:hAnsi="宋体" w:eastAsia="宋体" w:cs="宋体"/>
                <w:color w:val="auto"/>
                <w:sz w:val="24"/>
                <w:szCs w:val="24"/>
                <w:highlight w:val="none"/>
              </w:rPr>
              <w:t xml:space="preserve">，库存管理制度</w:t>
            </w:r>
            <w:r>
              <w:rPr>
                <w:rFonts w:hint="eastAsia" w:ascii="宋体" w:hAnsi="宋体" w:eastAsia="宋体" w:cs="宋体"/>
                <w:color w:val="auto"/>
                <w:sz w:val="24"/>
                <w:szCs w:val="24"/>
                <w:highlight w:val="none"/>
                <w:lang w:val="en-US" w:eastAsia="zh-CN"/>
              </w:rPr>
              <w:t xml:space="preserve">缺失</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ind w:firstLine="0"/>
              <w:jc w:val="both"/>
              <w:spacing w:line="288" w:lineRule="auto"/>
              <w:rPr>
                <w:rFonts w:hint="eastAsia" w:ascii="宋体" w:hAnsi="宋体" w:cs="宋体"/>
                <w:color w:val="auto"/>
                <w:sz w:val="24"/>
                <w:szCs w:val="24"/>
                <w:highlight w:val="none"/>
              </w:rPr>
            </w:pPr>
            <w:r>
              <w:rPr>
                <w:rFonts w:ascii="宋体" w:hAnsi="宋体" w:eastAsia="宋体" w:cs="宋体"/>
                <w:color w:val="auto"/>
                <w:sz w:val="24"/>
                <w:szCs w:val="24"/>
                <w:highlight w:val="none"/>
              </w:rPr>
              <w:t xml:space="preserve">工具、备件大量缺失，无库存管理制度</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0"/>
              <w:jc w:val="both"/>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未提供的</w:t>
            </w:r>
            <w:r>
              <w:rPr>
                <w:rFonts w:hint="eastAsia" w:ascii="宋体" w:hAnsi="宋体" w:cs="宋体"/>
                <w:color w:val="auto"/>
                <w:sz w:val="24"/>
                <w:szCs w:val="24"/>
                <w:highlight w:val="none"/>
                <w:lang w:val="en-US" w:eastAsia="zh-CN"/>
              </w:rPr>
              <w:t xml:space="preserve">不得分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本项最高</w:t>
            </w:r>
            <w:r>
              <w:rPr>
                <w:rFonts w:hint="eastAsia" w:ascii="Times New Roman" w:hAnsi="Times New Roman" w:eastAsia="宋体" w:cs="宋体"/>
                <w:color w:val="auto"/>
                <w:sz w:val="24"/>
                <w:szCs w:val="24"/>
                <w:highlight w:val="none"/>
                <w:lang w:val="en-US" w:eastAsia="zh-CN"/>
              </w:rPr>
              <w:t xml:space="preserve">得</w:t>
            </w:r>
            <w:r>
              <w:rPr>
                <w:rFonts w:hint="eastAsia" w:ascii="宋体" w:hAnsi="宋体" w:cs="宋体"/>
                <w:color w:val="auto"/>
                <w:sz w:val="24"/>
                <w:szCs w:val="24"/>
                <w:highlight w:val="none"/>
              </w:rPr>
              <w:t xml:space="preserve">6分。</w:t>
            </w:r>
            <w:r/>
          </w:p>
        </w:tc>
      </w:tr>
      <w:tr>
        <w:trPr>
          <w:jc w:val="center"/>
          <w:trHeight w:val="360"/>
        </w:trPr>
        <w:tc>
          <w:tcPr>
            <w:tcW w:w="1146" w:type="dxa"/>
            <w:vAlign w:val="center"/>
            <w:vMerge w:val="continue"/>
            <w:textDirection w:val="lrTb"/>
            <w:noWrap w:val="false"/>
          </w:tcPr>
          <w:p>
            <w:pPr>
              <w:numPr>
                <w:ilvl w:val="255"/>
                <w:numId w:val="0"/>
              </w:numPr>
              <w:ind w:firstLine="0"/>
              <w:jc w:val="center"/>
              <w:spacing w:line="288"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55" w:type="dxa"/>
            <w:vAlign w:val="center"/>
            <w:textDirection w:val="lrTb"/>
            <w:noWrap w:val="false"/>
          </w:tcPr>
          <w:p>
            <w:pPr>
              <w:numPr>
                <w:ilvl w:val="255"/>
                <w:numId w:val="0"/>
              </w:numPr>
              <w:ind w:firstLine="0"/>
              <w:jc w:val="center"/>
              <w:spacing w:line="288" w:lineRule="auto"/>
              <w:rPr>
                <w:rFonts w:ascii="宋体" w:hAnsi="宋体" w:cs="宋体"/>
                <w:color w:val="auto"/>
                <w:sz w:val="24"/>
                <w:szCs w:val="24"/>
                <w:highlight w:val="none"/>
              </w:rPr>
            </w:pPr>
            <w:r>
              <w:rPr>
                <w:rFonts w:hint="eastAsia" w:ascii="Times New Roman" w:hAnsi="宋体" w:eastAsia="宋体" w:cs="Times New Roman"/>
                <w:color w:val="auto"/>
                <w:sz w:val="24"/>
                <w:szCs w:val="24"/>
                <w:highlight w:val="none"/>
              </w:rPr>
              <w:t xml:space="preserve">重大紧急事项应急预案</w:t>
            </w:r>
            <w:r>
              <w:rPr>
                <w:rFonts w:hint="eastAsia" w:ascii="宋体" w:hAnsi="宋体" w:cs="宋体"/>
                <w:color w:val="auto"/>
                <w:sz w:val="24"/>
                <w:szCs w:val="24"/>
                <w:highlight w:val="none"/>
              </w:rPr>
              <w:t xml:space="preserve">（8分）</w:t>
            </w:r>
            <w:r/>
          </w:p>
        </w:tc>
        <w:tc>
          <w:tcPr>
            <w:tcW w:w="7784" w:type="dxa"/>
            <w:vAlign w:val="center"/>
            <w:textDirection w:val="lrTb"/>
            <w:noWrap w:val="false"/>
          </w:tcPr>
          <w:p>
            <w:pPr>
              <w:ind w:firstLine="0"/>
              <w:jc w:val="both"/>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根据投标人针对本项目的重大紧急事项的应急预案进行评分，内容至少包括：责任人和组织结构、应急通信和联络措施、资源调配和支持措施、交通事故应急措施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针对节假日、重要大型活动、</w:t>
            </w:r>
            <w:r>
              <w:rPr>
                <w:rFonts w:hint="eastAsia" w:ascii="宋体" w:hAnsi="宋体" w:cs="宋体"/>
                <w:color w:val="auto"/>
                <w:sz w:val="24"/>
                <w:szCs w:val="24"/>
                <w:highlight w:val="none"/>
              </w:rPr>
              <w:t xml:space="preserve">各类恶劣</w:t>
            </w:r>
            <w:r>
              <w:rPr>
                <w:rFonts w:hint="eastAsia" w:ascii="宋体" w:hAnsi="宋体" w:cs="宋体"/>
                <w:color w:val="auto"/>
                <w:sz w:val="24"/>
                <w:szCs w:val="24"/>
                <w:highlight w:val="none"/>
                <w:lang w:val="en-US" w:eastAsia="zh-CN"/>
              </w:rPr>
              <w:t xml:space="preserve">自然</w:t>
            </w:r>
            <w:r>
              <w:rPr>
                <w:rFonts w:hint="eastAsia" w:ascii="宋体" w:hAnsi="宋体" w:cs="宋体"/>
                <w:color w:val="auto"/>
                <w:sz w:val="24"/>
                <w:szCs w:val="24"/>
                <w:highlight w:val="none"/>
              </w:rPr>
              <w:t xml:space="preserve">灾害性天气应急措施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突发事件应急措施等，对内容的全面性、可行性、针对性进行评价。</w:t>
            </w:r>
            <w:r/>
          </w:p>
          <w:p>
            <w:pPr>
              <w:ind w:firstLine="0"/>
              <w:jc w:val="both"/>
              <w:spacing w:line="288"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内容全面具体</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细化</w:t>
            </w:r>
            <w:r>
              <w:rPr>
                <w:rFonts w:hint="eastAsia" w:ascii="宋体" w:hAnsi="宋体" w:cs="宋体"/>
                <w:color w:val="auto"/>
                <w:sz w:val="24"/>
                <w:szCs w:val="24"/>
                <w:highlight w:val="none"/>
              </w:rPr>
              <w:t xml:space="preserve">详实</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贴合项目实际</w:t>
            </w:r>
            <w:r>
              <w:rPr>
                <w:rFonts w:hint="eastAsia" w:ascii="宋体" w:hAnsi="宋体" w:cs="宋体"/>
                <w:color w:val="auto"/>
                <w:sz w:val="24"/>
                <w:szCs w:val="24"/>
                <w:highlight w:val="none"/>
              </w:rPr>
              <w:t xml:space="preserve">针对强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符合项目需求的得8分；</w:t>
            </w:r>
            <w:r/>
          </w:p>
          <w:p>
            <w:pPr>
              <w:ind w:firstLine="0"/>
              <w:jc w:val="both"/>
              <w:spacing w:line="288"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整体内容较为全面细化，贴合项目实际有针对性</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基本符合项目需求的</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eastAsia="zh-CN"/>
              </w:rPr>
              <w:t xml:space="preserve">6</w:t>
            </w:r>
            <w:r>
              <w:rPr>
                <w:rFonts w:hint="eastAsia" w:ascii="宋体" w:hAnsi="宋体" w:cs="宋体"/>
                <w:color w:val="auto"/>
                <w:sz w:val="24"/>
                <w:szCs w:val="24"/>
                <w:highlight w:val="none"/>
              </w:rPr>
              <w:t xml:space="preserve">分。</w:t>
            </w:r>
            <w:r/>
          </w:p>
          <w:p>
            <w:pPr>
              <w:ind w:firstLine="0"/>
              <w:jc w:val="both"/>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方案核心内容基本全面，内容基本细化，与项目实际贴合度一般，可行性针对性一般，</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ind w:firstLine="0"/>
              <w:jc w:val="both"/>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方案核心内容存在缺失，内容细化程度不足，与项目实际贴合度不足</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ind w:firstLine="0"/>
              <w:jc w:val="both"/>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未提供的</w:t>
            </w:r>
            <w:r>
              <w:rPr>
                <w:rFonts w:hint="eastAsia" w:ascii="宋体" w:hAnsi="宋体" w:cs="宋体"/>
                <w:color w:val="auto"/>
                <w:sz w:val="24"/>
                <w:szCs w:val="24"/>
                <w:highlight w:val="none"/>
                <w:lang w:val="en-US" w:eastAsia="zh-CN"/>
              </w:rPr>
              <w:t xml:space="preserve">不得分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本项最高得</w:t>
            </w:r>
            <w:r>
              <w:rPr>
                <w:rFonts w:hint="eastAsia" w:ascii="宋体" w:hAnsi="宋体" w:cs="宋体"/>
                <w:color w:val="auto"/>
                <w:sz w:val="24"/>
                <w:szCs w:val="24"/>
                <w:highlight w:val="none"/>
                <w:lang w:eastAsia="zh-CN"/>
              </w:rPr>
              <w:t xml:space="preserve">8</w:t>
            </w:r>
            <w:r>
              <w:rPr>
                <w:rFonts w:hint="eastAsia" w:ascii="宋体" w:hAnsi="宋体" w:cs="宋体"/>
                <w:color w:val="auto"/>
                <w:sz w:val="24"/>
                <w:szCs w:val="24"/>
                <w:highlight w:val="none"/>
              </w:rPr>
              <w:t xml:space="preserve">分。</w:t>
            </w:r>
            <w:r/>
          </w:p>
        </w:tc>
      </w:tr>
    </w:tbl>
    <w:p>
      <w:pPr>
        <w:pStyle w:val="888"/>
        <w:spacing w:line="288" w:lineRule="auto"/>
        <w:rPr>
          <w:color w:val="auto"/>
          <w:highlight w:val="none"/>
        </w:rPr>
      </w:pPr>
      <w:r>
        <w:rPr>
          <w:color w:val="auto"/>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注：本项目采用综合评分法，评分统计方法将全部评委评分直接进行算术平均，评分结果精确到小数点后两位。</w:t>
      </w:r>
      <w:r/>
    </w:p>
    <w:p>
      <w:pPr>
        <w:pStyle w:val="852"/>
        <w:rPr>
          <w:rFonts w:hint="eastAsia"/>
          <w:color w:val="auto"/>
          <w:highlight w:val="none"/>
        </w:rPr>
      </w:pPr>
      <w:r>
        <w:rPr>
          <w:rFonts w:hint="eastAsia"/>
          <w:color w:val="auto"/>
          <w:highlight w:val="none"/>
        </w:rPr>
      </w:r>
      <w:r/>
    </w:p>
    <w:p>
      <w:pPr>
        <w:jc w:val="center"/>
        <w:spacing w:line="240" w:lineRule="auto"/>
        <w:rPr>
          <w:rFonts w:hint="eastAsia" w:ascii="宋体" w:hAnsi="宋体" w:cs="宋体"/>
          <w:b/>
          <w:bCs/>
          <w:color w:val="auto"/>
          <w:sz w:val="28"/>
          <w:szCs w:val="28"/>
          <w:highlight w:val="none"/>
        </w:rPr>
        <w:outlineLvl w:val="0"/>
      </w:pPr>
      <w:r/>
      <w:bookmarkStart w:id="11" w:name="_Toc2826"/>
      <w:r/>
      <w:bookmarkStart w:id="12" w:name="_Toc10969"/>
      <w:r>
        <w:rPr>
          <w:rFonts w:hint="eastAsia" w:ascii="宋体" w:hAnsi="宋体" w:cs="宋体"/>
          <w:b/>
          <w:bCs/>
          <w:color w:val="auto"/>
          <w:sz w:val="28"/>
          <w:szCs w:val="28"/>
          <w:highlight w:val="none"/>
        </w:rPr>
        <w:t xml:space="preserve">第五章 采购需求</w:t>
      </w:r>
      <w:bookmarkEnd w:id="11"/>
      <w:r/>
      <w:r/>
    </w:p>
    <w:p>
      <w:pPr>
        <w:ind w:firstLine="482"/>
        <w:spacing w:line="336" w:lineRule="auto"/>
        <w:rPr>
          <w:rFonts w:cs="宋体" w:asciiTheme="minorEastAsia" w:hAnsiTheme="minorEastAsia"/>
          <w:b/>
          <w:bCs/>
          <w:color w:val="auto"/>
          <w:sz w:val="24"/>
          <w:szCs w:val="24"/>
          <w:highlight w:val="none"/>
        </w:rPr>
      </w:pPr>
      <w:r>
        <w:rPr>
          <w:rFonts w:hint="eastAsia" w:ascii="宋体" w:hAnsi="宋体" w:cs="宋体"/>
          <w:b/>
          <w:bCs/>
          <w:color w:val="auto"/>
          <w:sz w:val="24"/>
          <w:szCs w:val="24"/>
          <w:highlight w:val="none"/>
        </w:rPr>
        <w:t xml:space="preserve">一、</w:t>
      </w:r>
      <w:r>
        <w:rPr>
          <w:rFonts w:hint="eastAsia" w:asciiTheme="minorEastAsia" w:hAnsiTheme="minorEastAsia" w:eastAsiaTheme="minorEastAsia" w:cstheme="minorEastAsia"/>
          <w:b/>
          <w:bCs/>
          <w:color w:val="auto"/>
          <w:sz w:val="24"/>
          <w:szCs w:val="24"/>
          <w:highlight w:val="none"/>
        </w:rPr>
        <w:t xml:space="preserve">采购项目</w:t>
      </w:r>
      <w:r>
        <w:rPr>
          <w:rFonts w:hint="eastAsia" w:cs="宋体" w:asciiTheme="minorEastAsia" w:hAnsiTheme="minorEastAsia"/>
          <w:b/>
          <w:bCs/>
          <w:color w:val="auto"/>
          <w:sz w:val="24"/>
          <w:szCs w:val="24"/>
          <w:highlight w:val="none"/>
        </w:rPr>
        <w:t xml:space="preserve">说明</w:t>
      </w:r>
      <w:r/>
    </w:p>
    <w:p>
      <w:pPr>
        <w:ind w:firstLine="482"/>
        <w:spacing w:line="336"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（一）采购人：徐州市公安局交通管理支队</w:t>
      </w:r>
      <w:r/>
    </w:p>
    <w:p>
      <w:pPr>
        <w:ind w:firstLine="482"/>
        <w:spacing w:line="336"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（二）采购项目名称：</w:t>
      </w:r>
      <w:r>
        <w:rPr>
          <w:rFonts w:hint="eastAsia" w:cs="宋体" w:asciiTheme="minorEastAsia" w:hAnsiTheme="minorEastAsia"/>
          <w:color w:val="auto"/>
          <w:sz w:val="24"/>
          <w:szCs w:val="24"/>
          <w:highlight w:val="none"/>
          <w:lang w:val="en-US" w:eastAsia="zh-CN"/>
        </w:rPr>
        <w:t xml:space="preserve">交通信号灯社会化管养服务</w:t>
      </w:r>
      <w:r/>
    </w:p>
    <w:p>
      <w:pPr>
        <w:ind w:firstLine="482"/>
        <w:spacing w:line="336"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（三）采购标的：</w:t>
      </w:r>
      <w:r>
        <w:rPr>
          <w:rFonts w:hint="eastAsia" w:cs="宋体" w:asciiTheme="minorEastAsia" w:hAnsiTheme="minorEastAsia"/>
          <w:color w:val="auto"/>
          <w:sz w:val="24"/>
          <w:szCs w:val="24"/>
          <w:highlight w:val="none"/>
          <w:lang w:val="en-US" w:eastAsia="zh-CN"/>
        </w:rPr>
        <w:t xml:space="preserve">徐州市主要城区</w:t>
      </w:r>
      <w:r>
        <w:rPr>
          <w:rFonts w:hint="eastAsia" w:cs="宋体" w:asciiTheme="minorEastAsia" w:hAnsiTheme="minorEastAsia"/>
          <w:color w:val="auto"/>
          <w:sz w:val="24"/>
          <w:szCs w:val="24"/>
          <w:highlight w:val="none"/>
        </w:rPr>
        <w:t xml:space="preserve">交通信号灯社会化管养服务</w:t>
      </w:r>
      <w:r/>
    </w:p>
    <w:p>
      <w:pPr>
        <w:ind w:firstLine="482"/>
        <w:spacing w:line="336"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（四）本项目属于专门面向中小微企业采购的项目，供应商应为中小微企业、监狱企业、残疾人福利性单位。对应的中小企业划分标准所属行业为（其他未列明服务业）。</w:t>
      </w:r>
      <w:r/>
    </w:p>
    <w:p>
      <w:pPr>
        <w:ind w:firstLine="480"/>
        <w:spacing w:line="336" w:lineRule="auto"/>
        <w:rPr>
          <w:rFonts w:hint="eastAsia" w:eastAsia="宋体" w:cs="宋体" w:asciiTheme="minorEastAsia" w:hAnsiTheme="minorEastAsia"/>
          <w:color w:val="auto"/>
          <w:sz w:val="24"/>
          <w:szCs w:val="24"/>
          <w:highlight w:val="none"/>
          <w:lang w:val="en-US" w:eastAsia="zh-CN"/>
        </w:rPr>
      </w:pPr>
      <w:r>
        <w:rPr>
          <w:rFonts w:hint="eastAsia" w:cs="宋体" w:asciiTheme="minorEastAsia" w:hAnsiTheme="minorEastAsia"/>
          <w:color w:val="auto"/>
          <w:sz w:val="24"/>
          <w:szCs w:val="24"/>
          <w:highlight w:val="none"/>
        </w:rPr>
        <w:t xml:space="preserve">（五）</w:t>
      </w:r>
      <w:r>
        <w:rPr>
          <w:rFonts w:hint="eastAsia" w:cs="宋体" w:asciiTheme="minorEastAsia" w:hAnsiTheme="minorEastAsia"/>
          <w:color w:val="auto"/>
          <w:sz w:val="24"/>
          <w:szCs w:val="24"/>
          <w:highlight w:val="none"/>
          <w:lang w:val="en-US" w:eastAsia="zh-CN"/>
        </w:rPr>
        <w:t xml:space="preserve">本项目为单价招标，</w:t>
      </w:r>
      <w:r>
        <w:rPr>
          <w:rFonts w:hint="eastAsia" w:cs="宋体" w:asciiTheme="minorEastAsia" w:hAnsiTheme="minorEastAsia"/>
          <w:b/>
          <w:bCs/>
          <w:color w:val="auto"/>
          <w:sz w:val="24"/>
          <w:szCs w:val="24"/>
          <w:highlight w:val="none"/>
        </w:rPr>
        <w:t xml:space="preserve">不接受单价超过限价</w:t>
      </w:r>
      <w:r>
        <w:rPr>
          <w:rFonts w:hint="eastAsia" w:ascii="宋体" w:hAnsi="宋体" w:cs="宋体"/>
          <w:b/>
          <w:bCs/>
          <w:color w:val="auto"/>
          <w:sz w:val="24"/>
          <w:highlight w:val="none"/>
          <w:lang w:val="en-US" w:eastAsia="zh-CN"/>
        </w:rPr>
        <w:t xml:space="preserve">，且</w:t>
      </w:r>
      <w:r>
        <w:rPr>
          <w:rFonts w:hint="eastAsia" w:cs="宋体" w:asciiTheme="minorEastAsia" w:hAnsiTheme="minorEastAsia"/>
          <w:b/>
          <w:bCs/>
          <w:color w:val="auto"/>
          <w:sz w:val="24"/>
          <w:szCs w:val="24"/>
          <w:highlight w:val="none"/>
        </w:rPr>
        <w:t xml:space="preserve">结算总价</w:t>
      </w:r>
      <w:r>
        <w:rPr>
          <w:rFonts w:hint="eastAsia" w:cs="宋体" w:asciiTheme="minorEastAsia" w:hAnsiTheme="minorEastAsia"/>
          <w:b/>
          <w:bCs/>
          <w:color w:val="auto"/>
          <w:sz w:val="24"/>
          <w:szCs w:val="24"/>
          <w:highlight w:val="none"/>
          <w:lang w:val="en-US" w:eastAsia="zh-CN"/>
        </w:rPr>
        <w:t xml:space="preserve">不</w:t>
      </w:r>
      <w:r>
        <w:rPr>
          <w:rFonts w:hint="eastAsia" w:cs="宋体" w:asciiTheme="minorEastAsia" w:hAnsiTheme="minorEastAsia"/>
          <w:b/>
          <w:bCs/>
          <w:color w:val="auto"/>
          <w:sz w:val="24"/>
          <w:szCs w:val="24"/>
          <w:highlight w:val="none"/>
        </w:rPr>
        <w:t xml:space="preserve">超过</w:t>
      </w:r>
      <w:r>
        <w:rPr>
          <w:rFonts w:hint="eastAsia" w:cs="宋体" w:asciiTheme="minorEastAsia" w:hAnsiTheme="minorEastAsia"/>
          <w:b/>
          <w:bCs/>
          <w:color w:val="auto"/>
          <w:sz w:val="24"/>
          <w:szCs w:val="24"/>
          <w:highlight w:val="none"/>
          <w:lang w:val="en-US" w:eastAsia="zh-CN"/>
        </w:rPr>
        <w:t xml:space="preserve">202.5</w:t>
      </w:r>
      <w:r>
        <w:rPr>
          <w:rFonts w:hint="eastAsia" w:cs="宋体" w:asciiTheme="minorEastAsia" w:hAnsiTheme="minorEastAsia"/>
          <w:b/>
          <w:bCs/>
          <w:color w:val="auto"/>
          <w:sz w:val="24"/>
          <w:szCs w:val="24"/>
          <w:highlight w:val="none"/>
        </w:rPr>
        <w:t xml:space="preserve">万元</w:t>
      </w:r>
      <w:r>
        <w:rPr>
          <w:rFonts w:hint="eastAsia" w:cs="宋体" w:asciiTheme="minorEastAsia" w:hAnsiTheme="minorEastAsia"/>
          <w:color w:val="auto"/>
          <w:sz w:val="24"/>
          <w:szCs w:val="24"/>
          <w:highlight w:val="none"/>
        </w:rPr>
        <w:t xml:space="preserve">（采购项目预算金额）</w:t>
      </w:r>
      <w:r>
        <w:rPr>
          <w:rFonts w:hint="eastAsia" w:cs="宋体" w:asciiTheme="minorEastAsia" w:hAnsiTheme="minorEastAsia"/>
          <w:color w:val="auto"/>
          <w:sz w:val="24"/>
          <w:szCs w:val="24"/>
          <w:highlight w:val="none"/>
          <w:lang w:eastAsia="zh-CN"/>
        </w:rPr>
        <w:t xml:space="preserve">。</w:t>
      </w:r>
      <w:r/>
    </w:p>
    <w:p>
      <w:pPr>
        <w:pStyle w:val="960"/>
        <w:ind w:firstLine="480"/>
        <w:jc w:val="both"/>
        <w:spacing w:beforeAutospacing="0" w:afterAutospacing="0" w:line="336" w:lineRule="auto"/>
        <w:rPr>
          <w:rFonts w:hint="eastAsia" w:ascii="宋体" w:hAnsi="宋体" w:cs="宋体"/>
          <w:color w:val="auto"/>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4"/>
          <w:highlight w:val="none"/>
        </w:rPr>
        <w:t xml:space="preserve">报价包含项目完成所需全部费用及其它相关费用，采购人不再支付报价以外的任何费用。</w:t>
      </w:r>
      <w:r/>
    </w:p>
    <w:p>
      <w:pPr>
        <w:spacing w:line="336"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二</w:t>
      </w:r>
      <w:r>
        <w:rPr>
          <w:rFonts w:hint="eastAsia" w:ascii="宋体" w:hAnsi="宋体" w:cs="宋体"/>
          <w:b/>
          <w:bCs/>
          <w:color w:val="auto"/>
          <w:sz w:val="24"/>
          <w:szCs w:val="24"/>
          <w:highlight w:val="none"/>
        </w:rPr>
        <w:t xml:space="preserve">、项目概况</w:t>
      </w:r>
      <w:r/>
    </w:p>
    <w:p>
      <w:pPr>
        <w:ind w:firstLine="480"/>
        <w:spacing w:line="336"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eastAsia="zh-CN"/>
        </w:rPr>
        <w:t xml:space="preserve">1.</w:t>
      </w:r>
      <w:r>
        <w:rPr>
          <w:rFonts w:hint="eastAsia" w:ascii="宋体" w:hAnsi="宋体" w:cs="宋体"/>
          <w:b w:val="0"/>
          <w:bCs w:val="0"/>
          <w:color w:val="auto"/>
          <w:sz w:val="24"/>
          <w:szCs w:val="24"/>
          <w:highlight w:val="none"/>
          <w:lang w:val="en-US" w:eastAsia="zh-CN"/>
        </w:rPr>
        <w:t xml:space="preserve">提供</w:t>
      </w:r>
      <w:r>
        <w:rPr>
          <w:rFonts w:hint="eastAsia" w:ascii="宋体" w:hAnsi="宋体" w:cs="宋体"/>
          <w:b w:val="0"/>
          <w:bCs w:val="0"/>
          <w:color w:val="auto"/>
          <w:sz w:val="24"/>
          <w:szCs w:val="24"/>
          <w:highlight w:val="none"/>
        </w:rPr>
        <w:t xml:space="preserve">对徐州市区（含贾汪区）交通信号灯系统</w:t>
      </w:r>
      <w:r>
        <w:rPr>
          <w:rFonts w:hint="eastAsia" w:ascii="宋体" w:hAnsi="宋体" w:cs="宋体"/>
          <w:b w:val="0"/>
          <w:bCs w:val="0"/>
          <w:color w:val="auto"/>
          <w:sz w:val="24"/>
          <w:szCs w:val="24"/>
          <w:highlight w:val="none"/>
          <w:lang w:val="en-US" w:eastAsia="zh-CN"/>
        </w:rPr>
        <w:t xml:space="preserve">全部设施设备</w:t>
      </w:r>
      <w:r>
        <w:rPr>
          <w:rFonts w:hint="eastAsia" w:ascii="宋体" w:hAnsi="宋体" w:cs="宋体"/>
          <w:b w:val="0"/>
          <w:bCs w:val="0"/>
          <w:color w:val="auto"/>
          <w:sz w:val="24"/>
          <w:szCs w:val="24"/>
          <w:highlight w:val="none"/>
        </w:rPr>
        <w:t xml:space="preserve">维护及</w:t>
      </w:r>
      <w:r>
        <w:rPr>
          <w:rFonts w:hint="eastAsia" w:ascii="宋体" w:hAnsi="宋体" w:cs="宋体"/>
          <w:b w:val="0"/>
          <w:bCs w:val="0"/>
          <w:color w:val="auto"/>
          <w:sz w:val="24"/>
          <w:szCs w:val="24"/>
          <w:highlight w:val="none"/>
          <w:lang w:val="en-US" w:eastAsia="zh-CN"/>
        </w:rPr>
        <w:t xml:space="preserve">信号调优</w:t>
      </w:r>
      <w:r>
        <w:rPr>
          <w:rFonts w:hint="eastAsia" w:ascii="宋体" w:hAnsi="宋体" w:cs="宋体"/>
          <w:b w:val="0"/>
          <w:bCs w:val="0"/>
          <w:color w:val="auto"/>
          <w:sz w:val="24"/>
          <w:szCs w:val="24"/>
          <w:highlight w:val="none"/>
        </w:rPr>
        <w:t xml:space="preserve">服</w:t>
      </w:r>
      <w:r>
        <w:rPr>
          <w:rFonts w:hint="eastAsia" w:ascii="宋体" w:hAnsi="宋体" w:cs="宋体"/>
          <w:b w:val="0"/>
          <w:bCs w:val="0"/>
          <w:color w:val="auto"/>
          <w:sz w:val="24"/>
          <w:szCs w:val="24"/>
          <w:highlight w:val="none"/>
          <w:lang w:val="en-US" w:eastAsia="zh-CN"/>
        </w:rPr>
        <w:t xml:space="preserve">务，本次项目采取包工包料的全包方式，由中标供应商承担全部项目需求，不再增加额外费用。</w:t>
      </w:r>
      <w:r/>
    </w:p>
    <w:p>
      <w:pPr>
        <w:ind w:firstLine="480"/>
        <w:spacing w:line="336"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本项目主要服务内容包括内场和外场两部分：</w:t>
      </w:r>
      <w:r/>
    </w:p>
    <w:p>
      <w:pPr>
        <w:ind w:firstLine="480"/>
        <w:spacing w:line="336"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外场维护内容主要包括：1）交通信号控制系统，含高架匝道信号灯；2）交通信息采集系统；3）可变车道诱导系统；4）供配电系统保障服务；5）新建路口信号规划、验收、接入与调试服务；6）包括上述系统的所有相关设备与土建设施。</w:t>
      </w:r>
      <w:r/>
    </w:p>
    <w:p>
      <w:pPr>
        <w:ind w:firstLine="480"/>
        <w:spacing w:line="336"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内场维护内容主要包括：1）机房内信号系统相关硬件设备的维护；2）信号系统相关软件的维护与改进服务；3）便民服务等平台的工单处理与回复；4）路口信号配时优化与拥堵治理服务；5）支队指挥中心应急值守服务和重点时段保障服务；6）徐州市信号系统改进服务等</w:t>
      </w:r>
      <w:r>
        <w:rPr>
          <w:rFonts w:hint="eastAsia" w:ascii="宋体" w:hAnsi="宋体" w:cs="宋体"/>
          <w:b w:val="0"/>
          <w:bCs w:val="0"/>
          <w:color w:val="auto"/>
          <w:sz w:val="24"/>
          <w:szCs w:val="24"/>
          <w:highlight w:val="none"/>
        </w:rPr>
        <w:t xml:space="preserve">工作。</w:t>
      </w:r>
      <w:r/>
    </w:p>
    <w:p>
      <w:pPr>
        <w:ind w:firstLine="480"/>
        <w:spacing w:line="336"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服务期限2026年10月24日至2027年3月31日</w:t>
      </w:r>
      <w:r>
        <w:rPr>
          <w:rFonts w:hint="eastAsia" w:ascii="宋体" w:hAnsi="宋体" w:cs="宋体"/>
          <w:color w:val="auto"/>
          <w:sz w:val="24"/>
          <w:szCs w:val="24"/>
          <w:highlight w:val="none"/>
        </w:rPr>
        <w:t xml:space="preserve">。</w:t>
      </w:r>
      <w:r/>
    </w:p>
    <w:p>
      <w:pPr>
        <w:ind w:firstLine="0"/>
        <w:spacing w:line="336" w:lineRule="auto"/>
        <w:rPr>
          <w:rFonts w:ascii="宋体" w:hAnsi="宋体" w:cs="宋体"/>
          <w:b/>
          <w:color w:val="auto"/>
          <w:sz w:val="24"/>
          <w:szCs w:val="24"/>
          <w:highlight w:val="none"/>
        </w:rPr>
      </w:pPr>
      <w:r>
        <w:rPr>
          <w:rFonts w:hint="eastAsia" w:ascii="宋体" w:hAnsi="宋体" w:cs="宋体"/>
          <w:b w:val="0"/>
          <w:bCs w:val="0"/>
          <w:color w:val="auto"/>
          <w:sz w:val="24"/>
          <w:szCs w:val="24"/>
          <w:highlight w:val="none"/>
          <w:lang w:val="en-US" w:eastAsia="zh-CN"/>
        </w:rPr>
        <w:t xml:space="preserve">三</w:t>
      </w:r>
      <w:r>
        <w:rPr>
          <w:rFonts w:hint="eastAsia" w:ascii="宋体" w:hAnsi="宋体" w:cs="宋体"/>
          <w:b w:val="0"/>
          <w:bCs w:val="0"/>
          <w:color w:val="auto"/>
          <w:sz w:val="24"/>
          <w:szCs w:val="24"/>
          <w:highlight w:val="none"/>
        </w:rPr>
        <w:t xml:space="preserve">、</w:t>
      </w:r>
      <w:r>
        <w:rPr>
          <w:rFonts w:hint="eastAsia" w:ascii="宋体" w:hAnsi="宋体" w:cs="宋体"/>
          <w:b/>
          <w:color w:val="auto"/>
          <w:sz w:val="24"/>
          <w:szCs w:val="24"/>
          <w:highlight w:val="none"/>
        </w:rPr>
        <w:t xml:space="preserve">总体设计与技术要求</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维护项目严格按照国家规定的标准、规范实施信号灯维护工作，适用的标准、规范包括</w:t>
      </w:r>
      <w:r>
        <w:rPr>
          <w:rFonts w:hint="eastAsia" w:ascii="宋体" w:hAnsi="宋体" w:cs="宋体"/>
          <w:bCs/>
          <w:color w:val="auto"/>
          <w:sz w:val="24"/>
          <w:szCs w:val="24"/>
          <w:highlight w:val="none"/>
          <w:lang w:eastAsia="zh-CN"/>
        </w:rPr>
        <w:t xml:space="preserve">但不限于</w:t>
      </w:r>
      <w:r>
        <w:rPr>
          <w:rFonts w:hint="eastAsia" w:ascii="宋体" w:hAnsi="宋体" w:cs="宋体"/>
          <w:bCs/>
          <w:color w:val="auto"/>
          <w:sz w:val="24"/>
          <w:szCs w:val="24"/>
          <w:highlight w:val="none"/>
        </w:rPr>
        <w:t xml:space="preserve">：</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（1）《中华人民共和国道路交通安全法》</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（2）《电气装置安装工程施工验收规范》GB50254、50255、50256、50257-96</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（3）《道路交通信号灯》 （GB14887－2011）</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（4）《道路交通信号控制机》（GB25280-2016）</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（5）《太阳能黄闪信号灯》GA/T743-2007</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（6）《道路交通信号控制机安装规范》（GA/T 489-2016）</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（7）《人行过街信号控制设置规范》（GA/T 851-2009）</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（8）《城市道路交通信号控制方式适用规范》GA/T 527-2016</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（9）《道路交通信号倒计时显示器》（GA/T 508-2014）</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（10）《道路交通信号灯设置与安装规范 》（GB 14886-2016）</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（11）《结构用无缝钢管》（GB/T8162-2008）</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（12）《额定电压450/750V及以下聚氯乙烯绝缘</w:t>
      </w:r>
      <w:r>
        <w:rPr>
          <w:rFonts w:hint="eastAsia" w:ascii="宋体" w:hAnsi="宋体" w:cs="宋体"/>
          <w:bCs/>
          <w:color w:val="auto"/>
          <w:sz w:val="24"/>
          <w:szCs w:val="24"/>
          <w:highlight w:val="none"/>
          <w:lang w:eastAsia="zh-CN"/>
        </w:rPr>
        <w:t xml:space="preserve">电缆》</w:t>
      </w:r>
      <w:r>
        <w:rPr>
          <w:rFonts w:hint="eastAsia" w:ascii="宋体" w:hAnsi="宋体" w:cs="宋体"/>
          <w:bCs/>
          <w:color w:val="auto"/>
          <w:sz w:val="24"/>
          <w:szCs w:val="24"/>
          <w:highlight w:val="none"/>
        </w:rPr>
        <w:t xml:space="preserve">GB/T5023-2008</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（13）《城镇道路养护技术规范》（CJJ36-2006）</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（14）《建筑物防雷设计规范》（GB50057-2010）</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（15）《检查井盖》（GB23858-2009）</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以上“国家、行业、地方标准与规范”以及其他的相关行业规范中涉及的技术要求、相关标准发生变化的以最新标准为准。</w:t>
      </w:r>
      <w:r/>
    </w:p>
    <w:p>
      <w:pPr>
        <w:numPr>
          <w:ilvl w:val="0"/>
          <w:numId w:val="2"/>
        </w:numPr>
        <w:ind w:firstLine="482"/>
        <w:spacing w:line="336" w:lineRule="auto"/>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项目实施及技术服务要求</w:t>
      </w:r>
      <w:r/>
    </w:p>
    <w:p>
      <w:pPr>
        <w:numPr>
          <w:ilvl w:val="0"/>
          <w:numId w:val="3"/>
        </w:numPr>
        <w:ind w:left="845" w:hanging="425"/>
        <w:spacing w:line="336" w:lineRule="auto"/>
        <w:rPr>
          <w:rFonts w:hint="eastAsia"/>
          <w:color w:val="auto"/>
          <w:sz w:val="24"/>
          <w:szCs w:val="24"/>
          <w:highlight w:val="none"/>
          <w:lang w:eastAsia="zh-CN"/>
        </w:rPr>
      </w:pPr>
      <w:r>
        <w:rPr>
          <w:rFonts w:hint="eastAsia" w:ascii="宋体" w:hAnsi="宋体" w:cs="宋体"/>
          <w:bCs/>
          <w:color w:val="auto"/>
          <w:sz w:val="24"/>
          <w:szCs w:val="24"/>
          <w:highlight w:val="none"/>
          <w:lang w:val="en-US" w:eastAsia="zh-CN"/>
        </w:rPr>
        <w:t xml:space="preserve">外场维护</w:t>
      </w:r>
      <w:r>
        <w:rPr>
          <w:rFonts w:hint="eastAsia" w:ascii="宋体" w:hAnsi="宋体" w:cs="宋体"/>
          <w:bCs/>
          <w:color w:val="auto"/>
          <w:sz w:val="24"/>
          <w:szCs w:val="24"/>
          <w:highlight w:val="none"/>
          <w:lang w:eastAsia="zh-CN"/>
        </w:rPr>
        <w:t xml:space="preserve">服务要求</w:t>
      </w:r>
      <w:r/>
    </w:p>
    <w:p>
      <w:pPr>
        <w:numPr>
          <w:ilvl w:val="0"/>
          <w:numId w:val="0"/>
        </w:numPr>
        <w:ind w:left="0" w:firstLine="237"/>
        <w:spacing w:line="336" w:lineRule="auto"/>
        <w:rPr>
          <w:rFonts w:hint="eastAsia" w:ascii="宋体" w:hAnsi="宋体" w:cs="宋体"/>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（1）</w:t>
      </w:r>
      <w:r>
        <w:rPr>
          <w:rFonts w:hint="eastAsia" w:ascii="宋体" w:hAnsi="宋体" w:cs="宋体"/>
          <w:bCs/>
          <w:color w:val="auto"/>
          <w:sz w:val="24"/>
          <w:szCs w:val="24"/>
          <w:highlight w:val="none"/>
        </w:rPr>
        <w:t xml:space="preserve">信号机及其组件</w:t>
      </w:r>
      <w:r/>
    </w:p>
    <w:p>
      <w:pPr>
        <w:ind w:firstLine="480"/>
        <w:spacing w:line="336"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包括原信号机、信号机通信模块、信号机柜、流量检测器的拆除及回收，新信号机、信号机模块、信号机柜、流量检测器的提供、运输、安装、调试、布线，配时方案配置，信号机基础处理等工作。</w:t>
      </w:r>
      <w:r/>
    </w:p>
    <w:p>
      <w:pPr>
        <w:numPr>
          <w:ilvl w:val="0"/>
          <w:numId w:val="4"/>
        </w:numPr>
        <w:ind w:left="0" w:firstLine="425"/>
        <w:keepLines w:val="0"/>
        <w:keepNext w:val="0"/>
        <w:pageBreakBefore w:val="0"/>
        <w:spacing w:line="336" w:lineRule="auto"/>
        <w:widowControl/>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 xml:space="preserve">信号机应符合《道路交通信号控制机》（GB25280-2016）关于多时段定时式信号机的标准，通讯协议应满足《道路交通信号倒计时显示器》GA/T508-2014）要求，能够实现有线、无线通讯方式。更换联网信号机必须无缝接入支队现有信号控制系统，确保</w:t>
      </w:r>
      <w:r>
        <w:rPr>
          <w:rFonts w:hint="eastAsia" w:ascii="宋体" w:hAnsi="宋体" w:cs="宋体"/>
          <w:bCs/>
          <w:color w:val="auto"/>
          <w:sz w:val="24"/>
          <w:szCs w:val="24"/>
          <w:highlight w:val="none"/>
          <w:lang w:eastAsia="zh-CN"/>
        </w:rPr>
        <w:t xml:space="preserve">信号数据无缝对接，信号控制系统可修改信号机所有参数。信号机可接收平台发送的特勤方案指令，能够按照指令实现相位平滑转换，转换时可选择是否显示半程倒计时，特定相位之间转换时可插入指定相位以适应待转区路口控制需求，能够在特勤指令结束后自动执行绿灯补偿功能。支持感应+绿波和行人请求+协调的控制方式。投标人需提供以上对接承诺书，并在投标文件中详细描述对接方案，中标单位承诺在中标后七个工作日内，对接现有信号控制平台进行兼容性测试，若测试不通过，采购方有权取消中标单位的中标资格，顺延下一候选人，中标单位承担相应法律责任。</w:t>
      </w:r>
      <w:r/>
    </w:p>
    <w:p>
      <w:pPr>
        <w:numPr>
          <w:ilvl w:val="0"/>
          <w:numId w:val="4"/>
        </w:numPr>
        <w:ind w:left="0" w:firstLine="425"/>
        <w:keepLines w:val="0"/>
        <w:keepNext w:val="0"/>
        <w:pageBreakBefore w:val="0"/>
        <w:spacing w:line="336" w:lineRule="auto"/>
        <w:widowControl/>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rPr>
        <w:t xml:space="preserve">箱体内设备的摆放位置、安装方式、接线方式、线缆敷设方式等应进行合理设计。内含双路220V电源防雷</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具有防虫、防鼠功效</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防护等级≥IP55，保护内部设备不受外界恶劣环境的干扰；机柜采用主体焊接、部分拼装的结构，保证防护性；采用专用户外柜锁，具有良好的防水、防盗性能</w:t>
      </w:r>
      <w:r>
        <w:rPr>
          <w:rFonts w:hint="eastAsia" w:ascii="宋体" w:hAnsi="宋体" w:cs="宋体"/>
          <w:bCs/>
          <w:color w:val="auto"/>
          <w:sz w:val="24"/>
          <w:szCs w:val="24"/>
          <w:highlight w:val="none"/>
          <w:lang w:eastAsia="zh-CN"/>
        </w:rPr>
        <w:t xml:space="preserve">。</w:t>
      </w:r>
      <w:r/>
    </w:p>
    <w:p>
      <w:pPr>
        <w:numPr>
          <w:ilvl w:val="0"/>
          <w:numId w:val="4"/>
        </w:numPr>
        <w:ind w:left="0" w:firstLine="425"/>
        <w:keepLines w:val="0"/>
        <w:keepNext w:val="0"/>
        <w:pageBreakBefore w:val="0"/>
        <w:spacing w:line="336" w:lineRule="auto"/>
        <w:widowControl/>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 xml:space="preserve">接地使用接地体，接地体距设备杆的距离不宜小于1000毫米。杆件应安装保护地线，保护地线可使用规格为40毫米×4毫米以上的镀锌扁钢制作，焊接到每个钢制杆件的法兰盘上，焊接处应作防腐处理。保护地线应与接地体有效连接，接地电阻应小于等于6欧姆。接地体施工应符合《电气装置安装工程接地装置施工及验收规范》（GB 50169-2006）的规定。施工过程中，在保证服务质量和施工安全的前提下，投标人可按照实地具体情况，在现场监理的确认下略微调整接地体规格。</w:t>
      </w:r>
      <w:r/>
    </w:p>
    <w:p>
      <w:pPr>
        <w:numPr>
          <w:ilvl w:val="0"/>
          <w:numId w:val="4"/>
        </w:numPr>
        <w:ind w:left="0" w:firstLine="425"/>
        <w:keepLines w:val="0"/>
        <w:keepNext w:val="0"/>
        <w:pageBreakBefore w:val="0"/>
        <w:spacing w:line="336" w:lineRule="auto"/>
        <w:widowControl/>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 xml:space="preserve">基础应采用钢筋混凝土基础。基础的浇筑、混凝土强度等级应符合《混凝土结构工程施工质量验收规范》（GB 50204-2015）的要求。基础的位置、大小、埋深、朝向、预埋件的位置和规格尺寸应根据现场情况设计。施工过程中，在保证服务质量和施工安全的前提下，投标人可按照实地具体情况，在现场监理的确认下略微调整基础规格。</w:t>
      </w:r>
      <w:r/>
    </w:p>
    <w:p>
      <w:pPr>
        <w:numPr>
          <w:ilvl w:val="0"/>
          <w:numId w:val="4"/>
        </w:numPr>
        <w:ind w:left="0" w:firstLine="425"/>
        <w:keepLines w:val="0"/>
        <w:keepNext w:val="0"/>
        <w:pageBreakBefore w:val="0"/>
        <w:spacing w:line="336" w:lineRule="auto"/>
        <w:widowControl/>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 xml:space="preserve">线缆使用火线、零线和地线三芯线作为电源线。电源线采用</w:t>
      </w:r>
      <w:r>
        <w:rPr>
          <w:rFonts w:hint="eastAsia" w:ascii="宋体" w:hAnsi="宋体" w:cs="宋体"/>
          <w:bCs/>
          <w:color w:val="auto"/>
          <w:sz w:val="24"/>
          <w:szCs w:val="24"/>
          <w:highlight w:val="none"/>
          <w:lang w:val="en-US" w:eastAsia="zh-CN"/>
        </w:rPr>
        <w:t xml:space="preserve">K</w:t>
      </w:r>
      <w:r>
        <w:rPr>
          <w:rFonts w:hint="eastAsia" w:ascii="宋体" w:hAnsi="宋体" w:cs="宋体"/>
          <w:bCs/>
          <w:color w:val="auto"/>
          <w:sz w:val="24"/>
          <w:szCs w:val="24"/>
          <w:highlight w:val="none"/>
          <w:lang w:eastAsia="zh-CN"/>
        </w:rPr>
        <w:t xml:space="preserve">VV，应在满足设备正常工作的前提下根据接电距离远近选取合适规格。综合检测点位信号线采用RVV，规格为1.5毫米。测速点位信号线为防止电磁干扰影响数据准确性，应采用RVVP，规格为1.5毫米。中标单位应负责将电源从甲方指定供电点（一般为交通信号机机箱或市政配电箱）接入。</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线缆的布放应自然平直，不得产生扭绞、打圈接头等现象，不应受到外力的挤压和损伤。同一根电缆线两端应贴有标签，应标明编号，标签书写应清晰、端正和正确。标签应选用不易损坏的材料。为保证后续管线维护工作的顺利开展，通过该管道线缆截面积不应超过管道截面积的60%。地下敷设的电缆线严禁有接头，每根电缆线应留有2米至4米的余量。遇到主线缆需要与分支线缆连接时，采用与线缆相匹配的绝缘穿刺线夹进行分线。敷设于桥梁上的电缆应穿管敷设</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在经常受到震动的桥梁上敷设的电缆，应有防震措施</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桥梁两端和伸缩缝处的电缆应留有松弛的部分。线缆在桥梁上敷设时应事先征得桥梁管理部门的同意后方可施工。</w:t>
      </w:r>
      <w:r>
        <w:rPr>
          <w:rFonts w:hint="eastAsia" w:ascii="宋体" w:hAnsi="宋体" w:cs="宋体"/>
          <w:bCs/>
          <w:color w:val="auto"/>
          <w:sz w:val="24"/>
          <w:szCs w:val="24"/>
          <w:highlight w:val="none"/>
          <w:lang w:val="en-US" w:eastAsia="zh-CN"/>
        </w:rPr>
        <w:t xml:space="preserve">还</w:t>
      </w:r>
      <w:r>
        <w:rPr>
          <w:rFonts w:hint="eastAsia" w:ascii="宋体" w:hAnsi="宋体" w:cs="宋体"/>
          <w:bCs/>
          <w:color w:val="auto"/>
          <w:sz w:val="24"/>
          <w:szCs w:val="24"/>
          <w:highlight w:val="none"/>
        </w:rPr>
        <w:t xml:space="preserve">包括材料提供、线缆运输、敷设、线路涉及的窨井清掏、井内管道封堵、机箱内布线、机箱底部封堵、架空电缆拆除入地等工作。线缆采用地下敷设方式，地下敷设的电缆线严禁有接头。</w:t>
      </w:r>
      <w:r/>
    </w:p>
    <w:p>
      <w:pPr>
        <w:numPr>
          <w:ilvl w:val="0"/>
          <w:numId w:val="4"/>
        </w:numPr>
        <w:ind w:left="0" w:firstLine="425"/>
        <w:keepLines w:val="0"/>
        <w:keepNext w:val="0"/>
        <w:pageBreakBefore w:val="0"/>
        <w:spacing w:line="336" w:lineRule="auto"/>
        <w:widowControl/>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 xml:space="preserve">管道</w:t>
      </w:r>
      <w:r/>
    </w:p>
    <w:p>
      <w:pPr>
        <w:ind w:firstLine="480"/>
        <w:spacing w:line="336"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所有管道在进、出窨井端应防鼠封堵。横穿机动车道和非机动车道的地下管道埋设</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地下管道的埋置深度（为其顶部距路面的高度，下同）应不低于</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00毫米</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埋设1根直径50毫米的热镀锌钢管并穿好铁丝。钢管进、出窨井端应去除毛刺，以便于线缆敷设。铺设好管道后浇灌沥青混凝土或</w:t>
      </w:r>
      <w:r>
        <w:rPr>
          <w:rFonts w:hint="eastAsia" w:ascii="宋体" w:hAnsi="宋体" w:cs="宋体"/>
          <w:bCs/>
          <w:color w:val="auto"/>
          <w:sz w:val="24"/>
          <w:szCs w:val="24"/>
          <w:highlight w:val="none"/>
          <w:lang w:eastAsia="zh-CN"/>
        </w:rPr>
        <w:t xml:space="preserve">浇筑</w:t>
      </w:r>
      <w:r>
        <w:rPr>
          <w:rFonts w:hint="eastAsia" w:ascii="宋体" w:hAnsi="宋体" w:cs="宋体"/>
          <w:bCs/>
          <w:color w:val="auto"/>
          <w:sz w:val="24"/>
          <w:szCs w:val="24"/>
          <w:highlight w:val="none"/>
        </w:rPr>
        <w:t xml:space="preserve">混凝土并按原道路标准恢复路面。</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人行横道或绿化带下的地下管道埋设</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埋置深度应</w:t>
      </w:r>
      <w:r>
        <w:rPr>
          <w:rFonts w:hint="eastAsia" w:ascii="宋体" w:hAnsi="宋体" w:cs="宋体"/>
          <w:bCs/>
          <w:color w:val="auto"/>
          <w:sz w:val="24"/>
          <w:szCs w:val="24"/>
          <w:highlight w:val="none"/>
          <w:lang w:eastAsia="zh-CN"/>
        </w:rPr>
        <w:t xml:space="preserve">不低于</w:t>
      </w: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00毫米，环接管埋设3根或2根（根据图纸）直径50毫米P</w:t>
      </w:r>
      <w:r>
        <w:rPr>
          <w:rFonts w:hint="eastAsia" w:ascii="宋体" w:hAnsi="宋体" w:cs="宋体"/>
          <w:bCs/>
          <w:color w:val="auto"/>
          <w:sz w:val="24"/>
          <w:szCs w:val="24"/>
          <w:highlight w:val="none"/>
          <w:lang w:val="en-US" w:eastAsia="zh-CN"/>
        </w:rPr>
        <w:t xml:space="preserve">E管，</w:t>
      </w:r>
      <w:r>
        <w:rPr>
          <w:rFonts w:hint="eastAsia" w:ascii="宋体" w:hAnsi="宋体" w:cs="宋体"/>
          <w:bCs/>
          <w:color w:val="auto"/>
          <w:sz w:val="24"/>
          <w:szCs w:val="24"/>
          <w:highlight w:val="none"/>
        </w:rPr>
        <w:t xml:space="preserve">支线管道埋设2根直径50毫米硬质塑料管或镀锌管，铺设好管道后浇灌沥青混凝土或</w:t>
      </w:r>
      <w:r>
        <w:rPr>
          <w:rFonts w:hint="eastAsia" w:ascii="宋体" w:hAnsi="宋体" w:cs="宋体"/>
          <w:bCs/>
          <w:color w:val="auto"/>
          <w:sz w:val="24"/>
          <w:szCs w:val="24"/>
          <w:highlight w:val="none"/>
          <w:lang w:eastAsia="zh-CN"/>
        </w:rPr>
        <w:t xml:space="preserve">浇筑</w:t>
      </w:r>
      <w:r>
        <w:rPr>
          <w:rFonts w:hint="eastAsia" w:ascii="宋体" w:hAnsi="宋体" w:cs="宋体"/>
          <w:bCs/>
          <w:color w:val="auto"/>
          <w:sz w:val="24"/>
          <w:szCs w:val="24"/>
          <w:highlight w:val="none"/>
        </w:rPr>
        <w:t xml:space="preserve">混凝土并按原道路标准恢复路面。包括路面开挖、穿线管的提供及埋设、管道保护、回填、渣土清运等工作。按照徐州市城市管理单位标准及制度执行。</w:t>
      </w:r>
      <w:r/>
    </w:p>
    <w:p>
      <w:pPr>
        <w:numPr>
          <w:ilvl w:val="0"/>
          <w:numId w:val="4"/>
        </w:numPr>
        <w:ind w:left="0" w:firstLine="425"/>
        <w:keepLines w:val="0"/>
        <w:keepNext w:val="0"/>
        <w:pageBreakBefore w:val="0"/>
        <w:spacing w:line="336" w:lineRule="auto"/>
        <w:widowControl/>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 xml:space="preserve">窨井</w:t>
      </w:r>
      <w:r/>
    </w:p>
    <w:p>
      <w:pPr>
        <w:ind w:firstLine="480"/>
        <w:spacing w:line="336"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管道拐弯处或长度超过50米时，以及杆件附近2米范围内，设备机箱附近2米范围内应设置窨井。窨井中管道到井底的距离不低于20厘米</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窨井应合理配置，要符合路口实际情况和设备安装要求，不应在临河、临沟处设井。</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小窨井：用于设备杆件处及管道连接处手井用，井口</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00毫米×</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00毫米</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深度不小于</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00毫米，砖砌，水泥砂浆抹灰，井口应与地面持平。大窨井：用于设备机箱附近及过街管道汇集处，井口800毫米×800毫米，深度不小于800毫米，砖砌，水泥砂浆抹灰，井口应与地面持平。包括丢失、损坏井框井盖的增补、修复、开挖，新窨井的井框井盖提供及窨井施工、废弃窨井回填等。</w:t>
      </w:r>
      <w:r/>
    </w:p>
    <w:p>
      <w:pPr>
        <w:numPr>
          <w:ilvl w:val="0"/>
          <w:numId w:val="4"/>
        </w:numPr>
        <w:ind w:left="0" w:firstLine="425"/>
        <w:keepLines w:val="0"/>
        <w:keepNext w:val="0"/>
        <w:pageBreakBefore w:val="0"/>
        <w:spacing w:line="336"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灯杆</w:t>
      </w:r>
      <w:r>
        <w:rPr>
          <w:rFonts w:hint="eastAsia" w:ascii="宋体" w:hAnsi="宋体" w:cs="宋体"/>
          <w:bCs/>
          <w:color w:val="auto"/>
          <w:sz w:val="24"/>
          <w:szCs w:val="24"/>
          <w:highlight w:val="none"/>
          <w:lang w:val="en-US" w:eastAsia="zh-CN"/>
        </w:rPr>
        <w:t xml:space="preserve">维护</w:t>
      </w:r>
      <w:r>
        <w:rPr>
          <w:rFonts w:hint="eastAsia" w:ascii="宋体" w:hAnsi="宋体" w:cs="宋体"/>
          <w:bCs/>
          <w:color w:val="auto"/>
          <w:sz w:val="24"/>
          <w:szCs w:val="24"/>
          <w:highlight w:val="none"/>
        </w:rPr>
        <w:t xml:space="preserve">包括原灯杆的拆除及回收、信号灯拆除运输恢复、废弃基础处理、裸露电缆处理，新灯杆的提供、运输、吊运、安装</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二维码铭牌制作及安装等工作。灯具</w:t>
      </w:r>
      <w:r>
        <w:rPr>
          <w:rFonts w:hint="eastAsia" w:ascii="宋体" w:hAnsi="宋体" w:cs="宋体"/>
          <w:bCs/>
          <w:color w:val="auto"/>
          <w:sz w:val="24"/>
          <w:szCs w:val="24"/>
          <w:highlight w:val="none"/>
          <w:lang w:val="en-US" w:eastAsia="zh-CN"/>
        </w:rPr>
        <w:t xml:space="preserve">维护</w:t>
      </w:r>
      <w:r>
        <w:rPr>
          <w:rFonts w:hint="eastAsia" w:ascii="宋体" w:hAnsi="宋体" w:cs="宋体"/>
          <w:bCs/>
          <w:color w:val="auto"/>
          <w:sz w:val="24"/>
          <w:szCs w:val="24"/>
          <w:highlight w:val="none"/>
        </w:rPr>
        <w:t xml:space="preserve">包括信号灯具的提供、运输、组装、吊运、安装、拆卸以及相应附件、旧灯具拆除回收等工作。</w:t>
      </w:r>
      <w:r/>
    </w:p>
    <w:p>
      <w:pPr>
        <w:numPr>
          <w:ilvl w:val="0"/>
          <w:numId w:val="0"/>
        </w:numPr>
        <w:ind w:left="0" w:firstLine="237"/>
        <w:spacing w:line="336" w:lineRule="auto"/>
        <w:rPr>
          <w:rFonts w:hint="eastAsia"/>
          <w:color w:val="auto"/>
          <w:sz w:val="24"/>
          <w:szCs w:val="24"/>
          <w:highlight w:val="none"/>
        </w:rPr>
      </w:pPr>
      <w:r>
        <w:rPr>
          <w:rFonts w:hint="default" w:ascii="Times New Roman" w:hAnsi="Times New Roman" w:eastAsia="宋体" w:cs="Times New Roman"/>
          <w:color w:val="auto"/>
          <w:sz w:val="24"/>
          <w:szCs w:val="24"/>
          <w:highlight w:val="none"/>
          <w:lang w:val="en-US" w:eastAsia="zh-CN" w:bidi="ar-SA"/>
        </w:rPr>
        <w:t xml:space="preserve">（2）</w:t>
      </w:r>
      <w:r>
        <w:rPr>
          <w:rFonts w:hint="eastAsia" w:ascii="宋体" w:hAnsi="宋体" w:cs="宋体"/>
          <w:bCs/>
          <w:color w:val="auto"/>
          <w:sz w:val="24"/>
          <w:szCs w:val="24"/>
          <w:highlight w:val="none"/>
          <w:lang w:val="en-US" w:eastAsia="zh-CN"/>
        </w:rPr>
        <w:t xml:space="preserve">维护</w:t>
      </w:r>
      <w:r>
        <w:rPr>
          <w:rFonts w:hint="eastAsia" w:ascii="宋体" w:hAnsi="宋体" w:cs="宋体"/>
          <w:bCs/>
          <w:color w:val="auto"/>
          <w:sz w:val="24"/>
          <w:szCs w:val="24"/>
          <w:highlight w:val="none"/>
          <w:lang w:eastAsia="zh-CN"/>
        </w:rPr>
        <w:t xml:space="preserve">设备</w:t>
      </w:r>
      <w:r>
        <w:rPr>
          <w:rFonts w:hint="eastAsia" w:ascii="宋体" w:hAnsi="宋体" w:cs="宋体"/>
          <w:bCs/>
          <w:color w:val="auto"/>
          <w:sz w:val="24"/>
          <w:szCs w:val="24"/>
          <w:highlight w:val="none"/>
          <w:lang w:val="en-US" w:eastAsia="zh-CN"/>
        </w:rPr>
        <w:t xml:space="preserve">与施工</w:t>
      </w:r>
      <w:r>
        <w:rPr>
          <w:rFonts w:hint="eastAsia" w:ascii="宋体" w:hAnsi="宋体" w:cs="宋体"/>
          <w:bCs/>
          <w:color w:val="auto"/>
          <w:sz w:val="24"/>
          <w:szCs w:val="24"/>
          <w:highlight w:val="none"/>
          <w:lang w:eastAsia="zh-CN"/>
        </w:rPr>
        <w:t xml:space="preserve">清单</w:t>
      </w:r>
      <w:r>
        <w:rPr>
          <w:rFonts w:hint="eastAsia" w:ascii="宋体" w:hAnsi="宋体" w:cs="宋体"/>
          <w:bCs/>
          <w:color w:val="auto"/>
          <w:sz w:val="24"/>
          <w:szCs w:val="24"/>
          <w:highlight w:val="none"/>
          <w:lang w:val="en-US" w:eastAsia="zh-CN"/>
        </w:rPr>
        <w:t xml:space="preserve">及相关技术参数详见“八、</w:t>
      </w:r>
      <w:r>
        <w:rPr>
          <w:rFonts w:hint="eastAsia" w:ascii="宋体" w:hAnsi="宋体" w:cs="宋体"/>
          <w:bCs/>
          <w:color w:val="auto"/>
          <w:sz w:val="24"/>
          <w:szCs w:val="24"/>
          <w:highlight w:val="none"/>
          <w:lang w:eastAsia="zh-CN"/>
        </w:rPr>
        <w:t xml:space="preserve">最高单价限价清单</w:t>
      </w:r>
      <w:r>
        <w:rPr>
          <w:rFonts w:hint="eastAsia" w:ascii="宋体" w:hAnsi="宋体" w:cs="宋体"/>
          <w:bCs/>
          <w:color w:val="auto"/>
          <w:sz w:val="24"/>
          <w:szCs w:val="24"/>
          <w:highlight w:val="none"/>
          <w:lang w:val="en-US" w:eastAsia="zh-CN"/>
        </w:rPr>
        <w:t xml:space="preserve">”</w:t>
      </w:r>
      <w:r/>
    </w:p>
    <w:p>
      <w:pPr>
        <w:numPr>
          <w:ilvl w:val="0"/>
          <w:numId w:val="0"/>
        </w:numPr>
        <w:ind w:left="0" w:firstLine="237"/>
        <w:spacing w:line="336" w:lineRule="auto"/>
        <w:rPr>
          <w:rFonts w:hint="eastAsia" w:ascii="宋体" w:hAnsi="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bidi="ar-SA"/>
        </w:rPr>
        <w:t xml:space="preserve">（3）</w:t>
      </w:r>
      <w:r>
        <w:rPr>
          <w:rFonts w:hint="eastAsia" w:ascii="宋体" w:hAnsi="宋体" w:cs="宋体"/>
          <w:bCs/>
          <w:color w:val="auto"/>
          <w:sz w:val="24"/>
          <w:szCs w:val="24"/>
          <w:highlight w:val="none"/>
          <w:lang w:val="en-US" w:eastAsia="zh-CN"/>
        </w:rPr>
        <w:t xml:space="preserve">信号灯及其附属设施调查及数据更新</w:t>
      </w:r>
      <w:r/>
    </w:p>
    <w:p>
      <w:pPr>
        <w:ind w:firstLine="480"/>
        <w:spacing w:line="336" w:lineRule="auto"/>
        <w:rPr>
          <w:color w:val="auto"/>
          <w:sz w:val="24"/>
          <w:szCs w:val="24"/>
          <w:highlight w:val="none"/>
        </w:rPr>
      </w:pPr>
      <w:r>
        <w:rPr>
          <w:rFonts w:hint="eastAsia" w:ascii="宋体" w:hAnsi="宋体" w:cs="宋体"/>
          <w:bCs/>
          <w:color w:val="auto"/>
          <w:sz w:val="24"/>
          <w:szCs w:val="24"/>
          <w:highlight w:val="none"/>
        </w:rPr>
        <w:t xml:space="preserve">按照甲方的要求和规定，建立所有道路交通信号灯电子</w:t>
      </w:r>
      <w:r>
        <w:rPr>
          <w:rFonts w:hint="eastAsia" w:ascii="宋体" w:hAnsi="宋体" w:cs="宋体"/>
          <w:bCs/>
          <w:color w:val="auto"/>
          <w:sz w:val="24"/>
          <w:szCs w:val="24"/>
          <w:highlight w:val="none"/>
          <w:lang w:eastAsia="zh-CN"/>
        </w:rPr>
        <w:t xml:space="preserve">台账</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包括高架匝道信号灯，</w:t>
      </w:r>
      <w:r>
        <w:rPr>
          <w:rFonts w:hint="eastAsia" w:ascii="宋体" w:hAnsi="宋体" w:cs="宋体"/>
          <w:bCs/>
          <w:color w:val="auto"/>
          <w:sz w:val="24"/>
          <w:szCs w:val="24"/>
          <w:highlight w:val="none"/>
        </w:rPr>
        <w:t xml:space="preserve">实现基于可视化地图数据管理，定期巡检和故障响应机制更加完善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每月上报完成情况</w:t>
      </w:r>
      <w:r>
        <w:rPr>
          <w:rFonts w:hint="eastAsia" w:ascii="宋体" w:hAnsi="宋体" w:cs="宋体"/>
          <w:bCs/>
          <w:color w:val="auto"/>
          <w:sz w:val="24"/>
          <w:szCs w:val="24"/>
          <w:highlight w:val="none"/>
        </w:rPr>
        <w:t xml:space="preserve">。逐一对</w:t>
      </w:r>
      <w:r>
        <w:rPr>
          <w:rFonts w:hint="eastAsia" w:ascii="宋体" w:hAnsi="宋体" w:cs="宋体"/>
          <w:bCs/>
          <w:color w:val="auto"/>
          <w:sz w:val="24"/>
          <w:szCs w:val="24"/>
          <w:highlight w:val="none"/>
          <w:lang w:val="en-US" w:eastAsia="zh-CN"/>
        </w:rPr>
        <w:t xml:space="preserve">项目涉及的所有</w:t>
      </w:r>
      <w:r>
        <w:rPr>
          <w:rFonts w:hint="eastAsia" w:ascii="宋体" w:hAnsi="宋体" w:cs="宋体"/>
          <w:bCs/>
          <w:color w:val="auto"/>
          <w:sz w:val="24"/>
          <w:szCs w:val="24"/>
          <w:highlight w:val="none"/>
        </w:rPr>
        <w:t xml:space="preserve">信号灯控路口</w:t>
      </w:r>
      <w:r>
        <w:rPr>
          <w:rFonts w:hint="eastAsia" w:ascii="宋体" w:hAnsi="宋体" w:cs="宋体"/>
          <w:bCs/>
          <w:color w:val="auto"/>
          <w:sz w:val="24"/>
          <w:szCs w:val="24"/>
          <w:highlight w:val="none"/>
          <w:lang w:eastAsia="zh-CN"/>
        </w:rPr>
        <w:t xml:space="preserve">的</w:t>
      </w:r>
      <w:r>
        <w:rPr>
          <w:rFonts w:hint="eastAsia" w:ascii="宋体" w:hAnsi="宋体" w:cs="宋体"/>
          <w:bCs/>
          <w:color w:val="auto"/>
          <w:sz w:val="24"/>
          <w:szCs w:val="24"/>
          <w:highlight w:val="none"/>
        </w:rPr>
        <w:t xml:space="preserve">主体设备和附属设施基础数据开展采集、编号、标注、登记和录入交安设施管理系统工作，</w:t>
      </w:r>
      <w:r>
        <w:rPr>
          <w:rFonts w:hint="eastAsia" w:ascii="宋体" w:hAnsi="宋体" w:cs="宋体"/>
          <w:bCs/>
          <w:color w:val="auto"/>
          <w:sz w:val="24"/>
          <w:szCs w:val="24"/>
          <w:highlight w:val="none"/>
          <w:lang w:val="en-US" w:eastAsia="zh-CN"/>
        </w:rPr>
        <w:t xml:space="preserve">并</w:t>
      </w:r>
      <w:r>
        <w:rPr>
          <w:rFonts w:hint="eastAsia" w:ascii="宋体" w:hAnsi="宋体" w:cs="宋体"/>
          <w:bCs/>
          <w:color w:val="auto"/>
          <w:sz w:val="24"/>
          <w:szCs w:val="24"/>
          <w:highlight w:val="none"/>
        </w:rPr>
        <w:t xml:space="preserve">制定周工作计划和报表。每月</w:t>
      </w:r>
      <w:r>
        <w:rPr>
          <w:rFonts w:hint="eastAsia" w:ascii="宋体" w:hAnsi="宋体" w:cs="宋体"/>
          <w:bCs/>
          <w:color w:val="auto"/>
          <w:sz w:val="24"/>
          <w:szCs w:val="24"/>
          <w:highlight w:val="none"/>
          <w:lang w:val="en-US" w:eastAsia="zh-CN"/>
        </w:rPr>
        <w:t xml:space="preserve">根据调查情况</w:t>
      </w:r>
      <w:r>
        <w:rPr>
          <w:rFonts w:hint="eastAsia" w:ascii="宋体" w:hAnsi="宋体" w:cs="宋体"/>
          <w:bCs/>
          <w:color w:val="auto"/>
          <w:sz w:val="24"/>
          <w:szCs w:val="24"/>
          <w:highlight w:val="none"/>
        </w:rPr>
        <w:t xml:space="preserve">，填写《基础数据调查</w:t>
      </w:r>
      <w:r>
        <w:rPr>
          <w:rFonts w:hint="eastAsia" w:ascii="宋体" w:hAnsi="宋体" w:cs="宋体"/>
          <w:bCs/>
          <w:color w:val="auto"/>
          <w:sz w:val="24"/>
          <w:szCs w:val="24"/>
          <w:highlight w:val="none"/>
          <w:lang w:val="en-US" w:eastAsia="zh-CN"/>
        </w:rPr>
        <w:t xml:space="preserve">表</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变更记录表》</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外场维护日志</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等资料，并</w:t>
      </w:r>
      <w:r>
        <w:rPr>
          <w:rFonts w:hint="eastAsia" w:ascii="宋体" w:hAnsi="宋体" w:cs="宋体"/>
          <w:bCs/>
          <w:color w:val="auto"/>
          <w:sz w:val="24"/>
          <w:szCs w:val="24"/>
          <w:highlight w:val="none"/>
        </w:rPr>
        <w:t xml:space="preserve">以纸质、电子文档形式存档备查，</w:t>
      </w:r>
      <w:r>
        <w:rPr>
          <w:rFonts w:hint="eastAsia" w:ascii="宋体" w:hAnsi="宋体" w:cs="宋体"/>
          <w:bCs/>
          <w:color w:val="auto"/>
          <w:sz w:val="24"/>
          <w:szCs w:val="24"/>
          <w:highlight w:val="none"/>
          <w:lang w:val="en-US" w:eastAsia="zh-CN"/>
        </w:rPr>
        <w:t xml:space="preserve">按月</w:t>
      </w:r>
      <w:r>
        <w:rPr>
          <w:rFonts w:hint="eastAsia" w:ascii="宋体" w:hAnsi="宋体" w:cs="宋体"/>
          <w:bCs/>
          <w:color w:val="auto"/>
          <w:sz w:val="24"/>
          <w:szCs w:val="24"/>
          <w:highlight w:val="none"/>
        </w:rPr>
        <w:t xml:space="preserve">上报采购人</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若有</w:t>
      </w:r>
      <w:r>
        <w:rPr>
          <w:rFonts w:hint="eastAsia" w:ascii="宋体" w:hAnsi="宋体" w:cs="宋体"/>
          <w:bCs/>
          <w:color w:val="auto"/>
          <w:sz w:val="24"/>
          <w:szCs w:val="24"/>
          <w:highlight w:val="none"/>
        </w:rPr>
        <w:t xml:space="preserve">变更发生于24小时内更新交安设施管理系统信号灯基础数据。</w:t>
      </w:r>
      <w:r/>
    </w:p>
    <w:p>
      <w:pPr>
        <w:numPr>
          <w:ilvl w:val="0"/>
          <w:numId w:val="0"/>
        </w:numPr>
        <w:ind w:left="0" w:firstLine="237"/>
        <w:spacing w:line="336" w:lineRule="auto"/>
        <w:rPr>
          <w:rFonts w:hint="eastAsia" w:ascii="宋体" w:hAnsi="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bidi="ar-SA"/>
        </w:rPr>
        <w:t xml:space="preserve">（4）</w:t>
      </w:r>
      <w:r>
        <w:rPr>
          <w:rFonts w:hint="eastAsia" w:ascii="宋体" w:hAnsi="宋体" w:cs="宋体"/>
          <w:bCs/>
          <w:color w:val="auto"/>
          <w:sz w:val="24"/>
          <w:szCs w:val="24"/>
          <w:highlight w:val="none"/>
          <w:lang w:val="en-US" w:eastAsia="zh-CN"/>
        </w:rPr>
        <w:t xml:space="preserve">新改建道路信号灯及其附属设施的接收及施工路口的移交。</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应安排人员参加业主组织的新改建道路信号灯及其附属设施的竣工验收，按《信号灯及附属设备现场勘查验收记录表》进行检查，并提出验收意见；施工单位整改完</w:t>
      </w:r>
      <w:r>
        <w:rPr>
          <w:rFonts w:hint="eastAsia" w:ascii="宋体" w:hAnsi="宋体" w:cs="宋体"/>
          <w:bCs/>
          <w:color w:val="auto"/>
          <w:sz w:val="24"/>
          <w:szCs w:val="24"/>
          <w:highlight w:val="none"/>
          <w:lang w:eastAsia="zh-CN"/>
        </w:rPr>
        <w:t xml:space="preserve">成后</w:t>
      </w:r>
      <w:r>
        <w:rPr>
          <w:rFonts w:hint="eastAsia" w:ascii="宋体" w:hAnsi="宋体" w:cs="宋体"/>
          <w:bCs/>
          <w:color w:val="auto"/>
          <w:sz w:val="24"/>
          <w:szCs w:val="24"/>
          <w:highlight w:val="none"/>
        </w:rPr>
        <w:t xml:space="preserve">进行竣工验收移交工作时，</w:t>
      </w: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应按要求时限做好基础资料采集、核定，办理移交</w:t>
      </w:r>
      <w:r>
        <w:rPr>
          <w:rFonts w:hint="eastAsia" w:ascii="宋体" w:hAnsi="宋体" w:cs="宋体"/>
          <w:bCs/>
          <w:color w:val="auto"/>
          <w:sz w:val="24"/>
          <w:szCs w:val="24"/>
          <w:highlight w:val="none"/>
          <w:lang w:eastAsia="zh-CN"/>
        </w:rPr>
        <w:t xml:space="preserve">手续，</w:t>
      </w:r>
      <w:r>
        <w:rPr>
          <w:rFonts w:hint="eastAsia" w:ascii="宋体" w:hAnsi="宋体" w:cs="宋体"/>
          <w:bCs/>
          <w:color w:val="auto"/>
          <w:sz w:val="24"/>
          <w:szCs w:val="24"/>
          <w:highlight w:val="none"/>
        </w:rPr>
        <w:t xml:space="preserve">录入系统，</w:t>
      </w:r>
      <w:r>
        <w:rPr>
          <w:rFonts w:hint="eastAsia" w:ascii="宋体" w:hAnsi="宋体" w:cs="宋体"/>
          <w:bCs/>
          <w:color w:val="auto"/>
          <w:sz w:val="24"/>
          <w:szCs w:val="24"/>
          <w:highlight w:val="none"/>
          <w:lang w:eastAsia="zh-CN"/>
        </w:rPr>
        <w:t xml:space="preserve">将其纳入</w:t>
      </w:r>
      <w:r>
        <w:rPr>
          <w:rFonts w:hint="eastAsia" w:ascii="宋体" w:hAnsi="宋体" w:cs="宋体"/>
          <w:bCs/>
          <w:color w:val="auto"/>
          <w:sz w:val="24"/>
          <w:szCs w:val="24"/>
          <w:highlight w:val="none"/>
        </w:rPr>
        <w:t xml:space="preserve">维护范围。</w:t>
      </w:r>
      <w:r/>
    </w:p>
    <w:p>
      <w:pPr>
        <w:ind w:firstLine="480"/>
        <w:spacing w:line="336"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第三方涉路施工且相关道路</w:t>
      </w:r>
      <w:r>
        <w:rPr>
          <w:rFonts w:hint="eastAsia" w:ascii="宋体" w:hAnsi="宋体" w:cs="宋体"/>
          <w:bCs/>
          <w:color w:val="auto"/>
          <w:sz w:val="24"/>
          <w:szCs w:val="24"/>
          <w:highlight w:val="none"/>
        </w:rPr>
        <w:t xml:space="preserve">灯控路口</w:t>
      </w:r>
      <w:r>
        <w:rPr>
          <w:rFonts w:hint="eastAsia" w:ascii="宋体" w:hAnsi="宋体" w:cs="宋体"/>
          <w:bCs/>
          <w:color w:val="auto"/>
          <w:sz w:val="24"/>
          <w:szCs w:val="24"/>
          <w:highlight w:val="none"/>
          <w:lang w:val="en-US" w:eastAsia="zh-CN"/>
        </w:rPr>
        <w:t xml:space="preserve">处于本项目维保范围内时</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投标人应</w:t>
      </w:r>
      <w:r>
        <w:rPr>
          <w:rFonts w:hint="eastAsia" w:ascii="宋体" w:hAnsi="宋体" w:cs="宋体"/>
          <w:bCs/>
          <w:color w:val="auto"/>
          <w:sz w:val="24"/>
          <w:szCs w:val="24"/>
          <w:highlight w:val="none"/>
        </w:rPr>
        <w:t xml:space="preserve">按要求做好路口信号机、灯杆、灯具、窨井等交安设施的清点、登记工作，填写《工程施工范围交通设施确认表》，经相关单位确认后，移交至</w:t>
      </w:r>
      <w:r>
        <w:rPr>
          <w:rFonts w:hint="eastAsia" w:ascii="宋体" w:hAnsi="宋体" w:cs="宋体"/>
          <w:bCs/>
          <w:color w:val="auto"/>
          <w:sz w:val="24"/>
          <w:szCs w:val="24"/>
          <w:highlight w:val="none"/>
          <w:lang w:val="en-US" w:eastAsia="zh-CN"/>
        </w:rPr>
        <w:t xml:space="preserve">涉路施工</w:t>
      </w:r>
      <w:r>
        <w:rPr>
          <w:rFonts w:hint="eastAsia" w:ascii="宋体" w:hAnsi="宋体" w:cs="宋体"/>
          <w:bCs/>
          <w:color w:val="auto"/>
          <w:sz w:val="24"/>
          <w:szCs w:val="24"/>
          <w:highlight w:val="none"/>
        </w:rPr>
        <w:t xml:space="preserve">单位进行维护</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涉路施工期满验收时参照新改建道路竣工验收移交流程进行移交。</w:t>
      </w:r>
      <w:r/>
    </w:p>
    <w:p>
      <w:pPr>
        <w:pStyle w:val="852"/>
        <w:spacing w:line="336" w:lineRule="auto"/>
        <w:rPr>
          <w:color w:val="auto"/>
          <w:sz w:val="24"/>
          <w:szCs w:val="24"/>
          <w:highlight w:val="none"/>
        </w:rPr>
      </w:pPr>
      <w:r>
        <w:rPr>
          <w:rFonts w:hint="eastAsia" w:cs="宋体"/>
          <w:bCs/>
          <w:color w:val="auto"/>
          <w:sz w:val="24"/>
          <w:szCs w:val="24"/>
          <w:highlight w:val="none"/>
          <w:lang w:val="en-US" w:eastAsia="zh-CN"/>
        </w:rPr>
        <w:t xml:space="preserve">按支队要求提供勤务保障路口、</w:t>
      </w:r>
      <w:r>
        <w:rPr>
          <w:rFonts w:hint="eastAsia" w:ascii="宋体" w:hAnsi="宋体" w:cs="宋体"/>
          <w:bCs/>
          <w:color w:val="auto"/>
          <w:sz w:val="24"/>
          <w:szCs w:val="24"/>
          <w:highlight w:val="none"/>
        </w:rPr>
        <w:t xml:space="preserve">改造路口、</w:t>
      </w:r>
      <w:r>
        <w:rPr>
          <w:rFonts w:hint="eastAsia" w:cs="宋体"/>
          <w:bCs/>
          <w:color w:val="auto"/>
          <w:sz w:val="24"/>
          <w:szCs w:val="24"/>
          <w:highlight w:val="none"/>
          <w:lang w:val="en-US" w:eastAsia="zh-CN"/>
        </w:rPr>
        <w:t xml:space="preserve">新增路口、</w:t>
      </w:r>
      <w:r>
        <w:rPr>
          <w:rFonts w:hint="eastAsia" w:ascii="宋体" w:hAnsi="宋体" w:cs="宋体"/>
          <w:bCs/>
          <w:color w:val="auto"/>
          <w:sz w:val="24"/>
          <w:szCs w:val="24"/>
          <w:highlight w:val="none"/>
        </w:rPr>
        <w:t xml:space="preserve">未发现肇事者的事故路口</w:t>
      </w:r>
      <w:r>
        <w:rPr>
          <w:rFonts w:hint="eastAsia" w:cs="宋体"/>
          <w:bCs/>
          <w:color w:val="auto"/>
          <w:sz w:val="24"/>
          <w:szCs w:val="24"/>
          <w:highlight w:val="none"/>
          <w:lang w:val="en-US" w:eastAsia="zh-CN"/>
        </w:rPr>
        <w:t xml:space="preserve">和</w:t>
      </w:r>
      <w:r>
        <w:rPr>
          <w:rFonts w:hint="eastAsia" w:ascii="宋体" w:hAnsi="宋体" w:cs="宋体"/>
          <w:bCs/>
          <w:color w:val="auto"/>
          <w:sz w:val="24"/>
          <w:szCs w:val="24"/>
          <w:highlight w:val="none"/>
        </w:rPr>
        <w:t xml:space="preserve">未纳入维护范围的路口</w:t>
      </w:r>
      <w:r>
        <w:rPr>
          <w:rFonts w:hint="eastAsia" w:cs="宋体"/>
          <w:bCs/>
          <w:color w:val="auto"/>
          <w:sz w:val="24"/>
          <w:szCs w:val="24"/>
          <w:highlight w:val="none"/>
          <w:lang w:val="en-US" w:eastAsia="zh-CN"/>
        </w:rPr>
        <w:t xml:space="preserve">设备</w:t>
      </w:r>
      <w:r>
        <w:rPr>
          <w:rFonts w:hint="eastAsia" w:ascii="宋体" w:hAnsi="宋体" w:cs="宋体"/>
          <w:bCs/>
          <w:color w:val="auto"/>
          <w:sz w:val="24"/>
          <w:szCs w:val="24"/>
          <w:highlight w:val="none"/>
        </w:rPr>
        <w:t xml:space="preserve">设施故障</w:t>
      </w:r>
      <w:r>
        <w:rPr>
          <w:rFonts w:hint="eastAsia" w:cs="宋体"/>
          <w:bCs/>
          <w:color w:val="auto"/>
          <w:sz w:val="24"/>
          <w:szCs w:val="24"/>
          <w:highlight w:val="none"/>
          <w:lang w:val="en-US" w:eastAsia="zh-CN"/>
        </w:rPr>
        <w:t xml:space="preserve">抢修与日常</w:t>
      </w:r>
      <w:r>
        <w:rPr>
          <w:rFonts w:hint="eastAsia" w:ascii="宋体" w:hAnsi="宋体" w:cs="宋体"/>
          <w:bCs/>
          <w:color w:val="auto"/>
          <w:sz w:val="24"/>
          <w:szCs w:val="24"/>
          <w:highlight w:val="none"/>
        </w:rPr>
        <w:t xml:space="preserve">维护等服务工作。（未移交交管支队的路口，具体由采购人认定）</w:t>
      </w:r>
      <w:r>
        <w:rPr>
          <w:rFonts w:hint="eastAsia" w:cs="宋体"/>
          <w:bCs/>
          <w:color w:val="auto"/>
          <w:sz w:val="24"/>
          <w:szCs w:val="24"/>
          <w:highlight w:val="none"/>
          <w:lang w:eastAsia="zh-CN"/>
        </w:rPr>
        <w:t xml:space="preserve">。对已</w:t>
      </w:r>
      <w:r>
        <w:rPr>
          <w:rFonts w:hint="eastAsia" w:ascii="宋体" w:hAnsi="宋体" w:cs="宋体"/>
          <w:bCs/>
          <w:color w:val="auto"/>
          <w:sz w:val="24"/>
          <w:szCs w:val="24"/>
          <w:highlight w:val="none"/>
        </w:rPr>
        <w:t xml:space="preserve">发现肇事者的事故、市政施工、地铁施工造成信号灯及附属设施损坏维护及更换。工程费用自行向肇事人或施工单位索赔。</w:t>
      </w:r>
      <w:r/>
    </w:p>
    <w:p>
      <w:pPr>
        <w:numPr>
          <w:ilvl w:val="0"/>
          <w:numId w:val="0"/>
        </w:numPr>
        <w:ind w:left="0" w:firstLine="237"/>
        <w:spacing w:line="336" w:lineRule="auto"/>
        <w:rPr>
          <w:rFonts w:hint="eastAsia" w:ascii="宋体" w:hAnsi="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bidi="ar-SA"/>
        </w:rPr>
        <w:t xml:space="preserve">（5）</w:t>
      </w:r>
      <w:r>
        <w:rPr>
          <w:rFonts w:hint="eastAsia" w:ascii="宋体" w:hAnsi="宋体" w:cs="宋体"/>
          <w:bCs/>
          <w:color w:val="auto"/>
          <w:sz w:val="24"/>
          <w:szCs w:val="24"/>
          <w:highlight w:val="none"/>
          <w:lang w:val="en-US" w:eastAsia="zh-CN"/>
        </w:rPr>
        <w:t xml:space="preserve">管道调查，并提出管道埋设需求。</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根据</w:t>
      </w:r>
      <w:r>
        <w:rPr>
          <w:rFonts w:hint="eastAsia" w:ascii="宋体" w:hAnsi="宋体" w:cs="宋体"/>
          <w:bCs/>
          <w:color w:val="auto"/>
          <w:sz w:val="24"/>
          <w:szCs w:val="24"/>
          <w:highlight w:val="none"/>
          <w:lang w:eastAsia="zh-CN"/>
        </w:rPr>
        <w:t xml:space="preserve">采购人</w:t>
      </w:r>
      <w:r>
        <w:rPr>
          <w:rFonts w:hint="eastAsia" w:ascii="宋体" w:hAnsi="宋体" w:cs="宋体"/>
          <w:bCs/>
          <w:color w:val="auto"/>
          <w:sz w:val="24"/>
          <w:szCs w:val="24"/>
          <w:highlight w:val="none"/>
        </w:rPr>
        <w:t xml:space="preserve">要求，对路口管线情况进行调查，根据</w:t>
      </w:r>
      <w:r>
        <w:rPr>
          <w:rFonts w:hint="eastAsia" w:ascii="宋体" w:hAnsi="宋体" w:cs="宋体"/>
          <w:bCs/>
          <w:color w:val="auto"/>
          <w:sz w:val="24"/>
          <w:szCs w:val="24"/>
          <w:highlight w:val="none"/>
          <w:lang w:val="en-US" w:eastAsia="zh-CN"/>
        </w:rPr>
        <w:t xml:space="preserve">维护</w:t>
      </w:r>
      <w:r>
        <w:rPr>
          <w:rFonts w:hint="eastAsia" w:ascii="宋体" w:hAnsi="宋体" w:cs="宋体"/>
          <w:bCs/>
          <w:color w:val="auto"/>
          <w:sz w:val="24"/>
          <w:szCs w:val="24"/>
          <w:highlight w:val="none"/>
        </w:rPr>
        <w:t xml:space="preserve">需要提出管线需求，并出具相关图纸。</w:t>
      </w:r>
      <w:r/>
    </w:p>
    <w:p>
      <w:pPr>
        <w:numPr>
          <w:ilvl w:val="0"/>
          <w:numId w:val="0"/>
        </w:numPr>
        <w:ind w:left="0" w:firstLine="237"/>
        <w:spacing w:line="336" w:lineRule="auto"/>
        <w:rPr>
          <w:rFonts w:hint="eastAsia" w:ascii="宋体" w:hAnsi="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bidi="ar-SA"/>
        </w:rPr>
        <w:t xml:space="preserve">（6）</w:t>
      </w:r>
      <w:r>
        <w:rPr>
          <w:rFonts w:hint="eastAsia" w:ascii="宋体" w:hAnsi="宋体" w:cs="宋体"/>
          <w:bCs/>
          <w:color w:val="auto"/>
          <w:sz w:val="24"/>
          <w:szCs w:val="24"/>
          <w:highlight w:val="none"/>
          <w:lang w:val="en-US" w:eastAsia="zh-CN"/>
        </w:rPr>
        <w:t xml:space="preserve">信号灯及其附属设施的安全性检查要求</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建立巡查检查及维护日报告制度，每日巡查检查情况以及处置建议，尤其是发现本</w:t>
      </w:r>
      <w:r>
        <w:rPr>
          <w:rFonts w:hint="eastAsia" w:ascii="宋体" w:hAnsi="宋体" w:cs="宋体"/>
          <w:bCs/>
          <w:color w:val="auto"/>
          <w:sz w:val="24"/>
          <w:szCs w:val="24"/>
          <w:highlight w:val="none"/>
          <w:lang w:val="en-US" w:eastAsia="zh-CN"/>
        </w:rPr>
        <w:t xml:space="preserve">项目</w:t>
      </w:r>
      <w:r>
        <w:rPr>
          <w:rFonts w:hint="eastAsia" w:ascii="宋体" w:hAnsi="宋体" w:cs="宋体"/>
          <w:bCs/>
          <w:color w:val="auto"/>
          <w:sz w:val="24"/>
          <w:szCs w:val="24"/>
          <w:highlight w:val="none"/>
        </w:rPr>
        <w:t xml:space="preserve">维护责任以外的问题，</w:t>
      </w:r>
      <w:r>
        <w:rPr>
          <w:rFonts w:hint="eastAsia" w:ascii="宋体" w:hAnsi="宋体" w:cs="宋体"/>
          <w:bCs/>
          <w:color w:val="auto"/>
          <w:sz w:val="24"/>
          <w:szCs w:val="24"/>
          <w:highlight w:val="none"/>
          <w:lang w:val="en-US" w:eastAsia="zh-CN"/>
        </w:rPr>
        <w:t xml:space="preserve">均</w:t>
      </w:r>
      <w:r>
        <w:rPr>
          <w:rFonts w:hint="eastAsia" w:ascii="宋体" w:hAnsi="宋体" w:cs="宋体"/>
          <w:bCs/>
          <w:color w:val="auto"/>
          <w:sz w:val="24"/>
          <w:szCs w:val="24"/>
          <w:highlight w:val="none"/>
        </w:rPr>
        <w:t xml:space="preserve">应于当日报采购人，便于采购人及时下达处置指令。每月巡查全部信号灯路口一次，开展信号灯灯控路口、信号灯主体设备和附属设施的巡查和安全检查工作，制定月巡查检查计划和工作日志报采购人。</w:t>
      </w:r>
      <w:r/>
    </w:p>
    <w:p>
      <w:pPr>
        <w:ind w:firstLine="480"/>
        <w:spacing w:line="336"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以上巡查结果均应</w:t>
      </w:r>
      <w:r>
        <w:rPr>
          <w:rFonts w:hint="eastAsia" w:ascii="宋体" w:hAnsi="宋体" w:cs="宋体"/>
          <w:bCs/>
          <w:color w:val="auto"/>
          <w:sz w:val="24"/>
          <w:szCs w:val="24"/>
          <w:highlight w:val="none"/>
        </w:rPr>
        <w:t xml:space="preserve">填写《信号灯及其附属设施安全检查记录表</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，对信号灯相关设施安全性检查不到位导致的安全事故，由</w:t>
      </w: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承担全部法律、经济责任，采购人将不承担任何责任。对不属于责任范围内的处理工作如配套标志标线冲突缺失等问题，</w:t>
      </w:r>
      <w:r>
        <w:rPr>
          <w:rFonts w:hint="eastAsia" w:ascii="宋体" w:hAnsi="宋体" w:cs="宋体"/>
          <w:bCs/>
          <w:color w:val="auto"/>
          <w:sz w:val="24"/>
          <w:szCs w:val="24"/>
          <w:highlight w:val="none"/>
          <w:lang w:val="en-US" w:eastAsia="zh-CN"/>
        </w:rPr>
        <w:t xml:space="preserve">投标人应</w:t>
      </w:r>
      <w:r>
        <w:rPr>
          <w:rFonts w:hint="eastAsia" w:ascii="宋体" w:hAnsi="宋体" w:cs="宋体"/>
          <w:bCs/>
          <w:color w:val="auto"/>
          <w:sz w:val="24"/>
          <w:szCs w:val="24"/>
          <w:highlight w:val="none"/>
        </w:rPr>
        <w:t xml:space="preserve">提出解决建议并及时报告采购人，同时做好登记备查。</w:t>
      </w:r>
      <w:r/>
    </w:p>
    <w:p>
      <w:pPr>
        <w:pStyle w:val="852"/>
        <w:numPr>
          <w:ilvl w:val="0"/>
          <w:numId w:val="3"/>
        </w:numPr>
        <w:ind w:left="845" w:hanging="425"/>
        <w:spacing w:line="336" w:lineRule="auto"/>
        <w:rPr>
          <w:rFonts w:ascii="宋体" w:hAnsi="宋体" w:cs="宋体"/>
          <w:bCs/>
          <w:color w:val="auto"/>
          <w:sz w:val="24"/>
          <w:szCs w:val="24"/>
          <w:highlight w:val="none"/>
        </w:rPr>
      </w:pPr>
      <w:r>
        <w:rPr>
          <w:rFonts w:hint="eastAsia" w:cs="宋体"/>
          <w:bCs/>
          <w:color w:val="auto"/>
          <w:sz w:val="24"/>
          <w:szCs w:val="24"/>
          <w:highlight w:val="none"/>
          <w:lang w:val="en-US" w:eastAsia="zh-CN"/>
        </w:rPr>
        <w:t xml:space="preserve">内场</w:t>
      </w:r>
      <w:r>
        <w:rPr>
          <w:rFonts w:hint="eastAsia" w:ascii="宋体" w:hAnsi="宋体" w:cs="宋体"/>
          <w:bCs/>
          <w:color w:val="auto"/>
          <w:sz w:val="24"/>
          <w:szCs w:val="24"/>
          <w:highlight w:val="none"/>
        </w:rPr>
        <w:t xml:space="preserve">维护服务</w:t>
      </w:r>
      <w:r>
        <w:rPr>
          <w:rFonts w:hint="eastAsia" w:cs="宋体"/>
          <w:bCs/>
          <w:color w:val="auto"/>
          <w:sz w:val="24"/>
          <w:szCs w:val="24"/>
          <w:highlight w:val="none"/>
          <w:lang w:val="en-US" w:eastAsia="zh-CN"/>
        </w:rPr>
        <w:t xml:space="preserve">内容</w:t>
      </w:r>
      <w:r/>
    </w:p>
    <w:p>
      <w:pPr>
        <w:numPr>
          <w:ilvl w:val="0"/>
          <w:numId w:val="5"/>
        </w:numPr>
        <w:ind w:left="483" w:hanging="86"/>
        <w:spacing w:line="336" w:lineRule="auto"/>
        <w:rPr>
          <w:rFonts w:hint="eastAsia"/>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中心机房的硬件设备的维护</w:t>
      </w:r>
      <w:r/>
    </w:p>
    <w:p>
      <w:pPr>
        <w:pStyle w:val="852"/>
        <w:spacing w:line="336"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中心机房设备及软件主要包括工作站、交换机、路由器、数据库服务器、中央管理服务器、区域控制服务器，以及交通信号控制系统的交通应用软件及与之运行匹配的运行操作系统软件。投标人应掌握交通信号控制系统网络架构中交换机、路由器等安装信息，同时掌握架构中所有交换机、路由器、服务器的安装调试方法。</w:t>
      </w:r>
      <w:r/>
    </w:p>
    <w:p>
      <w:pPr>
        <w:pStyle w:val="852"/>
        <w:spacing w:line="336"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投标人应保证交通信号控制系统的稳定正常运行，对中心机房(含运维中心室）交通信号控制系统的各类软硬件设备进行运行维护，确保系统各项功能的正常使用，包括系统正常运行所必需的一切工作。若出现故障，当设备发生故障时，运维人员应6小时内响应，并在24小时内排除故障，如果未完成故障的修复，中标供应商应提供应保障，所有设备及软件涉及的维修及费用由投标人承担。</w:t>
      </w:r>
      <w:r/>
    </w:p>
    <w:p>
      <w:pPr>
        <w:numPr>
          <w:ilvl w:val="0"/>
          <w:numId w:val="5"/>
        </w:numPr>
        <w:ind w:left="483" w:hanging="86"/>
        <w:spacing w:line="336" w:lineRule="auto"/>
        <w:rPr>
          <w:rFonts w:hint="eastAsia"/>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信号系统相关软件的维护与改进服务</w:t>
      </w:r>
      <w:r/>
    </w:p>
    <w:p>
      <w:pPr>
        <w:ind w:firstLine="480"/>
        <w:spacing w:line="336" w:lineRule="auto"/>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rPr>
        <w:t xml:space="preserve">负责信号灯后台控制系统的维护，监测和巡检系统运行状况，及时处置系统硬件、软件故障，保障系统正常运行</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协调通讯公司工作，保持联网路口在线率98%以上</w:t>
      </w:r>
      <w:r>
        <w:rPr>
          <w:rFonts w:hint="eastAsia" w:ascii="宋体" w:hAnsi="宋体" w:cs="宋体"/>
          <w:bCs/>
          <w:color w:val="auto"/>
          <w:sz w:val="24"/>
          <w:szCs w:val="24"/>
          <w:highlight w:val="none"/>
          <w:lang w:eastAsia="zh-CN"/>
        </w:rPr>
        <w:t xml:space="preserve">。</w:t>
      </w:r>
      <w:r/>
    </w:p>
    <w:p>
      <w:pPr>
        <w:ind w:firstLine="480"/>
        <w:spacing w:line="336" w:lineRule="auto"/>
        <w:rPr>
          <w:rFonts w:hint="eastAsia"/>
          <w:color w:val="auto"/>
          <w:sz w:val="24"/>
          <w:szCs w:val="24"/>
          <w:highlight w:val="none"/>
          <w:lang w:val="en-US" w:eastAsia="zh-CN"/>
        </w:rPr>
      </w:pPr>
      <w:r>
        <w:rPr>
          <w:rFonts w:hint="eastAsia" w:ascii="宋体" w:hAnsi="宋体" w:cs="宋体"/>
          <w:bCs/>
          <w:color w:val="auto"/>
          <w:sz w:val="24"/>
          <w:szCs w:val="24"/>
          <w:highlight w:val="none"/>
        </w:rPr>
        <w:t xml:space="preserve">按照部门要求完成集成指挥平台交通信号灯联网联控模块部署、接入、测试。协助支队总结归纳信号灯建设、管养中存在的问题提出解决方案，参照国家、行业、地方标准与规范，结合地方特色制定并申报行业标准与规范。</w:t>
      </w:r>
      <w:r/>
    </w:p>
    <w:p>
      <w:pPr>
        <w:numPr>
          <w:ilvl w:val="0"/>
          <w:numId w:val="5"/>
        </w:numPr>
        <w:ind w:left="483" w:hanging="86"/>
        <w:spacing w:line="336" w:lineRule="auto"/>
        <w:rPr>
          <w:rFonts w:hint="eastAsia"/>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便民服务等平台的工单处理与回复</w:t>
      </w:r>
      <w:r/>
    </w:p>
    <w:p>
      <w:pPr>
        <w:pStyle w:val="852"/>
        <w:spacing w:line="336"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投标人应协助交管支队对新闻媒体、市长、书记信箱等便民平台涉及信号灯设施与配时的问题进行处理与回复。</w:t>
      </w:r>
      <w:r/>
    </w:p>
    <w:p>
      <w:pPr>
        <w:numPr>
          <w:ilvl w:val="0"/>
          <w:numId w:val="5"/>
        </w:numPr>
        <w:ind w:left="483" w:hanging="86"/>
        <w:spacing w:line="336" w:lineRule="auto"/>
        <w:rPr>
          <w:rFonts w:hint="eastAsia"/>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路口信号配时优化服务</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1）根据交通流变化</w:t>
      </w:r>
      <w:r>
        <w:rPr>
          <w:rFonts w:hint="eastAsia" w:ascii="宋体" w:hAnsi="宋体" w:cs="宋体"/>
          <w:bCs/>
          <w:color w:val="auto"/>
          <w:sz w:val="24"/>
          <w:szCs w:val="24"/>
          <w:highlight w:val="none"/>
          <w:lang w:val="en-US" w:eastAsia="zh-CN"/>
        </w:rPr>
        <w:t xml:space="preserve">和</w:t>
      </w:r>
      <w:r>
        <w:rPr>
          <w:rFonts w:hint="eastAsia" w:ascii="宋体" w:hAnsi="宋体" w:cs="宋体"/>
          <w:bCs/>
          <w:color w:val="auto"/>
          <w:sz w:val="24"/>
          <w:szCs w:val="24"/>
          <w:highlight w:val="none"/>
        </w:rPr>
        <w:t xml:space="preserve">支队需求及时调整信号</w:t>
      </w:r>
      <w:r>
        <w:rPr>
          <w:rFonts w:hint="eastAsia" w:ascii="宋体" w:hAnsi="宋体" w:cs="宋体"/>
          <w:bCs/>
          <w:color w:val="auto"/>
          <w:sz w:val="24"/>
          <w:szCs w:val="24"/>
          <w:highlight w:val="none"/>
          <w:lang w:val="en-US" w:eastAsia="zh-CN"/>
        </w:rPr>
        <w:t xml:space="preserve">配时方案</w:t>
      </w:r>
      <w:r>
        <w:rPr>
          <w:rFonts w:hint="eastAsia" w:ascii="宋体" w:hAnsi="宋体" w:cs="宋体"/>
          <w:bCs/>
          <w:color w:val="auto"/>
          <w:sz w:val="24"/>
          <w:szCs w:val="24"/>
          <w:highlight w:val="none"/>
        </w:rPr>
        <w:t xml:space="preserve">。实现全部</w:t>
      </w:r>
      <w:r>
        <w:rPr>
          <w:rFonts w:hint="eastAsia" w:ascii="宋体" w:hAnsi="宋体" w:cs="宋体"/>
          <w:bCs/>
          <w:color w:val="auto"/>
          <w:sz w:val="24"/>
          <w:szCs w:val="24"/>
          <w:highlight w:val="none"/>
          <w:lang w:val="en-US" w:eastAsia="zh-CN"/>
        </w:rPr>
        <w:t xml:space="preserve">信号路口</w:t>
      </w:r>
      <w:r>
        <w:rPr>
          <w:rFonts w:hint="eastAsia" w:ascii="宋体" w:hAnsi="宋体" w:cs="宋体"/>
          <w:bCs/>
          <w:color w:val="auto"/>
          <w:sz w:val="24"/>
          <w:szCs w:val="24"/>
          <w:highlight w:val="none"/>
        </w:rPr>
        <w:t xml:space="preserve">多时段信号配时方案，中心城区主次干路交叉口配时方案不少于6组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并根据季节、天气、节假日</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高峰、平峰、低谷、夜间等实际情况实时调节。 每两周做出一个路段协调设计，并</w:t>
      </w:r>
      <w:r>
        <w:rPr>
          <w:rFonts w:hint="eastAsia" w:ascii="宋体" w:hAnsi="宋体" w:cs="宋体"/>
          <w:bCs/>
          <w:color w:val="auto"/>
          <w:sz w:val="24"/>
          <w:szCs w:val="24"/>
          <w:highlight w:val="none"/>
          <w:lang w:val="en-US" w:eastAsia="zh-CN"/>
        </w:rPr>
        <w:t xml:space="preserve">做试运行测试，根据试运行结果出具路口信号配时方案评价报告</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）及时响应支队</w:t>
      </w:r>
      <w:r>
        <w:rPr>
          <w:rFonts w:hint="eastAsia" w:ascii="宋体" w:hAnsi="宋体" w:cs="宋体"/>
          <w:bCs/>
          <w:color w:val="auto"/>
          <w:sz w:val="24"/>
          <w:szCs w:val="24"/>
          <w:highlight w:val="none"/>
          <w:lang w:val="en-US" w:eastAsia="zh-CN"/>
        </w:rPr>
        <w:t xml:space="preserve">和大队</w:t>
      </w:r>
      <w:r>
        <w:rPr>
          <w:rFonts w:hint="eastAsia" w:ascii="宋体" w:hAnsi="宋体" w:cs="宋体"/>
          <w:bCs/>
          <w:color w:val="auto"/>
          <w:sz w:val="24"/>
          <w:szCs w:val="24"/>
          <w:highlight w:val="none"/>
        </w:rPr>
        <w:t xml:space="preserve">对其辖区范围内灯控路口的配时要求</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方案优化人员每人自备一台电脑。方案优化办公室自备2台电脑。</w:t>
      </w:r>
      <w:r/>
    </w:p>
    <w:p>
      <w:pPr>
        <w:ind w:firstLine="480"/>
        <w:spacing w:line="336"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维护</w:t>
      </w:r>
      <w:r>
        <w:rPr>
          <w:rFonts w:hint="eastAsia" w:ascii="宋体" w:hAnsi="宋体" w:cs="宋体"/>
          <w:bCs/>
          <w:color w:val="auto"/>
          <w:sz w:val="24"/>
          <w:szCs w:val="24"/>
          <w:highlight w:val="none"/>
        </w:rPr>
        <w:t xml:space="preserve">路口信号配时方案档案</w:t>
      </w:r>
      <w:r>
        <w:rPr>
          <w:rFonts w:hint="eastAsia" w:ascii="宋体" w:hAnsi="宋体" w:cs="宋体"/>
          <w:bCs/>
          <w:color w:val="auto"/>
          <w:sz w:val="24"/>
          <w:szCs w:val="24"/>
          <w:highlight w:val="none"/>
          <w:lang w:val="en-US" w:eastAsia="zh-CN"/>
        </w:rPr>
        <w:t xml:space="preserve">系统</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修改路口信号配时方案后，应及时更新配时方案数据库</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并每月上报采购人。</w:t>
      </w:r>
      <w:r/>
    </w:p>
    <w:p>
      <w:pPr>
        <w:ind w:firstLine="480"/>
        <w:spacing w:line="336"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）按要求定期对信号机校时。</w:t>
      </w:r>
      <w:r/>
    </w:p>
    <w:p>
      <w:pPr>
        <w:ind w:firstLine="480"/>
        <w:spacing w:line="336"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）道路交通信号灯规范设置率100%，全面消除复合灯、滥用直行箭头灯和相位冲突等问题；双向六车道以上道路平面交叉口逐步实现全车型多相位控制，主次干路邻近交叉口协调控制应用覆盖率达到100%</w:t>
      </w:r>
      <w:r>
        <w:rPr>
          <w:rFonts w:hint="eastAsia" w:ascii="宋体" w:hAnsi="宋体" w:cs="宋体"/>
          <w:bCs/>
          <w:color w:val="auto"/>
          <w:sz w:val="24"/>
          <w:szCs w:val="24"/>
          <w:highlight w:val="none"/>
          <w:lang w:eastAsia="zh-CN"/>
        </w:rPr>
        <w:t xml:space="preserve">。</w:t>
      </w:r>
      <w:r/>
    </w:p>
    <w:p>
      <w:pPr>
        <w:ind w:firstLine="480"/>
        <w:spacing w:line="336" w:lineRule="auto"/>
        <w:rPr>
          <w:rFonts w:hint="eastAsia" w:ascii="宋体" w:hAnsi="宋体" w:cs="宋体"/>
          <w:bCs/>
          <w:color w:val="auto"/>
          <w:sz w:val="24"/>
          <w:szCs w:val="24"/>
          <w:highlight w:val="none"/>
        </w:rPr>
      </w:pPr>
      <w:r>
        <w:rPr>
          <w:rFonts w:hint="eastAsia" w:ascii="宋体" w:hAnsi="宋体" w:cs="宋体"/>
          <w:bCs/>
          <w:strike w:val="0"/>
          <w:color w:val="auto"/>
          <w:sz w:val="24"/>
          <w:szCs w:val="24"/>
          <w:highlight w:val="none"/>
          <w:lang w:val="en-US" w:eastAsia="zh-CN"/>
        </w:rPr>
        <w:t xml:space="preserve">5</w:t>
      </w:r>
      <w:r>
        <w:rPr>
          <w:rFonts w:hint="eastAsia" w:ascii="宋体" w:hAnsi="宋体" w:cs="宋体"/>
          <w:bCs/>
          <w:strike w:val="0"/>
          <w:color w:val="auto"/>
          <w:sz w:val="24"/>
          <w:szCs w:val="24"/>
          <w:highlight w:val="none"/>
        </w:rPr>
        <w:t xml:space="preserve">）路口交通组织优化工作。根据支队意见及城区现场交通情况制定交通组织优化方案，编写可行性报告，改造方案及实施方案。经相关部门论证同意，上报支队签批后，支队安排有关部门实施</w:t>
      </w:r>
      <w:r>
        <w:rPr>
          <w:rFonts w:hint="eastAsia" w:ascii="宋体" w:hAnsi="宋体" w:cs="宋体"/>
          <w:bCs/>
          <w:strike w:val="0"/>
          <w:color w:val="auto"/>
          <w:sz w:val="24"/>
          <w:szCs w:val="24"/>
          <w:highlight w:val="none"/>
          <w:lang w:eastAsia="zh-CN"/>
        </w:rPr>
        <w:t xml:space="preserve">。</w:t>
      </w:r>
      <w:r/>
    </w:p>
    <w:p>
      <w:pPr>
        <w:numPr>
          <w:ilvl w:val="0"/>
          <w:numId w:val="5"/>
        </w:numPr>
        <w:ind w:left="483" w:hanging="86"/>
        <w:spacing w:line="336"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支队指挥中心值守服务和特勤保障服务。</w:t>
      </w:r>
      <w:r/>
    </w:p>
    <w:p>
      <w:pPr>
        <w:ind w:firstLine="480"/>
        <w:spacing w:line="336"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投标人应建立重要节点值班制度（含法定节假日），按招标人工作需要，在指定的重要节点派至少一人在支队情报指挥中心进行值守，并提供两个固定手机号码接报故障（市区与贾汪各一）。按招标人要求提前上报值班人员值班表，明确值班人员姓名及联系方式。投标人针对大型活动、法定假日、突发事件等情况，需制定维护服务应急处突预案并上报采购人。预案中需明确处突人员、车辆、联系方式、机具配置等保障措施，并按采购人要求按时到达处置现场。</w:t>
      </w:r>
      <w:r/>
    </w:p>
    <w:p>
      <w:pPr>
        <w:ind w:firstLine="480"/>
        <w:spacing w:line="336"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重大特勤任务或节日</w:t>
      </w:r>
      <w:r>
        <w:rPr>
          <w:rFonts w:hint="eastAsia" w:ascii="宋体" w:hAnsi="宋体" w:cs="宋体"/>
          <w:bCs/>
          <w:color w:val="auto"/>
          <w:sz w:val="24"/>
          <w:szCs w:val="24"/>
          <w:highlight w:val="none"/>
          <w:lang w:val="en-US" w:eastAsia="zh-CN"/>
        </w:rPr>
        <w:t xml:space="preserve">按需增派</w:t>
      </w:r>
      <w:r>
        <w:rPr>
          <w:rFonts w:hint="eastAsia" w:ascii="宋体" w:hAnsi="宋体" w:cs="宋体"/>
          <w:bCs/>
          <w:color w:val="auto"/>
          <w:sz w:val="24"/>
          <w:szCs w:val="24"/>
          <w:highlight w:val="none"/>
        </w:rPr>
        <w:t xml:space="preserve">专人</w:t>
      </w:r>
      <w:r>
        <w:rPr>
          <w:rFonts w:hint="eastAsia" w:ascii="宋体" w:hAnsi="宋体" w:cs="宋体"/>
          <w:bCs/>
          <w:color w:val="auto"/>
          <w:sz w:val="24"/>
          <w:szCs w:val="24"/>
          <w:highlight w:val="none"/>
          <w:lang w:val="en-US" w:eastAsia="zh-CN"/>
        </w:rPr>
        <w:t xml:space="preserve">在情报指挥中心值守</w:t>
      </w:r>
      <w:r>
        <w:rPr>
          <w:rFonts w:hint="eastAsia" w:ascii="宋体" w:hAnsi="宋体" w:cs="宋体"/>
          <w:bCs/>
          <w:color w:val="auto"/>
          <w:sz w:val="24"/>
          <w:szCs w:val="24"/>
          <w:highlight w:val="none"/>
        </w:rPr>
        <w:t xml:space="preserve">，按照甲方要求提取、收集、汇总相关数据；</w:t>
      </w:r>
      <w:r>
        <w:rPr>
          <w:rFonts w:hint="eastAsia" w:ascii="宋体" w:hAnsi="宋体" w:cs="宋体"/>
          <w:bCs/>
          <w:color w:val="auto"/>
          <w:sz w:val="24"/>
          <w:szCs w:val="24"/>
          <w:highlight w:val="none"/>
          <w:lang w:val="en-US" w:eastAsia="zh-CN"/>
        </w:rPr>
        <w:t xml:space="preserve">值班人员</w:t>
      </w:r>
      <w:r>
        <w:rPr>
          <w:rFonts w:hint="eastAsia" w:ascii="宋体" w:hAnsi="宋体" w:cs="宋体"/>
          <w:bCs/>
          <w:color w:val="auto"/>
          <w:sz w:val="24"/>
          <w:szCs w:val="24"/>
          <w:highlight w:val="none"/>
        </w:rPr>
        <w:t xml:space="preserve">配合外场信号灯建设单位，完成信号灯外场设备与后台系统的接驳</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并</w:t>
      </w:r>
      <w:r>
        <w:rPr>
          <w:rFonts w:hint="eastAsia" w:ascii="宋体" w:hAnsi="宋体" w:cs="宋体"/>
          <w:bCs/>
          <w:color w:val="auto"/>
          <w:sz w:val="24"/>
          <w:szCs w:val="24"/>
          <w:highlight w:val="none"/>
        </w:rPr>
        <w:t xml:space="preserve">做好重大活动网络、遥控、手控开关检查、配时优化交通保障工作</w:t>
      </w:r>
      <w:r/>
    </w:p>
    <w:p>
      <w:pPr>
        <w:numPr>
          <w:ilvl w:val="0"/>
          <w:numId w:val="5"/>
        </w:numPr>
        <w:ind w:left="483" w:hanging="86"/>
        <w:spacing w:line="336"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拥堵治理专项服务</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6</w:t>
      </w:r>
      <w:r>
        <w:rPr>
          <w:rFonts w:ascii="宋体" w:hAnsi="宋体" w:cs="宋体"/>
          <w:bCs/>
          <w:color w:val="auto"/>
          <w:sz w:val="24"/>
          <w:szCs w:val="24"/>
          <w:highlight w:val="none"/>
        </w:rPr>
        <w:t xml:space="preserve">.1）堵点排查与研判分析：定期对辖区内所有路口、路段开展拥堵排查，重点排查中心城区主次干路、重点商圈、学校、医院周边及高架快速路与地面道路衔接处等易拥堵点位，建立拥堵点位台账，明确拥堵时段、拥堵成因（含交通流量失衡、车道设置不合理、交通冲突等）及影响范围，每月开展1次拥堵研判分析，结合交通大数据及现场踏勘情况，形成拥堵治理研判报告，提出针对性治理建议</w:t>
      </w:r>
      <w:r>
        <w:rPr>
          <w:rFonts w:hint="eastAsia" w:ascii="宋体" w:hAnsi="宋体" w:cs="宋体"/>
          <w:bCs/>
          <w:color w:val="auto"/>
          <w:sz w:val="24"/>
          <w:szCs w:val="24"/>
          <w:highlight w:val="none"/>
        </w:rPr>
        <w:t xml:space="preserve">。</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6</w:t>
      </w:r>
      <w:r>
        <w:rPr>
          <w:rFonts w:ascii="宋体" w:hAnsi="宋体" w:cs="宋体"/>
          <w:bCs/>
          <w:color w:val="auto"/>
          <w:sz w:val="24"/>
          <w:szCs w:val="24"/>
          <w:highlight w:val="none"/>
        </w:rPr>
        <w:t xml:space="preserve">.2）精细化拥堵治理实施：按照“一点一策、一路一策”原则，针对拥堵点位制定个性化治理方案，综合采取多种治理措施：一是动态优化车道配置，对潮汐交通特征明显的路段，试点推行可变车道，根据实时流量灵活调整车道功能，平衡双向交通压力；对车道功能不合理的路口，通过重新划分车道、增设左转/掉头专用车道、设置导流岛、迁移停止线等方式，减少交通冲突，提升通行效率；二是深化信号协同管控，在主次干路协调控制基础上，推进“点</w:t>
      </w:r>
      <w:r>
        <w:rPr>
          <w:rFonts w:hint="eastAsia" w:ascii="宋体" w:hAnsi="宋体" w:cs="宋体"/>
          <w:bCs/>
          <w:color w:val="auto"/>
          <w:sz w:val="24"/>
          <w:szCs w:val="24"/>
          <w:highlight w:val="none"/>
          <w:lang w:eastAsia="zh-CN"/>
        </w:rPr>
        <w:t xml:space="preserve">－</w:t>
      </w:r>
      <w:r>
        <w:rPr>
          <w:rFonts w:ascii="宋体" w:hAnsi="宋体" w:cs="宋体"/>
          <w:bCs/>
          <w:color w:val="auto"/>
          <w:sz w:val="24"/>
          <w:szCs w:val="24"/>
          <w:highlight w:val="none"/>
        </w:rPr>
        <w:t xml:space="preserve">线</w:t>
      </w:r>
      <w:r>
        <w:rPr>
          <w:rFonts w:hint="eastAsia" w:ascii="宋体" w:hAnsi="宋体" w:cs="宋体"/>
          <w:bCs/>
          <w:color w:val="auto"/>
          <w:sz w:val="24"/>
          <w:szCs w:val="24"/>
          <w:highlight w:val="none"/>
          <w:lang w:eastAsia="zh-CN"/>
        </w:rPr>
        <w:t xml:space="preserve">－</w:t>
      </w:r>
      <w:r>
        <w:rPr>
          <w:rFonts w:ascii="宋体" w:hAnsi="宋体" w:cs="宋体"/>
          <w:bCs/>
          <w:color w:val="auto"/>
          <w:sz w:val="24"/>
          <w:szCs w:val="24"/>
          <w:highlight w:val="none"/>
        </w:rPr>
        <w:t xml:space="preserve">面”联动管控，重点解决路口车辆拖尾溢出、区域交通交织等问题，打造动态绿波带，提升干线通行效率；</w:t>
      </w:r>
      <w:r>
        <w:rPr>
          <w:rFonts w:hint="eastAsia" w:ascii="宋体" w:hAnsi="宋体" w:cs="宋体"/>
          <w:bCs/>
          <w:color w:val="auto"/>
          <w:sz w:val="24"/>
          <w:szCs w:val="24"/>
          <w:highlight w:val="none"/>
        </w:rPr>
        <w:t xml:space="preserve">三</w:t>
      </w:r>
      <w:r>
        <w:rPr>
          <w:rFonts w:ascii="宋体" w:hAnsi="宋体" w:cs="宋体"/>
          <w:bCs/>
          <w:color w:val="auto"/>
          <w:sz w:val="24"/>
          <w:szCs w:val="24"/>
          <w:highlight w:val="none"/>
        </w:rPr>
        <w:t xml:space="preserve">是重点场景专项治理，针对学校、医院、商圈等重点区域，实施“一校一策”“一</w:t>
      </w:r>
      <w:r>
        <w:rPr>
          <w:rFonts w:hint="eastAsia" w:ascii="宋体" w:hAnsi="宋体" w:cs="宋体"/>
          <w:bCs/>
          <w:color w:val="auto"/>
          <w:sz w:val="24"/>
          <w:szCs w:val="24"/>
          <w:highlight w:val="none"/>
        </w:rPr>
        <w:t xml:space="preserve">圈</w:t>
      </w:r>
      <w:r>
        <w:rPr>
          <w:rFonts w:ascii="宋体" w:hAnsi="宋体" w:cs="宋体"/>
          <w:bCs/>
          <w:color w:val="auto"/>
          <w:sz w:val="24"/>
          <w:szCs w:val="24"/>
          <w:highlight w:val="none"/>
        </w:rPr>
        <w:t xml:space="preserve">一策”治理，缓解高峰时段拥堵压力。</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6</w:t>
      </w:r>
      <w:r>
        <w:rPr>
          <w:rFonts w:ascii="宋体" w:hAnsi="宋体" w:cs="宋体"/>
          <w:bCs/>
          <w:color w:val="auto"/>
          <w:sz w:val="24"/>
          <w:szCs w:val="24"/>
          <w:highlight w:val="none"/>
        </w:rPr>
        <w:t xml:space="preserve">.3）智慧赋能拥堵治理：引入AI交通治理技术，辅助开展拥堵识别与方案优化，实现拥堵事件从识别到告警的时间缩短，结合实时交通流数据自动生成配时优化建议，提升治理精准度；探索“低空+交管”融合治理模式，利用无人机开展常态化网格化巡检，实时感知交通流量、拥堵态势及异常事件，形成高空巡检报告，为拥堵治理提供数据支撑；推动交通管理从“经验驱动”向“数据智能驱动”升级，定期对AI治理效果进行复盘，持续优化算法模型。</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6</w:t>
      </w:r>
      <w:r>
        <w:rPr>
          <w:rFonts w:ascii="宋体" w:hAnsi="宋体" w:cs="宋体"/>
          <w:bCs/>
          <w:color w:val="auto"/>
          <w:sz w:val="24"/>
          <w:szCs w:val="24"/>
          <w:highlight w:val="none"/>
        </w:rPr>
        <w:t xml:space="preserve">.4）拥堵治理成效监测与优化：建立拥堵治理成效监测机制，通过交通拥堵指数、车辆通行速度、排队长度、通行延误等核心指标，对治理后的点位进行常态化监测，形成监测数据报表；每</w:t>
      </w:r>
      <w:r>
        <w:rPr>
          <w:rFonts w:hint="eastAsia" w:ascii="宋体" w:hAnsi="宋体" w:cs="宋体"/>
          <w:bCs/>
          <w:color w:val="auto"/>
          <w:sz w:val="24"/>
          <w:szCs w:val="24"/>
          <w:highlight w:val="none"/>
          <w:lang w:val="en-US" w:eastAsia="zh-CN"/>
        </w:rPr>
        <w:t xml:space="preserve">3个月</w:t>
      </w:r>
      <w:r>
        <w:rPr>
          <w:rFonts w:ascii="宋体" w:hAnsi="宋体" w:cs="宋体"/>
          <w:bCs/>
          <w:color w:val="auto"/>
          <w:sz w:val="24"/>
          <w:szCs w:val="24"/>
          <w:highlight w:val="none"/>
        </w:rPr>
        <w:t xml:space="preserve">开展1次拥堵治理成效评估，对比治理前后指标变化，分析治理措施的合理性，针对治理效果不佳的点位，及时优化调整治理方案，形成“排查</w:t>
      </w:r>
      <w:r>
        <w:rPr>
          <w:rFonts w:hint="eastAsia" w:ascii="宋体" w:hAnsi="宋体" w:cs="宋体"/>
          <w:bCs/>
          <w:color w:val="auto"/>
          <w:sz w:val="24"/>
          <w:szCs w:val="24"/>
          <w:highlight w:val="none"/>
          <w:lang w:eastAsia="zh-CN"/>
        </w:rPr>
        <w:t xml:space="preserve">－</w:t>
      </w:r>
      <w:r>
        <w:rPr>
          <w:rFonts w:ascii="宋体" w:hAnsi="宋体" w:cs="宋体"/>
          <w:bCs/>
          <w:color w:val="auto"/>
          <w:sz w:val="24"/>
          <w:szCs w:val="24"/>
          <w:highlight w:val="none"/>
        </w:rPr>
        <w:t xml:space="preserve">治理</w:t>
      </w:r>
      <w:r>
        <w:rPr>
          <w:rFonts w:hint="eastAsia" w:ascii="宋体" w:hAnsi="宋体" w:cs="宋体"/>
          <w:bCs/>
          <w:color w:val="auto"/>
          <w:sz w:val="24"/>
          <w:szCs w:val="24"/>
          <w:highlight w:val="none"/>
          <w:lang w:eastAsia="zh-CN"/>
        </w:rPr>
        <w:t xml:space="preserve">－</w:t>
      </w:r>
      <w:r>
        <w:rPr>
          <w:rFonts w:ascii="宋体" w:hAnsi="宋体" w:cs="宋体"/>
          <w:bCs/>
          <w:color w:val="auto"/>
          <w:sz w:val="24"/>
          <w:szCs w:val="24"/>
          <w:highlight w:val="none"/>
        </w:rPr>
        <w:t xml:space="preserve">监测</w:t>
      </w:r>
      <w:r>
        <w:rPr>
          <w:rFonts w:hint="eastAsia" w:ascii="宋体" w:hAnsi="宋体" w:cs="宋体"/>
          <w:bCs/>
          <w:color w:val="auto"/>
          <w:sz w:val="24"/>
          <w:szCs w:val="24"/>
          <w:highlight w:val="none"/>
          <w:lang w:eastAsia="zh-CN"/>
        </w:rPr>
        <w:t xml:space="preserve">－</w:t>
      </w:r>
      <w:r>
        <w:rPr>
          <w:rFonts w:ascii="宋体" w:hAnsi="宋体" w:cs="宋体"/>
          <w:bCs/>
          <w:color w:val="auto"/>
          <w:sz w:val="24"/>
          <w:szCs w:val="24"/>
          <w:highlight w:val="none"/>
        </w:rPr>
        <w:t xml:space="preserve">优化”的闭环管理。</w:t>
      </w:r>
      <w:r/>
    </w:p>
    <w:p>
      <w:pPr>
        <w:ind w:firstLine="480"/>
        <w:spacing w:line="336"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6</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5</w:t>
      </w:r>
      <w:r>
        <w:rPr>
          <w:rFonts w:ascii="宋体" w:hAnsi="宋体" w:cs="宋体"/>
          <w:bCs/>
          <w:color w:val="auto"/>
          <w:sz w:val="24"/>
          <w:szCs w:val="24"/>
          <w:highlight w:val="none"/>
        </w:rPr>
        <w:t xml:space="preserve">）拥堵治理档案管理：建立拥堵治理专项档案，详细记录拥堵点位排查结果、研判报告、治理方案、监测数据、成效评估报告等相关资料，及时更新档案内容；每月将拥堵治理相关资料整理归档，确保治理工作可追溯、可核查。</w:t>
      </w:r>
      <w:r/>
    </w:p>
    <w:p>
      <w:pPr>
        <w:numPr>
          <w:ilvl w:val="0"/>
          <w:numId w:val="5"/>
        </w:numPr>
        <w:ind w:left="483" w:hanging="86"/>
        <w:spacing w:line="336"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徐州市信号系统科技改进服务等工作</w:t>
      </w:r>
      <w:r/>
    </w:p>
    <w:p>
      <w:pPr>
        <w:ind w:firstLine="480"/>
        <w:spacing w:line="336"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利用</w:t>
      </w:r>
      <w:r>
        <w:rPr>
          <w:rFonts w:hint="eastAsia" w:ascii="宋体" w:hAnsi="宋体" w:cs="宋体"/>
          <w:bCs/>
          <w:color w:val="auto"/>
          <w:sz w:val="24"/>
          <w:szCs w:val="24"/>
          <w:highlight w:val="none"/>
          <w:lang w:eastAsia="zh-CN"/>
        </w:rPr>
        <w:t xml:space="preserve">信号</w:t>
      </w:r>
      <w:r>
        <w:rPr>
          <w:rFonts w:hint="eastAsia" w:ascii="宋体" w:hAnsi="宋体" w:cs="宋体"/>
          <w:bCs/>
          <w:color w:val="auto"/>
          <w:sz w:val="24"/>
          <w:szCs w:val="24"/>
          <w:highlight w:val="none"/>
        </w:rPr>
        <w:t xml:space="preserve">大模型管理平台，</w:t>
      </w:r>
      <w:r>
        <w:rPr>
          <w:rFonts w:hint="eastAsia" w:ascii="宋体" w:hAnsi="宋体" w:cs="宋体"/>
          <w:bCs/>
          <w:color w:val="auto"/>
          <w:sz w:val="24"/>
          <w:szCs w:val="24"/>
          <w:highlight w:val="none"/>
          <w:lang w:val="en-US" w:eastAsia="zh-CN"/>
        </w:rPr>
        <w:t xml:space="preserve">开展</w:t>
      </w:r>
      <w:r>
        <w:rPr>
          <w:rFonts w:hint="eastAsia" w:ascii="宋体" w:hAnsi="宋体" w:cs="宋体"/>
          <w:bCs/>
          <w:color w:val="auto"/>
          <w:sz w:val="24"/>
          <w:szCs w:val="24"/>
          <w:highlight w:val="none"/>
        </w:rPr>
        <w:t xml:space="preserve">路口/区域流量分析、配时自优化、多策略仿真推演</w:t>
      </w:r>
      <w:r>
        <w:rPr>
          <w:rFonts w:hint="eastAsia" w:ascii="宋体" w:hAnsi="宋体" w:cs="宋体"/>
          <w:bCs/>
          <w:color w:val="auto"/>
          <w:sz w:val="24"/>
          <w:szCs w:val="24"/>
          <w:highlight w:val="none"/>
          <w:lang w:val="en-US" w:eastAsia="zh-CN"/>
        </w:rPr>
        <w:t xml:space="preserve">工作</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利用可计算路网系统，获取市区路段、路口人车交通流数据，分析交通运行规律，并对系统生成的优化建议报告进行测试与观察，辅以人工优化，形成最终信号优化方案。</w:t>
      </w:r>
      <w:r>
        <w:rPr>
          <w:rFonts w:hint="eastAsia" w:ascii="宋体" w:hAnsi="宋体" w:cs="宋体"/>
          <w:bCs/>
          <w:color w:val="auto"/>
          <w:sz w:val="24"/>
          <w:szCs w:val="24"/>
          <w:highlight w:val="none"/>
        </w:rPr>
        <w:t xml:space="preserve">推广动态感应+绿波协调+区域协同，实现平峰/高峰/节假日/大型活动自适应切换</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快速路匝道智能汇入控制，均衡主辅路流量，缓解高架拥堵</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深化AI自适应控制覆盖，扩大动态感应路口规模</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建立市民反馈</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快速优化机制，让</w:t>
      </w:r>
      <w:r>
        <w:rPr>
          <w:rFonts w:hint="eastAsia" w:ascii="宋体" w:hAnsi="宋体" w:cs="宋体"/>
          <w:bCs/>
          <w:color w:val="auto"/>
          <w:sz w:val="24"/>
          <w:szCs w:val="24"/>
          <w:highlight w:val="none"/>
          <w:lang w:eastAsia="zh-CN"/>
        </w:rPr>
        <w:t xml:space="preserve">信号</w:t>
      </w:r>
      <w:r>
        <w:rPr>
          <w:rFonts w:hint="eastAsia" w:ascii="宋体" w:hAnsi="宋体" w:cs="宋体"/>
          <w:bCs/>
          <w:color w:val="auto"/>
          <w:sz w:val="24"/>
          <w:szCs w:val="24"/>
          <w:highlight w:val="none"/>
        </w:rPr>
        <w:t xml:space="preserve">更贴合出行需求</w:t>
      </w:r>
      <w:r>
        <w:rPr>
          <w:rFonts w:hint="eastAsia" w:ascii="宋体" w:hAnsi="宋体" w:cs="宋体"/>
          <w:bCs/>
          <w:color w:val="auto"/>
          <w:sz w:val="24"/>
          <w:szCs w:val="24"/>
          <w:highlight w:val="none"/>
          <w:lang w:eastAsia="zh-CN"/>
        </w:rPr>
        <w:t xml:space="preserve">。</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依托支队科创工作室，开展信号算法、场景应用探索工作，并对相关经验做法进行总结提炼。。</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.人员配置要求</w:t>
      </w:r>
      <w:r/>
    </w:p>
    <w:p>
      <w:pPr>
        <w:ind w:firstLine="480"/>
        <w:spacing w:line="336" w:lineRule="auto"/>
        <w:rPr>
          <w:rFonts w:hint="eastAsia" w:ascii="宋体" w:hAnsi="宋体" w:cs="宋体"/>
          <w:color w:val="auto"/>
          <w:sz w:val="24"/>
          <w:szCs w:val="24"/>
          <w:highlight w:val="none"/>
          <w:lang w:eastAsia="zh-CN"/>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项目高级管理人员：</w:t>
      </w:r>
      <w:r>
        <w:rPr>
          <w:rFonts w:hint="eastAsia" w:ascii="宋体" w:hAnsi="宋体" w:cs="宋体"/>
          <w:bCs/>
          <w:color w:val="auto"/>
          <w:sz w:val="24"/>
          <w:szCs w:val="24"/>
          <w:highlight w:val="none"/>
        </w:rPr>
        <w:t xml:space="preserve">项目经理1人</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具有城市道路交通信号控制工程建设或城市道路交通信号控制维护项目的工作经验</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项目经理具有</w:t>
      </w:r>
      <w:r>
        <w:rPr>
          <w:rFonts w:hint="eastAsia" w:ascii="宋体" w:hAnsi="宋体" w:cs="宋体"/>
          <w:color w:val="auto"/>
          <w:sz w:val="24"/>
          <w:szCs w:val="24"/>
          <w:highlight w:val="none"/>
        </w:rPr>
        <w:t xml:space="preserve">一级建造师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机电工程或通信与广电工程专业</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或高级工程师</w:t>
      </w:r>
      <w:r>
        <w:rPr>
          <w:rFonts w:hint="eastAsia" w:ascii="宋体" w:hAnsi="宋体" w:cs="宋体"/>
          <w:color w:val="auto"/>
          <w:sz w:val="24"/>
          <w:szCs w:val="24"/>
          <w:highlight w:val="none"/>
          <w:lang w:val="en-US" w:eastAsia="zh-CN"/>
        </w:rPr>
        <w:t xml:space="preserve">职称</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电力工程、机械工程、交通运输工程、通信工程、电子信息工程、智能交通专业方向均可</w:t>
      </w:r>
      <w:r>
        <w:rPr>
          <w:rFonts w:hint="eastAsia" w:ascii="宋体" w:hAnsi="宋体" w:cs="宋体"/>
          <w:color w:val="auto"/>
          <w:sz w:val="24"/>
          <w:szCs w:val="24"/>
          <w:highlight w:val="none"/>
          <w:lang w:eastAsia="zh-CN"/>
        </w:rPr>
        <w:t xml:space="preserve">）。</w:t>
      </w:r>
      <w:r/>
    </w:p>
    <w:p>
      <w:pPr>
        <w:ind w:firstLine="480"/>
        <w:spacing w:line="336" w:lineRule="auto"/>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技术负责人1人</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具有城市道路交通信号控制工程建设或城市道路交通信号控制维护项目的工作经验，具有</w:t>
      </w:r>
      <w:r>
        <w:rPr>
          <w:rFonts w:hint="eastAsia" w:ascii="宋体" w:hAnsi="宋体" w:cs="宋体"/>
          <w:bCs/>
          <w:color w:val="auto"/>
          <w:sz w:val="24"/>
          <w:szCs w:val="24"/>
          <w:highlight w:val="none"/>
          <w:lang w:val="en-US" w:eastAsia="zh-CN"/>
        </w:rPr>
        <w:t xml:space="preserve">高级工程师</w:t>
      </w:r>
      <w:r>
        <w:rPr>
          <w:rFonts w:hint="eastAsia" w:ascii="宋体" w:hAnsi="宋体" w:cs="宋体"/>
          <w:bCs/>
          <w:color w:val="auto"/>
          <w:sz w:val="24"/>
          <w:szCs w:val="24"/>
          <w:highlight w:val="none"/>
        </w:rPr>
        <w:t xml:space="preserve">职称</w:t>
      </w:r>
      <w:r>
        <w:rPr>
          <w:rFonts w:hint="eastAsia" w:ascii="宋体" w:hAnsi="宋体" w:cs="宋体"/>
          <w:bCs/>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电力工程、机械工程、交通运输工程、通信工程、电子信息工程、智能交通专业方向均可</w:t>
      </w:r>
      <w:r>
        <w:rPr>
          <w:rFonts w:hint="eastAsia" w:ascii="宋体" w:hAnsi="宋体" w:cs="宋体"/>
          <w:bCs/>
          <w:color w:val="auto"/>
          <w:sz w:val="24"/>
          <w:szCs w:val="24"/>
          <w:highlight w:val="none"/>
          <w:lang w:eastAsia="zh-CN"/>
        </w:rPr>
        <w:t xml:space="preserve">）。</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外场工程师共计13人，</w:t>
      </w:r>
      <w:r>
        <w:rPr>
          <w:rFonts w:hint="eastAsia" w:ascii="宋体" w:hAnsi="宋体" w:cs="宋体"/>
          <w:bCs/>
          <w:color w:val="auto"/>
          <w:sz w:val="24"/>
          <w:szCs w:val="24"/>
          <w:highlight w:val="none"/>
        </w:rPr>
        <w:t xml:space="preserve">均应具有相应电工证或高空作业证</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熟练掌握前端施工规范及建设标准，掌握接线技能和基础调试技能。</w:t>
      </w:r>
      <w:r/>
    </w:p>
    <w:p>
      <w:pPr>
        <w:spacing w:after="0" w:line="336" w:lineRule="auto"/>
        <w:tabs>
          <w:tab w:val="left" w:pos="4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内场工程师共计7人，</w:t>
      </w:r>
      <w:r>
        <w:rPr>
          <w:rFonts w:hint="eastAsia" w:ascii="宋体" w:hAnsi="宋体" w:cs="宋体"/>
          <w:bCs/>
          <w:color w:val="auto"/>
          <w:sz w:val="24"/>
          <w:szCs w:val="24"/>
          <w:highlight w:val="none"/>
          <w:lang w:eastAsia="zh-CN"/>
        </w:rPr>
        <w:t xml:space="preserve">能熟练操作本市信号控制系统，具有交通、通信相关专业学历，</w:t>
      </w:r>
      <w:r>
        <w:rPr>
          <w:rFonts w:hint="eastAsia" w:ascii="宋体" w:hAnsi="宋体" w:cs="宋体"/>
          <w:bCs/>
          <w:color w:val="auto"/>
          <w:sz w:val="24"/>
          <w:szCs w:val="24"/>
          <w:highlight w:val="none"/>
          <w:lang w:val="en-US" w:eastAsia="zh-CN"/>
        </w:rPr>
        <w:t xml:space="preserve">并配备</w:t>
      </w:r>
      <w:r>
        <w:rPr>
          <w:rFonts w:hint="eastAsia" w:ascii="宋体" w:hAnsi="宋体" w:cs="宋体"/>
          <w:bCs/>
          <w:color w:val="auto"/>
          <w:sz w:val="24"/>
          <w:szCs w:val="24"/>
          <w:highlight w:val="none"/>
          <w:lang w:eastAsia="zh-CN"/>
        </w:rPr>
        <w:t xml:space="preserve">至少一名CAD绘图专业技术人员，能熟练利用CAD软件绘制路口效果图。</w:t>
      </w:r>
      <w:r/>
    </w:p>
    <w:p>
      <w:pPr>
        <w:ind w:firstLine="482"/>
        <w:spacing w:line="336"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5）</w:t>
      </w:r>
      <w:r>
        <w:rPr>
          <w:rFonts w:hint="eastAsia" w:ascii="宋体" w:hAnsi="宋体" w:cs="宋体"/>
          <w:b w:val="0"/>
          <w:bCs/>
          <w:color w:val="auto"/>
          <w:sz w:val="24"/>
          <w:szCs w:val="24"/>
          <w:highlight w:val="none"/>
        </w:rPr>
        <w:t xml:space="preserve">人员及违约的管理</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项目经理、技术负责人、交通专业技术人员、后台维护人员由采购人相关负责单位负责安排工作及考核，电工的管理工作由中标单位考核。对违约的行为进行记录、考核、处罚，项目经理负责整个项目的管理，安排好值班表，上报采购方，配合考核。</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项目经理</w:t>
      </w:r>
      <w:r>
        <w:rPr>
          <w:rFonts w:hint="eastAsia" w:ascii="宋体" w:hAnsi="宋体" w:cs="宋体"/>
          <w:bCs/>
          <w:strike w:val="0"/>
          <w:color w:val="auto"/>
          <w:sz w:val="24"/>
          <w:szCs w:val="24"/>
          <w:highlight w:val="none"/>
        </w:rPr>
        <w:t xml:space="preserve">或技术负责人</w:t>
      </w:r>
      <w:r>
        <w:rPr>
          <w:rFonts w:hint="eastAsia" w:ascii="宋体" w:hAnsi="宋体" w:cs="宋体"/>
          <w:bCs/>
          <w:color w:val="auto"/>
          <w:sz w:val="24"/>
          <w:szCs w:val="24"/>
          <w:highlight w:val="none"/>
        </w:rPr>
        <w:t xml:space="preserve">和专业技术人员做好以下工作：</w:t>
      </w:r>
      <w:r/>
    </w:p>
    <w:p>
      <w:pPr>
        <w:numPr>
          <w:ilvl w:val="0"/>
          <w:numId w:val="0"/>
        </w:numPr>
        <w:ind w:firstLine="480"/>
        <w:spacing w:line="336"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根据道路交通流状况，交通组织方案制定路口配时方案，并完善相关资料；在指挥中心实时收集交通流量、偶发交通事件信息，观看道路视频交通情况，实时采取不同的控制方案，优化信号配时，实时控制路口；检测路口交通信号的通讯及运行状况，填写设备运行日志，负责资料、档案的收集对不能按时完成的，根据拖延的时间考核维修状况</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按照合同扣除维修经费，督促公司履约</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按照社会化合作项目保密安全规范签署保密协议</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协助招标人进行科技模型建设与科研竞赛工作</w:t>
      </w:r>
      <w:r>
        <w:rPr>
          <w:rFonts w:hint="eastAsia" w:ascii="宋体" w:hAnsi="宋体" w:cs="宋体"/>
          <w:bCs/>
          <w:color w:val="auto"/>
          <w:sz w:val="24"/>
          <w:szCs w:val="24"/>
          <w:highlight w:val="none"/>
        </w:rPr>
        <w:t xml:space="preserve">。</w:t>
      </w:r>
      <w:r/>
    </w:p>
    <w:p>
      <w:pPr>
        <w:ind w:firstLine="480"/>
        <w:spacing w:line="336" w:lineRule="auto"/>
        <w:rPr>
          <w:rFonts w:hint="eastAsia" w:ascii="宋体" w:hAnsi="宋体" w:cs="宋体"/>
          <w:bCs/>
          <w:strike w:val="0"/>
          <w:color w:val="auto"/>
          <w:sz w:val="24"/>
          <w:szCs w:val="24"/>
          <w:highlight w:val="none"/>
        </w:rPr>
      </w:pPr>
      <w:r>
        <w:rPr>
          <w:rFonts w:hint="eastAsia" w:ascii="宋体" w:hAnsi="宋体" w:cs="宋体"/>
          <w:bCs/>
          <w:strike w:val="0"/>
          <w:color w:val="auto"/>
          <w:sz w:val="24"/>
          <w:szCs w:val="24"/>
          <w:highlight w:val="none"/>
        </w:rPr>
        <w:t xml:space="preserve">投标人所报人员在服务周期内，项目经理及其他专业人员原则上不得更换。投标人的项目组人员应同投标文件保持一致，无正当理由更换项目组人员，均</w:t>
      </w:r>
      <w:r>
        <w:rPr>
          <w:rFonts w:hint="eastAsia" w:ascii="宋体" w:hAnsi="宋体" w:cs="宋体"/>
          <w:bCs/>
          <w:strike w:val="0"/>
          <w:color w:val="auto"/>
          <w:sz w:val="24"/>
          <w:szCs w:val="24"/>
          <w:highlight w:val="none"/>
          <w:lang w:val="en-US" w:eastAsia="zh-CN"/>
        </w:rPr>
        <w:t xml:space="preserve">按考核细则予以相应处罚，</w:t>
      </w:r>
      <w:r>
        <w:rPr>
          <w:rFonts w:hint="eastAsia" w:ascii="宋体" w:hAnsi="宋体" w:cs="宋体"/>
          <w:bCs/>
          <w:strike w:val="0"/>
          <w:color w:val="auto"/>
          <w:sz w:val="24"/>
          <w:szCs w:val="24"/>
          <w:highlight w:val="none"/>
        </w:rPr>
        <w:t xml:space="preserve">若人员履约率低于40%，则采购人有权单方解除合同，没收中标单位的履约保证金，另行聘请其他投标人完成</w:t>
      </w:r>
      <w:r>
        <w:rPr>
          <w:rFonts w:hint="eastAsia" w:ascii="宋体" w:hAnsi="宋体" w:cs="宋体"/>
          <w:bCs/>
          <w:strike w:val="0"/>
          <w:color w:val="auto"/>
          <w:sz w:val="24"/>
          <w:szCs w:val="24"/>
          <w:highlight w:val="none"/>
          <w:lang w:eastAsia="zh-CN"/>
        </w:rPr>
        <w:t xml:space="preserve">投标人</w:t>
      </w:r>
      <w:r>
        <w:rPr>
          <w:rFonts w:hint="eastAsia" w:ascii="宋体" w:hAnsi="宋体" w:cs="宋体"/>
          <w:bCs/>
          <w:strike w:val="0"/>
          <w:color w:val="auto"/>
          <w:sz w:val="24"/>
          <w:szCs w:val="24"/>
          <w:highlight w:val="none"/>
        </w:rPr>
        <w:t xml:space="preserve">未完成的合同内容，并要求</w:t>
      </w:r>
      <w:r>
        <w:rPr>
          <w:rFonts w:hint="eastAsia" w:ascii="宋体" w:hAnsi="宋体" w:cs="宋体"/>
          <w:bCs/>
          <w:strike w:val="0"/>
          <w:color w:val="auto"/>
          <w:sz w:val="24"/>
          <w:szCs w:val="24"/>
          <w:highlight w:val="none"/>
          <w:lang w:eastAsia="zh-CN"/>
        </w:rPr>
        <w:t xml:space="preserve">投标人</w:t>
      </w:r>
      <w:r>
        <w:rPr>
          <w:rFonts w:hint="eastAsia" w:ascii="宋体" w:hAnsi="宋体" w:cs="宋体"/>
          <w:bCs/>
          <w:strike w:val="0"/>
          <w:color w:val="auto"/>
          <w:sz w:val="24"/>
          <w:szCs w:val="24"/>
          <w:highlight w:val="none"/>
        </w:rPr>
        <w:t xml:space="preserve">赔偿损失。</w:t>
      </w:r>
      <w:r/>
    </w:p>
    <w:p>
      <w:pPr>
        <w:ind w:firstLine="480"/>
        <w:spacing w:line="336"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4.机械设备要求</w:t>
      </w:r>
      <w:r/>
    </w:p>
    <w:p>
      <w:pPr>
        <w:ind w:firstLine="480"/>
        <w:jc w:val="both"/>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投标人配备悬臂6米以上高空车</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辆，巡视小型车</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辆。自收到中标通知书后5个工作日内须提供车辆正面照片、行驶证正反面复印件加盖公章、自有车辆提供发票复印件加盖公章，租赁车辆具有</w:t>
      </w:r>
      <w:r>
        <w:rPr>
          <w:rFonts w:hint="eastAsia" w:ascii="宋体" w:hAnsi="宋体" w:cs="宋体"/>
          <w:bCs/>
          <w:color w:val="auto"/>
          <w:sz w:val="24"/>
          <w:szCs w:val="24"/>
          <w:highlight w:val="none"/>
          <w:lang w:val="en-US" w:eastAsia="zh-CN"/>
        </w:rPr>
        <w:t xml:space="preserve">相应本项目服务时间</w:t>
      </w:r>
      <w:r>
        <w:rPr>
          <w:rFonts w:hint="eastAsia" w:ascii="宋体" w:hAnsi="宋体" w:cs="宋体"/>
          <w:bCs/>
          <w:color w:val="auto"/>
          <w:sz w:val="24"/>
          <w:szCs w:val="24"/>
          <w:highlight w:val="none"/>
        </w:rPr>
        <w:t xml:space="preserve">及以上的租赁协议及发票复印件加盖公章。</w:t>
      </w:r>
      <w:r/>
    </w:p>
    <w:p>
      <w:pPr>
        <w:ind w:firstLine="480"/>
        <w:jc w:val="both"/>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投标人应自置交安设施维护管理系统手持终端设备，并安装软件，用于设施维护工作。按维护人员数量配备，</w:t>
      </w:r>
      <w:r>
        <w:rPr>
          <w:rFonts w:hint="eastAsia" w:ascii="宋体" w:hAnsi="宋体" w:cs="宋体"/>
          <w:bCs/>
          <w:color w:val="auto"/>
          <w:sz w:val="24"/>
          <w:szCs w:val="24"/>
          <w:highlight w:val="none"/>
          <w:lang w:eastAsia="zh-CN"/>
        </w:rPr>
        <w:t xml:space="preserve">1</w:t>
      </w:r>
      <w:r>
        <w:rPr>
          <w:rFonts w:hint="eastAsia" w:ascii="宋体" w:hAnsi="宋体" w:cs="宋体"/>
          <w:bCs/>
          <w:color w:val="auto"/>
          <w:sz w:val="24"/>
          <w:szCs w:val="24"/>
          <w:highlight w:val="none"/>
        </w:rPr>
        <w:t xml:space="preserve">部／1人。</w:t>
      </w:r>
      <w:r/>
    </w:p>
    <w:p>
      <w:pPr>
        <w:ind w:firstLine="480"/>
        <w:jc w:val="both"/>
        <w:spacing w:line="336" w:lineRule="auto"/>
        <w:tabs>
          <w:tab w:val="left" w:pos="6820" w:leader="none"/>
        </w:tabs>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临时应急太阳能信号灯</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部。自收到中标通知书后5个工作日内提供相关证明材料复印件加盖公章（1、若太阳能信号灯为自有，须提供采购发票复印件加盖公章；2、若太阳能信号灯为租赁，须提供具有</w:t>
      </w:r>
      <w:r>
        <w:rPr>
          <w:rFonts w:hint="eastAsia" w:ascii="宋体" w:hAnsi="宋体" w:cs="宋体"/>
          <w:bCs/>
          <w:color w:val="auto"/>
          <w:sz w:val="24"/>
          <w:szCs w:val="24"/>
          <w:highlight w:val="none"/>
          <w:lang w:val="en-US" w:eastAsia="zh-CN"/>
        </w:rPr>
        <w:t xml:space="preserve">相应本项目服务时间</w:t>
      </w:r>
      <w:r>
        <w:rPr>
          <w:rFonts w:hint="eastAsia" w:ascii="宋体" w:hAnsi="宋体" w:cs="宋体"/>
          <w:bCs/>
          <w:color w:val="auto"/>
          <w:sz w:val="24"/>
          <w:szCs w:val="24"/>
          <w:highlight w:val="none"/>
        </w:rPr>
        <w:t xml:space="preserve">及以上的租赁协议复印件加盖公章）。</w:t>
      </w:r>
      <w:r/>
    </w:p>
    <w:p>
      <w:pPr>
        <w:ind w:firstLine="480"/>
        <w:jc w:val="both"/>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中标方须在主城区、贾汪区租赁场地仓库用于存放对维护服务中所需要的备品备件及维护过程中拆除的灯杆、灯具、线缆、信号机及配件等废旧物资，中标方应妥善保管，以备核查，配合甲方做好固定资产登记等相应工作，并按照固定资产管理相关规定，履行处置流程。场地仓库位置为非居民住宅区，</w:t>
      </w:r>
      <w:r>
        <w:rPr>
          <w:rFonts w:hint="eastAsia" w:ascii="宋体" w:hAnsi="宋体" w:cs="宋体"/>
          <w:bCs/>
          <w:color w:val="auto"/>
          <w:sz w:val="24"/>
          <w:szCs w:val="24"/>
          <w:highlight w:val="none"/>
          <w:lang w:val="en-US" w:eastAsia="zh-CN"/>
        </w:rPr>
        <w:t xml:space="preserve">主城区仓库应为云龙区（包含新城区）、鼓楼区、泉山区（包含九里区）中的任一区域，两处仓库面积均应不小于400平方米，符合实际需要</w:t>
      </w:r>
      <w:r>
        <w:rPr>
          <w:rFonts w:hint="eastAsia" w:ascii="宋体" w:hAnsi="宋体" w:cs="宋体"/>
          <w:bCs/>
          <w:color w:val="auto"/>
          <w:sz w:val="24"/>
          <w:szCs w:val="24"/>
          <w:highlight w:val="none"/>
        </w:rPr>
        <w:t xml:space="preserve">并由中标方做好安全管理。</w:t>
      </w:r>
      <w:r/>
    </w:p>
    <w:p>
      <w:pPr>
        <w:ind w:firstLine="480"/>
        <w:jc w:val="both"/>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投标人须配备</w:t>
      </w:r>
      <w:r>
        <w:rPr>
          <w:rFonts w:hint="eastAsia" w:ascii="宋体" w:hAnsi="宋体" w:cs="宋体"/>
          <w:bCs/>
          <w:color w:val="auto"/>
          <w:sz w:val="24"/>
          <w:szCs w:val="24"/>
          <w:highlight w:val="none"/>
          <w:lang w:val="en-US" w:eastAsia="zh-CN"/>
        </w:rPr>
        <w:t xml:space="preserve">4台3kW</w:t>
      </w:r>
      <w:r>
        <w:rPr>
          <w:rFonts w:hint="eastAsia" w:ascii="宋体" w:hAnsi="宋体" w:cs="宋体"/>
          <w:bCs/>
          <w:color w:val="auto"/>
          <w:sz w:val="24"/>
          <w:szCs w:val="24"/>
          <w:highlight w:val="none"/>
        </w:rPr>
        <w:t xml:space="preserve">汽油发电机。自收到中标通知书后5个工作日内提供相关证明材料复印件加盖公章（1、若汽油发电机为自有，须提供采购发票复印件加盖公章；2、若汽油发电机为租赁，须提供具有</w:t>
      </w:r>
      <w:r>
        <w:rPr>
          <w:rFonts w:hint="eastAsia" w:ascii="宋体" w:hAnsi="宋体" w:cs="宋体"/>
          <w:bCs/>
          <w:color w:val="auto"/>
          <w:sz w:val="24"/>
          <w:szCs w:val="24"/>
          <w:highlight w:val="none"/>
          <w:lang w:val="en-US" w:eastAsia="zh-CN"/>
        </w:rPr>
        <w:t xml:space="preserve">相应本项目服务时间</w:t>
      </w:r>
      <w:r>
        <w:rPr>
          <w:rFonts w:hint="eastAsia" w:ascii="宋体" w:hAnsi="宋体" w:cs="宋体"/>
          <w:bCs/>
          <w:color w:val="auto"/>
          <w:sz w:val="24"/>
          <w:szCs w:val="24"/>
          <w:highlight w:val="none"/>
        </w:rPr>
        <w:t xml:space="preserve">及以上的租赁协议复印件加盖公章）。</w:t>
      </w:r>
      <w:r/>
    </w:p>
    <w:p>
      <w:pPr>
        <w:ind w:firstLine="480"/>
        <w:jc w:val="both"/>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备品备件要求，联网信号机（具体参数按照采购需求要求提供），灯具（式样按需），电缆、井盖、连接件、杆件等数量，中标后双方友好协商，根据近两年损坏率确定具体数量</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更换的新旧设备均应进行标签处理，标记相应更换位置、部位、时间等信息，并做好台账记录</w:t>
      </w:r>
      <w:r>
        <w:rPr>
          <w:rFonts w:hint="eastAsia" w:ascii="宋体" w:hAnsi="宋体" w:cs="宋体"/>
          <w:bCs/>
          <w:color w:val="auto"/>
          <w:sz w:val="24"/>
          <w:szCs w:val="24"/>
          <w:highlight w:val="none"/>
        </w:rPr>
        <w:t xml:space="preserve">。</w:t>
      </w:r>
      <w:r/>
    </w:p>
    <w:p>
      <w:pPr>
        <w:ind w:firstLine="480"/>
        <w:spacing w:line="336" w:lineRule="auto"/>
        <w:rPr>
          <w:rFonts w:hint="eastAsia" w:ascii="宋体" w:hAnsi="宋体" w:cs="宋体"/>
          <w:b/>
          <w:color w:val="auto"/>
          <w:sz w:val="24"/>
          <w:szCs w:val="24"/>
          <w:highlight w:val="none"/>
          <w:lang w:eastAsia="zh-CN"/>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若因工作需要增加的设备、人员、车辆，采购人不再另行结算。</w:t>
      </w:r>
      <w:r/>
    </w:p>
    <w:p>
      <w:pPr>
        <w:ind w:firstLine="480"/>
        <w:spacing w:line="336"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五、</w:t>
      </w:r>
      <w:r>
        <w:rPr>
          <w:rFonts w:hint="eastAsia" w:ascii="宋体" w:hAnsi="宋体" w:cs="宋体"/>
          <w:b/>
          <w:color w:val="auto"/>
          <w:sz w:val="24"/>
          <w:szCs w:val="24"/>
          <w:highlight w:val="none"/>
        </w:rPr>
        <w:t xml:space="preserve">质量、安全、技术和物理特性等标准</w:t>
      </w:r>
      <w:r/>
    </w:p>
    <w:p>
      <w:pPr>
        <w:pStyle w:val="852"/>
        <w:spacing w:line="336" w:lineRule="auto"/>
        <w:rPr>
          <w:rFonts w:hint="eastAsia"/>
          <w:b w:val="0"/>
          <w:bCs/>
          <w:color w:val="auto"/>
          <w:sz w:val="24"/>
          <w:szCs w:val="24"/>
          <w:highlight w:val="none"/>
        </w:rPr>
      </w:pPr>
      <w:r>
        <w:rPr>
          <w:rFonts w:hint="eastAsia"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rPr>
        <w:t xml:space="preserve">质量保证要求</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应对隐蔽工程及产品在正常使用期限内的质量和安全负责。</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）若由于产品或施工质量引起灯杆、灯具发生倾倒，信号灯维护不及时不规范、配时方案不合理等情况造成人员伤亡、财产损失均由</w:t>
      </w: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承担一切法律、经济责任。</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）质保期内安装发生质量问题，由采购人通知</w:t>
      </w: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负责维修与整改</w:t>
      </w: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应在24小时内进行处置</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由此产生的各项费用由</w:t>
      </w: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承担</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且质保期应延长6个月。</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应按国家标准或行业标准规定以及本合同的要求，主要材料、设备进场前，应提供主要产品合格证书、检测报告、产品质量证明书等相关资料，由监理审核合格后填报《材料进场申报表》，经采购人签字确认方可投入使用。</w:t>
      </w:r>
      <w:r/>
    </w:p>
    <w:p>
      <w:pPr>
        <w:ind w:firstLine="480"/>
        <w:spacing w:line="336" w:lineRule="auto"/>
        <w:rPr>
          <w:rFonts w:hint="eastAsia"/>
          <w:color w:val="auto"/>
          <w:sz w:val="24"/>
          <w:szCs w:val="24"/>
          <w:highlight w:val="none"/>
        </w:rPr>
      </w:pP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应保证所提供的产品、维护配件、材料是全新的，并完全符合技术参数中规定的质量、规格和性能要求。</w:t>
      </w: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应保证其产品、材料在正确安装、正常使用期限内均具有合格的性能。在合同规定的质量保证期内，</w:t>
      </w: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应对由于工艺、材料或安装缺陷而引发的故障，无条件进行免费维修或更换。</w:t>
      </w:r>
      <w:r/>
    </w:p>
    <w:p>
      <w:pPr>
        <w:ind w:firstLine="480"/>
        <w:spacing w:line="336" w:lineRule="auto"/>
        <w:rPr>
          <w:rFonts w:hint="eastAsia"/>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资料提交要求</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1）使用材料、设备，需提供以下资料：</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主要材料、设备进场前，提供主要产品合格证书、检测报告、产品质量证明书、信号机说明书等相关资料，由监理审核合格填报《材料进场报审表》（监理、</w:t>
      </w: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签字、盖章），采购人签字确认后方可投入使用。</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2）维护工作开展前，需提供维护服务资料：</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投标人在进场开展维护工作前，应向监理单位和采购人提供请示审批资料。</w:t>
      </w:r>
      <w:r/>
    </w:p>
    <w:p>
      <w:pPr>
        <w:numPr>
          <w:ilvl w:val="0"/>
          <w:numId w:val="0"/>
        </w:num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bidi="ar-SA"/>
        </w:rPr>
        <w:t xml:space="preserve">（</w:t>
      </w:r>
      <w:r>
        <w:rPr>
          <w:rFonts w:hint="default" w:ascii="宋体" w:hAnsi="宋体" w:eastAsia="宋体" w:cs="宋体"/>
          <w:bCs/>
          <w:color w:val="auto"/>
          <w:sz w:val="24"/>
          <w:szCs w:val="24"/>
          <w:highlight w:val="none"/>
          <w:lang w:val="en-US" w:eastAsia="zh-CN" w:bidi="ar-SA"/>
        </w:rPr>
        <w:t xml:space="preserve">3）</w:t>
      </w:r>
      <w:r>
        <w:rPr>
          <w:rFonts w:hint="eastAsia" w:ascii="宋体" w:hAnsi="宋体" w:cs="宋体"/>
          <w:bCs/>
          <w:color w:val="auto"/>
          <w:sz w:val="24"/>
          <w:szCs w:val="24"/>
          <w:highlight w:val="none"/>
        </w:rPr>
        <w:t xml:space="preserve">每月经抽查考核验收的项目纳入支付资料、装订成册提交采购人。</w:t>
      </w:r>
      <w:r/>
    </w:p>
    <w:p>
      <w:pPr>
        <w:numPr>
          <w:ilvl w:val="0"/>
          <w:numId w:val="0"/>
        </w:num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bidi="ar-SA"/>
        </w:rPr>
        <w:t xml:space="preserve">（</w:t>
      </w:r>
      <w:r>
        <w:rPr>
          <w:rFonts w:hint="default" w:ascii="宋体" w:hAnsi="宋体" w:eastAsia="宋体" w:cs="宋体"/>
          <w:bCs/>
          <w:color w:val="auto"/>
          <w:sz w:val="24"/>
          <w:szCs w:val="24"/>
          <w:highlight w:val="none"/>
          <w:lang w:val="en-US" w:eastAsia="zh-CN" w:bidi="ar-SA"/>
        </w:rPr>
        <w:t xml:space="preserve">4）</w:t>
      </w:r>
      <w:r>
        <w:rPr>
          <w:rFonts w:hint="eastAsia" w:ascii="宋体" w:hAnsi="宋体" w:cs="宋体"/>
          <w:bCs/>
          <w:color w:val="auto"/>
          <w:sz w:val="24"/>
          <w:szCs w:val="24"/>
          <w:highlight w:val="none"/>
        </w:rPr>
        <w:t xml:space="preserve">采购人要求提交的其他资料。</w:t>
      </w:r>
      <w:r/>
    </w:p>
    <w:p>
      <w:pPr>
        <w:ind w:firstLine="480"/>
        <w:spacing w:line="336" w:lineRule="auto"/>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lang w:eastAsia="zh-CN"/>
        </w:rPr>
        <w:t xml:space="preserve">废旧物资回收要求</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对维护服务中拆除的灯杆、灯具、线缆、信号机及配件等废旧物资，应在结算周期内就近送达</w:t>
      </w: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租赁的仓库分类存放，在拆除的废旧物资上应标明所在路段、路口、具体点位时间等内容并制作相应台账以备核查。</w:t>
      </w:r>
      <w:r/>
    </w:p>
    <w:p>
      <w:pPr>
        <w:numPr>
          <w:ilvl w:val="0"/>
          <w:numId w:val="0"/>
        </w:numPr>
        <w:ind w:firstLine="480"/>
        <w:spacing w:line="336"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bidi="ar-SA"/>
        </w:rPr>
        <w:t xml:space="preserve">4.</w:t>
      </w:r>
      <w:r>
        <w:rPr>
          <w:rFonts w:hint="eastAsia" w:ascii="宋体" w:hAnsi="宋体" w:cs="宋体"/>
          <w:bCs/>
          <w:color w:val="auto"/>
          <w:sz w:val="24"/>
          <w:szCs w:val="24"/>
          <w:highlight w:val="none"/>
        </w:rPr>
        <w:t xml:space="preserve">维护施工要求，按照市城管部门规范，中标方自行办理施工相关手续和协调工作。</w:t>
      </w:r>
      <w:r/>
    </w:p>
    <w:p>
      <w:pPr>
        <w:ind w:firstLine="482"/>
        <w:spacing w:line="336"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5.</w:t>
      </w:r>
      <w:r>
        <w:rPr>
          <w:rFonts w:hint="eastAsia" w:ascii="宋体" w:hAnsi="宋体" w:cs="宋体"/>
          <w:b w:val="0"/>
          <w:bCs/>
          <w:color w:val="auto"/>
          <w:sz w:val="24"/>
          <w:szCs w:val="24"/>
          <w:highlight w:val="none"/>
        </w:rPr>
        <w:t xml:space="preserve">备品备件要求</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为保证维护工作的顺利进行，要求</w:t>
      </w: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自备日常维护所需备品备件，不得因备品备件不足影响维护工作。</w:t>
      </w:r>
      <w:r/>
    </w:p>
    <w:p>
      <w:pPr>
        <w:ind w:firstLine="482"/>
        <w:spacing w:line="336"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6.</w:t>
      </w:r>
      <w:r>
        <w:rPr>
          <w:rFonts w:hint="eastAsia" w:ascii="宋体" w:hAnsi="宋体" w:cs="宋体"/>
          <w:b w:val="0"/>
          <w:bCs/>
          <w:color w:val="auto"/>
          <w:sz w:val="24"/>
          <w:szCs w:val="24"/>
          <w:highlight w:val="none"/>
        </w:rPr>
        <w:t xml:space="preserve">产品送检要求</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对维护服务中使用的产品、材料，采购人将根据需要不定期随机取样，并送具备资质的检测部门进行检测，检测费用由</w:t>
      </w: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承担。</w:t>
      </w:r>
      <w:r/>
    </w:p>
    <w:p>
      <w:pPr>
        <w:ind w:firstLine="482"/>
        <w:spacing w:line="336"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7.</w:t>
      </w:r>
      <w:r>
        <w:rPr>
          <w:rFonts w:hint="eastAsia" w:ascii="宋体" w:hAnsi="宋体" w:cs="宋体"/>
          <w:b w:val="0"/>
          <w:bCs/>
          <w:color w:val="auto"/>
          <w:sz w:val="24"/>
          <w:szCs w:val="24"/>
          <w:highlight w:val="none"/>
        </w:rPr>
        <w:t xml:space="preserve">信号灯杆件（含结构套件）检测要求</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如需实施，需委托国家法定检测机构，对采购人回收再利用的灯杆进行检测。</w:t>
      </w: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委托的检测机构应具有交通运输部颁发的公路水运工程试验检测交通工程专项等级资质。</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采购人根据维护工作安排，对</w:t>
      </w: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提供库存或回收的信号灯杆进行检测，</w:t>
      </w: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的信号灯杆检测需按国家规范标准进行钢结构无损检测，并向采购人提供检测报告。</w:t>
      </w:r>
      <w:r/>
    </w:p>
    <w:p>
      <w:pPr>
        <w:ind w:firstLine="482"/>
        <w:spacing w:line="336"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8.</w:t>
      </w:r>
      <w:r>
        <w:rPr>
          <w:rFonts w:hint="eastAsia" w:ascii="宋体" w:hAnsi="宋体" w:cs="宋体"/>
          <w:b w:val="0"/>
          <w:bCs/>
          <w:color w:val="auto"/>
          <w:sz w:val="24"/>
          <w:szCs w:val="24"/>
          <w:highlight w:val="none"/>
        </w:rPr>
        <w:t xml:space="preserve">物资利用要求</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应首先利用库存物资（包括灯杆、灯具、信号机等），经采购人批准后方可使用。</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若无适用的相同类型、规格的库存物资，或经上级领导批准的应急工程，方可采用新的材料或产品。</w:t>
      </w:r>
      <w:r/>
    </w:p>
    <w:p>
      <w:pPr>
        <w:ind w:firstLine="480"/>
        <w:spacing w:line="336"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维护过程中杜绝“以换代修”。</w:t>
      </w:r>
      <w:r/>
    </w:p>
    <w:p>
      <w:pPr>
        <w:ind w:firstLine="480"/>
        <w:spacing w:line="336"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9.安全要求</w:t>
      </w:r>
      <w:r/>
    </w:p>
    <w:p>
      <w:pPr>
        <w:ind w:firstLine="480"/>
        <w:spacing w:line="336" w:lineRule="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为</w:t>
      </w:r>
      <w:r>
        <w:rPr>
          <w:rFonts w:hint="default" w:ascii="宋体" w:hAnsi="宋体" w:cs="宋体"/>
          <w:bCs/>
          <w:color w:val="auto"/>
          <w:sz w:val="24"/>
          <w:szCs w:val="24"/>
          <w:highlight w:val="none"/>
          <w:lang w:val="en-US" w:eastAsia="zh-CN"/>
        </w:rPr>
        <w:t xml:space="preserve">确保交通信号灯系统在极端天气、路面积水等复杂环境下的电气安全与运行稳定性，防止因积水导致的漏电、短路及设备损坏，保障公共安全及设施寿命。投标人提供的产品及施工方案必须符合国家现行标准及本文件规定的强制性安全指标。</w:t>
      </w:r>
      <w:r/>
    </w:p>
    <w:p>
      <w:pPr>
        <w:numPr>
          <w:ilvl w:val="0"/>
          <w:numId w:val="6"/>
        </w:numPr>
        <w:ind w:left="0" w:firstLine="420"/>
        <w:keepLines w:val="0"/>
        <w:keepNext w:val="0"/>
        <w:pageBreakBefore w:val="0"/>
        <w:spacing w:line="336" w:lineRule="auto"/>
        <w:widowControl/>
        <w:rPr>
          <w:rFonts w:hint="default" w:ascii="宋体" w:hAnsi="宋体" w:cs="宋体"/>
          <w:bCs/>
          <w:color w:val="auto"/>
          <w:sz w:val="24"/>
          <w:szCs w:val="24"/>
          <w:highlight w:val="none"/>
          <w:lang w:val="en-US" w:eastAsia="zh-CN"/>
        </w:rPr>
      </w:pPr>
      <w:r>
        <w:rPr>
          <w:rFonts w:hint="default" w:ascii="宋体" w:hAnsi="宋体" w:cs="宋体"/>
          <w:bCs/>
          <w:color w:val="auto"/>
          <w:sz w:val="24"/>
          <w:szCs w:val="24"/>
          <w:highlight w:val="none"/>
          <w:lang w:val="en-US" w:eastAsia="zh-CN"/>
        </w:rPr>
        <w:t xml:space="preserve">灯罩与壳体接缝处必须采用耐候硅橡胶密封条，禁止使用普通胶泥。电缆进出线孔必须使用防爆格兰头（电缆防水接头），并做双重绝缘密封处理，杜绝毛细渗水现象。</w:t>
      </w:r>
      <w:r/>
    </w:p>
    <w:p>
      <w:pPr>
        <w:numPr>
          <w:ilvl w:val="0"/>
          <w:numId w:val="6"/>
        </w:numPr>
        <w:ind w:left="0" w:firstLine="420"/>
        <w:keepLines w:val="0"/>
        <w:keepNext w:val="0"/>
        <w:pageBreakBefore w:val="0"/>
        <w:spacing w:line="336" w:lineRule="auto"/>
        <w:widowControl/>
        <w:rPr>
          <w:rFonts w:hint="default" w:ascii="宋体" w:hAnsi="宋体" w:cs="宋体"/>
          <w:bCs/>
          <w:color w:val="auto"/>
          <w:sz w:val="24"/>
          <w:szCs w:val="24"/>
          <w:highlight w:val="none"/>
          <w:lang w:val="en-US" w:eastAsia="zh-CN"/>
        </w:rPr>
      </w:pPr>
      <w:r>
        <w:rPr>
          <w:rFonts w:hint="default" w:ascii="宋体" w:hAnsi="宋体" w:cs="宋体"/>
          <w:bCs/>
          <w:color w:val="auto"/>
          <w:sz w:val="24"/>
          <w:szCs w:val="24"/>
          <w:highlight w:val="none"/>
          <w:lang w:val="en-US" w:eastAsia="zh-CN"/>
        </w:rPr>
        <w:t xml:space="preserve">基础底座需预留泄水孔，孔径不小于5cm，确保暴雨后30分钟内无积水残留。</w:t>
      </w:r>
      <w:r/>
    </w:p>
    <w:p>
      <w:pPr>
        <w:numPr>
          <w:ilvl w:val="0"/>
          <w:numId w:val="6"/>
        </w:numPr>
        <w:ind w:left="0" w:firstLine="420"/>
        <w:keepLines w:val="0"/>
        <w:keepNext w:val="0"/>
        <w:pageBreakBefore w:val="0"/>
        <w:spacing w:line="336" w:lineRule="auto"/>
        <w:widowControl/>
        <w:rPr>
          <w:rFonts w:hint="default" w:ascii="宋体" w:hAnsi="宋体" w:cs="宋体"/>
          <w:bCs/>
          <w:color w:val="auto"/>
          <w:sz w:val="24"/>
          <w:szCs w:val="24"/>
          <w:highlight w:val="none"/>
          <w:lang w:val="en-US" w:eastAsia="zh-CN"/>
        </w:rPr>
      </w:pPr>
      <w:r>
        <w:rPr>
          <w:rFonts w:hint="default" w:ascii="宋体" w:hAnsi="宋体" w:cs="宋体"/>
          <w:bCs/>
          <w:color w:val="auto"/>
          <w:sz w:val="24"/>
          <w:szCs w:val="24"/>
          <w:highlight w:val="none"/>
          <w:lang w:val="en-US" w:eastAsia="zh-CN"/>
        </w:rPr>
        <w:t xml:space="preserve">信号灯杆体、机箱外壳、电缆铠装层必须进行等电位连接，并</w:t>
      </w:r>
      <w:r>
        <w:rPr>
          <w:rFonts w:hint="eastAsia" w:ascii="宋体" w:hAnsi="宋体" w:cs="宋体"/>
          <w:bCs/>
          <w:color w:val="auto"/>
          <w:sz w:val="24"/>
          <w:szCs w:val="24"/>
          <w:highlight w:val="none"/>
          <w:lang w:val="en-US" w:eastAsia="zh-CN"/>
        </w:rPr>
        <w:t xml:space="preserve">设有</w:t>
      </w:r>
      <w:r>
        <w:rPr>
          <w:rFonts w:hint="default" w:ascii="宋体" w:hAnsi="宋体" w:cs="宋体"/>
          <w:bCs/>
          <w:color w:val="auto"/>
          <w:sz w:val="24"/>
          <w:szCs w:val="24"/>
          <w:highlight w:val="none"/>
          <w:lang w:val="en-US" w:eastAsia="zh-CN"/>
        </w:rPr>
        <w:t xml:space="preserve">防雷接地</w:t>
      </w:r>
      <w:r>
        <w:rPr>
          <w:rFonts w:hint="eastAsia" w:ascii="宋体" w:hAnsi="宋体" w:cs="宋体"/>
          <w:bCs/>
          <w:color w:val="auto"/>
          <w:sz w:val="24"/>
          <w:szCs w:val="24"/>
          <w:highlight w:val="none"/>
          <w:lang w:val="en-US" w:eastAsia="zh-CN"/>
        </w:rPr>
        <w:t xml:space="preserve">装置</w:t>
      </w:r>
      <w:r>
        <w:rPr>
          <w:rFonts w:hint="default" w:ascii="宋体" w:hAnsi="宋体" w:cs="宋体"/>
          <w:bCs/>
          <w:color w:val="auto"/>
          <w:sz w:val="24"/>
          <w:szCs w:val="24"/>
          <w:highlight w:val="none"/>
          <w:lang w:val="en-US" w:eastAsia="zh-CN"/>
        </w:rPr>
        <w:t xml:space="preserve">。系统接地电阻严格控制在≤4Ω以内；高土壤电阻率地区需采用降阻剂或增设接地极。</w:t>
      </w:r>
      <w:r/>
    </w:p>
    <w:p>
      <w:pPr>
        <w:numPr>
          <w:ilvl w:val="0"/>
          <w:numId w:val="6"/>
        </w:numPr>
        <w:ind w:left="0" w:firstLine="420"/>
        <w:keepLines w:val="0"/>
        <w:keepNext w:val="0"/>
        <w:pageBreakBefore w:val="0"/>
        <w:spacing w:line="336" w:lineRule="auto"/>
        <w:widowControl/>
        <w:rPr>
          <w:rFonts w:hint="default" w:ascii="宋体" w:hAnsi="宋体" w:cs="宋体"/>
          <w:bCs/>
          <w:color w:val="auto"/>
          <w:sz w:val="24"/>
          <w:szCs w:val="24"/>
          <w:highlight w:val="none"/>
          <w:lang w:val="en-US" w:eastAsia="zh-CN"/>
        </w:rPr>
      </w:pPr>
      <w:r>
        <w:rPr>
          <w:rFonts w:hint="default" w:ascii="宋体" w:hAnsi="宋体" w:cs="宋体"/>
          <w:bCs/>
          <w:color w:val="auto"/>
          <w:sz w:val="24"/>
          <w:szCs w:val="24"/>
          <w:highlight w:val="none"/>
          <w:lang w:val="en-US" w:eastAsia="zh-CN"/>
        </w:rPr>
        <w:t xml:space="preserve">雷雨天气或作业区域积水深度超过10cm时，严禁进行任何带电作业及箱体检修。涉水维修前，必须执行“断电—验电—放电—悬挂警示牌”流程，并有专人监护。</w:t>
      </w:r>
      <w:r/>
    </w:p>
    <w:p>
      <w:pPr>
        <w:numPr>
          <w:ilvl w:val="0"/>
          <w:numId w:val="6"/>
        </w:numPr>
        <w:ind w:left="0" w:firstLine="420"/>
        <w:keepLines w:val="0"/>
        <w:keepNext w:val="0"/>
        <w:pageBreakBefore w:val="0"/>
        <w:spacing w:line="336" w:lineRule="auto"/>
        <w:widowControl/>
        <w:rPr>
          <w:rFonts w:hint="default" w:ascii="宋体" w:hAnsi="宋体" w:cs="宋体"/>
          <w:bCs/>
          <w:color w:val="auto"/>
          <w:sz w:val="24"/>
          <w:szCs w:val="24"/>
          <w:highlight w:val="none"/>
          <w:lang w:val="en-US" w:eastAsia="zh-CN"/>
        </w:rPr>
      </w:pPr>
      <w:r>
        <w:rPr>
          <w:rFonts w:hint="default" w:ascii="宋体" w:hAnsi="宋体" w:cs="宋体"/>
          <w:bCs/>
          <w:color w:val="auto"/>
          <w:sz w:val="24"/>
          <w:szCs w:val="24"/>
          <w:highlight w:val="none"/>
          <w:lang w:val="en-US" w:eastAsia="zh-CN"/>
        </w:rPr>
        <w:t xml:space="preserve">中标人需在暴雨橙色预警发布后</w:t>
      </w:r>
      <w:r>
        <w:rPr>
          <w:rFonts w:hint="eastAsia" w:ascii="宋体" w:hAnsi="宋体" w:cs="宋体"/>
          <w:bCs/>
          <w:color w:val="auto"/>
          <w:sz w:val="24"/>
          <w:szCs w:val="24"/>
          <w:highlight w:val="none"/>
          <w:lang w:val="en-US" w:eastAsia="zh-CN"/>
        </w:rPr>
        <w:t xml:space="preserve">2</w:t>
      </w:r>
      <w:r>
        <w:rPr>
          <w:rFonts w:hint="default" w:ascii="宋体" w:hAnsi="宋体" w:cs="宋体"/>
          <w:bCs/>
          <w:color w:val="auto"/>
          <w:sz w:val="24"/>
          <w:szCs w:val="24"/>
          <w:highlight w:val="none"/>
          <w:lang w:val="en-US" w:eastAsia="zh-CN"/>
        </w:rPr>
        <w:t xml:space="preserve">小时内，完成辖区内低洼路口信号灯的漏电巡检。因维保不当（如密封圈老化未更换、接线孔封堵不严）导致行人触电或设备损坏的，由中标人承担全部法律责任及经济赔偿。</w:t>
      </w:r>
      <w:r/>
    </w:p>
    <w:p>
      <w:pPr>
        <w:ind w:firstLine="482"/>
        <w:spacing w:line="336" w:lineRule="auto"/>
        <w:rPr>
          <w:rFonts w:hint="eastAsia" w:ascii="宋体" w:hAnsi="宋体" w:cs="宋体"/>
          <w:b/>
          <w:color w:val="auto"/>
          <w:sz w:val="24"/>
          <w:szCs w:val="24"/>
          <w:highlight w:val="none"/>
          <w:lang w:eastAsia="zh-CN"/>
        </w:rPr>
      </w:pPr>
      <w:r>
        <w:rPr>
          <w:rFonts w:hint="eastAsia" w:ascii="宋体" w:hAnsi="宋体" w:cs="宋体"/>
          <w:b/>
          <w:color w:val="auto"/>
          <w:sz w:val="24"/>
          <w:szCs w:val="24"/>
          <w:highlight w:val="none"/>
          <w:lang w:eastAsia="zh-CN"/>
        </w:rPr>
        <w:t xml:space="preserve">六、验收标准</w:t>
      </w:r>
      <w:r/>
    </w:p>
    <w:p>
      <w:pPr>
        <w:ind w:left="0" w:right="0" w:firstLine="386"/>
        <w:jc w:val="both"/>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验收要求：</w:t>
      </w:r>
      <w:r/>
    </w:p>
    <w:p>
      <w:pPr>
        <w:ind w:left="0" w:right="0" w:firstLine="386"/>
        <w:jc w:val="both"/>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1.履约验收主体为采购人、第三方专业机构及专家、</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，相关验收意见作为验收的参考资料。</w:t>
      </w:r>
      <w:r/>
    </w:p>
    <w:p>
      <w:pPr>
        <w:ind w:left="0" w:right="0" w:firstLine="386"/>
        <w:jc w:val="both"/>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2.履约验收时间：合同运维服务期满且达到验收标准30个工作日内组织验收。</w:t>
      </w:r>
      <w:r/>
    </w:p>
    <w:p>
      <w:pPr>
        <w:ind w:left="0" w:right="0" w:firstLine="386"/>
        <w:jc w:val="both"/>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3.履约验收方式：服务完成后由</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val="en-US" w:eastAsia="zh-CN"/>
        </w:rPr>
        <w:t xml:space="preserve">组织一次性验收并签署书面履约验收报告。</w:t>
      </w:r>
      <w:r/>
    </w:p>
    <w:p>
      <w:pPr>
        <w:ind w:left="0" w:right="0" w:firstLine="386"/>
        <w:jc w:val="both"/>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4.履约验收程序：</w:t>
      </w:r>
      <w:r/>
    </w:p>
    <w:p>
      <w:pPr>
        <w:ind w:left="0" w:right="0" w:firstLine="386"/>
        <w:jc w:val="both"/>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①成立验收小组：本项目采购人代表、技术专家（必要时）</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代表共同参与；与投标人有利害关系者需回避；</w:t>
      </w:r>
      <w:r/>
    </w:p>
    <w:p>
      <w:pPr>
        <w:ind w:left="0" w:right="0" w:firstLine="386"/>
        <w:jc w:val="both"/>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②书面验收：根据</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在验收时提供的完整服务工作报告，依照合同、项目运维方案、运维服务过程文件等进行书面验收；</w:t>
      </w:r>
      <w:r/>
    </w:p>
    <w:p>
      <w:pPr>
        <w:ind w:left="0" w:right="0" w:firstLine="386"/>
        <w:jc w:val="both"/>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③填写验收报告：由</w:t>
      </w:r>
      <w:r>
        <w:rPr>
          <w:rFonts w:hint="eastAsia" w:ascii="宋体" w:hAnsi="宋体" w:cs="宋体"/>
          <w:color w:val="auto"/>
          <w:sz w:val="24"/>
          <w:szCs w:val="24"/>
          <w:highlight w:val="none"/>
          <w:lang w:val="en-US" w:eastAsia="zh-CN"/>
        </w:rPr>
        <w:t xml:space="preserve">参与验收人员签</w:t>
      </w:r>
      <w:r>
        <w:rPr>
          <w:rFonts w:hint="eastAsia" w:ascii="宋体" w:hAnsi="宋体" w:eastAsia="宋体" w:cs="宋体"/>
          <w:color w:val="auto"/>
          <w:sz w:val="24"/>
          <w:szCs w:val="24"/>
          <w:highlight w:val="none"/>
          <w:lang w:val="en-US" w:eastAsia="zh-CN"/>
        </w:rPr>
        <w:t xml:space="preserve">字，发现问题时，需书面记录并要求供应商限期整改；</w:t>
      </w:r>
      <w:r/>
    </w:p>
    <w:p>
      <w:pPr>
        <w:ind w:left="0" w:right="0" w:firstLine="386"/>
        <w:jc w:val="both"/>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5.履约验收内容：合同期内，需向采购人提供服务工作报告，便于采购人监督管理运维服务情况。服务工作报告应包含全部服务内容的工作情况及相关记录文件。</w:t>
      </w:r>
      <w:r/>
    </w:p>
    <w:p>
      <w:pPr>
        <w:ind w:left="0" w:right="0" w:firstLine="386"/>
        <w:jc w:val="both"/>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6.履约验收标准：投标人在验收前应确保平台各类软硬件稳定、正常运行，运维资料完整、规范、齐备。</w:t>
      </w:r>
      <w:r/>
    </w:p>
    <w:p>
      <w:pPr>
        <w:ind w:left="0" w:right="0" w:firstLine="386"/>
        <w:jc w:val="both"/>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合同签订后，</w:t>
      </w:r>
      <w:r>
        <w:rPr>
          <w:rFonts w:hint="eastAsia" w:ascii="宋体" w:hAnsi="宋体" w:eastAsia="宋体" w:cs="宋体"/>
          <w:color w:val="auto"/>
          <w:sz w:val="24"/>
          <w:szCs w:val="24"/>
          <w:highlight w:val="none"/>
          <w:lang w:val="en-US" w:eastAsia="zh-CN"/>
        </w:rPr>
        <w:t xml:space="preserve">投标人应拟定验收计划和验收内容，并形成正式文件，供采购人确认，采购人有权进行必要的修改。</w:t>
      </w:r>
      <w:r/>
    </w:p>
    <w:p>
      <w:pPr>
        <w:ind w:left="0" w:right="0" w:firstLine="386"/>
        <w:jc w:val="both"/>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合同期满后，采购人需要根据投标人服务过程记录，根据国家相关规定及采购人内部相关规定和要求验收，出具验收报告。国家标准、行业标准及相关规范包括</w:t>
      </w:r>
      <w:r>
        <w:rPr>
          <w:rFonts w:hint="eastAsia" w:ascii="宋体" w:hAnsi="宋体" w:cs="宋体"/>
          <w:color w:val="auto"/>
          <w:sz w:val="24"/>
          <w:szCs w:val="24"/>
          <w:highlight w:val="none"/>
          <w:lang w:val="en-US" w:eastAsia="zh-CN"/>
        </w:rPr>
        <w:t xml:space="preserve">（不仅包括）</w:t>
      </w:r>
      <w:r>
        <w:rPr>
          <w:rFonts w:hint="eastAsia" w:ascii="宋体" w:hAnsi="宋体" w:eastAsia="宋体" w:cs="宋体"/>
          <w:color w:val="auto"/>
          <w:sz w:val="24"/>
          <w:szCs w:val="24"/>
          <w:highlight w:val="none"/>
          <w:lang w:val="en-US" w:eastAsia="zh-CN"/>
        </w:rPr>
        <w:t xml:space="preserve">：</w:t>
      </w:r>
      <w:r/>
    </w:p>
    <w:p>
      <w:pPr>
        <w:ind w:left="0" w:right="0" w:firstLine="386"/>
        <w:jc w:val="both"/>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GB25280《道路交通信号控制机》；</w:t>
      </w:r>
      <w:r/>
    </w:p>
    <w:p>
      <w:pPr>
        <w:ind w:left="0" w:right="0" w:firstLine="386"/>
        <w:jc w:val="both"/>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GB14887《道路交通信号灯规范》；</w:t>
      </w:r>
      <w:r/>
    </w:p>
    <w:p>
      <w:pPr>
        <w:ind w:left="0" w:right="0" w:firstLine="386"/>
        <w:jc w:val="both"/>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GB14886《道路交通信号灯设置与安装规范》；</w:t>
      </w:r>
      <w:r/>
    </w:p>
    <w:p>
      <w:pPr>
        <w:ind w:left="0" w:right="0" w:firstLine="386"/>
        <w:jc w:val="both"/>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GA/T509《城市交通信号控制系统术语》；</w:t>
      </w:r>
      <w:r/>
    </w:p>
    <w:p>
      <w:pPr>
        <w:ind w:left="0" w:right="0" w:firstLine="386"/>
        <w:jc w:val="both"/>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GA/T527《城市道路交通信号控制方式适用规范》；</w:t>
      </w:r>
      <w:r/>
    </w:p>
    <w:p>
      <w:pPr>
        <w:ind w:left="0" w:right="0" w:firstLine="386"/>
        <w:jc w:val="both"/>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GB50169《电气装置安装工程接地装置施工及验收规范》。</w:t>
      </w:r>
      <w:r/>
    </w:p>
    <w:p>
      <w:pPr>
        <w:ind w:left="0" w:right="0" w:firstLine="480"/>
        <w:jc w:val="both"/>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7.招标文件中所提各项运维要求、指标及投标人承诺事项均作为验收依据。</w:t>
      </w:r>
      <w:r/>
    </w:p>
    <w:p>
      <w:pPr>
        <w:ind w:firstLine="482"/>
        <w:spacing w:line="336" w:lineRule="auto"/>
        <w:rPr>
          <w:rFonts w:hint="eastAsia" w:ascii="宋体" w:hAnsi="宋体" w:cs="宋体"/>
          <w:b/>
          <w:color w:val="auto"/>
          <w:sz w:val="24"/>
          <w:szCs w:val="24"/>
          <w:highlight w:val="none"/>
          <w:lang w:eastAsia="zh-CN"/>
        </w:rPr>
      </w:pPr>
      <w:r>
        <w:rPr>
          <w:rFonts w:hint="eastAsia" w:ascii="宋体" w:hAnsi="宋体" w:cs="宋体"/>
          <w:b/>
          <w:color w:val="auto"/>
          <w:sz w:val="24"/>
          <w:szCs w:val="24"/>
          <w:highlight w:val="none"/>
          <w:lang w:eastAsia="zh-CN"/>
        </w:rPr>
        <w:t xml:space="preserve">七、质保及服务响应要求</w:t>
      </w:r>
      <w:r/>
    </w:p>
    <w:p>
      <w:pPr>
        <w:ind w:firstLine="480"/>
        <w:spacing w:line="336" w:lineRule="auto"/>
        <w:rPr>
          <w:rFonts w:hint="eastAsia"/>
          <w:color w:val="auto"/>
          <w:sz w:val="24"/>
          <w:szCs w:val="24"/>
          <w:highlight w:val="none"/>
          <w:lang w:eastAsia="zh-CN"/>
        </w:rPr>
      </w:pPr>
      <w:r>
        <w:rPr>
          <w:rFonts w:hint="eastAsia" w:ascii="宋体" w:hAnsi="宋体" w:cs="宋体"/>
          <w:bCs/>
          <w:color w:val="auto"/>
          <w:sz w:val="24"/>
          <w:szCs w:val="24"/>
          <w:highlight w:val="none"/>
          <w:lang w:eastAsia="zh-CN"/>
        </w:rPr>
        <w:t xml:space="preserve">1.</w:t>
      </w:r>
      <w:r>
        <w:rPr>
          <w:rFonts w:hint="eastAsia" w:ascii="宋体" w:hAnsi="宋体" w:cs="宋体"/>
          <w:bCs/>
          <w:color w:val="auto"/>
          <w:sz w:val="24"/>
          <w:szCs w:val="24"/>
          <w:highlight w:val="none"/>
        </w:rPr>
        <w:t xml:space="preserve">维护服务更换的设备等质保五年（以验收日期为准）。</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eastAsia="zh-CN"/>
        </w:rPr>
        <w:t xml:space="preserve">维修</w:t>
      </w:r>
      <w:r>
        <w:rPr>
          <w:rFonts w:hint="eastAsia" w:ascii="宋体" w:hAnsi="宋体" w:cs="宋体"/>
          <w:bCs/>
          <w:color w:val="auto"/>
          <w:sz w:val="24"/>
          <w:szCs w:val="24"/>
          <w:highlight w:val="none"/>
        </w:rPr>
        <w:t xml:space="preserve">响应时间要求</w:t>
      </w:r>
      <w:r/>
    </w:p>
    <w:p>
      <w:pPr>
        <w:pStyle w:val="852"/>
        <w:ind w:left="0" w:firstLine="480"/>
        <w:spacing w:line="336" w:lineRule="auto"/>
        <w:rPr>
          <w:rFonts w:hint="eastAsia"/>
          <w:color w:val="auto"/>
          <w:sz w:val="24"/>
          <w:szCs w:val="24"/>
          <w:highlight w:val="none"/>
          <w:lang w:eastAsia="zh-CN"/>
        </w:rPr>
      </w:pPr>
      <w:r>
        <w:rPr>
          <w:rFonts w:hint="eastAsia"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从接收维护通知时间起，到达现场不超过</w:t>
      </w:r>
      <w:r>
        <w:rPr>
          <w:rFonts w:hint="eastAsia"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个小时</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2）更换井盖</w:t>
      </w:r>
      <w:r>
        <w:rPr>
          <w:rFonts w:hint="eastAsia" w:ascii="宋体" w:hAnsi="宋体" w:cs="宋体"/>
          <w:bCs/>
          <w:color w:val="auto"/>
          <w:sz w:val="24"/>
          <w:szCs w:val="24"/>
          <w:highlight w:val="none"/>
          <w:lang w:val="en-US" w:eastAsia="zh-CN"/>
        </w:rPr>
        <w:t xml:space="preserve">12</w:t>
      </w:r>
      <w:r>
        <w:rPr>
          <w:rFonts w:hint="eastAsia" w:ascii="宋体" w:hAnsi="宋体" w:cs="宋体"/>
          <w:bCs/>
          <w:color w:val="auto"/>
          <w:sz w:val="24"/>
          <w:szCs w:val="24"/>
          <w:highlight w:val="none"/>
        </w:rPr>
        <w:t xml:space="preserve">小时内完成。</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3）更换灯具、信号机配件等简单处置工作，应在</w:t>
      </w:r>
      <w:r>
        <w:rPr>
          <w:rFonts w:hint="eastAsia" w:ascii="宋体" w:hAnsi="宋体" w:cs="宋体"/>
          <w:bCs/>
          <w:color w:val="auto"/>
          <w:sz w:val="24"/>
          <w:szCs w:val="24"/>
          <w:highlight w:val="none"/>
          <w:lang w:val="en-US" w:eastAsia="zh-CN"/>
        </w:rPr>
        <w:t xml:space="preserve">24</w:t>
      </w:r>
      <w:r>
        <w:rPr>
          <w:rFonts w:hint="eastAsia" w:ascii="宋体" w:hAnsi="宋体" w:cs="宋体"/>
          <w:bCs/>
          <w:color w:val="auto"/>
          <w:sz w:val="24"/>
          <w:szCs w:val="24"/>
          <w:highlight w:val="none"/>
        </w:rPr>
        <w:t xml:space="preserve">小时内完成。</w:t>
      </w:r>
      <w:r/>
    </w:p>
    <w:p>
      <w:pPr>
        <w:ind w:firstLine="480"/>
        <w:spacing w:line="33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4）维护服务量较大、施工难度较大的任务由监理单位和采购人确定工期，</w:t>
      </w: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按期完成。</w:t>
      </w:r>
      <w:r/>
    </w:p>
    <w:p>
      <w:pPr>
        <w:ind w:firstLine="480"/>
        <w:spacing w:line="336"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5）采购人安排的专项任务，</w:t>
      </w: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须在采购人规定的时限内完成。</w:t>
      </w:r>
      <w:r/>
    </w:p>
    <w:p>
      <w:pPr>
        <w:ind w:firstLine="482"/>
        <w:spacing w:line="336" w:lineRule="auto"/>
        <w:rPr>
          <w:rFonts w:ascii="宋体" w:hAnsi="宋体" w:cs="宋体"/>
          <w:b/>
          <w:bCs/>
          <w:color w:val="auto"/>
          <w:sz w:val="24"/>
          <w:szCs w:val="24"/>
          <w:highlight w:val="none"/>
        </w:rPr>
      </w:pPr>
      <w:r>
        <w:rPr>
          <w:rFonts w:hint="eastAsia" w:ascii="宋体" w:hAnsi="宋体" w:cs="宋体"/>
          <w:b/>
          <w:bCs/>
          <w:color w:val="auto"/>
          <w:sz w:val="24"/>
          <w:szCs w:val="24"/>
          <w:highlight w:val="none"/>
          <w:lang w:eastAsia="zh-CN"/>
        </w:rPr>
        <w:t xml:space="preserve">八、</w:t>
      </w:r>
      <w:r>
        <w:rPr>
          <w:rFonts w:hint="eastAsia" w:ascii="宋体" w:hAnsi="宋体" w:cs="宋体"/>
          <w:b/>
          <w:bCs/>
          <w:color w:val="auto"/>
          <w:sz w:val="24"/>
          <w:szCs w:val="24"/>
          <w:highlight w:val="none"/>
        </w:rPr>
        <w:t xml:space="preserve">最高单价限价清单</w:t>
      </w:r>
      <w:r/>
    </w:p>
    <w:p>
      <w:pPr>
        <w:ind w:firstLine="480"/>
        <w:spacing w:line="336"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本次维保项目</w:t>
      </w:r>
      <w:r>
        <w:rPr>
          <w:rFonts w:hint="eastAsia" w:ascii="宋体" w:hAnsi="宋体" w:cs="宋体"/>
          <w:color w:val="auto"/>
          <w:sz w:val="24"/>
          <w:szCs w:val="24"/>
          <w:highlight w:val="none"/>
          <w:lang w:val="en-US" w:eastAsia="zh-CN"/>
        </w:rPr>
        <w:t xml:space="preserve">暂</w:t>
      </w:r>
      <w:r>
        <w:rPr>
          <w:rFonts w:hint="eastAsia" w:ascii="宋体" w:hAnsi="宋体" w:cs="宋体"/>
          <w:color w:val="auto"/>
          <w:sz w:val="24"/>
          <w:szCs w:val="24"/>
          <w:highlight w:val="none"/>
        </w:rPr>
        <w:t xml:space="preserve">包含</w:t>
      </w:r>
      <w:r>
        <w:rPr>
          <w:rFonts w:hint="eastAsia" w:ascii="宋体" w:hAnsi="宋体" w:cs="宋体"/>
          <w:bCs/>
          <w:color w:val="auto"/>
          <w:sz w:val="24"/>
          <w:szCs w:val="24"/>
          <w:highlight w:val="none"/>
        </w:rPr>
        <w:t xml:space="preserve">信号灯路口</w:t>
      </w:r>
      <w:r>
        <w:rPr>
          <w:rFonts w:hint="eastAsia" w:ascii="宋体" w:hAnsi="宋体" w:cs="宋体"/>
          <w:bCs/>
          <w:color w:val="auto"/>
          <w:sz w:val="24"/>
          <w:szCs w:val="24"/>
          <w:highlight w:val="none"/>
          <w:lang w:val="en-US" w:eastAsia="zh-CN"/>
        </w:rPr>
        <w:t xml:space="preserve">1154</w:t>
      </w:r>
      <w:r>
        <w:rPr>
          <w:rFonts w:hint="eastAsia" w:ascii="宋体" w:hAnsi="宋体" w:cs="宋体"/>
          <w:bCs/>
          <w:color w:val="auto"/>
          <w:sz w:val="24"/>
          <w:szCs w:val="24"/>
          <w:highlight w:val="none"/>
        </w:rPr>
        <w:t xml:space="preserve">处，</w:t>
      </w:r>
      <w:r>
        <w:rPr>
          <w:rFonts w:hint="eastAsia" w:ascii="宋体" w:hAnsi="宋体" w:cs="宋体"/>
          <w:bCs/>
          <w:color w:val="auto"/>
          <w:sz w:val="24"/>
          <w:szCs w:val="24"/>
          <w:highlight w:val="none"/>
          <w:lang w:val="en-US" w:eastAsia="zh-CN"/>
        </w:rPr>
        <w:t xml:space="preserve">如信号灯路口数量变化，则全部纳入本合同管养范围内，并且合同金额不予调整。下表中包括108个清单项和对应的暂估价格权重与最高投标限价单价，超出投标限价单价的报价不予接受。结算工程量按照实际管养情况进行计量，最终结算金额超出合同额的按照合同额结算</w:t>
      </w:r>
      <w:r>
        <w:rPr>
          <w:rFonts w:hint="eastAsia" w:ascii="宋体" w:hAnsi="宋体" w:cs="宋体"/>
          <w:bCs/>
          <w:color w:val="auto"/>
          <w:sz w:val="24"/>
          <w:szCs w:val="24"/>
          <w:highlight w:val="none"/>
        </w:rPr>
        <w:t xml:space="preserve">。</w:t>
      </w:r>
      <w:r/>
    </w:p>
    <w:p>
      <w:pPr>
        <w:ind w:firstLine="480"/>
        <w:spacing w:line="336" w:lineRule="auto"/>
        <w:rPr>
          <w:rFonts w:hint="eastAsia" w:ascii="宋体" w:hAnsi="宋体" w:cs="宋体"/>
          <w:bCs/>
          <w:color w:val="auto"/>
          <w:szCs w:val="24"/>
          <w:highlight w:val="none"/>
        </w:rPr>
      </w:pPr>
      <w:r>
        <w:rPr>
          <w:rFonts w:hint="eastAsia" w:ascii="宋体" w:hAnsi="宋体" w:cs="宋体"/>
          <w:bCs/>
          <w:color w:val="auto"/>
          <w:szCs w:val="24"/>
          <w:highlight w:val="none"/>
        </w:rPr>
      </w:r>
      <w:r/>
    </w:p>
    <w:tbl>
      <w:tblPr>
        <w:tblStyle w:val="851"/>
        <w:tblW w:w="530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59"/>
        <w:gridCol w:w="1083"/>
        <w:gridCol w:w="1083"/>
        <w:gridCol w:w="794"/>
        <w:gridCol w:w="2981"/>
        <w:gridCol w:w="1317"/>
        <w:gridCol w:w="1194"/>
        <w:gridCol w:w="1366"/>
      </w:tblGrid>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keepLines w:val="0"/>
              <w:keepNext w:val="0"/>
              <w:spacing w:line="336"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center"/>
              <w:keepLines w:val="0"/>
              <w:keepNext w:val="0"/>
              <w:spacing w:line="336"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服务要求</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最高限价单价（元）</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spacing w:line="336"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价格权重</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spacing w:line="336" w:lineRule="auto"/>
              <w:widowControl/>
              <w:rPr>
                <w:rFonts w:hint="default"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cs="宋体"/>
                <w:b/>
                <w:bCs/>
                <w:i w:val="0"/>
                <w:iCs w:val="0"/>
                <w:color w:val="auto"/>
                <w:sz w:val="22"/>
                <w:szCs w:val="22"/>
                <w:highlight w:val="none"/>
                <w:u w:val="none"/>
                <w:lang w:val="en-US" w:eastAsia="zh-CN" w:bidi="ar"/>
              </w:rPr>
              <w:t xml:space="preserve">权重最高限制单价</w:t>
            </w:r>
            <w:r>
              <w:rPr>
                <w:rFonts w:hint="eastAsia" w:ascii="宋体" w:hAnsi="宋体" w:eastAsia="宋体" w:cs="宋体"/>
                <w:b/>
                <w:bCs/>
                <w:i w:val="0"/>
                <w:iCs w:val="0"/>
                <w:color w:val="auto"/>
                <w:sz w:val="21"/>
                <w:szCs w:val="21"/>
                <w:highlight w:val="none"/>
                <w:u w:val="none"/>
                <w:lang w:val="en-US" w:eastAsia="zh-CN" w:bidi="ar"/>
              </w:rPr>
              <w:t xml:space="preserve">（元）</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服务人员及设备</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服务人员-项目高级管理人员</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按采购需求核算平均每人每月服务费用。</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12333.3</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0.0605</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746.1647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服务人员-内场工程师</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按采购需求核算平均每人每月服务费用。</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0.138</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1104.0000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服务人员-外场工程师</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按采购需求核算平均每人每月服务费用。</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0.2565</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2052.0000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维修升降车</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台/月</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悬臂6米以上(含燃油费用、保养费用)。</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5997</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0.0293</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175.7121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巡视车辆</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台/月</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小型巡视车辆，A0级以上，用于前端维护及方案优化工作(含燃油费用、保养费用)。每周全覆盖巡检1次。</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4666.7</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0.0576</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268.8019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太阳能临时信号灯</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配备四方向左转加圆头临时信号灯，需具备太阳能发电板和蓄电池，蓄电池单独供电时长不低于12小时。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0.0119</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71.4000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汽油发电机(台班）</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台班（8小时）</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功率3KW（含燃油费用、保养费用）。</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0.0158</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6.3200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仓库租赁费用</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套/月</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default" w:ascii="宋体" w:hAnsi="宋体" w:cs="宋体"/>
                <w:color w:val="auto"/>
                <w:sz w:val="20"/>
                <w:szCs w:val="20"/>
                <w:highlight w:val="none"/>
                <w:u w:val="none"/>
                <w:lang w:bidi="ar"/>
              </w:rPr>
              <w:t xml:space="preserve">主城区仓库应为云龙区（包含新城区）、鼓楼区、泉山区（包含九里区）中的任一区域，两处仓库面积均应不小于400平方米</w:t>
            </w: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0.0198</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79.2000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信号控制机</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万兆光模块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SFP10G多模光模块</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0.0003</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0.1800 </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智能信号机高配版</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GB联网信号机主机，符合《道路交通信号控制机》（GB25280-2016）无缝衔接本地现用平台；</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0.0321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2086.5000 </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智能信号机</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GB联网信号机主机，符合《道路交通信号控制机》（GB25280-2016）无缝衔接本地现用平台；</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28000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0.1103</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3088.4000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信号机电源模块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0.0111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31.0800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信号机主控模块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0.0292</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216.0800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信号机检测模块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0.0079</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15.8000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信号机输出模块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0.0198</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99.0000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信号机侧门控制按钮</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0.0150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信号机特勤接收终端</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0.0006</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0.7200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信号机特勤遥控终端</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                                                     遥控器：外廓尺寸120×55×40mm，天线长度110mm，手动控制功能、实现手动控制路口信号机至全红、黄闪、灭灯、制定相位放行等状态，7.4V电池供电、无线通信方式LORA、通信距离300米、能从手动控制状态及时切换到自动运行状态。</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0.0006</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0.7200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信号机校时定位模块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0.0200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485转换模块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0.0150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信号机触摸控制面板</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信号机机柜</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 尺寸1220×640×480、材质201/304不锈钢。</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信号机机柜普通门锁</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0.0150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信号机机柜智能锁</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0.0004</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0.3000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信号机机柜智能锁钥匙</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适配原厂智能锁；</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0.0006</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0.7200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接线端子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0.0020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电源插线板</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220V，功率≥3000W</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0.0050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电源浪涌保护器</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0.0100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网线防雷器</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0.0050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黄闪控制器</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557</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0.0003</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0.1671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空开</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0.0025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显示设备</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四灯盘机动车灯具（含辅材）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0.0099</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24.7500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四灯盘箭头灯具（含辅材）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0.0099</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24.7500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四灯盘非机动车灯具（含辅材）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0.0099</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24.7500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四灯盘左转非机动车灯具（含辅材）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0.0099</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24.7500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三灯盘机动车灯具（含辅材）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0.0071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12.7800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三灯盘箭头灯具（含辅材）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0.0071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12.7800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三灯盘非机动车灯具（含辅材）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0.0071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12.7800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三灯盘左转非机动车灯具（含辅材）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0.0071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12.7800 </w: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灯盘（400直径）（含辅材）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红黄绿机动车、箭头、人行灯和特殊定制灯盘，板式人行灯汉字显示灯盘。符合《GB14887-2011道路交通信号灯》等国标。采用高亮度发光二极管，使用寿命超过50000小时，发光强度≥150cd；</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0.0024</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1.4400 </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灯盘（300直径）（含辅材）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红黄绿机动车、箭头、人行灯和特殊定制灯盘，板式人行灯汉字显示灯盘。符合《GB14887-2011道路交通信号灯》等国标。采用高亮度发光二极管，使用寿命超过50000小时，发光强度≥150cd；</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0.0022</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1.2100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板式人行灯（含辅材）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上为红灯静态行人，下为绿灯动态行人，下方为行人提示文字，要求与灯色颜色一致；</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0.0217</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119.3500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板式人行灯单文字面板</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适配现有板式人行灯</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0.0016</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0.6400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立柱式人行灯具（含辅材）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上为红灯静态行人，下为绿灯动态行人；</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0.004</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4.0000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人行灯灯盘（含辅材）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红灯静态行人或绿灯动态行人；</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0.0027</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1.4850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太阳能黄闪灯（含辅材）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直径400mm，太阳能板+黄闪灯，铝合金外壳，二层防护。</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0.0074</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11.1000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小屏倒计时器（含辅材）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产品符合GA/T508-2014《道路交通信号倒计时显示器》标准的相关要求</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0.0074</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11.1000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大屏倒计时器（含辅材）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spacing w:line="336" w:lineRule="auto"/>
              <w:rPr>
                <w:rFonts w:hint="eastAsia"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产品符合GA/T508-2014《道路交通信号倒计时显示器》标准的相关要求</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0.0099</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19.8000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400内置倒计时器（含辅材）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产品符合GA/T508-2014《道路交通信号倒计时显示器》标准的相关要求</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1.8000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信号灯发光单元帽沿</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根据现有进行定制、满足现场实际需要，颜色与样式与现有一致。</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0.0030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综合待行区LED提示屏</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1、外形尺寸：长2.3m*高0.38m，显示尺寸：长2.24m*高0.32m；整屏分辨率：224*32，像素点间距：10mm，像素点配置：1R1G；显示颜色：红、绿、黄；</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18.0000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左转待转区LED提示屏</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1、外形尺寸：长1.34m*高0.7m，显示尺寸：长1.28m*高0.64m；整屏分辨率：128*64，像素点间距：10mm，像素点配置：1R1G；显示颜色：红、绿、黄；  </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0.0032</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20.8000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可变车道LED提示屏</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1、1m*1.5m内嵌led标牌；</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18.0000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可变车道LED指示屏专用遥控设备</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支持切换手动自动模式、支持切换led屏显示内容。</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0.0200 </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LED显示屏屏幕替换模块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尺寸：256mm*128mm，晶元金线F5正圆灯珠，红灯7*10mil双电极，绿灯11*14mil，亮度≥8000cd/㎡，发光角度30°，最大功耗≤80W/㎡</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0.0200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LED显示屏电源模块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输出电流5V-40A</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0.0130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LED显示屏主控板模块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0.0007</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1.0500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绿波LED提示屏</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1、像素点间距：10mm，像素点配置：1R1G；直插式高亮发光二极管，显示颜色：红、绿、黄，水平视角70°，垂直视角35°；</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18.0000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地埋灯</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斑马线行人设计，发光均匀，柔和，不刺眼。高强度抗压，抗震，防水等级&gt;IP67；</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0.0200 </w:t>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匝道信号灯</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尺寸500mm。符合《GB14887-2011道路交通信号灯》等国标。采用高亮度发光二极管，使用寿命超过50000小时，发光强度≥150cd；</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0.0004</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0.3600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检测设备</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视频车辆检测器</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能与现有信号控制机通过协议无缝对接；</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0.0027</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14.8500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视频车辆检测器电源适配器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适配本地现用视频车辆检测器，原厂配件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0.0180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雷视车辆检测器</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能与现有信号控制机通过协议无缝对接。</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0.0042</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35.7000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行人请求按钮</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要求与现有信号控制机无缝对接。</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0.0004</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0.3000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抱杆机箱</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产品尺寸不小于600mm*400mm*400mm，防护等级IP54，工作温度范围为-40到85℃</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0.0002</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0.1000 </w:t>
            </w:r>
            <w:r/>
          </w:p>
        </w:tc>
      </w:tr>
      <w:tr>
        <w:trPr>
          <w:trHeight w:val="1955"/>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信号灯故障检测器</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路口</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利用交通视频监控、交通状态检测等资源数据以及信号态势感知等技术手段，实现交通信号灯非正常亮灭、灯色冲突、亮度不足、倾倒偏转、倒计时异常等故障的自动识别</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0.0032</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20.8000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线缆</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3芯电源线缆</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电源电缆KVV3×6mm2</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0.0056</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0.0840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16芯控制线缆</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控制线缆KVV16×1.5mm2</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0.0049</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0.0980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10芯控制线缆</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控制线缆KVV10×1.5mm2</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0.0037</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0.0555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4芯控制线缆</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控制线缆KVV4×1.5mm2</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0.002</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0.0160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4芯光缆</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单模</w:t>
            </w:r>
            <w:r>
              <w:rPr>
                <w:rStyle w:val="1234"/>
                <w:rFonts w:eastAsia="宋体"/>
                <w:color w:val="auto"/>
                <w:highlight w:val="none"/>
                <w:lang w:val="en-US" w:eastAsia="zh-CN" w:bidi="ar"/>
              </w:rPr>
              <w:t xml:space="preserve">1310nm </w:t>
            </w:r>
            <w:r>
              <w:rPr>
                <w:rFonts w:hint="eastAsia" w:ascii="宋体" w:hAnsi="宋体" w:eastAsia="宋体" w:cs="宋体"/>
                <w:i w:val="0"/>
                <w:iCs w:val="0"/>
                <w:color w:val="auto"/>
                <w:sz w:val="20"/>
                <w:szCs w:val="20"/>
                <w:highlight w:val="none"/>
                <w:u w:val="none"/>
                <w:lang w:val="en-US" w:eastAsia="zh-CN" w:bidi="ar"/>
              </w:rPr>
              <w:t xml:space="preserve">4芯光缆</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0.0017</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0.0085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光缆成端设备</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含分线盒、熔纤盘、尾纤</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0.0200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1、内置高效交换内核，抑制广播风暴，实现流量控制，CRC差错校验；</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0.0200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熔纤盘</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定制8芯</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0.0030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电表</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220V单相电表</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0.0150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室外网线</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室外超五类或以上标准，含包络，符合国标</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0.0005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信号机接地扁钢角铁地线含施工</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0.0300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室外工业8口交换机</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1、具有 8 个 10/100Base-TX 自适应电口，支持自动 MDI/MDI-X连接；</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0.0003</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0.1800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室外工业5口交换机</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1、具有 5个 10/100Base-TX 自适应电口，支持自动 MDI/MDI-X连接；</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0.0002</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0.1000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杆件类</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信号灯L型杆件4米（包含杆件基础、钢筋笼等）</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h=6.8m；l=4m；立柱250-200*6mm；挑臂4mm；</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0.0028</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15.6800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信号灯L型杆件6米（包含杆件基础、钢筋笼等）</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h=6.8m；l=6m；立柱250-200*6mm；挑臂4mm；</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18.3000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信号灯L型杆件8米（包含杆件基础、钢筋笼等）</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h=6.8m；l=8m；立柱300-250*6mm；挑臂4mm；</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0.0038</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29.2600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信号灯L型杆件10米（包含杆件基础、钢筋笼等）</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h=6.8m；l=10m；立柱340-280*8mm；挑臂5mm；</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0.0054</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59.4000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信号灯竖杆高6.5米（包含杆件基础、钢筋笼等）</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高6.5m，圆柱形，Ø164×3.5mm，热镀锌喷塑 ,含钢筋笼</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0.0016</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5.2800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竖杆装多灯用横杆及配件（二横杆二抱箍）</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0.0300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竖杆挑臂杆及配件</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0.0003</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0.1680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人行灯杆件高3m</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h=3m;φ114*3.5mm</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0.0004</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0.3200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立柱人行灯钢筋笼</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《道路交通信号灯设置与安装规范 》（GB 14886-2016）</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0.0110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板式人行灯钢筋笼</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《道路交通信号灯设置与安装规范 》（GB 14886-2016）</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0.0300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信号机钢筋笼</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《道路交通信号灯设置与安装规范 》（GB 14886-2016）</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0.0002</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0.0700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匝道信号灯定制支架等辅材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0.0002</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0.0960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信号灯支架</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定制竖装专用</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0.0050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信号灯抱箍</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0.0050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柱式人行灯抱箍</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0.0030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杆件检修口盖板（定制）</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0.0050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沥青路面开挖、回填、养护</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沥青路面开挖埋管及管道保护，槽道深度不低于40CM，宽度不低于20CM</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0.0090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绿化路面开挖、回填、养护</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绿化路面开挖埋管及管道保护，槽道深度不低于40CM，宽度不低于30CM</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0.0035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彩砖路面开挖、回填、养护</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人行道彩砖开挖埋管及管道保护，槽道深度不低于40CM，宽度不低于30CM</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0.0055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穿线钢管</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过路钢管直径90mm</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0.0065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PE管</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人行道、绿化直径50mmPE管</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0.0013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复合井盖直径500mm</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含井盖及井圈，材料及种类符合徐州市规范需求</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0.0002</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0.0720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复合井盖直径600mm</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含井盖及井圈，材料及种类符合徐州市规范需求</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0.0002</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0.0740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复合井盖直径800mm</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含井盖及井圈，材料及种类符合徐州市规范需求</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0.0002</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0.0780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铸铁井盖直径500mm</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含井盖及井圈，材料及种类符合徐州市规范需求</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0.0002</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0.0820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铸铁井盖直径600mm</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含井盖及井圈，材料及种类符合徐州市规范需求</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0.0002</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0.0860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铸铁井盖直径800mm</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含井盖及井圈，材料及种类符合徐州市规范需求</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0.0002</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0.0920 </w:t>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混凝土基础</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C25信号机基础结构件混凝土基础浇筑（包括不锈钢地脚螺栓预埋件的制作及安装、穿线管埋设、C25商品混凝土的浇筑养护、基础回填、渣土清运、螺栓混凝土包封）。</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0.0004</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0.3440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过路顶管</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过路顶管施工，直径110mmPE管</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0.0190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293545.00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10647.6206 </w:t>
            </w:r>
            <w:r/>
          </w:p>
        </w:tc>
      </w:tr>
    </w:tbl>
    <w:p>
      <w:pPr>
        <w:ind w:firstLine="482"/>
        <w:spacing w:line="336" w:lineRule="auto"/>
        <w:rPr>
          <w:rFonts w:hint="eastAsia" w:ascii="宋体" w:hAnsi="宋体" w:cs="宋体"/>
          <w:b/>
          <w:bCs/>
          <w:color w:val="auto"/>
          <w:szCs w:val="24"/>
          <w:highlight w:val="none"/>
        </w:rPr>
      </w:pPr>
      <w:r>
        <w:rPr>
          <w:rFonts w:hint="eastAsia" w:ascii="宋体" w:hAnsi="宋体" w:cs="宋体"/>
          <w:b/>
          <w:bCs/>
          <w:color w:val="auto"/>
          <w:szCs w:val="24"/>
          <w:highlight w:val="none"/>
        </w:rPr>
        <w:t xml:space="preserve">注：</w:t>
      </w:r>
      <w:r>
        <w:rPr>
          <w:rFonts w:hint="eastAsia" w:ascii="宋体" w:hAnsi="宋体" w:cs="宋体"/>
          <w:b/>
          <w:bCs/>
          <w:color w:val="auto"/>
          <w:szCs w:val="24"/>
          <w:highlight w:val="none"/>
          <w:lang w:val="en-US" w:eastAsia="zh-CN"/>
        </w:rPr>
        <w:t xml:space="preserve">1、以上限价</w:t>
      </w:r>
      <w:r>
        <w:rPr>
          <w:rFonts w:hint="eastAsia" w:ascii="宋体" w:hAnsi="宋体" w:cs="宋体"/>
          <w:b/>
          <w:bCs/>
          <w:color w:val="auto"/>
          <w:szCs w:val="24"/>
          <w:highlight w:val="none"/>
        </w:rPr>
        <w:t xml:space="preserve">均含</w:t>
      </w:r>
      <w:r>
        <w:rPr>
          <w:rFonts w:hint="eastAsia" w:ascii="宋体" w:hAnsi="宋体" w:cs="宋体"/>
          <w:b/>
          <w:bCs/>
          <w:color w:val="auto"/>
          <w:szCs w:val="24"/>
          <w:highlight w:val="none"/>
          <w:lang w:val="en-US" w:eastAsia="zh-CN"/>
        </w:rPr>
        <w:t xml:space="preserve">旧设备拆除、新设备</w:t>
      </w:r>
      <w:r>
        <w:rPr>
          <w:rFonts w:hint="eastAsia" w:ascii="宋体" w:hAnsi="宋体" w:cs="宋体"/>
          <w:b/>
          <w:bCs/>
          <w:color w:val="auto"/>
          <w:szCs w:val="24"/>
          <w:highlight w:val="none"/>
        </w:rPr>
        <w:t xml:space="preserve">安装</w:t>
      </w:r>
      <w:r>
        <w:rPr>
          <w:rFonts w:hint="eastAsia" w:ascii="宋体" w:hAnsi="宋体" w:cs="宋体"/>
          <w:b/>
          <w:bCs/>
          <w:color w:val="auto"/>
          <w:szCs w:val="24"/>
          <w:highlight w:val="none"/>
          <w:lang w:eastAsia="zh-CN"/>
        </w:rPr>
        <w:t xml:space="preserve">、</w:t>
      </w:r>
      <w:r>
        <w:rPr>
          <w:rFonts w:hint="eastAsia" w:ascii="宋体" w:hAnsi="宋体" w:cs="宋体"/>
          <w:b/>
          <w:bCs/>
          <w:color w:val="auto"/>
          <w:szCs w:val="24"/>
          <w:highlight w:val="none"/>
          <w:lang w:val="en-US" w:eastAsia="zh-CN"/>
        </w:rPr>
        <w:t xml:space="preserve">调试、搬运、垃圾处置、施工协调、安全文明施工费、工程保险费等一切相关费用</w:t>
      </w:r>
      <w:r>
        <w:rPr>
          <w:rFonts w:hint="eastAsia" w:ascii="宋体" w:hAnsi="宋体" w:cs="宋体"/>
          <w:b/>
          <w:bCs/>
          <w:color w:val="auto"/>
          <w:szCs w:val="24"/>
          <w:highlight w:val="none"/>
        </w:rPr>
        <w:t xml:space="preserve">。</w:t>
      </w:r>
      <w:r/>
    </w:p>
    <w:p>
      <w:pPr>
        <w:pStyle w:val="852"/>
        <w:rPr>
          <w:rFonts w:hint="eastAsia" w:ascii="宋体" w:hAnsi="宋体" w:cs="宋体"/>
          <w:b/>
          <w:bCs/>
          <w:strike w:val="0"/>
          <w:color w:val="auto"/>
          <w:szCs w:val="24"/>
          <w:highlight w:val="none"/>
        </w:rPr>
      </w:pPr>
      <w:r>
        <w:rPr>
          <w:rFonts w:hint="eastAsia" w:cs="宋体"/>
          <w:b/>
          <w:bCs/>
          <w:strike w:val="0"/>
          <w:color w:val="auto"/>
          <w:szCs w:val="24"/>
          <w:highlight w:val="none"/>
          <w:lang w:val="en-US" w:eastAsia="zh-CN"/>
        </w:rPr>
        <w:t xml:space="preserve">2、</w:t>
      </w:r>
      <w:r>
        <w:rPr>
          <w:rFonts w:hint="eastAsia" w:ascii="宋体" w:hAnsi="宋体" w:cs="宋体"/>
          <w:b/>
          <w:bCs/>
          <w:strike w:val="0"/>
          <w:color w:val="auto"/>
          <w:szCs w:val="24"/>
          <w:highlight w:val="none"/>
        </w:rPr>
        <w:t xml:space="preserve">报价权重含义说明</w:t>
      </w:r>
      <w:r/>
    </w:p>
    <w:p>
      <w:pPr>
        <w:pStyle w:val="852"/>
        <w:rPr>
          <w:rFonts w:hint="eastAsia" w:ascii="宋体" w:hAnsi="宋体" w:cs="宋体"/>
          <w:b/>
          <w:bCs/>
          <w:strike w:val="0"/>
          <w:color w:val="auto"/>
          <w:szCs w:val="24"/>
          <w:highlight w:val="none"/>
        </w:rPr>
      </w:pPr>
      <w:r>
        <w:rPr>
          <w:rFonts w:hint="eastAsia" w:ascii="宋体" w:hAnsi="宋体" w:cs="宋体"/>
          <w:b/>
          <w:bCs/>
          <w:strike w:val="0"/>
          <w:color w:val="auto"/>
          <w:szCs w:val="24"/>
          <w:highlight w:val="none"/>
        </w:rPr>
        <w:t xml:space="preserve">本项目设置清单子目价格权重，仅用于</w:t>
      </w:r>
      <w:r>
        <w:rPr>
          <w:rFonts w:hint="eastAsia" w:cs="宋体"/>
          <w:b/>
          <w:bCs/>
          <w:strike w:val="0"/>
          <w:color w:val="auto"/>
          <w:szCs w:val="24"/>
          <w:highlight w:val="none"/>
          <w:lang w:val="en-US" w:eastAsia="zh-CN"/>
        </w:rPr>
        <w:t xml:space="preserve">价格评审</w:t>
      </w:r>
      <w:r>
        <w:rPr>
          <w:rFonts w:hint="eastAsia" w:ascii="宋体" w:hAnsi="宋体" w:cs="宋体"/>
          <w:b/>
          <w:bCs/>
          <w:strike w:val="0"/>
          <w:color w:val="auto"/>
          <w:szCs w:val="24"/>
          <w:highlight w:val="none"/>
        </w:rPr>
        <w:t xml:space="preserve">，不代表项目实际发生工程量比例、不代表各分项结算金额占比。</w:t>
      </w:r>
      <w:r/>
    </w:p>
    <w:p>
      <w:pPr>
        <w:pStyle w:val="852"/>
        <w:rPr>
          <w:rFonts w:hint="eastAsia" w:ascii="宋体" w:hAnsi="宋体" w:cs="宋体"/>
          <w:b/>
          <w:bCs/>
          <w:strike w:val="0"/>
          <w:color w:val="auto"/>
          <w:szCs w:val="24"/>
          <w:highlight w:val="none"/>
        </w:rPr>
      </w:pPr>
      <w:r>
        <w:rPr>
          <w:rFonts w:hint="eastAsia" w:ascii="宋体" w:hAnsi="宋体" w:cs="宋体"/>
          <w:b/>
          <w:bCs/>
          <w:strike w:val="0"/>
          <w:color w:val="auto"/>
          <w:szCs w:val="24"/>
          <w:highlight w:val="none"/>
        </w:rPr>
        <w:t xml:space="preserve">权重数值仅作为评标打分计算依据，不限制投标人自主填报综合单价，但投标人填报单价不得超过清单载明最高限价单价，</w:t>
      </w:r>
      <w:r>
        <w:rPr>
          <w:rFonts w:hint="eastAsia" w:cs="宋体"/>
          <w:b/>
          <w:bCs/>
          <w:strike w:val="0"/>
          <w:color w:val="auto"/>
          <w:szCs w:val="24"/>
          <w:highlight w:val="none"/>
          <w:lang w:val="en-US" w:eastAsia="zh-CN"/>
        </w:rPr>
        <w:t xml:space="preserve">投标</w:t>
      </w:r>
      <w:r>
        <w:rPr>
          <w:rFonts w:hint="eastAsia" w:ascii="宋体" w:hAnsi="宋体" w:cs="宋体"/>
          <w:b/>
          <w:bCs/>
          <w:strike w:val="0"/>
          <w:color w:val="auto"/>
          <w:szCs w:val="24"/>
          <w:highlight w:val="none"/>
        </w:rPr>
        <w:t xml:space="preserve">单价高于</w:t>
      </w:r>
      <w:r>
        <w:rPr>
          <w:rFonts w:hint="eastAsia" w:cs="宋体"/>
          <w:b/>
          <w:bCs/>
          <w:strike w:val="0"/>
          <w:color w:val="auto"/>
          <w:szCs w:val="24"/>
          <w:highlight w:val="none"/>
          <w:lang w:val="en-US" w:eastAsia="zh-CN"/>
        </w:rPr>
        <w:t xml:space="preserve">限制单价</w:t>
      </w:r>
      <w:r>
        <w:rPr>
          <w:rFonts w:hint="eastAsia" w:ascii="宋体" w:hAnsi="宋体" w:cs="宋体"/>
          <w:b/>
          <w:bCs/>
          <w:strike w:val="0"/>
          <w:color w:val="auto"/>
          <w:szCs w:val="24"/>
          <w:highlight w:val="none"/>
        </w:rPr>
        <w:t xml:space="preserve">的作无效投标处理。</w:t>
      </w:r>
      <w:r/>
    </w:p>
    <w:p>
      <w:pPr>
        <w:pStyle w:val="852"/>
        <w:rPr>
          <w:rFonts w:hint="eastAsia" w:ascii="宋体" w:hAnsi="宋体" w:cs="宋体"/>
          <w:b/>
          <w:bCs/>
          <w:strike w:val="0"/>
          <w:color w:val="auto"/>
          <w:szCs w:val="24"/>
          <w:highlight w:val="none"/>
        </w:rPr>
      </w:pPr>
      <w:r>
        <w:rPr>
          <w:rFonts w:hint="eastAsia" w:ascii="宋体" w:hAnsi="宋体" w:cs="宋体"/>
          <w:b/>
          <w:bCs/>
          <w:strike w:val="0"/>
          <w:color w:val="auto"/>
          <w:szCs w:val="24"/>
          <w:highlight w:val="none"/>
        </w:rPr>
        <w:t xml:space="preserve">各子目实际结算工程量以项目现场管养实际发生数量为准，最终结算金额 = 各子目实际工程量 × 中标单价；</w:t>
      </w:r>
      <w:r>
        <w:rPr>
          <w:rFonts w:hint="eastAsia" w:cs="宋体"/>
          <w:b/>
          <w:bCs/>
          <w:strike w:val="0"/>
          <w:color w:val="auto"/>
          <w:szCs w:val="24"/>
          <w:highlight w:val="none"/>
          <w:lang w:val="en-US" w:eastAsia="zh-CN"/>
        </w:rPr>
        <w:t xml:space="preserve">且结算金额不得超过采购预算金额</w:t>
      </w:r>
      <w:r>
        <w:rPr>
          <w:rFonts w:hint="eastAsia" w:ascii="宋体" w:hAnsi="宋体" w:cs="宋体"/>
          <w:b/>
          <w:bCs/>
          <w:strike w:val="0"/>
          <w:color w:val="auto"/>
          <w:szCs w:val="24"/>
          <w:highlight w:val="none"/>
        </w:rPr>
        <w:t xml:space="preserve">。</w:t>
      </w:r>
      <w:r/>
    </w:p>
    <w:p>
      <w:pPr>
        <w:pStyle w:val="852"/>
        <w:rPr>
          <w:rFonts w:hint="eastAsia" w:ascii="宋体" w:hAnsi="宋体" w:eastAsia="宋体" w:cs="宋体"/>
          <w:b/>
          <w:bCs/>
          <w:i w:val="0"/>
          <w:iCs w:val="0"/>
          <w:strike w:val="0"/>
          <w:color w:val="auto"/>
          <w:sz w:val="22"/>
          <w:szCs w:val="22"/>
          <w:highlight w:val="none"/>
          <w:u w:val="none"/>
          <w:lang w:val="en-US" w:eastAsia="zh-CN" w:bidi="ar"/>
        </w:rPr>
      </w:pPr>
      <w:r>
        <w:rPr>
          <w:rFonts w:hint="eastAsia" w:cs="宋体"/>
          <w:b/>
          <w:bCs/>
          <w:strike w:val="0"/>
          <w:color w:val="auto"/>
          <w:szCs w:val="24"/>
          <w:highlight w:val="none"/>
          <w:lang w:val="en-US" w:eastAsia="zh-CN"/>
        </w:rPr>
        <w:t xml:space="preserve">3、权重最高限制单价</w:t>
      </w:r>
      <w:r>
        <w:rPr>
          <w:rFonts w:hint="eastAsia" w:ascii="宋体" w:hAnsi="宋体" w:cs="宋体"/>
          <w:b/>
          <w:bCs/>
          <w:i w:val="0"/>
          <w:iCs w:val="0"/>
          <w:strike w:val="0"/>
          <w:color w:val="auto"/>
          <w:sz w:val="22"/>
          <w:szCs w:val="22"/>
          <w:highlight w:val="none"/>
          <w:u w:val="none"/>
          <w:lang w:val="en-US" w:eastAsia="zh-CN" w:bidi="ar"/>
        </w:rPr>
        <w:t xml:space="preserve">（元）</w:t>
      </w:r>
      <w:r>
        <w:rPr>
          <w:rFonts w:hint="eastAsia" w:cs="宋体"/>
          <w:b/>
          <w:bCs/>
          <w:i w:val="0"/>
          <w:iCs w:val="0"/>
          <w:strike w:val="0"/>
          <w:color w:val="auto"/>
          <w:sz w:val="22"/>
          <w:szCs w:val="22"/>
          <w:highlight w:val="none"/>
          <w:u w:val="none"/>
          <w:lang w:val="en-US" w:eastAsia="zh-CN" w:bidi="ar"/>
        </w:rPr>
        <w:t xml:space="preserve">=</w:t>
      </w:r>
      <w:r>
        <w:rPr>
          <w:rFonts w:hint="eastAsia" w:ascii="宋体" w:hAnsi="宋体" w:eastAsia="宋体" w:cs="宋体"/>
          <w:b/>
          <w:bCs/>
          <w:i w:val="0"/>
          <w:iCs w:val="0"/>
          <w:strike w:val="0"/>
          <w:color w:val="auto"/>
          <w:sz w:val="21"/>
          <w:szCs w:val="21"/>
          <w:highlight w:val="none"/>
          <w:u w:val="none"/>
          <w:lang w:val="en-US" w:eastAsia="zh-CN" w:bidi="ar"/>
        </w:rPr>
        <w:t xml:space="preserve">最高限价单价（元）</w:t>
      </w:r>
      <w:r>
        <w:rPr>
          <w:rFonts w:hint="eastAsia" w:cs="宋体"/>
          <w:b/>
          <w:bCs/>
          <w:i w:val="0"/>
          <w:iCs w:val="0"/>
          <w:strike w:val="0"/>
          <w:color w:val="auto"/>
          <w:sz w:val="21"/>
          <w:szCs w:val="21"/>
          <w:highlight w:val="none"/>
          <w:u w:val="none"/>
          <w:lang w:val="en-US" w:eastAsia="zh-CN" w:bidi="ar"/>
        </w:rPr>
        <w:t xml:space="preserve">*</w:t>
      </w:r>
      <w:r>
        <w:rPr>
          <w:rFonts w:hint="eastAsia" w:ascii="宋体" w:hAnsi="宋体" w:eastAsia="宋体" w:cs="宋体"/>
          <w:b/>
          <w:bCs/>
          <w:i w:val="0"/>
          <w:iCs w:val="0"/>
          <w:strike w:val="0"/>
          <w:color w:val="auto"/>
          <w:sz w:val="22"/>
          <w:szCs w:val="22"/>
          <w:highlight w:val="none"/>
          <w:u w:val="none"/>
          <w:lang w:val="en-US" w:eastAsia="zh-CN" w:bidi="ar"/>
        </w:rPr>
        <w:t xml:space="preserve">价格权重</w:t>
      </w:r>
      <w:r/>
    </w:p>
    <w:p>
      <w:pPr>
        <w:ind w:firstLine="482"/>
        <w:spacing w:line="336" w:lineRule="auto"/>
        <w:rPr>
          <w:rFonts w:hint="default" w:ascii="宋体" w:hAnsi="宋体" w:eastAsia="宋体" w:cs="宋体"/>
          <w:b/>
          <w:bCs/>
          <w:color w:val="auto"/>
          <w:szCs w:val="24"/>
          <w:highlight w:val="none"/>
          <w:lang w:val="en-US" w:eastAsia="zh-CN"/>
        </w:rPr>
      </w:pPr>
      <w:r>
        <w:rPr>
          <w:rFonts w:hint="eastAsia" w:ascii="宋体" w:hAnsi="宋体" w:cs="宋体"/>
          <w:b/>
          <w:bCs/>
          <w:color w:val="auto"/>
          <w:szCs w:val="24"/>
          <w:highlight w:val="none"/>
          <w:lang w:eastAsia="zh-CN"/>
        </w:rPr>
        <w:t xml:space="preserve">九</w:t>
      </w:r>
      <w:r>
        <w:rPr>
          <w:rFonts w:hint="eastAsia" w:ascii="宋体" w:hAnsi="宋体" w:cs="宋体"/>
          <w:b/>
          <w:bCs/>
          <w:color w:val="auto"/>
          <w:szCs w:val="24"/>
          <w:highlight w:val="none"/>
        </w:rPr>
        <w:t xml:space="preserve">、交通信号系统维护工作服务考评办法</w:t>
      </w:r>
      <w:r>
        <w:rPr>
          <w:rFonts w:hint="eastAsia" w:ascii="宋体" w:hAnsi="宋体" w:cs="宋体"/>
          <w:b/>
          <w:bCs/>
          <w:color w:val="auto"/>
          <w:szCs w:val="24"/>
          <w:highlight w:val="none"/>
          <w:lang w:eastAsia="zh-CN"/>
        </w:rPr>
        <w:t xml:space="preserve">（</w:t>
      </w:r>
      <w:r>
        <w:rPr>
          <w:rFonts w:hint="eastAsia" w:ascii="宋体" w:hAnsi="宋体" w:cs="宋体"/>
          <w:b/>
          <w:bCs/>
          <w:color w:val="auto"/>
          <w:szCs w:val="24"/>
          <w:highlight w:val="none"/>
          <w:lang w:val="en-US" w:eastAsia="zh-CN"/>
        </w:rPr>
        <w:t xml:space="preserve">详见拟签订的合同附件）</w:t>
      </w:r>
      <w:r/>
    </w:p>
    <w:p>
      <w:pPr>
        <w:numPr>
          <w:ilvl w:val="0"/>
          <w:numId w:val="7"/>
        </w:numPr>
        <w:ind w:firstLine="482"/>
        <w:spacing w:line="336" w:lineRule="auto"/>
        <w:rPr>
          <w:rFonts w:hint="eastAsia" w:ascii="宋体" w:hAnsi="宋体" w:cs="宋体"/>
          <w:b/>
          <w:color w:val="auto"/>
          <w:sz w:val="24"/>
          <w:szCs w:val="24"/>
          <w:highlight w:val="none"/>
          <w:lang w:eastAsia="zh-CN"/>
        </w:rPr>
      </w:pPr>
      <w:r>
        <w:rPr>
          <w:rFonts w:hint="eastAsia" w:ascii="宋体" w:hAnsi="宋体" w:cs="宋体"/>
          <w:b/>
          <w:color w:val="auto"/>
          <w:sz w:val="24"/>
          <w:szCs w:val="24"/>
          <w:highlight w:val="none"/>
          <w:lang w:eastAsia="zh-CN"/>
        </w:rPr>
        <w:t xml:space="preserve">其他要求</w:t>
      </w:r>
      <w:r/>
    </w:p>
    <w:p>
      <w:pPr>
        <w:pStyle w:val="852"/>
        <w:spacing w:line="33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1.知识产权</w:t>
      </w:r>
      <w:r/>
    </w:p>
    <w:p>
      <w:pPr>
        <w:pStyle w:val="852"/>
        <w:spacing w:line="33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除交通信号控制交通控制系统外其他内容知识产权归徐州市公安局交通管理支队所有。未经采购人同意投标人不得以任何方式向第三方或第三人透露、宣传项目涉及内容。本项目中所使用的所有软件知识产权都应为合法渠道取得，应为正版授权软件。涉及本项目的所有知识产权纠纷都由投标人负责。</w:t>
      </w:r>
      <w:r/>
    </w:p>
    <w:p>
      <w:pPr>
        <w:pStyle w:val="852"/>
        <w:spacing w:line="336" w:lineRule="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中标人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pStyle w:val="852"/>
        <w:spacing w:line="336" w:lineRule="auto"/>
        <w:rPr>
          <w:rFonts w:hint="eastAsia" w:ascii="宋体" w:hAnsi="宋体" w:cs="宋体"/>
          <w:color w:val="auto"/>
          <w:sz w:val="24"/>
          <w:szCs w:val="24"/>
          <w:highlight w:val="none"/>
        </w:rPr>
      </w:pPr>
      <w:r>
        <w:rPr>
          <w:rFonts w:hint="eastAsia" w:cs="宋体"/>
          <w:color w:val="auto"/>
          <w:sz w:val="24"/>
          <w:szCs w:val="24"/>
          <w:highlight w:val="none"/>
          <w:lang w:val="en-US" w:eastAsia="zh-CN"/>
        </w:rPr>
        <w:t xml:space="preserve">3.</w:t>
      </w:r>
      <w:r>
        <w:rPr>
          <w:rFonts w:hint="eastAsia" w:cs="宋体"/>
          <w:color w:val="auto"/>
          <w:sz w:val="24"/>
          <w:szCs w:val="24"/>
          <w:highlight w:val="none"/>
          <w:lang w:eastAsia="zh-CN"/>
        </w:rPr>
        <w:t xml:space="preserve">考核、付款、保密等</w:t>
      </w:r>
      <w:r>
        <w:rPr>
          <w:rFonts w:hint="eastAsia" w:cs="宋体"/>
          <w:color w:val="auto"/>
          <w:sz w:val="24"/>
          <w:szCs w:val="24"/>
          <w:highlight w:val="none"/>
          <w:lang w:val="en-US" w:eastAsia="zh-CN"/>
        </w:rPr>
        <w:t xml:space="preserve">具体</w:t>
      </w:r>
      <w:r>
        <w:rPr>
          <w:rFonts w:hint="eastAsia" w:cs="宋体"/>
          <w:color w:val="auto"/>
          <w:sz w:val="24"/>
          <w:szCs w:val="24"/>
          <w:highlight w:val="none"/>
          <w:lang w:eastAsia="zh-CN"/>
        </w:rPr>
        <w:t xml:space="preserve">要求</w:t>
      </w:r>
      <w:r>
        <w:rPr>
          <w:rFonts w:hint="eastAsia" w:ascii="宋体" w:hAnsi="宋体" w:cs="宋体"/>
          <w:color w:val="auto"/>
          <w:sz w:val="24"/>
          <w:szCs w:val="24"/>
          <w:highlight w:val="none"/>
        </w:rPr>
        <w:t xml:space="preserve">见招标文件第</w:t>
      </w:r>
      <w:r>
        <w:rPr>
          <w:rFonts w:hint="eastAsia" w:ascii="宋体" w:hAnsi="宋体" w:cs="宋体"/>
          <w:color w:val="auto"/>
          <w:sz w:val="24"/>
          <w:szCs w:val="24"/>
          <w:highlight w:val="none"/>
          <w:lang w:val="en-US" w:eastAsia="zh-CN"/>
        </w:rPr>
        <w:t xml:space="preserve">六</w:t>
      </w:r>
      <w:r>
        <w:rPr>
          <w:rFonts w:hint="eastAsia" w:ascii="宋体" w:hAnsi="宋体" w:cs="宋体"/>
          <w:color w:val="auto"/>
          <w:sz w:val="24"/>
          <w:szCs w:val="24"/>
          <w:highlight w:val="none"/>
        </w:rPr>
        <w:t xml:space="preserve">章《拟签订的合同文本》。</w:t>
      </w:r>
      <w:r/>
    </w:p>
    <w:p>
      <w:pPr>
        <w:spacing w:line="336"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line="336" w:lineRule="auto"/>
        <w:rPr>
          <w:color w:val="auto"/>
          <w:highlight w:val="none"/>
        </w:rPr>
      </w:pPr>
      <w:r>
        <w:rPr>
          <w:color w:val="auto"/>
          <w:highlight w:val="none"/>
        </w:rPr>
      </w:r>
      <w:r/>
    </w:p>
    <w:p>
      <w:pPr>
        <w:jc w:val="left"/>
        <w:spacing w:line="240" w:lineRule="auto"/>
        <w:rPr>
          <w:rFonts w:hint="eastAsia" w:ascii="宋体" w:hAnsi="宋体" w:cs="宋体"/>
          <w:b/>
          <w:bCs/>
          <w:color w:val="auto"/>
          <w:sz w:val="32"/>
          <w:szCs w:val="32"/>
          <w:highlight w:val="none"/>
        </w:rPr>
        <w:outlineLvl w:val="9"/>
      </w:pPr>
      <w:r>
        <w:rPr>
          <w:rFonts w:hint="eastAsia" w:ascii="宋体" w:hAnsi="宋体" w:cs="宋体"/>
          <w:b/>
          <w:bCs/>
          <w:color w:val="auto"/>
          <w:sz w:val="32"/>
          <w:szCs w:val="32"/>
          <w:highlight w:val="none"/>
        </w:rPr>
      </w:r>
      <w:r/>
    </w:p>
    <w:p>
      <w:pPr>
        <w:jc w:val="left"/>
        <w:spacing w:line="240" w:lineRule="auto"/>
        <w:rPr>
          <w:rFonts w:hint="eastAsia" w:ascii="宋体" w:hAnsi="宋体" w:cs="宋体"/>
          <w:b/>
          <w:bCs/>
          <w:color w:val="auto"/>
          <w:sz w:val="32"/>
          <w:szCs w:val="32"/>
          <w:highlight w:val="none"/>
        </w:rPr>
        <w:outlineLvl w:val="9"/>
      </w:pPr>
      <w:r>
        <w:rPr>
          <w:rFonts w:hint="eastAsia" w:ascii="宋体" w:hAnsi="宋体" w:cs="宋体"/>
          <w:b/>
          <w:bCs/>
          <w:color w:val="auto"/>
          <w:sz w:val="32"/>
          <w:szCs w:val="32"/>
          <w:highlight w:val="none"/>
        </w:rPr>
        <w:br w:type="page" w:clear="all"/>
      </w:r>
      <w:r/>
    </w:p>
    <w:p>
      <w:pPr>
        <w:jc w:val="center"/>
        <w:spacing w:line="360" w:lineRule="auto"/>
        <w:rPr>
          <w:rFonts w:hint="eastAsia" w:ascii="宋体" w:hAnsi="宋体" w:cs="宋体"/>
          <w:color w:val="auto"/>
          <w:sz w:val="30"/>
          <w:szCs w:val="30"/>
          <w:highlight w:val="none"/>
        </w:rPr>
        <w:outlineLvl w:val="0"/>
      </w:pPr>
      <w:r/>
      <w:bookmarkStart w:id="13" w:name="_Toc13595"/>
      <w:r>
        <w:rPr>
          <w:rFonts w:hint="eastAsia" w:ascii="宋体" w:hAnsi="宋体" w:cs="宋体"/>
          <w:b/>
          <w:bCs/>
          <w:color w:val="auto"/>
          <w:sz w:val="32"/>
          <w:szCs w:val="32"/>
          <w:highlight w:val="none"/>
        </w:rPr>
        <w:t xml:space="preserve">第六章  拟签订的合同文本</w:t>
      </w:r>
      <w:bookmarkEnd w:id="12"/>
      <w:r/>
      <w:bookmarkEnd w:id="13"/>
      <w:r/>
      <w:r/>
    </w:p>
    <w:p>
      <w:pPr>
        <w:pStyle w:val="894"/>
        <w:jc w:val="center"/>
        <w:spacing w:after="0"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894"/>
        <w:jc w:val="center"/>
        <w:spacing w:after="0" w:line="360" w:lineRule="auto"/>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项目名称：</w:t>
      </w:r>
      <w:r>
        <w:rPr>
          <w:rFonts w:hint="eastAsia" w:ascii="宋体" w:hAnsi="宋体" w:cs="宋体"/>
          <w:color w:val="auto"/>
          <w:sz w:val="30"/>
          <w:szCs w:val="30"/>
          <w:highlight w:val="none"/>
          <w:lang w:eastAsia="zh-CN"/>
        </w:rPr>
        <w:t xml:space="preserve">交通信号灯社会化管养服务</w:t>
      </w:r>
      <w:r/>
    </w:p>
    <w:p>
      <w:pPr>
        <w:pStyle w:val="894"/>
        <w:jc w:val="center"/>
        <w:spacing w:after="0" w:line="360" w:lineRule="auto"/>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项目编号：</w:t>
      </w:r>
      <w:r>
        <w:rPr>
          <w:rFonts w:hint="eastAsia" w:ascii="宋体" w:hAnsi="宋体" w:cs="宋体"/>
          <w:color w:val="auto"/>
          <w:sz w:val="30"/>
          <w:szCs w:val="30"/>
          <w:highlight w:val="none"/>
          <w:lang w:eastAsia="zh-CN"/>
        </w:rPr>
        <w:t xml:space="preserve">JSZC-320300-JSKJ-G2026-0029</w:t>
      </w:r>
      <w:r/>
    </w:p>
    <w:p>
      <w:pPr>
        <w:pStyle w:val="894"/>
        <w:jc w:val="center"/>
        <w:spacing w:after="0" w:line="360" w:lineRule="auto"/>
        <w:rPr>
          <w:rFonts w:hint="eastAsia" w:ascii="宋体" w:hAnsi="宋体" w:cs="宋体"/>
          <w:color w:val="auto"/>
          <w:sz w:val="56"/>
          <w:szCs w:val="56"/>
          <w:highlight w:val="none"/>
        </w:rPr>
      </w:pPr>
      <w:r>
        <w:rPr>
          <w:rFonts w:hint="eastAsia" w:ascii="宋体" w:hAnsi="宋体" w:cs="宋体"/>
          <w:color w:val="auto"/>
          <w:sz w:val="56"/>
          <w:szCs w:val="56"/>
          <w:highlight w:val="none"/>
        </w:rPr>
      </w:r>
      <w:r/>
    </w:p>
    <w:p>
      <w:pPr>
        <w:pStyle w:val="894"/>
        <w:jc w:val="center"/>
        <w:spacing w:after="0" w:line="360" w:lineRule="auto"/>
        <w:rPr>
          <w:rFonts w:hint="eastAsia" w:ascii="宋体" w:hAnsi="宋体" w:cs="宋体"/>
          <w:color w:val="auto"/>
          <w:sz w:val="56"/>
          <w:szCs w:val="56"/>
          <w:highlight w:val="none"/>
        </w:rPr>
      </w:pPr>
      <w:r>
        <w:rPr>
          <w:rFonts w:hint="eastAsia" w:ascii="宋体" w:hAnsi="宋体" w:cs="宋体"/>
          <w:color w:val="auto"/>
          <w:sz w:val="56"/>
          <w:szCs w:val="56"/>
          <w:highlight w:val="none"/>
        </w:rPr>
        <w:t xml:space="preserve">政府采购合同</w:t>
      </w:r>
      <w:r/>
    </w:p>
    <w:p>
      <w:pPr>
        <w:pStyle w:val="899"/>
        <w:ind w:left="0" w:right="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4"/>
        <w:spacing w:after="0" w:line="360" w:lineRule="auto"/>
        <w:rPr>
          <w:rFonts w:hint="eastAsia" w:ascii="宋体" w:hAnsi="宋体" w:cs="宋体"/>
          <w:color w:val="auto"/>
          <w:highlight w:val="none"/>
        </w:rPr>
      </w:pPr>
      <w:r>
        <w:rPr>
          <w:rFonts w:hint="eastAsia" w:ascii="宋体" w:hAnsi="宋体" w:cs="宋体"/>
          <w:color w:val="auto"/>
          <w:highlight w:val="none"/>
        </w:rPr>
      </w:r>
      <w:r/>
    </w:p>
    <w:p>
      <w:pPr>
        <w:pStyle w:val="894"/>
        <w:ind w:firstLine="1960"/>
        <w:jc w:val="left"/>
        <w:spacing w:after="0"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 购 人（甲方）：</w:t>
      </w:r>
      <w:r>
        <w:rPr>
          <w:rFonts w:hint="eastAsia" w:ascii="宋体" w:hAnsi="宋体" w:cs="宋体"/>
          <w:color w:val="auto"/>
          <w:sz w:val="28"/>
          <w:szCs w:val="28"/>
          <w:highlight w:val="none"/>
          <w:u w:val="single"/>
        </w:rPr>
        <w:t xml:space="preserve">                       </w:t>
      </w:r>
      <w:r/>
    </w:p>
    <w:p>
      <w:pPr>
        <w:pStyle w:val="894"/>
        <w:ind w:firstLine="1960"/>
        <w:jc w:val="left"/>
        <w:spacing w:after="0" w:line="360" w:lineRule="auto"/>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中 标 人（乙方）：</w:t>
      </w:r>
      <w:r>
        <w:rPr>
          <w:rFonts w:hint="eastAsia" w:ascii="宋体" w:hAnsi="宋体" w:cs="宋体"/>
          <w:color w:val="auto"/>
          <w:sz w:val="28"/>
          <w:szCs w:val="28"/>
          <w:highlight w:val="none"/>
          <w:u w:val="single"/>
        </w:rPr>
        <w:t xml:space="preserve">                       </w:t>
      </w:r>
      <w:r/>
    </w:p>
    <w:p>
      <w:pPr>
        <w:pStyle w:val="894"/>
        <w:ind w:firstLine="1960"/>
        <w:jc w:val="left"/>
        <w:spacing w:after="0"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合同签订日期：   年   月   日</w:t>
      </w:r>
      <w:r/>
    </w:p>
    <w:p>
      <w:pPr>
        <w:pStyle w:val="898"/>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91"/>
        <w:rPr>
          <w:rFonts w:hint="eastAsia" w:ascii="宋体" w:hAnsi="宋体" w:cs="宋体"/>
          <w:color w:val="auto"/>
          <w:highlight w:val="none"/>
        </w:rPr>
      </w:pPr>
      <w:r>
        <w:rPr>
          <w:rFonts w:hint="eastAsia" w:ascii="宋体" w:hAnsi="宋体" w:cs="宋体"/>
          <w:color w:val="auto"/>
          <w:highlight w:val="none"/>
        </w:rPr>
      </w:r>
      <w:r/>
    </w:p>
    <w:p>
      <w:pPr>
        <w:pStyle w:val="898"/>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友情提醒：采购人与中标、成交投标人应当在中标、成交通知书发出之日起30日内，按照</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确定的事项签订政府采购合同。</w:t>
      </w:r>
      <w:r/>
    </w:p>
    <w:p>
      <w:pPr>
        <w:pStyle w:val="1198"/>
        <w:ind w:left="0" w:right="0" w:firstLine="56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采购人应当自政府采购合同签订之日起2个</w:t>
      </w:r>
      <w:r>
        <w:rPr>
          <w:rFonts w:hint="eastAsia" w:ascii="宋体" w:hAnsi="宋体" w:eastAsia="宋体" w:cs="宋体"/>
          <w:bCs/>
          <w:color w:val="auto"/>
          <w:sz w:val="24"/>
          <w:szCs w:val="24"/>
          <w:highlight w:val="none"/>
        </w:rPr>
        <w:t xml:space="preserve">工作日内，将政府采购合同在省级以上人民政府财政部门指定的媒体上公告，但政府采购合同中涉及国家秘密、商业秘密的内容除外。</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98"/>
        <w:ind w:left="0" w:right="0" w:firstLine="482"/>
        <w:spacing w:line="360" w:lineRule="auto"/>
        <w:rPr>
          <w:rStyle w:val="972"/>
          <w:rFonts w:hint="eastAsia" w:ascii="宋体" w:hAnsi="宋体" w:cs="宋体"/>
          <w:b/>
          <w:color w:val="auto"/>
          <w:sz w:val="24"/>
          <w:szCs w:val="24"/>
          <w:highlight w:val="none"/>
        </w:rPr>
      </w:pPr>
      <w:r>
        <w:rPr>
          <w:rStyle w:val="972"/>
          <w:rFonts w:hint="eastAsia" w:ascii="宋体" w:hAnsi="宋体" w:cs="宋体"/>
          <w:b/>
          <w:color w:val="auto"/>
          <w:sz w:val="24"/>
          <w:szCs w:val="24"/>
          <w:highlight w:val="none"/>
        </w:rPr>
        <w:t xml:space="preserve">特别提醒：</w:t>
      </w:r>
      <w:r/>
    </w:p>
    <w:p>
      <w:pPr>
        <w:pStyle w:val="898"/>
        <w:ind w:firstLine="480"/>
        <w:spacing w:line="360" w:lineRule="auto"/>
        <w:rPr>
          <w:rFonts w:hint="eastAsia" w:ascii="宋体" w:hAnsi="宋体" w:cs="宋体"/>
          <w:b/>
          <w:bCs/>
          <w:color w:val="auto"/>
          <w:sz w:val="32"/>
          <w:szCs w:val="32"/>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color w:val="auto"/>
          <w:sz w:val="24"/>
          <w:highlight w:val="none"/>
        </w:rPr>
        <w:t xml:space="preserve">中标人领取中标通知书时须向代理机构提交纸质胶装投标文件一正四副，电子版投标文件二份（U盘）</w:t>
      </w:r>
      <w:r/>
    </w:p>
    <w:p>
      <w:pPr>
        <w:rPr>
          <w:color w:val="auto"/>
          <w:highlight w:val="none"/>
        </w:rPr>
      </w:pPr>
      <w:r>
        <w:rPr>
          <w:color w:val="auto"/>
          <w:highlight w:val="none"/>
        </w:rPr>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根据《中华人民共和国政府采购法》、《中华人民共和国民法典》及相关法律、行政法规规定，本着自愿、平等、公平、诚信原则，甲乙双方就合同采购事项，签署本合同。</w:t>
      </w:r>
      <w:r/>
    </w:p>
    <w:p>
      <w:pPr>
        <w:ind w:firstLine="482"/>
        <w:jc w:val="center"/>
        <w:spacing w:line="360" w:lineRule="auto"/>
        <w:rPr>
          <w:rFonts w:ascii="宋体" w:hAnsi="宋体" w:cs="宋体"/>
          <w:b/>
          <w:color w:val="auto"/>
          <w:szCs w:val="24"/>
          <w:highlight w:val="none"/>
        </w:rPr>
        <w:outlineLvl w:val="9"/>
      </w:pPr>
      <w:r>
        <w:rPr>
          <w:rFonts w:hint="eastAsia" w:ascii="宋体" w:hAnsi="宋体" w:cs="宋体"/>
          <w:b/>
          <w:color w:val="auto"/>
          <w:szCs w:val="24"/>
          <w:highlight w:val="none"/>
        </w:rPr>
        <w:t xml:space="preserve">第一条  合同文件</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下列与本次采购活动有关的文件及附件是本合同不可分割的组成部分，与本合同具有同等法律效力，这些文件包括但不限于：</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1.1招标文件（项目编号：</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u w:val="single"/>
          <w:lang w:eastAsia="zh-CN"/>
        </w:rPr>
        <w:t xml:space="preserve">JSZC-320300-JSKJ-G2026-0029</w:t>
      </w:r>
      <w:r>
        <w:rPr>
          <w:rFonts w:hint="eastAsia" w:ascii="宋体" w:hAnsi="宋体" w:cs="宋体"/>
          <w:color w:val="auto"/>
          <w:szCs w:val="24"/>
          <w:highlight w:val="none"/>
        </w:rPr>
        <w:t xml:space="preserve">）</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1.2投标文件</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1.3乙方在投标时的书面承诺</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1.4中标通知书</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1.5合同补充条款或说明</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1.6保密协议或条款</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1.7相关附件、图纸及电子版资料（如有）</w:t>
      </w:r>
      <w:r/>
    </w:p>
    <w:p>
      <w:pPr>
        <w:ind w:firstLine="482"/>
        <w:jc w:val="center"/>
        <w:spacing w:line="360" w:lineRule="auto"/>
        <w:rPr>
          <w:rFonts w:ascii="宋体" w:hAnsi="宋体" w:cs="宋体"/>
          <w:b/>
          <w:color w:val="auto"/>
          <w:szCs w:val="24"/>
          <w:highlight w:val="none"/>
        </w:rPr>
      </w:pPr>
      <w:r>
        <w:rPr>
          <w:rFonts w:hint="eastAsia" w:ascii="宋体" w:hAnsi="宋体" w:cs="宋体"/>
          <w:b/>
          <w:color w:val="auto"/>
          <w:szCs w:val="24"/>
          <w:highlight w:val="none"/>
        </w:rPr>
        <w:t xml:space="preserve">第二条  合同内容</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2.1服务名称：</w:t>
      </w:r>
      <w:r>
        <w:rPr>
          <w:rFonts w:hint="eastAsia" w:ascii="宋体" w:hAnsi="宋体" w:cs="宋体"/>
          <w:color w:val="auto"/>
          <w:szCs w:val="24"/>
          <w:highlight w:val="none"/>
          <w:lang w:val="en-US" w:eastAsia="zh-CN"/>
        </w:rPr>
        <w:t xml:space="preserve">交通信号灯社会化管养服务</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2.2服务主要内容：</w:t>
      </w:r>
      <w:r/>
    </w:p>
    <w:p>
      <w:pPr>
        <w:ind w:firstLine="420"/>
        <w:spacing w:line="336"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eastAsia="zh-CN"/>
        </w:rPr>
        <w:t xml:space="preserve">1.</w:t>
      </w:r>
      <w:r>
        <w:rPr>
          <w:rFonts w:hint="eastAsia" w:ascii="宋体" w:hAnsi="宋体" w:cs="宋体"/>
          <w:b w:val="0"/>
          <w:bCs w:val="0"/>
          <w:color w:val="auto"/>
          <w:sz w:val="21"/>
          <w:szCs w:val="21"/>
          <w:highlight w:val="none"/>
          <w:lang w:val="en-US" w:eastAsia="zh-CN"/>
        </w:rPr>
        <w:t xml:space="preserve">提供</w:t>
      </w:r>
      <w:r>
        <w:rPr>
          <w:rFonts w:hint="eastAsia" w:ascii="宋体" w:hAnsi="宋体" w:cs="宋体"/>
          <w:b w:val="0"/>
          <w:bCs w:val="0"/>
          <w:color w:val="auto"/>
          <w:sz w:val="21"/>
          <w:szCs w:val="21"/>
          <w:highlight w:val="none"/>
        </w:rPr>
        <w:t xml:space="preserve">对徐州市区（含贾汪区）交通信号灯系统</w:t>
      </w:r>
      <w:r>
        <w:rPr>
          <w:rFonts w:hint="eastAsia" w:ascii="宋体" w:hAnsi="宋体" w:cs="宋体"/>
          <w:b w:val="0"/>
          <w:bCs w:val="0"/>
          <w:color w:val="auto"/>
          <w:sz w:val="21"/>
          <w:szCs w:val="21"/>
          <w:highlight w:val="none"/>
          <w:lang w:val="en-US" w:eastAsia="zh-CN"/>
        </w:rPr>
        <w:t xml:space="preserve">全部设施设备</w:t>
      </w:r>
      <w:r>
        <w:rPr>
          <w:rFonts w:hint="eastAsia" w:ascii="宋体" w:hAnsi="宋体" w:cs="宋体"/>
          <w:b w:val="0"/>
          <w:bCs w:val="0"/>
          <w:color w:val="auto"/>
          <w:sz w:val="21"/>
          <w:szCs w:val="21"/>
          <w:highlight w:val="none"/>
        </w:rPr>
        <w:t xml:space="preserve">维护及</w:t>
      </w:r>
      <w:r>
        <w:rPr>
          <w:rFonts w:hint="eastAsia" w:ascii="宋体" w:hAnsi="宋体" w:cs="宋体"/>
          <w:b w:val="0"/>
          <w:bCs w:val="0"/>
          <w:color w:val="auto"/>
          <w:sz w:val="21"/>
          <w:szCs w:val="21"/>
          <w:highlight w:val="none"/>
          <w:lang w:val="en-US" w:eastAsia="zh-CN"/>
        </w:rPr>
        <w:t xml:space="preserve">信号调优</w:t>
      </w:r>
      <w:r>
        <w:rPr>
          <w:rFonts w:hint="eastAsia" w:ascii="宋体" w:hAnsi="宋体" w:cs="宋体"/>
          <w:b w:val="0"/>
          <w:bCs w:val="0"/>
          <w:color w:val="auto"/>
          <w:sz w:val="21"/>
          <w:szCs w:val="21"/>
          <w:highlight w:val="none"/>
        </w:rPr>
        <w:t xml:space="preserve">服</w:t>
      </w:r>
      <w:r>
        <w:rPr>
          <w:rFonts w:hint="eastAsia" w:ascii="宋体" w:hAnsi="宋体" w:cs="宋体"/>
          <w:b w:val="0"/>
          <w:bCs w:val="0"/>
          <w:color w:val="auto"/>
          <w:sz w:val="21"/>
          <w:szCs w:val="21"/>
          <w:highlight w:val="none"/>
          <w:lang w:val="en-US" w:eastAsia="zh-CN"/>
        </w:rPr>
        <w:t xml:space="preserve">务，本次项目采取包工包料的全包方式，由中标供应商承担全部项目需求，不再增加额外费用。本项目主要服务内容包括内场和外场两部分：</w:t>
      </w:r>
      <w:r/>
    </w:p>
    <w:p>
      <w:pPr>
        <w:ind w:firstLine="420"/>
        <w:spacing w:line="336"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外场维护内容主要包括：1）交通信号控制系统，含高架匝道信号灯；2）交通信息采集系统；3）可变车道诱导系统；4）供配电系统保障服务；5）新建路口信号规划、验收、接入与调试服务；6）包括上述系统的所有相关设备与土建设施。</w:t>
      </w:r>
      <w:r/>
    </w:p>
    <w:p>
      <w:pPr>
        <w:ind w:firstLine="420"/>
        <w:spacing w:line="336"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内场维护内容主要包括：1）机房内信号系统相关硬件设备的维护；2）信号系统相关软件的维护与改进服务；3）便民服务等平台的工单处理与回复；4）路口信号配时优化与拥堵治理服务；5）支队指挥中心应急值守服务和重点时段保障服务；6）徐州市信号系统改进服务等</w:t>
      </w:r>
      <w:r>
        <w:rPr>
          <w:rFonts w:hint="eastAsia" w:ascii="宋体" w:hAnsi="宋体" w:cs="宋体"/>
          <w:b w:val="0"/>
          <w:bCs w:val="0"/>
          <w:color w:val="auto"/>
          <w:sz w:val="21"/>
          <w:szCs w:val="21"/>
          <w:highlight w:val="none"/>
        </w:rPr>
        <w:t xml:space="preserve">工作。</w:t>
      </w:r>
      <w:r/>
    </w:p>
    <w:p>
      <w:pPr>
        <w:ind w:firstLine="482"/>
        <w:jc w:val="center"/>
        <w:spacing w:line="360" w:lineRule="auto"/>
        <w:rPr>
          <w:rFonts w:ascii="宋体" w:hAnsi="宋体" w:cs="宋体"/>
          <w:b/>
          <w:color w:val="auto"/>
          <w:szCs w:val="24"/>
          <w:highlight w:val="none"/>
        </w:rPr>
      </w:pPr>
      <w:r>
        <w:rPr>
          <w:rFonts w:hint="eastAsia" w:ascii="宋体" w:hAnsi="宋体" w:cs="宋体"/>
          <w:b/>
          <w:color w:val="auto"/>
          <w:szCs w:val="24"/>
          <w:highlight w:val="none"/>
        </w:rPr>
        <w:t xml:space="preserve">第三条  合同总金额</w:t>
      </w:r>
      <w:r/>
    </w:p>
    <w:p>
      <w:pPr>
        <w:ind w:firstLine="480"/>
        <w:jc w:val="both"/>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3.1本合同服务总金额：¥</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元。</w:t>
      </w:r>
      <w:r/>
    </w:p>
    <w:p>
      <w:pPr>
        <w:ind w:firstLine="480"/>
        <w:jc w:val="both"/>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大写：</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w:t>
      </w:r>
      <w:r/>
    </w:p>
    <w:p>
      <w:pPr>
        <w:ind w:firstLine="480"/>
        <w:jc w:val="both"/>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3.2本合同总价款包括服务期间必须的人工费、车辆费、日常易耗品、工具、调试费、培训费等所有相关费用。</w:t>
      </w:r>
      <w:r/>
    </w:p>
    <w:p>
      <w:pPr>
        <w:ind w:firstLine="480"/>
        <w:jc w:val="both"/>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3.3本合同价款不因合同期内工作量的增加而发生变化，因本合同项目而增加、变更的相关成本、费用由乙方承担。</w:t>
      </w:r>
      <w:r/>
    </w:p>
    <w:p>
      <w:pPr>
        <w:jc w:val="center"/>
        <w:spacing w:line="360" w:lineRule="auto"/>
        <w:rPr>
          <w:rFonts w:ascii="宋体" w:hAnsi="宋体" w:cs="宋体"/>
          <w:b/>
          <w:color w:val="auto"/>
          <w:szCs w:val="24"/>
          <w:highlight w:val="none"/>
        </w:rPr>
      </w:pPr>
      <w:r>
        <w:rPr>
          <w:rFonts w:hint="eastAsia" w:ascii="宋体" w:hAnsi="宋体" w:cs="宋体"/>
          <w:b/>
          <w:bCs/>
          <w:color w:val="auto"/>
          <w:szCs w:val="24"/>
          <w:highlight w:val="none"/>
        </w:rPr>
        <w:t xml:space="preserve">第</w:t>
      </w:r>
      <w:r>
        <w:rPr>
          <w:rFonts w:hint="eastAsia" w:ascii="宋体" w:hAnsi="宋体" w:cs="宋体"/>
          <w:b/>
          <w:color w:val="auto"/>
          <w:szCs w:val="24"/>
          <w:highlight w:val="none"/>
        </w:rPr>
        <w:t xml:space="preserve">四条　甲方的权利和义务</w:t>
      </w:r>
      <w:r/>
    </w:p>
    <w:p>
      <w:pPr>
        <w:ind w:firstLine="480"/>
        <w:jc w:val="both"/>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4.1服务期内，甲方可全天24小时随时向乙方发出指令，要求乙方在规定的服务区域内提供信号灯设备维护服务。</w:t>
      </w:r>
      <w:r/>
    </w:p>
    <w:p>
      <w:pPr>
        <w:ind w:firstLine="480"/>
        <w:jc w:val="both"/>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4.2遇有重大赛事、重大活动、突发事件及其它工作需求，甲方有权统筹安排，要求乙方紧急配合处理信号灯设备。</w:t>
      </w:r>
      <w:r/>
    </w:p>
    <w:p>
      <w:pPr>
        <w:ind w:firstLine="480"/>
        <w:jc w:val="both"/>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4.3乙方承担从事合同约定服务内容活动所有法律后果，承担因维修不及时、灯具不规范、配时不合理等原因造成的交通事故法律责任。</w:t>
      </w:r>
      <w:r/>
    </w:p>
    <w:p>
      <w:pPr>
        <w:ind w:firstLine="480"/>
        <w:jc w:val="both"/>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4.4按时办理财政集中支付手续。</w:t>
      </w:r>
      <w:r/>
    </w:p>
    <w:p>
      <w:pPr>
        <w:ind w:firstLine="480"/>
        <w:jc w:val="both"/>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4.5甲方有权按照《考评办法》对乙方在合同服务期内违反合同规定的各种情况进行登记，建立诚信档案，制作季度考评表，按考评表分数比例扣减当季度服务费用。考评表评分按百分制，每季度为一个计分周期，当得分低于60分的，视为不合格，甲方不支付该季度服务费用，且可单方面解除合同。</w:t>
      </w:r>
      <w:r/>
    </w:p>
    <w:p>
      <w:pPr>
        <w:ind w:firstLine="480"/>
        <w:jc w:val="both"/>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4.6若上级政府部门对信号灯设备维护有其他规定的，从其规定。</w:t>
      </w:r>
      <w:r/>
    </w:p>
    <w:p>
      <w:pPr>
        <w:jc w:val="center"/>
        <w:spacing w:line="360" w:lineRule="auto"/>
        <w:rPr>
          <w:rFonts w:ascii="宋体" w:hAnsi="宋体" w:cs="宋体"/>
          <w:b/>
          <w:color w:val="auto"/>
          <w:szCs w:val="24"/>
          <w:highlight w:val="none"/>
        </w:rPr>
      </w:pPr>
      <w:r>
        <w:rPr>
          <w:rFonts w:hint="eastAsia" w:ascii="宋体" w:hAnsi="宋体" w:cs="宋体"/>
          <w:b/>
          <w:color w:val="auto"/>
          <w:szCs w:val="24"/>
          <w:highlight w:val="none"/>
        </w:rPr>
        <w:t xml:space="preserve">第五条　乙方的权利和义务</w:t>
      </w:r>
      <w:r/>
    </w:p>
    <w:p>
      <w:pPr>
        <w:ind w:firstLine="480"/>
        <w:jc w:val="both"/>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5.1维护人员、车辆方案：详见招标文件“采购需求”和乙方投标文件。</w:t>
      </w:r>
      <w:r/>
    </w:p>
    <w:p>
      <w:pPr>
        <w:ind w:firstLine="480"/>
        <w:jc w:val="both"/>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5.2系统维护方案：详见招标文件“采购需求”和乙方投标文件。</w:t>
      </w:r>
      <w:r/>
    </w:p>
    <w:p>
      <w:pPr>
        <w:ind w:firstLine="480"/>
        <w:jc w:val="both"/>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5.3费用支付标准要求: 详见招标文件“采购需求”和乙方投标文件中承诺文件。</w:t>
      </w:r>
      <w:r/>
    </w:p>
    <w:p>
      <w:pPr>
        <w:ind w:firstLine="480"/>
        <w:jc w:val="both"/>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5.4设立服务办公场所（非住宅小区类）的要求：详见招标文件“采购需求”和乙方投标文件中承诺文件。</w:t>
      </w:r>
      <w:r/>
    </w:p>
    <w:p>
      <w:pPr>
        <w:ind w:firstLine="480"/>
        <w:jc w:val="both"/>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5.5维护过程中造成人员伤亡或财物损失，由乙方承担。</w:t>
      </w:r>
      <w:r/>
    </w:p>
    <w:p>
      <w:pPr>
        <w:ind w:firstLine="480"/>
        <w:jc w:val="both"/>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5.6维护过程中发生交通事故，由乙方承担。</w:t>
      </w:r>
      <w:r/>
    </w:p>
    <w:p>
      <w:pPr>
        <w:ind w:firstLine="480"/>
        <w:jc w:val="both"/>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5.7服从甲方临时安排信号灯设备维护服务。</w:t>
      </w:r>
      <w:r/>
    </w:p>
    <w:p>
      <w:pPr>
        <w:ind w:firstLine="480"/>
        <w:jc w:val="both"/>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5.8签订合同前，乙方人员 、设备、维护配件、车辆按投标文件准备到位，经甲方与监理单位检查确认后签订合同，合同签订之日即进入维护工作状态。</w:t>
      </w:r>
      <w:r/>
    </w:p>
    <w:p>
      <w:pPr>
        <w:ind w:firstLine="480"/>
        <w:jc w:val="both"/>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5.9服务过程中维保人员的安全由中标人负责，由此产生的安全风险由中标人承担。</w:t>
      </w:r>
      <w:r/>
    </w:p>
    <w:p>
      <w:pPr>
        <w:jc w:val="center"/>
        <w:spacing w:line="360" w:lineRule="auto"/>
        <w:rPr>
          <w:rFonts w:ascii="宋体" w:hAnsi="宋体" w:cs="宋体"/>
          <w:b/>
          <w:color w:val="auto"/>
          <w:szCs w:val="24"/>
          <w:highlight w:val="none"/>
        </w:rPr>
      </w:pPr>
      <w:r>
        <w:rPr>
          <w:rFonts w:hint="eastAsia" w:ascii="宋体" w:hAnsi="宋体" w:cs="宋体"/>
          <w:b/>
          <w:color w:val="auto"/>
          <w:szCs w:val="24"/>
          <w:highlight w:val="none"/>
        </w:rPr>
        <w:t xml:space="preserve">第六条 保密</w:t>
      </w:r>
      <w:r/>
    </w:p>
    <w:p>
      <w:pPr>
        <w:ind w:firstLine="480"/>
        <w:jc w:val="both"/>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6.1在本合同履行期间及履行完毕后的任何时候，任何一方均应对因履行本合同从对方获取或知悉的保密信息承担保密责任，未经对方书面同意不得向第三方透露，否则应赔偿由此给对方造成的全部损失。</w:t>
      </w:r>
      <w:r/>
    </w:p>
    <w:p>
      <w:pPr>
        <w:ind w:firstLine="480"/>
        <w:jc w:val="both"/>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6.2保密信息指任何一方因履行本合同所知悉的任何以口头、书面、图表或电子形式存在的对方信息，包括并不限于：</w:t>
      </w:r>
      <w:r/>
    </w:p>
    <w:p>
      <w:pPr>
        <w:ind w:firstLine="480"/>
        <w:jc w:val="both"/>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6.2.1任何涉及对方过去、现在或将来的商业计划、规章制度、操作规程、处理手段、财务信息；</w:t>
      </w:r>
      <w:r/>
    </w:p>
    <w:p>
      <w:pPr>
        <w:ind w:firstLine="480"/>
        <w:jc w:val="both"/>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6.2.2任何对方的技术措施、技术方案、软件应用及开发，硬件设备的品种、质量、数量、品牌等；</w:t>
      </w:r>
      <w:r/>
    </w:p>
    <w:p>
      <w:pPr>
        <w:ind w:firstLine="480"/>
        <w:jc w:val="both"/>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6.2.3任何对方的技术秘密或专有知识、文件 、报告、数据、客户软件、流程图、数据库、发明、知识、贸易秘密。</w:t>
      </w:r>
      <w:r/>
    </w:p>
    <w:p>
      <w:pPr>
        <w:ind w:firstLine="480"/>
        <w:jc w:val="both"/>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6.3乙方应根据甲方的要求签署相应的保密协议，保密协议与本条款存在不一致的，以保密协议为准。</w:t>
      </w:r>
      <w:r/>
    </w:p>
    <w:p>
      <w:pPr>
        <w:jc w:val="center"/>
        <w:spacing w:line="360" w:lineRule="auto"/>
        <w:rPr>
          <w:rFonts w:ascii="宋体" w:hAnsi="宋体" w:cs="宋体"/>
          <w:b/>
          <w:color w:val="auto"/>
          <w:szCs w:val="24"/>
          <w:highlight w:val="none"/>
        </w:rPr>
      </w:pPr>
      <w:r>
        <w:rPr>
          <w:rFonts w:hint="eastAsia" w:ascii="宋体" w:hAnsi="宋体" w:cs="宋体"/>
          <w:b/>
          <w:color w:val="auto"/>
          <w:szCs w:val="24"/>
          <w:highlight w:val="none"/>
        </w:rPr>
        <w:t xml:space="preserve">第七条  期限、验收</w:t>
      </w:r>
      <w:r/>
    </w:p>
    <w:p>
      <w:pPr>
        <w:ind w:firstLine="480"/>
        <w:jc w:val="both"/>
        <w:spacing w:line="360" w:lineRule="auto"/>
        <w:rPr>
          <w:rFonts w:ascii="宋体" w:hAnsi="宋体" w:cs="宋体"/>
          <w:color w:val="auto"/>
          <w:szCs w:val="21"/>
          <w:highlight w:val="none"/>
        </w:rPr>
      </w:pPr>
      <w:r>
        <w:rPr>
          <w:rFonts w:hint="eastAsia" w:ascii="宋体" w:hAnsi="宋体" w:cs="宋体"/>
          <w:color w:val="auto"/>
          <w:szCs w:val="24"/>
          <w:highlight w:val="none"/>
        </w:rPr>
        <w:t xml:space="preserve">7.1服务期限： </w:t>
      </w:r>
      <w:r>
        <w:rPr>
          <w:rFonts w:hint="eastAsia" w:ascii="宋体" w:hAnsi="宋体" w:cs="宋体"/>
          <w:color w:val="auto"/>
          <w:sz w:val="21"/>
          <w:szCs w:val="21"/>
          <w:highlight w:val="none"/>
          <w:lang w:eastAsia="zh-CN"/>
        </w:rPr>
        <w:t xml:space="preserve">2026年10月24日至2027年3月31日</w:t>
      </w:r>
      <w:r>
        <w:rPr>
          <w:rFonts w:hint="eastAsia" w:ascii="宋体" w:hAnsi="宋体" w:cs="宋体"/>
          <w:color w:val="auto"/>
          <w:szCs w:val="21"/>
          <w:highlight w:val="none"/>
        </w:rPr>
        <w:t xml:space="preserve">。</w:t>
      </w:r>
      <w:r/>
    </w:p>
    <w:p>
      <w:pPr>
        <w:ind w:firstLine="960"/>
        <w:jc w:val="both"/>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服务地点： </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w:t>
      </w:r>
      <w:r/>
    </w:p>
    <w:p>
      <w:pPr>
        <w:ind w:firstLine="960"/>
        <w:jc w:val="both"/>
        <w:spacing w:line="360" w:lineRule="auto"/>
        <w:rPr>
          <w:rFonts w:ascii="宋体" w:hAnsi="宋体" w:cs="宋体"/>
          <w:color w:val="auto"/>
          <w:szCs w:val="24"/>
          <w:highlight w:val="none"/>
          <w:u w:val="single"/>
        </w:rPr>
      </w:pPr>
      <w:r>
        <w:rPr>
          <w:rFonts w:hint="eastAsia" w:ascii="宋体" w:hAnsi="宋体" w:cs="宋体"/>
          <w:color w:val="auto"/>
          <w:szCs w:val="24"/>
          <w:highlight w:val="none"/>
        </w:rPr>
        <w:t xml:space="preserve">验收时间： </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w:t>
      </w:r>
      <w:r/>
    </w:p>
    <w:p>
      <w:pPr>
        <w:ind w:firstLine="960"/>
        <w:jc w:val="both"/>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验收地点： </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w:t>
      </w:r>
      <w:r/>
    </w:p>
    <w:p>
      <w:pPr>
        <w:ind w:firstLine="960"/>
        <w:jc w:val="both"/>
        <w:spacing w:line="360" w:lineRule="auto"/>
        <w:rPr>
          <w:rFonts w:ascii="宋体" w:hAnsi="宋体" w:cs="宋体"/>
          <w:color w:val="auto"/>
          <w:szCs w:val="24"/>
          <w:highlight w:val="none"/>
          <w:u w:val="single"/>
        </w:rPr>
      </w:pPr>
      <w:r>
        <w:rPr>
          <w:rFonts w:hint="eastAsia" w:ascii="宋体" w:hAnsi="宋体" w:cs="宋体"/>
          <w:color w:val="auto"/>
          <w:szCs w:val="24"/>
          <w:highlight w:val="none"/>
        </w:rPr>
        <w:t xml:space="preserve">验收标准：</w:t>
      </w:r>
      <w:r>
        <w:rPr>
          <w:rFonts w:hint="eastAsia" w:ascii="宋体" w:hAnsi="宋体" w:cs="宋体"/>
          <w:color w:val="auto"/>
          <w:szCs w:val="24"/>
          <w:highlight w:val="none"/>
          <w:u w:val="single"/>
        </w:rPr>
        <w:t xml:space="preserve">遵照招标文件采购需求、国家及江苏省相关法律法规、标准规范、合同内容条款执行。</w:t>
      </w:r>
      <w:r/>
    </w:p>
    <w:p>
      <w:pPr>
        <w:ind w:firstLine="480"/>
        <w:jc w:val="both"/>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7.2 乙方应对提供的服务成果作出全面自查和整理，并列出清单，清单应随提供的服务成果交给甲方。</w:t>
      </w:r>
      <w:r/>
    </w:p>
    <w:p>
      <w:pPr>
        <w:ind w:firstLine="480"/>
        <w:jc w:val="both"/>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7.3验收时，甲乙双方必须同时在场，乙方所提供的服务未达到本合同内容条款标准的，甲方有权拒绝验收。乙方应及时按本合同内容规定和甲方要求免费进行整改，直至验收合格，方视为乙方按本合同规定完成服务。验收合格的，由双方共同签订《验收报告》。在经过两次限期整改后，服务仍达不到合同文件规定内容的，甲方有权拒收，并可以解除合同拒付费用；由此引起损失及赔偿责任由乙方承担。</w:t>
      </w:r>
      <w:r/>
    </w:p>
    <w:p>
      <w:pPr>
        <w:ind w:firstLine="480"/>
        <w:jc w:val="both"/>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7.4甲方可以视项目规模或复杂情况聘请专业人员参与验收，委托费用由乙方承担。</w:t>
      </w:r>
      <w:r/>
    </w:p>
    <w:p>
      <w:pPr>
        <w:ind w:firstLine="480"/>
        <w:jc w:val="both"/>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7.5如项目实施情况需要分阶段验收，则根据实际情况分阶段出具《验收报告》。</w:t>
      </w:r>
      <w:r/>
    </w:p>
    <w:p>
      <w:pPr>
        <w:jc w:val="center"/>
        <w:spacing w:line="360" w:lineRule="auto"/>
        <w:rPr>
          <w:rFonts w:ascii="宋体" w:hAnsi="宋体" w:cs="宋体"/>
          <w:b/>
          <w:color w:val="auto"/>
          <w:szCs w:val="24"/>
          <w:highlight w:val="none"/>
        </w:rPr>
      </w:pPr>
      <w:r>
        <w:rPr>
          <w:rFonts w:hint="eastAsia" w:ascii="宋体" w:hAnsi="宋体" w:cs="宋体"/>
          <w:b/>
          <w:color w:val="auto"/>
          <w:szCs w:val="24"/>
          <w:highlight w:val="none"/>
        </w:rPr>
        <w:t xml:space="preserve">第八条  付款方式</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8.1本合同总金额为人民币大写金额</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元（小写金额：</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元），在合同总金额范围内根据乙方中标单价结合实际工程量按时结算，具体单价如下：</w:t>
      </w:r>
      <w:r/>
    </w:p>
    <w:tbl>
      <w:tblPr>
        <w:tblStyle w:val="851"/>
        <w:tblW w:w="492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95"/>
        <w:gridCol w:w="1134"/>
        <w:gridCol w:w="1134"/>
        <w:gridCol w:w="830"/>
        <w:gridCol w:w="3537"/>
        <w:gridCol w:w="1061"/>
        <w:gridCol w:w="1054"/>
      </w:tblGrid>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jc w:val="center"/>
              <w:keepLines w:val="0"/>
              <w:keepNext w:val="0"/>
              <w:spacing w:line="336"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center"/>
              <w:keepLines w:val="0"/>
              <w:keepNext w:val="0"/>
              <w:spacing w:line="336"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服务要求</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cs="宋体"/>
                <w:b/>
                <w:bCs/>
                <w:i w:val="0"/>
                <w:iCs w:val="0"/>
                <w:color w:val="auto"/>
                <w:sz w:val="21"/>
                <w:szCs w:val="21"/>
                <w:highlight w:val="none"/>
                <w:u w:val="none"/>
                <w:lang w:val="en-US" w:eastAsia="zh-CN" w:bidi="ar"/>
              </w:rPr>
              <w:t xml:space="preserve">中标</w:t>
            </w:r>
            <w:r>
              <w:rPr>
                <w:rFonts w:hint="eastAsia" w:ascii="宋体" w:hAnsi="宋体" w:eastAsia="宋体" w:cs="宋体"/>
                <w:b/>
                <w:bCs/>
                <w:i w:val="0"/>
                <w:iCs w:val="0"/>
                <w:color w:val="auto"/>
                <w:sz w:val="21"/>
                <w:szCs w:val="21"/>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价格权重</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restart"/>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服务人员及设备</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服务人员-项目高级管理人员</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按采购需求核算平均每人每月服务费用。</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0.06</w:t>
            </w:r>
            <w:r>
              <w:rPr>
                <w:rFonts w:hint="eastAsia" w:ascii="宋体" w:hAnsi="宋体" w:cs="宋体"/>
                <w:i w:val="0"/>
                <w:iCs w:val="0"/>
                <w:color w:val="auto"/>
                <w:sz w:val="22"/>
                <w:szCs w:val="22"/>
                <w:highlight w:val="none"/>
                <w:u w:val="none"/>
                <w:lang w:val="en-US" w:eastAsia="zh-CN" w:bidi="ar"/>
              </w:rPr>
              <w:t xml:space="preserve">05</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服务人员-内场工程师</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按采购需求核算平均每人每月服务费用。</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0.138</w:t>
            </w:r>
            <w:r>
              <w:rPr>
                <w:rFonts w:hint="eastAsia" w:ascii="宋体" w:hAnsi="宋体" w:cs="宋体"/>
                <w:i w:val="0"/>
                <w:iCs w:val="0"/>
                <w:color w:val="auto"/>
                <w:sz w:val="22"/>
                <w:szCs w:val="22"/>
                <w:highlight w:val="none"/>
                <w:u w:val="none"/>
                <w:lang w:val="en-US" w:eastAsia="zh-CN" w:bidi="ar"/>
              </w:rPr>
              <w:t xml:space="preserve">0</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服务人员-外场工程师</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按采购需求核算平均每人每月服务费用。</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0.25</w:t>
            </w:r>
            <w:r>
              <w:rPr>
                <w:rFonts w:hint="eastAsia" w:ascii="宋体" w:hAnsi="宋体" w:cs="宋体"/>
                <w:i w:val="0"/>
                <w:iCs w:val="0"/>
                <w:color w:val="auto"/>
                <w:sz w:val="22"/>
                <w:szCs w:val="22"/>
                <w:highlight w:val="none"/>
                <w:u w:val="none"/>
                <w:lang w:val="en-US" w:eastAsia="zh-CN" w:bidi="ar"/>
              </w:rPr>
              <w:t xml:space="preserve">65</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维修升降车</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台/月</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悬臂6米以上(含燃油费用、保养费用)。</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w:t>
            </w:r>
            <w:r>
              <w:rPr>
                <w:rFonts w:hint="eastAsia" w:ascii="宋体" w:hAnsi="宋体" w:cs="宋体"/>
                <w:i w:val="0"/>
                <w:iCs w:val="0"/>
                <w:color w:val="auto"/>
                <w:sz w:val="22"/>
                <w:szCs w:val="22"/>
                <w:highlight w:val="none"/>
                <w:u w:val="none"/>
                <w:lang w:val="en-US" w:eastAsia="zh-CN" w:bidi="ar"/>
              </w:rPr>
              <w:t xml:space="preserve">293</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巡视车辆</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台/月</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小型巡视车辆，A0级以上，用于前端维护及方案优化工作(含燃油费用、保养费用)。每周全覆盖巡检1次。</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0.05</w:t>
            </w:r>
            <w:r>
              <w:rPr>
                <w:rFonts w:hint="eastAsia" w:ascii="宋体" w:hAnsi="宋体" w:cs="宋体"/>
                <w:i w:val="0"/>
                <w:iCs w:val="0"/>
                <w:color w:val="auto"/>
                <w:sz w:val="22"/>
                <w:szCs w:val="22"/>
                <w:highlight w:val="none"/>
                <w:u w:val="none"/>
                <w:lang w:val="en-US" w:eastAsia="zh-CN" w:bidi="ar"/>
              </w:rPr>
              <w:t xml:space="preserve">76</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太阳能临时信号灯</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配备四方向左转加圆头临时信号灯，需具备太阳能发电板和蓄电池，蓄电池单独供电时长不低于12小时。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0.01</w:t>
            </w:r>
            <w:r>
              <w:rPr>
                <w:rFonts w:hint="eastAsia" w:ascii="宋体" w:hAnsi="宋体" w:cs="宋体"/>
                <w:i w:val="0"/>
                <w:iCs w:val="0"/>
                <w:color w:val="auto"/>
                <w:sz w:val="22"/>
                <w:szCs w:val="22"/>
                <w:highlight w:val="none"/>
                <w:u w:val="none"/>
                <w:lang w:val="en-US" w:eastAsia="zh-CN" w:bidi="ar"/>
              </w:rPr>
              <w:t xml:space="preserve">19</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汽油发电机(台班）</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台班（8小时）</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功率3KW（含燃油费用、保养费用）。</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0.01</w:t>
            </w:r>
            <w:r>
              <w:rPr>
                <w:rFonts w:hint="eastAsia" w:ascii="宋体" w:hAnsi="宋体" w:cs="宋体"/>
                <w:i w:val="0"/>
                <w:iCs w:val="0"/>
                <w:color w:val="auto"/>
                <w:sz w:val="22"/>
                <w:szCs w:val="22"/>
                <w:highlight w:val="none"/>
                <w:u w:val="none"/>
                <w:lang w:val="en-US" w:eastAsia="zh-CN" w:bidi="ar"/>
              </w:rPr>
              <w:t xml:space="preserve">58</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仓库租赁费用</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套/月</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default" w:ascii="宋体" w:hAnsi="宋体" w:cs="宋体"/>
                <w:color w:val="auto"/>
                <w:sz w:val="20"/>
                <w:szCs w:val="20"/>
                <w:highlight w:val="none"/>
                <w:u w:val="none"/>
                <w:lang w:bidi="ar"/>
              </w:rPr>
              <w:t xml:space="preserve">主城区仓库应为云龙区（包含新城区）、鼓楼区、泉山区（包含九里区）中的任一区域，两处仓库面积均应不小于400平方米</w:t>
            </w: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w:t>
            </w:r>
            <w:r>
              <w:rPr>
                <w:rFonts w:hint="eastAsia" w:ascii="宋体" w:hAnsi="宋体" w:cs="宋体"/>
                <w:i w:val="0"/>
                <w:iCs w:val="0"/>
                <w:color w:val="auto"/>
                <w:sz w:val="22"/>
                <w:szCs w:val="22"/>
                <w:highlight w:val="none"/>
                <w:u w:val="none"/>
                <w:lang w:val="en-US" w:eastAsia="zh-CN" w:bidi="ar"/>
              </w:rPr>
              <w:t xml:space="preserve">198</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restart"/>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信号控制机</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万兆光模块</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SFP10G多模光模块</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w:t>
            </w:r>
            <w:r>
              <w:rPr>
                <w:rFonts w:hint="eastAsia" w:ascii="宋体" w:hAnsi="宋体" w:cs="宋体"/>
                <w:i w:val="0"/>
                <w:iCs w:val="0"/>
                <w:color w:val="auto"/>
                <w:sz w:val="22"/>
                <w:szCs w:val="22"/>
                <w:highlight w:val="none"/>
                <w:u w:val="none"/>
                <w:lang w:val="en-US" w:eastAsia="zh-CN" w:bidi="ar"/>
              </w:rPr>
              <w:t xml:space="preserve">03</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智能信号机高配版</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GB联网信号机主机，符合《道路交通信号控制机》（GB25280-2016）无缝衔接本地现用平台；</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0.032</w:t>
            </w:r>
            <w:r>
              <w:rPr>
                <w:rFonts w:hint="eastAsia" w:ascii="宋体" w:hAnsi="宋体" w:cs="宋体"/>
                <w:i w:val="0"/>
                <w:iCs w:val="0"/>
                <w:color w:val="auto"/>
                <w:sz w:val="22"/>
                <w:szCs w:val="22"/>
                <w:highlight w:val="none"/>
                <w:u w:val="none"/>
                <w:lang w:val="en-US" w:eastAsia="zh-CN" w:bidi="ar"/>
              </w:rPr>
              <w:t xml:space="preserve">1</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智能信号机</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GB联网信号机主机，符合《道路交通信号控制机》（GB25280-2016）无缝衔接本地现用平台；</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0.11</w:t>
            </w:r>
            <w:r>
              <w:rPr>
                <w:rFonts w:hint="eastAsia" w:ascii="宋体" w:hAnsi="宋体" w:cs="宋体"/>
                <w:i w:val="0"/>
                <w:iCs w:val="0"/>
                <w:color w:val="auto"/>
                <w:sz w:val="22"/>
                <w:szCs w:val="22"/>
                <w:highlight w:val="none"/>
                <w:u w:val="none"/>
                <w:lang w:val="en-US" w:eastAsia="zh-CN" w:bidi="ar"/>
              </w:rPr>
              <w:t xml:space="preserve">03</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信号机电源模块</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0.011</w:t>
            </w:r>
            <w:r>
              <w:rPr>
                <w:rFonts w:hint="eastAsia" w:ascii="宋体" w:hAnsi="宋体" w:cs="宋体"/>
                <w:i w:val="0"/>
                <w:iCs w:val="0"/>
                <w:color w:val="auto"/>
                <w:sz w:val="22"/>
                <w:szCs w:val="22"/>
                <w:highlight w:val="none"/>
                <w:u w:val="none"/>
                <w:lang w:val="en-US" w:eastAsia="zh-CN" w:bidi="ar"/>
              </w:rPr>
              <w:t xml:space="preserve">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信号机主控模块</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0.029</w:t>
            </w:r>
            <w:r>
              <w:rPr>
                <w:rFonts w:hint="eastAsia" w:ascii="宋体" w:hAnsi="宋体" w:cs="宋体"/>
                <w:i w:val="0"/>
                <w:iCs w:val="0"/>
                <w:color w:val="auto"/>
                <w:sz w:val="22"/>
                <w:szCs w:val="22"/>
                <w:highlight w:val="none"/>
                <w:u w:val="none"/>
                <w:lang w:val="en-US" w:eastAsia="zh-CN" w:bidi="ar"/>
              </w:rPr>
              <w:t xml:space="preserve">2</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信号机检测模块</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w:t>
            </w:r>
            <w:r>
              <w:rPr>
                <w:rFonts w:hint="eastAsia" w:ascii="宋体" w:hAnsi="宋体" w:cs="宋体"/>
                <w:i w:val="0"/>
                <w:iCs w:val="0"/>
                <w:color w:val="auto"/>
                <w:sz w:val="22"/>
                <w:szCs w:val="22"/>
                <w:highlight w:val="none"/>
                <w:u w:val="none"/>
                <w:lang w:val="en-US" w:eastAsia="zh-CN" w:bidi="ar"/>
              </w:rPr>
              <w:t xml:space="preserve">79</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信号机输出模块</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w:t>
            </w:r>
            <w:r>
              <w:rPr>
                <w:rFonts w:hint="eastAsia" w:ascii="宋体" w:hAnsi="宋体" w:cs="宋体"/>
                <w:i w:val="0"/>
                <w:iCs w:val="0"/>
                <w:color w:val="auto"/>
                <w:sz w:val="22"/>
                <w:szCs w:val="22"/>
                <w:highlight w:val="none"/>
                <w:u w:val="none"/>
                <w:lang w:val="en-US" w:eastAsia="zh-CN" w:bidi="ar"/>
              </w:rPr>
              <w:t xml:space="preserve">198</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信号机侧门控制按钮</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信号机特勤接收终端</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w:t>
            </w:r>
            <w:r>
              <w:rPr>
                <w:rFonts w:hint="eastAsia" w:ascii="宋体" w:hAnsi="宋体" w:cs="宋体"/>
                <w:i w:val="0"/>
                <w:iCs w:val="0"/>
                <w:color w:val="auto"/>
                <w:sz w:val="22"/>
                <w:szCs w:val="22"/>
                <w:highlight w:val="none"/>
                <w:u w:val="none"/>
                <w:lang w:val="en-US" w:eastAsia="zh-CN" w:bidi="ar"/>
              </w:rPr>
              <w:t xml:space="preserve">06</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信号机特勤遥控终端</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                                                     遥控器：外廓尺寸120×55×40mm，天线长度110mm，手动控制功能、实现手动控制路口信号机至全红、黄闪、灭灯、制定相位放行等状态，7.4V电池供电、无线通信方式LORA、通信距离300米、能从手动控制状态及时切换到自动运行状态。</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w:t>
            </w:r>
            <w:r>
              <w:rPr>
                <w:rFonts w:hint="eastAsia" w:ascii="宋体" w:hAnsi="宋体" w:cs="宋体"/>
                <w:i w:val="0"/>
                <w:iCs w:val="0"/>
                <w:color w:val="auto"/>
                <w:sz w:val="22"/>
                <w:szCs w:val="22"/>
                <w:highlight w:val="none"/>
                <w:u w:val="none"/>
                <w:lang w:val="en-US" w:eastAsia="zh-CN" w:bidi="ar"/>
              </w:rPr>
              <w:t xml:space="preserve">06</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信号机校时定位模块</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485转换模块</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信号机触摸控制面板</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0.001</w:t>
            </w:r>
            <w:r>
              <w:rPr>
                <w:rFonts w:hint="eastAsia" w:ascii="宋体" w:hAnsi="宋体" w:cs="宋体"/>
                <w:i w:val="0"/>
                <w:iCs w:val="0"/>
                <w:color w:val="auto"/>
                <w:sz w:val="22"/>
                <w:szCs w:val="22"/>
                <w:highlight w:val="none"/>
                <w:u w:val="none"/>
                <w:lang w:val="en-US" w:eastAsia="zh-CN" w:bidi="ar"/>
              </w:rPr>
              <w:t xml:space="preserve">0</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信号机机柜</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 尺寸1220×640×480、材质201/304不锈钢。</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0.001</w:t>
            </w:r>
            <w:r>
              <w:rPr>
                <w:rFonts w:hint="eastAsia" w:ascii="宋体" w:hAnsi="宋体" w:cs="宋体"/>
                <w:i w:val="0"/>
                <w:iCs w:val="0"/>
                <w:color w:val="auto"/>
                <w:sz w:val="22"/>
                <w:szCs w:val="22"/>
                <w:highlight w:val="none"/>
                <w:u w:val="none"/>
                <w:lang w:val="en-US" w:eastAsia="zh-CN" w:bidi="ar"/>
              </w:rPr>
              <w:t xml:space="preserve">0</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信号机机柜普通门锁</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信号机机柜智能锁</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.0004</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信号机机柜智能锁钥匙</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适配原厂智能锁；</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w:t>
            </w:r>
            <w:r>
              <w:rPr>
                <w:rFonts w:hint="eastAsia" w:ascii="宋体" w:hAnsi="宋体" w:cs="宋体"/>
                <w:i w:val="0"/>
                <w:iCs w:val="0"/>
                <w:color w:val="auto"/>
                <w:sz w:val="22"/>
                <w:szCs w:val="22"/>
                <w:highlight w:val="none"/>
                <w:u w:val="none"/>
                <w:lang w:val="en-US" w:eastAsia="zh-CN" w:bidi="ar"/>
              </w:rPr>
              <w:t xml:space="preserve">06</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接线端子</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电源插线板</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220V，功率≥3000W</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电源浪涌保护器</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网线防雷器</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黄闪控制器</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.0003</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空开</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restart"/>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显示设备</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四灯盘机动车灯具（含辅材）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w:t>
            </w:r>
            <w:r>
              <w:rPr>
                <w:rFonts w:hint="eastAsia" w:ascii="宋体" w:hAnsi="宋体" w:cs="宋体"/>
                <w:i w:val="0"/>
                <w:iCs w:val="0"/>
                <w:color w:val="auto"/>
                <w:sz w:val="22"/>
                <w:szCs w:val="22"/>
                <w:highlight w:val="none"/>
                <w:u w:val="none"/>
                <w:lang w:val="en-US" w:eastAsia="zh-CN" w:bidi="ar"/>
              </w:rPr>
              <w:t xml:space="preserve">099</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四灯盘箭头灯具（含辅材）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w:t>
            </w:r>
            <w:r>
              <w:rPr>
                <w:rFonts w:hint="eastAsia" w:ascii="宋体" w:hAnsi="宋体" w:cs="宋体"/>
                <w:i w:val="0"/>
                <w:iCs w:val="0"/>
                <w:color w:val="auto"/>
                <w:sz w:val="22"/>
                <w:szCs w:val="22"/>
                <w:highlight w:val="none"/>
                <w:u w:val="none"/>
                <w:lang w:val="en-US" w:eastAsia="zh-CN" w:bidi="ar"/>
              </w:rPr>
              <w:t xml:space="preserve">099</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四灯盘非机动车灯具（含辅材）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w:t>
            </w:r>
            <w:r>
              <w:rPr>
                <w:rFonts w:hint="eastAsia" w:ascii="宋体" w:hAnsi="宋体" w:cs="宋体"/>
                <w:i w:val="0"/>
                <w:iCs w:val="0"/>
                <w:color w:val="auto"/>
                <w:sz w:val="22"/>
                <w:szCs w:val="22"/>
                <w:highlight w:val="none"/>
                <w:u w:val="none"/>
                <w:lang w:val="en-US" w:eastAsia="zh-CN" w:bidi="ar"/>
              </w:rPr>
              <w:t xml:space="preserve">099</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四灯盘左转非机动车灯具（含辅材）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w:t>
            </w:r>
            <w:r>
              <w:rPr>
                <w:rFonts w:hint="eastAsia" w:ascii="宋体" w:hAnsi="宋体" w:cs="宋体"/>
                <w:i w:val="0"/>
                <w:iCs w:val="0"/>
                <w:color w:val="auto"/>
                <w:sz w:val="22"/>
                <w:szCs w:val="22"/>
                <w:highlight w:val="none"/>
                <w:u w:val="none"/>
                <w:lang w:val="en-US" w:eastAsia="zh-CN" w:bidi="ar"/>
              </w:rPr>
              <w:t xml:space="preserve">099</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三灯盘机动车灯具（含辅材）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0.007</w:t>
            </w:r>
            <w:r>
              <w:rPr>
                <w:rFonts w:hint="eastAsia" w:ascii="宋体" w:hAnsi="宋体" w:cs="宋体"/>
                <w:i w:val="0"/>
                <w:iCs w:val="0"/>
                <w:color w:val="auto"/>
                <w:sz w:val="22"/>
                <w:szCs w:val="22"/>
                <w:highlight w:val="none"/>
                <w:u w:val="none"/>
                <w:lang w:val="en-US" w:eastAsia="zh-CN" w:bidi="ar"/>
              </w:rPr>
              <w:t xml:space="preserve">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三灯盘箭头灯具（含辅材）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0.007</w:t>
            </w:r>
            <w:r>
              <w:rPr>
                <w:rFonts w:hint="eastAsia" w:ascii="宋体" w:hAnsi="宋体" w:cs="宋体"/>
                <w:i w:val="0"/>
                <w:iCs w:val="0"/>
                <w:color w:val="auto"/>
                <w:sz w:val="22"/>
                <w:szCs w:val="22"/>
                <w:highlight w:val="none"/>
                <w:u w:val="none"/>
                <w:lang w:val="en-US" w:eastAsia="zh-CN" w:bidi="ar"/>
              </w:rPr>
              <w:t xml:space="preserve">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三灯盘非机动车灯具（含辅材）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0.007</w:t>
            </w:r>
            <w:r>
              <w:rPr>
                <w:rFonts w:hint="eastAsia" w:ascii="宋体" w:hAnsi="宋体" w:cs="宋体"/>
                <w:i w:val="0"/>
                <w:iCs w:val="0"/>
                <w:color w:val="auto"/>
                <w:sz w:val="22"/>
                <w:szCs w:val="22"/>
                <w:highlight w:val="none"/>
                <w:u w:val="none"/>
                <w:lang w:val="en-US" w:eastAsia="zh-CN" w:bidi="ar"/>
              </w:rPr>
              <w:t xml:space="preserve">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三灯盘左转非机动车灯具（含辅材）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0.007</w:t>
            </w:r>
            <w:r>
              <w:rPr>
                <w:rFonts w:hint="eastAsia" w:ascii="宋体" w:hAnsi="宋体" w:cs="宋体"/>
                <w:i w:val="0"/>
                <w:iCs w:val="0"/>
                <w:color w:val="auto"/>
                <w:sz w:val="22"/>
                <w:szCs w:val="22"/>
                <w:highlight w:val="none"/>
                <w:u w:val="none"/>
                <w:lang w:val="en-US" w:eastAsia="zh-CN" w:bidi="ar"/>
              </w:rPr>
              <w:t xml:space="preserve">1</w: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灯盘（400直径）（含辅材）</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红黄绿机动车、箭头、人行灯和特殊定制灯盘，板式人行灯汉字显示灯盘。符合《GB14887-2011道路交通信号灯》等国标。采用高亮度发光二极管，使用寿命超过50000小时，发光强度≥150cd；</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0.002</w:t>
            </w:r>
            <w:r>
              <w:rPr>
                <w:rFonts w:hint="eastAsia" w:ascii="宋体" w:hAnsi="宋体" w:cs="宋体"/>
                <w:i w:val="0"/>
                <w:iCs w:val="0"/>
                <w:color w:val="auto"/>
                <w:sz w:val="22"/>
                <w:szCs w:val="22"/>
                <w:highlight w:val="none"/>
                <w:u w:val="none"/>
                <w:lang w:val="en-US" w:eastAsia="zh-CN" w:bidi="ar"/>
              </w:rPr>
              <w:t xml:space="preserve">4</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灯盘（300直径）（含辅材）</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红黄绿机动车、箭头、人行灯和特殊定制灯盘，板式人行灯汉字显示灯盘。符合《GB14887-2011道路交通信号灯》等国标。采用高亮度发光二极管，使用寿命超过50000小时，发光强度≥150cd；</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0.002</w:t>
            </w:r>
            <w:r>
              <w:rPr>
                <w:rFonts w:hint="eastAsia" w:ascii="宋体" w:hAnsi="宋体" w:cs="宋体"/>
                <w:i w:val="0"/>
                <w:iCs w:val="0"/>
                <w:color w:val="auto"/>
                <w:sz w:val="22"/>
                <w:szCs w:val="22"/>
                <w:highlight w:val="none"/>
                <w:u w:val="none"/>
                <w:lang w:val="en-US" w:eastAsia="zh-CN" w:bidi="ar"/>
              </w:rPr>
              <w:t xml:space="preserve">2</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板式人行灯（含辅材）</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上为红灯静态行人，下为绿灯动态行人，下方为行人提示文字，要求与灯色颜色一致；</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w:t>
            </w:r>
            <w:r>
              <w:rPr>
                <w:rFonts w:hint="eastAsia" w:ascii="宋体" w:hAnsi="宋体" w:cs="宋体"/>
                <w:i w:val="0"/>
                <w:iCs w:val="0"/>
                <w:color w:val="auto"/>
                <w:sz w:val="22"/>
                <w:szCs w:val="22"/>
                <w:highlight w:val="none"/>
                <w:u w:val="none"/>
                <w:lang w:val="en-US" w:eastAsia="zh-CN" w:bidi="ar"/>
              </w:rPr>
              <w:t xml:space="preserve">17</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板式人行灯单文字面板</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适配现有板式人行灯</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w:t>
            </w:r>
            <w:r>
              <w:rPr>
                <w:rFonts w:hint="eastAsia" w:ascii="宋体" w:hAnsi="宋体" w:cs="宋体"/>
                <w:i w:val="0"/>
                <w:iCs w:val="0"/>
                <w:color w:val="auto"/>
                <w:sz w:val="22"/>
                <w:szCs w:val="22"/>
                <w:highlight w:val="none"/>
                <w:u w:val="none"/>
                <w:lang w:val="en-US" w:eastAsia="zh-CN" w:bidi="ar"/>
              </w:rPr>
              <w:t xml:space="preserve">16</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立柱式人行灯具（含辅材）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上为红灯静态行人，下为绿灯动态行人；</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0.004</w:t>
            </w:r>
            <w:r>
              <w:rPr>
                <w:rFonts w:hint="eastAsia" w:ascii="宋体" w:hAnsi="宋体" w:cs="宋体"/>
                <w:i w:val="0"/>
                <w:iCs w:val="0"/>
                <w:color w:val="auto"/>
                <w:sz w:val="22"/>
                <w:szCs w:val="22"/>
                <w:highlight w:val="none"/>
                <w:u w:val="none"/>
                <w:lang w:val="en-US" w:eastAsia="zh-CN" w:bidi="ar"/>
              </w:rPr>
              <w:t xml:space="preserve">0</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人行灯灯盘（含辅材）</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红灯静态行人或绿灯动态行人；</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w:t>
            </w:r>
            <w:r>
              <w:rPr>
                <w:rFonts w:hint="eastAsia" w:ascii="宋体" w:hAnsi="宋体" w:cs="宋体"/>
                <w:i w:val="0"/>
                <w:iCs w:val="0"/>
                <w:color w:val="auto"/>
                <w:sz w:val="22"/>
                <w:szCs w:val="22"/>
                <w:highlight w:val="none"/>
                <w:u w:val="none"/>
                <w:lang w:val="en-US" w:eastAsia="zh-CN" w:bidi="ar"/>
              </w:rPr>
              <w:t xml:space="preserve">27</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太阳能黄闪灯（含辅材）</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直径400mm，太阳能板+黄闪灯，铝合金外壳，二层防护。</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0.007</w:t>
            </w:r>
            <w:r>
              <w:rPr>
                <w:rFonts w:hint="eastAsia" w:ascii="宋体" w:hAnsi="宋体" w:cs="宋体"/>
                <w:i w:val="0"/>
                <w:iCs w:val="0"/>
                <w:color w:val="auto"/>
                <w:sz w:val="22"/>
                <w:szCs w:val="22"/>
                <w:highlight w:val="none"/>
                <w:u w:val="none"/>
                <w:lang w:val="en-US" w:eastAsia="zh-CN" w:bidi="ar"/>
              </w:rPr>
              <w:t xml:space="preserve">4</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小屏倒计时器（含辅材）</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产品符合GA/T508-2014《道路交通信号倒计时显示器》标准的相关要求</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0.007</w:t>
            </w:r>
            <w:r>
              <w:rPr>
                <w:rFonts w:hint="eastAsia" w:ascii="宋体" w:hAnsi="宋体" w:cs="宋体"/>
                <w:i w:val="0"/>
                <w:iCs w:val="0"/>
                <w:color w:val="auto"/>
                <w:sz w:val="22"/>
                <w:szCs w:val="22"/>
                <w:highlight w:val="none"/>
                <w:u w:val="none"/>
                <w:lang w:val="en-US" w:eastAsia="zh-CN" w:bidi="ar"/>
              </w:rPr>
              <w:t xml:space="preserve">4</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大屏倒计时器（含辅材）</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spacing w:line="336" w:lineRule="auto"/>
              <w:rPr>
                <w:rFonts w:hint="eastAsia"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产品符合GA/T508-2014《道路交通信号倒计时显示器》标准的相关要求</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w:t>
            </w:r>
            <w:r>
              <w:rPr>
                <w:rFonts w:hint="eastAsia" w:ascii="宋体" w:hAnsi="宋体" w:cs="宋体"/>
                <w:i w:val="0"/>
                <w:iCs w:val="0"/>
                <w:color w:val="auto"/>
                <w:sz w:val="22"/>
                <w:szCs w:val="22"/>
                <w:highlight w:val="none"/>
                <w:u w:val="none"/>
                <w:lang w:val="en-US" w:eastAsia="zh-CN" w:bidi="ar"/>
              </w:rPr>
              <w:t xml:space="preserve">099</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400内置倒计时器（含辅材）</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产品符合GA/T508-2014《道路交通信号倒计时显示器》标准的相关要求</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w:t>
            </w:r>
            <w:r>
              <w:rPr>
                <w:rFonts w:hint="eastAsia" w:ascii="宋体" w:hAnsi="宋体" w:cs="宋体"/>
                <w:i w:val="0"/>
                <w:iCs w:val="0"/>
                <w:color w:val="auto"/>
                <w:sz w:val="22"/>
                <w:szCs w:val="22"/>
                <w:highlight w:val="none"/>
                <w:u w:val="none"/>
                <w:lang w:val="en-US" w:eastAsia="zh-CN" w:bidi="ar"/>
              </w:rPr>
              <w:t xml:space="preserve">0</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信号灯发光单元帽沿</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根据现有进行定制、满足现场实际需要，颜色与样式与现有一致。</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综合待行区LED提示屏</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1、外形尺寸：长2.3m*高0.38m，显示尺寸：长2.24m*高0.32m；整屏分辨率：224*32，像素点间距：10mm，像素点配置：1R1G；显示颜色：红、绿、黄；</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w:t>
            </w:r>
            <w:r>
              <w:rPr>
                <w:rFonts w:hint="eastAsia" w:ascii="宋体" w:hAnsi="宋体" w:cs="宋体"/>
                <w:i w:val="0"/>
                <w:iCs w:val="0"/>
                <w:color w:val="auto"/>
                <w:sz w:val="22"/>
                <w:szCs w:val="22"/>
                <w:highlight w:val="none"/>
                <w:u w:val="none"/>
                <w:lang w:val="en-US" w:eastAsia="zh-CN" w:bidi="ar"/>
              </w:rPr>
              <w:t xml:space="preserve">0</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左转待转区LED提示屏</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1、外形尺寸：长1.34m*高0.7m，显示尺寸：长1.28m*高0.64m；整屏分辨率：128*64，像素点间距：10mm，像素点配置：1R1G；显示颜色：红、绿、黄；  </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w:t>
            </w:r>
            <w:r>
              <w:rPr>
                <w:rFonts w:hint="eastAsia" w:ascii="宋体" w:hAnsi="宋体" w:cs="宋体"/>
                <w:i w:val="0"/>
                <w:iCs w:val="0"/>
                <w:color w:val="auto"/>
                <w:sz w:val="22"/>
                <w:szCs w:val="22"/>
                <w:highlight w:val="none"/>
                <w:u w:val="none"/>
                <w:lang w:val="en-US" w:eastAsia="zh-CN" w:bidi="ar"/>
              </w:rPr>
              <w:t xml:space="preserve">2</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可变车道LED提示屏</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1、1m*1.5m内嵌led标牌；</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w:t>
            </w:r>
            <w:r>
              <w:rPr>
                <w:rFonts w:hint="eastAsia" w:ascii="宋体" w:hAnsi="宋体" w:cs="宋体"/>
                <w:i w:val="0"/>
                <w:iCs w:val="0"/>
                <w:color w:val="auto"/>
                <w:sz w:val="22"/>
                <w:szCs w:val="22"/>
                <w:highlight w:val="none"/>
                <w:u w:val="none"/>
                <w:lang w:val="en-US" w:eastAsia="zh-CN" w:bidi="ar"/>
              </w:rPr>
              <w:t xml:space="preserve">0</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可变车道LED指示屏专用遥控设备</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支持切换手动自动模式、支持切换led屏显示内容。</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LED显示屏屏幕替换模块</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尺寸：256mm*128mm，晶元金线F5正圆灯珠，红灯7*10mil双电极，绿灯11*14mil，亮度≥8000cd/㎡，发光角度30°，最大功耗≤80W/㎡</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LED显示屏电源模块</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输出电流5V-40A</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LED显示屏主控板模块</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w:t>
            </w:r>
            <w:r>
              <w:rPr>
                <w:rFonts w:hint="eastAsia" w:ascii="宋体" w:hAnsi="宋体" w:cs="宋体"/>
                <w:i w:val="0"/>
                <w:iCs w:val="0"/>
                <w:color w:val="auto"/>
                <w:sz w:val="22"/>
                <w:szCs w:val="22"/>
                <w:highlight w:val="none"/>
                <w:u w:val="none"/>
                <w:lang w:val="en-US" w:eastAsia="zh-CN" w:bidi="ar"/>
              </w:rPr>
              <w:t xml:space="preserve">07</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绿波LED提示屏</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1、像素点间距：10mm，像素点配置：1R1G；直插式高亮发光二极管，显示颜色：红、绿、黄，水平视角70°，垂直视角35°；</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w:t>
            </w:r>
            <w:r>
              <w:rPr>
                <w:rFonts w:hint="eastAsia" w:ascii="宋体" w:hAnsi="宋体" w:cs="宋体"/>
                <w:i w:val="0"/>
                <w:iCs w:val="0"/>
                <w:color w:val="auto"/>
                <w:sz w:val="22"/>
                <w:szCs w:val="22"/>
                <w:highlight w:val="none"/>
                <w:u w:val="none"/>
                <w:lang w:val="en-US" w:eastAsia="zh-CN" w:bidi="ar"/>
              </w:rPr>
              <w:t xml:space="preserve">0</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地埋灯</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斑马线行人设计，发光均匀，柔和，不刺眼。高强度抗压，抗震，防水等级&gt;IP67；</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匝道信号灯</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尺寸500mm。符合《GB14887-2011道路交通信号灯》等国标。采用高亮度发光二极管，使用寿命超过50000小时，发光强度≥150cd；</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w:t>
            </w:r>
            <w:r>
              <w:rPr>
                <w:rFonts w:hint="eastAsia" w:ascii="宋体" w:hAnsi="宋体" w:cs="宋体"/>
                <w:i w:val="0"/>
                <w:iCs w:val="0"/>
                <w:color w:val="auto"/>
                <w:sz w:val="22"/>
                <w:szCs w:val="22"/>
                <w:highlight w:val="none"/>
                <w:u w:val="none"/>
                <w:lang w:val="en-US" w:eastAsia="zh-CN" w:bidi="ar"/>
              </w:rPr>
              <w:t xml:space="preserve">04</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restart"/>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检测设备</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视频车辆检测器</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能与现有信号控制机通过协议无缝对接；</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w:t>
            </w:r>
            <w:r>
              <w:rPr>
                <w:rFonts w:hint="eastAsia" w:ascii="宋体" w:hAnsi="宋体" w:cs="宋体"/>
                <w:i w:val="0"/>
                <w:iCs w:val="0"/>
                <w:color w:val="auto"/>
                <w:sz w:val="22"/>
                <w:szCs w:val="22"/>
                <w:highlight w:val="none"/>
                <w:u w:val="none"/>
                <w:lang w:val="en-US" w:eastAsia="zh-CN" w:bidi="ar"/>
              </w:rPr>
              <w:t xml:space="preserve">27</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视频车辆检测器电源适配器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适配本地现用视频车辆检测器，原厂配件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雷视车辆检测器</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能与现有信号控制机通过协议无缝对接。</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0.004</w:t>
            </w:r>
            <w:r>
              <w:rPr>
                <w:rFonts w:hint="eastAsia" w:ascii="宋体" w:hAnsi="宋体" w:cs="宋体"/>
                <w:i w:val="0"/>
                <w:iCs w:val="0"/>
                <w:color w:val="auto"/>
                <w:sz w:val="22"/>
                <w:szCs w:val="22"/>
                <w:highlight w:val="none"/>
                <w:u w:val="none"/>
                <w:lang w:val="en-US" w:eastAsia="zh-CN" w:bidi="ar"/>
              </w:rPr>
              <w:t xml:space="preserve">2</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行人请求按钮</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要求与现有信号控制机无缝对接。</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.0004</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抱杆机箱</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产品尺寸不小于600mm*400mm*400mm，防护等级IP54，工作温度范围为-40到85℃</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.0002</w:t>
            </w:r>
            <w:r/>
          </w:p>
        </w:tc>
      </w:tr>
      <w:tr>
        <w:trPr>
          <w:trHeight w:val="1955"/>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信号灯故障检测器</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路口</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利用交通视频监控、交通状态检测等资源数据以及信号态势感知等技术手段，实现交通信号灯非正常亮灭、灯色冲突、亮度不足、倾倒偏转、倒计时异常等故障的自动识别</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w:t>
            </w:r>
            <w:r>
              <w:rPr>
                <w:rFonts w:hint="eastAsia" w:ascii="宋体" w:hAnsi="宋体" w:cs="宋体"/>
                <w:i w:val="0"/>
                <w:iCs w:val="0"/>
                <w:color w:val="auto"/>
                <w:sz w:val="22"/>
                <w:szCs w:val="22"/>
                <w:highlight w:val="none"/>
                <w:u w:val="none"/>
                <w:lang w:val="en-US" w:eastAsia="zh-CN" w:bidi="ar"/>
              </w:rPr>
              <w:t xml:space="preserve">2</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restart"/>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线缆</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3芯电源线缆</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电源电缆KVV3×6mm2</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w:t>
            </w:r>
            <w:r>
              <w:rPr>
                <w:rFonts w:hint="eastAsia" w:ascii="宋体" w:hAnsi="宋体" w:cs="宋体"/>
                <w:i w:val="0"/>
                <w:iCs w:val="0"/>
                <w:color w:val="auto"/>
                <w:sz w:val="22"/>
                <w:szCs w:val="22"/>
                <w:highlight w:val="none"/>
                <w:u w:val="none"/>
                <w:lang w:val="en-US" w:eastAsia="zh-CN" w:bidi="ar"/>
              </w:rPr>
              <w:t xml:space="preserve">56</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16芯控制线缆</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控制线缆KVV16×1.5mm2</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w:t>
            </w:r>
            <w:r>
              <w:rPr>
                <w:rFonts w:hint="eastAsia" w:ascii="宋体" w:hAnsi="宋体" w:cs="宋体"/>
                <w:i w:val="0"/>
                <w:iCs w:val="0"/>
                <w:color w:val="auto"/>
                <w:sz w:val="22"/>
                <w:szCs w:val="22"/>
                <w:highlight w:val="none"/>
                <w:u w:val="none"/>
                <w:lang w:val="en-US" w:eastAsia="zh-CN" w:bidi="ar"/>
              </w:rPr>
              <w:t xml:space="preserve">49</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10芯控制线缆</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控制线缆KVV10×1.5mm2</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w:t>
            </w:r>
            <w:r>
              <w:rPr>
                <w:rFonts w:hint="eastAsia" w:ascii="宋体" w:hAnsi="宋体" w:cs="宋体"/>
                <w:i w:val="0"/>
                <w:iCs w:val="0"/>
                <w:color w:val="auto"/>
                <w:sz w:val="22"/>
                <w:szCs w:val="22"/>
                <w:highlight w:val="none"/>
                <w:u w:val="none"/>
                <w:lang w:val="en-US" w:eastAsia="zh-CN" w:bidi="ar"/>
              </w:rPr>
              <w:t xml:space="preserve">37</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4芯控制线缆</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控制线缆KVV4×1.5mm2</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0.002</w:t>
            </w:r>
            <w:r>
              <w:rPr>
                <w:rFonts w:hint="eastAsia" w:ascii="宋体" w:hAnsi="宋体" w:cs="宋体"/>
                <w:i w:val="0"/>
                <w:iCs w:val="0"/>
                <w:color w:val="auto"/>
                <w:sz w:val="22"/>
                <w:szCs w:val="22"/>
                <w:highlight w:val="none"/>
                <w:u w:val="none"/>
                <w:lang w:val="en-US" w:eastAsia="zh-CN" w:bidi="ar"/>
              </w:rPr>
              <w:t xml:space="preserve">0</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4芯光缆</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单模</w:t>
            </w:r>
            <w:r>
              <w:rPr>
                <w:rStyle w:val="1234"/>
                <w:rFonts w:eastAsia="宋体"/>
                <w:color w:val="auto"/>
                <w:highlight w:val="none"/>
                <w:lang w:val="en-US" w:eastAsia="zh-CN" w:bidi="ar"/>
              </w:rPr>
              <w:t xml:space="preserve">1310nm </w:t>
            </w:r>
            <w:r>
              <w:rPr>
                <w:rFonts w:hint="eastAsia" w:ascii="宋体" w:hAnsi="宋体" w:eastAsia="宋体" w:cs="宋体"/>
                <w:i w:val="0"/>
                <w:iCs w:val="0"/>
                <w:color w:val="auto"/>
                <w:sz w:val="20"/>
                <w:szCs w:val="20"/>
                <w:highlight w:val="none"/>
                <w:u w:val="none"/>
                <w:lang w:val="en-US" w:eastAsia="zh-CN" w:bidi="ar"/>
              </w:rPr>
              <w:t xml:space="preserve">4芯光缆</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w:t>
            </w:r>
            <w:r>
              <w:rPr>
                <w:rFonts w:hint="eastAsia" w:ascii="宋体" w:hAnsi="宋体" w:cs="宋体"/>
                <w:i w:val="0"/>
                <w:iCs w:val="0"/>
                <w:color w:val="auto"/>
                <w:sz w:val="22"/>
                <w:szCs w:val="22"/>
                <w:highlight w:val="none"/>
                <w:u w:val="none"/>
                <w:lang w:val="en-US" w:eastAsia="zh-CN" w:bidi="ar"/>
              </w:rPr>
              <w:t xml:space="preserve">17</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光缆成端设备</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含分线盒、熔纤盘、尾纤</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1、内置高效交换内核，抑制广播风暴，实现流量控制，CRC差错校验；</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熔纤盘</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定制8芯</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电表</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220V单相电表</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室外网线</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室外超五类或以上标准，含包络，符合国标</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信号机接地扁钢角铁地线含施工</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室外工业8口交换机</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1、具有 8 个 10/100Base-TX 自适应电口，支持自动 MDI/MDI-X连接；</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.0003</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室外工业5口交换机</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1、具有 5个 10/100Base-TX 自适应电口，支持自动 MDI/MDI-X连接；</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.0002</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restart"/>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杆件类</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信号灯L型杆件4米（包含杆件基础、钢筋笼等）</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h=6.8m；l=4m；立柱250-200*6mm；挑臂4mm；</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w:t>
            </w:r>
            <w:r>
              <w:rPr>
                <w:rFonts w:hint="eastAsia" w:ascii="宋体" w:hAnsi="宋体" w:cs="宋体"/>
                <w:i w:val="0"/>
                <w:iCs w:val="0"/>
                <w:color w:val="auto"/>
                <w:sz w:val="22"/>
                <w:szCs w:val="22"/>
                <w:highlight w:val="none"/>
                <w:u w:val="none"/>
                <w:lang w:val="en-US" w:eastAsia="zh-CN" w:bidi="ar"/>
              </w:rPr>
              <w:t xml:space="preserve">28</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信号灯L型杆件6米（包含杆件基础、钢筋笼等）</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h=6.8m；l=6m；立柱250-200*6mm；挑臂4mm；</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w:t>
            </w:r>
            <w:r>
              <w:rPr>
                <w:rFonts w:hint="eastAsia" w:ascii="宋体" w:hAnsi="宋体" w:cs="宋体"/>
                <w:i w:val="0"/>
                <w:iCs w:val="0"/>
                <w:color w:val="auto"/>
                <w:sz w:val="22"/>
                <w:szCs w:val="22"/>
                <w:highlight w:val="none"/>
                <w:u w:val="none"/>
                <w:lang w:val="en-US" w:eastAsia="zh-CN" w:bidi="ar"/>
              </w:rPr>
              <w:t xml:space="preserve">0</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信号灯L型杆件8米（包含杆件基础、钢筋笼等）</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h=6.8m；l=8m；立柱300-250*6mm；挑臂4mm；</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w:t>
            </w:r>
            <w:r>
              <w:rPr>
                <w:rFonts w:hint="eastAsia" w:ascii="宋体" w:hAnsi="宋体" w:cs="宋体"/>
                <w:i w:val="0"/>
                <w:iCs w:val="0"/>
                <w:color w:val="auto"/>
                <w:sz w:val="22"/>
                <w:szCs w:val="22"/>
                <w:highlight w:val="none"/>
                <w:u w:val="none"/>
                <w:lang w:val="en-US" w:eastAsia="zh-CN" w:bidi="ar"/>
              </w:rPr>
              <w:t xml:space="preserve">38</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信号灯L型杆件10米（包含杆件基础、钢筋笼等）</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h=6.8m；l=10m；立柱340-280*8mm；挑臂5mm；</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0.005</w:t>
            </w:r>
            <w:r>
              <w:rPr>
                <w:rFonts w:hint="eastAsia" w:ascii="宋体" w:hAnsi="宋体" w:cs="宋体"/>
                <w:i w:val="0"/>
                <w:iCs w:val="0"/>
                <w:color w:val="auto"/>
                <w:sz w:val="22"/>
                <w:szCs w:val="22"/>
                <w:highlight w:val="none"/>
                <w:u w:val="none"/>
                <w:lang w:val="en-US" w:eastAsia="zh-CN" w:bidi="ar"/>
              </w:rPr>
              <w:t xml:space="preserve">4</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信号灯竖杆高6.5米（包含杆件基础、钢筋笼等）</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高6.5m，圆柱形，Ø164×3.5mm，热镀锌喷塑 ,含钢筋笼</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w:t>
            </w:r>
            <w:r>
              <w:rPr>
                <w:rFonts w:hint="eastAsia" w:ascii="宋体" w:hAnsi="宋体" w:cs="宋体"/>
                <w:i w:val="0"/>
                <w:iCs w:val="0"/>
                <w:color w:val="auto"/>
                <w:sz w:val="22"/>
                <w:szCs w:val="22"/>
                <w:highlight w:val="none"/>
                <w:u w:val="none"/>
                <w:lang w:val="en-US" w:eastAsia="zh-CN" w:bidi="ar"/>
              </w:rPr>
              <w:t xml:space="preserve">16</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竖杆装多灯用横杆及配件（二横杆二抱箍）</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竖杆挑臂杆及配件</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.0003</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人行灯杆件高3m</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h=3m;φ114*3.5mm</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.0004</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立柱人行灯钢筋笼</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《道路交通信号灯设置与安装规范 》（GB 14886-2016）</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板式人行灯钢筋笼</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《道路交通信号灯设置与安装规范 》（GB 14886-2016）</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信号机钢筋笼</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《道路交通信号灯设置与安装规范 》（GB 14886-2016）</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.0002</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匝道信号灯定制支架等辅材</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.0002</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信号灯支架</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定制竖装专用</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信号灯抱箍</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柱式人行灯抱箍</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杆件检修口盖板（定制）</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restart"/>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沥青路面开挖、回填、养护</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沥青路面开挖埋管及管道保护，槽道深度不低于40CM，宽度不低于20CM</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绿化路面开挖、回填、养护</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绿化路面开挖埋管及管道保护，槽道深度不低于40CM，宽度不低于30CM</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彩砖路面开挖、回填、养护</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人行道彩砖开挖埋管及管道保护，槽道深度不低于40CM，宽度不低于30CM</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穿线钢管</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过路钢管直径90mm</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PE管</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人行道、绿化直径50mmPE管</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复合井盖直径500mm</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含井盖及井圈，材料及种类符合徐州市规范需求</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.0002</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复合井盖直径600mm</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含井盖及井圈，材料及种类符合徐州市规范需求</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.0002</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复合井盖直径800mm</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含井盖及井圈，材料及种类符合徐州市规范需求</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.0002</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铸铁井盖直径500mm</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含井盖及井圈，材料及种类符合徐州市规范需求</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.0002</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铸铁井盖直径600mm</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含井盖及井圈，材料及种类符合徐州市规范需求</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.0002</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铸铁井盖直径800mm</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含井盖及井圈，材料及种类符合徐州市规范需求</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.0002</w:t>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混凝土基础</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C25信号机基础结构件混凝土基础浇筑（包括不锈钢地脚螺栓预埋件的制作及安装、穿线管埋设、C25商品混凝土的浇筑养护、基础回填、渣土清运、螺栓混凝土包封）。</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.0004</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过路顶管</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过路顶管施工，直径110mmPE管</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r>
    </w:tbl>
    <w:p>
      <w:pPr>
        <w:ind w:firstLine="482"/>
        <w:spacing w:line="336" w:lineRule="auto"/>
        <w:rPr>
          <w:rFonts w:ascii="宋体" w:hAnsi="宋体" w:cs="宋体"/>
          <w:b/>
          <w:bCs/>
          <w:color w:val="auto"/>
          <w:szCs w:val="24"/>
          <w:highlight w:val="none"/>
        </w:rPr>
      </w:pPr>
      <w:r>
        <w:rPr>
          <w:rFonts w:hint="eastAsia" w:ascii="宋体" w:hAnsi="宋体" w:cs="宋体"/>
          <w:b/>
          <w:bCs/>
          <w:color w:val="auto"/>
          <w:szCs w:val="24"/>
          <w:highlight w:val="none"/>
        </w:rPr>
        <w:t xml:space="preserve">注：</w:t>
      </w:r>
      <w:r>
        <w:rPr>
          <w:rFonts w:hint="eastAsia" w:ascii="宋体" w:hAnsi="宋体" w:cs="宋体"/>
          <w:b/>
          <w:bCs/>
          <w:color w:val="auto"/>
          <w:szCs w:val="24"/>
          <w:highlight w:val="none"/>
          <w:lang w:val="en-US" w:eastAsia="zh-CN"/>
        </w:rPr>
        <w:t xml:space="preserve">以上价格</w:t>
      </w:r>
      <w:r>
        <w:rPr>
          <w:rFonts w:hint="eastAsia" w:ascii="宋体" w:hAnsi="宋体" w:cs="宋体"/>
          <w:b/>
          <w:bCs/>
          <w:color w:val="auto"/>
          <w:szCs w:val="24"/>
          <w:highlight w:val="none"/>
        </w:rPr>
        <w:t xml:space="preserve">均含</w:t>
      </w:r>
      <w:r>
        <w:rPr>
          <w:rFonts w:hint="eastAsia" w:ascii="宋体" w:hAnsi="宋体" w:cs="宋体"/>
          <w:b/>
          <w:bCs/>
          <w:color w:val="auto"/>
          <w:szCs w:val="24"/>
          <w:highlight w:val="none"/>
          <w:lang w:val="en-US" w:eastAsia="zh-CN"/>
        </w:rPr>
        <w:t xml:space="preserve">旧设备拆除、新设备</w:t>
      </w:r>
      <w:r>
        <w:rPr>
          <w:rFonts w:hint="eastAsia" w:ascii="宋体" w:hAnsi="宋体" w:cs="宋体"/>
          <w:b/>
          <w:bCs/>
          <w:color w:val="auto"/>
          <w:szCs w:val="24"/>
          <w:highlight w:val="none"/>
        </w:rPr>
        <w:t xml:space="preserve">安装</w:t>
      </w:r>
      <w:r>
        <w:rPr>
          <w:rFonts w:hint="eastAsia" w:ascii="宋体" w:hAnsi="宋体" w:cs="宋体"/>
          <w:b/>
          <w:bCs/>
          <w:color w:val="auto"/>
          <w:szCs w:val="24"/>
          <w:highlight w:val="none"/>
          <w:lang w:eastAsia="zh-CN"/>
        </w:rPr>
        <w:t xml:space="preserve">、</w:t>
      </w:r>
      <w:r>
        <w:rPr>
          <w:rFonts w:hint="eastAsia" w:ascii="宋体" w:hAnsi="宋体" w:cs="宋体"/>
          <w:b/>
          <w:bCs/>
          <w:color w:val="auto"/>
          <w:szCs w:val="24"/>
          <w:highlight w:val="none"/>
          <w:lang w:val="en-US" w:eastAsia="zh-CN"/>
        </w:rPr>
        <w:t xml:space="preserve">调试、搬运、垃圾处置、施工协调、安全文明施工费、工程保险费等一切相关费用</w:t>
      </w:r>
      <w:r>
        <w:rPr>
          <w:rFonts w:hint="eastAsia" w:ascii="宋体" w:hAnsi="宋体" w:cs="宋体"/>
          <w:b/>
          <w:bCs/>
          <w:color w:val="auto"/>
          <w:szCs w:val="24"/>
          <w:highlight w:val="none"/>
        </w:rPr>
        <w:t xml:space="preserve">。所有设备均含安装。</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经双方协商一致， 选择以下第 （</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）种付款方式</w:t>
      </w:r>
      <w:r/>
    </w:p>
    <w:p>
      <w:pPr>
        <w:ind w:firstLine="482"/>
        <w:spacing w:line="360" w:lineRule="auto"/>
        <w:rPr>
          <w:rFonts w:ascii="宋体" w:hAnsi="宋体" w:cs="宋体"/>
          <w:b/>
          <w:bCs/>
          <w:color w:val="auto"/>
          <w:szCs w:val="24"/>
          <w:highlight w:val="none"/>
        </w:rPr>
      </w:pPr>
      <w:r>
        <w:rPr>
          <w:rFonts w:hint="eastAsia" w:ascii="宋体" w:hAnsi="宋体" w:cs="宋体"/>
          <w:b/>
          <w:bCs/>
          <w:color w:val="auto"/>
          <w:szCs w:val="24"/>
          <w:highlight w:val="none"/>
        </w:rPr>
        <w:t xml:space="preserve">（一）付款方式一（提交预付款保函的）</w:t>
      </w:r>
      <w:r/>
    </w:p>
    <w:p>
      <w:pPr>
        <w:ind w:firstLine="560"/>
        <w:jc w:val="both"/>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合同价款的百分之</w:t>
      </w:r>
      <w:r>
        <w:rPr>
          <w:rFonts w:hint="eastAsia" w:ascii="宋体" w:hAnsi="宋体" w:cs="宋体"/>
          <w:color w:val="auto"/>
          <w:szCs w:val="24"/>
          <w:highlight w:val="none"/>
          <w:lang w:val="en-US" w:eastAsia="zh-CN"/>
        </w:rPr>
        <w:t xml:space="preserve">四</w:t>
      </w:r>
      <w:r>
        <w:rPr>
          <w:rFonts w:hint="eastAsia" w:ascii="宋体" w:hAnsi="宋体" w:cs="宋体"/>
          <w:color w:val="auto"/>
          <w:szCs w:val="24"/>
          <w:highlight w:val="none"/>
          <w:u w:val="single"/>
        </w:rPr>
        <w:t xml:space="preserve">十</w:t>
      </w:r>
      <w:r>
        <w:rPr>
          <w:rFonts w:hint="eastAsia" w:ascii="宋体" w:hAnsi="宋体" w:cs="宋体"/>
          <w:color w:val="auto"/>
          <w:szCs w:val="24"/>
          <w:highlight w:val="none"/>
        </w:rPr>
        <w:t xml:space="preserve">（</w:t>
      </w:r>
      <w:r>
        <w:rPr>
          <w:rFonts w:hint="eastAsia" w:ascii="宋体" w:hAnsi="宋体" w:cs="宋体"/>
          <w:color w:val="auto"/>
          <w:szCs w:val="24"/>
          <w:highlight w:val="none"/>
          <w:u w:val="single"/>
          <w:lang w:eastAsia="zh-CN"/>
        </w:rPr>
        <w:t xml:space="preserve">4</w:t>
      </w:r>
      <w:r>
        <w:rPr>
          <w:rFonts w:hint="eastAsia" w:ascii="宋体" w:hAnsi="宋体" w:cs="宋体"/>
          <w:color w:val="auto"/>
          <w:szCs w:val="24"/>
          <w:highlight w:val="none"/>
          <w:u w:val="single"/>
        </w:rPr>
        <w:t xml:space="preserve">0%</w:t>
      </w:r>
      <w:r>
        <w:rPr>
          <w:rFonts w:hint="eastAsia" w:ascii="宋体" w:hAnsi="宋体" w:cs="宋体"/>
          <w:color w:val="auto"/>
          <w:szCs w:val="24"/>
          <w:highlight w:val="none"/>
        </w:rPr>
        <w:t xml:space="preserve">）即¥</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 ，大写：人民币</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元整，在双方签订合同后且乙方提供对应金额的增值税发票后10个工作日内，由甲方办理政府采购资金结算手续，经审核后支付给乙方。</w:t>
      </w:r>
      <w:r/>
    </w:p>
    <w:p>
      <w:pPr>
        <w:ind w:firstLine="560"/>
        <w:jc w:val="both"/>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合同价款的百分之</w:t>
      </w:r>
      <w:r>
        <w:rPr>
          <w:rFonts w:hint="eastAsia" w:ascii="宋体" w:hAnsi="宋体" w:cs="宋体"/>
          <w:color w:val="auto"/>
          <w:szCs w:val="24"/>
          <w:highlight w:val="none"/>
          <w:u w:val="single"/>
          <w:lang w:val="en-US" w:eastAsia="zh-CN"/>
        </w:rPr>
        <w:t xml:space="preserve">六</w:t>
      </w:r>
      <w:r>
        <w:rPr>
          <w:rFonts w:hint="eastAsia" w:ascii="宋体" w:hAnsi="宋体" w:cs="宋体"/>
          <w:color w:val="auto"/>
          <w:szCs w:val="24"/>
          <w:highlight w:val="none"/>
          <w:u w:val="single"/>
        </w:rPr>
        <w:t xml:space="preserve">十</w:t>
      </w:r>
      <w:r>
        <w:rPr>
          <w:rFonts w:hint="eastAsia" w:ascii="宋体" w:hAnsi="宋体" w:cs="宋体"/>
          <w:color w:val="auto"/>
          <w:szCs w:val="24"/>
          <w:highlight w:val="none"/>
        </w:rPr>
        <w:t xml:space="preserve">（</w:t>
      </w:r>
      <w:r>
        <w:rPr>
          <w:rFonts w:hint="eastAsia" w:ascii="宋体" w:hAnsi="宋体" w:cs="宋体"/>
          <w:color w:val="auto"/>
          <w:szCs w:val="24"/>
          <w:highlight w:val="none"/>
          <w:u w:val="single"/>
          <w:lang w:val="en-US" w:eastAsia="zh-CN"/>
        </w:rPr>
        <w:t xml:space="preserve">6</w:t>
      </w:r>
      <w:r>
        <w:rPr>
          <w:rFonts w:hint="eastAsia" w:ascii="宋体" w:hAnsi="宋体" w:cs="宋体"/>
          <w:color w:val="auto"/>
          <w:szCs w:val="24"/>
          <w:highlight w:val="none"/>
          <w:u w:val="single"/>
        </w:rPr>
        <w:t xml:space="preserve">0%</w:t>
      </w:r>
      <w:r>
        <w:rPr>
          <w:rFonts w:hint="eastAsia" w:ascii="宋体" w:hAnsi="宋体" w:cs="宋体"/>
          <w:color w:val="auto"/>
          <w:szCs w:val="24"/>
          <w:highlight w:val="none"/>
        </w:rPr>
        <w:t xml:space="preserve">）即¥</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 ，大写：人民币</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元整，</w:t>
      </w:r>
      <w:r>
        <w:rPr>
          <w:rFonts w:hint="eastAsia" w:ascii="宋体" w:hAnsi="宋体" w:cs="宋体"/>
          <w:color w:val="auto"/>
          <w:szCs w:val="24"/>
          <w:highlight w:val="none"/>
          <w:lang w:val="en-US" w:eastAsia="zh-CN"/>
        </w:rPr>
        <w:t xml:space="preserve">服务期结束，工程量审核完成并依据考评结果，</w:t>
      </w:r>
      <w:r>
        <w:rPr>
          <w:rFonts w:hint="eastAsia" w:ascii="宋体" w:hAnsi="宋体" w:cs="宋体"/>
          <w:color w:val="auto"/>
          <w:szCs w:val="24"/>
          <w:highlight w:val="none"/>
        </w:rPr>
        <w:t xml:space="preserve">乙方提供对应金额的增值税发票后10个工作日内，由甲方办理政府采购资金结算手续，经审核后支付给乙方。</w:t>
      </w:r>
      <w:r/>
    </w:p>
    <w:p>
      <w:pPr>
        <w:ind w:firstLine="480"/>
        <w:jc w:val="both"/>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（2）乙方应在甲方办理支付手续前5个工作日内提供等额的正式发票给甲方，以便甲方及时办理支付手续。</w:t>
      </w:r>
      <w:r/>
    </w:p>
    <w:p>
      <w:pPr>
        <w:ind w:firstLine="480"/>
        <w:jc w:val="both"/>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（3）乙方服务费支付比例和季度考核情况挂钩，见附件。</w:t>
      </w:r>
      <w:r/>
    </w:p>
    <w:p>
      <w:pPr>
        <w:ind w:firstLine="480"/>
        <w:jc w:val="both"/>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（4）履行合同期间费用超出中标金额，甲方不再支付中标金额以外的任何费用，乙方应无条件继续履行合同至服务期满。</w:t>
      </w:r>
      <w:r/>
    </w:p>
    <w:p>
      <w:pPr>
        <w:ind w:firstLine="562"/>
        <w:jc w:val="both"/>
        <w:spacing w:line="360" w:lineRule="auto"/>
        <w:rPr>
          <w:rFonts w:ascii="宋体" w:hAnsi="宋体" w:cs="宋体"/>
          <w:b/>
          <w:bCs/>
          <w:color w:val="auto"/>
          <w:szCs w:val="24"/>
          <w:highlight w:val="none"/>
        </w:rPr>
      </w:pPr>
      <w:r>
        <w:rPr>
          <w:rFonts w:hint="eastAsia" w:ascii="宋体" w:hAnsi="宋体" w:cs="宋体"/>
          <w:b/>
          <w:bCs/>
          <w:color w:val="auto"/>
          <w:szCs w:val="24"/>
          <w:highlight w:val="none"/>
        </w:rPr>
        <w:t xml:space="preserve">（二）付款方式二：不提交预付款保函的</w:t>
      </w:r>
      <w:r/>
    </w:p>
    <w:p>
      <w:pPr>
        <w:ind w:firstLine="560"/>
        <w:jc w:val="both"/>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合同价款的百分之十五（15%）即¥</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 ，大写：人民币</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元整，在双方签订合同后且乙方提供对应金额的增值税发票后10个工作日内，由甲方办理政府采购资金结算手续，经审核后支付给乙方。</w:t>
      </w:r>
      <w:r/>
    </w:p>
    <w:p>
      <w:pPr>
        <w:ind w:firstLine="560"/>
        <w:jc w:val="both"/>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合同价款的百分之</w:t>
      </w:r>
      <w:r>
        <w:rPr>
          <w:rFonts w:hint="eastAsia" w:ascii="宋体" w:hAnsi="宋体" w:cs="宋体"/>
          <w:color w:val="auto"/>
          <w:szCs w:val="24"/>
          <w:highlight w:val="none"/>
          <w:u w:val="single"/>
          <w:lang w:val="en-US" w:eastAsia="zh-CN"/>
        </w:rPr>
        <w:t xml:space="preserve">八十五</w:t>
      </w:r>
      <w:r>
        <w:rPr>
          <w:rFonts w:hint="eastAsia" w:ascii="宋体" w:hAnsi="宋体" w:cs="宋体"/>
          <w:color w:val="auto"/>
          <w:szCs w:val="24"/>
          <w:highlight w:val="none"/>
        </w:rPr>
        <w:t xml:space="preserve">（</w:t>
      </w:r>
      <w:r>
        <w:rPr>
          <w:rFonts w:hint="eastAsia" w:ascii="宋体" w:hAnsi="宋体" w:cs="宋体"/>
          <w:color w:val="auto"/>
          <w:szCs w:val="24"/>
          <w:highlight w:val="none"/>
          <w:lang w:val="en-US" w:eastAsia="zh-CN"/>
        </w:rPr>
        <w:t xml:space="preserve">8</w:t>
      </w:r>
      <w:r>
        <w:rPr>
          <w:rFonts w:hint="eastAsia" w:ascii="宋体" w:hAnsi="宋体" w:cs="宋体"/>
          <w:color w:val="auto"/>
          <w:szCs w:val="24"/>
          <w:highlight w:val="none"/>
          <w:u w:val="single"/>
          <w:lang w:val="en-US" w:eastAsia="zh-CN"/>
        </w:rPr>
        <w:t xml:space="preserve">5</w:t>
      </w:r>
      <w:r>
        <w:rPr>
          <w:rFonts w:hint="eastAsia" w:ascii="宋体" w:hAnsi="宋体" w:cs="宋体"/>
          <w:color w:val="auto"/>
          <w:szCs w:val="24"/>
          <w:highlight w:val="none"/>
          <w:u w:val="single"/>
        </w:rPr>
        <w:t xml:space="preserve">%</w:t>
      </w:r>
      <w:r>
        <w:rPr>
          <w:rFonts w:hint="eastAsia" w:ascii="宋体" w:hAnsi="宋体" w:cs="宋体"/>
          <w:color w:val="auto"/>
          <w:szCs w:val="24"/>
          <w:highlight w:val="none"/>
        </w:rPr>
        <w:t xml:space="preserve">）即¥</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 ，大写：人民币</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元整，</w:t>
      </w:r>
      <w:r>
        <w:rPr>
          <w:rFonts w:hint="eastAsia" w:ascii="宋体" w:hAnsi="宋体" w:cs="宋体"/>
          <w:color w:val="auto"/>
          <w:szCs w:val="24"/>
          <w:highlight w:val="none"/>
          <w:lang w:val="en-US" w:eastAsia="zh-CN"/>
        </w:rPr>
        <w:t xml:space="preserve">服务期结束，工程量审核完成并依据考评结果，</w:t>
      </w:r>
      <w:r>
        <w:rPr>
          <w:rFonts w:hint="eastAsia" w:ascii="宋体" w:hAnsi="宋体" w:cs="宋体"/>
          <w:color w:val="auto"/>
          <w:szCs w:val="24"/>
          <w:highlight w:val="none"/>
        </w:rPr>
        <w:t xml:space="preserve">乙方提供对应金额的增值税发票后10个工作日内，由甲方办理政府采购资金结算手续，经审核后支付给乙方。</w:t>
      </w:r>
      <w:r/>
    </w:p>
    <w:p>
      <w:pPr>
        <w:ind w:firstLine="560"/>
        <w:jc w:val="both"/>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（2）乙方应在甲方办理支付手续前5个工作日内提供等额的正式发票给甲方，以便甲方及时办理支付手续。</w:t>
      </w:r>
      <w:r/>
    </w:p>
    <w:p>
      <w:pPr>
        <w:ind w:firstLine="560"/>
        <w:jc w:val="both"/>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（3）乙方服务费支付比例和季度考核情况挂钩，见附件。</w:t>
      </w:r>
      <w:r/>
    </w:p>
    <w:p>
      <w:pPr>
        <w:ind w:firstLine="560"/>
        <w:jc w:val="both"/>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（4）履行合同期间费用超出合同金额，甲方不再支付合同金额以外的任何费用，乙方应无条件继续履行合同至服务期满。</w:t>
      </w:r>
      <w:r/>
    </w:p>
    <w:p>
      <w:pPr>
        <w:jc w:val="center"/>
        <w:spacing w:line="360" w:lineRule="auto"/>
        <w:rPr>
          <w:rFonts w:ascii="宋体" w:hAnsi="宋体" w:cs="宋体"/>
          <w:b/>
          <w:color w:val="auto"/>
          <w:szCs w:val="24"/>
          <w:highlight w:val="none"/>
        </w:rPr>
      </w:pPr>
      <w:r>
        <w:rPr>
          <w:rFonts w:hint="eastAsia" w:ascii="宋体" w:hAnsi="宋体" w:cs="宋体"/>
          <w:b/>
          <w:color w:val="auto"/>
          <w:szCs w:val="24"/>
          <w:highlight w:val="none"/>
        </w:rPr>
        <w:t xml:space="preserve">第九条  履约保证金</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签订合同前，乙方向甲方提供采购合同金额（合同总价）的10%的履约保证金。（乙方以支票、汇票、本票或者金融机构、担保机构出具的保函等非现金形式提交给甲方）。</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履约保证金退还时间、条件和不予退还的情形：</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退还时间：本项目服务期满后在收到乙方的请求后十日内退还。</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退还条件：本项目合同义务全部履行完毕。</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不予退还的情形：乙方拒绝履行或不完全、不适当履行合同义务，经甲方提出未予及时纠正的。</w:t>
      </w:r>
      <w:r/>
    </w:p>
    <w:p>
      <w:pPr>
        <w:jc w:val="center"/>
        <w:spacing w:line="360" w:lineRule="auto"/>
        <w:rPr>
          <w:rFonts w:ascii="宋体" w:hAnsi="宋体" w:cs="宋体"/>
          <w:b/>
          <w:color w:val="auto"/>
          <w:szCs w:val="24"/>
          <w:highlight w:val="none"/>
        </w:rPr>
      </w:pPr>
      <w:r>
        <w:rPr>
          <w:rFonts w:hint="eastAsia" w:ascii="宋体" w:hAnsi="宋体" w:cs="宋体"/>
          <w:b/>
          <w:color w:val="auto"/>
          <w:szCs w:val="24"/>
          <w:highlight w:val="none"/>
        </w:rPr>
        <w:t xml:space="preserve">第十条  </w:t>
      </w:r>
      <w:bookmarkStart w:id="14" w:name="_Hlk36581796"/>
      <w:r>
        <w:rPr>
          <w:rFonts w:hint="eastAsia" w:ascii="宋体" w:hAnsi="宋体" w:cs="宋体"/>
          <w:b/>
          <w:color w:val="auto"/>
          <w:szCs w:val="24"/>
          <w:highlight w:val="none"/>
        </w:rPr>
        <w:t xml:space="preserve">项目管理服务</w:t>
      </w:r>
      <w:bookmarkEnd w:id="14"/>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乙方要指定不少于一人全权全程负责本项目服务的落实，包括服务的咨询、执行和后续工作。</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项目负责人姓名：</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u w:val="single"/>
          <w:lang w:val="en-US" w:eastAsia="zh-CN"/>
        </w:rPr>
        <w:t xml:space="preserve"> </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 联系电话：</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u w:val="single"/>
          <w:lang w:val="en-US" w:eastAsia="zh-CN"/>
        </w:rPr>
        <w:t xml:space="preserve"> </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w:t>
      </w:r>
      <w:r/>
    </w:p>
    <w:p>
      <w:pPr>
        <w:numPr>
          <w:ilvl w:val="0"/>
          <w:numId w:val="8"/>
        </w:numPr>
        <w:jc w:val="center"/>
        <w:spacing w:line="360" w:lineRule="auto"/>
        <w:rPr>
          <w:rFonts w:ascii="宋体" w:hAnsi="宋体" w:cs="宋体"/>
          <w:b/>
          <w:color w:val="auto"/>
          <w:szCs w:val="24"/>
          <w:highlight w:val="none"/>
        </w:rPr>
      </w:pPr>
      <w:r/>
      <w:bookmarkStart w:id="15" w:name="_Hlk36581820"/>
      <w:r>
        <w:rPr>
          <w:rFonts w:hint="eastAsia" w:ascii="宋体" w:hAnsi="宋体" w:cs="宋体"/>
          <w:b/>
          <w:color w:val="auto"/>
          <w:szCs w:val="24"/>
          <w:highlight w:val="none"/>
        </w:rPr>
        <w:t xml:space="preserve">服务</w:t>
      </w:r>
      <w:bookmarkEnd w:id="15"/>
      <w:r>
        <w:rPr>
          <w:rFonts w:hint="eastAsia" w:ascii="宋体" w:hAnsi="宋体" w:cs="宋体"/>
          <w:b/>
          <w:color w:val="auto"/>
          <w:szCs w:val="24"/>
          <w:highlight w:val="none"/>
        </w:rPr>
        <w:t xml:space="preserve">质量</w:t>
      </w:r>
      <w:r/>
    </w:p>
    <w:p>
      <w:pPr>
        <w:ind w:firstLine="480"/>
        <w:jc w:val="both"/>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11.1乙方提供服务的质量保证期为自服务通过最终验收起</w:t>
      </w:r>
      <w:r>
        <w:rPr>
          <w:rFonts w:hint="eastAsia" w:ascii="宋体" w:hAnsi="宋体" w:cs="宋体"/>
          <w:color w:val="auto"/>
          <w:szCs w:val="24"/>
          <w:highlight w:val="none"/>
          <w:u w:val="single"/>
        </w:rPr>
        <w:t xml:space="preserve"> 12  </w:t>
      </w:r>
      <w:r>
        <w:rPr>
          <w:rFonts w:hint="eastAsia" w:ascii="宋体" w:hAnsi="宋体" w:cs="宋体"/>
          <w:color w:val="auto"/>
          <w:szCs w:val="24"/>
          <w:highlight w:val="none"/>
        </w:rPr>
        <w:t xml:space="preserve">个月。若国家有明确规定的质量保证期高于此质量保证期的，执行国家规定；服务期内更换的产品质保期为</w:t>
      </w:r>
      <w:r>
        <w:rPr>
          <w:rFonts w:hint="eastAsia" w:ascii="宋体" w:hAnsi="宋体" w:cs="宋体"/>
          <w:color w:val="auto"/>
          <w:szCs w:val="24"/>
          <w:highlight w:val="none"/>
          <w:lang w:val="en-US" w:eastAsia="zh-CN"/>
        </w:rPr>
        <w:t xml:space="preserve">五</w:t>
      </w:r>
      <w:r>
        <w:rPr>
          <w:rFonts w:hint="eastAsia" w:ascii="宋体" w:hAnsi="宋体" w:cs="宋体"/>
          <w:color w:val="auto"/>
          <w:szCs w:val="24"/>
          <w:highlight w:val="none"/>
        </w:rPr>
        <w:t xml:space="preserve">年。</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11.2服务期内，乙方应提供相关服务支持。对甲方所反映的任何服务问题乙方在</w:t>
      </w:r>
      <w:r>
        <w:rPr>
          <w:rFonts w:hint="eastAsia" w:ascii="宋体" w:hAnsi="宋体" w:cs="宋体"/>
          <w:color w:val="auto"/>
          <w:szCs w:val="24"/>
          <w:highlight w:val="none"/>
          <w:u w:val="single"/>
        </w:rPr>
        <w:t xml:space="preserve"> 1 </w:t>
      </w:r>
      <w:r>
        <w:rPr>
          <w:rFonts w:hint="eastAsia" w:ascii="宋体" w:hAnsi="宋体" w:cs="宋体"/>
          <w:color w:val="auto"/>
          <w:szCs w:val="24"/>
          <w:highlight w:val="none"/>
        </w:rPr>
        <w:t xml:space="preserve">小时之内做出及时响应，在</w:t>
      </w:r>
      <w:r>
        <w:rPr>
          <w:rFonts w:hint="eastAsia" w:ascii="宋体" w:hAnsi="宋体" w:cs="宋体"/>
          <w:color w:val="auto"/>
          <w:szCs w:val="24"/>
          <w:highlight w:val="none"/>
          <w:u w:val="single"/>
        </w:rPr>
        <w:t xml:space="preserve"> 1 </w:t>
      </w:r>
      <w:r>
        <w:rPr>
          <w:rFonts w:hint="eastAsia" w:ascii="宋体" w:hAnsi="宋体" w:cs="宋体"/>
          <w:color w:val="auto"/>
          <w:szCs w:val="24"/>
          <w:highlight w:val="none"/>
        </w:rPr>
        <w:t xml:space="preserve">小时之内赶到现场实地解决问题。若问题在</w:t>
      </w:r>
      <w:r>
        <w:rPr>
          <w:rFonts w:hint="eastAsia" w:ascii="宋体" w:hAnsi="宋体" w:cs="宋体"/>
          <w:color w:val="auto"/>
          <w:szCs w:val="24"/>
          <w:highlight w:val="none"/>
          <w:u w:val="single"/>
        </w:rPr>
        <w:t xml:space="preserve"> 24 </w:t>
      </w:r>
      <w:r>
        <w:rPr>
          <w:rFonts w:hint="eastAsia" w:ascii="宋体" w:hAnsi="宋体" w:cs="宋体"/>
          <w:color w:val="auto"/>
          <w:szCs w:val="24"/>
          <w:highlight w:val="none"/>
        </w:rPr>
        <w:t xml:space="preserve">小时后仍无法解决，乙方应在</w:t>
      </w:r>
      <w:r>
        <w:rPr>
          <w:rFonts w:hint="eastAsia" w:ascii="宋体" w:hAnsi="宋体" w:cs="宋体"/>
          <w:color w:val="auto"/>
          <w:szCs w:val="24"/>
          <w:highlight w:val="none"/>
          <w:u w:val="single"/>
        </w:rPr>
        <w:t xml:space="preserve"> 2 </w:t>
      </w:r>
      <w:r>
        <w:rPr>
          <w:rFonts w:hint="eastAsia" w:ascii="宋体" w:hAnsi="宋体" w:cs="宋体"/>
          <w:color w:val="auto"/>
          <w:szCs w:val="24"/>
          <w:highlight w:val="none"/>
        </w:rPr>
        <w:t xml:space="preserve">日内免费提供服务的补偿、替换方案，直至服务恢复正常。</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11.3乙方必须遵守甲方的有关管理制度、操作规程。对于乙方违规操作造成甲方损失的，由乙方按照本合同第十四条的约定承担赔偿责任。</w:t>
      </w:r>
      <w:r/>
    </w:p>
    <w:p>
      <w:pPr>
        <w:ind w:firstLine="480"/>
        <w:spacing w:line="360" w:lineRule="auto"/>
        <w:rPr>
          <w:rFonts w:ascii="宋体" w:hAnsi="宋体" w:cs="宋体"/>
          <w:b/>
          <w:color w:val="auto"/>
          <w:szCs w:val="24"/>
          <w:highlight w:val="none"/>
        </w:rPr>
      </w:pPr>
      <w:r>
        <w:rPr>
          <w:rFonts w:hint="eastAsia" w:ascii="宋体" w:hAnsi="宋体" w:cs="宋体"/>
          <w:color w:val="auto"/>
          <w:szCs w:val="24"/>
          <w:highlight w:val="none"/>
        </w:rPr>
        <w:t xml:space="preserve">11.4乙方服务质量达不到要求的，每次向甲方支付违约金</w:t>
      </w:r>
      <w:r>
        <w:rPr>
          <w:rFonts w:hint="eastAsia" w:ascii="宋体" w:hAnsi="宋体" w:cs="宋体"/>
          <w:color w:val="auto"/>
          <w:szCs w:val="24"/>
          <w:highlight w:val="none"/>
          <w:u w:val="single"/>
        </w:rPr>
        <w:t xml:space="preserve">  10000  </w:t>
      </w:r>
      <w:r>
        <w:rPr>
          <w:rFonts w:hint="eastAsia" w:ascii="宋体" w:hAnsi="宋体" w:cs="宋体"/>
          <w:color w:val="auto"/>
          <w:szCs w:val="24"/>
          <w:highlight w:val="none"/>
        </w:rPr>
        <w:t xml:space="preserve">元，并承担甲方寻求第三方服务发生的所有费用，包括诉讼费、律师费等。</w:t>
      </w:r>
      <w:r/>
    </w:p>
    <w:p>
      <w:pPr>
        <w:jc w:val="center"/>
        <w:spacing w:line="360" w:lineRule="auto"/>
        <w:rPr>
          <w:rFonts w:ascii="宋体" w:hAnsi="宋体" w:cs="宋体"/>
          <w:b/>
          <w:color w:val="auto"/>
          <w:szCs w:val="24"/>
          <w:highlight w:val="none"/>
        </w:rPr>
      </w:pPr>
      <w:r>
        <w:rPr>
          <w:rFonts w:hint="eastAsia" w:ascii="宋体" w:hAnsi="宋体" w:cs="宋体"/>
          <w:b/>
          <w:color w:val="auto"/>
          <w:szCs w:val="24"/>
          <w:highlight w:val="none"/>
        </w:rPr>
        <w:t xml:space="preserve">第十二条  </w:t>
      </w:r>
      <w:bookmarkStart w:id="16" w:name="_Hlk36581841"/>
      <w:r>
        <w:rPr>
          <w:rFonts w:hint="eastAsia" w:ascii="宋体" w:hAnsi="宋体" w:cs="宋体"/>
          <w:b/>
          <w:color w:val="auto"/>
          <w:szCs w:val="24"/>
          <w:highlight w:val="none"/>
        </w:rPr>
        <w:t xml:space="preserve">分包</w:t>
      </w:r>
      <w:bookmarkEnd w:id="16"/>
      <w:r/>
      <w:r/>
    </w:p>
    <w:p>
      <w:pPr>
        <w:ind w:firstLine="56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本项目中标后乙方不得分包、转包其应履行的合同义务。</w:t>
      </w:r>
      <w:r/>
    </w:p>
    <w:p>
      <w:pPr>
        <w:jc w:val="center"/>
        <w:spacing w:line="360" w:lineRule="auto"/>
        <w:rPr>
          <w:rFonts w:ascii="宋体" w:hAnsi="宋体" w:cs="宋体"/>
          <w:b/>
          <w:color w:val="auto"/>
          <w:szCs w:val="24"/>
          <w:highlight w:val="none"/>
        </w:rPr>
      </w:pPr>
      <w:r>
        <w:rPr>
          <w:rFonts w:hint="eastAsia" w:ascii="宋体" w:hAnsi="宋体" w:cs="宋体"/>
          <w:b/>
          <w:color w:val="auto"/>
          <w:szCs w:val="24"/>
          <w:highlight w:val="none"/>
        </w:rPr>
        <w:t xml:space="preserve">第十三条  </w:t>
      </w:r>
      <w:bookmarkStart w:id="17" w:name="_Hlk36581855"/>
      <w:r>
        <w:rPr>
          <w:rFonts w:hint="eastAsia" w:ascii="宋体" w:hAnsi="宋体" w:cs="宋体"/>
          <w:b/>
          <w:color w:val="auto"/>
          <w:szCs w:val="24"/>
          <w:highlight w:val="none"/>
        </w:rPr>
        <w:t xml:space="preserve">合同的生效</w:t>
      </w:r>
      <w:bookmarkEnd w:id="17"/>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13.1本合同由甲乙双方法定代表人或委托代表人签字并盖章生效。</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13.2生效后，除《政府采购法》第49条、第50条第二款规定的情形外，甲乙双方不得擅自变更、中止或终止合同。</w:t>
      </w:r>
      <w:r/>
    </w:p>
    <w:p>
      <w:pPr>
        <w:jc w:val="center"/>
        <w:spacing w:line="360" w:lineRule="auto"/>
        <w:rPr>
          <w:rFonts w:ascii="宋体" w:hAnsi="宋体" w:cs="宋体"/>
          <w:b/>
          <w:color w:val="auto"/>
          <w:szCs w:val="24"/>
          <w:highlight w:val="none"/>
        </w:rPr>
      </w:pPr>
      <w:r>
        <w:rPr>
          <w:rFonts w:hint="eastAsia" w:ascii="宋体" w:hAnsi="宋体" w:cs="宋体"/>
          <w:b/>
          <w:color w:val="auto"/>
          <w:szCs w:val="24"/>
          <w:highlight w:val="none"/>
        </w:rPr>
        <w:t xml:space="preserve">第十四条  </w:t>
      </w:r>
      <w:bookmarkStart w:id="18" w:name="_Hlk36581886"/>
      <w:r>
        <w:rPr>
          <w:rFonts w:hint="eastAsia" w:ascii="宋体" w:hAnsi="宋体" w:cs="宋体"/>
          <w:b/>
          <w:color w:val="auto"/>
          <w:szCs w:val="24"/>
          <w:highlight w:val="none"/>
        </w:rPr>
        <w:t xml:space="preserve">违约责任</w:t>
      </w:r>
      <w:bookmarkEnd w:id="18"/>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14.1因乙方违约导致合同终止的，相关责任和损失由乙方承担。</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14.2其它未尽事宜，以《民法典》和《政府采购法》等有关法律法规规定为准，无相关规定的，双方协商解决。</w:t>
      </w:r>
      <w:r/>
    </w:p>
    <w:p>
      <w:pPr>
        <w:jc w:val="center"/>
        <w:spacing w:line="360" w:lineRule="auto"/>
        <w:rPr>
          <w:rFonts w:ascii="宋体" w:hAnsi="宋体" w:cs="宋体"/>
          <w:b/>
          <w:color w:val="auto"/>
          <w:szCs w:val="24"/>
          <w:highlight w:val="none"/>
        </w:rPr>
      </w:pPr>
      <w:r>
        <w:rPr>
          <w:rFonts w:hint="eastAsia" w:ascii="宋体" w:hAnsi="宋体" w:cs="宋体"/>
          <w:b/>
          <w:color w:val="auto"/>
          <w:szCs w:val="24"/>
          <w:highlight w:val="none"/>
        </w:rPr>
        <w:t xml:space="preserve">第十五条  </w:t>
      </w:r>
      <w:bookmarkStart w:id="19" w:name="_Hlk36581932"/>
      <w:r>
        <w:rPr>
          <w:rFonts w:hint="eastAsia" w:ascii="宋体" w:hAnsi="宋体" w:cs="宋体"/>
          <w:b/>
          <w:color w:val="auto"/>
          <w:szCs w:val="24"/>
          <w:highlight w:val="none"/>
        </w:rPr>
        <w:t xml:space="preserve">不可抗力</w:t>
      </w:r>
      <w:bookmarkEnd w:id="19"/>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15.1.双方中任何一方遭遇法律规定的不可抗力，致使合同履行受阻时，履行合同的期限应予延长，延长的期限应相当于不可抗力所影响的时间。</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15.2受事故影响的一方应在不可抗力的事故发生后 3 日内以书面形式通知另一方。</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15.3未履行的部分是否继续履行、如何履行等问题，可由双方初步协商，并向主管部门和政府采购管理部门报告。</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15.4不可抗力使合同的某些内容有变更必要的， 双方应通过协商达成进一步履行合同的协议，因不可抗力致使合同不能履行的，合同终止。</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15.5甲方基于公共利益需要或维护法定权益需要可单方变更、中止合同。</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15.6确定为不可抗力原因造成的损失，免予承担责任。在合同终止情况下，对于已经履行的部分，予以结算服务费用。</w:t>
      </w:r>
      <w:r/>
    </w:p>
    <w:p>
      <w:pPr>
        <w:jc w:val="center"/>
        <w:spacing w:line="360" w:lineRule="auto"/>
        <w:rPr>
          <w:rFonts w:ascii="宋体" w:hAnsi="宋体" w:cs="宋体"/>
          <w:b/>
          <w:color w:val="auto"/>
          <w:szCs w:val="24"/>
          <w:highlight w:val="none"/>
        </w:rPr>
      </w:pPr>
      <w:r>
        <w:rPr>
          <w:rFonts w:hint="eastAsia" w:ascii="宋体" w:hAnsi="宋体" w:cs="宋体"/>
          <w:b/>
          <w:color w:val="auto"/>
          <w:szCs w:val="24"/>
          <w:highlight w:val="none"/>
        </w:rPr>
        <w:t xml:space="preserve">第十六条  </w:t>
      </w:r>
      <w:bookmarkStart w:id="20" w:name="_Hlk36581953"/>
      <w:r>
        <w:rPr>
          <w:rFonts w:hint="eastAsia" w:ascii="宋体" w:hAnsi="宋体" w:cs="宋体"/>
          <w:b/>
          <w:color w:val="auto"/>
          <w:szCs w:val="24"/>
          <w:highlight w:val="none"/>
        </w:rPr>
        <w:t xml:space="preserve">争议的解决方式</w:t>
      </w:r>
      <w:bookmarkEnd w:id="20"/>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16.1因服务质量问题发生争议的，双方协商解决</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经协商不能解决的争议，双方可向甲方所在地人民法院提起诉讼解决。</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16.2在解释或者执行本合同的过程中发生争议时，双方应通过协商方式解决。</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16.3经协商不能解决的争议，双方可向徐州市人民法院提起诉讼解决。</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16.4在法院审理期间，除有争议部分外，本合同其他部分可以履行的仍应按合同条款继续履行。</w:t>
      </w:r>
      <w:r/>
    </w:p>
    <w:p>
      <w:pPr>
        <w:jc w:val="center"/>
        <w:spacing w:line="360" w:lineRule="auto"/>
        <w:rPr>
          <w:rFonts w:ascii="宋体" w:hAnsi="宋体" w:cs="宋体"/>
          <w:b/>
          <w:color w:val="auto"/>
          <w:szCs w:val="24"/>
          <w:highlight w:val="none"/>
        </w:rPr>
      </w:pPr>
      <w:r>
        <w:rPr>
          <w:rFonts w:hint="eastAsia" w:ascii="宋体" w:hAnsi="宋体" w:cs="宋体"/>
          <w:b/>
          <w:color w:val="auto"/>
          <w:szCs w:val="24"/>
          <w:highlight w:val="none"/>
        </w:rPr>
        <w:t xml:space="preserve">第十七条  </w:t>
      </w:r>
      <w:bookmarkStart w:id="21" w:name="_Hlk36582013"/>
      <w:r>
        <w:rPr>
          <w:rFonts w:hint="eastAsia" w:ascii="宋体" w:hAnsi="宋体" w:cs="宋体"/>
          <w:b/>
          <w:color w:val="auto"/>
          <w:szCs w:val="24"/>
          <w:highlight w:val="none"/>
        </w:rPr>
        <w:t xml:space="preserve">其他</w:t>
      </w:r>
      <w:bookmarkEnd w:id="21"/>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17.1本合同任何一方给另一方的通知，都应以书面形式发送，而另一方也应以书面形式确认并发送到对方明确的地址。</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17.2 甲乙双方任何一方应当将其通讯联系方式及地址的任何变化书面通知另一方，否则以本合同约定通讯联系方式对本合同约定原地址的送达视为已经送达。</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17.3本合同一式</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u w:val="single"/>
          <w:lang w:val="en-US" w:eastAsia="zh-CN"/>
        </w:rPr>
        <w:t xml:space="preserve">肆</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份，具有同等法律效力。甲乙双方各执</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u w:val="single"/>
          <w:lang w:val="en-US" w:eastAsia="zh-CN"/>
        </w:rPr>
        <w:t xml:space="preserve">贰</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份。</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17.4本合同一切税费由乙方承担。</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17.5本合同未尽事宜，甲乙双方可以协商签订补充协议，所签订的补充合同与本合同具有同等法律效力。</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17.6本合同由甲乙双方法定代表人或委托代表人签字并盖章生效。</w:t>
      </w:r>
      <w:r/>
    </w:p>
    <w:p>
      <w:pPr>
        <w:spacing w:line="360" w:lineRule="auto"/>
        <w:rPr>
          <w:rFonts w:ascii="宋体" w:hAnsi="宋体" w:cs="宋体"/>
          <w:color w:val="auto"/>
          <w:szCs w:val="24"/>
          <w:highlight w:val="none"/>
        </w:rPr>
      </w:pPr>
      <w:r>
        <w:rPr>
          <w:rFonts w:ascii="宋体" w:hAnsi="宋体" w:cs="宋体"/>
          <w:color w:val="auto"/>
          <w:szCs w:val="24"/>
          <w:highlight w:val="none"/>
        </w:rPr>
      </w:r>
      <w:r/>
    </w:p>
    <w:p>
      <w:pPr>
        <w:spacing w:line="360" w:lineRule="auto"/>
        <w:rPr>
          <w:rFonts w:ascii="宋体" w:hAnsi="宋体" w:cs="宋体"/>
          <w:color w:val="auto"/>
          <w:szCs w:val="24"/>
          <w:highlight w:val="none"/>
        </w:rPr>
      </w:pPr>
      <w:r>
        <w:rPr>
          <w:rFonts w:ascii="宋体" w:hAnsi="宋体" w:cs="宋体"/>
          <w:color w:val="auto"/>
          <w:szCs w:val="24"/>
          <w:highlight w:val="none"/>
        </w:rPr>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甲    方：（公章）　　　　　　　　　乙    方：（公章）</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法定代表人                          法定代表人</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或委托代表人（签字）：              或委托代表人（签字）：         </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签字日期：    年    月    日      　签字日期：    年    月    日   </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联系人：                            联系人：                </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电　话：                            电　话：                </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电子信箱：                          电子信箱：               </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地　　址：                          地　　址：                    </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邮政编码：                          邮政编码：              </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开户银行：                          开户银行：              </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账　　号：                          账　　号：         </w:t>
      </w:r>
      <w:r/>
    </w:p>
    <w:p>
      <w:pPr>
        <w:spacing w:line="360" w:lineRule="auto"/>
        <w:rPr>
          <w:rFonts w:hint="eastAsia" w:ascii="宋体" w:hAnsi="宋体" w:cs="宋体"/>
          <w:b/>
          <w:color w:val="auto"/>
          <w:szCs w:val="24"/>
          <w:highlight w:val="none"/>
        </w:rPr>
      </w:pPr>
      <w:r>
        <w:rPr>
          <w:rFonts w:hint="eastAsia" w:ascii="宋体" w:hAnsi="宋体" w:cs="宋体"/>
          <w:b/>
          <w:color w:val="auto"/>
          <w:szCs w:val="24"/>
          <w:highlight w:val="none"/>
        </w:rPr>
      </w:r>
      <w:r/>
    </w:p>
    <w:p>
      <w:pPr>
        <w:spacing w:line="360" w:lineRule="auto"/>
        <w:rPr>
          <w:rFonts w:hint="eastAsia" w:ascii="宋体" w:hAnsi="宋体" w:cs="宋体"/>
          <w:b/>
          <w:bCs/>
          <w:color w:val="auto"/>
          <w:szCs w:val="24"/>
          <w:highlight w:val="none"/>
        </w:rPr>
      </w:pPr>
      <w:r>
        <w:rPr>
          <w:rFonts w:hint="eastAsia" w:ascii="宋体" w:hAnsi="宋体" w:cs="宋体"/>
          <w:b/>
          <w:color w:val="auto"/>
          <w:szCs w:val="24"/>
          <w:highlight w:val="none"/>
        </w:rPr>
        <w:t xml:space="preserve">合同附件1</w:t>
      </w:r>
      <w:r>
        <w:rPr>
          <w:rFonts w:hint="eastAsia" w:ascii="宋体" w:hAnsi="宋体" w:cs="宋体"/>
          <w:b/>
          <w:color w:val="auto"/>
          <w:szCs w:val="24"/>
          <w:highlight w:val="none"/>
          <w:lang w:eastAsia="zh-CN"/>
        </w:rPr>
        <w:t xml:space="preserve">：</w:t>
      </w:r>
      <w:r>
        <w:rPr>
          <w:rFonts w:hint="eastAsia" w:ascii="宋体" w:hAnsi="宋体" w:cs="宋体"/>
          <w:b/>
          <w:bCs/>
          <w:color w:val="auto"/>
          <w:szCs w:val="24"/>
          <w:highlight w:val="none"/>
        </w:rPr>
        <w:t xml:space="preserve">交通信号系统维护工作服务考评办法</w:t>
      </w:r>
      <w:r/>
    </w:p>
    <w:p>
      <w:pPr>
        <w:spacing w:line="360" w:lineRule="auto"/>
        <w:rPr>
          <w:rFonts w:hint="eastAsia" w:ascii="宋体" w:hAnsi="宋体" w:cs="宋体"/>
          <w:b/>
          <w:bCs/>
          <w:color w:val="auto"/>
          <w:szCs w:val="24"/>
          <w:highlight w:val="none"/>
        </w:rPr>
      </w:pPr>
      <w:r>
        <w:rPr>
          <w:rFonts w:hint="eastAsia" w:ascii="宋体" w:hAnsi="宋体" w:cs="宋体"/>
          <w:b/>
          <w:color w:val="auto"/>
          <w:szCs w:val="24"/>
          <w:highlight w:val="none"/>
        </w:rPr>
        <w:t xml:space="preserve">合同附件2</w:t>
      </w:r>
      <w:r>
        <w:rPr>
          <w:rFonts w:hint="eastAsia" w:ascii="宋体" w:hAnsi="宋体" w:cs="宋体"/>
          <w:b/>
          <w:color w:val="auto"/>
          <w:szCs w:val="24"/>
          <w:highlight w:val="none"/>
          <w:lang w:eastAsia="zh-CN"/>
        </w:rPr>
        <w:t xml:space="preserve">：</w:t>
      </w:r>
      <w:r>
        <w:rPr>
          <w:rFonts w:hint="eastAsia" w:ascii="宋体" w:hAnsi="宋体" w:eastAsia="宋体" w:cs="宋体"/>
          <w:b/>
          <w:bCs w:val="0"/>
          <w:color w:val="auto"/>
          <w:sz w:val="21"/>
          <w:szCs w:val="24"/>
          <w:highlight w:val="none"/>
        </w:rPr>
        <w:t xml:space="preserve">保密协议</w:t>
      </w:r>
      <w:r>
        <w:rPr>
          <w:rFonts w:hint="eastAsia" w:ascii="宋体" w:hAnsi="宋体" w:eastAsia="宋体" w:cs="宋体"/>
          <w:b/>
          <w:bCs w:val="0"/>
          <w:color w:val="auto"/>
          <w:sz w:val="21"/>
          <w:szCs w:val="24"/>
          <w:highlight w:val="none"/>
          <w:lang w:eastAsia="zh-CN"/>
        </w:rPr>
        <w:t xml:space="preserve">（</w:t>
      </w:r>
      <w:r>
        <w:rPr>
          <w:rFonts w:hint="eastAsia" w:ascii="宋体" w:hAnsi="宋体" w:eastAsia="宋体" w:cs="宋体"/>
          <w:b/>
          <w:bCs w:val="0"/>
          <w:color w:val="auto"/>
          <w:sz w:val="21"/>
          <w:szCs w:val="24"/>
          <w:highlight w:val="none"/>
          <w:lang w:val="en-US" w:eastAsia="zh-CN"/>
        </w:rPr>
        <w:t xml:space="preserve">中标后根据采购人要求签订）</w:t>
      </w:r>
      <w:r/>
    </w:p>
    <w:p>
      <w:pPr>
        <w:spacing w:line="360" w:lineRule="auto"/>
        <w:rPr>
          <w:rFonts w:ascii="宋体" w:hAnsi="宋体" w:cs="宋体"/>
          <w:b/>
          <w:bCs/>
          <w:color w:val="auto"/>
          <w:szCs w:val="24"/>
          <w:highlight w:val="none"/>
        </w:rPr>
      </w:pPr>
      <w:r>
        <w:rPr>
          <w:rFonts w:hint="eastAsia" w:ascii="宋体" w:hAnsi="宋体" w:cs="宋体"/>
          <w:b/>
          <w:color w:val="auto"/>
          <w:szCs w:val="24"/>
          <w:highlight w:val="none"/>
        </w:rPr>
        <w:br w:type="page" w:clear="all"/>
      </w:r>
      <w:r>
        <w:rPr>
          <w:rFonts w:hint="eastAsia" w:ascii="宋体" w:hAnsi="宋体" w:cs="宋体"/>
          <w:b/>
          <w:color w:val="auto"/>
          <w:szCs w:val="24"/>
          <w:highlight w:val="none"/>
        </w:rPr>
        <w:t xml:space="preserve">合同附件1</w:t>
      </w:r>
      <w:r/>
    </w:p>
    <w:p>
      <w:pPr>
        <w:jc w:val="center"/>
        <w:spacing w:line="360" w:lineRule="auto"/>
        <w:rPr>
          <w:rFonts w:ascii="宋体" w:hAnsi="宋体" w:cs="宋体"/>
          <w:b/>
          <w:bCs/>
          <w:color w:val="auto"/>
          <w:szCs w:val="24"/>
          <w:highlight w:val="none"/>
        </w:rPr>
      </w:pPr>
      <w:r>
        <w:rPr>
          <w:rFonts w:hint="eastAsia" w:ascii="宋体" w:hAnsi="宋体" w:cs="宋体"/>
          <w:b/>
          <w:bCs/>
          <w:color w:val="auto"/>
          <w:szCs w:val="24"/>
          <w:highlight w:val="none"/>
        </w:rPr>
        <w:t xml:space="preserve">交通信号系统维护工作服务考评办法</w:t>
      </w:r>
      <w:r/>
    </w:p>
    <w:p>
      <w:pPr>
        <w:ind w:firstLine="480"/>
        <w:spacing w:line="336" w:lineRule="auto"/>
        <w:rPr>
          <w:rFonts w:ascii="宋体" w:hAnsi="宋体" w:cs="宋体"/>
          <w:color w:val="auto"/>
          <w:szCs w:val="24"/>
          <w:highlight w:val="none"/>
        </w:rPr>
      </w:pPr>
      <w:r>
        <w:rPr>
          <w:rFonts w:hint="eastAsia" w:ascii="宋体" w:hAnsi="宋体" w:cs="宋体"/>
          <w:color w:val="auto"/>
          <w:szCs w:val="24"/>
          <w:highlight w:val="none"/>
        </w:rPr>
        <w:t xml:space="preserve">一、公安主管部门考核</w:t>
      </w:r>
      <w:r/>
    </w:p>
    <w:p>
      <w:pPr>
        <w:ind w:firstLine="560"/>
        <w:spacing w:line="336" w:lineRule="auto"/>
        <w:rPr>
          <w:rFonts w:ascii="宋体" w:hAnsi="宋体" w:cs="宋体"/>
          <w:color w:val="auto"/>
          <w:szCs w:val="24"/>
          <w:highlight w:val="none"/>
        </w:rPr>
      </w:pPr>
      <w:r>
        <w:rPr>
          <w:rFonts w:hint="eastAsia" w:ascii="宋体" w:hAnsi="宋体" w:cs="宋体"/>
          <w:color w:val="auto"/>
          <w:szCs w:val="24"/>
          <w:highlight w:val="none"/>
        </w:rPr>
        <w:t xml:space="preserve">由交管支队组成考核小组（考核小组人数为3人以上单数），每</w:t>
      </w:r>
      <w:r>
        <w:rPr>
          <w:rFonts w:hint="eastAsia" w:ascii="宋体" w:hAnsi="宋体" w:cs="宋体"/>
          <w:color w:val="auto"/>
          <w:szCs w:val="24"/>
          <w:highlight w:val="none"/>
          <w:lang w:val="en-US" w:eastAsia="zh-CN"/>
        </w:rPr>
        <w:t xml:space="preserve">月</w:t>
      </w:r>
      <w:r>
        <w:rPr>
          <w:rFonts w:hint="eastAsia" w:ascii="宋体" w:hAnsi="宋体" w:cs="宋体"/>
          <w:color w:val="auto"/>
          <w:szCs w:val="24"/>
          <w:highlight w:val="none"/>
        </w:rPr>
        <w:t xml:space="preserve">进行考核。检查方式采取日常巡查和专项检查相结合的方式。</w:t>
      </w:r>
      <w:r/>
    </w:p>
    <w:p>
      <w:pPr>
        <w:ind w:firstLine="480"/>
        <w:spacing w:line="336" w:lineRule="auto"/>
        <w:rPr>
          <w:rFonts w:ascii="宋体" w:hAnsi="宋体" w:cs="宋体"/>
          <w:color w:val="auto"/>
          <w:szCs w:val="24"/>
          <w:highlight w:val="none"/>
        </w:rPr>
      </w:pPr>
      <w:r>
        <w:rPr>
          <w:rFonts w:hint="eastAsia" w:ascii="宋体" w:hAnsi="宋体" w:cs="宋体"/>
          <w:color w:val="auto"/>
          <w:szCs w:val="24"/>
          <w:highlight w:val="none"/>
        </w:rPr>
        <w:t xml:space="preserve">二、考核办法及加、扣分细则</w:t>
      </w:r>
      <w:r/>
    </w:p>
    <w:p>
      <w:pPr>
        <w:ind w:firstLine="560"/>
        <w:spacing w:line="336" w:lineRule="auto"/>
        <w:rPr>
          <w:rFonts w:ascii="宋体" w:hAnsi="宋体" w:cs="宋体"/>
          <w:color w:val="auto"/>
          <w:szCs w:val="24"/>
          <w:highlight w:val="none"/>
        </w:rPr>
      </w:pPr>
      <w:r>
        <w:rPr>
          <w:rFonts w:hint="eastAsia" w:ascii="宋体" w:hAnsi="宋体" w:cs="宋体"/>
          <w:color w:val="auto"/>
          <w:szCs w:val="24"/>
          <w:highlight w:val="none"/>
          <w:lang w:eastAsia="zh-CN"/>
        </w:rPr>
        <w:t xml:space="preserve">1.</w:t>
      </w:r>
      <w:r>
        <w:rPr>
          <w:rFonts w:hint="eastAsia" w:ascii="宋体" w:hAnsi="宋体" w:cs="宋体"/>
          <w:color w:val="auto"/>
          <w:szCs w:val="24"/>
          <w:highlight w:val="none"/>
        </w:rPr>
        <w:t xml:space="preserve">中标单位应按照招标文件规定的响应时间，保质保量按时完成交管支队下达维护工作任务。</w:t>
      </w:r>
      <w:r/>
    </w:p>
    <w:p>
      <w:pPr>
        <w:ind w:firstLine="560"/>
        <w:spacing w:line="336" w:lineRule="auto"/>
        <w:rPr>
          <w:rFonts w:ascii="宋体" w:hAnsi="宋体" w:cs="宋体"/>
          <w:color w:val="auto"/>
          <w:szCs w:val="24"/>
          <w:highlight w:val="none"/>
        </w:rPr>
      </w:pPr>
      <w:r>
        <w:rPr>
          <w:rFonts w:hint="eastAsia" w:ascii="宋体" w:hAnsi="宋体" w:cs="宋体"/>
          <w:color w:val="auto"/>
          <w:szCs w:val="24"/>
          <w:highlight w:val="none"/>
          <w:lang w:eastAsia="zh-CN"/>
        </w:rPr>
        <w:t xml:space="preserve">2.</w:t>
      </w:r>
      <w:r>
        <w:rPr>
          <w:rFonts w:hint="eastAsia" w:ascii="宋体" w:hAnsi="宋体" w:cs="宋体"/>
          <w:color w:val="auto"/>
          <w:szCs w:val="24"/>
          <w:highlight w:val="none"/>
        </w:rPr>
        <w:t xml:space="preserve">在日常维护过程中，采购人对每一项维护项目，根据标准和要求进行考核，发现维护单位如有违反管理规定，扣除相应的分值，并开具《整改（扣分）通知书》，由中标单位项目经理签字，存档。</w:t>
      </w:r>
      <w:r/>
    </w:p>
    <w:p>
      <w:pPr>
        <w:ind w:firstLine="560"/>
        <w:spacing w:line="336" w:lineRule="auto"/>
        <w:rPr>
          <w:rFonts w:ascii="宋体" w:hAnsi="宋体" w:cs="宋体"/>
          <w:color w:val="auto"/>
          <w:szCs w:val="24"/>
          <w:highlight w:val="none"/>
        </w:rPr>
      </w:pPr>
      <w:r>
        <w:rPr>
          <w:rFonts w:hint="eastAsia" w:ascii="宋体" w:hAnsi="宋体" w:cs="宋体"/>
          <w:color w:val="auto"/>
          <w:szCs w:val="24"/>
          <w:highlight w:val="none"/>
          <w:lang w:eastAsia="zh-CN"/>
        </w:rPr>
        <w:t xml:space="preserve">3.</w:t>
      </w:r>
      <w:r>
        <w:rPr>
          <w:rFonts w:hint="eastAsia" w:ascii="宋体" w:hAnsi="宋体" w:cs="宋体"/>
          <w:color w:val="auto"/>
          <w:szCs w:val="24"/>
          <w:highlight w:val="none"/>
        </w:rPr>
        <w:t xml:space="preserve">中标单位在接到交通主管部门《整改（扣分）通知书》后，未按规定的时间要求进行整改的，将取消其维护资格。</w:t>
      </w:r>
      <w:r/>
    </w:p>
    <w:p>
      <w:pPr>
        <w:ind w:firstLine="560"/>
        <w:spacing w:line="336" w:lineRule="auto"/>
        <w:rPr>
          <w:rFonts w:ascii="宋体" w:hAnsi="宋体" w:cs="宋体"/>
          <w:color w:val="auto"/>
          <w:szCs w:val="24"/>
          <w:highlight w:val="none"/>
        </w:rPr>
      </w:pPr>
      <w:r>
        <w:rPr>
          <w:rFonts w:hint="eastAsia" w:ascii="宋体" w:hAnsi="宋体" w:cs="宋体"/>
          <w:color w:val="auto"/>
          <w:szCs w:val="24"/>
          <w:highlight w:val="none"/>
          <w:lang w:eastAsia="zh-CN"/>
        </w:rPr>
        <w:t xml:space="preserve">4.</w:t>
      </w:r>
      <w:r>
        <w:rPr>
          <w:rFonts w:hint="eastAsia" w:ascii="宋体" w:hAnsi="宋体" w:cs="宋体"/>
          <w:color w:val="auto"/>
          <w:szCs w:val="24"/>
          <w:highlight w:val="none"/>
        </w:rPr>
        <w:t xml:space="preserve">中标单位在合同期限内，维护项目完成出色，得到社会好评，或通过技术革新、高科技手段、新产品显著提高交通效率，主管部门将进行加分，加分分值可以冲抵扣分分值</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但不得超过扣减分值</w:t>
      </w:r>
      <w:r>
        <w:rPr>
          <w:rFonts w:hint="eastAsia" w:ascii="宋体" w:hAnsi="宋体" w:cs="宋体"/>
          <w:color w:val="auto"/>
          <w:szCs w:val="24"/>
          <w:highlight w:val="none"/>
        </w:rPr>
        <w:t xml:space="preserve">。</w:t>
      </w:r>
      <w:r/>
    </w:p>
    <w:p>
      <w:pPr>
        <w:ind w:firstLine="560"/>
        <w:spacing w:line="336" w:lineRule="auto"/>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eastAsia="zh-CN"/>
        </w:rPr>
        <w:t xml:space="preserve">5.</w:t>
      </w:r>
      <w:r>
        <w:rPr>
          <w:rFonts w:hint="eastAsia" w:ascii="宋体" w:hAnsi="宋体" w:cs="宋体"/>
          <w:color w:val="auto"/>
          <w:szCs w:val="24"/>
          <w:highlight w:val="none"/>
        </w:rPr>
        <w:t xml:space="preserve">考核</w:t>
      </w:r>
      <w:r>
        <w:rPr>
          <w:rFonts w:hint="eastAsia" w:ascii="宋体" w:hAnsi="宋体" w:cs="宋体"/>
          <w:color w:val="auto"/>
          <w:szCs w:val="24"/>
          <w:highlight w:val="none"/>
          <w:lang w:val="en-US" w:eastAsia="zh-CN"/>
        </w:rPr>
        <w:t xml:space="preserve">处理</w:t>
      </w:r>
      <w:r/>
    </w:p>
    <w:p>
      <w:pPr>
        <w:ind w:firstLine="560"/>
        <w:spacing w:line="336" w:lineRule="auto"/>
        <w:rPr>
          <w:rFonts w:ascii="宋体" w:hAnsi="宋体" w:cs="宋体"/>
          <w:color w:val="auto"/>
          <w:szCs w:val="24"/>
          <w:highlight w:val="none"/>
        </w:rPr>
      </w:pPr>
      <w:r>
        <w:rPr>
          <w:rFonts w:hint="eastAsia" w:ascii="宋体" w:hAnsi="宋体" w:cs="宋体"/>
          <w:color w:val="auto"/>
          <w:szCs w:val="24"/>
          <w:highlight w:val="none"/>
        </w:rPr>
        <w:t xml:space="preserve">考核采用计分制，每扣除一分相应扣除</w:t>
      </w:r>
      <w:r>
        <w:rPr>
          <w:rFonts w:hint="eastAsia" w:ascii="宋体" w:hAnsi="宋体" w:cs="宋体"/>
          <w:color w:val="auto"/>
          <w:szCs w:val="24"/>
          <w:highlight w:val="none"/>
          <w:lang w:val="en-US" w:eastAsia="zh-CN"/>
        </w:rPr>
        <w:t xml:space="preserve">支付款3</w:t>
      </w:r>
      <w:r>
        <w:rPr>
          <w:rFonts w:hint="eastAsia" w:ascii="宋体" w:hAnsi="宋体" w:cs="宋体"/>
          <w:color w:val="auto"/>
          <w:szCs w:val="24"/>
          <w:highlight w:val="none"/>
        </w:rPr>
        <w:t xml:space="preserve">000元</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以</w:t>
      </w:r>
      <w:r>
        <w:rPr>
          <w:rFonts w:hint="eastAsia" w:ascii="宋体" w:hAnsi="宋体" w:cs="宋体"/>
          <w:color w:val="auto"/>
          <w:szCs w:val="24"/>
          <w:highlight w:val="none"/>
          <w:lang w:val="en-US" w:eastAsia="zh-CN"/>
        </w:rPr>
        <w:t xml:space="preserve">1个月</w:t>
      </w:r>
      <w:r>
        <w:rPr>
          <w:rFonts w:hint="eastAsia" w:ascii="宋体" w:hAnsi="宋体" w:cs="宋体"/>
          <w:color w:val="auto"/>
          <w:szCs w:val="24"/>
          <w:highlight w:val="none"/>
        </w:rPr>
        <w:t xml:space="preserve">为</w:t>
      </w:r>
      <w:r>
        <w:rPr>
          <w:rFonts w:hint="eastAsia" w:ascii="宋体" w:hAnsi="宋体" w:cs="宋体"/>
          <w:color w:val="auto"/>
          <w:szCs w:val="24"/>
          <w:highlight w:val="none"/>
          <w:lang w:val="en-US" w:eastAsia="zh-CN"/>
        </w:rPr>
        <w:t xml:space="preserve">1个</w:t>
      </w:r>
      <w:r>
        <w:rPr>
          <w:rFonts w:hint="eastAsia" w:ascii="宋体" w:hAnsi="宋体" w:cs="宋体"/>
          <w:color w:val="auto"/>
          <w:szCs w:val="24"/>
          <w:highlight w:val="none"/>
        </w:rPr>
        <w:t xml:space="preserve">考核</w:t>
      </w:r>
      <w:r>
        <w:rPr>
          <w:rFonts w:hint="eastAsia" w:ascii="宋体" w:hAnsi="宋体" w:cs="宋体"/>
          <w:color w:val="auto"/>
          <w:szCs w:val="24"/>
          <w:highlight w:val="none"/>
          <w:lang w:val="en-US" w:eastAsia="zh-CN"/>
        </w:rPr>
        <w:t xml:space="preserve">周期</w:t>
      </w:r>
      <w:r>
        <w:rPr>
          <w:rFonts w:hint="eastAsia" w:ascii="宋体" w:hAnsi="宋体" w:cs="宋体"/>
          <w:color w:val="auto"/>
          <w:szCs w:val="24"/>
          <w:highlight w:val="none"/>
        </w:rPr>
        <w:t xml:space="preserve">，按照</w:t>
      </w:r>
      <w:r>
        <w:rPr>
          <w:rFonts w:hint="eastAsia" w:ascii="宋体" w:hAnsi="宋体" w:cs="宋体"/>
          <w:color w:val="auto"/>
          <w:szCs w:val="24"/>
          <w:highlight w:val="none"/>
          <w:lang w:val="en-US" w:eastAsia="zh-CN"/>
        </w:rPr>
        <w:t xml:space="preserve">考核结果和合同约定进行支付款项调整</w:t>
      </w:r>
      <w:r>
        <w:rPr>
          <w:rFonts w:hint="eastAsia" w:ascii="宋体" w:hAnsi="宋体" w:cs="宋体"/>
          <w:color w:val="auto"/>
          <w:szCs w:val="24"/>
          <w:highlight w:val="none"/>
        </w:rPr>
        <w:t xml:space="preserve">。</w:t>
      </w:r>
      <w:r/>
    </w:p>
    <w:tbl>
      <w:tblPr>
        <w:tblStyle w:val="851"/>
        <w:tblW w:w="8522" w:type="dxa"/>
        <w:jc w:val="center"/>
        <w:tblLayout w:type="fixed"/>
        <w:tblCellMar>
          <w:left w:w="108" w:type="dxa"/>
          <w:top w:w="0" w:type="dxa"/>
          <w:right w:w="108" w:type="dxa"/>
          <w:bottom w:w="0" w:type="dxa"/>
        </w:tblCellMar>
        <w:tblLook w:val="04A0" w:firstRow="1" w:lastRow="0" w:firstColumn="1" w:lastColumn="0" w:noHBand="0" w:noVBand="1"/>
      </w:tblPr>
      <w:tblGrid>
        <w:gridCol w:w="526"/>
        <w:gridCol w:w="983"/>
        <w:gridCol w:w="5657"/>
        <w:gridCol w:w="761"/>
        <w:gridCol w:w="595"/>
      </w:tblGrid>
      <w:tr>
        <w:trPr>
          <w:jc w:val="center"/>
          <w:trHeight w:val="736"/>
        </w:trPr>
        <w:tc>
          <w:tcPr>
            <w:gridSpan w:val="5"/>
            <w:tcBorders>
              <w:top w:val="none" w:color="000000" w:sz="4" w:space="0"/>
              <w:left w:val="none" w:color="000000" w:sz="4" w:space="0"/>
              <w:bottom w:val="none" w:color="000000" w:sz="4" w:space="0"/>
              <w:right w:val="none" w:color="000000" w:sz="4" w:space="0"/>
            </w:tcBorders>
            <w:tcW w:w="8522" w:type="dxa"/>
            <w:vAlign w:val="center"/>
            <w:textDirection w:val="lrTb"/>
            <w:noWrap w:val="false"/>
          </w:tcPr>
          <w:p>
            <w:pPr>
              <w:jc w:val="center"/>
              <w:spacing w:line="312" w:lineRule="auto"/>
              <w:rPr>
                <w:rFonts w:ascii="宋体" w:hAnsi="宋体" w:cs="宋体"/>
                <w:b/>
                <w:bCs/>
                <w:color w:val="auto"/>
                <w:sz w:val="21"/>
                <w:szCs w:val="21"/>
                <w:highlight w:val="none"/>
              </w:rPr>
            </w:pPr>
            <w:r>
              <w:rPr>
                <w:rFonts w:hint="eastAsia" w:ascii="宋体" w:hAnsi="宋体" w:cs="宋体"/>
                <w:color w:val="auto"/>
                <w:sz w:val="21"/>
                <w:szCs w:val="21"/>
                <w:highlight w:val="none"/>
              </w:rPr>
              <w:tab/>
            </w:r>
            <w:r>
              <w:rPr>
                <w:rFonts w:hint="eastAsia" w:ascii="宋体" w:hAnsi="宋体" w:cs="宋体"/>
                <w:b/>
                <w:bCs/>
                <w:color w:val="auto"/>
                <w:sz w:val="21"/>
                <w:szCs w:val="21"/>
                <w:highlight w:val="none"/>
              </w:rPr>
              <w:t xml:space="preserve">考核评分表（明查/暗查）</w:t>
            </w:r>
            <w:r/>
          </w:p>
        </w:tc>
      </w:tr>
      <w:tr>
        <w:trPr>
          <w:jc w:val="center"/>
          <w:trHeight w:val="311"/>
        </w:trPr>
        <w:tc>
          <w:tcPr>
            <w:gridSpan w:val="5"/>
            <w:tcBorders>
              <w:top w:val="none" w:color="000000" w:sz="4" w:space="0"/>
              <w:left w:val="none" w:color="000000" w:sz="4" w:space="0"/>
              <w:bottom w:val="single" w:color="auto" w:sz="4" w:space="0"/>
              <w:right w:val="none" w:color="000000" w:sz="4" w:space="0"/>
            </w:tcBorders>
            <w:tcW w:w="8522" w:type="dxa"/>
            <w:vAlign w:val="center"/>
            <w:textDirection w:val="lrTb"/>
            <w:noWrap w:val="false"/>
          </w:tcPr>
          <w:p>
            <w:pP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考核日期：                                 考核标段：                                       </w:t>
            </w:r>
            <w:r/>
          </w:p>
          <w:p>
            <w:pP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考核路段：</w:t>
            </w:r>
            <w:r/>
          </w:p>
        </w:tc>
      </w:tr>
      <w:tr>
        <w:trPr>
          <w:jc w:val="center"/>
          <w:trHeight w:val="311"/>
        </w:trPr>
        <w:tc>
          <w:tcPr>
            <w:tcBorders>
              <w:top w:val="single" w:color="auto" w:sz="4" w:space="0"/>
              <w:left w:val="single" w:color="auto" w:sz="4" w:space="0"/>
              <w:bottom w:val="single" w:color="auto" w:sz="4" w:space="0"/>
              <w:right w:val="single" w:color="auto" w:sz="4" w:space="0"/>
            </w:tcBorders>
            <w:tcW w:w="526" w:type="dxa"/>
            <w:vAlign w:val="center"/>
            <w:textDirection w:val="lrTb"/>
            <w:noWrap w:val="false"/>
          </w:tcPr>
          <w:p>
            <w:pPr>
              <w:jc w:val="center"/>
              <w:spacing w:line="312"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类别</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312"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考核内容</w:t>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jc w:val="center"/>
              <w:spacing w:line="312"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扣分标准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spacing w:line="312"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扣分点数量</w:t>
            </w:r>
            <w:r/>
          </w:p>
        </w:tc>
        <w:tc>
          <w:tcPr>
            <w:tcBorders>
              <w:top w:val="single" w:color="auto" w:sz="4" w:space="0"/>
              <w:left w:val="single" w:color="auto" w:sz="4" w:space="0"/>
              <w:bottom w:val="single" w:color="auto" w:sz="4" w:space="0"/>
              <w:right w:val="single" w:color="auto" w:sz="4" w:space="0"/>
            </w:tcBorders>
            <w:tcW w:w="595" w:type="dxa"/>
            <w:vAlign w:val="center"/>
            <w:textDirection w:val="lrTb"/>
            <w:noWrap w:val="false"/>
          </w:tcPr>
          <w:p>
            <w:pPr>
              <w:jc w:val="center"/>
              <w:spacing w:line="312"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扣分</w:t>
            </w:r>
            <w:r/>
          </w:p>
        </w:tc>
      </w:tr>
      <w:tr>
        <w:trPr>
          <w:jc w:val="center"/>
          <w:trHeight w:val="458"/>
        </w:trPr>
        <w:tc>
          <w:tcPr>
            <w:tcBorders>
              <w:top w:val="single" w:color="auto" w:sz="4" w:space="0"/>
              <w:left w:val="single" w:color="auto" w:sz="4" w:space="0"/>
              <w:bottom w:val="single" w:color="auto" w:sz="4" w:space="0"/>
              <w:right w:val="single" w:color="auto" w:sz="4" w:space="0"/>
            </w:tcBorders>
            <w:tcW w:w="526" w:type="dxa"/>
            <w:vAlign w:val="center"/>
            <w:vMerge w:val="restart"/>
            <w:textDirection w:val="lrTb"/>
            <w:noWrap w:val="false"/>
          </w:tcPr>
          <w:p>
            <w:pPr>
              <w:jc w:val="both"/>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设施考核</w:t>
            </w:r>
            <w:r/>
          </w:p>
        </w:tc>
        <w:tc>
          <w:tcPr>
            <w:tcBorders>
              <w:top w:val="single" w:color="auto" w:sz="4" w:space="0"/>
              <w:left w:val="single" w:color="auto" w:sz="4" w:space="0"/>
              <w:bottom w:val="single" w:color="auto" w:sz="4" w:space="0"/>
              <w:right w:val="single" w:color="auto" w:sz="4" w:space="0"/>
            </w:tcBorders>
            <w:tcW w:w="983" w:type="dxa"/>
            <w:vAlign w:val="center"/>
            <w:vMerge w:val="restart"/>
            <w:textDirection w:val="lrTb"/>
            <w:noWrap w:val="false"/>
          </w:tcPr>
          <w:p>
            <w:pPr>
              <w:jc w:val="both"/>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控制柜</w:t>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因柜门没有及时上锁，管理不到位造成损失的，发现一次扣2分</w:t>
            </w:r>
            <w:r>
              <w:rPr>
                <w:rFonts w:hint="eastAsia" w:ascii="宋体" w:hAnsi="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595" w:type="dxa"/>
            <w:vAlign w:val="center"/>
            <w:vMerge w:val="restart"/>
            <w:textDirection w:val="lrTb"/>
            <w:noWrap w:val="false"/>
          </w:tcPr>
          <w:p>
            <w:pPr>
              <w:jc w:val="cente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tc>
      </w:tr>
      <w:tr>
        <w:trPr>
          <w:jc w:val="center"/>
          <w:trHeight w:val="311"/>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控制（柜）体完整无缺、不渗水、无锈蚀，锁具完好</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控制柜内部器件分布合理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布线规范。达不到要求的发现一次扣1分。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8"/>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w:t>
            </w:r>
            <w:r>
              <w:rPr>
                <w:rFonts w:hint="eastAsia" w:ascii="宋体" w:hAnsi="宋体" w:cs="宋体"/>
                <w:color w:val="auto"/>
                <w:sz w:val="21"/>
                <w:szCs w:val="21"/>
                <w:highlight w:val="none"/>
                <w:lang w:eastAsia="zh-CN"/>
              </w:rPr>
              <w:t xml:space="preserve">两</w:t>
            </w:r>
            <w:r>
              <w:rPr>
                <w:rFonts w:hint="eastAsia" w:ascii="宋体" w:hAnsi="宋体" w:cs="宋体"/>
                <w:color w:val="auto"/>
                <w:sz w:val="21"/>
                <w:szCs w:val="21"/>
                <w:highlight w:val="none"/>
              </w:rPr>
              <w:t xml:space="preserve">月一次常规检修，检修无记录扣2分，不检不记录扣3分。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8"/>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信号机工作完好，指示正确，各部件连接坚固无松动。达不到要求的发现一次扣1分。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9"/>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vMerge w:val="restart"/>
            <w:textDirection w:val="lrTb"/>
            <w:noWrap w:val="false"/>
          </w:tcPr>
          <w:p>
            <w:pPr>
              <w:jc w:val="both"/>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电缆线路</w:t>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电缆线路埋设不规范或者飞线</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电缆脱垂、损坏维修不及时</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发现一次扣1分。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595" w:type="dxa"/>
            <w:vAlign w:val="center"/>
            <w:vMerge w:val="restart"/>
            <w:textDirection w:val="lrTb"/>
            <w:noWrap w:val="false"/>
          </w:tcPr>
          <w:p>
            <w:pPr>
              <w:jc w:val="cente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tc>
      </w:tr>
      <w:tr>
        <w:trPr>
          <w:jc w:val="center"/>
          <w:trHeight w:val="458"/>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巡视检查对严重缺陷和损伤，并已无法处理的电缆（穿越导线）线路应在2日内分段或全部更新。达不到要求的发现一次扣1分。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11"/>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每</w:t>
            </w:r>
            <w:r>
              <w:rPr>
                <w:rFonts w:hint="eastAsia" w:ascii="宋体" w:hAnsi="宋体" w:cs="宋体"/>
                <w:color w:val="auto"/>
                <w:sz w:val="21"/>
                <w:szCs w:val="21"/>
                <w:highlight w:val="none"/>
                <w:lang w:eastAsia="zh-CN"/>
              </w:rPr>
              <w:t xml:space="preserve">两个月</w:t>
            </w:r>
            <w:r>
              <w:rPr>
                <w:rFonts w:hint="eastAsia" w:ascii="宋体" w:hAnsi="宋体" w:cs="宋体"/>
                <w:color w:val="auto"/>
                <w:sz w:val="21"/>
                <w:szCs w:val="21"/>
                <w:highlight w:val="none"/>
              </w:rPr>
              <w:t xml:space="preserve">巡查一次全部信号灯路口，达不到要求的扣2分。　　</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91"/>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vMerge w:val="restart"/>
            <w:textDirection w:val="lrTb"/>
            <w:noWrap w:val="false"/>
          </w:tcPr>
          <w:p>
            <w:pPr>
              <w:jc w:val="both"/>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信号灯</w:t>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信号灯、支架完好、无断裂、 脱焊及严重锈蚀，对严重影响安全的器件应予整修或更换。达不到要求的发现一次扣1分。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595" w:type="dxa"/>
            <w:vAlign w:val="center"/>
            <w:vMerge w:val="restart"/>
            <w:textDirection w:val="lrTb"/>
            <w:noWrap w:val="false"/>
          </w:tcPr>
          <w:p>
            <w:pPr>
              <w:jc w:val="cente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tc>
      </w:tr>
      <w:tr>
        <w:trPr>
          <w:jc w:val="center"/>
          <w:trHeight w:val="358"/>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w:t>
            </w:r>
            <w:r>
              <w:rPr>
                <w:rFonts w:hint="eastAsia" w:ascii="宋体" w:hAnsi="宋体" w:cs="宋体"/>
                <w:color w:val="auto"/>
                <w:sz w:val="21"/>
                <w:szCs w:val="21"/>
                <w:highlight w:val="none"/>
                <w:lang w:eastAsia="zh-CN"/>
              </w:rPr>
              <w:t xml:space="preserve">两</w:t>
            </w:r>
            <w:r>
              <w:rPr>
                <w:rFonts w:hint="eastAsia" w:ascii="宋体" w:hAnsi="宋体" w:cs="宋体"/>
                <w:color w:val="auto"/>
                <w:sz w:val="21"/>
                <w:szCs w:val="21"/>
                <w:highlight w:val="none"/>
              </w:rPr>
              <w:t xml:space="preserve">月一次常规检修，检修无记录扣2分，不检不记录扣3分。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58"/>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信号灯故障维修</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必须在1个工作日内完成修复或更换。无正当理由达不到要求的发现一次扣1分。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87"/>
        </w:trPr>
        <w:tc>
          <w:tcPr>
            <w:tcBorders>
              <w:top w:val="single" w:color="auto" w:sz="4" w:space="0"/>
              <w:left w:val="single" w:color="auto" w:sz="4" w:space="0"/>
              <w:bottom w:val="single" w:color="auto" w:sz="4" w:space="0"/>
              <w:right w:val="single" w:color="auto" w:sz="4" w:space="0"/>
            </w:tcBorders>
            <w:tcW w:w="526" w:type="dxa"/>
            <w:vAlign w:val="center"/>
            <w:vMerge w:val="restart"/>
            <w:textDirection w:val="lrTb"/>
            <w:noWrap w:val="false"/>
          </w:tcPr>
          <w:p>
            <w:pPr>
              <w:jc w:val="both"/>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设施运行</w:t>
            </w:r>
            <w:r/>
          </w:p>
        </w:tc>
        <w:tc>
          <w:tcPr>
            <w:tcBorders>
              <w:top w:val="single" w:color="auto" w:sz="4" w:space="0"/>
              <w:left w:val="single" w:color="auto" w:sz="4" w:space="0"/>
              <w:right w:val="single" w:color="auto" w:sz="4" w:space="0"/>
            </w:tcBorders>
            <w:tcW w:w="983" w:type="dxa"/>
            <w:vAlign w:val="center"/>
            <w:vMerge w:val="restart"/>
            <w:textDirection w:val="lrTb"/>
            <w:noWrap w:val="false"/>
          </w:tcPr>
          <w:p>
            <w:pPr>
              <w:jc w:val="both"/>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工作正常率</w:t>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一般信号灯正常工作率100%（月度）</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月度统计</w:t>
            </w:r>
            <w:r>
              <w:rPr>
                <w:rFonts w:hint="eastAsia" w:ascii="宋体" w:hAnsi="宋体" w:cs="宋体"/>
                <w:color w:val="auto"/>
                <w:sz w:val="21"/>
                <w:szCs w:val="21"/>
                <w:highlight w:val="none"/>
              </w:rPr>
              <w:t xml:space="preserve">电器设备的使用完好率≥95%</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统计一个月内完好</w:t>
            </w:r>
            <w:r>
              <w:rPr>
                <w:rFonts w:hint="eastAsia" w:ascii="宋体" w:hAnsi="宋体" w:cs="宋体"/>
                <w:color w:val="auto"/>
                <w:sz w:val="21"/>
                <w:szCs w:val="21"/>
                <w:highlight w:val="none"/>
              </w:rPr>
              <w:t xml:space="preserve">电器设备</w:t>
            </w:r>
            <w:r>
              <w:rPr>
                <w:rFonts w:hint="eastAsia" w:ascii="宋体" w:hAnsi="宋体" w:cs="宋体"/>
                <w:color w:val="auto"/>
                <w:sz w:val="21"/>
                <w:szCs w:val="21"/>
                <w:highlight w:val="none"/>
                <w:lang w:eastAsia="zh-CN"/>
              </w:rPr>
              <w:t xml:space="preserve">数比所有</w:t>
            </w:r>
            <w:r>
              <w:rPr>
                <w:rFonts w:hint="eastAsia" w:ascii="宋体" w:hAnsi="宋体" w:cs="宋体"/>
                <w:color w:val="auto"/>
                <w:sz w:val="21"/>
                <w:szCs w:val="21"/>
                <w:highlight w:val="none"/>
              </w:rPr>
              <w:t xml:space="preserve">电器设备</w:t>
            </w:r>
            <w:r>
              <w:rPr>
                <w:rFonts w:hint="eastAsia" w:ascii="宋体" w:hAnsi="宋体" w:cs="宋体"/>
                <w:color w:val="auto"/>
                <w:sz w:val="21"/>
                <w:szCs w:val="21"/>
                <w:highlight w:val="none"/>
                <w:lang w:eastAsia="zh-CN"/>
              </w:rPr>
              <w:t xml:space="preserve">数</w:t>
            </w:r>
            <w:r>
              <w:rPr>
                <w:rFonts w:hint="eastAsia" w:ascii="宋体" w:hAnsi="宋体" w:cs="宋体"/>
                <w:color w:val="auto"/>
                <w:sz w:val="21"/>
                <w:szCs w:val="21"/>
                <w:highlight w:val="none"/>
                <w:lang w:val="en-US" w:eastAsia="zh-CN"/>
              </w:rPr>
              <w:t xml:space="preserve">，超过95%</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非养护原因除外，</w:t>
            </w:r>
            <w:r>
              <w:rPr>
                <w:rFonts w:hint="eastAsia" w:ascii="宋体" w:hAnsi="宋体" w:cs="宋体"/>
                <w:color w:val="auto"/>
                <w:sz w:val="21"/>
                <w:szCs w:val="21"/>
                <w:highlight w:val="none"/>
                <w:lang w:val="en-US" w:eastAsia="zh-CN"/>
              </w:rPr>
              <w:t xml:space="preserve">达不到要求的扣1分</w:t>
            </w:r>
            <w:r>
              <w:rPr>
                <w:rFonts w:hint="eastAsia" w:ascii="宋体" w:hAnsi="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5" w:type="dxa"/>
            <w:vAlign w:val="center"/>
            <w:vMerge w:val="restart"/>
            <w:textDirection w:val="lrTb"/>
            <w:noWrap w:val="false"/>
          </w:tcPr>
          <w:p>
            <w:pPr>
              <w:jc w:val="cente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p>
            <w:pPr>
              <w:jc w:val="cente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p>
            <w:pPr>
              <w:jc w:val="cente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tc>
      </w:tr>
      <w:tr>
        <w:trPr>
          <w:jc w:val="center"/>
          <w:trHeight w:val="390"/>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jc w:val="cente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left w:val="single" w:color="auto" w:sz="4" w:space="0"/>
              <w:bottom w:val="single" w:color="auto" w:sz="4" w:space="0"/>
              <w:right w:val="single" w:color="auto" w:sz="4" w:space="0"/>
            </w:tcBorders>
            <w:tcW w:w="983" w:type="dxa"/>
            <w:vAlign w:val="center"/>
            <w:vMerge w:val="continue"/>
            <w:textDirection w:val="lrTb"/>
            <w:noWrap w:val="false"/>
          </w:tcPr>
          <w:p>
            <w:pPr>
              <w:jc w:val="cente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同一路口同一故障一个月内出现3次及以上的，不能再次维修解决，也没有更换设备并未及时上报招标人，出现交通事故或交通拥堵等情况，每出现一次扣10分。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jc w:val="cente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vMerge w:val="restart"/>
            <w:textDirection w:val="lrTb"/>
            <w:noWrap w:val="false"/>
          </w:tcPr>
          <w:p>
            <w:pPr>
              <w:jc w:val="both"/>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维保管理</w:t>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每月工作数据未按要求上报的，由维护单位领导说明情况。第二次以上每发现一次扣1分。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jc w:val="cente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85"/>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故障报警后未按规定时间到达现场，未及时排除故障，发现一次扣1分。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jc w:val="cente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85"/>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hint="eastAsia" w:ascii="宋体" w:hAnsi="宋体" w:cs="宋体"/>
                <w:bCs/>
                <w:color w:val="auto"/>
                <w:sz w:val="21"/>
                <w:szCs w:val="21"/>
                <w:highlight w:val="none"/>
              </w:rPr>
            </w:pPr>
            <w:r>
              <w:rPr>
                <w:rFonts w:hint="eastAsia" w:ascii="宋体" w:hAnsi="宋体" w:cs="宋体"/>
                <w:color w:val="auto"/>
                <w:sz w:val="21"/>
                <w:szCs w:val="21"/>
                <w:highlight w:val="none"/>
              </w:rPr>
              <w:t xml:space="preserve">方案优化人员未按时完成数据采集、摸排、诊断报告，未按时完成配时方案优化并记录台账，未按时完成绿波方案设计、调试并形成报告，发现一次扣1分。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jc w:val="cente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85"/>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交通专业人员对新闻媒体、市长、书记信箱等</w:t>
            </w:r>
            <w:r>
              <w:rPr>
                <w:rFonts w:hint="eastAsia" w:ascii="宋体" w:hAnsi="宋体" w:cs="宋体"/>
                <w:bCs/>
                <w:color w:val="auto"/>
                <w:sz w:val="21"/>
                <w:szCs w:val="21"/>
                <w:highlight w:val="none"/>
                <w:lang w:val="en-US" w:eastAsia="zh-CN"/>
              </w:rPr>
              <w:t xml:space="preserve">便民平台</w:t>
            </w:r>
            <w:r>
              <w:rPr>
                <w:rFonts w:hint="eastAsia" w:ascii="宋体" w:hAnsi="宋体" w:cs="宋体"/>
                <w:bCs/>
                <w:color w:val="auto"/>
                <w:sz w:val="21"/>
                <w:szCs w:val="21"/>
                <w:highlight w:val="none"/>
              </w:rPr>
              <w:t xml:space="preserve">关于信号灯</w:t>
            </w:r>
            <w:r>
              <w:rPr>
                <w:rFonts w:hint="eastAsia" w:ascii="宋体" w:hAnsi="宋体" w:cs="宋体"/>
                <w:bCs/>
                <w:color w:val="auto"/>
                <w:sz w:val="21"/>
                <w:szCs w:val="21"/>
                <w:highlight w:val="none"/>
                <w:lang w:val="en-US" w:eastAsia="zh-CN"/>
              </w:rPr>
              <w:t xml:space="preserve">设施与配时</w:t>
            </w:r>
            <w:r>
              <w:rPr>
                <w:rFonts w:hint="eastAsia" w:ascii="宋体" w:hAnsi="宋体" w:cs="宋体"/>
                <w:bCs/>
                <w:color w:val="auto"/>
                <w:sz w:val="21"/>
                <w:szCs w:val="21"/>
                <w:highlight w:val="none"/>
              </w:rPr>
              <w:t xml:space="preserve">问题进行答疑回复超出时间期限</w:t>
            </w:r>
            <w:r>
              <w:rPr>
                <w:rFonts w:hint="eastAsia" w:ascii="宋体" w:hAnsi="宋体" w:cs="宋体"/>
                <w:bCs/>
                <w:color w:val="auto"/>
                <w:sz w:val="21"/>
                <w:szCs w:val="21"/>
                <w:highlight w:val="none"/>
                <w:lang w:val="en-US" w:eastAsia="zh-CN"/>
              </w:rPr>
              <w:t xml:space="preserve">或造成不良影响的</w:t>
            </w:r>
            <w:r>
              <w:rPr>
                <w:rFonts w:hint="eastAsia" w:ascii="宋体" w:hAnsi="宋体" w:cs="宋体"/>
                <w:bCs/>
                <w:color w:val="auto"/>
                <w:sz w:val="21"/>
                <w:szCs w:val="21"/>
                <w:highlight w:val="none"/>
              </w:rPr>
              <w:t xml:space="preserve">，</w:t>
            </w:r>
            <w:r>
              <w:rPr>
                <w:rFonts w:hint="eastAsia" w:ascii="宋体" w:hAnsi="宋体" w:cs="宋体"/>
                <w:color w:val="auto"/>
                <w:sz w:val="21"/>
                <w:szCs w:val="21"/>
                <w:highlight w:val="none"/>
              </w:rPr>
              <w:t xml:space="preserve">发现一次扣1分。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jc w:val="cente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11"/>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vMerge w:val="restart"/>
            <w:textDirection w:val="lrTb"/>
            <w:noWrap w:val="false"/>
          </w:tcPr>
          <w:p>
            <w:pPr>
              <w:jc w:val="both"/>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故障责任</w:t>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产生重大不可推脱责任的故障，发生一次扣2分。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jc w:val="cente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11"/>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故障报修率</w:t>
            </w:r>
            <w:r>
              <w:rPr>
                <w:rFonts w:hint="eastAsia" w:ascii="宋体" w:hAnsi="宋体" w:cs="宋体"/>
                <w:color w:val="auto"/>
                <w:sz w:val="21"/>
                <w:szCs w:val="21"/>
                <w:highlight w:val="none"/>
                <w:lang w:val="en-US" w:eastAsia="zh-CN"/>
              </w:rPr>
              <w:t xml:space="preserve">应较上年同比下降</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每下降1%加一分，每提高1%扣一分</w:t>
            </w:r>
            <w:r>
              <w:rPr>
                <w:rFonts w:hint="eastAsia" w:ascii="宋体" w:hAnsi="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11"/>
        </w:trPr>
        <w:tc>
          <w:tcPr>
            <w:tcBorders>
              <w:top w:val="single" w:color="auto" w:sz="4" w:space="0"/>
              <w:left w:val="single" w:color="auto" w:sz="4" w:space="0"/>
              <w:bottom w:val="single" w:color="auto" w:sz="4" w:space="0"/>
              <w:right w:val="single" w:color="auto" w:sz="4" w:space="0"/>
            </w:tcBorders>
            <w:tcW w:w="526" w:type="dxa"/>
            <w:vAlign w:val="center"/>
            <w:vMerge w:val="restart"/>
            <w:textDirection w:val="lrTb"/>
            <w:noWrap w:val="false"/>
          </w:tcPr>
          <w:p>
            <w:pPr>
              <w:jc w:val="both"/>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服务质量</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both"/>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任务协作</w:t>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协作交警支队完成相关延伸工作，不配合一次扣2分。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595" w:type="dxa"/>
            <w:vAlign w:val="center"/>
            <w:vMerge w:val="restart"/>
            <w:textDirection w:val="lrTb"/>
            <w:noWrap w:val="false"/>
          </w:tcPr>
          <w:p>
            <w:pP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p>
            <w:pPr>
              <w:jc w:val="cente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tc>
      </w:tr>
      <w:tr>
        <w:trPr>
          <w:jc w:val="center"/>
          <w:trHeight w:val="311"/>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vMerge w:val="restart"/>
            <w:textDirection w:val="lrTb"/>
            <w:noWrap w:val="false"/>
          </w:tcPr>
          <w:p>
            <w:pPr>
              <w:jc w:val="both"/>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施工管理</w:t>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出现施工质量问题、工期延误问题、安全文明措施保障问题</w:t>
            </w:r>
            <w:r>
              <w:rPr>
                <w:rFonts w:hint="eastAsia" w:ascii="宋体" w:hAnsi="宋体" w:cs="宋体"/>
                <w:color w:val="auto"/>
                <w:sz w:val="21"/>
                <w:szCs w:val="21"/>
                <w:highlight w:val="none"/>
              </w:rPr>
              <w:t xml:space="preserve">，达不到要求的发现一次扣3分。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jc w:val="cente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8"/>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承包方工作人员必须遵守劳动纪律，并服从管理，达不到要求的发现一次扣2分。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8"/>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发生因施工质量、效率等引起大队、中队民警、城管市政物业投诉、新闻媒体曝光，一次扣3分。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8"/>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right w:val="single" w:color="auto" w:sz="4" w:space="0"/>
            </w:tcBorders>
            <w:tcW w:w="983" w:type="dxa"/>
            <w:vAlign w:val="center"/>
            <w:vMerge w:val="restart"/>
            <w:textDirection w:val="lrTb"/>
            <w:noWrap w:val="false"/>
          </w:tcPr>
          <w:p>
            <w:pPr>
              <w:jc w:val="both"/>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人员管理</w:t>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合同履行期间，维护单位的项目组成人员</w:t>
            </w:r>
            <w:r>
              <w:rPr>
                <w:rFonts w:hint="eastAsia" w:ascii="宋体" w:hAnsi="宋体" w:cs="宋体"/>
                <w:color w:val="auto"/>
                <w:sz w:val="21"/>
                <w:szCs w:val="21"/>
                <w:highlight w:val="none"/>
                <w:lang w:val="en-US" w:eastAsia="zh-CN"/>
              </w:rPr>
              <w:t xml:space="preserve">若</w:t>
            </w:r>
            <w:r>
              <w:rPr>
                <w:rFonts w:hint="eastAsia" w:ascii="宋体" w:hAnsi="宋体" w:cs="宋体"/>
                <w:color w:val="auto"/>
                <w:sz w:val="21"/>
                <w:szCs w:val="21"/>
                <w:highlight w:val="none"/>
              </w:rPr>
              <w:t xml:space="preserve">与合同所列人员不相符，每人扣2分。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8"/>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left w:val="single" w:color="auto" w:sz="4" w:space="0"/>
              <w:right w:val="single" w:color="auto" w:sz="4" w:space="0"/>
            </w:tcBorders>
            <w:tcW w:w="983" w:type="dxa"/>
            <w:vAlign w:val="center"/>
            <w:vMerge w:val="continue"/>
            <w:textDirection w:val="lrTb"/>
            <w:noWrap w:val="false"/>
          </w:tcPr>
          <w:p>
            <w:pPr>
              <w:jc w:val="cente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更换项目经理，发现一次扣5分。</w:t>
            </w:r>
            <w:r>
              <w:rPr>
                <w:rFonts w:hint="eastAsia" w:ascii="宋体" w:hAnsi="宋体" w:cs="宋体"/>
                <w:bCs/>
                <w:color w:val="auto"/>
                <w:sz w:val="21"/>
                <w:szCs w:val="21"/>
                <w:highlight w:val="none"/>
              </w:rPr>
              <w:t xml:space="preserve">更换其他专业人员，</w:t>
            </w:r>
            <w:r>
              <w:rPr>
                <w:rFonts w:hint="eastAsia" w:ascii="宋体" w:hAnsi="宋体" w:cs="宋体"/>
                <w:color w:val="auto"/>
                <w:sz w:val="21"/>
                <w:szCs w:val="21"/>
                <w:highlight w:val="none"/>
              </w:rPr>
              <w:t xml:space="preserve">发现一次扣3分。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27"/>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left w:val="single" w:color="auto" w:sz="4" w:space="0"/>
              <w:bottom w:val="single" w:color="auto" w:sz="4" w:space="0"/>
              <w:right w:val="single" w:color="auto" w:sz="4" w:space="0"/>
            </w:tcBorders>
            <w:tcW w:w="983" w:type="dxa"/>
            <w:vAlign w:val="center"/>
            <w:vMerge w:val="continue"/>
            <w:textDirection w:val="lrTb"/>
            <w:noWrap w:val="false"/>
          </w:tcPr>
          <w:p>
            <w:pPr>
              <w:jc w:val="cente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项目经理或技术经理未请假擅自离开服务区域，发现一起扣2分。维护人员未请假擅自离开服务区域</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指挥中心信号值守人员脱岗</w:t>
            </w:r>
            <w:r>
              <w:rPr>
                <w:rFonts w:hint="eastAsia" w:ascii="宋体" w:hAnsi="宋体" w:cs="宋体"/>
                <w:color w:val="auto"/>
                <w:sz w:val="21"/>
                <w:szCs w:val="21"/>
                <w:highlight w:val="none"/>
              </w:rPr>
              <w:t xml:space="preserve">发现一起扣1分。</w:t>
            </w:r>
            <w:r/>
          </w:p>
        </w:tc>
        <w:tc>
          <w:tcPr>
            <w:tcBorders>
              <w:top w:val="single" w:color="auto" w:sz="4" w:space="0"/>
              <w:left w:val="single" w:color="auto" w:sz="4" w:space="0"/>
              <w:right w:val="single" w:color="auto" w:sz="4" w:space="0"/>
            </w:tcBorders>
            <w:tcW w:w="761" w:type="dxa"/>
            <w:vAlign w:val="center"/>
            <w:vMerge w:val="restart"/>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27"/>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ascii="宋体" w:hAnsi="宋体" w:cs="宋体"/>
                <w:bCs/>
                <w:color w:val="auto"/>
                <w:sz w:val="21"/>
                <w:szCs w:val="21"/>
                <w:highlight w:val="none"/>
              </w:rPr>
            </w:pPr>
            <w:r>
              <w:rPr>
                <w:rFonts w:ascii="宋体" w:hAnsi="宋体" w:cs="宋体"/>
                <w:bCs/>
                <w:color w:val="auto"/>
                <w:sz w:val="21"/>
                <w:szCs w:val="21"/>
                <w:highlight w:val="none"/>
              </w:rPr>
            </w:r>
            <w:r/>
          </w:p>
        </w:tc>
        <w:tc>
          <w:tcPr>
            <w:tcBorders>
              <w:left w:val="single" w:color="auto" w:sz="4" w:space="0"/>
              <w:bottom w:val="single" w:color="auto" w:sz="4" w:space="0"/>
              <w:right w:val="single" w:color="auto" w:sz="4" w:space="0"/>
            </w:tcBorders>
            <w:tcW w:w="983" w:type="dxa"/>
            <w:vAlign w:val="center"/>
            <w:vMerge w:val="continue"/>
            <w:textDirection w:val="lrTb"/>
            <w:noWrap w:val="false"/>
          </w:tcPr>
          <w:p>
            <w:pPr>
              <w:spacing w:line="312" w:lineRule="auto"/>
              <w:rPr>
                <w:rFonts w:ascii="宋体" w:hAnsi="宋体" w:cs="宋体"/>
                <w:bCs/>
                <w:color w:val="auto"/>
                <w:sz w:val="21"/>
                <w:szCs w:val="21"/>
                <w:highlight w:val="none"/>
              </w:rPr>
            </w:pPr>
            <w:r>
              <w:rPr>
                <w:rFonts w:ascii="宋体" w:hAnsi="宋体" w:cs="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提供的值班人员的手机号码无法接通，发现一次扣1分。</w:t>
            </w:r>
            <w:r/>
          </w:p>
        </w:tc>
        <w:tc>
          <w:tcPr>
            <w:tcBorders>
              <w:left w:val="single" w:color="auto" w:sz="4" w:space="0"/>
              <w:right w:val="single" w:color="auto" w:sz="4" w:space="0"/>
            </w:tcBorders>
            <w:tcW w:w="761" w:type="dxa"/>
            <w:vAlign w:val="center"/>
            <w:vMerge w:val="continue"/>
            <w:textDirection w:val="lrTb"/>
            <w:noWrap w:val="false"/>
          </w:tcPr>
          <w:p>
            <w:pPr>
              <w:spacing w:line="312" w:lineRule="auto"/>
              <w:rPr>
                <w:rFonts w:ascii="宋体" w:hAnsi="宋体" w:cs="宋体"/>
                <w:bCs/>
                <w:color w:val="auto"/>
                <w:sz w:val="21"/>
                <w:szCs w:val="21"/>
                <w:highlight w:val="none"/>
              </w:rPr>
            </w:pPr>
            <w:r>
              <w:rPr>
                <w:rFonts w:ascii="宋体" w:hAnsi="宋体" w:cs="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spacing w:line="312" w:lineRule="auto"/>
              <w:rPr>
                <w:rFonts w:ascii="宋体" w:hAnsi="宋体" w:cs="宋体"/>
                <w:bCs/>
                <w:color w:val="auto"/>
                <w:sz w:val="21"/>
                <w:szCs w:val="21"/>
                <w:highlight w:val="none"/>
              </w:rPr>
            </w:pPr>
            <w:r>
              <w:rPr>
                <w:rFonts w:ascii="宋体" w:hAnsi="宋体" w:cs="宋体"/>
                <w:bCs/>
                <w:color w:val="auto"/>
                <w:sz w:val="21"/>
                <w:szCs w:val="21"/>
                <w:highlight w:val="none"/>
              </w:rPr>
            </w:r>
            <w:r/>
          </w:p>
        </w:tc>
      </w:tr>
      <w:tr>
        <w:trPr>
          <w:jc w:val="center"/>
          <w:trHeight w:val="458"/>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right w:val="single" w:color="auto" w:sz="4" w:space="0"/>
            </w:tcBorders>
            <w:tcW w:w="983" w:type="dxa"/>
            <w:vAlign w:val="center"/>
            <w:vMerge w:val="restart"/>
            <w:textDirection w:val="lrTb"/>
            <w:noWrap w:val="false"/>
          </w:tcPr>
          <w:p>
            <w:pPr>
              <w:jc w:val="both"/>
              <w:spacing w:line="312"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专用车辆</w:t>
            </w:r>
            <w:r>
              <w:rPr>
                <w:rFonts w:hint="eastAsia" w:ascii="宋体" w:hAnsi="宋体" w:cs="宋体"/>
                <w:color w:val="auto"/>
                <w:sz w:val="21"/>
                <w:szCs w:val="21"/>
                <w:highlight w:val="none"/>
                <w:lang w:val="en-US" w:eastAsia="zh-CN"/>
              </w:rPr>
              <w:t xml:space="preserve">与应急设备</w:t>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维护车辆</w:t>
            </w:r>
            <w:r>
              <w:rPr>
                <w:rFonts w:hint="eastAsia" w:ascii="宋体" w:hAnsi="宋体" w:cs="宋体"/>
                <w:color w:val="auto"/>
                <w:sz w:val="21"/>
                <w:szCs w:val="21"/>
                <w:highlight w:val="none"/>
                <w:lang w:val="en-US" w:eastAsia="zh-CN"/>
              </w:rPr>
              <w:t xml:space="preserve">应</w:t>
            </w:r>
            <w:r>
              <w:rPr>
                <w:rFonts w:hint="eastAsia" w:ascii="宋体" w:hAnsi="宋体" w:cs="宋体"/>
                <w:color w:val="auto"/>
                <w:sz w:val="21"/>
                <w:szCs w:val="21"/>
                <w:highlight w:val="none"/>
              </w:rPr>
              <w:t xml:space="preserve">保证专车专用，车辆必须安装车辆定位系统，免费提供车辆定位信息</w:t>
            </w:r>
            <w:r>
              <w:rPr>
                <w:rFonts w:hint="eastAsia" w:ascii="宋体" w:hAnsi="宋体" w:cs="宋体"/>
                <w:color w:val="auto"/>
                <w:sz w:val="21"/>
                <w:szCs w:val="21"/>
                <w:highlight w:val="none"/>
                <w:lang w:val="en-US" w:eastAsia="zh-CN"/>
              </w:rPr>
              <w:t xml:space="preserve">供招标人</w:t>
            </w:r>
            <w:r>
              <w:rPr>
                <w:rFonts w:hint="eastAsia" w:ascii="宋体" w:hAnsi="宋体" w:cs="宋体"/>
                <w:color w:val="auto"/>
                <w:sz w:val="21"/>
                <w:szCs w:val="21"/>
                <w:highlight w:val="none"/>
              </w:rPr>
              <w:t xml:space="preserve">使用。少一辆扣2分。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8"/>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left w:val="single" w:color="auto" w:sz="4" w:space="0"/>
              <w:right w:val="single" w:color="auto" w:sz="4" w:space="0"/>
            </w:tcBorders>
            <w:tcW w:w="983" w:type="dxa"/>
            <w:vAlign w:val="center"/>
            <w:vMerge w:val="continue"/>
            <w:textDirection w:val="lrTb"/>
            <w:noWrap w:val="false"/>
          </w:tcPr>
          <w:p>
            <w:pPr>
              <w:jc w:val="cente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维护单位更换维护车辆，应提前报备，</w:t>
            </w:r>
            <w:r>
              <w:rPr>
                <w:rFonts w:hint="eastAsia" w:ascii="宋体" w:hAnsi="宋体" w:cs="宋体"/>
                <w:color w:val="auto"/>
                <w:sz w:val="21"/>
                <w:szCs w:val="21"/>
                <w:highlight w:val="none"/>
                <w:lang w:val="en-US" w:eastAsia="zh-CN"/>
              </w:rPr>
              <w:t xml:space="preserve">并提供备用车辆保障应急维修需要，出现车辆满足维修需要的</w:t>
            </w:r>
            <w:r>
              <w:rPr>
                <w:rFonts w:hint="eastAsia" w:ascii="宋体" w:hAnsi="宋体" w:cs="宋体"/>
                <w:color w:val="auto"/>
                <w:sz w:val="21"/>
                <w:szCs w:val="21"/>
                <w:highlight w:val="none"/>
              </w:rPr>
              <w:t xml:space="preserve">扣2分。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8"/>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left w:val="single" w:color="auto" w:sz="4" w:space="0"/>
              <w:right w:val="single" w:color="auto" w:sz="4" w:space="0"/>
            </w:tcBorders>
            <w:tcW w:w="983" w:type="dxa"/>
            <w:vAlign w:val="center"/>
            <w:vMerge w:val="continue"/>
            <w:textDirection w:val="lrTb"/>
            <w:noWrap w:val="false"/>
          </w:tcPr>
          <w:p>
            <w:pPr>
              <w:jc w:val="cente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故障发生时备品备件无法及时提供或未提供，</w:t>
            </w:r>
            <w:r>
              <w:rPr>
                <w:rFonts w:hint="eastAsia" w:ascii="宋体" w:hAnsi="宋体" w:cs="宋体"/>
                <w:color w:val="auto"/>
                <w:sz w:val="21"/>
                <w:szCs w:val="21"/>
                <w:highlight w:val="none"/>
                <w:lang w:val="en-US" w:eastAsia="zh-CN"/>
              </w:rPr>
              <w:t xml:space="preserve">应急</w:t>
            </w:r>
            <w:r>
              <w:rPr>
                <w:rFonts w:hint="eastAsia" w:ascii="宋体" w:hAnsi="宋体" w:cs="宋体"/>
                <w:color w:val="auto"/>
                <w:sz w:val="21"/>
                <w:szCs w:val="21"/>
                <w:highlight w:val="none"/>
              </w:rPr>
              <w:t xml:space="preserve">工具设备、临时红绿灯不全的</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详见招标需求</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发现一次扣1分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8"/>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right w:val="single" w:color="auto" w:sz="4" w:space="0"/>
            </w:tcBorders>
            <w:tcW w:w="983" w:type="dxa"/>
            <w:vAlign w:val="center"/>
            <w:vMerge w:val="restart"/>
            <w:textDirection w:val="lrTb"/>
            <w:noWrap w:val="false"/>
          </w:tcPr>
          <w:p>
            <w:pPr>
              <w:jc w:val="both"/>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24小时维护制度</w:t>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针对大型活动、法定假日、突发事件等情况，未制定维护服务应急处突预案上报采购人。预案中未明确处突人员、车辆、联系方式、机具配置等保障措施，没有按时到达处置现场</w:t>
            </w:r>
            <w:r>
              <w:rPr>
                <w:rFonts w:hint="eastAsia" w:ascii="宋体" w:hAnsi="宋体" w:cs="宋体"/>
                <w:color w:val="auto"/>
                <w:sz w:val="21"/>
                <w:szCs w:val="21"/>
                <w:highlight w:val="none"/>
              </w:rPr>
              <w:t xml:space="preserve">，发现一次扣1分。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8"/>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left w:val="single" w:color="auto" w:sz="4" w:space="0"/>
              <w:right w:val="single" w:color="auto" w:sz="4" w:space="0"/>
            </w:tcBorders>
            <w:tcW w:w="983" w:type="dxa"/>
            <w:vAlign w:val="center"/>
            <w:vMerge w:val="continue"/>
            <w:textDirection w:val="lrTb"/>
            <w:noWrap w:val="false"/>
          </w:tcPr>
          <w:p>
            <w:pPr>
              <w:jc w:val="cente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维护单位私自拆除智能交通系统外场设施，以换代修或故意破坏的情况，发现一次扣3分，</w:t>
            </w:r>
            <w:r>
              <w:rPr>
                <w:rFonts w:hint="eastAsia" w:ascii="宋体" w:hAnsi="宋体" w:cs="宋体"/>
                <w:bCs/>
                <w:color w:val="auto"/>
                <w:sz w:val="21"/>
                <w:szCs w:val="21"/>
                <w:highlight w:val="none"/>
              </w:rPr>
              <w:t xml:space="preserve">两次以上终止合同</w:t>
            </w:r>
            <w:r>
              <w:rPr>
                <w:rFonts w:hint="eastAsia" w:ascii="宋体" w:hAnsi="宋体" w:cs="宋体"/>
                <w:color w:val="auto"/>
                <w:sz w:val="21"/>
                <w:szCs w:val="21"/>
                <w:highlight w:val="none"/>
              </w:rPr>
              <w:t xml:space="preserve">。涉及金额较大符合立案标准的，或造成较大后果的，保留追究法律责任的权力。</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8"/>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left w:val="single" w:color="auto" w:sz="4" w:space="0"/>
              <w:bottom w:val="single" w:color="auto" w:sz="4" w:space="0"/>
              <w:right w:val="single" w:color="auto" w:sz="4" w:space="0"/>
            </w:tcBorders>
            <w:tcW w:w="983" w:type="dxa"/>
            <w:vAlign w:val="center"/>
            <w:vMerge w:val="continue"/>
            <w:textDirection w:val="lrTb"/>
            <w:noWrap w:val="false"/>
          </w:tcPr>
          <w:p>
            <w:pPr>
              <w:jc w:val="cente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未及时提供维护服务资料，</w:t>
            </w:r>
            <w:r>
              <w:rPr>
                <w:rFonts w:hint="eastAsia" w:ascii="宋体" w:hAnsi="宋体" w:cs="宋体"/>
                <w:color w:val="auto"/>
                <w:sz w:val="21"/>
                <w:szCs w:val="21"/>
                <w:highlight w:val="none"/>
                <w:lang w:val="en-US" w:eastAsia="zh-CN"/>
              </w:rPr>
              <w:t xml:space="preserve">包括</w:t>
            </w:r>
            <w:r>
              <w:rPr>
                <w:rFonts w:hint="eastAsia" w:ascii="宋体" w:hAnsi="宋体" w:cs="宋体"/>
                <w:color w:val="auto"/>
                <w:sz w:val="21"/>
                <w:szCs w:val="21"/>
                <w:highlight w:val="none"/>
              </w:rPr>
              <w:t xml:space="preserve">道路交通信号控制设备设施、控制方案等基础台账</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交通信号灯电子</w:t>
            </w:r>
            <w:r>
              <w:rPr>
                <w:rFonts w:hint="eastAsia" w:ascii="宋体" w:hAnsi="宋体" w:cs="宋体"/>
                <w:color w:val="auto"/>
                <w:sz w:val="21"/>
                <w:szCs w:val="21"/>
                <w:highlight w:val="none"/>
                <w:lang w:eastAsia="zh-CN"/>
              </w:rPr>
              <w:t xml:space="preserve">台账、</w:t>
            </w:r>
            <w:r>
              <w:rPr>
                <w:rFonts w:hint="eastAsia" w:ascii="宋体" w:hAnsi="宋体" w:cs="宋体"/>
                <w:color w:val="auto"/>
                <w:sz w:val="21"/>
                <w:szCs w:val="21"/>
                <w:highlight w:val="none"/>
                <w:lang w:val="en-US" w:eastAsia="zh-CN"/>
              </w:rPr>
              <w:t xml:space="preserve">管养验收资料等</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出现</w:t>
            </w:r>
            <w:r>
              <w:rPr>
                <w:rFonts w:hint="eastAsia" w:ascii="宋体" w:hAnsi="宋体" w:cs="宋体"/>
                <w:color w:val="auto"/>
                <w:sz w:val="21"/>
                <w:szCs w:val="21"/>
                <w:highlight w:val="none"/>
              </w:rPr>
              <w:t xml:space="preserve">一次扣1分。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8"/>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left w:val="single" w:color="auto" w:sz="4" w:space="0"/>
              <w:bottom w:val="single" w:color="auto" w:sz="4" w:space="0"/>
              <w:right w:val="single" w:color="auto" w:sz="4" w:space="0"/>
            </w:tcBorders>
            <w:tcW w:w="983" w:type="dxa"/>
            <w:vAlign w:val="center"/>
            <w:textDirection w:val="lrTb"/>
            <w:noWrap w:val="false"/>
          </w:tcPr>
          <w:p>
            <w:pPr>
              <w:jc w:val="both"/>
              <w:spacing w:line="312"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保密培训</w:t>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建立完善的数据安全保密制度，每月至少对人员进行1次保密安全培训，制度不完善的扣1分，未开展人员保密安全培训的扣1分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spacing w:line="312"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11"/>
        </w:trPr>
        <w:tc>
          <w:tcPr>
            <w:gridSpan w:val="5"/>
            <w:tcBorders>
              <w:top w:val="single" w:color="auto" w:sz="4" w:space="0"/>
              <w:left w:val="single" w:color="auto" w:sz="4" w:space="0"/>
              <w:bottom w:val="single" w:color="auto" w:sz="4" w:space="0"/>
              <w:right w:val="single" w:color="auto" w:sz="4" w:space="0"/>
            </w:tcBorders>
            <w:tcW w:w="8522" w:type="dxa"/>
            <w:vAlign w:val="center"/>
            <w:textDirection w:val="lrTb"/>
            <w:noWrap w:val="false"/>
          </w:tcPr>
          <w:p>
            <w:pPr>
              <w:jc w:val="center"/>
              <w:spacing w:line="312"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总扣分数</w:t>
            </w:r>
            <w:r>
              <w:rPr>
                <w:rFonts w:hint="eastAsia" w:ascii="宋体" w:hAnsi="宋体" w:cs="宋体"/>
                <w:b/>
                <w:bCs/>
                <w:color w:val="auto"/>
                <w:sz w:val="21"/>
                <w:szCs w:val="21"/>
                <w:highlight w:val="none"/>
                <w:lang w:eastAsia="zh-CN"/>
              </w:rPr>
              <w:t xml:space="preserve">：</w:t>
            </w:r>
            <w:r/>
          </w:p>
        </w:tc>
      </w:tr>
      <w:tr>
        <w:trPr>
          <w:jc w:val="center"/>
          <w:trHeight w:val="576"/>
        </w:trPr>
        <w:tc>
          <w:tcPr>
            <w:gridSpan w:val="5"/>
            <w:tcBorders>
              <w:top w:val="single" w:color="auto" w:sz="4" w:space="0"/>
              <w:left w:val="single" w:color="auto" w:sz="4" w:space="0"/>
              <w:bottom w:val="single" w:color="auto" w:sz="4" w:space="0"/>
              <w:right w:val="single" w:color="auto" w:sz="4" w:space="0"/>
            </w:tcBorders>
            <w:tcW w:w="8522" w:type="dxa"/>
            <w:vAlign w:val="center"/>
            <w:textDirection w:val="lrTb"/>
            <w:noWrap w:val="false"/>
          </w:tcPr>
          <w:p>
            <w:pP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考核人：                              </w:t>
            </w:r>
            <w:r/>
          </w:p>
        </w:tc>
      </w:tr>
    </w:tbl>
    <w:p>
      <w:pPr>
        <w:spacing w:line="336" w:lineRule="auto"/>
        <w:rPr>
          <w:rFonts w:ascii="宋体" w:hAnsi="宋体" w:cs="宋体"/>
          <w:color w:val="auto"/>
          <w:szCs w:val="24"/>
          <w:highlight w:val="none"/>
        </w:rPr>
      </w:pPr>
      <w:r>
        <w:rPr>
          <w:rFonts w:ascii="宋体" w:hAnsi="宋体" w:cs="宋体"/>
          <w:color w:val="auto"/>
          <w:szCs w:val="24"/>
          <w:highlight w:val="none"/>
        </w:rPr>
      </w:r>
      <w:r/>
    </w:p>
    <w:p>
      <w:pPr>
        <w:ind w:firstLine="560"/>
        <w:spacing w:line="33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注：本考核表作为合同的附件及</w:t>
      </w:r>
      <w:r>
        <w:rPr>
          <w:rFonts w:hint="eastAsia" w:ascii="宋体" w:hAnsi="宋体" w:cs="宋体"/>
          <w:color w:val="auto"/>
          <w:sz w:val="24"/>
          <w:szCs w:val="24"/>
          <w:highlight w:val="none"/>
          <w:lang w:val="en-US" w:eastAsia="zh-CN"/>
        </w:rPr>
        <w:t xml:space="preserve">合同</w:t>
      </w:r>
      <w:r>
        <w:rPr>
          <w:rFonts w:hint="eastAsia" w:ascii="宋体" w:hAnsi="宋体" w:cs="宋体"/>
          <w:color w:val="auto"/>
          <w:sz w:val="24"/>
          <w:szCs w:val="24"/>
          <w:highlight w:val="none"/>
        </w:rPr>
        <w:t xml:space="preserve">费用支付的依据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按</w:t>
      </w:r>
      <w:r>
        <w:rPr>
          <w:rFonts w:hint="eastAsia" w:ascii="宋体" w:hAnsi="宋体" w:cs="宋体"/>
          <w:color w:val="auto"/>
          <w:sz w:val="24"/>
          <w:szCs w:val="24"/>
          <w:highlight w:val="none"/>
        </w:rPr>
        <w:t xml:space="preserve">每分</w:t>
      </w:r>
      <w:r>
        <w:rPr>
          <w:rFonts w:hint="eastAsia" w:ascii="宋体" w:hAnsi="宋体" w:cs="宋体"/>
          <w:color w:val="auto"/>
          <w:sz w:val="24"/>
          <w:szCs w:val="24"/>
          <w:highlight w:val="none"/>
          <w:lang w:val="en-US" w:eastAsia="zh-CN"/>
        </w:rPr>
        <w:t xml:space="preserve">3000</w:t>
      </w:r>
      <w:r>
        <w:rPr>
          <w:rFonts w:hint="eastAsia" w:ascii="宋体" w:hAnsi="宋体" w:cs="宋体"/>
          <w:color w:val="auto"/>
          <w:sz w:val="24"/>
          <w:szCs w:val="24"/>
          <w:highlight w:val="none"/>
        </w:rPr>
        <w:t xml:space="preserve">元</w:t>
      </w:r>
      <w:r>
        <w:rPr>
          <w:rFonts w:hint="eastAsia" w:ascii="宋体" w:hAnsi="宋体" w:cs="宋体"/>
          <w:color w:val="auto"/>
          <w:sz w:val="24"/>
          <w:szCs w:val="24"/>
          <w:highlight w:val="none"/>
          <w:lang w:val="en-US" w:eastAsia="zh-CN"/>
        </w:rPr>
        <w:t xml:space="preserve">对合同应付款进行扣减</w:t>
      </w:r>
      <w:r>
        <w:rPr>
          <w:rFonts w:hint="eastAsia" w:ascii="宋体" w:hAnsi="宋体" w:cs="宋体"/>
          <w:color w:val="auto"/>
          <w:sz w:val="24"/>
          <w:szCs w:val="24"/>
          <w:highlight w:val="none"/>
        </w:rPr>
        <w:t xml:space="preserve">。具体实施归采购人负责解释。</w:t>
      </w:r>
      <w:r/>
    </w:p>
    <w:p>
      <w:pPr>
        <w:ind w:firstLine="482"/>
        <w:rPr>
          <w:rFonts w:ascii="宋体" w:hAnsi="宋体" w:cs="宋体"/>
          <w:b/>
          <w:color w:val="auto"/>
          <w:szCs w:val="24"/>
          <w:highlight w:val="none"/>
        </w:rPr>
      </w:pPr>
      <w:r>
        <w:rPr>
          <w:rFonts w:ascii="宋体" w:hAnsi="宋体" w:cs="宋体"/>
          <w:b/>
          <w:color w:val="auto"/>
          <w:szCs w:val="24"/>
          <w:highlight w:val="none"/>
        </w:rPr>
      </w:r>
      <w:r/>
    </w:p>
    <w:p>
      <w:pPr>
        <w:jc w:val="left"/>
        <w:spacing w:line="240" w:lineRule="auto"/>
        <w:rPr>
          <w:rFonts w:hint="default" w:ascii="宋体" w:hAnsi="宋体" w:cs="宋体"/>
          <w:b/>
          <w:color w:val="auto"/>
          <w:sz w:val="21"/>
          <w:szCs w:val="24"/>
          <w:highlight w:val="none"/>
        </w:rPr>
      </w:pPr>
      <w:r>
        <w:rPr>
          <w:rFonts w:hint="default" w:ascii="宋体" w:hAnsi="宋体" w:cs="宋体"/>
          <w:b/>
          <w:color w:val="auto"/>
          <w:sz w:val="21"/>
          <w:szCs w:val="24"/>
          <w:highlight w:val="none"/>
        </w:rPr>
      </w:r>
      <w:r/>
    </w:p>
    <w:p>
      <w:pPr>
        <w:pStyle w:val="1015"/>
        <w:ind w:left="0" w:firstLine="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240" w:lineRule="auto"/>
        <w:rPr>
          <w:rFonts w:hint="eastAsia" w:ascii="宋体" w:hAnsi="宋体" w:cs="宋体"/>
          <w:b/>
          <w:bCs/>
          <w:color w:val="auto"/>
          <w:sz w:val="32"/>
          <w:szCs w:val="32"/>
          <w:highlight w:val="none"/>
        </w:rPr>
        <w:outlineLvl w:val="9"/>
      </w:pPr>
      <w:r>
        <w:rPr>
          <w:rFonts w:hint="eastAsia" w:ascii="宋体" w:hAnsi="宋体" w:cs="宋体"/>
          <w:color w:val="auto"/>
          <w:sz w:val="24"/>
          <w:highlight w:val="none"/>
        </w:rPr>
        <w:t xml:space="preserve">            </w:t>
      </w:r>
      <w:bookmarkStart w:id="22" w:name="_Toc13160"/>
      <w:r>
        <w:rPr>
          <w:rFonts w:hint="eastAsia" w:ascii="宋体" w:hAnsi="宋体" w:cs="宋体"/>
          <w:b/>
          <w:bCs/>
          <w:color w:val="auto"/>
          <w:sz w:val="32"/>
          <w:szCs w:val="32"/>
          <w:highlight w:val="none"/>
        </w:rPr>
        <w:br w:type="page" w:clear="all"/>
      </w:r>
      <w:r/>
    </w:p>
    <w:p>
      <w:pPr>
        <w:jc w:val="center"/>
        <w:spacing w:line="240" w:lineRule="auto"/>
        <w:widowControl/>
        <w:rPr>
          <w:rFonts w:hint="eastAsia" w:ascii="宋体" w:hAnsi="宋体" w:cs="宋体"/>
          <w:b/>
          <w:bCs/>
          <w:color w:val="auto"/>
          <w:sz w:val="32"/>
          <w:szCs w:val="32"/>
          <w:highlight w:val="none"/>
        </w:rPr>
        <w:outlineLvl w:val="0"/>
      </w:pPr>
      <w:r/>
      <w:bookmarkStart w:id="23" w:name="_Toc30413"/>
      <w:r>
        <w:rPr>
          <w:rFonts w:hint="eastAsia" w:ascii="宋体" w:hAnsi="宋体" w:cs="宋体"/>
          <w:b/>
          <w:bCs/>
          <w:color w:val="auto"/>
          <w:sz w:val="32"/>
          <w:szCs w:val="32"/>
          <w:highlight w:val="none"/>
        </w:rPr>
        <w:t xml:space="preserve">第七章  投标文件相关格式</w:t>
      </w:r>
      <w:bookmarkEnd w:id="22"/>
      <w:r/>
      <w:bookmarkEnd w:id="23"/>
      <w:r/>
      <w:r/>
    </w:p>
    <w:p>
      <w:pPr>
        <w:pStyle w:val="898"/>
        <w:jc w:val="center"/>
        <w:widowControl w:val="off"/>
        <w:rPr>
          <w:rFonts w:hint="eastAsia" w:ascii="宋体" w:hAnsi="宋体" w:cs="宋体"/>
          <w:bCs/>
          <w:color w:val="auto"/>
          <w:sz w:val="32"/>
          <w:szCs w:val="32"/>
          <w:highlight w:val="none"/>
        </w:rPr>
      </w:pPr>
      <w:r>
        <w:rPr>
          <w:rStyle w:val="1226"/>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本章仅提供投标文件中的部分文件格式，不应被理解为包含了投标文件所需的全部资料）</w:t>
      </w:r>
      <w:r/>
    </w:p>
    <w:p>
      <w:pPr>
        <w:jc w:val="center"/>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center"/>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center"/>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center"/>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center"/>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center"/>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lang w:eastAsia="zh-CN"/>
        </w:rPr>
        <w:t xml:space="preserve">交通信号灯社会化管养服务</w:t>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198"/>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bCs/>
          <w:color w:val="auto"/>
          <w:sz w:val="32"/>
          <w:szCs w:val="32"/>
          <w:highlight w:val="none"/>
        </w:rPr>
      </w:pPr>
      <w:r>
        <w:rPr>
          <w:rFonts w:hint="eastAsia" w:ascii="宋体" w:hAnsi="宋体" w:cs="宋体"/>
          <w:bCs/>
          <w:color w:val="auto"/>
          <w:sz w:val="48"/>
          <w:szCs w:val="48"/>
          <w:highlight w:val="none"/>
        </w:rPr>
        <w:t xml:space="preserve">投标文件</w:t>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（项目编号：）</w:t>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480" w:lineRule="auto"/>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（名称打印并盖法人公章）</w:t>
      </w:r>
      <w:r/>
    </w:p>
    <w:p>
      <w:pPr>
        <w:jc w:val="center"/>
        <w:spacing w:line="480" w:lineRule="auto"/>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法定代表人或其委托代理人：</w:t>
      </w:r>
      <w:r>
        <w:rPr>
          <w:rFonts w:hint="eastAsia" w:ascii="宋体" w:hAnsi="宋体" w:cs="宋体"/>
          <w:color w:val="auto"/>
          <w:sz w:val="28"/>
          <w:szCs w:val="28"/>
          <w:highlight w:val="none"/>
          <w:u w:val="single"/>
        </w:rPr>
        <w:t xml:space="preserve">（签字或盖章）</w:t>
      </w:r>
      <w:r/>
    </w:p>
    <w:p>
      <w:pPr>
        <w:jc w:val="center"/>
        <w:spacing w:line="48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年  月  日</w:t>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pStyle w:val="1198"/>
        <w:ind w:firstLine="482"/>
        <w:rPr>
          <w:rStyle w:val="1226"/>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198"/>
        <w:ind w:firstLine="482"/>
        <w:spacing w:line="360" w:lineRule="auto"/>
        <w:rPr>
          <w:rStyle w:val="1226"/>
          <w:rFonts w:hint="eastAsia" w:ascii="宋体" w:hAnsi="宋体" w:eastAsia="宋体" w:cs="宋体"/>
          <w:b/>
          <w:color w:val="auto"/>
          <w:sz w:val="24"/>
          <w:szCs w:val="24"/>
          <w:highlight w:val="none"/>
        </w:rPr>
      </w:pPr>
      <w:r>
        <w:rPr>
          <w:rStyle w:val="1226"/>
          <w:rFonts w:hint="eastAsia" w:ascii="宋体" w:hAnsi="宋体" w:eastAsia="宋体" w:cs="宋体"/>
          <w:b/>
          <w:color w:val="auto"/>
          <w:sz w:val="24"/>
          <w:szCs w:val="24"/>
          <w:highlight w:val="none"/>
        </w:rPr>
        <w:t xml:space="preserve">特别提醒：</w:t>
      </w:r>
      <w:r/>
    </w:p>
    <w:p>
      <w:pPr>
        <w:pStyle w:val="1198"/>
        <w:ind w:firstLine="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中标人领取中标通知书时须向代理机构提交纸质胶装投标文件一正四副和投标文件电子版2份（载体为U盘）。</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目 录</w:t>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ind w:left="1058"/>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 投标函</w:t>
      </w:r>
      <w:r/>
    </w:p>
    <w:p>
      <w:pPr>
        <w:ind w:left="1058"/>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 开标一览表</w:t>
      </w:r>
      <w:r/>
    </w:p>
    <w:p>
      <w:pPr>
        <w:ind w:left="1058"/>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 分项价格表</w:t>
      </w:r>
      <w:r/>
    </w:p>
    <w:p>
      <w:pPr>
        <w:ind w:left="1058"/>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4．偏离表</w:t>
      </w:r>
      <w:r/>
    </w:p>
    <w:p>
      <w:pPr>
        <w:ind w:left="1058"/>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 法定代表人授权书</w:t>
      </w:r>
      <w:r/>
    </w:p>
    <w:p>
      <w:pPr>
        <w:ind w:left="1058"/>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 中小企业声明函</w:t>
      </w:r>
      <w:r/>
    </w:p>
    <w:p>
      <w:pPr>
        <w:ind w:left="1058"/>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 残疾人福利性单位声明函</w:t>
      </w:r>
      <w:r/>
    </w:p>
    <w:p>
      <w:pPr>
        <w:ind w:left="1058"/>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 投标人参加政府采购活动前3年内在经营活动中没有重大违法记录的书面声明</w:t>
      </w:r>
      <w:r/>
    </w:p>
    <w:p>
      <w:pPr>
        <w:ind w:left="1058"/>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 具备履行合同所必需的设备和专业技术能力的书面声明（附证明材料复印件）</w:t>
      </w:r>
      <w:r/>
    </w:p>
    <w:p>
      <w:pPr>
        <w:ind w:left="1058"/>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10.投标人相关承诺</w:t>
      </w:r>
      <w:r/>
    </w:p>
    <w:p>
      <w:pPr>
        <w:ind w:left="1058"/>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11.投标人书面声明</w:t>
      </w:r>
      <w:r/>
    </w:p>
    <w:p>
      <w:pPr>
        <w:ind w:left="1058"/>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12.履约承诺函</w:t>
      </w:r>
      <w:r/>
    </w:p>
    <w:p>
      <w:pPr>
        <w:ind w:left="1058"/>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13.项目组织机构及主要人员配置情况表</w:t>
      </w:r>
      <w:r/>
    </w:p>
    <w:p>
      <w:pPr>
        <w:ind w:left="1058"/>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14.项目设备配置明细表</w:t>
      </w:r>
      <w:r/>
    </w:p>
    <w:p>
      <w:pPr>
        <w:ind w:left="1058"/>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15.招标文件要求或投标人认为需要提供的其他资料（如有）</w:t>
      </w:r>
      <w:r/>
    </w:p>
    <w:p>
      <w:pPr>
        <w:ind w:left="1058"/>
        <w:spacing w:line="360" w:lineRule="auto"/>
        <w:rPr>
          <w:rFonts w:hint="eastAsia" w:ascii="宋体" w:hAnsi="宋体" w:cs="宋体"/>
          <w:color w:val="auto"/>
          <w:sz w:val="24"/>
          <w:highlight w:val="none"/>
        </w:rPr>
        <w:sectPr>
          <w:footnotePr/>
          <w:endnotePr/>
          <w:type w:val="nextPage"/>
          <w:pgSz w:w="11906" w:h="16838" w:orient="portrait"/>
          <w:pgMar w:top="1440" w:right="1423" w:bottom="1440" w:left="1003" w:header="851" w:footer="992" w:gutter="0"/>
          <w:cols w:num="1" w:sep="0" w:space="1701" w:equalWidth="1"/>
          <w:docGrid w:linePitch="360"/>
        </w:sectPr>
      </w:pPr>
      <w:r>
        <w:rPr>
          <w:rFonts w:hint="eastAsia" w:ascii="宋体" w:hAnsi="宋体" w:cs="宋体"/>
          <w:color w:val="auto"/>
          <w:sz w:val="24"/>
          <w:highlight w:val="none"/>
        </w:rPr>
        <w:t xml:space="preserve">16.预付款保函支付条款模板</w:t>
      </w:r>
      <w:r/>
    </w:p>
    <w:p>
      <w:pPr>
        <w:jc w:val="center"/>
        <w:rPr>
          <w:rFonts w:hint="eastAsia" w:ascii="宋体" w:hAnsi="宋体" w:cs="宋体"/>
          <w:color w:val="auto"/>
          <w:sz w:val="28"/>
          <w:szCs w:val="28"/>
          <w:highlight w:val="none"/>
        </w:rPr>
        <w:outlineLvl w:val="1"/>
      </w:pPr>
      <w:r>
        <w:rPr>
          <w:rFonts w:hint="eastAsia" w:ascii="宋体" w:hAnsi="宋体" w:cs="宋体"/>
          <w:color w:val="auto"/>
          <w:sz w:val="28"/>
          <w:szCs w:val="28"/>
          <w:highlight w:val="none"/>
        </w:rPr>
        <w:t xml:space="preserve">1. 投标函</w:t>
      </w:r>
      <w:r/>
    </w:p>
    <w:p>
      <w:pPr>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江苏科建工程项目管理有限公司</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（项目名称）[项目编号：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]招标文件，</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(姓名)代表我方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（投标人的名称）全权处理本次投标的有关事宜。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据此函，投标人承诺并同意如下：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 投标人唯一投标报价见《开标一览表》。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 投标人将按招标文件的规定履行合同责任和义务。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 投标人已详细审查全部招标文件，包括第[插入编号] [补遗书][如果有的话]。投标人完全理解并同意放弃对这方面有不明及误解的权力。</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 投标有效期为开标之日后90天。</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 投标人不在投标初始有效期内撤回投标。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 投标人同意提供按照贵方可能要求的与其投标有关的一切数据或资料，完全理解贵方不一定接受最低价的投标或收到的任何投标。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 投标人同意在授予合同后，按照投标资料表中的有关规定支付招标代理服务费。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 采购人或采购代理机构有权将我单位本项目的《开标一览表》和《分项价格表》予以公示，公示的方式由江苏科建工程项目管理有限公司确定。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 与本投标有关的一切正式往来信函请寄：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电话：                 手机号码：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传真： </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投标人：（盖电子签章）</w:t>
      </w:r>
      <w:r/>
    </w:p>
    <w:p>
      <w:pPr>
        <w:ind w:firstLine="480"/>
        <w:spacing w:line="360" w:lineRule="auto"/>
        <w:rPr>
          <w:rFonts w:hint="eastAsia" w:ascii="宋体" w:hAnsi="宋体" w:cs="宋体"/>
          <w:color w:val="auto"/>
          <w:highlight w:val="none"/>
        </w:rPr>
      </w:pPr>
      <w:r>
        <w:rPr>
          <w:rFonts w:hint="eastAsia" w:ascii="宋体" w:hAnsi="宋体" w:cs="宋体"/>
          <w:color w:val="auto"/>
          <w:sz w:val="24"/>
          <w:highlight w:val="none"/>
        </w:rPr>
        <w:t xml:space="preserve">                      </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3120"/>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before="120"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br w:type="page" w:clear="all"/>
      </w:r>
      <w:r>
        <w:rPr>
          <w:rFonts w:hint="eastAsia" w:ascii="宋体" w:hAnsi="宋体" w:cs="宋体"/>
          <w:color w:val="auto"/>
          <w:sz w:val="28"/>
          <w:szCs w:val="28"/>
          <w:highlight w:val="none"/>
        </w:rPr>
        <w:t xml:space="preserve">2、开标一览表</w:t>
      </w:r>
      <w:r/>
    </w:p>
    <w:p>
      <w:pPr>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交通信号灯社会化管养服务</w:t>
      </w:r>
      <w:r>
        <w:rPr>
          <w:rFonts w:hint="eastAsia" w:ascii="宋体" w:hAnsi="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JSZC-320300-JSKJ-G2026-0029</w:t>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单位：人民币元</w:t>
      </w:r>
      <w:r/>
    </w:p>
    <w:p>
      <w:pPr>
        <w:rPr>
          <w:rFonts w:hint="eastAsia" w:ascii="宋体" w:hAnsi="宋体" w:cs="宋体"/>
          <w:color w:val="auto"/>
          <w:highlight w:val="none"/>
        </w:rPr>
      </w:pPr>
      <w:r>
        <w:rPr>
          <w:rFonts w:hint="eastAsia" w:ascii="宋体" w:hAnsi="宋体" w:cs="宋体"/>
          <w:color w:val="auto"/>
          <w:highlight w:val="none"/>
        </w:rPr>
      </w:r>
      <w:r/>
    </w:p>
    <w:tbl>
      <w:tblPr>
        <w:tblStyle w:val="851"/>
        <w:tblW w:w="9318"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07"/>
        <w:gridCol w:w="1664"/>
        <w:gridCol w:w="3407"/>
        <w:gridCol w:w="1840"/>
      </w:tblGrid>
      <w:tr>
        <w:trPr>
          <w:cantSplit/>
          <w:jc w:val="center"/>
          <w:trHeight w:val="1137"/>
        </w:trPr>
        <w:tc>
          <w:tcPr>
            <w:tcW w:w="240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tc>
        <w:tc>
          <w:tcPr>
            <w:tcW w:w="166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项目内容</w:t>
            </w:r>
            <w:r/>
          </w:p>
        </w:tc>
        <w:tc>
          <w:tcPr>
            <w:tcW w:w="3407"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sz w:val="24"/>
                <w:highlight w:val="none"/>
                <w:lang w:val="en-US" w:eastAsia="zh-CN"/>
              </w:rPr>
              <w:t xml:space="preserve">投标权重单价合计</w:t>
            </w:r>
            <w:r>
              <w:rPr>
                <w:rFonts w:hint="eastAsia" w:ascii="宋体" w:hAnsi="宋体" w:cs="宋体"/>
                <w:color w:val="auto"/>
                <w:sz w:val="24"/>
                <w:highlight w:val="none"/>
              </w:rPr>
              <w:t xml:space="preserve">（小写）</w:t>
            </w:r>
            <w:r/>
          </w:p>
        </w:tc>
        <w:tc>
          <w:tcPr>
            <w:tcW w:w="18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cantSplit/>
          <w:jc w:val="center"/>
          <w:trHeight w:val="1177"/>
        </w:trPr>
        <w:tc>
          <w:tcPr>
            <w:tcW w:w="240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eastAsia="zh-CN"/>
              </w:rPr>
              <w:t xml:space="preserve">交通信号灯社会化管养服务</w:t>
            </w:r>
            <w:r>
              <w:rPr>
                <w:rFonts w:hint="eastAsia" w:ascii="宋体" w:hAnsi="宋体" w:cs="宋体"/>
                <w:color w:val="auto"/>
                <w:sz w:val="24"/>
                <w:highlight w:val="none"/>
              </w:rPr>
              <w:t xml:space="preserve"> </w:t>
            </w:r>
            <w:r/>
          </w:p>
        </w:tc>
        <w:tc>
          <w:tcPr>
            <w:tcW w:w="166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详见投标文件</w:t>
            </w:r>
            <w:r/>
          </w:p>
        </w:tc>
        <w:tc>
          <w:tcPr>
            <w:tcW w:w="3407" w:type="dxa"/>
            <w:vAlign w:val="center"/>
            <w:textDirection w:val="lrTb"/>
            <w:noWrap w:val="false"/>
          </w:tcPr>
          <w:p>
            <w:pPr>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tc>
        <w:tc>
          <w:tcPr>
            <w:tcW w:w="1840" w:type="dxa"/>
            <w:vAlign w:val="center"/>
            <w:vMerge w:val="restart"/>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报价为《分项价格表》的</w:t>
            </w:r>
            <w:r>
              <w:rPr>
                <w:rFonts w:hint="eastAsia" w:ascii="宋体" w:hAnsi="宋体" w:cs="宋体"/>
                <w:color w:val="auto"/>
                <w:sz w:val="24"/>
                <w:highlight w:val="none"/>
                <w:lang w:val="en-US" w:eastAsia="zh-CN"/>
              </w:rPr>
              <w:t xml:space="preserve">投标权重单价合计</w:t>
            </w:r>
            <w:r>
              <w:rPr>
                <w:rFonts w:hint="eastAsia" w:ascii="宋体" w:hAnsi="宋体" w:cs="宋体"/>
                <w:color w:val="auto"/>
                <w:sz w:val="24"/>
                <w:highlight w:val="none"/>
              </w:rPr>
              <w:t xml:space="preserve">。</w:t>
            </w:r>
            <w:r/>
          </w:p>
          <w:p>
            <w:pPr>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1411"/>
        </w:trPr>
        <w:tc>
          <w:tcPr>
            <w:tcW w:w="240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投标权重单价合计</w:t>
            </w:r>
            <w:r>
              <w:rPr>
                <w:rFonts w:hint="eastAsia" w:ascii="宋体" w:hAnsi="宋体" w:cs="宋体"/>
                <w:color w:val="auto"/>
                <w:sz w:val="24"/>
                <w:highlight w:val="none"/>
              </w:rPr>
              <w:t xml:space="preserve">（大写）：</w:t>
            </w:r>
            <w:r/>
          </w:p>
        </w:tc>
        <w:tc>
          <w:tcPr>
            <w:gridSpan w:val="2"/>
            <w:tcW w:w="507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840" w:type="dxa"/>
            <w:vAlign w:val="center"/>
            <w:vMerge w:val="continue"/>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80"/>
        <w:rPr>
          <w:rFonts w:hint="eastAsia" w:ascii="宋体" w:hAnsi="宋体" w:cs="宋体"/>
          <w:color w:val="auto"/>
          <w:highlight w:val="none"/>
        </w:rPr>
      </w:pPr>
      <w:r>
        <w:rPr>
          <w:rFonts w:hint="eastAsia" w:ascii="宋体" w:hAnsi="宋体" w:cs="宋体"/>
          <w:color w:val="auto"/>
          <w:highlight w:val="none"/>
        </w:rPr>
      </w:r>
      <w:r/>
    </w:p>
    <w:p>
      <w:pPr>
        <w:pStyle w:val="1217"/>
        <w:ind w:left="0" w:right="0"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Cs w:val="28"/>
          <w:highlight w:val="none"/>
        </w:rPr>
        <w:t xml:space="preserve">或详见苏采云系统中的格式。</w:t>
      </w:r>
      <w:r/>
    </w:p>
    <w:p>
      <w:pPr>
        <w:ind w:firstLine="480"/>
        <w:rPr>
          <w:rFonts w:hint="eastAsia" w:ascii="宋体" w:hAnsi="宋体" w:cs="宋体"/>
          <w:color w:val="auto"/>
          <w:highlight w:val="none"/>
        </w:rPr>
      </w:pPr>
      <w:r>
        <w:rPr>
          <w:rFonts w:hint="eastAsia" w:ascii="宋体" w:hAnsi="宋体" w:cs="宋体"/>
          <w:color w:val="auto"/>
          <w:highlight w:val="none"/>
        </w:rPr>
      </w:r>
      <w:r/>
    </w:p>
    <w:p>
      <w:pPr>
        <w:pStyle w:val="1217"/>
        <w:spacing w:line="360" w:lineRule="auto"/>
        <w:rPr>
          <w:rFonts w:hint="eastAsia" w:ascii="宋体" w:hAnsi="宋体" w:eastAsia="宋体" w:cs="宋体"/>
          <w:color w:val="auto"/>
          <w:highlight w:val="none"/>
        </w:rPr>
      </w:pPr>
      <w:r>
        <w:rPr>
          <w:rStyle w:val="1226"/>
          <w:rFonts w:hint="eastAsia" w:ascii="宋体" w:hAnsi="宋体" w:eastAsia="宋体" w:cs="宋体"/>
          <w:b/>
          <w:color w:val="auto"/>
          <w:sz w:val="24"/>
          <w:highlight w:val="none"/>
        </w:rPr>
        <w:t xml:space="preserve">  </w:t>
      </w:r>
      <w:r/>
    </w:p>
    <w:p>
      <w:pPr>
        <w:pStyle w:val="898"/>
        <w:jc w:val="left"/>
        <w:spacing w:line="360" w:lineRule="auto"/>
        <w:widowControl w:val="off"/>
        <w:rPr>
          <w:rStyle w:val="972"/>
          <w:rFonts w:hint="eastAsia" w:ascii="宋体" w:hAnsi="宋体" w:eastAsia="宋体" w:cs="宋体"/>
          <w:b/>
          <w:bCs w:val="0"/>
          <w:color w:val="auto"/>
          <w:sz w:val="24"/>
          <w:szCs w:val="24"/>
          <w:highlight w:val="none"/>
          <w:lang w:eastAsia="zh-CN"/>
        </w:rPr>
      </w:pPr>
      <w:r>
        <w:rPr>
          <w:rStyle w:val="972"/>
          <w:rFonts w:hint="eastAsia" w:ascii="宋体" w:hAnsi="宋体" w:cs="宋体"/>
          <w:b/>
          <w:color w:val="auto"/>
          <w:sz w:val="24"/>
          <w:highlight w:val="none"/>
        </w:rPr>
        <w:t xml:space="preserve">报价说明：</w:t>
      </w:r>
      <w:r>
        <w:rPr>
          <w:rStyle w:val="972"/>
          <w:rFonts w:hint="eastAsia" w:ascii="宋体" w:hAnsi="宋体" w:cs="宋体"/>
          <w:b/>
          <w:bCs w:val="0"/>
          <w:color w:val="auto"/>
          <w:sz w:val="24"/>
          <w:highlight w:val="none"/>
          <w:lang w:val="en-US"/>
        </w:rPr>
        <w:t xml:space="preserve">1、</w:t>
      </w:r>
      <w:r>
        <w:rPr>
          <w:rFonts w:ascii="宋体" w:hAnsi="宋体" w:eastAsia="宋体" w:cs="宋体"/>
          <w:b/>
          <w:bCs w:val="0"/>
          <w:color w:val="auto"/>
          <w:sz w:val="24"/>
          <w:szCs w:val="24"/>
          <w:highlight w:val="none"/>
        </w:rPr>
        <w:t xml:space="preserve">以各子目投标单价×对应价格权重，求和得到</w:t>
      </w:r>
      <w:r>
        <w:rPr>
          <w:rFonts w:hint="eastAsia" w:ascii="宋体" w:hAnsi="宋体" w:cs="宋体"/>
          <w:color w:val="auto"/>
          <w:sz w:val="24"/>
          <w:highlight w:val="none"/>
          <w:lang w:val="en-US" w:eastAsia="zh-CN"/>
        </w:rPr>
        <w:t xml:space="preserve">投标权重单价合计</w:t>
      </w:r>
      <w:r>
        <w:rPr>
          <w:rStyle w:val="850"/>
          <w:rFonts w:hint="default" w:ascii="宋体" w:hAnsi="宋体" w:eastAsia="宋体" w:cs="宋体"/>
          <w:bCs w:val="0"/>
          <w:color w:val="auto"/>
          <w:sz w:val="24"/>
          <w:szCs w:val="24"/>
          <w:highlight w:val="none"/>
          <w:lang w:val="en-US" w:eastAsia="zh-CN"/>
        </w:rPr>
        <w:t xml:space="preserve">（</w:t>
      </w:r>
      <w:r>
        <w:rPr>
          <w:rStyle w:val="850"/>
          <w:rFonts w:ascii="宋体" w:hAnsi="宋体" w:eastAsia="宋体" w:cs="宋体"/>
          <w:bCs w:val="0"/>
          <w:color w:val="auto"/>
          <w:sz w:val="24"/>
          <w:szCs w:val="24"/>
          <w:highlight w:val="none"/>
        </w:rPr>
        <w:t xml:space="preserve">评审价</w:t>
      </w:r>
      <w:r>
        <w:rPr>
          <w:rStyle w:val="850"/>
          <w:rFonts w:hint="default" w:ascii="宋体" w:hAnsi="宋体" w:eastAsia="宋体" w:cs="宋体"/>
          <w:bCs w:val="0"/>
          <w:color w:val="auto"/>
          <w:sz w:val="24"/>
          <w:szCs w:val="24"/>
          <w:highlight w:val="none"/>
          <w:lang w:eastAsia="zh-CN"/>
        </w:rPr>
        <w:t xml:space="preserve">）</w:t>
      </w:r>
      <w:r>
        <w:rPr>
          <w:rStyle w:val="850"/>
          <w:rFonts w:hint="eastAsia" w:ascii="宋体" w:hAnsi="宋体" w:cs="宋体"/>
          <w:bCs w:val="0"/>
          <w:color w:val="auto"/>
          <w:sz w:val="24"/>
          <w:szCs w:val="24"/>
          <w:highlight w:val="none"/>
          <w:lang w:eastAsia="zh-CN"/>
        </w:rPr>
        <w:t xml:space="preserve">；</w:t>
      </w:r>
      <w:r/>
    </w:p>
    <w:p>
      <w:pPr>
        <w:pStyle w:val="898"/>
        <w:ind w:firstLine="482"/>
        <w:jc w:val="left"/>
        <w:spacing w:line="360" w:lineRule="auto"/>
        <w:widowControl w:val="off"/>
        <w:rPr>
          <w:rStyle w:val="972"/>
          <w:rFonts w:hint="eastAsia" w:ascii="宋体" w:hAnsi="宋体" w:cs="宋体"/>
          <w:b/>
          <w:color w:val="auto"/>
          <w:sz w:val="24"/>
          <w:highlight w:val="none"/>
        </w:rPr>
      </w:pPr>
      <w:r>
        <w:rPr>
          <w:rStyle w:val="972"/>
          <w:rFonts w:hint="eastAsia" w:ascii="宋体" w:hAnsi="宋体" w:cs="宋体"/>
          <w:b/>
          <w:color w:val="auto"/>
          <w:sz w:val="24"/>
          <w:highlight w:val="none"/>
          <w:lang w:val="en-US"/>
        </w:rPr>
        <w:t xml:space="preserve">2</w:t>
      </w:r>
      <w:r>
        <w:rPr>
          <w:rStyle w:val="972"/>
          <w:rFonts w:hint="eastAsia" w:ascii="宋体" w:hAnsi="宋体" w:cs="宋体"/>
          <w:b/>
          <w:color w:val="auto"/>
          <w:sz w:val="24"/>
          <w:highlight w:val="none"/>
        </w:rPr>
        <w:t xml:space="preserve">、报价包括完成项目的所有费用。采购人不再支付报价以外的任何费用；</w:t>
      </w:r>
      <w:r/>
    </w:p>
    <w:p>
      <w:pPr>
        <w:pStyle w:val="898"/>
        <w:ind w:firstLine="482"/>
        <w:jc w:val="left"/>
        <w:spacing w:line="360" w:lineRule="auto"/>
        <w:widowControl w:val="off"/>
        <w:rPr>
          <w:rStyle w:val="972"/>
          <w:rFonts w:hint="eastAsia" w:ascii="宋体" w:hAnsi="宋体" w:cs="宋体"/>
          <w:b/>
          <w:color w:val="auto"/>
          <w:sz w:val="24"/>
          <w:highlight w:val="none"/>
        </w:rPr>
      </w:pPr>
      <w:r>
        <w:rPr>
          <w:rStyle w:val="972"/>
          <w:rFonts w:hint="eastAsia" w:ascii="宋体" w:hAnsi="宋体" w:cs="宋体"/>
          <w:b/>
          <w:color w:val="auto"/>
          <w:sz w:val="24"/>
          <w:highlight w:val="none"/>
          <w:lang w:val="en-US"/>
        </w:rPr>
        <w:t xml:space="preserve">3</w:t>
      </w:r>
      <w:r>
        <w:rPr>
          <w:rStyle w:val="972"/>
          <w:rFonts w:hint="eastAsia" w:ascii="宋体" w:hAnsi="宋体" w:cs="宋体"/>
          <w:b/>
          <w:color w:val="auto"/>
          <w:sz w:val="24"/>
          <w:highlight w:val="none"/>
        </w:rPr>
        <w:t xml:space="preserve">、报价以</w:t>
      </w:r>
      <w:r>
        <w:rPr>
          <w:rFonts w:hint="eastAsia" w:ascii="宋体" w:hAnsi="宋体" w:cs="宋体"/>
          <w:color w:val="auto"/>
          <w:sz w:val="24"/>
          <w:highlight w:val="none"/>
          <w:lang w:val="en-US" w:eastAsia="zh-CN"/>
        </w:rPr>
        <w:t xml:space="preserve">投标权重单价合计</w:t>
      </w:r>
      <w:r>
        <w:rPr>
          <w:rStyle w:val="972"/>
          <w:rFonts w:hint="eastAsia" w:ascii="宋体" w:hAnsi="宋体" w:cs="宋体"/>
          <w:b/>
          <w:color w:val="auto"/>
          <w:sz w:val="24"/>
          <w:highlight w:val="none"/>
        </w:rPr>
        <w:t xml:space="preserve">为准，大小写不一致以大写为准；</w:t>
      </w:r>
      <w:r/>
    </w:p>
    <w:p>
      <w:pPr>
        <w:pStyle w:val="898"/>
        <w:ind w:firstLine="482"/>
        <w:jc w:val="left"/>
        <w:spacing w:line="360" w:lineRule="auto"/>
        <w:widowControl w:val="off"/>
        <w:rPr>
          <w:rStyle w:val="972"/>
          <w:rFonts w:hint="eastAsia" w:ascii="宋体" w:hAnsi="宋体" w:cs="宋体"/>
          <w:b/>
          <w:color w:val="auto"/>
          <w:sz w:val="24"/>
          <w:highlight w:val="none"/>
        </w:rPr>
      </w:pPr>
      <w:r>
        <w:rPr>
          <w:rStyle w:val="972"/>
          <w:rFonts w:hint="eastAsia" w:ascii="宋体" w:hAnsi="宋体" w:cs="宋体"/>
          <w:b/>
          <w:color w:val="auto"/>
          <w:sz w:val="24"/>
          <w:highlight w:val="none"/>
          <w:lang w:val="en-US"/>
        </w:rPr>
        <w:t xml:space="preserve">4</w:t>
      </w:r>
      <w:r>
        <w:rPr>
          <w:rStyle w:val="972"/>
          <w:rFonts w:hint="eastAsia" w:ascii="宋体" w:hAnsi="宋体" w:cs="宋体"/>
          <w:b/>
          <w:color w:val="auto"/>
          <w:sz w:val="24"/>
          <w:highlight w:val="none"/>
        </w:rPr>
        <w:t xml:space="preserve">、偏离说明：详见《偏离表》。</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投</w:t>
      </w:r>
      <w:r>
        <w:rPr>
          <w:rFonts w:hint="eastAsia" w:ascii="宋体" w:hAnsi="宋体" w:cs="宋体"/>
          <w:bCs/>
          <w:color w:val="auto"/>
          <w:sz w:val="24"/>
          <w:highlight w:val="none"/>
        </w:rPr>
        <w:t xml:space="preserve">标人：（盖电子签章）</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0"/>
        <w:spacing w:line="360" w:lineRule="auto"/>
        <w:rPr>
          <w:rFonts w:hint="eastAsia" w:ascii="宋体" w:hAnsi="宋体" w:cs="宋体"/>
          <w:color w:val="auto"/>
          <w:sz w:val="28"/>
          <w:szCs w:val="28"/>
          <w:highlight w:val="none"/>
        </w:rPr>
      </w:pPr>
      <w:r>
        <w:rPr>
          <w:rFonts w:hint="eastAsia" w:ascii="宋体" w:hAnsi="宋体" w:cs="宋体"/>
          <w:bCs/>
          <w:color w:val="auto"/>
          <w:sz w:val="24"/>
          <w:highlight w:val="none"/>
        </w:rPr>
        <w:t xml:space="preserve">日期</w:t>
      </w:r>
      <w:r>
        <w:rPr>
          <w:rFonts w:hint="eastAsia" w:ascii="宋体" w:hAnsi="宋体" w:cs="宋体"/>
          <w:color w:val="auto"/>
          <w:sz w:val="24"/>
          <w:highlight w:val="none"/>
        </w:rPr>
        <w:t xml:space="preserve">：   年  月   日</w:t>
      </w:r>
      <w:r/>
    </w:p>
    <w:p>
      <w:pPr>
        <w:jc w:val="center"/>
        <w:spacing w:line="360" w:lineRule="auto"/>
        <w:rPr>
          <w:rFonts w:hint="eastAsia" w:ascii="宋体" w:hAnsi="宋体" w:cs="宋体"/>
          <w:color w:val="auto"/>
          <w:sz w:val="24"/>
          <w:highlight w:val="none"/>
        </w:rPr>
        <w:outlineLvl w:val="1"/>
      </w:pPr>
      <w:r>
        <w:rPr>
          <w:rFonts w:hint="eastAsia" w:ascii="宋体" w:hAnsi="宋体" w:cs="宋体"/>
          <w:color w:val="auto"/>
          <w:sz w:val="28"/>
          <w:szCs w:val="28"/>
          <w:highlight w:val="none"/>
        </w:rPr>
        <w:br w:type="page" w:clear="all"/>
      </w:r>
      <w:r>
        <w:rPr>
          <w:rFonts w:hint="eastAsia" w:ascii="宋体" w:hAnsi="宋体" w:cs="宋体"/>
          <w:color w:val="auto"/>
          <w:sz w:val="28"/>
          <w:szCs w:val="28"/>
          <w:highlight w:val="none"/>
        </w:rPr>
        <w:t xml:space="preserve">3、分项价格表</w:t>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交通信号灯社会化管养服务</w:t>
      </w:r>
      <w:r>
        <w:rPr>
          <w:rFonts w:hint="eastAsia" w:ascii="宋体" w:hAnsi="宋体" w:cs="宋体"/>
          <w:color w:val="auto"/>
          <w:sz w:val="24"/>
          <w:highlight w:val="none"/>
        </w:rPr>
        <w:t xml:space="preserve"> </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JSZC-320300-JSKJ-G2026-0029</w:t>
      </w:r>
      <w:r/>
    </w:p>
    <w:tbl>
      <w:tblPr>
        <w:tblStyle w:val="851"/>
        <w:tblW w:w="51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01"/>
        <w:gridCol w:w="863"/>
        <w:gridCol w:w="1037"/>
        <w:gridCol w:w="760"/>
        <w:gridCol w:w="3085"/>
        <w:gridCol w:w="1095"/>
        <w:gridCol w:w="1005"/>
        <w:gridCol w:w="1416"/>
      </w:tblGrid>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00" w:type="dxa"/>
            <w:vAlign w:val="center"/>
            <w:textDirection w:val="lrTb"/>
            <w:noWrap w:val="false"/>
          </w:tcPr>
          <w:p>
            <w:pPr>
              <w:jc w:val="center"/>
              <w:keepLines w:val="0"/>
              <w:keepNext w:val="0"/>
              <w:spacing w:line="336"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center"/>
              <w:keepLines w:val="0"/>
              <w:keepNext w:val="0"/>
              <w:spacing w:line="336"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服务要求</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cs="宋体"/>
                <w:b/>
                <w:bCs/>
                <w:i w:val="0"/>
                <w:iCs w:val="0"/>
                <w:color w:val="auto"/>
                <w:sz w:val="21"/>
                <w:szCs w:val="21"/>
                <w:highlight w:val="none"/>
                <w:u w:val="none"/>
                <w:lang w:val="en-US" w:eastAsia="zh-CN" w:bidi="ar"/>
              </w:rPr>
              <w:t xml:space="preserve">投标</w:t>
            </w:r>
            <w:r>
              <w:rPr>
                <w:rFonts w:hint="eastAsia" w:ascii="宋体" w:hAnsi="宋体" w:eastAsia="宋体" w:cs="宋体"/>
                <w:b/>
                <w:bCs/>
                <w:i w:val="0"/>
                <w:iCs w:val="0"/>
                <w:color w:val="auto"/>
                <w:sz w:val="21"/>
                <w:szCs w:val="21"/>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价格权重</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default"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cs="宋体"/>
                <w:b/>
                <w:bCs/>
                <w:i w:val="0"/>
                <w:iCs w:val="0"/>
                <w:color w:val="auto"/>
                <w:sz w:val="22"/>
                <w:szCs w:val="22"/>
                <w:highlight w:val="none"/>
                <w:u w:val="none"/>
                <w:lang w:val="en-US" w:eastAsia="zh-CN" w:bidi="ar"/>
              </w:rPr>
              <w:t xml:space="preserve">投标权重单价（元）</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b/>
                <w:bCs/>
                <w:i/>
                <w:iCs/>
                <w:color w:val="auto"/>
                <w:sz w:val="21"/>
                <w:szCs w:val="21"/>
                <w:highlight w:val="none"/>
                <w:u w:val="none"/>
                <w:lang w:val="en-US" w:eastAsia="zh-CN" w:bidi="ar"/>
              </w:rPr>
              <w:t xml:space="preserve">举例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00" w:type="dxa"/>
            <w:vAlign w:val="center"/>
            <w:textDirection w:val="lrTb"/>
            <w:noWrap w:val="false"/>
          </w:tcPr>
          <w:p>
            <w:pPr>
              <w:jc w:val="center"/>
              <w:keepLines w:val="0"/>
              <w:keepNext w:val="0"/>
              <w:spacing w:line="336"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b/>
                <w:bCs/>
                <w:i/>
                <w:iCs/>
                <w:color w:val="auto"/>
                <w:sz w:val="21"/>
                <w:szCs w:val="21"/>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b/>
                <w:bCs/>
                <w:i/>
                <w:iCs/>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Arial" w:hAnsi="Arial" w:cs="Arial"/>
                <w:b/>
                <w:bCs/>
                <w:i/>
                <w:iCs/>
                <w:color w:val="auto"/>
                <w:sz w:val="20"/>
                <w:szCs w:val="20"/>
                <w:highlight w:val="none"/>
                <w:u w:val="none"/>
                <w:lang w:val="en-US" w:eastAsia="zh-CN" w:bidi="ar"/>
              </w:rPr>
              <w:t xml:space="preserve">**</w:t>
            </w:r>
            <w:r>
              <w:rPr>
                <w:rFonts w:hint="eastAsia" w:ascii="宋体" w:hAnsi="宋体" w:eastAsia="宋体" w:cs="宋体"/>
                <w:b/>
                <w:bCs/>
                <w:i/>
                <w:iCs/>
                <w:color w:val="auto"/>
                <w:sz w:val="20"/>
                <w:szCs w:val="20"/>
                <w:highlight w:val="none"/>
                <w:u w:val="none"/>
                <w:lang w:val="en-US" w:eastAsia="zh-CN" w:bidi="ar"/>
              </w:rPr>
              <w:t xml:space="preserve">费用</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default" w:ascii="宋体" w:hAnsi="宋体" w:cs="宋体"/>
                <w:b/>
                <w:bCs/>
                <w:i w:val="0"/>
                <w:iCs w:val="0"/>
                <w:color w:val="auto"/>
                <w:sz w:val="21"/>
                <w:szCs w:val="21"/>
                <w:highlight w:val="none"/>
                <w:u w:val="none"/>
                <w:lang w:val="en-US" w:eastAsia="zh-CN" w:bidi="ar"/>
              </w:rPr>
              <w:suppressLineNumbers w:val="0"/>
            </w:pPr>
            <w:r>
              <w:rPr>
                <w:rFonts w:hint="eastAsia" w:ascii="宋体" w:hAnsi="宋体" w:cs="宋体"/>
                <w:b/>
                <w:bCs/>
                <w:i/>
                <w:iCs/>
                <w:color w:val="auto"/>
                <w:sz w:val="21"/>
                <w:szCs w:val="21"/>
                <w:highlight w:val="none"/>
                <w:u w:val="none"/>
                <w:lang w:val="en-US" w:eastAsia="zh-CN" w:bidi="ar"/>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cs="宋体"/>
                <w:b/>
                <w:bCs/>
                <w:i/>
                <w:iCs/>
                <w:color w:val="auto"/>
                <w:sz w:val="22"/>
                <w:szCs w:val="22"/>
                <w:highlight w:val="none"/>
                <w:u w:val="none"/>
                <w:lang w:val="en-US" w:eastAsia="zh-CN" w:bidi="ar"/>
              </w:rPr>
              <w:t xml:space="preserve">0.0605</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cs="宋体"/>
                <w:b/>
                <w:bCs/>
                <w:i/>
                <w:iCs/>
                <w:color w:val="auto"/>
                <w:sz w:val="22"/>
                <w:szCs w:val="22"/>
                <w:highlight w:val="none"/>
                <w:u w:val="none"/>
                <w:lang w:val="en-US" w:eastAsia="zh-CN" w:bidi="ar"/>
              </w:rPr>
              <w:suppressLineNumbers w:val="0"/>
            </w:pPr>
            <w:r>
              <w:rPr>
                <w:rFonts w:hint="eastAsia" w:ascii="宋体" w:hAnsi="宋体" w:cs="宋体"/>
                <w:b/>
                <w:bCs/>
                <w:i/>
                <w:iCs/>
                <w:color w:val="auto"/>
                <w:sz w:val="22"/>
                <w:szCs w:val="22"/>
                <w:highlight w:val="none"/>
                <w:u w:val="none"/>
                <w:lang w:val="en-US" w:eastAsia="zh-CN" w:bidi="ar"/>
              </w:rPr>
              <w:t xml:space="preserve">500*0.0605=31.2785</w:t>
            </w:r>
            <w:r/>
          </w:p>
          <w:p>
            <w:pPr>
              <w:pStyle w:val="852"/>
              <w:rPr>
                <w:rFonts w:hint="default"/>
                <w:color w:val="auto"/>
                <w:highlight w:val="none"/>
                <w:lang w:val="en-US" w:eastAsia="zh-CN"/>
              </w:rPr>
            </w:pPr>
            <w:r>
              <w:rPr>
                <w:rFonts w:hint="eastAsia" w:cs="宋体"/>
                <w:b/>
                <w:bCs/>
                <w:i/>
                <w:iCs/>
                <w:color w:val="auto"/>
                <w:sz w:val="22"/>
                <w:szCs w:val="22"/>
                <w:highlight w:val="none"/>
                <w:u w:val="none"/>
                <w:lang w:val="en-US" w:eastAsia="zh-CN" w:bidi="ar"/>
              </w:rPr>
              <w:t xml:space="preserve">保留小数点后四位</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restart"/>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服务人员及设备</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服务人员-项目高级管理人员</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按采购需求核算平均每人每月服务费用。</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0.06</w:t>
            </w:r>
            <w:r>
              <w:rPr>
                <w:rFonts w:hint="eastAsia" w:ascii="宋体" w:hAnsi="宋体" w:cs="宋体"/>
                <w:i w:val="0"/>
                <w:iCs w:val="0"/>
                <w:color w:val="auto"/>
                <w:sz w:val="22"/>
                <w:szCs w:val="22"/>
                <w:highlight w:val="none"/>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服务人员-内场工程师</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按采购需求核算平均每人每月服务费用。</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0.138</w:t>
            </w:r>
            <w:r>
              <w:rPr>
                <w:rFonts w:hint="eastAsia" w:ascii="宋体" w:hAnsi="宋体" w:cs="宋体"/>
                <w:i w:val="0"/>
                <w:iCs w:val="0"/>
                <w:color w:val="auto"/>
                <w:sz w:val="22"/>
                <w:szCs w:val="22"/>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服务人员-外场工程师</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按采购需求核算平均每人每月服务费用。</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0.25</w:t>
            </w:r>
            <w:r>
              <w:rPr>
                <w:rFonts w:hint="eastAsia" w:ascii="宋体" w:hAnsi="宋体" w:cs="宋体"/>
                <w:i w:val="0"/>
                <w:iCs w:val="0"/>
                <w:color w:val="auto"/>
                <w:sz w:val="22"/>
                <w:szCs w:val="22"/>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维修升降车</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台/月</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悬臂6米以上(含燃油费用、保养费用)。</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w:t>
            </w:r>
            <w:r>
              <w:rPr>
                <w:rFonts w:hint="eastAsia" w:ascii="宋体" w:hAnsi="宋体" w:cs="宋体"/>
                <w:i w:val="0"/>
                <w:iCs w:val="0"/>
                <w:color w:val="auto"/>
                <w:sz w:val="22"/>
                <w:szCs w:val="22"/>
                <w:highlight w:val="none"/>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巡视车辆</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台/月</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小型巡视车辆，A0级以上，用于前端维护及方案优化工作(含燃油费用、保养费用)。每周全覆盖巡检1次。</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0.05</w:t>
            </w:r>
            <w:r>
              <w:rPr>
                <w:rFonts w:hint="eastAsia" w:ascii="宋体" w:hAnsi="宋体" w:cs="宋体"/>
                <w:i w:val="0"/>
                <w:iCs w:val="0"/>
                <w:color w:val="auto"/>
                <w:sz w:val="22"/>
                <w:szCs w:val="22"/>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太阳能临时信号灯</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配备四方向左转加圆头临时信号灯，需具备太阳能发电板和蓄电池，蓄电池单独供电时长不低于12小时。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0.01</w:t>
            </w:r>
            <w:r>
              <w:rPr>
                <w:rFonts w:hint="eastAsia" w:ascii="宋体" w:hAnsi="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汽油发电机(台班）</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台班（8小时）</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功率3KW（含燃油费用、保养费用）。</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0.01</w:t>
            </w:r>
            <w:r>
              <w:rPr>
                <w:rFonts w:hint="eastAsia" w:ascii="宋体" w:hAnsi="宋体" w:cs="宋体"/>
                <w:i w:val="0"/>
                <w:iCs w:val="0"/>
                <w:color w:val="auto"/>
                <w:sz w:val="22"/>
                <w:szCs w:val="22"/>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仓库租赁费用</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套/月</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default" w:ascii="宋体" w:hAnsi="宋体" w:cs="宋体"/>
                <w:color w:val="auto"/>
                <w:sz w:val="20"/>
                <w:szCs w:val="20"/>
                <w:highlight w:val="none"/>
                <w:u w:val="none"/>
                <w:lang w:bidi="ar"/>
              </w:rPr>
              <w:t xml:space="preserve">主城区仓库应为云龙区（包含新城区）、鼓楼区、泉山区（包含九里区）中的任一区域，两处仓库面积均应不小于400平方米</w:t>
            </w: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w:t>
            </w:r>
            <w:r>
              <w:rPr>
                <w:rFonts w:hint="eastAsia" w:ascii="宋体" w:hAnsi="宋体" w:cs="宋体"/>
                <w:i w:val="0"/>
                <w:iCs w:val="0"/>
                <w:color w:val="auto"/>
                <w:sz w:val="22"/>
                <w:szCs w:val="22"/>
                <w:highlight w:val="none"/>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restart"/>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信号控制机</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万兆光模块</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SFP10G多模光模块</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w:t>
            </w:r>
            <w:r>
              <w:rPr>
                <w:rFonts w:hint="eastAsia" w:ascii="宋体" w:hAnsi="宋体" w:cs="宋体"/>
                <w:i w:val="0"/>
                <w:iCs w:val="0"/>
                <w:color w:val="auto"/>
                <w:sz w:val="22"/>
                <w:szCs w:val="22"/>
                <w:highlight w:val="none"/>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智能信号机高配版</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GB联网信号机主机，符合《道路交通信号控制机》（GB25280-2016）无缝衔接本地现用平台；</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0.032</w:t>
            </w:r>
            <w:r>
              <w:rPr>
                <w:rFonts w:hint="eastAsia" w:ascii="宋体" w:hAnsi="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智能信号机</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GB联网信号机主机，符合《道路交通信号控制机》（GB25280-2016）无缝衔接本地现用平台；</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0.11</w:t>
            </w:r>
            <w:r>
              <w:rPr>
                <w:rFonts w:hint="eastAsia" w:ascii="宋体" w:hAnsi="宋体" w:cs="宋体"/>
                <w:i w:val="0"/>
                <w:iCs w:val="0"/>
                <w:color w:val="auto"/>
                <w:sz w:val="22"/>
                <w:szCs w:val="22"/>
                <w:highlight w:val="none"/>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信号机电源模块</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0.011</w:t>
            </w:r>
            <w:r>
              <w:rPr>
                <w:rFonts w:hint="eastAsia" w:ascii="宋体" w:hAnsi="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信号机主控模块</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0.029</w:t>
            </w:r>
            <w:r>
              <w:rPr>
                <w:rFonts w:hint="eastAsia" w:ascii="宋体" w:hAnsi="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信号机检测模块</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w:t>
            </w:r>
            <w:r>
              <w:rPr>
                <w:rFonts w:hint="eastAsia" w:ascii="宋体" w:hAnsi="宋体" w:cs="宋体"/>
                <w:i w:val="0"/>
                <w:iCs w:val="0"/>
                <w:color w:val="auto"/>
                <w:sz w:val="22"/>
                <w:szCs w:val="22"/>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信号机输出模块</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w:t>
            </w:r>
            <w:r>
              <w:rPr>
                <w:rFonts w:hint="eastAsia" w:ascii="宋体" w:hAnsi="宋体" w:cs="宋体"/>
                <w:i w:val="0"/>
                <w:iCs w:val="0"/>
                <w:color w:val="auto"/>
                <w:sz w:val="22"/>
                <w:szCs w:val="22"/>
                <w:highlight w:val="none"/>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信号机侧门控制按钮</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信号机特勤接收终端</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w:t>
            </w:r>
            <w:r>
              <w:rPr>
                <w:rFonts w:hint="eastAsia" w:ascii="宋体" w:hAnsi="宋体" w:cs="宋体"/>
                <w:i w:val="0"/>
                <w:iCs w:val="0"/>
                <w:color w:val="auto"/>
                <w:sz w:val="22"/>
                <w:szCs w:val="22"/>
                <w:highlight w:val="none"/>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信号机特勤遥控终端</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                                                     遥控器：外廓尺寸120×55×40mm，天线长度110mm，手动控制功能、实现手动控制路口信号机至全红、黄闪、灭灯、制定相位放行等状态，7.4V电池供电、无线通信方式LORA、通信距离300米、能从手动控制状态及时切换到自动运行状态。</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w:t>
            </w:r>
            <w:r>
              <w:rPr>
                <w:rFonts w:hint="eastAsia" w:ascii="宋体" w:hAnsi="宋体" w:cs="宋体"/>
                <w:i w:val="0"/>
                <w:iCs w:val="0"/>
                <w:color w:val="auto"/>
                <w:sz w:val="22"/>
                <w:szCs w:val="22"/>
                <w:highlight w:val="none"/>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信号机校时定位模块</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485转换模块</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信号机触摸控制面板</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0.001</w:t>
            </w:r>
            <w:r>
              <w:rPr>
                <w:rFonts w:hint="eastAsia" w:ascii="宋体" w:hAnsi="宋体" w:cs="宋体"/>
                <w:i w:val="0"/>
                <w:iCs w:val="0"/>
                <w:color w:val="auto"/>
                <w:sz w:val="22"/>
                <w:szCs w:val="22"/>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信号机机柜</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 尺寸1220×640×480、材质201/304不锈钢。</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0.001</w:t>
            </w:r>
            <w:r>
              <w:rPr>
                <w:rFonts w:hint="eastAsia" w:ascii="宋体" w:hAnsi="宋体" w:cs="宋体"/>
                <w:i w:val="0"/>
                <w:iCs w:val="0"/>
                <w:color w:val="auto"/>
                <w:sz w:val="22"/>
                <w:szCs w:val="22"/>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信号机机柜普通门锁</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信号机机柜智能锁</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.0004</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信号机机柜智能锁钥匙</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适配原厂智能锁；</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w:t>
            </w:r>
            <w:r>
              <w:rPr>
                <w:rFonts w:hint="eastAsia" w:ascii="宋体" w:hAnsi="宋体" w:cs="宋体"/>
                <w:i w:val="0"/>
                <w:iCs w:val="0"/>
                <w:color w:val="auto"/>
                <w:sz w:val="22"/>
                <w:szCs w:val="22"/>
                <w:highlight w:val="none"/>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接线端子</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电源插线板</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220V，功率≥3000W</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电源浪涌保护器</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网线防雷器</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黄闪控制器</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.0003</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空开</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restart"/>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显示设备</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四灯盘机动车灯具（含辅材）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w:t>
            </w:r>
            <w:r>
              <w:rPr>
                <w:rFonts w:hint="eastAsia" w:ascii="宋体" w:hAnsi="宋体" w:cs="宋体"/>
                <w:i w:val="0"/>
                <w:iCs w:val="0"/>
                <w:color w:val="auto"/>
                <w:sz w:val="22"/>
                <w:szCs w:val="22"/>
                <w:highlight w:val="none"/>
                <w:u w:val="none"/>
                <w:lang w:val="en-US" w:eastAsia="zh-CN" w:bidi="ar"/>
              </w:rPr>
              <w:t xml:space="preserve">099</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四灯盘箭头灯具（含辅材）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w:t>
            </w:r>
            <w:r>
              <w:rPr>
                <w:rFonts w:hint="eastAsia" w:ascii="宋体" w:hAnsi="宋体" w:cs="宋体"/>
                <w:i w:val="0"/>
                <w:iCs w:val="0"/>
                <w:color w:val="auto"/>
                <w:sz w:val="22"/>
                <w:szCs w:val="22"/>
                <w:highlight w:val="none"/>
                <w:u w:val="none"/>
                <w:lang w:val="en-US" w:eastAsia="zh-CN" w:bidi="ar"/>
              </w:rPr>
              <w:t xml:space="preserve">099</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四灯盘非机动车灯具（含辅材）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w:t>
            </w:r>
            <w:r>
              <w:rPr>
                <w:rFonts w:hint="eastAsia" w:ascii="宋体" w:hAnsi="宋体" w:cs="宋体"/>
                <w:i w:val="0"/>
                <w:iCs w:val="0"/>
                <w:color w:val="auto"/>
                <w:sz w:val="22"/>
                <w:szCs w:val="22"/>
                <w:highlight w:val="none"/>
                <w:u w:val="none"/>
                <w:lang w:val="en-US" w:eastAsia="zh-CN" w:bidi="ar"/>
              </w:rPr>
              <w:t xml:space="preserve">099</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四灯盘左转非机动车灯具（含辅材）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w:t>
            </w:r>
            <w:r>
              <w:rPr>
                <w:rFonts w:hint="eastAsia" w:ascii="宋体" w:hAnsi="宋体" w:cs="宋体"/>
                <w:i w:val="0"/>
                <w:iCs w:val="0"/>
                <w:color w:val="auto"/>
                <w:sz w:val="22"/>
                <w:szCs w:val="22"/>
                <w:highlight w:val="none"/>
                <w:u w:val="none"/>
                <w:lang w:val="en-US" w:eastAsia="zh-CN" w:bidi="ar"/>
              </w:rPr>
              <w:t xml:space="preserve">099</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三灯盘机动车灯具（含辅材）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0.007</w:t>
            </w:r>
            <w:r>
              <w:rPr>
                <w:rFonts w:hint="eastAsia" w:ascii="宋体" w:hAnsi="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三灯盘箭头灯具（含辅材）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0.007</w:t>
            </w:r>
            <w:r>
              <w:rPr>
                <w:rFonts w:hint="eastAsia" w:ascii="宋体" w:hAnsi="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三灯盘非机动车灯具（含辅材）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0.007</w:t>
            </w:r>
            <w:r>
              <w:rPr>
                <w:rFonts w:hint="eastAsia" w:ascii="宋体" w:hAnsi="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三灯盘左转非机动车灯具（含辅材）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0.007</w:t>
            </w:r>
            <w:r>
              <w:rPr>
                <w:rFonts w:hint="eastAsia" w:ascii="宋体" w:hAnsi="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灯盘（400直径）（含辅材）</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红黄绿机动车、箭头、人行灯和特殊定制灯盘，板式人行灯汉字显示灯盘。符合《GB14887-2011道路交通信号灯》等国标。采用高亮度发光二极管，使用寿命超过50000小时，发光强度≥150cd；</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0.002</w:t>
            </w:r>
            <w:r>
              <w:rPr>
                <w:rFonts w:hint="eastAsia" w:ascii="宋体" w:hAnsi="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灯盘（300直径）（含辅材）</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红黄绿机动车、箭头、人行灯和特殊定制灯盘，板式人行灯汉字显示灯盘。符合《GB14887-2011道路交通信号灯》等国标。采用高亮度发光二极管，使用寿命超过50000小时，发光强度≥150cd；</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0.002</w:t>
            </w:r>
            <w:r>
              <w:rPr>
                <w:rFonts w:hint="eastAsia" w:ascii="宋体" w:hAnsi="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板式人行灯（含辅材）</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上为红灯静态行人，下为绿灯动态行人，下方为行人提示文字，要求与灯色颜色一致；</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w:t>
            </w:r>
            <w:r>
              <w:rPr>
                <w:rFonts w:hint="eastAsia" w:ascii="宋体" w:hAnsi="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板式人行灯单文字面板</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适配现有板式人行灯</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w:t>
            </w:r>
            <w:r>
              <w:rPr>
                <w:rFonts w:hint="eastAsia" w:ascii="宋体" w:hAnsi="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立柱式人行灯具（含辅材）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上为红灯静态行人，下为绿灯动态行人；</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0.004</w:t>
            </w:r>
            <w:r>
              <w:rPr>
                <w:rFonts w:hint="eastAsia" w:ascii="宋体" w:hAnsi="宋体" w:cs="宋体"/>
                <w:i w:val="0"/>
                <w:iCs w:val="0"/>
                <w:color w:val="auto"/>
                <w:sz w:val="22"/>
                <w:szCs w:val="22"/>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人行灯灯盘（含辅材）</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红灯静态行人或绿灯动态行人；</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w:t>
            </w:r>
            <w:r>
              <w:rPr>
                <w:rFonts w:hint="eastAsia" w:ascii="宋体" w:hAnsi="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太阳能黄闪灯（含辅材）</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直径400mm，太阳能板+黄闪灯，铝合金外壳，二层防护。</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0.007</w:t>
            </w:r>
            <w:r>
              <w:rPr>
                <w:rFonts w:hint="eastAsia" w:ascii="宋体" w:hAnsi="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小屏倒计时器（含辅材）</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产品符合GA/T508-2014《道路交通信号倒计时显示器》标准的相关要求，</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0.007</w:t>
            </w:r>
            <w:r>
              <w:rPr>
                <w:rFonts w:hint="eastAsia" w:ascii="宋体" w:hAnsi="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大屏倒计时器（含辅材）</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产品符合GA/T508-2014《道路交通信号倒计时显示器》标准的相关要求，</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w:t>
            </w:r>
            <w:r>
              <w:rPr>
                <w:rFonts w:hint="eastAsia" w:ascii="宋体" w:hAnsi="宋体" w:cs="宋体"/>
                <w:i w:val="0"/>
                <w:iCs w:val="0"/>
                <w:color w:val="auto"/>
                <w:sz w:val="22"/>
                <w:szCs w:val="22"/>
                <w:highlight w:val="none"/>
                <w:u w:val="none"/>
                <w:lang w:val="en-US" w:eastAsia="zh-CN" w:bidi="ar"/>
              </w:rPr>
              <w:t xml:space="preserve">099</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400内置倒计时器（含辅材）</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产品符合GA/T508-2014《道路交通信号倒计时显示器》标准的相关要求，</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w:t>
            </w:r>
            <w:r>
              <w:rPr>
                <w:rFonts w:hint="eastAsia" w:ascii="宋体" w:hAnsi="宋体" w:cs="宋体"/>
                <w:i w:val="0"/>
                <w:iCs w:val="0"/>
                <w:color w:val="auto"/>
                <w:sz w:val="22"/>
                <w:szCs w:val="22"/>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信号灯发光单元帽沿</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根据现有进行定制、满足现场实际需要，颜色与样式与现有一致。</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综合待行区LED提示屏</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1、外形尺寸：长2.3m*高0.38m，显示尺寸：长2.24m*高0.32m；整屏分辨率：224*32，像素点间距：10mm，像素点配置：1R1G；显示颜色：红、绿、黄；</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w:t>
            </w:r>
            <w:r>
              <w:rPr>
                <w:rFonts w:hint="eastAsia" w:ascii="宋体" w:hAnsi="宋体" w:cs="宋体"/>
                <w:i w:val="0"/>
                <w:iCs w:val="0"/>
                <w:color w:val="auto"/>
                <w:sz w:val="22"/>
                <w:szCs w:val="22"/>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左转待转区LED提示屏</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1、外形尺寸：长1.34m*高0.7m，显示尺寸：长1.28m*高0.64m；整屏分辨率：128*64，像素点间距：10mm，像素点配置：1R1G；显示颜色：红、绿、黄；  </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w:t>
            </w:r>
            <w:r>
              <w:rPr>
                <w:rFonts w:hint="eastAsia" w:ascii="宋体" w:hAnsi="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可变车道LED提示屏</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1、1m*1.5m内嵌led标牌；</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w:t>
            </w:r>
            <w:r>
              <w:rPr>
                <w:rFonts w:hint="eastAsia" w:ascii="宋体" w:hAnsi="宋体" w:cs="宋体"/>
                <w:i w:val="0"/>
                <w:iCs w:val="0"/>
                <w:color w:val="auto"/>
                <w:sz w:val="22"/>
                <w:szCs w:val="22"/>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可变车道LED指示屏专用遥控设备</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支持切换手动自动模式、支持切换led屏显示内容。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LED显示屏屏幕替换模块</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尺寸：256mm*128mm，晶元金线F5正圆灯珠，红灯7*10mil双电极，绿灯11*14mil，亮度≥8000cd/㎡，发光角度30°，最大功耗≤80W/㎡</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LED显示屏电源模块</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输出电流5V-40A，</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LED显示屏主控板模块</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w:t>
            </w:r>
            <w:r>
              <w:rPr>
                <w:rFonts w:hint="eastAsia" w:ascii="宋体" w:hAnsi="宋体" w:cs="宋体"/>
                <w:i w:val="0"/>
                <w:iCs w:val="0"/>
                <w:color w:val="auto"/>
                <w:sz w:val="22"/>
                <w:szCs w:val="22"/>
                <w:highlight w:val="none"/>
                <w:u w:val="none"/>
                <w:lang w:val="en-US" w:eastAsia="zh-CN" w:bidi="ar"/>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绿波LED提示屏</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1、像素点间距：10mm，像素点配置：1R1G；直插式高亮发光二极管，显示颜色：红、绿、黄，水平视角70°，垂直视角35°；</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w:t>
            </w:r>
            <w:r>
              <w:rPr>
                <w:rFonts w:hint="eastAsia" w:ascii="宋体" w:hAnsi="宋体" w:cs="宋体"/>
                <w:i w:val="0"/>
                <w:iCs w:val="0"/>
                <w:color w:val="auto"/>
                <w:sz w:val="22"/>
                <w:szCs w:val="22"/>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地埋灯</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斑马线行人设计，发光均匀，柔和，不刺眼。高强度抗压，抗震，防水等级&gt;IP67；</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匝道信号灯</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尺寸500mm。符合《GB14887-2011道路交通信号灯》等国标。采用高亮度发光二极管，使用寿命超过50000小时，发光强度≥150cd；</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w:t>
            </w:r>
            <w:r>
              <w:rPr>
                <w:rFonts w:hint="eastAsia" w:ascii="宋体" w:hAnsi="宋体" w:cs="宋体"/>
                <w:i w:val="0"/>
                <w:iCs w:val="0"/>
                <w:color w:val="auto"/>
                <w:sz w:val="22"/>
                <w:szCs w:val="22"/>
                <w:highlight w:val="none"/>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restart"/>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检测设备</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视频车辆检测器</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能与现有信号控制机通过协议无缝对接；</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w:t>
            </w:r>
            <w:r>
              <w:rPr>
                <w:rFonts w:hint="eastAsia" w:ascii="宋体" w:hAnsi="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视频车辆检测器电源适配器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适配本地现用视频车辆检测器，原厂配件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雷视车辆检测器</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能与现有信号控制机通过协议无缝对接。</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0.004</w:t>
            </w:r>
            <w:r>
              <w:rPr>
                <w:rFonts w:hint="eastAsia" w:ascii="宋体" w:hAnsi="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行人请求按钮</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要求与现有信号控制机无缝对接。</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.0004</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抱杆机箱</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产品尺寸不小于600mm*400mm*400mm，防护等级IP54，工作温度范围为-40到85℃</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154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信号灯故障检测器</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路口</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利用交通视频监控、交通状态检测等资源数据以及信号态势感知等技术手段，实现交通信号灯非正常亮灭、灯色冲突、亮度不足、倾倒偏转、倒计时异常等故障的自动识别</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w:t>
            </w:r>
            <w:r>
              <w:rPr>
                <w:rFonts w:hint="eastAsia" w:ascii="宋体" w:hAnsi="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restart"/>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线缆</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3芯电源线缆</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电源电缆KVV3×6mm2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w:t>
            </w:r>
            <w:r>
              <w:rPr>
                <w:rFonts w:hint="eastAsia" w:ascii="宋体" w:hAnsi="宋体" w:cs="宋体"/>
                <w:i w:val="0"/>
                <w:iCs w:val="0"/>
                <w:color w:val="auto"/>
                <w:sz w:val="22"/>
                <w:szCs w:val="22"/>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16芯控制线缆</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控制线缆KVV16×1.5mm2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w:t>
            </w:r>
            <w:r>
              <w:rPr>
                <w:rFonts w:hint="eastAsia" w:ascii="宋体" w:hAnsi="宋体" w:cs="宋体"/>
                <w:i w:val="0"/>
                <w:iCs w:val="0"/>
                <w:color w:val="auto"/>
                <w:sz w:val="22"/>
                <w:szCs w:val="22"/>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10芯控制线缆</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控制线缆KVV10×1.5mm2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w:t>
            </w:r>
            <w:r>
              <w:rPr>
                <w:rFonts w:hint="eastAsia" w:ascii="宋体" w:hAnsi="宋体" w:cs="宋体"/>
                <w:i w:val="0"/>
                <w:iCs w:val="0"/>
                <w:color w:val="auto"/>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4芯控制线缆</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控制线缆KVV4×1.5mm2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0.002</w:t>
            </w:r>
            <w:r>
              <w:rPr>
                <w:rFonts w:hint="eastAsia" w:ascii="宋体" w:hAnsi="宋体" w:cs="宋体"/>
                <w:i w:val="0"/>
                <w:iCs w:val="0"/>
                <w:color w:val="auto"/>
                <w:sz w:val="22"/>
                <w:szCs w:val="22"/>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4芯光缆</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单模</w:t>
            </w:r>
            <w:r>
              <w:rPr>
                <w:rStyle w:val="1234"/>
                <w:rFonts w:eastAsia="宋体"/>
                <w:color w:val="auto"/>
                <w:highlight w:val="none"/>
                <w:lang w:val="en-US" w:eastAsia="zh-CN" w:bidi="ar"/>
              </w:rPr>
              <w:t xml:space="preserve">1310nm </w:t>
            </w:r>
            <w:r>
              <w:rPr>
                <w:rFonts w:hint="eastAsia" w:ascii="宋体" w:hAnsi="宋体" w:eastAsia="宋体" w:cs="宋体"/>
                <w:i w:val="0"/>
                <w:iCs w:val="0"/>
                <w:color w:val="auto"/>
                <w:sz w:val="20"/>
                <w:szCs w:val="20"/>
                <w:highlight w:val="none"/>
                <w:u w:val="none"/>
                <w:lang w:val="en-US" w:eastAsia="zh-CN" w:bidi="ar"/>
              </w:rPr>
              <w:t xml:space="preserve">4芯光缆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w:t>
            </w:r>
            <w:r>
              <w:rPr>
                <w:rFonts w:hint="eastAsia" w:ascii="宋体" w:hAnsi="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光缆成端设备</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含分线盒、熔纤盘、尾纤</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1、内置高效交换内核，抑制广播风暴，实现流量控制，CRC差错校验；</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熔纤盘</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定制8芯</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电表</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220V单相电表</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室外网线</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室外超五类或以上标准，含包络，符合国标</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信号机接地扁钢角铁地线含施工</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室外工业8口交换机</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1、具有 8 个 10/100Base-TX 自适应电口，支持自动 MDI/MDI-X连接；</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.0003</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室外工业5口交换机</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1、具有 5个 10/100Base-TX 自适应电口，支持自动 MDI/MDI-X连接；</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restart"/>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杆件类</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信号灯L型杆件4米（包含杆件基础、钢筋笼等）</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h=6.8m；l=4m；立柱250-200*6mm；挑臂4mm；</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w:t>
            </w:r>
            <w:r>
              <w:rPr>
                <w:rFonts w:hint="eastAsia" w:ascii="宋体" w:hAnsi="宋体" w:cs="宋体"/>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信号灯L型杆件6米（包含杆件基础、钢筋笼等）</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h=6.8m；l=6m；立柱250-200*6mm；挑臂4mm；</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w:t>
            </w:r>
            <w:r>
              <w:rPr>
                <w:rFonts w:hint="eastAsia" w:ascii="宋体" w:hAnsi="宋体" w:cs="宋体"/>
                <w:i w:val="0"/>
                <w:iCs w:val="0"/>
                <w:color w:val="auto"/>
                <w:sz w:val="22"/>
                <w:szCs w:val="22"/>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信号灯L型杆件8米（包含杆件基础、钢筋笼等）</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h=6.8m；l=8m；立柱300-250*6mm；挑臂4mm；</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w:t>
            </w:r>
            <w:r>
              <w:rPr>
                <w:rFonts w:hint="eastAsia" w:ascii="宋体" w:hAnsi="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信号灯L型杆件10米（包含杆件基础、钢筋笼等）</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h=6.8m；l=10m；立柱340-280*8mm；挑臂5mm；</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0.005</w:t>
            </w:r>
            <w:r>
              <w:rPr>
                <w:rFonts w:hint="eastAsia" w:ascii="宋体" w:hAnsi="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信号灯竖杆高6.5米（包含杆件基础、钢筋笼等）</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高6.5m，圆柱形，Ø164×3.5mm，热镀锌喷塑 ,含钢筋笼</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w:t>
            </w:r>
            <w:r>
              <w:rPr>
                <w:rFonts w:hint="eastAsia" w:ascii="宋体" w:hAnsi="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竖杆装多灯用横杆及配件（二横杆二抱箍）</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竖杆挑臂杆及配件</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.0003</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人行灯杆件高3m</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h=3m;φ114*3.5mm</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.0004</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立柱人行灯钢筋笼</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《道路交通信号灯设置与安装规范 》（GB 14886-2016）</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板式人行灯钢筋笼</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《道路交通信号灯设置与安装规范 》（GB 14886-2016）</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信号机钢筋笼</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《道路交通信号灯设置与安装规范 》（GB 14886-2016）</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匝道信号灯定制支架等辅材</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信号灯支架</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定制竖装专用</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信号灯抱箍</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柱式人行灯抱箍</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杆件检修口盖板（定制）</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restart"/>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沥青路面开挖、回填、养护</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沥青路面开挖埋管及管道保护，槽道深度不低于40CM，宽度不低于20CM</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绿化路面开挖、回填、养护</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绿化路面开挖埋管及管道保护，槽道深度不低于40CM，宽度不低于30CM</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彩砖路面开挖、回填、养护</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人行道彩砖开挖埋管及管道保护，槽道深度不低于40CM，宽度不低于30CM</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穿线钢管</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过路钢管直径90mm</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PE管</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人行道、绿化直径50mmPE管</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复合井盖直径500mm</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含井盖及井圈，材料及种类符合徐州市规范需求</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复合井盖直径600mm</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含井盖及井圈，材料及种类符合徐州市规范需求</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复合井盖直径800mm</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含井盖及井圈，材料及种类符合徐州市规范需求</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铸铁井盖直径500mm</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含井盖及井圈，材料及种类符合徐州市规范需求</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铸铁井盖直径600mm</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含井盖及井圈，材料及种类符合徐州市规范需求</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铸铁井盖直径800mm</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含井盖及井圈，材料及种类符合徐州市规范需求</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混凝土基础</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C25信号机基础结构件混凝土基础浇筑（包括不锈钢地脚螺栓预埋件的制作及安装、穿线管埋设、C25商品混凝土的浇筑养护、基础回填、渣土清运、螺栓混凝土包封）。</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.0004</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过路顶管</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过路顶管施工，直径110mmPE管</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rPr>
                <w:rFonts w:hint="eastAsia" w:ascii="宋体" w:hAnsi="宋体" w:cs="宋体"/>
                <w:i w:val="0"/>
                <w:iCs w:val="0"/>
                <w:color w:val="auto"/>
                <w:sz w:val="22"/>
                <w:szCs w:val="22"/>
                <w:highlight w:val="none"/>
                <w:u w:val="none"/>
                <w:lang w:val="en-US" w:eastAsia="zh-CN" w:bidi="ar"/>
              </w:rPr>
              <w:t xml:space="preserve">.0001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1638"/>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color w:val="auto"/>
                <w:sz w:val="24"/>
                <w:highlight w:val="none"/>
                <w:lang w:val="en-US" w:eastAsia="zh-CN"/>
              </w:rPr>
              <w:t xml:space="preserve">投标权重单价合计</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7845" w:type="dxa"/>
            <w:vAlign w:val="center"/>
            <w:textDirection w:val="lrTb"/>
            <w:noWrap w:val="false"/>
          </w:tcPr>
          <w:p>
            <w:pPr>
              <w:jc w:val="both"/>
              <w:keepLines w:val="0"/>
              <w:keepNext w:val="0"/>
              <w:spacing w:line="336" w:lineRule="auto"/>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大写：</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default" w:ascii="宋体" w:hAnsi="宋体" w:eastAsia="宋体" w:cs="宋体"/>
                <w:i w:val="0"/>
                <w:iCs w:val="0"/>
                <w:color w:val="auto"/>
                <w:sz w:val="22"/>
                <w:szCs w:val="22"/>
                <w:highlight w:val="none"/>
                <w:u w:val="none"/>
                <w:lang w:val="en-US" w:eastAsia="zh-CN" w:bidi="ar"/>
              </w:rPr>
            </w:r>
            <w:r/>
          </w:p>
        </w:tc>
      </w:tr>
    </w:tbl>
    <w:p>
      <w:pPr>
        <w:ind w:firstLine="480"/>
        <w:jc w:val="left"/>
        <w:spacing w:line="360" w:lineRule="auto"/>
        <w:rPr>
          <w:rFonts w:hint="eastAsia" w:ascii="宋体" w:hAnsi="宋体" w:cs="宋体"/>
          <w:b/>
          <w:bCs/>
          <w:color w:val="auto"/>
          <w:szCs w:val="24"/>
          <w:highlight w:val="none"/>
          <w:lang w:val="en-US" w:eastAsia="zh-CN"/>
        </w:rPr>
      </w:pPr>
      <w:r>
        <w:rPr>
          <w:rFonts w:hint="eastAsia" w:ascii="宋体" w:hAnsi="宋体" w:cs="宋体"/>
          <w:b/>
          <w:bCs/>
          <w:color w:val="auto"/>
          <w:szCs w:val="24"/>
          <w:highlight w:val="none"/>
          <w:lang w:val="en-US" w:eastAsia="zh-CN"/>
        </w:rPr>
      </w:r>
      <w:r/>
    </w:p>
    <w:p>
      <w:pPr>
        <w:ind w:firstLine="480"/>
        <w:jc w:val="left"/>
        <w:spacing w:line="360" w:lineRule="auto"/>
        <w:rPr>
          <w:rFonts w:hint="eastAsia" w:ascii="宋体" w:hAnsi="宋体" w:cs="宋体"/>
          <w:b/>
          <w:bCs/>
          <w:color w:val="auto"/>
          <w:szCs w:val="24"/>
          <w:highlight w:val="none"/>
          <w:lang w:val="en-US" w:eastAsia="zh-CN"/>
        </w:rPr>
      </w:pPr>
      <w:r>
        <w:rPr>
          <w:rFonts w:hint="eastAsia" w:ascii="宋体" w:hAnsi="宋体" w:cs="宋体"/>
          <w:b/>
          <w:bCs/>
          <w:color w:val="auto"/>
          <w:szCs w:val="24"/>
          <w:highlight w:val="none"/>
          <w:lang w:val="en-US" w:eastAsia="zh-CN"/>
        </w:rPr>
        <w:t xml:space="preserve">注：</w:t>
      </w:r>
      <w:r/>
    </w:p>
    <w:p>
      <w:pPr>
        <w:ind w:firstLine="480"/>
        <w:jc w:val="left"/>
        <w:spacing w:line="360" w:lineRule="auto"/>
        <w:rPr>
          <w:rFonts w:hint="eastAsia" w:ascii="宋体" w:hAnsi="宋体" w:cs="宋体"/>
          <w:color w:val="auto"/>
          <w:sz w:val="24"/>
          <w:highlight w:val="none"/>
        </w:rPr>
      </w:pPr>
      <w:r>
        <w:rPr>
          <w:rFonts w:hint="eastAsia" w:ascii="宋体" w:hAnsi="宋体" w:cs="宋体"/>
          <w:b/>
          <w:bCs/>
          <w:color w:val="auto"/>
          <w:szCs w:val="24"/>
          <w:highlight w:val="none"/>
          <w:lang w:val="en-US" w:eastAsia="zh-CN"/>
        </w:rPr>
        <w:t xml:space="preserve">以上限价</w:t>
      </w:r>
      <w:r>
        <w:rPr>
          <w:rFonts w:hint="eastAsia" w:ascii="宋体" w:hAnsi="宋体" w:cs="宋体"/>
          <w:b/>
          <w:bCs/>
          <w:color w:val="auto"/>
          <w:szCs w:val="24"/>
          <w:highlight w:val="none"/>
        </w:rPr>
        <w:t xml:space="preserve">均含</w:t>
      </w:r>
      <w:r>
        <w:rPr>
          <w:rFonts w:hint="eastAsia" w:ascii="宋体" w:hAnsi="宋体" w:cs="宋体"/>
          <w:b/>
          <w:bCs/>
          <w:color w:val="auto"/>
          <w:szCs w:val="24"/>
          <w:highlight w:val="none"/>
          <w:lang w:val="en-US" w:eastAsia="zh-CN"/>
        </w:rPr>
        <w:t xml:space="preserve">旧设备拆除、新设备</w:t>
      </w:r>
      <w:r>
        <w:rPr>
          <w:rFonts w:hint="eastAsia" w:ascii="宋体" w:hAnsi="宋体" w:cs="宋体"/>
          <w:b/>
          <w:bCs/>
          <w:color w:val="auto"/>
          <w:szCs w:val="24"/>
          <w:highlight w:val="none"/>
        </w:rPr>
        <w:t xml:space="preserve">安装</w:t>
      </w:r>
      <w:r>
        <w:rPr>
          <w:rFonts w:hint="eastAsia" w:ascii="宋体" w:hAnsi="宋体" w:cs="宋体"/>
          <w:b/>
          <w:bCs/>
          <w:color w:val="auto"/>
          <w:szCs w:val="24"/>
          <w:highlight w:val="none"/>
          <w:lang w:eastAsia="zh-CN"/>
        </w:rPr>
        <w:t xml:space="preserve">、</w:t>
      </w:r>
      <w:r>
        <w:rPr>
          <w:rFonts w:hint="eastAsia" w:ascii="宋体" w:hAnsi="宋体" w:cs="宋体"/>
          <w:b/>
          <w:bCs/>
          <w:color w:val="auto"/>
          <w:szCs w:val="24"/>
          <w:highlight w:val="none"/>
          <w:lang w:val="en-US" w:eastAsia="zh-CN"/>
        </w:rPr>
        <w:t xml:space="preserve">调试、搬运、垃圾处置、施工协调、安全文明施工费、工程保险费等一切相关费用</w:t>
      </w:r>
      <w:r>
        <w:rPr>
          <w:rFonts w:hint="eastAsia" w:ascii="宋体" w:hAnsi="宋体" w:cs="宋体"/>
          <w:b/>
          <w:bCs/>
          <w:color w:val="auto"/>
          <w:szCs w:val="24"/>
          <w:highlight w:val="none"/>
        </w:rPr>
        <w:t xml:space="preserve">。</w:t>
      </w:r>
      <w:r/>
    </w:p>
    <w:p>
      <w:pPr>
        <w:ind w:firstLine="48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right"/>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投</w:t>
      </w:r>
      <w:r>
        <w:rPr>
          <w:rFonts w:hint="eastAsia" w:ascii="宋体" w:hAnsi="宋体" w:cs="宋体"/>
          <w:bCs/>
          <w:color w:val="auto"/>
          <w:sz w:val="24"/>
          <w:highlight w:val="none"/>
        </w:rPr>
        <w:t xml:space="preserve">标人：（盖电子签章）</w:t>
      </w:r>
      <w:r/>
    </w:p>
    <w:p>
      <w:pPr>
        <w:ind w:firstLine="480"/>
        <w:jc w:val="right"/>
        <w:spacing w:line="360" w:lineRule="auto"/>
        <w:rPr>
          <w:rFonts w:hint="eastAsia" w:ascii="宋体" w:hAnsi="宋体" w:cs="宋体"/>
          <w:color w:val="auto"/>
          <w:sz w:val="28"/>
          <w:szCs w:val="28"/>
          <w:highlight w:val="none"/>
        </w:rPr>
      </w:pPr>
      <w:r>
        <w:rPr>
          <w:rFonts w:hint="eastAsia" w:ascii="宋体" w:hAnsi="宋体" w:cs="宋体"/>
          <w:bCs/>
          <w:color w:val="auto"/>
          <w:sz w:val="24"/>
          <w:highlight w:val="none"/>
        </w:rPr>
        <w:t xml:space="preserve">日期</w:t>
      </w:r>
      <w:r>
        <w:rPr>
          <w:rFonts w:hint="eastAsia" w:ascii="宋体" w:hAnsi="宋体" w:cs="宋体"/>
          <w:color w:val="auto"/>
          <w:sz w:val="24"/>
          <w:highlight w:val="none"/>
        </w:rPr>
        <w:t xml:space="preserve">：   年  月   日</w:t>
      </w:r>
      <w:r/>
    </w:p>
    <w:p>
      <w:pP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①如果不提供详细分项报价的，将视为没有实质性响应招标文件。</w:t>
      </w:r>
      <w:r/>
    </w:p>
    <w:p>
      <w:pPr>
        <w:spacing w:line="240" w:lineRule="auto"/>
        <w:rPr>
          <w:rFonts w:hint="default" w:ascii="宋体" w:hAnsi="宋体" w:cs="宋体"/>
          <w:b/>
          <w:bCs/>
          <w:color w:val="auto"/>
          <w:sz w:val="24"/>
          <w:highlight w:val="none"/>
        </w:rPr>
      </w:pPr>
      <w:r>
        <w:rPr>
          <w:rFonts w:hint="eastAsia" w:ascii="宋体" w:hAnsi="宋体" w:cs="宋体"/>
          <w:b/>
          <w:bCs/>
          <w:color w:val="auto"/>
          <w:sz w:val="24"/>
          <w:highlight w:val="none"/>
        </w:rPr>
        <w:t xml:space="preserve">②如经复核</w:t>
      </w:r>
      <w:r>
        <w:rPr>
          <w:rFonts w:hint="eastAsia" w:ascii="宋体" w:hAnsi="宋体" w:cs="宋体"/>
          <w:b/>
          <w:bCs/>
          <w:color w:val="auto"/>
          <w:sz w:val="24"/>
          <w:highlight w:val="none"/>
          <w:lang w:val="en-US" w:eastAsia="zh-CN"/>
        </w:rPr>
        <w:t xml:space="preserve">权重单价</w:t>
      </w:r>
      <w:r>
        <w:rPr>
          <w:rFonts w:hint="eastAsia" w:ascii="宋体" w:hAnsi="宋体" w:cs="宋体"/>
          <w:b/>
          <w:bCs/>
          <w:color w:val="auto"/>
          <w:sz w:val="24"/>
          <w:highlight w:val="none"/>
        </w:rPr>
        <w:t xml:space="preserve">合计价格与开</w:t>
      </w:r>
      <w:r>
        <w:rPr>
          <w:rFonts w:hint="default" w:ascii="宋体" w:hAnsi="宋体" w:cs="宋体"/>
          <w:b/>
          <w:bCs/>
          <w:color w:val="auto"/>
          <w:sz w:val="24"/>
          <w:highlight w:val="none"/>
        </w:rPr>
        <w:t xml:space="preserve">标一览表</w:t>
      </w:r>
      <w:r>
        <w:rPr>
          <w:rFonts w:hint="default" w:ascii="宋体" w:hAnsi="宋体" w:cs="宋体"/>
          <w:b/>
          <w:bCs/>
          <w:color w:val="auto"/>
          <w:sz w:val="24"/>
          <w:highlight w:val="none"/>
          <w:lang w:val="en-US" w:eastAsia="zh-CN"/>
        </w:rPr>
        <w:t xml:space="preserve">总价（权重单价合计）</w:t>
      </w:r>
      <w:r>
        <w:rPr>
          <w:rFonts w:hint="default" w:ascii="宋体" w:hAnsi="宋体" w:cs="宋体"/>
          <w:b/>
          <w:bCs/>
          <w:color w:val="auto"/>
          <w:sz w:val="24"/>
          <w:highlight w:val="none"/>
        </w:rPr>
        <w:t xml:space="preserve">不一致，最终以两者价格低者为准。</w:t>
      </w:r>
      <w:r/>
    </w:p>
    <w:p>
      <w:pP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③投标人对以上数据的真实性负责。</w:t>
      </w:r>
      <w:r/>
    </w:p>
    <w:p>
      <w:pPr>
        <w:rPr>
          <w:rFonts w:hint="eastAsia" w:ascii="宋体" w:hAnsi="宋体" w:cs="宋体"/>
          <w:color w:val="auto"/>
          <w:sz w:val="24"/>
          <w:highlight w:val="none"/>
        </w:rPr>
      </w:pPr>
      <w:r>
        <w:rPr>
          <w:rFonts w:hint="eastAsia" w:ascii="宋体" w:hAnsi="宋体" w:cs="宋体"/>
          <w:color w:val="auto"/>
          <w:sz w:val="24"/>
          <w:highlight w:val="none"/>
        </w:rPr>
        <w:t xml:space="preserve">④采购人或采购代理机构有权将以上内容进行公示。</w:t>
      </w:r>
      <w:r/>
    </w:p>
    <w:p>
      <w:pPr>
        <w:rPr>
          <w:rFonts w:hint="eastAsia" w:ascii="宋体" w:hAnsi="宋体" w:cs="宋体"/>
          <w:color w:val="auto"/>
          <w:sz w:val="28"/>
          <w:szCs w:val="28"/>
          <w:highlight w:val="none"/>
        </w:rPr>
      </w:pPr>
      <w:r>
        <w:rPr>
          <w:rFonts w:hint="eastAsia" w:ascii="宋体" w:hAnsi="宋体" w:cs="宋体"/>
          <w:b/>
          <w:bCs/>
          <w:color w:val="auto"/>
          <w:sz w:val="24"/>
          <w:highlight w:val="none"/>
          <w:lang w:val="en-US" w:eastAsia="zh-CN"/>
        </w:rPr>
        <w:t xml:space="preserve">注：投标人投标时请将此表第二行：“举例”整行删除。</w:t>
      </w:r>
      <w:r>
        <w:rPr>
          <w:rFonts w:hint="eastAsia" w:ascii="宋体" w:hAnsi="宋体" w:cs="宋体"/>
          <w:color w:val="auto"/>
          <w:sz w:val="28"/>
          <w:szCs w:val="28"/>
          <w:highlight w:val="none"/>
        </w:rPr>
        <w:br w:type="page" w:clear="all"/>
      </w:r>
      <w:r/>
    </w:p>
    <w:p>
      <w:pPr>
        <w:jc w:val="center"/>
        <w:spacing w:line="360" w:lineRule="auto"/>
        <w:rPr>
          <w:rFonts w:hint="eastAsia" w:ascii="宋体" w:hAnsi="宋体" w:cs="宋体"/>
          <w:color w:val="auto"/>
          <w:sz w:val="28"/>
          <w:szCs w:val="28"/>
          <w:highlight w:val="none"/>
        </w:rPr>
        <w:outlineLvl w:val="1"/>
      </w:pPr>
      <w:r>
        <w:rPr>
          <w:rFonts w:hint="eastAsia" w:ascii="宋体" w:hAnsi="宋体" w:cs="宋体"/>
          <w:color w:val="auto"/>
          <w:sz w:val="28"/>
          <w:szCs w:val="28"/>
          <w:highlight w:val="none"/>
        </w:rPr>
        <w:t xml:space="preserve">4、偏离表</w:t>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交通信号灯社会化管养服务</w:t>
      </w:r>
      <w:r>
        <w:rPr>
          <w:rFonts w:hint="eastAsia" w:ascii="宋体" w:hAnsi="宋体" w:cs="宋体"/>
          <w:color w:val="auto"/>
          <w:sz w:val="24"/>
          <w:highlight w:val="none"/>
        </w:rPr>
        <w:t xml:space="preserve"> </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JSZC-320300-JSKJ-G2026-0029</w:t>
      </w:r>
      <w:r/>
    </w:p>
    <w:tbl>
      <w:tblPr>
        <w:tblStyle w:val="851"/>
        <w:tblW w:w="89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1405"/>
        <w:gridCol w:w="1357"/>
        <w:gridCol w:w="1742"/>
        <w:gridCol w:w="1261"/>
        <w:gridCol w:w="2343"/>
      </w:tblGrid>
      <w:tr>
        <w:trPr>
          <w:jc w:val="center"/>
          <w:trHeight w:val="707"/>
        </w:trPr>
        <w:tc>
          <w:tcPr>
            <w:tcW w:w="829" w:type="dxa"/>
            <w:vAlign w:val="center"/>
            <w:textDirection w:val="lrTb"/>
            <w:noWrap w:val="false"/>
          </w:tcPr>
          <w:p>
            <w:pPr>
              <w:jc w:val="center"/>
              <w:spacing w:line="360" w:lineRule="auto"/>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1405" w:type="dxa"/>
            <w:vAlign w:val="center"/>
            <w:textDirection w:val="lrTb"/>
            <w:noWrap w:val="false"/>
          </w:tcPr>
          <w:p>
            <w:pPr>
              <w:jc w:val="center"/>
              <w:spacing w:line="360" w:lineRule="auto"/>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1357" w:type="dxa"/>
            <w:vAlign w:val="center"/>
            <w:textDirection w:val="lrTb"/>
            <w:noWrap w:val="false"/>
          </w:tcPr>
          <w:p>
            <w:pPr>
              <w:jc w:val="center"/>
              <w:spacing w:line="360" w:lineRule="auto"/>
              <w:rPr>
                <w:rFonts w:hint="eastAsia" w:ascii="宋体" w:hAnsi="宋体" w:cs="宋体"/>
                <w:caps/>
                <w:color w:val="auto"/>
                <w:sz w:val="24"/>
                <w:highlight w:val="none"/>
              </w:rPr>
            </w:pPr>
            <w:r>
              <w:rPr>
                <w:rFonts w:hint="eastAsia" w:ascii="宋体" w:hAnsi="宋体" w:cs="宋体"/>
                <w:caps/>
                <w:color w:val="auto"/>
                <w:sz w:val="24"/>
                <w:highlight w:val="none"/>
              </w:rPr>
              <w:t xml:space="preserve">招标文件的要求</w:t>
            </w:r>
            <w:r/>
          </w:p>
        </w:tc>
        <w:tc>
          <w:tcPr>
            <w:tcW w:w="1742" w:type="dxa"/>
            <w:vAlign w:val="center"/>
            <w:textDirection w:val="lrTb"/>
            <w:noWrap w:val="false"/>
          </w:tcPr>
          <w:p>
            <w:pPr>
              <w:jc w:val="center"/>
              <w:spacing w:line="360" w:lineRule="auto"/>
              <w:rPr>
                <w:rFonts w:hint="eastAsia" w:ascii="宋体" w:hAnsi="宋体" w:cs="宋体"/>
                <w:caps/>
                <w:color w:val="auto"/>
                <w:sz w:val="24"/>
                <w:highlight w:val="none"/>
              </w:rPr>
            </w:pPr>
            <w:r>
              <w:rPr>
                <w:rFonts w:hint="eastAsia" w:ascii="宋体" w:hAnsi="宋体" w:cs="宋体"/>
                <w:caps/>
                <w:color w:val="auto"/>
                <w:sz w:val="24"/>
                <w:highlight w:val="none"/>
              </w:rPr>
              <w:t xml:space="preserve">投标文件中的内容</w:t>
            </w:r>
            <w:r/>
          </w:p>
        </w:tc>
        <w:tc>
          <w:tcPr>
            <w:tcW w:w="1261" w:type="dxa"/>
            <w:vAlign w:val="center"/>
            <w:textDirection w:val="lrTb"/>
            <w:noWrap w:val="false"/>
          </w:tcPr>
          <w:p>
            <w:pPr>
              <w:jc w:val="center"/>
              <w:spacing w:line="360" w:lineRule="auto"/>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2343" w:type="dxa"/>
            <w:vAlign w:val="center"/>
            <w:textDirection w:val="lrTb"/>
            <w:noWrap w:val="false"/>
          </w:tcPr>
          <w:p>
            <w:pPr>
              <w:jc w:val="center"/>
              <w:spacing w:line="360" w:lineRule="auto"/>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603"/>
        </w:trPr>
        <w:tc>
          <w:tcPr>
            <w:tcW w:w="829" w:type="dxa"/>
            <w:textDirection w:val="lrTb"/>
            <w:noWrap w:val="false"/>
          </w:tcPr>
          <w:p>
            <w:pPr>
              <w:jc w:val="center"/>
              <w:spacing w:line="360" w:lineRule="auto"/>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405"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5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42"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261"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343"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03"/>
        </w:trPr>
        <w:tc>
          <w:tcPr>
            <w:tcW w:w="829" w:type="dxa"/>
            <w:textDirection w:val="lrTb"/>
            <w:noWrap w:val="false"/>
          </w:tcPr>
          <w:p>
            <w:pPr>
              <w:jc w:val="center"/>
              <w:spacing w:line="360" w:lineRule="auto"/>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405"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5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42"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261"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343"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03"/>
        </w:trPr>
        <w:tc>
          <w:tcPr>
            <w:tcW w:w="829" w:type="dxa"/>
            <w:textDirection w:val="lrTb"/>
            <w:noWrap w:val="false"/>
          </w:tcPr>
          <w:p>
            <w:pPr>
              <w:jc w:val="center"/>
              <w:spacing w:line="360" w:lineRule="auto"/>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405"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5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42"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261"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343"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03"/>
        </w:trPr>
        <w:tc>
          <w:tcPr>
            <w:tcW w:w="829" w:type="dxa"/>
            <w:textDirection w:val="lrTb"/>
            <w:noWrap w:val="false"/>
          </w:tcPr>
          <w:p>
            <w:pPr>
              <w:jc w:val="center"/>
              <w:spacing w:line="360" w:lineRule="auto"/>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405"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5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42"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261"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343"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03"/>
        </w:trPr>
        <w:tc>
          <w:tcPr>
            <w:tcW w:w="829" w:type="dxa"/>
            <w:textDirection w:val="lrTb"/>
            <w:noWrap w:val="false"/>
          </w:tcPr>
          <w:p>
            <w:pPr>
              <w:jc w:val="center"/>
              <w:spacing w:line="360" w:lineRule="auto"/>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405"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5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42"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261"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343"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03"/>
        </w:trPr>
        <w:tc>
          <w:tcPr>
            <w:tcW w:w="829" w:type="dxa"/>
            <w:textDirection w:val="lrTb"/>
            <w:noWrap w:val="false"/>
          </w:tcPr>
          <w:p>
            <w:pPr>
              <w:jc w:val="center"/>
              <w:spacing w:line="360" w:lineRule="auto"/>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405"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5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42"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261"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343"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10"/>
        </w:trPr>
        <w:tc>
          <w:tcPr>
            <w:tcW w:w="829" w:type="dxa"/>
            <w:textDirection w:val="lrTb"/>
            <w:noWrap w:val="false"/>
          </w:tcPr>
          <w:p>
            <w:pPr>
              <w:jc w:val="center"/>
              <w:spacing w:line="360" w:lineRule="auto"/>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405"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57"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742"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261"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343"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82"/>
        <w:spacing w:line="312" w:lineRule="auto"/>
        <w:tabs>
          <w:tab w:val="left" w:pos="0" w:leader="none"/>
        </w:tabs>
        <w:rPr>
          <w:rFonts w:hint="eastAsia" w:ascii="宋体" w:hAnsi="宋体" w:cs="宋体"/>
          <w:b/>
          <w:color w:val="auto"/>
          <w:sz w:val="24"/>
          <w:highlight w:val="none"/>
        </w:rPr>
      </w:pPr>
      <w:r>
        <w:rPr>
          <w:rFonts w:hint="eastAsia" w:ascii="宋体" w:hAnsi="宋体" w:cs="宋体"/>
          <w:b/>
          <w:color w:val="auto"/>
          <w:sz w:val="24"/>
          <w:highlight w:val="none"/>
        </w:rPr>
      </w:r>
      <w:r/>
    </w:p>
    <w:p>
      <w:pPr>
        <w:ind w:firstLine="482"/>
        <w:spacing w:line="312" w:lineRule="auto"/>
        <w:tabs>
          <w:tab w:val="left" w:pos="0" w:leader="none"/>
        </w:tabs>
        <w:rPr>
          <w:rFonts w:hint="eastAsia" w:ascii="宋体" w:hAnsi="宋体" w:cs="宋体"/>
          <w:color w:val="auto"/>
          <w:sz w:val="24"/>
          <w:szCs w:val="24"/>
          <w:highlight w:val="none"/>
          <w:u w:val="single"/>
        </w:rPr>
      </w:pPr>
      <w:r>
        <w:rPr>
          <w:rFonts w:hint="eastAsia" w:ascii="宋体" w:hAnsi="宋体" w:cs="宋体"/>
          <w:b/>
          <w:color w:val="auto"/>
          <w:sz w:val="24"/>
          <w:highlight w:val="none"/>
        </w:rPr>
        <w:t xml:space="preserve">特别说明：</w:t>
      </w:r>
      <w:r/>
    </w:p>
    <w:p>
      <w:pPr>
        <w:ind w:firstLine="480"/>
        <w:jc w:val="left"/>
        <w:spacing w:line="360" w:lineRule="auto"/>
        <w:rPr>
          <w:rFonts w:hint="eastAsia" w:ascii="宋体" w:hAnsi="宋体" w:cs="宋体"/>
          <w:b/>
          <w:color w:val="auto"/>
          <w:sz w:val="24"/>
          <w:highlight w:val="none"/>
        </w:rPr>
      </w:pPr>
      <w:r>
        <w:rPr>
          <w:rFonts w:hint="eastAsia" w:ascii="宋体" w:hAnsi="宋体" w:cs="宋体"/>
          <w:color w:val="auto"/>
          <w:sz w:val="24"/>
          <w:highlight w:val="none"/>
          <w:u w:val="single"/>
        </w:rPr>
        <w:t xml:space="preserve">投标人的投标文件中的内容与招标文件（含招标文件的澄清或者修改的内容）的要求不同时，逐条列在偏离表中，否则将认为投标人接受招标文件的要求。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投标人：（盖电子签章）</w:t>
      </w:r>
      <w:r/>
    </w:p>
    <w:p>
      <w:pPr>
        <w:ind w:left="2940"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rPr>
          <w:rFonts w:hint="eastAsia" w:ascii="宋体" w:hAnsi="宋体" w:cs="宋体"/>
          <w:bCs/>
          <w:color w:val="auto"/>
          <w:sz w:val="28"/>
          <w:szCs w:val="28"/>
          <w:highlight w:val="none"/>
        </w:rPr>
      </w:pPr>
      <w:r>
        <w:rPr>
          <w:rFonts w:hint="eastAsia" w:ascii="宋体" w:hAnsi="宋体" w:cs="宋体"/>
          <w:color w:val="auto"/>
          <w:sz w:val="24"/>
          <w:highlight w:val="none"/>
        </w:rPr>
        <w:br w:type="page" w:clear="all"/>
      </w:r>
      <w:r/>
    </w:p>
    <w:p>
      <w:pPr>
        <w:jc w:val="center"/>
        <w:spacing w:line="400" w:lineRule="exact"/>
        <w:rPr>
          <w:rFonts w:hint="eastAsia" w:ascii="宋体" w:hAnsi="宋体" w:cs="宋体"/>
          <w:bCs/>
          <w:color w:val="auto"/>
          <w:sz w:val="28"/>
          <w:szCs w:val="28"/>
          <w:highlight w:val="none"/>
        </w:rPr>
        <w:outlineLvl w:val="1"/>
      </w:pPr>
      <w:r>
        <w:rPr>
          <w:rFonts w:hint="eastAsia" w:ascii="宋体" w:hAnsi="宋体" w:cs="宋体"/>
          <w:bCs/>
          <w:color w:val="auto"/>
          <w:sz w:val="28"/>
          <w:szCs w:val="28"/>
          <w:highlight w:val="none"/>
        </w:rPr>
        <w:t xml:space="preserve">5、法定代表人资格证明</w:t>
      </w:r>
      <w:r>
        <w:rPr>
          <w:rFonts w:hint="eastAsia" w:ascii="宋体" w:hAnsi="宋体" w:cs="宋体"/>
          <w:bCs/>
          <w:color w:val="auto"/>
          <w:sz w:val="28"/>
          <w:szCs w:val="28"/>
          <w:highlight w:val="none"/>
          <w:lang w:val="en-US" w:eastAsia="zh-CN"/>
        </w:rPr>
        <w:t xml:space="preserve">或</w:t>
      </w:r>
      <w:r>
        <w:rPr>
          <w:rFonts w:hint="eastAsia" w:ascii="宋体" w:hAnsi="宋体" w:cs="宋体"/>
          <w:bCs/>
          <w:color w:val="auto"/>
          <w:sz w:val="28"/>
          <w:szCs w:val="28"/>
          <w:highlight w:val="none"/>
        </w:rPr>
        <w:t xml:space="preserve">法定代表人授权委托书</w:t>
      </w:r>
      <w:r/>
    </w:p>
    <w:p>
      <w:pPr>
        <w:jc w:val="center"/>
        <w:spacing w:line="400" w:lineRule="exact"/>
        <w:rPr>
          <w:rFonts w:hint="eastAsia" w:ascii="宋体" w:hAnsi="宋体" w:cs="宋体"/>
          <w:bCs/>
          <w:color w:val="auto"/>
          <w:sz w:val="28"/>
          <w:szCs w:val="28"/>
          <w:highlight w:val="none"/>
          <w:lang w:val="en-US" w:eastAsia="zh-CN"/>
        </w:rPr>
        <w:outlineLvl w:val="9"/>
      </w:pPr>
      <w:r>
        <w:rPr>
          <w:rFonts w:hint="eastAsia" w:ascii="宋体" w:hAnsi="宋体" w:cs="宋体"/>
          <w:bCs/>
          <w:color w:val="auto"/>
          <w:sz w:val="28"/>
          <w:szCs w:val="28"/>
          <w:highlight w:val="none"/>
          <w:lang w:val="en-US" w:eastAsia="zh-CN"/>
        </w:rPr>
      </w:r>
      <w:r/>
    </w:p>
    <w:p>
      <w:pPr>
        <w:jc w:val="center"/>
        <w:spacing w:line="400" w:lineRule="exact"/>
        <w:rPr>
          <w:rFonts w:hint="eastAsia" w:ascii="宋体" w:hAnsi="宋体" w:cs="宋体"/>
          <w:bCs/>
          <w:color w:val="auto"/>
          <w:sz w:val="28"/>
          <w:szCs w:val="28"/>
          <w:highlight w:val="none"/>
        </w:rPr>
        <w:outlineLvl w:val="9"/>
      </w:pPr>
      <w:r>
        <w:rPr>
          <w:rFonts w:hint="eastAsia" w:ascii="宋体" w:hAnsi="宋体" w:cs="宋体"/>
          <w:bCs/>
          <w:color w:val="auto"/>
          <w:sz w:val="28"/>
          <w:szCs w:val="28"/>
          <w:highlight w:val="none"/>
          <w:lang w:val="en-US" w:eastAsia="zh-CN"/>
        </w:rPr>
        <w:t xml:space="preserve">5.1</w:t>
      </w:r>
      <w:r>
        <w:rPr>
          <w:rFonts w:hint="eastAsia" w:ascii="宋体" w:hAnsi="宋体" w:cs="宋体"/>
          <w:bCs/>
          <w:color w:val="auto"/>
          <w:sz w:val="28"/>
          <w:szCs w:val="28"/>
          <w:highlight w:val="none"/>
        </w:rPr>
        <w:t xml:space="preserve">法定代表人资格证明（如法定代表人参加时提供）</w:t>
      </w:r>
      <w:r/>
    </w:p>
    <w:p>
      <w:pPr>
        <w:ind w:firstLine="480"/>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r>
      <w:r/>
    </w:p>
    <w:p>
      <w:pPr>
        <w:ind w:firstLine="480"/>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r>
      <w:r/>
    </w:p>
    <w:p>
      <w:pPr>
        <w:ind w:firstLine="480"/>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投 标 人：</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                </w:t>
      </w:r>
      <w:r/>
    </w:p>
    <w:p>
      <w:pPr>
        <w:ind w:firstLine="525"/>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地    址：</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                        </w:t>
      </w:r>
      <w:r>
        <w:rPr>
          <w:rFonts w:hint="eastAsia" w:ascii="宋体" w:hAnsi="宋体" w:cs="宋体"/>
          <w:color w:val="auto"/>
          <w:sz w:val="24"/>
          <w:szCs w:val="32"/>
          <w:highlight w:val="none"/>
          <w:u w:val="single"/>
        </w:rPr>
        <w:t xml:space="preserve">  </w:t>
      </w:r>
      <w:r/>
    </w:p>
    <w:p>
      <w:pPr>
        <w:ind w:firstLine="525"/>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成立时间：</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年</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月</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日</w:t>
      </w:r>
      <w:r/>
    </w:p>
    <w:p>
      <w:pPr>
        <w:ind w:firstLine="525"/>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经营期限：</w:t>
      </w:r>
      <w:r>
        <w:rPr>
          <w:rFonts w:hint="eastAsia" w:ascii="宋体" w:hAnsi="宋体" w:cs="宋体"/>
          <w:color w:val="auto"/>
          <w:sz w:val="24"/>
          <w:szCs w:val="32"/>
          <w:highlight w:val="none"/>
          <w:u w:val="single"/>
        </w:rPr>
        <w:t xml:space="preserve">                                                        </w:t>
      </w:r>
      <w:r/>
    </w:p>
    <w:p>
      <w:pPr>
        <w:ind w:firstLine="525"/>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姓    名：</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性     别：</w:t>
      </w:r>
      <w:r>
        <w:rPr>
          <w:rFonts w:hint="eastAsia" w:ascii="宋体" w:hAnsi="宋体" w:cs="宋体"/>
          <w:color w:val="auto"/>
          <w:sz w:val="24"/>
          <w:szCs w:val="32"/>
          <w:highlight w:val="none"/>
          <w:u w:val="single"/>
        </w:rPr>
        <w:t xml:space="preserve">                   </w:t>
      </w:r>
      <w:r/>
    </w:p>
    <w:p>
      <w:pPr>
        <w:ind w:firstLine="525"/>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年    龄：</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职     务：</w:t>
      </w:r>
      <w:r>
        <w:rPr>
          <w:rFonts w:hint="eastAsia" w:ascii="宋体" w:hAnsi="宋体" w:cs="宋体"/>
          <w:color w:val="auto"/>
          <w:sz w:val="24"/>
          <w:szCs w:val="32"/>
          <w:highlight w:val="none"/>
          <w:u w:val="single"/>
        </w:rPr>
        <w:t xml:space="preserve">                   </w:t>
      </w:r>
      <w:r/>
    </w:p>
    <w:p>
      <w:pPr>
        <w:ind w:firstLine="525"/>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系</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（投标人名称）的法定代表人。</w:t>
      </w:r>
      <w:r/>
    </w:p>
    <w:p>
      <w:pPr>
        <w:ind w:firstLine="525"/>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特此证明。</w:t>
      </w:r>
      <w:r/>
    </w:p>
    <w:p>
      <w:pPr>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r>
      <w:r/>
    </w:p>
    <w:p>
      <w:pPr>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r>
      <w:r/>
    </w:p>
    <w:p>
      <w:pPr>
        <w:jc w:val="right"/>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投标人：</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（盖电子签章）</w:t>
      </w:r>
      <w:r/>
    </w:p>
    <w:p>
      <w:pPr>
        <w:jc w:val="right"/>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年</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月</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日</w:t>
      </w:r>
      <w:r/>
    </w:p>
    <w:p>
      <w:pPr>
        <w:jc w:val="cente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(法定代表人有效身份证反正面扫描附后)</w:t>
      </w:r>
      <w:r/>
    </w:p>
    <w:p>
      <w:pPr>
        <w:ind w:firstLine="950"/>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8"/>
          <w:szCs w:val="28"/>
          <w:highlight w:val="none"/>
        </w:rPr>
      </w:pPr>
      <w:r>
        <w:rPr>
          <w:rFonts w:hint="eastAsia" w:ascii="宋体" w:hAnsi="宋体" w:cs="宋体"/>
          <w:bCs/>
          <w:color w:val="auto"/>
          <w:sz w:val="28"/>
          <w:szCs w:val="28"/>
          <w:highlight w:val="none"/>
        </w:rPr>
        <w:br w:type="page" w:clear="all"/>
      </w:r>
      <w:r/>
    </w:p>
    <w:p>
      <w:pPr>
        <w:jc w:val="cente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lang w:val="en-US" w:eastAsia="zh-CN"/>
        </w:rPr>
        <w:t xml:space="preserve">5.1</w:t>
      </w:r>
      <w:r>
        <w:rPr>
          <w:rFonts w:hint="eastAsia" w:ascii="宋体" w:hAnsi="宋体" w:cs="宋体"/>
          <w:bCs/>
          <w:color w:val="auto"/>
          <w:sz w:val="28"/>
          <w:szCs w:val="28"/>
          <w:highlight w:val="none"/>
        </w:rPr>
        <w:t xml:space="preserve">法定代表人授权委托书（如授权委托人参加时提供）</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委托人：</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地  址：</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法定代表人：               职务：</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统一社会信用代码：</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受托人：                   性别：男（女）  </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年龄：  岁                 民族：   族</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职务：</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身份证号：</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left="412"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兹委托（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）全权代表我企业（公司）参与[</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eastAsia="zh-CN"/>
        </w:rPr>
        <w:t xml:space="preserve">交通信号灯社会化管养服务</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s="宋体"/>
          <w:bCs/>
          <w:color w:val="auto"/>
          <w:sz w:val="24"/>
          <w:highlight w:val="none"/>
        </w:rPr>
        <w:t xml:space="preserve">项目[项目编号：</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]的招、投标活动及签订经济合同。（</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）以我企业（公司）名义所为的法律行为及签署的文件，我企业（公司）均予以认可。有关法律责任均由我企业（公司）承担。（</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）无转委托权。</w:t>
      </w:r>
      <w:r/>
    </w:p>
    <w:p>
      <w:pPr>
        <w:ind w:left="412"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委托期限自  年  月   日起至  年  月    日止。</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特此授权委托。</w:t>
      </w:r>
      <w:r/>
    </w:p>
    <w:p>
      <w:pPr>
        <w:ind w:firstLine="470"/>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7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委托人（盖电子签章）：              </w:t>
      </w:r>
      <w:r/>
    </w:p>
    <w:p>
      <w:pPr>
        <w:ind w:firstLine="470"/>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7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法定代表人（</w:t>
      </w:r>
      <w:r>
        <w:rPr>
          <w:rFonts w:hint="eastAsia" w:ascii="宋体" w:hAnsi="宋体" w:cs="宋体"/>
          <w:bCs/>
          <w:color w:val="auto"/>
          <w:sz w:val="24"/>
          <w:highlight w:val="none"/>
        </w:rPr>
        <w:t xml:space="preserve">签字或电子签章</w:t>
      </w:r>
      <w:r>
        <w:rPr>
          <w:rFonts w:hint="eastAsia" w:ascii="宋体" w:hAnsi="宋体" w:cs="宋体"/>
          <w:b/>
          <w:color w:val="auto"/>
          <w:sz w:val="24"/>
          <w:highlight w:val="none"/>
        </w:rPr>
        <w:t xml:space="preserve">）：               受托人（</w:t>
      </w:r>
      <w:r>
        <w:rPr>
          <w:rFonts w:hint="eastAsia" w:ascii="宋体" w:hAnsi="宋体" w:cs="宋体"/>
          <w:bCs/>
          <w:color w:val="auto"/>
          <w:sz w:val="24"/>
          <w:highlight w:val="none"/>
        </w:rPr>
        <w:t xml:space="preserve">签字或电子签章</w:t>
      </w:r>
      <w:r>
        <w:rPr>
          <w:rFonts w:hint="eastAsia" w:ascii="宋体" w:hAnsi="宋体" w:cs="宋体"/>
          <w:b/>
          <w:color w:val="auto"/>
          <w:sz w:val="24"/>
          <w:highlight w:val="none"/>
        </w:rPr>
        <w:t xml:space="preserve">）：</w:t>
      </w:r>
      <w:r/>
    </w:p>
    <w:p>
      <w:pPr>
        <w:pStyle w:val="948"/>
        <w:rPr>
          <w:rFonts w:hint="eastAsia" w:ascii="宋体" w:hAnsi="宋体" w:cs="宋体"/>
          <w:b/>
          <w:color w:val="auto"/>
          <w:sz w:val="24"/>
          <w:highlight w:val="none"/>
        </w:rPr>
      </w:pPr>
      <w:r>
        <w:rPr>
          <w:rFonts w:hint="eastAsia" w:ascii="宋体" w:hAnsi="宋体" w:cs="宋体"/>
          <w:b/>
          <w:color w:val="auto"/>
          <w:sz w:val="24"/>
          <w:highlight w:val="none"/>
        </w:rPr>
        <w:t xml:space="preserve">                                                 </w:t>
      </w:r>
      <w:r/>
    </w:p>
    <w:p>
      <w:pPr>
        <w:pStyle w:val="948"/>
        <w:jc w:val="center"/>
        <w:rPr>
          <w:color w:val="auto"/>
          <w:highlight w:val="none"/>
        </w:rPr>
      </w:pPr>
      <w:r>
        <w:rPr>
          <w:rFonts w:hint="eastAsia" w:ascii="宋体" w:hAnsi="宋体" w:cs="宋体"/>
          <w:b/>
          <w:color w:val="auto"/>
          <w:sz w:val="24"/>
          <w:highlight w:val="none"/>
        </w:rPr>
        <w:t xml:space="preserve">                                  受托人联系电话：</w:t>
      </w:r>
      <w:r/>
    </w:p>
    <w:p>
      <w:pPr>
        <w:ind w:firstLine="470"/>
        <w:jc w:val="righ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年   月   日 </w:t>
      </w:r>
      <w:r/>
    </w:p>
    <w:p>
      <w:pPr>
        <w:ind w:firstLine="470"/>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(受托人身份证反正面扫描件附后)</w:t>
      </w:r>
      <w:r/>
    </w:p>
    <w:p>
      <w:pPr>
        <w:ind w:firstLine="950"/>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pStyle w:val="975"/>
        <w:rPr>
          <w:color w:val="auto"/>
          <w:highlight w:val="none"/>
        </w:rPr>
      </w:pPr>
      <w:r>
        <w:rPr>
          <w:color w:val="auto"/>
          <w:highlight w:val="none"/>
        </w:rPr>
      </w:r>
      <w:r/>
    </w:p>
    <w:p>
      <w:pPr>
        <w:rPr>
          <w:rFonts w:hint="eastAsia" w:ascii="宋体" w:hAnsi="宋体" w:cs="宋体"/>
          <w:bCs/>
          <w:color w:val="auto"/>
          <w:sz w:val="24"/>
          <w:highlight w:val="none"/>
        </w:rPr>
      </w:pPr>
      <w:r>
        <w:rPr>
          <w:rFonts w:hint="eastAsia" w:ascii="宋体" w:hAnsi="宋体" w:cs="宋体"/>
          <w:bCs/>
          <w:color w:val="auto"/>
          <w:sz w:val="24"/>
          <w:highlight w:val="none"/>
        </w:rPr>
      </w:r>
      <w:r/>
    </w:p>
    <w:p>
      <w:pPr>
        <w:jc w:val="center"/>
        <w:rPr>
          <w:rFonts w:hint="eastAsia" w:ascii="宋体" w:hAnsi="宋体" w:cs="宋体"/>
          <w:color w:val="auto"/>
          <w:sz w:val="28"/>
          <w:szCs w:val="28"/>
          <w:highlight w:val="none"/>
        </w:rPr>
        <w:outlineLvl w:val="1"/>
      </w:pPr>
      <w:r>
        <w:rPr>
          <w:rFonts w:hint="eastAsia" w:ascii="宋体" w:hAnsi="宋体" w:cs="宋体"/>
          <w:color w:val="auto"/>
          <w:sz w:val="28"/>
          <w:szCs w:val="28"/>
          <w:highlight w:val="none"/>
        </w:rPr>
        <w:t xml:space="preserve">6、中小企业声明函</w:t>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交通信号灯社会化管养服务</w:t>
      </w:r>
      <w:r>
        <w:rPr>
          <w:rFonts w:hint="eastAsia" w:ascii="宋体" w:hAnsi="宋体" w:cs="宋体"/>
          <w:color w:val="auto"/>
          <w:sz w:val="24"/>
          <w:highlight w:val="none"/>
        </w:rPr>
        <w:t xml:space="preserve"> </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JSZC-320300-JSKJ-G2026-0029</w:t>
      </w:r>
      <w:r/>
    </w:p>
    <w:p>
      <w:pPr>
        <w:ind w:firstLine="480"/>
        <w:jc w:val="left"/>
        <w:spacing w:line="360" w:lineRule="auto"/>
        <w:rPr>
          <w:rStyle w:val="1226"/>
          <w:rFonts w:hint="eastAsia" w:ascii="宋体" w:hAnsi="宋体" w:cs="宋体"/>
          <w:color w:val="auto"/>
          <w:sz w:val="24"/>
          <w:szCs w:val="24"/>
          <w:highlight w:val="none"/>
        </w:rPr>
      </w:pPr>
      <w:r>
        <w:rPr>
          <w:rStyle w:val="1226"/>
          <w:rFonts w:hint="eastAsia" w:ascii="宋体" w:hAnsi="宋体" w:cs="宋体"/>
          <w:color w:val="auto"/>
          <w:sz w:val="24"/>
          <w:szCs w:val="24"/>
          <w:highlight w:val="none"/>
        </w:rPr>
        <w:t xml:space="preserve">本公司郑重声明，根据《政府采购促进中小企业发展暂行办法》（财库﹝2020﹞46 号）的规定，本公司参加</w:t>
      </w:r>
      <w:r>
        <w:rPr>
          <w:rStyle w:val="1226"/>
          <w:rFonts w:hint="eastAsia" w:ascii="宋体" w:hAnsi="宋体" w:cs="宋体"/>
          <w:color w:val="auto"/>
          <w:sz w:val="24"/>
          <w:szCs w:val="24"/>
          <w:highlight w:val="none"/>
          <w:u w:val="single"/>
        </w:rPr>
        <w:t xml:space="preserve"> （单位名称） </w:t>
      </w:r>
      <w:r>
        <w:rPr>
          <w:rStyle w:val="1226"/>
          <w:rFonts w:hint="eastAsia" w:ascii="宋体" w:hAnsi="宋体" w:cs="宋体"/>
          <w:color w:val="auto"/>
          <w:sz w:val="24"/>
          <w:szCs w:val="24"/>
          <w:highlight w:val="none"/>
        </w:rPr>
        <w:t xml:space="preserve">的</w:t>
      </w:r>
      <w:r>
        <w:rPr>
          <w:rStyle w:val="1226"/>
          <w:rFonts w:hint="eastAsia" w:ascii="宋体" w:hAnsi="宋体" w:cs="宋体"/>
          <w:color w:val="auto"/>
          <w:sz w:val="24"/>
          <w:szCs w:val="24"/>
          <w:highlight w:val="none"/>
          <w:u w:val="single"/>
        </w:rPr>
        <w:t xml:space="preserve"> （项目名称） </w:t>
      </w:r>
      <w:r>
        <w:rPr>
          <w:rStyle w:val="1226"/>
          <w:rFonts w:hint="eastAsia" w:ascii="宋体" w:hAnsi="宋体" w:cs="宋体"/>
          <w:color w:val="auto"/>
          <w:sz w:val="24"/>
          <w:szCs w:val="24"/>
          <w:highlight w:val="none"/>
        </w:rPr>
        <w:t xml:space="preserve">采购活动，服务全部由符合政策要求的中小企业承接。相关企业的具体情况如下：</w:t>
      </w:r>
      <w:r/>
    </w:p>
    <w:p>
      <w:pPr>
        <w:ind w:firstLine="480"/>
        <w:jc w:val="left"/>
        <w:spacing w:line="360" w:lineRule="auto"/>
        <w:rPr>
          <w:rStyle w:val="1226"/>
          <w:rFonts w:hint="eastAsia" w:ascii="宋体" w:hAnsi="宋体" w:cs="宋体"/>
          <w:color w:val="auto"/>
          <w:sz w:val="24"/>
          <w:szCs w:val="24"/>
          <w:highlight w:val="none"/>
        </w:rPr>
      </w:pPr>
      <w:r>
        <w:rPr>
          <w:rStyle w:val="1226"/>
          <w:rFonts w:hint="eastAsia" w:ascii="宋体" w:hAnsi="宋体" w:cs="宋体"/>
          <w:color w:val="auto"/>
          <w:sz w:val="24"/>
          <w:szCs w:val="24"/>
          <w:highlight w:val="none"/>
        </w:rPr>
        <w:t xml:space="preserve">  1、</w:t>
      </w:r>
      <w:r>
        <w:rPr>
          <w:rStyle w:val="1226"/>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（标的名称）</w:t>
      </w:r>
      <w:r>
        <w:rPr>
          <w:rStyle w:val="1226"/>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，属于</w:t>
      </w:r>
      <w:r>
        <w:rPr>
          <w:rStyle w:val="1226"/>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（其他未列明行业）</w:t>
      </w:r>
      <w:r>
        <w:rPr>
          <w:rStyle w:val="1226"/>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承建（承接）企业为</w:t>
      </w:r>
      <w:r>
        <w:rPr>
          <w:rStyle w:val="1226"/>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（企业名称）</w:t>
      </w:r>
      <w:r>
        <w:rPr>
          <w:rStyle w:val="1226"/>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Style w:val="1226"/>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Style w:val="1226"/>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Style w:val="1226"/>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w:t>
      </w:r>
      <w:r>
        <w:rPr>
          <w:rStyle w:val="1226"/>
          <w:rFonts w:hint="eastAsia" w:ascii="宋体" w:hAnsi="宋体" w:cs="宋体"/>
          <w:b/>
          <w:bCs/>
          <w:color w:val="auto"/>
          <w:sz w:val="24"/>
          <w:szCs w:val="24"/>
          <w:highlight w:val="none"/>
        </w:rPr>
        <w:t xml:space="preserve">从业人员、营业收入、资产总额填报上一年度数据）</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企业 </w:t>
      </w:r>
      <w:r>
        <w:rPr>
          <w:rFonts w:hint="eastAsia" w:ascii="宋体" w:hAnsi="宋体" w:cs="宋体"/>
          <w:color w:val="auto"/>
          <w:sz w:val="24"/>
          <w:szCs w:val="24"/>
          <w:highlight w:val="none"/>
        </w:rPr>
        <w:t xml:space="preserve">（中型企业、小型企业、微型企业，务必</w:t>
      </w:r>
      <w:r>
        <w:rPr>
          <w:rFonts w:hint="eastAsia" w:ascii="宋体" w:hAnsi="宋体" w:cs="宋体"/>
          <w:b/>
          <w:color w:val="auto"/>
          <w:sz w:val="24"/>
          <w:szCs w:val="24"/>
          <w:highlight w:val="none"/>
          <w:u w:val="single"/>
        </w:rPr>
        <w:t xml:space="preserve">请填空！</w:t>
      </w:r>
      <w:r>
        <w:rPr>
          <w:rFonts w:hint="eastAsia" w:ascii="宋体" w:hAnsi="宋体" w:cs="宋体"/>
          <w:color w:val="auto"/>
          <w:sz w:val="24"/>
          <w:szCs w:val="24"/>
          <w:highlight w:val="none"/>
        </w:rPr>
        <w:t xml:space="preserve">）；</w:t>
      </w:r>
      <w:r/>
    </w:p>
    <w:p>
      <w:pPr>
        <w:ind w:firstLine="482"/>
        <w:spacing w:line="360" w:lineRule="auto"/>
        <w:rPr>
          <w:rStyle w:val="1226"/>
          <w:rFonts w:hint="eastAsia" w:ascii="宋体" w:hAnsi="宋体" w:cs="宋体"/>
          <w:b/>
          <w:bCs/>
          <w:color w:val="auto"/>
          <w:sz w:val="24"/>
          <w:szCs w:val="24"/>
          <w:highlight w:val="none"/>
        </w:rPr>
      </w:pPr>
      <w:r>
        <w:rPr>
          <w:rStyle w:val="1226"/>
          <w:rFonts w:hint="eastAsia" w:ascii="宋体" w:hAnsi="宋体" w:cs="宋体"/>
          <w:b/>
          <w:bCs/>
          <w:color w:val="auto"/>
          <w:sz w:val="24"/>
          <w:szCs w:val="24"/>
          <w:highlight w:val="none"/>
        </w:rPr>
        <w:t xml:space="preserve">...</w:t>
      </w:r>
      <w:r/>
    </w:p>
    <w:p>
      <w:pPr>
        <w:ind w:firstLine="482"/>
        <w:spacing w:line="360" w:lineRule="auto"/>
        <w:rPr>
          <w:rStyle w:val="1226"/>
          <w:rFonts w:hint="eastAsia" w:ascii="宋体" w:hAnsi="宋体" w:cs="宋体"/>
          <w:color w:val="auto"/>
          <w:sz w:val="24"/>
          <w:szCs w:val="24"/>
          <w:highlight w:val="none"/>
        </w:rPr>
      </w:pPr>
      <w:r>
        <w:rPr>
          <w:rStyle w:val="1226"/>
          <w:rFonts w:hint="eastAsia" w:ascii="宋体" w:hAnsi="宋体" w:cs="宋体"/>
          <w:b/>
          <w:bCs/>
          <w:color w:val="auto"/>
          <w:sz w:val="24"/>
          <w:szCs w:val="24"/>
          <w:highlight w:val="none"/>
        </w:rPr>
        <w:t xml:space="preserve">以上企业，不属于大企业的分支机构，不存在控股股东为大企业的情形，也不存在与大企业的负责人为同一人的情形。</w:t>
      </w:r>
      <w:r/>
    </w:p>
    <w:p>
      <w:pPr>
        <w:jc w:val="left"/>
        <w:spacing w:line="360" w:lineRule="auto"/>
        <w:rPr>
          <w:rStyle w:val="1226"/>
          <w:rFonts w:hint="eastAsia" w:ascii="宋体" w:hAnsi="宋体" w:cs="宋体"/>
          <w:color w:val="auto"/>
          <w:sz w:val="24"/>
          <w:szCs w:val="24"/>
          <w:highlight w:val="none"/>
        </w:rPr>
      </w:pPr>
      <w:r>
        <w:rPr>
          <w:rStyle w:val="1226"/>
          <w:rFonts w:hint="eastAsia" w:ascii="宋体" w:hAnsi="宋体" w:cs="宋体"/>
          <w:color w:val="auto"/>
          <w:sz w:val="24"/>
          <w:szCs w:val="24"/>
          <w:highlight w:val="none"/>
        </w:rPr>
        <w:t xml:space="preserve">　　本企业对上述声明内容的真实性负责。如有虚假，将依法承担相应责任。</w:t>
      </w:r>
      <w:r/>
    </w:p>
    <w:p>
      <w:pPr>
        <w:ind w:firstLine="480"/>
        <w:jc w:val="left"/>
        <w:spacing w:line="360" w:lineRule="auto"/>
        <w:rPr>
          <w:rStyle w:val="1226"/>
          <w:rFonts w:hint="eastAsia" w:ascii="宋体" w:hAnsi="宋体" w:cs="宋体"/>
          <w:color w:val="auto"/>
          <w:sz w:val="24"/>
          <w:szCs w:val="24"/>
          <w:highlight w:val="none"/>
        </w:rPr>
      </w:pPr>
      <w:r>
        <w:rPr>
          <w:rStyle w:val="1226"/>
          <w:rFonts w:hint="eastAsia" w:ascii="宋体" w:hAnsi="宋体" w:cs="宋体"/>
          <w:color w:val="auto"/>
          <w:sz w:val="24"/>
          <w:szCs w:val="24"/>
          <w:highlight w:val="none"/>
        </w:rPr>
        <w:t xml:space="preserve">注：本采购项目属于</w:t>
      </w:r>
      <w:r>
        <w:rPr>
          <w:rStyle w:val="1226"/>
          <w:rFonts w:hint="eastAsia" w:ascii="宋体" w:hAnsi="宋体" w:cs="宋体"/>
          <w:color w:val="auto"/>
          <w:sz w:val="24"/>
          <w:szCs w:val="24"/>
          <w:highlight w:val="none"/>
          <w:u w:val="single"/>
        </w:rPr>
        <w:t xml:space="preserve">“</w:t>
      </w:r>
      <w:r>
        <w:rPr>
          <w:rStyle w:val="850"/>
          <w:rFonts w:hint="eastAsia" w:ascii="宋体" w:hAnsi="宋体" w:cs="宋体"/>
          <w:color w:val="auto"/>
          <w:sz w:val="24"/>
          <w:szCs w:val="24"/>
          <w:highlight w:val="none"/>
          <w:u w:val="single"/>
        </w:rPr>
        <w:t xml:space="preserve">其他未列明行业</w:t>
      </w:r>
      <w:r>
        <w:rPr>
          <w:rStyle w:val="1226"/>
          <w:rFonts w:hint="eastAsia" w:ascii="宋体" w:hAnsi="宋体" w:cs="宋体"/>
          <w:color w:val="auto"/>
          <w:sz w:val="24"/>
          <w:szCs w:val="24"/>
          <w:highlight w:val="none"/>
          <w:u w:val="single"/>
        </w:rPr>
        <w:t xml:space="preserve">”</w:t>
      </w:r>
      <w:r>
        <w:rPr>
          <w:rStyle w:val="1226"/>
          <w:rFonts w:hint="eastAsia" w:ascii="宋体" w:hAnsi="宋体" w:cs="宋体"/>
          <w:color w:val="auto"/>
          <w:sz w:val="24"/>
          <w:szCs w:val="24"/>
          <w:highlight w:val="none"/>
        </w:rPr>
        <w:t xml:space="preserve">。</w:t>
      </w:r>
      <w:r/>
    </w:p>
    <w:p>
      <w:pPr>
        <w:ind w:firstLine="480"/>
        <w:jc w:val="left"/>
        <w:spacing w:line="360" w:lineRule="auto"/>
        <w:rPr>
          <w:rStyle w:val="1226"/>
          <w:rFonts w:hint="eastAsia" w:ascii="宋体" w:hAnsi="宋体" w:cs="宋体"/>
          <w:color w:val="auto"/>
          <w:sz w:val="24"/>
          <w:highlight w:val="none"/>
        </w:rPr>
      </w:pPr>
      <w:r>
        <w:rPr>
          <w:rStyle w:val="1226"/>
          <w:rFonts w:hint="eastAsia" w:ascii="宋体" w:hAnsi="宋体" w:cs="宋体"/>
          <w:color w:val="auto"/>
          <w:sz w:val="24"/>
          <w:highlight w:val="none"/>
        </w:rPr>
        <w:t xml:space="preserve">备注：从业人员、营业收入、资产总额填报上一年度数据，无上一年度数据的新成立企业可不填报。</w:t>
      </w:r>
      <w:r/>
    </w:p>
    <w:p>
      <w:pPr>
        <w:ind w:left="2520" w:firstLine="420"/>
        <w:jc w:val="left"/>
        <w:spacing w:line="360" w:lineRule="auto"/>
        <w:rPr>
          <w:rStyle w:val="1226"/>
          <w:rFonts w:hint="eastAsia" w:ascii="宋体" w:hAnsi="宋体" w:cs="宋体"/>
          <w:color w:val="auto"/>
          <w:sz w:val="24"/>
          <w:highlight w:val="none"/>
        </w:rPr>
      </w:pPr>
      <w:r>
        <w:rPr>
          <w:rFonts w:hint="eastAsia" w:ascii="宋体" w:hAnsi="宋体" w:cs="宋体"/>
          <w:color w:val="auto"/>
          <w:sz w:val="24"/>
          <w:highlight w:val="none"/>
        </w:rPr>
      </w:r>
      <w:r/>
    </w:p>
    <w:p>
      <w:pPr>
        <w:ind w:left="2520" w:firstLine="420"/>
        <w:jc w:val="left"/>
        <w:spacing w:line="360" w:lineRule="auto"/>
        <w:rPr>
          <w:rStyle w:val="1226"/>
          <w:rFonts w:hint="eastAsia" w:ascii="宋体" w:hAnsi="宋体" w:cs="宋体"/>
          <w:color w:val="auto"/>
          <w:sz w:val="24"/>
          <w:highlight w:val="none"/>
        </w:rPr>
      </w:pPr>
      <w:r>
        <w:rPr>
          <w:rFonts w:hint="eastAsia" w:ascii="宋体" w:hAnsi="宋体" w:cs="宋体"/>
          <w:color w:val="auto"/>
          <w:sz w:val="24"/>
          <w:highlight w:val="none"/>
        </w:rPr>
      </w:r>
      <w:r/>
    </w:p>
    <w:p>
      <w:pPr>
        <w:ind w:left="2520" w:firstLine="420"/>
        <w:jc w:val="left"/>
        <w:spacing w:line="360" w:lineRule="auto"/>
        <w:rPr>
          <w:rStyle w:val="1226"/>
          <w:rFonts w:hint="eastAsia" w:ascii="宋体" w:hAnsi="宋体" w:cs="宋体"/>
          <w:color w:val="auto"/>
          <w:sz w:val="24"/>
          <w:highlight w:val="none"/>
        </w:rPr>
      </w:pPr>
      <w:r>
        <w:rPr>
          <w:rFonts w:hint="eastAsia" w:ascii="宋体" w:hAnsi="宋体" w:cs="宋体"/>
          <w:color w:val="auto"/>
          <w:sz w:val="24"/>
          <w:highlight w:val="none"/>
        </w:rPr>
      </w:r>
      <w:r/>
    </w:p>
    <w:p>
      <w:pPr>
        <w:ind w:firstLine="240"/>
        <w:jc w:val="right"/>
        <w:spacing w:line="360" w:lineRule="auto"/>
        <w:rPr>
          <w:rStyle w:val="1226"/>
          <w:rFonts w:hint="eastAsia" w:ascii="宋体" w:hAnsi="宋体" w:cs="宋体"/>
          <w:color w:val="auto"/>
          <w:sz w:val="24"/>
          <w:highlight w:val="none"/>
        </w:rPr>
      </w:pPr>
      <w:r>
        <w:rPr>
          <w:rStyle w:val="1226"/>
          <w:rFonts w:hint="eastAsia" w:ascii="宋体" w:hAnsi="宋体" w:cs="宋体"/>
          <w:color w:val="auto"/>
          <w:sz w:val="24"/>
          <w:highlight w:val="none"/>
        </w:rPr>
        <w:t xml:space="preserve">投标人：  （盖电子签章）</w:t>
      </w:r>
      <w:r/>
    </w:p>
    <w:p>
      <w:pPr>
        <w:ind w:left="2520" w:firstLine="42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4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80"/>
        <w:jc w:val="left"/>
        <w:rPr>
          <w:rStyle w:val="1226"/>
          <w:rFonts w:hint="eastAsia" w:ascii="宋体" w:hAnsi="宋体" w:cs="宋体"/>
          <w:color w:val="auto"/>
          <w:sz w:val="24"/>
          <w:highlight w:val="none"/>
        </w:rPr>
      </w:pPr>
      <w:r>
        <w:rPr>
          <w:rFonts w:hint="eastAsia" w:ascii="宋体" w:hAnsi="宋体" w:cs="宋体"/>
          <w:color w:val="auto"/>
          <w:sz w:val="24"/>
          <w:highlight w:val="none"/>
        </w:rPr>
      </w:r>
      <w:r/>
    </w:p>
    <w:p>
      <w:pPr>
        <w:ind w:firstLine="3600"/>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rPr>
          <w:rFonts w:hint="eastAsia" w:ascii="宋体" w:hAnsi="宋体" w:cs="宋体"/>
          <w:color w:val="auto"/>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color w:val="auto"/>
          <w:sz w:val="28"/>
          <w:szCs w:val="28"/>
          <w:highlight w:val="none"/>
        </w:rPr>
      </w:r>
      <w:r/>
    </w:p>
    <w:p>
      <w:pPr>
        <w:pStyle w:val="897"/>
        <w:ind w:left="0"/>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说明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97"/>
        <w:ind w:left="0" w:firstLine="482"/>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2、从业人员、营业收入、资产总额填报响应投标人上一年度数据，无上一年度数据的新成立企业可不填报。</w:t>
      </w:r>
      <w:r/>
    </w:p>
    <w:p>
      <w:pPr>
        <w:pStyle w:val="897"/>
        <w:ind w:left="0" w:firstLine="482"/>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3、成交投标人为中型、小型、微型企业的，采购人或者其委托的采购代理机构有权随中标、成交结果同时公告其《中小企业声明函》，接受社会监督。</w:t>
      </w:r>
      <w:r/>
    </w:p>
    <w:p>
      <w:pPr>
        <w:pStyle w:val="897"/>
        <w:ind w:left="0" w:firstLine="482"/>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4、执行江苏省财政厅关于进一步加大政府采购支持中小企业力度的通知（苏财购〔2022〕45号）的规定。</w:t>
      </w:r>
      <w:r/>
    </w:p>
    <w:p>
      <w:pPr>
        <w:pStyle w:val="897"/>
        <w:ind w:left="0" w:firstLine="482"/>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5、响应投标人提供的《中小企业声明函》与事实不符的，依照《中华人民共和国政府采购法》第七十七条第一款的规定追究法律责任。</w:t>
      </w:r>
      <w:r/>
    </w:p>
    <w:p>
      <w:pPr>
        <w:pStyle w:val="1212"/>
        <w:ind w:firstLine="480"/>
        <w:spacing w:beforeAutospacing="0" w:afterAutospacing="0" w:line="240" w:lineRule="auto"/>
        <w:rPr>
          <w:rFonts w:hint="eastAsia" w:ascii="宋体" w:hAnsi="宋体" w:cs="宋体"/>
          <w:color w:val="auto"/>
          <w:sz w:val="22"/>
          <w:szCs w:val="22"/>
          <w:highlight w:val="none"/>
        </w:rPr>
      </w:pPr>
      <w:r>
        <w:rPr>
          <w:rFonts w:hint="eastAsia" w:ascii="宋体" w:hAnsi="宋体" w:cs="宋体"/>
          <w:b/>
          <w:bCs/>
          <w:color w:val="auto"/>
          <w:highlight w:val="none"/>
        </w:rPr>
        <w:t xml:space="preserve">6、《中小企业声明函》查询渠道用微信搜索“中小企业规模类型自测小程序”。</w:t>
      </w:r>
      <w:r/>
    </w:p>
    <w:p>
      <w:pPr>
        <w:pStyle w:val="1212"/>
        <w:spacing w:beforeAutospacing="0" w:afterAutospacing="0"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mc:AlternateContent>
          <mc:Choice Requires="wpg">
            <w:drawing>
              <wp:inline xmlns:wp="http://schemas.openxmlformats.org/drawingml/2006/wordprocessingDrawing" distT="0" distB="0" distL="0" distR="0">
                <wp:extent cx="2231390" cy="455422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8"/>
                        <a:srcRect l="0" t="4825" r="0" b="0"/>
                        <a:stretch/>
                      </pic:blipFill>
                      <pic:spPr bwMode="auto">
                        <a:xfrm>
                          <a:off x="0" y="0"/>
                          <a:ext cx="2231390" cy="4554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75.7pt;height:358.6pt;mso-wrap-distance-left:0.0pt;mso-wrap-distance-top:0.0pt;mso-wrap-distance-right:0.0pt;mso-wrap-distance-bottom:0.0pt;" stroked="f">
                <v:path textboxrect="0,0,0,0"/>
                <v:imagedata r:id="rId18" o:title=""/>
              </v:shape>
            </w:pict>
          </mc:Fallback>
        </mc:AlternateContent>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jc w:val="left"/>
        <w:spacing w:line="240" w:lineRule="auto"/>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br w:type="page" w:clear="all"/>
      </w:r>
      <w:r/>
    </w:p>
    <w:p>
      <w:pPr>
        <w:jc w:val="center"/>
        <w:spacing w:line="360" w:lineRule="auto"/>
        <w:rPr>
          <w:rFonts w:hint="eastAsia" w:ascii="宋体" w:hAnsi="宋体" w:cs="宋体"/>
          <w:color w:val="auto"/>
          <w:sz w:val="28"/>
          <w:szCs w:val="28"/>
          <w:highlight w:val="none"/>
        </w:rPr>
        <w:outlineLvl w:val="1"/>
      </w:pPr>
      <w:r>
        <w:rPr>
          <w:rFonts w:hint="eastAsia" w:ascii="宋体" w:hAnsi="宋体" w:cs="宋体"/>
          <w:color w:val="auto"/>
          <w:sz w:val="28"/>
          <w:szCs w:val="28"/>
          <w:highlight w:val="none"/>
        </w:rPr>
        <w:t xml:space="preserve">7、残疾人福利性单位声明函</w:t>
      </w:r>
      <w:r/>
    </w:p>
    <w:p>
      <w:pPr>
        <w:spacing w:line="360" w:lineRule="auto"/>
        <w:rPr>
          <w:rFonts w:hint="eastAsia" w:ascii="宋体" w:hAnsi="宋体" w:cs="宋体"/>
          <w:b/>
          <w:color w:val="auto"/>
          <w:spacing w:val="6"/>
          <w:sz w:val="24"/>
          <w:highlight w:val="none"/>
        </w:rPr>
      </w:pPr>
      <w:r>
        <w:rPr>
          <w:rFonts w:hint="eastAsia" w:ascii="宋体" w:hAnsi="宋体" w:cs="宋体"/>
          <w:b/>
          <w:color w:val="auto"/>
          <w:spacing w:val="6"/>
          <w:sz w:val="24"/>
          <w:highlight w:val="none"/>
        </w:rPr>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交通信号灯社会化管养服务</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JSZC-320300-JSKJ-G2026-0029</w:t>
      </w:r>
      <w:r/>
    </w:p>
    <w:p>
      <w:pPr>
        <w:ind w:firstLine="50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 141</w:t>
      </w:r>
      <w:r>
        <w:rPr>
          <w:rFonts w:hint="eastAsia" w:ascii="宋体" w:hAnsi="宋体" w:cs="宋体"/>
          <w:color w:val="auto"/>
          <w:spacing w:val="6"/>
          <w:sz w:val="24"/>
          <w:highlight w:val="none"/>
        </w:rPr>
        <w:t xml:space="preserve">号）的规定，本单位为符合条件的残疾人福利性单位，且本单位参加</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单位的</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50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50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50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24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投标人：（盖电子签章）</w:t>
      </w:r>
      <w:r/>
    </w:p>
    <w:p>
      <w:pPr>
        <w:ind w:left="1680" w:firstLine="42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4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righ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numPr>
          <w:ilvl w:val="0"/>
          <w:numId w:val="9"/>
        </w:numPr>
        <w:ind w:firstLine="480"/>
        <w:jc w:val="left"/>
        <w:spacing w:line="360" w:lineRule="auto"/>
        <w:rPr>
          <w:rFonts w:hint="eastAsia" w:ascii="宋体" w:hAnsi="宋体" w:cs="宋体"/>
          <w:bCs/>
          <w:color w:val="auto"/>
          <w:sz w:val="28"/>
          <w:szCs w:val="28"/>
          <w:highlight w:val="none"/>
        </w:rPr>
        <w:outlineLvl w:val="1"/>
      </w:pPr>
      <w:r>
        <w:rPr>
          <w:rFonts w:hint="eastAsia" w:ascii="宋体" w:hAnsi="宋体" w:cs="宋体"/>
          <w:color w:val="auto"/>
          <w:sz w:val="28"/>
          <w:szCs w:val="28"/>
          <w:highlight w:val="none"/>
        </w:rPr>
        <w:br w:type="page" w:clear="all"/>
      </w:r>
      <w:r>
        <w:rPr>
          <w:rFonts w:hint="eastAsia" w:ascii="宋体" w:hAnsi="宋体" w:cs="宋体"/>
          <w:bCs/>
          <w:color w:val="auto"/>
          <w:sz w:val="28"/>
          <w:szCs w:val="28"/>
          <w:highlight w:val="none"/>
        </w:rPr>
        <w:t xml:space="preserve">投标人参加政府采购活动前3年内在经营活动中没有重大违法记录的</w:t>
      </w:r>
      <w:r/>
    </w:p>
    <w:p>
      <w:pPr>
        <w:jc w:val="center"/>
        <w:spacing w:line="360" w:lineRule="auto"/>
        <w:rPr>
          <w:rFonts w:hint="eastAsia" w:ascii="宋体" w:hAnsi="宋体" w:cs="宋体"/>
          <w:bCs/>
          <w:color w:val="auto"/>
          <w:sz w:val="24"/>
          <w:highlight w:val="none"/>
        </w:rPr>
      </w:pPr>
      <w:r>
        <w:rPr>
          <w:rFonts w:hint="eastAsia" w:ascii="宋体" w:hAnsi="宋体" w:cs="宋体"/>
          <w:bCs/>
          <w:color w:val="auto"/>
          <w:sz w:val="28"/>
          <w:szCs w:val="28"/>
          <w:highlight w:val="none"/>
        </w:rPr>
        <w:t xml:space="preserve">书面声明</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7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我单位在参加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交通信号灯社会化管养服务</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（项目名称）</w:t>
      </w:r>
      <w:r>
        <w:rPr>
          <w:rFonts w:hint="eastAsia" w:ascii="宋体" w:hAnsi="宋体" w:cs="宋体"/>
          <w:bCs/>
          <w:color w:val="auto"/>
          <w:sz w:val="24"/>
          <w:highlight w:val="none"/>
        </w:rPr>
        <w:t xml:space="preserve">（项目编号：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JSZC-320300-JSKJ-G2026-0029</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我单位对上述声明的真实性负责。如有虚假，将依法承担相应责任。</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24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投标人：（盖电子签章）</w:t>
      </w:r>
      <w:r/>
    </w:p>
    <w:p>
      <w:pPr>
        <w:ind w:left="1680" w:firstLine="42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4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70"/>
        <w:spacing w:line="360" w:lineRule="auto"/>
        <w:rPr>
          <w:rFonts w:hint="eastAsia" w:ascii="宋体" w:hAnsi="宋体" w:cs="宋体"/>
          <w:bCs/>
          <w:color w:val="auto"/>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auto"/>
          <w:sz w:val="24"/>
          <w:highlight w:val="none"/>
        </w:rPr>
      </w:r>
      <w:r/>
    </w:p>
    <w:p>
      <w:pPr>
        <w:pStyle w:val="1212"/>
        <w:jc w:val="center"/>
        <w:spacing w:beforeAutospacing="0" w:afterAutospacing="0" w:line="360" w:lineRule="auto"/>
        <w:rPr>
          <w:rFonts w:hint="eastAsia" w:ascii="宋体" w:hAnsi="宋体" w:cs="宋体"/>
          <w:bCs/>
          <w:color w:val="auto"/>
          <w:sz w:val="28"/>
          <w:szCs w:val="28"/>
          <w:highlight w:val="none"/>
        </w:rPr>
        <w:outlineLvl w:val="1"/>
      </w:pPr>
      <w:r>
        <w:rPr>
          <w:rFonts w:hint="eastAsia" w:ascii="宋体" w:hAnsi="宋体" w:cs="宋体"/>
          <w:bCs/>
          <w:color w:val="auto"/>
          <w:sz w:val="28"/>
          <w:szCs w:val="28"/>
          <w:highlight w:val="none"/>
        </w:rPr>
        <w:t xml:space="preserve">9、具备履行合同所必需的设备和专业技术能力的书面声明（附证明材料）</w:t>
      </w:r>
      <w:r/>
    </w:p>
    <w:p>
      <w:pPr>
        <w:ind w:firstLine="470"/>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项目名称：</w:t>
      </w:r>
      <w:r>
        <w:rPr>
          <w:rFonts w:hint="eastAsia" w:ascii="宋体" w:hAnsi="宋体" w:cs="宋体"/>
          <w:bCs/>
          <w:color w:val="auto"/>
          <w:sz w:val="24"/>
          <w:highlight w:val="none"/>
          <w:lang w:eastAsia="zh-CN"/>
        </w:rPr>
        <w:t xml:space="preserve">交通信号灯社会化管养服务</w:t>
      </w:r>
      <w:r/>
    </w:p>
    <w:p>
      <w:pPr>
        <w:ind w:firstLine="470"/>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项目编号：</w:t>
      </w:r>
      <w:r>
        <w:rPr>
          <w:rFonts w:hint="eastAsia" w:ascii="宋体" w:hAnsi="宋体" w:cs="宋体"/>
          <w:color w:val="auto"/>
          <w:sz w:val="24"/>
          <w:highlight w:val="none"/>
          <w:lang w:eastAsia="zh-CN"/>
        </w:rPr>
        <w:t xml:space="preserve">JSZC-320300-JSKJ-G2026-0029</w:t>
      </w:r>
      <w:r/>
    </w:p>
    <w:p>
      <w:pPr>
        <w:pStyle w:val="875"/>
        <w:ind w:firstLine="480"/>
        <w:jc w:val="both"/>
        <w:spacing w:beforeAutospacing="0" w:afterAutospacing="0" w:line="312" w:lineRule="auto"/>
        <w:widowControl/>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投标人郑重声明：投标人具备履行合同（项目名称：</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rPr>
        <w:t xml:space="preserve">，项目编号：</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rPr>
        <w:t xml:space="preserve">所必需的设备和专业技术能力，具体为</w:t>
      </w:r>
      <w:r>
        <w:rPr>
          <w:rFonts w:hint="eastAsia" w:ascii="宋体" w:hAnsi="宋体" w:cs="宋体"/>
          <w:b/>
          <w:bCs/>
          <w:color w:val="auto"/>
          <w:szCs w:val="24"/>
          <w:highlight w:val="none"/>
        </w:rPr>
        <w:t xml:space="preserve">所附</w:t>
      </w:r>
      <w:r>
        <w:rPr>
          <w:rFonts w:hint="eastAsia" w:ascii="宋体" w:hAnsi="宋体" w:cs="宋体"/>
          <w:b/>
          <w:bCs/>
          <w:color w:val="auto"/>
          <w:szCs w:val="24"/>
          <w:highlight w:val="none"/>
          <w:lang w:val="en-US" w:eastAsia="zh-CN"/>
        </w:rPr>
        <w:t xml:space="preserve">证明材料</w:t>
      </w:r>
      <w:r>
        <w:rPr>
          <w:rFonts w:hint="eastAsia" w:ascii="宋体" w:hAnsi="宋体" w:cs="宋体"/>
          <w:bCs/>
          <w:color w:val="auto"/>
          <w:sz w:val="24"/>
          <w:highlight w:val="none"/>
          <w:lang w:eastAsia="zh-CN"/>
        </w:rPr>
        <w:t xml:space="preserve">。</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特此声明。</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投标人对上述声明的真实性负责。如有虚假，将依法承担相应责任。</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24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投标人：（盖电子签章）</w:t>
      </w:r>
      <w:r/>
    </w:p>
    <w:p>
      <w:pPr>
        <w:ind w:firstLine="24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875"/>
        <w:jc w:val="both"/>
        <w:spacing w:beforeAutospacing="0" w:afterAutospacing="0" w:line="312"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p>
      <w:pPr>
        <w:pStyle w:val="875"/>
        <w:jc w:val="both"/>
        <w:spacing w:beforeAutospacing="0" w:afterAutospacing="0" w:line="312" w:lineRule="auto"/>
        <w:widowControl/>
        <w:rPr>
          <w:rFonts w:hint="eastAsia" w:ascii="宋体" w:hAnsi="宋体" w:cs="宋体"/>
          <w:b/>
          <w:bCs/>
          <w:color w:val="auto"/>
          <w:szCs w:val="24"/>
          <w:highlight w:val="none"/>
          <w:lang w:val="en-US" w:eastAsia="zh-CN"/>
        </w:rPr>
      </w:pPr>
      <w:r>
        <w:rPr>
          <w:rFonts w:hint="eastAsia" w:ascii="宋体" w:hAnsi="宋体" w:cs="宋体"/>
          <w:b/>
          <w:bCs/>
          <w:color w:val="auto"/>
          <w:szCs w:val="24"/>
          <w:highlight w:val="none"/>
        </w:rPr>
        <w:t xml:space="preserve">所附</w:t>
      </w:r>
      <w:r>
        <w:rPr>
          <w:rFonts w:hint="eastAsia" w:ascii="宋体" w:hAnsi="宋体" w:cs="宋体"/>
          <w:b/>
          <w:bCs/>
          <w:color w:val="auto"/>
          <w:szCs w:val="24"/>
          <w:highlight w:val="none"/>
          <w:lang w:val="en-US" w:eastAsia="zh-CN"/>
        </w:rPr>
        <w:t xml:space="preserve">证明材料必须提供以下内容：</w:t>
      </w:r>
      <w:r/>
    </w:p>
    <w:p>
      <w:pPr>
        <w:pStyle w:val="875"/>
        <w:jc w:val="both"/>
        <w:spacing w:beforeAutospacing="0" w:afterAutospacing="0" w:line="312" w:lineRule="auto"/>
        <w:widowControl/>
        <w:rPr>
          <w:rFonts w:hint="eastAsia" w:ascii="宋体" w:hAnsi="宋体" w:cs="宋体"/>
          <w:b w:val="0"/>
          <w:bCs w:val="0"/>
          <w:color w:val="auto"/>
          <w:szCs w:val="24"/>
          <w:highlight w:val="none"/>
          <w:lang w:val="en-US" w:eastAsia="zh-CN"/>
        </w:rPr>
      </w:pPr>
      <w:r>
        <w:rPr>
          <w:rFonts w:hint="eastAsia" w:ascii="宋体" w:hAnsi="宋体" w:cs="宋体"/>
          <w:b w:val="0"/>
          <w:bCs w:val="0"/>
          <w:color w:val="auto"/>
          <w:szCs w:val="24"/>
          <w:highlight w:val="none"/>
          <w:lang w:val="en-US" w:eastAsia="zh-CN"/>
        </w:rPr>
        <w:t xml:space="preserve">（1）项目经理1人，具有城市道路交通信号控制工程建设或城市道路交通信号控制维护项目的工作经验，项目经理具有一级建造师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机电工程或通信与广电工程专业</w:t>
      </w:r>
      <w:r>
        <w:rPr>
          <w:rFonts w:hint="eastAsia" w:ascii="宋体" w:hAnsi="宋体" w:cs="宋体"/>
          <w:color w:val="auto"/>
          <w:sz w:val="24"/>
          <w:szCs w:val="24"/>
          <w:highlight w:val="none"/>
          <w:lang w:eastAsia="zh-CN"/>
        </w:rPr>
        <w:t xml:space="preserve">）</w:t>
      </w:r>
      <w:r>
        <w:rPr>
          <w:rFonts w:hint="eastAsia" w:ascii="宋体" w:hAnsi="宋体" w:cs="宋体"/>
          <w:b w:val="0"/>
          <w:bCs w:val="0"/>
          <w:color w:val="auto"/>
          <w:szCs w:val="24"/>
          <w:highlight w:val="none"/>
          <w:lang w:val="en-US" w:eastAsia="zh-CN"/>
        </w:rPr>
        <w:t xml:space="preserve">或高级工程师</w:t>
      </w:r>
      <w:r>
        <w:rPr>
          <w:rFonts w:hint="eastAsia" w:ascii="宋体" w:hAnsi="宋体" w:cs="宋体"/>
          <w:color w:val="auto"/>
          <w:sz w:val="24"/>
          <w:szCs w:val="24"/>
          <w:highlight w:val="none"/>
          <w:lang w:val="en-US" w:eastAsia="zh-CN"/>
        </w:rPr>
        <w:t xml:space="preserve">职称</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电力工程、机械工程、交通运输工程、通信工程、电子信息工程、智能交通专业方向均可</w:t>
      </w:r>
      <w:r>
        <w:rPr>
          <w:rFonts w:hint="eastAsia" w:ascii="宋体" w:hAnsi="宋体" w:cs="宋体"/>
          <w:color w:val="auto"/>
          <w:sz w:val="24"/>
          <w:szCs w:val="24"/>
          <w:highlight w:val="none"/>
          <w:lang w:eastAsia="zh-CN"/>
        </w:rPr>
        <w:t xml:space="preserve">）</w:t>
      </w:r>
      <w:r>
        <w:rPr>
          <w:rFonts w:hint="eastAsia" w:ascii="宋体" w:hAnsi="宋体" w:cs="宋体"/>
          <w:b w:val="0"/>
          <w:bCs w:val="0"/>
          <w:color w:val="auto"/>
          <w:szCs w:val="24"/>
          <w:highlight w:val="none"/>
          <w:lang w:val="en-US" w:eastAsia="zh-CN"/>
        </w:rPr>
        <w:t xml:space="preserve">。</w:t>
      </w:r>
      <w:r/>
    </w:p>
    <w:p>
      <w:pPr>
        <w:pStyle w:val="875"/>
        <w:jc w:val="both"/>
        <w:spacing w:beforeAutospacing="0" w:afterAutospacing="0" w:line="312" w:lineRule="auto"/>
        <w:widowControl/>
        <w:rPr>
          <w:rFonts w:hint="eastAsia" w:ascii="宋体" w:hAnsi="宋体" w:cs="宋体"/>
          <w:b w:val="0"/>
          <w:bCs w:val="0"/>
          <w:color w:val="auto"/>
          <w:szCs w:val="24"/>
          <w:highlight w:val="none"/>
          <w:lang w:val="en-US" w:eastAsia="zh-CN"/>
        </w:rPr>
      </w:pPr>
      <w:r>
        <w:rPr>
          <w:rFonts w:hint="eastAsia" w:ascii="宋体" w:hAnsi="宋体" w:cs="宋体"/>
          <w:b w:val="0"/>
          <w:bCs w:val="0"/>
          <w:color w:val="auto"/>
          <w:szCs w:val="24"/>
          <w:highlight w:val="none"/>
          <w:lang w:val="en-US" w:eastAsia="zh-CN"/>
        </w:rPr>
        <w:t xml:space="preserve">（2）技术负责人1人，具有城市道路交通信号控制工程建设或城市道路交通信号控制维护项目的工作经验，具有</w:t>
      </w:r>
      <w:r>
        <w:rPr>
          <w:rFonts w:hint="eastAsia" w:ascii="宋体" w:hAnsi="宋体" w:cs="宋体"/>
          <w:bCs/>
          <w:color w:val="auto"/>
          <w:sz w:val="24"/>
          <w:szCs w:val="24"/>
          <w:highlight w:val="none"/>
          <w:lang w:val="en-US" w:eastAsia="zh-CN"/>
        </w:rPr>
        <w:t xml:space="preserve">高级工程师</w:t>
      </w:r>
      <w:r>
        <w:rPr>
          <w:rFonts w:hint="eastAsia" w:ascii="宋体" w:hAnsi="宋体" w:cs="宋体"/>
          <w:bCs/>
          <w:color w:val="auto"/>
          <w:sz w:val="24"/>
          <w:szCs w:val="24"/>
          <w:highlight w:val="none"/>
        </w:rPr>
        <w:t xml:space="preserve">职称</w:t>
      </w:r>
      <w:r>
        <w:rPr>
          <w:rFonts w:hint="eastAsia" w:ascii="宋体" w:hAnsi="宋体" w:cs="宋体"/>
          <w:bCs/>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电力工程、机械工程、交通运输工程、通信工程、电子信息工程、智能交通专业方向均可</w:t>
      </w:r>
      <w:r>
        <w:rPr>
          <w:rFonts w:hint="eastAsia" w:ascii="宋体" w:hAnsi="宋体" w:cs="宋体"/>
          <w:bCs/>
          <w:color w:val="auto"/>
          <w:sz w:val="24"/>
          <w:szCs w:val="24"/>
          <w:highlight w:val="none"/>
          <w:lang w:eastAsia="zh-CN"/>
        </w:rPr>
        <w:t xml:space="preserve">）</w:t>
      </w:r>
      <w:r>
        <w:rPr>
          <w:rFonts w:hint="eastAsia" w:ascii="宋体" w:hAnsi="宋体" w:cs="宋体"/>
          <w:b w:val="0"/>
          <w:bCs w:val="0"/>
          <w:color w:val="auto"/>
          <w:szCs w:val="24"/>
          <w:highlight w:val="none"/>
          <w:lang w:val="en-US" w:eastAsia="zh-CN"/>
        </w:rPr>
        <w:t xml:space="preserve">。</w:t>
      </w:r>
      <w:r/>
    </w:p>
    <w:p>
      <w:pPr>
        <w:pStyle w:val="875"/>
        <w:jc w:val="both"/>
        <w:spacing w:beforeAutospacing="0" w:afterAutospacing="0" w:line="312" w:lineRule="auto"/>
        <w:widowControl/>
        <w:rPr>
          <w:rFonts w:hint="eastAsia" w:ascii="宋体" w:hAnsi="宋体" w:cs="宋体"/>
          <w:b w:val="0"/>
          <w:bCs w:val="0"/>
          <w:color w:val="auto"/>
          <w:szCs w:val="24"/>
          <w:highlight w:val="none"/>
          <w:lang w:val="en-US" w:eastAsia="zh-CN"/>
        </w:rPr>
      </w:pPr>
      <w:r>
        <w:rPr>
          <w:rFonts w:hint="eastAsia" w:ascii="宋体" w:hAnsi="宋体" w:cs="宋体"/>
          <w:b w:val="0"/>
          <w:bCs w:val="0"/>
          <w:color w:val="auto"/>
          <w:szCs w:val="24"/>
          <w:highlight w:val="none"/>
          <w:lang w:val="en-US" w:eastAsia="zh-CN"/>
        </w:rPr>
        <w:t xml:space="preserve">（3）外场工程师共计13人，均应具有相应电工证或高空作业证，熟练掌握前端施工规范及建设标准，掌握接线技能和基础调试技能。</w:t>
      </w:r>
      <w:r/>
    </w:p>
    <w:p>
      <w:pPr>
        <w:pStyle w:val="875"/>
        <w:jc w:val="both"/>
        <w:spacing w:beforeAutospacing="0" w:afterAutospacing="0" w:line="312" w:lineRule="auto"/>
        <w:widowControl/>
        <w:rPr>
          <w:rFonts w:hint="eastAsia" w:ascii="宋体" w:hAnsi="宋体" w:cs="宋体"/>
          <w:b w:val="0"/>
          <w:bCs w:val="0"/>
          <w:color w:val="auto"/>
          <w:szCs w:val="24"/>
          <w:highlight w:val="none"/>
          <w:lang w:val="en-US" w:eastAsia="zh-CN"/>
        </w:rPr>
      </w:pPr>
      <w:r>
        <w:rPr>
          <w:rFonts w:hint="eastAsia" w:ascii="宋体" w:hAnsi="宋体" w:cs="宋体"/>
          <w:b w:val="0"/>
          <w:bCs w:val="0"/>
          <w:color w:val="auto"/>
          <w:szCs w:val="24"/>
          <w:highlight w:val="none"/>
          <w:lang w:val="en-US" w:eastAsia="zh-CN"/>
        </w:rPr>
        <w:t xml:space="preserve">（4）内场工程师共计7人，能熟练操作本市信号控制系统，具有交通、通信相关专业学历，并配备至少一名CAD绘图专业技术人员，能熟练利用CAD软件绘制路口效果图。</w:t>
      </w:r>
      <w:r/>
    </w:p>
    <w:p>
      <w:pPr>
        <w:ind w:right="28"/>
        <w:jc w:val="both"/>
        <w:spacing w:line="346" w:lineRule="auto"/>
        <w:rPr>
          <w:rFonts w:hint="default" w:ascii="宋体" w:hAnsi="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val="en-US" w:eastAsia="zh-CN"/>
        </w:rPr>
        <w:t xml:space="preserve">注：提供人员花名册，</w:t>
      </w:r>
      <w:r>
        <w:rPr>
          <w:rFonts w:hint="eastAsia" w:cs="宋体"/>
          <w:b/>
          <w:bCs w:val="0"/>
          <w:color w:val="auto"/>
          <w:sz w:val="24"/>
          <w:szCs w:val="24"/>
          <w:highlight w:val="none"/>
          <w:lang w:val="en-US" w:eastAsia="zh-CN"/>
        </w:rPr>
        <w:t xml:space="preserve">以上人员为本项目最低人员配置要求，人员不重复记取；</w:t>
      </w:r>
      <w:r>
        <w:rPr>
          <w:rFonts w:hint="eastAsia" w:ascii="宋体" w:hAnsi="宋体" w:cs="宋体"/>
          <w:b/>
          <w:bCs w:val="0"/>
          <w:color w:val="auto"/>
          <w:sz w:val="24"/>
          <w:szCs w:val="24"/>
          <w:highlight w:val="none"/>
          <w:lang w:val="en-US" w:eastAsia="zh-CN"/>
        </w:rPr>
        <w:t xml:space="preserve">投标文件中提供</w:t>
      </w:r>
      <w:r>
        <w:rPr>
          <w:rFonts w:hint="eastAsia" w:ascii="宋体" w:hAnsi="宋体" w:cs="宋体"/>
          <w:b/>
          <w:color w:val="auto"/>
          <w:sz w:val="24"/>
          <w:szCs w:val="24"/>
          <w:highlight w:val="none"/>
          <w:lang w:val="en-US" w:eastAsia="zh-CN"/>
        </w:rPr>
        <w:t xml:space="preserve">以上人员相关</w:t>
      </w:r>
      <w:r>
        <w:rPr>
          <w:rFonts w:hint="eastAsia" w:ascii="宋体" w:hAnsi="宋体" w:cs="宋体"/>
          <w:b/>
          <w:color w:val="auto"/>
          <w:sz w:val="24"/>
          <w:szCs w:val="24"/>
          <w:highlight w:val="none"/>
        </w:rPr>
        <w:t xml:space="preserve">证书</w:t>
      </w:r>
      <w:r>
        <w:rPr>
          <w:rFonts w:hint="eastAsia" w:ascii="宋体" w:hAnsi="宋体" w:cs="宋体"/>
          <w:b/>
          <w:color w:val="auto"/>
          <w:sz w:val="24"/>
          <w:szCs w:val="24"/>
          <w:highlight w:val="none"/>
          <w:lang w:val="en-US" w:eastAsia="zh-CN"/>
        </w:rPr>
        <w:t xml:space="preserve">扫描件</w:t>
      </w:r>
      <w:r>
        <w:rPr>
          <w:rFonts w:hint="eastAsia" w:ascii="宋体" w:hAnsi="宋体" w:cs="宋体"/>
          <w:b/>
          <w:bCs w:val="0"/>
          <w:color w:val="auto"/>
          <w:sz w:val="24"/>
          <w:szCs w:val="24"/>
          <w:highlight w:val="none"/>
          <w:lang w:val="en-US" w:eastAsia="zh-CN"/>
        </w:rPr>
        <w:t xml:space="preserve">和投标人为其缴纳的开标时间前</w:t>
      </w:r>
      <w:r>
        <w:rPr>
          <w:rFonts w:hint="eastAsia" w:ascii="宋体" w:hAnsi="宋体" w:eastAsia="宋体" w:cs="宋体"/>
          <w:b/>
          <w:bCs w:val="0"/>
          <w:color w:val="auto"/>
          <w:sz w:val="24"/>
          <w:szCs w:val="24"/>
          <w:highlight w:val="none"/>
        </w:rPr>
        <w:t xml:space="preserve">近六个月</w:t>
      </w:r>
      <w:r>
        <w:rPr>
          <w:rFonts w:hint="eastAsia" w:ascii="宋体" w:hAnsi="宋体" w:cs="宋体"/>
          <w:b/>
          <w:bCs w:val="0"/>
          <w:color w:val="auto"/>
          <w:sz w:val="24"/>
          <w:szCs w:val="24"/>
          <w:highlight w:val="none"/>
          <w:lang w:val="en-US" w:eastAsia="zh-CN"/>
        </w:rPr>
        <w:t xml:space="preserve">内</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不含开标当月</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任意一个月</w:t>
      </w:r>
      <w:r>
        <w:rPr>
          <w:rFonts w:hint="eastAsia" w:ascii="宋体" w:hAnsi="宋体" w:cs="宋体"/>
          <w:b/>
          <w:bCs w:val="0"/>
          <w:color w:val="auto"/>
          <w:sz w:val="24"/>
          <w:szCs w:val="24"/>
          <w:highlight w:val="none"/>
          <w:lang w:val="en-US" w:eastAsia="zh-CN"/>
        </w:rPr>
        <w:t xml:space="preserve">的</w:t>
      </w:r>
      <w:r>
        <w:rPr>
          <w:rFonts w:hint="eastAsia" w:ascii="宋体" w:hAnsi="宋体" w:eastAsia="宋体" w:cs="宋体"/>
          <w:b/>
          <w:bCs w:val="0"/>
          <w:color w:val="auto"/>
          <w:sz w:val="24"/>
          <w:szCs w:val="24"/>
          <w:highlight w:val="none"/>
        </w:rPr>
        <w:t xml:space="preserve">社保证明</w:t>
      </w:r>
      <w:r>
        <w:rPr>
          <w:rFonts w:hint="eastAsia" w:ascii="宋体" w:hAnsi="宋体" w:cs="宋体"/>
          <w:b/>
          <w:color w:val="auto"/>
          <w:sz w:val="24"/>
          <w:szCs w:val="24"/>
          <w:highlight w:val="none"/>
          <w:lang w:val="en-US" w:eastAsia="zh-CN"/>
        </w:rPr>
        <w:t xml:space="preserve">扫描件</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未提供或提供不全为无效投标！</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rPr>
          <w:rFonts w:hint="eastAsia" w:ascii="宋体" w:hAnsi="宋体" w:cs="宋体"/>
          <w:bCs/>
          <w:color w:val="auto"/>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auto"/>
          <w:sz w:val="28"/>
          <w:szCs w:val="28"/>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400" w:lineRule="exact"/>
        <w:rPr>
          <w:rFonts w:hint="eastAsia" w:ascii="宋体" w:hAnsi="宋体" w:cs="宋体"/>
          <w:bCs/>
          <w:color w:val="auto"/>
          <w:sz w:val="28"/>
          <w:szCs w:val="28"/>
          <w:highlight w:val="none"/>
        </w:rPr>
        <w:outlineLvl w:val="1"/>
      </w:pPr>
      <w:r>
        <w:rPr>
          <w:rFonts w:hint="eastAsia" w:ascii="宋体" w:hAnsi="宋体" w:cs="宋体"/>
          <w:bCs/>
          <w:color w:val="auto"/>
          <w:sz w:val="28"/>
          <w:szCs w:val="28"/>
          <w:highlight w:val="none"/>
          <w:lang w:val="en-US" w:eastAsia="zh-CN"/>
        </w:rPr>
        <w:t xml:space="preserve">10</w:t>
      </w:r>
      <w:r>
        <w:rPr>
          <w:rFonts w:hint="eastAsia" w:ascii="宋体" w:hAnsi="宋体" w:cs="宋体"/>
          <w:bCs/>
          <w:color w:val="auto"/>
          <w:sz w:val="28"/>
          <w:szCs w:val="28"/>
          <w:highlight w:val="none"/>
        </w:rPr>
        <w:t xml:space="preserve">、预付款保函支付条款模板</w:t>
      </w:r>
      <w:r/>
    </w:p>
    <w:p>
      <w:pPr>
        <w:pStyle w:val="858"/>
        <w:ind w:left="63" w:right="63"/>
        <w:rPr>
          <w:color w:val="auto"/>
          <w:highlight w:val="none"/>
        </w:rPr>
      </w:pPr>
      <w:r>
        <w:rPr>
          <w:color w:val="auto"/>
          <w:highlight w:val="none"/>
        </w:rPr>
      </w:r>
      <w:r/>
    </w:p>
    <w:p>
      <w:pPr>
        <w:ind w:firstLine="480"/>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符合条件一：提交预付款保函的</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（1）合同签订且乙方向甲方出具预付款保函后个工作日内，甲方应支付合同价款的百分之</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人民币。</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人民币 。 </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480"/>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符合条件二：不提交预付款保函的</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（1）合同签订后个工作日内，甲方应支付合同价款的百分之</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人民币。</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人民币。</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1、付款条件一中，出具预付款保函后支付的合同款应当与保函金额一致。</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2、付款条件二中，预付款比例设定应符合《关于做好政府采购支持企业发展有关事项的通知》(苏财购〔2020〕52号)要求。</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-----------------（以下无正文）-----------------</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mbria">
    <w:panose1 w:val="02040503050406030204"/>
  </w:font>
  <w:font w:name="Calibri Light">
    <w:panose1 w:val="020F0302020204030204"/>
  </w:font>
  <w:font w:name="Symbol">
    <w:panose1 w:val="05050102010706020507"/>
  </w:font>
  <w:font w:name="新宋体">
    <w:panose1 w:val="02010609030101010101"/>
  </w:font>
  <w:font w:name="Courier New">
    <w:panose1 w:val="02070309020205020404"/>
  </w:font>
  <w:font w:name="Verdana">
    <w:panose1 w:val="020B0604030504040204"/>
  </w:font>
  <w:font w:name="黑体">
    <w:panose1 w:val="02010609060101010101"/>
  </w:font>
  <w:font w:name="仿宋_GB2312">
    <w:panose1 w:val="02010609060101010101"/>
  </w:font>
  <w:font w:name="Calibri">
    <w:panose1 w:val="020F0502020204030204"/>
  </w:font>
  <w:font w:name="仿宋">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szCs w:val="18"/>
      </w:rPr>
    </w:pPr>
    <w:r>
      <w:rPr>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6"/>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6"/>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ind w:right="360"/>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8"/>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8"/>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rPr>
        <w:sz w:val="21"/>
        <w:szCs w:val="21"/>
      </w:rPr>
    </w:pPr>
    <w:r>
      <w:rPr>
        <w:rFonts w:hint="eastAsia"/>
        <w:sz w:val="21"/>
        <w:szCs w:val="21"/>
      </w:rPr>
      <mc:AlternateContent>
        <mc:Choice Requires="wpg">
          <w:drawing>
            <wp:inline xmlns:wp="http://schemas.openxmlformats.org/drawingml/2006/wordprocessingDrawing" distT="0" distB="0" distL="0" distR="0">
              <wp:extent cx="280670" cy="24511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81288" cy="2451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1pt;height:19.3pt;mso-wrap-distance-left:0.0pt;mso-wrap-distance-top:0.0pt;mso-wrap-distance-right:0.0pt;mso-wrap-distance-bottom:0.0pt;" stroked="f">
              <v:path textboxrect="0,0,0,0"/>
              <v:imagedata r:id="rId1" o:title=""/>
            </v:shape>
          </w:pict>
        </mc:Fallback>
      </mc:AlternateContent>
    </w:r>
    <w:r>
      <w:rPr>
        <w:rFonts w:hint="eastAsia"/>
        <w:sz w:val="21"/>
        <w:szCs w:val="21"/>
      </w:rPr>
      <w:t xml:space="preserve">江苏科建编制            </w:t>
    </w:r>
    <w:r>
      <w:rPr>
        <w:rFonts w:hint="eastAsia" w:ascii="宋体" w:hAnsi="宋体" w:cs="宋体"/>
        <w:sz w:val="21"/>
        <w:szCs w:val="21"/>
      </w:rPr>
      <w:t xml:space="preserve"> </w:t>
    </w:r>
    <w:r>
      <w:rPr>
        <w:rFonts w:hint="eastAsia" w:ascii="宋体" w:hAnsi="宋体" w:cs="宋体"/>
        <w:sz w:val="21"/>
        <w:szCs w:val="21"/>
        <w:lang w:val="en-US" w:eastAsia="zh-CN"/>
      </w:rPr>
      <w:t xml:space="preserve">        </w:t>
    </w:r>
    <w:r>
      <w:rPr>
        <w:rFonts w:hint="eastAsia" w:ascii="宋体" w:hAnsi="宋体" w:cs="宋体"/>
        <w:sz w:val="21"/>
        <w:szCs w:val="21"/>
        <w:lang w:eastAsia="zh-CN"/>
      </w:rPr>
      <w:t xml:space="preserve">交通信号灯社会化管养服务</w:t>
    </w:r>
    <w:r>
      <w:rPr>
        <w:rFonts w:hint="eastAsia"/>
        <w:sz w:val="21"/>
        <w:szCs w:val="21"/>
      </w:rPr>
      <w:t xml:space="preserve"> </w:t>
    </w:r>
    <w:r>
      <w:rPr>
        <w:rFonts w:hint="eastAsia"/>
        <w:sz w:val="21"/>
        <w:szCs w:val="21"/>
        <w:lang w:val="en-US" w:eastAsia="zh-CN"/>
      </w:rPr>
      <w:t xml:space="preserve">       </w:t>
    </w:r>
    <w:r>
      <w:rPr>
        <w:rFonts w:hint="eastAsia"/>
        <w:sz w:val="21"/>
        <w:szCs w:val="21"/>
      </w:rPr>
      <w:t xml:space="preserve">          招标文件</w:t>
    </w:r>
    <w:r/>
  </w:p>
  <w:p>
    <w:pPr>
      <w:pStyle w:val="94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rPr>
        <w:sz w:val="21"/>
        <w:szCs w:val="21"/>
      </w:rPr>
    </w:pPr>
    <w:r>
      <w:rPr>
        <w:rFonts w:hint="eastAsia"/>
        <w:sz w:val="21"/>
        <w:szCs w:val="21"/>
      </w:rPr>
      <mc:AlternateContent>
        <mc:Choice Requires="wpg">
          <w:drawing>
            <wp:inline xmlns:wp="http://schemas.openxmlformats.org/drawingml/2006/wordprocessingDrawing" distT="0" distB="0" distL="0" distR="0">
              <wp:extent cx="280670" cy="24511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281288" cy="2451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1pt;height:19.3pt;mso-wrap-distance-left:0.0pt;mso-wrap-distance-top:0.0pt;mso-wrap-distance-right:0.0pt;mso-wrap-distance-bottom:0.0pt;" stroked="f">
              <v:path textboxrect="0,0,0,0"/>
              <v:imagedata r:id="rId1" o:title=""/>
            </v:shape>
          </w:pict>
        </mc:Fallback>
      </mc:AlternateContent>
    </w:r>
    <w:r>
      <w:rPr>
        <w:rFonts w:hint="eastAsia"/>
        <w:sz w:val="21"/>
        <w:szCs w:val="21"/>
      </w:rPr>
      <w:t xml:space="preserve">江苏科建编制 </w:t>
    </w:r>
    <w:r>
      <w:rPr>
        <w:rFonts w:hint="eastAsia"/>
        <w:sz w:val="21"/>
        <w:szCs w:val="21"/>
        <w:lang w:val="en-US" w:eastAsia="zh-CN"/>
      </w:rPr>
      <w:t xml:space="preserve">         </w:t>
    </w:r>
    <w:r>
      <w:rPr>
        <w:rFonts w:hint="eastAsia"/>
        <w:sz w:val="21"/>
        <w:szCs w:val="21"/>
      </w:rPr>
      <w:t xml:space="preserve">      </w:t>
    </w:r>
    <w:r>
      <w:rPr>
        <w:rFonts w:hint="eastAsia" w:ascii="宋体" w:hAnsi="宋体" w:cs="宋体"/>
        <w:sz w:val="21"/>
        <w:szCs w:val="21"/>
        <w:lang w:eastAsia="zh-CN"/>
      </w:rPr>
      <w:t xml:space="preserve">交通信号灯社会化管养服务</w:t>
    </w:r>
    <w:r>
      <w:rPr>
        <w:rFonts w:hint="eastAsia"/>
        <w:sz w:val="21"/>
        <w:szCs w:val="21"/>
      </w:rPr>
      <w:t xml:space="preserve">  </w:t>
    </w:r>
    <w:r>
      <w:rPr>
        <w:rFonts w:hint="eastAsia"/>
        <w:sz w:val="21"/>
        <w:szCs w:val="21"/>
        <w:lang w:val="en-US" w:eastAsia="zh-CN"/>
      </w:rPr>
      <w:t xml:space="preserve"> </w:t>
    </w:r>
    <w:r>
      <w:rPr>
        <w:rFonts w:hint="eastAsia"/>
        <w:sz w:val="21"/>
        <w:szCs w:val="21"/>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83" w:hanging="86"/>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1"/>
      <w:numFmt w:val="chineseCounting"/>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6"/>
  </w:num>
  <w:num w:numId="4">
    <w:abstractNumId w:val="3"/>
  </w:num>
  <w:num w:numId="5">
    <w:abstractNumId w:val="0"/>
  </w:num>
  <w:num w:numId="6">
    <w:abstractNumId w:val="8"/>
  </w:num>
  <w:num w:numId="7">
    <w:abstractNumId w:val="4"/>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20">
    <w:name w:val="Plain Table 1"/>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2"/>
    <w:basedOn w:val="8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3"/>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name w:val="Plain Table 4"/>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name w:val="Plain Table 5"/>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5">
    <w:name w:val="Grid Table 1 Light"/>
    <w:basedOn w:val="8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6">
    <w:name w:val="Grid Table 2"/>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7">
    <w:name w:val="Grid Table 3"/>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4"/>
    <w:basedOn w:val="8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name w:val="Grid Table 5 Dark"/>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0">
    <w:name w:val="Grid Table 6 Colorful"/>
    <w:basedOn w:val="8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1">
    <w:name w:val="Grid Table 7 Colorful"/>
    <w:basedOn w:val="8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List Table 1 Light"/>
    <w:basedOn w:val="8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name w:val="List Table 2"/>
    <w:basedOn w:val="8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4">
    <w:name w:val="List Table 3"/>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4"/>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5 Dark"/>
    <w:basedOn w:val="8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6 Colorful"/>
    <w:basedOn w:val="8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8">
    <w:name w:val="List Table 7 Colorful"/>
    <w:basedOn w:val="8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39">
    <w:name w:val="TOC Heading"/>
    <w:uiPriority w:val="39"/>
    <w:unhideWhenUsed/>
  </w:style>
  <w:style w:type="paragraph" w:styleId="840" w:default="1">
    <w:name w:val="Normal"/>
    <w:next w:val="852"/>
    <w:uiPriority w:val="0"/>
    <w:qFormat/>
    <w:pPr>
      <w:jc w:val="both"/>
      <w:widowControl w:val="off"/>
    </w:pPr>
    <w:rPr>
      <w:rFonts w:ascii="Times New Roman" w:hAnsi="Times New Roman" w:eastAsia="宋体" w:cs="Times New Roman"/>
      <w:sz w:val="21"/>
      <w:szCs w:val="21"/>
      <w:lang w:val="en-US" w:eastAsia="zh-CN" w:bidi="ar-SA"/>
    </w:rPr>
  </w:style>
  <w:style w:type="paragraph" w:styleId="841">
    <w:name w:val="Heading 1"/>
    <w:basedOn w:val="840"/>
    <w:next w:val="840"/>
    <w:uiPriority w:val="9"/>
    <w:qFormat/>
    <w:pPr>
      <w:keepLines/>
      <w:keepNext/>
      <w:spacing w:before="480" w:after="200"/>
      <w:outlineLvl w:val="0"/>
    </w:pPr>
    <w:rPr>
      <w:rFonts w:ascii="Arial" w:hAnsi="Arial" w:eastAsia="Arial" w:cs="Arial"/>
      <w:sz w:val="40"/>
      <w:szCs w:val="40"/>
    </w:rPr>
  </w:style>
  <w:style w:type="paragraph" w:styleId="842">
    <w:name w:val="Heading 2"/>
    <w:basedOn w:val="840"/>
    <w:next w:val="840"/>
    <w:uiPriority w:val="9"/>
    <w:unhideWhenUsed/>
    <w:qFormat/>
    <w:pPr>
      <w:keepLines/>
      <w:keepNext/>
      <w:spacing w:before="360" w:after="200"/>
      <w:outlineLvl w:val="1"/>
    </w:pPr>
    <w:rPr>
      <w:rFonts w:ascii="Arial" w:hAnsi="Arial" w:eastAsia="Arial" w:cs="Arial"/>
      <w:sz w:val="34"/>
    </w:rPr>
  </w:style>
  <w:style w:type="paragraph" w:styleId="843">
    <w:name w:val="Heading 3"/>
    <w:basedOn w:val="840"/>
    <w:next w:val="840"/>
    <w:uiPriority w:val="9"/>
    <w:unhideWhenUsed/>
    <w:qFormat/>
    <w:pPr>
      <w:keepLines/>
      <w:keepNext/>
      <w:spacing w:before="320" w:after="200"/>
      <w:outlineLvl w:val="2"/>
    </w:pPr>
    <w:rPr>
      <w:rFonts w:ascii="Arial" w:hAnsi="Arial" w:eastAsia="Arial" w:cs="Arial"/>
      <w:sz w:val="30"/>
      <w:szCs w:val="30"/>
    </w:rPr>
  </w:style>
  <w:style w:type="paragraph" w:styleId="844">
    <w:name w:val="Heading 4"/>
    <w:basedOn w:val="840"/>
    <w:next w:val="840"/>
    <w:uiPriority w:val="9"/>
    <w:unhideWhenUsed/>
    <w:qFormat/>
    <w:pPr>
      <w:keepLines/>
      <w:keepNext/>
      <w:spacing w:before="320" w:after="200"/>
      <w:outlineLvl w:val="3"/>
    </w:pPr>
    <w:rPr>
      <w:rFonts w:ascii="Arial" w:hAnsi="Arial" w:eastAsia="Arial" w:cs="Arial"/>
      <w:b/>
      <w:bCs/>
      <w:sz w:val="26"/>
      <w:szCs w:val="26"/>
    </w:rPr>
  </w:style>
  <w:style w:type="paragraph" w:styleId="845">
    <w:name w:val="Heading 5"/>
    <w:basedOn w:val="840"/>
    <w:next w:val="840"/>
    <w:uiPriority w:val="9"/>
    <w:unhideWhenUsed/>
    <w:qFormat/>
    <w:pPr>
      <w:keepLines/>
      <w:keepNext/>
      <w:spacing w:before="320" w:after="200"/>
      <w:outlineLvl w:val="4"/>
    </w:pPr>
    <w:rPr>
      <w:rFonts w:ascii="Arial" w:hAnsi="Arial" w:eastAsia="Arial" w:cs="Arial"/>
      <w:b/>
      <w:bCs/>
      <w:sz w:val="24"/>
      <w:szCs w:val="24"/>
    </w:rPr>
  </w:style>
  <w:style w:type="paragraph" w:styleId="846">
    <w:name w:val="Heading 6"/>
    <w:basedOn w:val="840"/>
    <w:next w:val="840"/>
    <w:uiPriority w:val="9"/>
    <w:unhideWhenUsed/>
    <w:qFormat/>
    <w:pPr>
      <w:keepLines/>
      <w:keepNext/>
      <w:spacing w:before="320" w:after="200"/>
      <w:outlineLvl w:val="5"/>
    </w:pPr>
    <w:rPr>
      <w:rFonts w:ascii="Arial" w:hAnsi="Arial" w:eastAsia="Arial" w:cs="Arial"/>
      <w:b/>
      <w:bCs/>
      <w:sz w:val="22"/>
      <w:szCs w:val="22"/>
    </w:rPr>
  </w:style>
  <w:style w:type="paragraph" w:styleId="847">
    <w:name w:val="Heading 7"/>
    <w:basedOn w:val="840"/>
    <w:next w:val="840"/>
    <w:uiPriority w:val="9"/>
    <w:unhideWhenUsed/>
    <w:qFormat/>
    <w:pPr>
      <w:keepLines/>
      <w:keepNext/>
      <w:spacing w:before="320" w:after="200"/>
      <w:outlineLvl w:val="6"/>
    </w:pPr>
    <w:rPr>
      <w:rFonts w:ascii="Arial" w:hAnsi="Arial" w:eastAsia="Arial" w:cs="Arial"/>
      <w:b/>
      <w:bCs/>
      <w:i/>
      <w:iCs/>
      <w:sz w:val="22"/>
      <w:szCs w:val="22"/>
    </w:rPr>
  </w:style>
  <w:style w:type="paragraph" w:styleId="848">
    <w:name w:val="Heading 8"/>
    <w:basedOn w:val="840"/>
    <w:next w:val="840"/>
    <w:uiPriority w:val="9"/>
    <w:unhideWhenUsed/>
    <w:qFormat/>
    <w:pPr>
      <w:keepLines/>
      <w:keepNext/>
      <w:spacing w:before="320" w:after="200"/>
      <w:outlineLvl w:val="7"/>
    </w:pPr>
    <w:rPr>
      <w:rFonts w:ascii="Arial" w:hAnsi="Arial" w:eastAsia="Arial" w:cs="Arial"/>
      <w:i/>
      <w:iCs/>
      <w:sz w:val="22"/>
      <w:szCs w:val="22"/>
    </w:rPr>
  </w:style>
  <w:style w:type="paragraph" w:styleId="849">
    <w:name w:val="Heading 9"/>
    <w:basedOn w:val="840"/>
    <w:next w:val="840"/>
    <w:uiPriority w:val="9"/>
    <w:unhideWhenUsed/>
    <w:qFormat/>
    <w:pPr>
      <w:keepLines/>
      <w:keepNext/>
      <w:spacing w:before="320" w:after="200"/>
      <w:outlineLvl w:val="8"/>
    </w:pPr>
    <w:rPr>
      <w:rFonts w:ascii="Arial" w:hAnsi="Arial" w:eastAsia="Arial" w:cs="Arial"/>
      <w:i/>
      <w:iCs/>
    </w:rPr>
  </w:style>
  <w:style w:type="character" w:styleId="850" w:default="1">
    <w:name w:val="Default Paragraph Font"/>
    <w:uiPriority w:val="1"/>
    <w:unhideWhenUsed/>
    <w:qFormat/>
  </w:style>
  <w:style w:type="table" w:styleId="851" w:default="1">
    <w:name w:val="Normal Table"/>
    <w:uiPriority w:val="99"/>
    <w:semiHidden/>
    <w:unhideWhenUsed/>
    <w:qFormat/>
    <w:tblPr>
      <w:tblCellMar>
        <w:left w:w="108" w:type="dxa"/>
        <w:top w:w="0" w:type="dxa"/>
        <w:right w:w="108" w:type="dxa"/>
        <w:bottom w:w="0" w:type="dxa"/>
      </w:tblCellMar>
    </w:tblPr>
  </w:style>
  <w:style w:type="paragraph" w:styleId="852">
    <w:name w:val="Body Text First Indent 2"/>
    <w:basedOn w:val="853"/>
    <w:uiPriority w:val="0"/>
    <w:qFormat/>
    <w:pPr>
      <w:ind w:firstLine="420"/>
    </w:pPr>
    <w:rPr>
      <w:rFonts w:ascii="宋体" w:hAnsi="宋体"/>
    </w:rPr>
  </w:style>
  <w:style w:type="paragraph" w:styleId="853">
    <w:name w:val="Body Text Indent"/>
    <w:basedOn w:val="840"/>
    <w:next w:val="854"/>
    <w:uiPriority w:val="99"/>
    <w:unhideWhenUsed/>
    <w:qFormat/>
    <w:pPr>
      <w:ind w:firstLine="425"/>
      <w:spacing w:line="360" w:lineRule="auto"/>
    </w:pPr>
  </w:style>
  <w:style w:type="paragraph" w:styleId="854">
    <w:name w:val="envelope return"/>
    <w:basedOn w:val="840"/>
    <w:uiPriority w:val="99"/>
    <w:unhideWhenUsed/>
    <w:qFormat/>
    <w:rPr>
      <w:rFonts w:ascii="Arial" w:hAnsi="Arial"/>
    </w:rPr>
  </w:style>
  <w:style w:type="paragraph" w:styleId="855">
    <w:name w:val="toc 7"/>
    <w:basedOn w:val="840"/>
    <w:next w:val="840"/>
    <w:uiPriority w:val="39"/>
    <w:unhideWhenUsed/>
    <w:qFormat/>
    <w:pPr>
      <w:ind w:left="1701"/>
      <w:spacing w:after="57"/>
    </w:pPr>
  </w:style>
  <w:style w:type="paragraph" w:styleId="856">
    <w:name w:val="Caption"/>
    <w:basedOn w:val="840"/>
    <w:next w:val="8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7">
    <w:name w:val="annotation text"/>
    <w:basedOn w:val="840"/>
    <w:uiPriority w:val="99"/>
    <w:semiHidden/>
    <w:unhideWhenUsed/>
    <w:qFormat/>
    <w:pPr>
      <w:jc w:val="left"/>
    </w:pPr>
  </w:style>
  <w:style w:type="paragraph" w:styleId="858">
    <w:name w:val="Body Text"/>
    <w:basedOn w:val="840"/>
    <w:uiPriority w:val="0"/>
    <w:qFormat/>
    <w:pPr>
      <w:ind w:left="72" w:right="30"/>
      <w:jc w:val="center"/>
      <w:spacing w:after="60" w:line="360" w:lineRule="atLeast"/>
    </w:pPr>
    <w:rPr>
      <w:szCs w:val="22"/>
    </w:rPr>
  </w:style>
  <w:style w:type="paragraph" w:styleId="859">
    <w:name w:val="Block Text"/>
    <w:basedOn w:val="840"/>
    <w:uiPriority w:val="0"/>
    <w:qFormat/>
    <w:pPr>
      <w:ind w:left="256" w:right="6" w:firstLine="624"/>
    </w:pPr>
    <w:rPr>
      <w:rFonts w:eastAsia="仿宋"/>
      <w:sz w:val="28"/>
      <w:szCs w:val="20"/>
    </w:rPr>
  </w:style>
  <w:style w:type="paragraph" w:styleId="860">
    <w:name w:val="toc 5"/>
    <w:basedOn w:val="840"/>
    <w:next w:val="840"/>
    <w:uiPriority w:val="39"/>
    <w:unhideWhenUsed/>
    <w:qFormat/>
    <w:pPr>
      <w:ind w:left="1134"/>
      <w:spacing w:after="57"/>
    </w:pPr>
  </w:style>
  <w:style w:type="paragraph" w:styleId="861">
    <w:name w:val="toc 3"/>
    <w:basedOn w:val="840"/>
    <w:next w:val="840"/>
    <w:uiPriority w:val="39"/>
    <w:unhideWhenUsed/>
    <w:qFormat/>
    <w:pPr>
      <w:ind w:left="567"/>
      <w:spacing w:after="57"/>
    </w:pPr>
  </w:style>
  <w:style w:type="paragraph" w:styleId="862">
    <w:name w:val="toc 8"/>
    <w:basedOn w:val="840"/>
    <w:next w:val="840"/>
    <w:uiPriority w:val="39"/>
    <w:unhideWhenUsed/>
    <w:qFormat/>
    <w:pPr>
      <w:ind w:left="1984"/>
      <w:spacing w:after="57"/>
    </w:pPr>
  </w:style>
  <w:style w:type="paragraph" w:styleId="863">
    <w:name w:val="endnote text"/>
    <w:basedOn w:val="840"/>
    <w:uiPriority w:val="99"/>
    <w:semiHidden/>
    <w:unhideWhenUsed/>
    <w:qFormat/>
    <w:rPr>
      <w:sz w:val="20"/>
    </w:rPr>
  </w:style>
  <w:style w:type="paragraph" w:styleId="864">
    <w:name w:val="Footer"/>
    <w:basedOn w:val="840"/>
    <w:uiPriority w:val="99"/>
    <w:unhideWhenUsed/>
    <w:qFormat/>
    <w:pPr>
      <w:tabs>
        <w:tab w:val="center" w:pos="7143" w:leader="none"/>
        <w:tab w:val="right" w:pos="14287" w:leader="none"/>
      </w:tabs>
    </w:pPr>
  </w:style>
  <w:style w:type="paragraph" w:styleId="865">
    <w:name w:val="Header"/>
    <w:basedOn w:val="840"/>
    <w:uiPriority w:val="99"/>
    <w:unhideWhenUsed/>
    <w:qFormat/>
    <w:pPr>
      <w:tabs>
        <w:tab w:val="center" w:pos="7143" w:leader="none"/>
        <w:tab w:val="right" w:pos="14287" w:leader="none"/>
      </w:tabs>
    </w:pPr>
  </w:style>
  <w:style w:type="paragraph" w:styleId="866">
    <w:name w:val="toc 1"/>
    <w:basedOn w:val="840"/>
    <w:next w:val="840"/>
    <w:uiPriority w:val="39"/>
    <w:unhideWhenUsed/>
    <w:qFormat/>
    <w:pPr>
      <w:spacing w:after="57"/>
    </w:pPr>
  </w:style>
  <w:style w:type="paragraph" w:styleId="867">
    <w:name w:val="toc 4"/>
    <w:basedOn w:val="840"/>
    <w:next w:val="840"/>
    <w:uiPriority w:val="39"/>
    <w:unhideWhenUsed/>
    <w:qFormat/>
    <w:pPr>
      <w:ind w:left="850"/>
      <w:spacing w:after="57"/>
    </w:pPr>
  </w:style>
  <w:style w:type="paragraph" w:styleId="868">
    <w:name w:val="Subtitle"/>
    <w:basedOn w:val="840"/>
    <w:next w:val="840"/>
    <w:uiPriority w:val="11"/>
    <w:qFormat/>
    <w:pPr>
      <w:spacing w:before="200" w:after="200"/>
    </w:pPr>
    <w:rPr>
      <w:sz w:val="24"/>
      <w:szCs w:val="24"/>
    </w:rPr>
  </w:style>
  <w:style w:type="paragraph" w:styleId="869">
    <w:name w:val="footnote text"/>
    <w:basedOn w:val="840"/>
    <w:uiPriority w:val="99"/>
    <w:semiHidden/>
    <w:unhideWhenUsed/>
    <w:qFormat/>
    <w:pPr>
      <w:spacing w:after="40"/>
    </w:pPr>
    <w:rPr>
      <w:sz w:val="18"/>
    </w:rPr>
  </w:style>
  <w:style w:type="paragraph" w:styleId="870">
    <w:name w:val="toc 6"/>
    <w:basedOn w:val="840"/>
    <w:next w:val="840"/>
    <w:uiPriority w:val="39"/>
    <w:unhideWhenUsed/>
    <w:qFormat/>
    <w:pPr>
      <w:ind w:left="1417"/>
      <w:spacing w:after="57"/>
    </w:pPr>
  </w:style>
  <w:style w:type="paragraph" w:styleId="871">
    <w:name w:val="table of figures"/>
    <w:basedOn w:val="840"/>
    <w:next w:val="840"/>
    <w:uiPriority w:val="99"/>
    <w:unhideWhenUsed/>
    <w:qFormat/>
  </w:style>
  <w:style w:type="paragraph" w:styleId="872">
    <w:name w:val="toc 2"/>
    <w:basedOn w:val="840"/>
    <w:next w:val="840"/>
    <w:uiPriority w:val="39"/>
    <w:unhideWhenUsed/>
    <w:qFormat/>
    <w:pPr>
      <w:ind w:left="283"/>
      <w:spacing w:after="57"/>
    </w:pPr>
  </w:style>
  <w:style w:type="paragraph" w:styleId="873">
    <w:name w:val="toc 9"/>
    <w:basedOn w:val="840"/>
    <w:next w:val="840"/>
    <w:uiPriority w:val="39"/>
    <w:unhideWhenUsed/>
    <w:qFormat/>
    <w:pPr>
      <w:ind w:left="2268"/>
      <w:spacing w:after="57"/>
    </w:pPr>
  </w:style>
  <w:style w:type="paragraph" w:styleId="874">
    <w:name w:val="Body Text 2"/>
    <w:basedOn w:val="840"/>
    <w:uiPriority w:val="99"/>
    <w:qFormat/>
    <w:pPr>
      <w:jc w:val="center"/>
    </w:pPr>
    <w:rPr>
      <w:rFonts w:ascii="Arial" w:hAnsi="Arial"/>
      <w:sz w:val="16"/>
      <w:lang w:val="zh-CN"/>
    </w:rPr>
  </w:style>
  <w:style w:type="paragraph" w:styleId="875">
    <w:name w:val="Normal (Web)"/>
    <w:basedOn w:val="840"/>
    <w:uiPriority w:val="0"/>
    <w:qFormat/>
    <w:pPr>
      <w:jc w:val="left"/>
      <w:spacing w:beforeAutospacing="1" w:afterAutospacing="1"/>
    </w:pPr>
    <w:rPr>
      <w:sz w:val="24"/>
    </w:rPr>
  </w:style>
  <w:style w:type="paragraph" w:styleId="876">
    <w:name w:val="Title"/>
    <w:basedOn w:val="840"/>
    <w:next w:val="840"/>
    <w:uiPriority w:val="10"/>
    <w:qFormat/>
    <w:pPr>
      <w:contextualSpacing/>
      <w:spacing w:before="300" w:after="200"/>
    </w:pPr>
    <w:rPr>
      <w:sz w:val="48"/>
      <w:szCs w:val="48"/>
    </w:rPr>
  </w:style>
  <w:style w:type="table" w:styleId="87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8">
    <w:name w:val="Strong"/>
    <w:basedOn w:val="850"/>
    <w:uiPriority w:val="0"/>
    <w:qFormat/>
    <w:rPr>
      <w:b/>
    </w:rPr>
  </w:style>
  <w:style w:type="character" w:styleId="879">
    <w:name w:val="endnote reference"/>
    <w:uiPriority w:val="99"/>
    <w:semiHidden/>
    <w:unhideWhenUsed/>
    <w:qFormat/>
    <w:rPr>
      <w:vertAlign w:val="superscript"/>
    </w:rPr>
  </w:style>
  <w:style w:type="character" w:styleId="880">
    <w:name w:val="Hyperlink"/>
    <w:basedOn w:val="850"/>
    <w:uiPriority w:val="99"/>
    <w:unhideWhenUsed/>
    <w:qFormat/>
    <w:rPr>
      <w:color w:val="0000ff" w:themeColor="hyperlink"/>
      <w:u w:val="single"/>
      <w14:textFill>
        <w14:solidFill>
          <w14:schemeClr w14:val="hlink"/>
        </w14:solidFill>
      </w14:textFill>
    </w:rPr>
  </w:style>
  <w:style w:type="character" w:styleId="881">
    <w:name w:val="annotation reference"/>
    <w:basedOn w:val="850"/>
    <w:uiPriority w:val="99"/>
    <w:semiHidden/>
    <w:unhideWhenUsed/>
    <w:qFormat/>
    <w:rPr>
      <w:sz w:val="21"/>
      <w:szCs w:val="21"/>
    </w:rPr>
  </w:style>
  <w:style w:type="character" w:styleId="882">
    <w:name w:val="footnote reference"/>
    <w:uiPriority w:val="99"/>
    <w:unhideWhenUsed/>
    <w:qFormat/>
    <w:rPr>
      <w:vertAlign w:val="superscript"/>
    </w:rPr>
  </w:style>
  <w:style w:type="paragraph" w:styleId="883" w:customStyle="1">
    <w:name w:val="信息标题1"/>
    <w:basedOn w:val="840"/>
    <w:next w:val="884"/>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84" w:customStyle="1">
    <w:name w:val="正文文本12"/>
    <w:basedOn w:val="840"/>
    <w:next w:val="840"/>
    <w:uiPriority w:val="99"/>
    <w:qFormat/>
    <w:pPr>
      <w:spacing w:after="120"/>
    </w:pPr>
  </w:style>
  <w:style w:type="paragraph" w:styleId="885" w:customStyle="1">
    <w:name w:val="正文首行缩进 21"/>
    <w:basedOn w:val="886"/>
    <w:next w:val="840"/>
    <w:uiPriority w:val="99"/>
    <w:unhideWhenUsed/>
    <w:qFormat/>
    <w:pPr>
      <w:ind w:firstLine="420"/>
    </w:pPr>
  </w:style>
  <w:style w:type="paragraph" w:styleId="886" w:customStyle="1">
    <w:name w:val="正文文本缩进1"/>
    <w:basedOn w:val="887"/>
    <w:next w:val="900"/>
    <w:uiPriority w:val="0"/>
    <w:qFormat/>
    <w:pPr>
      <w:ind w:left="420"/>
      <w:spacing w:after="120"/>
    </w:pPr>
  </w:style>
  <w:style w:type="paragraph" w:styleId="887" w:customStyle="1">
    <w:name w:val="正文1"/>
    <w:basedOn w:val="888"/>
    <w:next w:val="891"/>
    <w:uiPriority w:val="0"/>
    <w:qFormat/>
    <w:pPr>
      <w:jc w:val="both"/>
      <w:widowControl w:val="off"/>
    </w:pPr>
    <w:rPr>
      <w:rFonts w:ascii="Times New Roman" w:hAnsi="Times New Roman" w:eastAsia="宋体" w:cs="Times New Roman"/>
      <w:sz w:val="21"/>
      <w:szCs w:val="24"/>
      <w:lang w:val="en-US" w:eastAsia="zh-CN" w:bidi="ar-SA"/>
    </w:rPr>
  </w:style>
  <w:style w:type="paragraph" w:styleId="888" w:customStyle="1">
    <w:name w:val="正文12"/>
    <w:next w:val="889"/>
    <w:uiPriority w:val="0"/>
    <w:qFormat/>
    <w:pPr>
      <w:jc w:val="both"/>
      <w:widowControl w:val="off"/>
    </w:pPr>
    <w:rPr>
      <w:rFonts w:ascii="Times New Roman" w:hAnsi="Times New Roman" w:eastAsia="宋体" w:cs="Times New Roman"/>
      <w:sz w:val="21"/>
      <w:szCs w:val="24"/>
      <w:lang w:val="en-US" w:eastAsia="zh-CN" w:bidi="ar-SA"/>
    </w:rPr>
  </w:style>
  <w:style w:type="paragraph" w:styleId="889" w:customStyle="1">
    <w:name w:val="脚注文本1"/>
    <w:basedOn w:val="887"/>
    <w:next w:val="890"/>
    <w:uiPriority w:val="0"/>
    <w:qFormat/>
    <w:pPr>
      <w:jc w:val="left"/>
    </w:pPr>
    <w:rPr>
      <w:rFonts w:ascii="宋体" w:eastAsia="Times New Roman"/>
      <w:sz w:val="18"/>
      <w:szCs w:val="18"/>
    </w:rPr>
  </w:style>
  <w:style w:type="paragraph" w:styleId="890" w:customStyle="1">
    <w:name w:val="索引 51"/>
    <w:basedOn w:val="887"/>
    <w:next w:val="887"/>
    <w:uiPriority w:val="0"/>
    <w:qFormat/>
    <w:pPr>
      <w:ind w:left="798"/>
      <w:jc w:val="left"/>
    </w:pPr>
    <w:rPr>
      <w:rFonts w:ascii="Calibri" w:hAnsi="Calibri"/>
    </w:rPr>
  </w:style>
  <w:style w:type="paragraph" w:styleId="891" w:customStyle="1">
    <w:name w:val="目录 11"/>
    <w:basedOn w:val="892"/>
    <w:next w:val="888"/>
    <w:uiPriority w:val="0"/>
    <w:qFormat/>
  </w:style>
  <w:style w:type="paragraph" w:styleId="892" w:customStyle="1">
    <w:name w:val="正文112"/>
    <w:next w:val="893"/>
    <w:uiPriority w:val="0"/>
    <w:qFormat/>
    <w:pPr>
      <w:jc w:val="both"/>
      <w:widowControl w:val="off"/>
    </w:pPr>
    <w:rPr>
      <w:rFonts w:ascii="Times New Roman" w:hAnsi="Times New Roman" w:eastAsia="宋体" w:cs="Times New Roman"/>
      <w:sz w:val="21"/>
      <w:szCs w:val="24"/>
      <w:lang w:val="en-US" w:eastAsia="zh-CN" w:bidi="ar-SA"/>
    </w:rPr>
  </w:style>
  <w:style w:type="paragraph" w:styleId="893" w:customStyle="1">
    <w:name w:val="正文首行缩进1"/>
    <w:basedOn w:val="894"/>
    <w:next w:val="896"/>
    <w:uiPriority w:val="0"/>
    <w:qFormat/>
    <w:pPr>
      <w:ind w:firstLine="420"/>
    </w:pPr>
  </w:style>
  <w:style w:type="paragraph" w:styleId="894" w:customStyle="1">
    <w:name w:val="正文文本11"/>
    <w:basedOn w:val="892"/>
    <w:next w:val="895"/>
    <w:uiPriority w:val="0"/>
    <w:qFormat/>
    <w:pPr>
      <w:spacing w:after="120"/>
    </w:pPr>
  </w:style>
  <w:style w:type="paragraph" w:styleId="895" w:customStyle="1">
    <w:name w:val="正文111"/>
    <w:next w:val="886"/>
    <w:link w:val="973"/>
    <w:uiPriority w:val="0"/>
    <w:qFormat/>
    <w:pPr>
      <w:jc w:val="both"/>
      <w:widowControl w:val="off"/>
    </w:pPr>
    <w:rPr>
      <w:rFonts w:ascii="Calibri" w:hAnsi="Calibri" w:eastAsia="宋体" w:cs="Calibri"/>
      <w:color w:val="000000"/>
      <w:sz w:val="22"/>
      <w:szCs w:val="22"/>
      <w:lang w:val="en-US" w:eastAsia="zh-CN" w:bidi="ar-SA"/>
    </w:rPr>
  </w:style>
  <w:style w:type="paragraph" w:styleId="896" w:customStyle="1">
    <w:name w:val="正文首行缩进 211"/>
    <w:basedOn w:val="897"/>
    <w:next w:val="840"/>
    <w:uiPriority w:val="99"/>
    <w:qFormat/>
    <w:pPr>
      <w:ind w:left="0" w:firstLine="420"/>
      <w:spacing w:after="0" w:line="360" w:lineRule="auto"/>
    </w:pPr>
    <w:rPr>
      <w:rFonts w:ascii="宋体" w:hAnsi="宋体"/>
    </w:rPr>
  </w:style>
  <w:style w:type="paragraph" w:styleId="897" w:customStyle="1">
    <w:name w:val="正文文本缩进11"/>
    <w:basedOn w:val="898"/>
    <w:next w:val="900"/>
    <w:uiPriority w:val="0"/>
    <w:qFormat/>
    <w:pPr>
      <w:ind w:left="420"/>
      <w:spacing w:after="120"/>
    </w:pPr>
  </w:style>
  <w:style w:type="paragraph" w:styleId="898" w:customStyle="1">
    <w:name w:val="正文11"/>
    <w:next w:val="899"/>
    <w:uiPriority w:val="0"/>
    <w:qFormat/>
    <w:pPr>
      <w:jc w:val="both"/>
    </w:pPr>
    <w:rPr>
      <w:rFonts w:ascii="Times New Roman" w:hAnsi="Times New Roman" w:eastAsia="宋体" w:cs="Times New Roman"/>
      <w:lang w:val="en-US" w:eastAsia="zh-CN" w:bidi="ar-SA"/>
    </w:rPr>
  </w:style>
  <w:style w:type="paragraph" w:styleId="899" w:customStyle="1">
    <w:name w:val="文本块1"/>
    <w:basedOn w:val="895"/>
    <w:uiPriority w:val="0"/>
    <w:qFormat/>
    <w:pPr>
      <w:ind w:left="256" w:right="6" w:firstLine="624"/>
    </w:pPr>
    <w:rPr>
      <w:rFonts w:eastAsia="仿宋_GB2312"/>
      <w:sz w:val="28"/>
    </w:rPr>
  </w:style>
  <w:style w:type="paragraph" w:styleId="900" w:customStyle="1">
    <w:name w:val="寄信人地址1"/>
    <w:basedOn w:val="898"/>
    <w:uiPriority w:val="0"/>
    <w:qFormat/>
    <w:rPr>
      <w:rFonts w:ascii="Arial" w:hAnsi="Arial"/>
    </w:rPr>
  </w:style>
  <w:style w:type="paragraph" w:styleId="901" w:customStyle="1">
    <w:name w:val="无间隔1"/>
    <w:uiPriority w:val="1"/>
    <w:qFormat/>
    <w:pPr>
      <w:jc w:val="both"/>
      <w:widowControl w:val="off"/>
    </w:pPr>
    <w:rPr>
      <w:rFonts w:ascii="宋体" w:hAnsi="宋体" w:eastAsia="宋体" w:cs="宋体"/>
      <w:sz w:val="21"/>
      <w:szCs w:val="22"/>
      <w:lang w:val="en-US" w:eastAsia="zh-CN" w:bidi="ar-SA"/>
    </w:rPr>
  </w:style>
  <w:style w:type="paragraph" w:styleId="902" w:customStyle="1">
    <w:name w:val="标题 41"/>
    <w:basedOn w:val="888"/>
    <w:next w:val="898"/>
    <w:uiPriority w:val="0"/>
    <w:qFormat/>
    <w:pPr>
      <w:keepLines/>
      <w:keepNext/>
      <w:spacing w:line="360" w:lineRule="auto"/>
      <w:outlineLvl w:val="3"/>
    </w:pPr>
    <w:rPr>
      <w:rFonts w:ascii="Arial" w:hAnsi="Arial"/>
      <w:b/>
      <w:bCs/>
      <w:szCs w:val="28"/>
    </w:rPr>
  </w:style>
  <w:style w:type="paragraph" w:styleId="903" w:customStyle="1">
    <w:name w:val="一级条标题"/>
    <w:basedOn w:val="904"/>
    <w:next w:val="90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4" w:customStyle="1">
    <w:name w:val="章标题"/>
    <w:next w:val="887"/>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05" w:customStyle="1">
    <w:name w:val="段"/>
    <w:basedOn w:val="906"/>
    <w:next w:val="840"/>
    <w:uiPriority w:val="0"/>
    <w:qFormat/>
    <w:pPr>
      <w:ind w:firstLine="200"/>
    </w:pPr>
    <w:rPr>
      <w:rFonts w:hint="eastAsia" w:ascii="宋体"/>
    </w:rPr>
  </w:style>
  <w:style w:type="paragraph" w:styleId="906" w:customStyle="1">
    <w:name w:val="正文13"/>
    <w:next w:val="907"/>
    <w:uiPriority w:val="0"/>
    <w:qFormat/>
    <w:pPr>
      <w:jc w:val="both"/>
      <w:widowControl w:val="off"/>
    </w:pPr>
    <w:rPr>
      <w:rFonts w:ascii="Times New Roman" w:hAnsi="Times New Roman" w:eastAsia="宋体" w:cs="Times New Roman"/>
      <w:sz w:val="21"/>
      <w:szCs w:val="24"/>
      <w:lang w:val="en-US" w:eastAsia="zh-CN" w:bidi="ar-SA"/>
    </w:rPr>
  </w:style>
  <w:style w:type="paragraph" w:styleId="907" w:customStyle="1">
    <w:name w:val="目录 111"/>
    <w:basedOn w:val="906"/>
    <w:next w:val="888"/>
    <w:uiPriority w:val="0"/>
    <w:qFormat/>
    <w:pPr>
      <w:spacing w:after="57"/>
    </w:pPr>
  </w:style>
  <w:style w:type="paragraph" w:styleId="908" w:customStyle="1">
    <w:name w:val="正文文本1"/>
    <w:basedOn w:val="887"/>
    <w:next w:val="887"/>
    <w:uiPriority w:val="0"/>
    <w:qFormat/>
    <w:pPr>
      <w:spacing w:after="120"/>
    </w:pPr>
    <w:rPr>
      <w:rFonts w:ascii="Calibri" w:hAnsi="Calibri"/>
    </w:rPr>
  </w:style>
  <w:style w:type="paragraph" w:styleId="909" w:customStyle="1">
    <w:name w:val="寄信人地址11"/>
    <w:basedOn w:val="840"/>
    <w:uiPriority w:val="0"/>
    <w:qFormat/>
    <w:rPr>
      <w:rFonts w:ascii="Arial" w:hAnsi="Arial"/>
    </w:rPr>
  </w:style>
  <w:style w:type="paragraph" w:styleId="910" w:customStyle="1">
    <w:name w:val="标题 112"/>
    <w:basedOn w:val="840"/>
    <w:next w:val="840"/>
    <w:link w:val="921"/>
    <w:uiPriority w:val="9"/>
    <w:qFormat/>
    <w:pPr>
      <w:keepLines/>
      <w:keepNext/>
      <w:spacing w:before="480" w:after="200"/>
      <w:outlineLvl w:val="0"/>
    </w:pPr>
    <w:rPr>
      <w:rFonts w:ascii="Arial" w:hAnsi="Arial" w:eastAsia="Arial" w:cs="Arial"/>
      <w:sz w:val="40"/>
      <w:szCs w:val="40"/>
    </w:rPr>
  </w:style>
  <w:style w:type="paragraph" w:styleId="911" w:customStyle="1">
    <w:name w:val="标题 2111"/>
    <w:basedOn w:val="840"/>
    <w:next w:val="840"/>
    <w:link w:val="922"/>
    <w:uiPriority w:val="9"/>
    <w:unhideWhenUsed/>
    <w:qFormat/>
    <w:pPr>
      <w:keepLines/>
      <w:keepNext/>
      <w:spacing w:before="360" w:after="200"/>
      <w:outlineLvl w:val="1"/>
    </w:pPr>
    <w:rPr>
      <w:rFonts w:ascii="Arial" w:hAnsi="Arial" w:eastAsia="Arial" w:cs="Arial"/>
      <w:sz w:val="34"/>
    </w:rPr>
  </w:style>
  <w:style w:type="paragraph" w:styleId="912" w:customStyle="1">
    <w:name w:val="标题 312"/>
    <w:basedOn w:val="840"/>
    <w:next w:val="840"/>
    <w:link w:val="923"/>
    <w:uiPriority w:val="9"/>
    <w:unhideWhenUsed/>
    <w:qFormat/>
    <w:pPr>
      <w:keepLines/>
      <w:keepNext/>
      <w:spacing w:before="320" w:after="200"/>
      <w:outlineLvl w:val="2"/>
    </w:pPr>
    <w:rPr>
      <w:rFonts w:ascii="Arial" w:hAnsi="Arial" w:eastAsia="Arial" w:cs="Arial"/>
      <w:sz w:val="30"/>
      <w:szCs w:val="30"/>
    </w:rPr>
  </w:style>
  <w:style w:type="paragraph" w:styleId="913" w:customStyle="1">
    <w:name w:val="标题 412"/>
    <w:basedOn w:val="840"/>
    <w:next w:val="840"/>
    <w:link w:val="924"/>
    <w:uiPriority w:val="9"/>
    <w:unhideWhenUsed/>
    <w:qFormat/>
    <w:pPr>
      <w:keepLines/>
      <w:keepNext/>
      <w:spacing w:before="320" w:after="200"/>
      <w:outlineLvl w:val="3"/>
    </w:pPr>
    <w:rPr>
      <w:rFonts w:ascii="Arial" w:hAnsi="Arial" w:eastAsia="Arial" w:cs="Arial"/>
      <w:b/>
      <w:bCs/>
      <w:sz w:val="26"/>
      <w:szCs w:val="26"/>
    </w:rPr>
  </w:style>
  <w:style w:type="paragraph" w:styleId="914" w:customStyle="1">
    <w:name w:val="标题 511"/>
    <w:basedOn w:val="840"/>
    <w:next w:val="840"/>
    <w:link w:val="925"/>
    <w:uiPriority w:val="9"/>
    <w:unhideWhenUsed/>
    <w:qFormat/>
    <w:pPr>
      <w:keepLines/>
      <w:keepNext/>
      <w:spacing w:before="320" w:after="200"/>
      <w:outlineLvl w:val="4"/>
    </w:pPr>
    <w:rPr>
      <w:rFonts w:ascii="Arial" w:hAnsi="Arial" w:eastAsia="Arial" w:cs="Arial"/>
      <w:b/>
      <w:bCs/>
      <w:sz w:val="24"/>
      <w:szCs w:val="24"/>
    </w:rPr>
  </w:style>
  <w:style w:type="paragraph" w:styleId="915" w:customStyle="1">
    <w:name w:val="标题 611"/>
    <w:basedOn w:val="840"/>
    <w:next w:val="840"/>
    <w:link w:val="926"/>
    <w:uiPriority w:val="9"/>
    <w:unhideWhenUsed/>
    <w:qFormat/>
    <w:pPr>
      <w:keepLines/>
      <w:keepNext/>
      <w:spacing w:before="320" w:after="200"/>
      <w:outlineLvl w:val="5"/>
    </w:pPr>
    <w:rPr>
      <w:rFonts w:ascii="Arial" w:hAnsi="Arial" w:eastAsia="Arial" w:cs="Arial"/>
      <w:b/>
      <w:bCs/>
      <w:sz w:val="22"/>
      <w:szCs w:val="22"/>
    </w:rPr>
  </w:style>
  <w:style w:type="paragraph" w:styleId="916" w:customStyle="1">
    <w:name w:val="标题 711"/>
    <w:basedOn w:val="840"/>
    <w:next w:val="840"/>
    <w:link w:val="927"/>
    <w:uiPriority w:val="9"/>
    <w:unhideWhenUsed/>
    <w:qFormat/>
    <w:pPr>
      <w:keepLines/>
      <w:keepNext/>
      <w:spacing w:before="320" w:after="200"/>
      <w:outlineLvl w:val="6"/>
    </w:pPr>
    <w:rPr>
      <w:rFonts w:ascii="Arial" w:hAnsi="Arial" w:eastAsia="Arial" w:cs="Arial"/>
      <w:b/>
      <w:bCs/>
      <w:i/>
      <w:iCs/>
      <w:sz w:val="22"/>
      <w:szCs w:val="22"/>
    </w:rPr>
  </w:style>
  <w:style w:type="paragraph" w:styleId="917" w:customStyle="1">
    <w:name w:val="标题 811"/>
    <w:basedOn w:val="840"/>
    <w:next w:val="840"/>
    <w:link w:val="928"/>
    <w:uiPriority w:val="9"/>
    <w:unhideWhenUsed/>
    <w:qFormat/>
    <w:pPr>
      <w:keepLines/>
      <w:keepNext/>
      <w:spacing w:before="320" w:after="200"/>
      <w:outlineLvl w:val="7"/>
    </w:pPr>
    <w:rPr>
      <w:rFonts w:ascii="Arial" w:hAnsi="Arial" w:eastAsia="Arial" w:cs="Arial"/>
      <w:i/>
      <w:iCs/>
      <w:sz w:val="22"/>
      <w:szCs w:val="22"/>
    </w:rPr>
  </w:style>
  <w:style w:type="paragraph" w:styleId="918" w:customStyle="1">
    <w:name w:val="标题 911"/>
    <w:basedOn w:val="840"/>
    <w:next w:val="840"/>
    <w:link w:val="929"/>
    <w:uiPriority w:val="9"/>
    <w:unhideWhenUsed/>
    <w:qFormat/>
    <w:pPr>
      <w:keepLines/>
      <w:keepNext/>
      <w:spacing w:before="320" w:after="200"/>
      <w:outlineLvl w:val="8"/>
    </w:pPr>
    <w:rPr>
      <w:rFonts w:ascii="Arial" w:hAnsi="Arial" w:eastAsia="Arial" w:cs="Arial"/>
      <w:i/>
      <w:iCs/>
    </w:rPr>
  </w:style>
  <w:style w:type="character" w:styleId="919" w:customStyle="1">
    <w:name w:val="默认段落字体12"/>
    <w:uiPriority w:val="1"/>
    <w:unhideWhenUsed/>
    <w:qFormat/>
  </w:style>
  <w:style w:type="table" w:styleId="920" w:customStyle="1">
    <w:name w:val="普通表格12"/>
    <w:uiPriority w:val="99"/>
    <w:unhideWhenUsed/>
    <w:qFormat/>
    <w:tblPr>
      <w:tblCellMar>
        <w:left w:w="0" w:type="dxa"/>
        <w:top w:w="0" w:type="dxa"/>
        <w:right w:w="0" w:type="dxa"/>
        <w:bottom w:w="0" w:type="dxa"/>
      </w:tblCellMar>
    </w:tblPr>
  </w:style>
  <w:style w:type="character" w:styleId="921" w:customStyle="1">
    <w:name w:val="标题 1 字符"/>
    <w:link w:val="910"/>
    <w:uiPriority w:val="9"/>
    <w:qFormat/>
    <w:rPr>
      <w:rFonts w:ascii="Arial" w:hAnsi="Arial" w:eastAsia="Arial" w:cs="Arial"/>
      <w:sz w:val="40"/>
      <w:szCs w:val="40"/>
    </w:rPr>
  </w:style>
  <w:style w:type="character" w:styleId="922" w:customStyle="1">
    <w:name w:val="标题 2 字符"/>
    <w:link w:val="911"/>
    <w:uiPriority w:val="9"/>
    <w:qFormat/>
    <w:rPr>
      <w:rFonts w:ascii="Arial" w:hAnsi="Arial" w:eastAsia="Arial" w:cs="Arial"/>
      <w:sz w:val="34"/>
    </w:rPr>
  </w:style>
  <w:style w:type="character" w:styleId="923" w:customStyle="1">
    <w:name w:val="标题 3 字符"/>
    <w:link w:val="912"/>
    <w:uiPriority w:val="9"/>
    <w:qFormat/>
    <w:rPr>
      <w:rFonts w:ascii="Arial" w:hAnsi="Arial" w:eastAsia="Arial" w:cs="Arial"/>
      <w:sz w:val="30"/>
      <w:szCs w:val="30"/>
    </w:rPr>
  </w:style>
  <w:style w:type="character" w:styleId="924" w:customStyle="1">
    <w:name w:val="标题 4 字符"/>
    <w:link w:val="913"/>
    <w:uiPriority w:val="9"/>
    <w:qFormat/>
    <w:rPr>
      <w:rFonts w:ascii="Arial" w:hAnsi="Arial" w:eastAsia="Arial" w:cs="Arial"/>
      <w:b/>
      <w:bCs/>
      <w:sz w:val="26"/>
      <w:szCs w:val="26"/>
    </w:rPr>
  </w:style>
  <w:style w:type="character" w:styleId="925" w:customStyle="1">
    <w:name w:val="标题 5 字符"/>
    <w:link w:val="914"/>
    <w:uiPriority w:val="9"/>
    <w:qFormat/>
    <w:rPr>
      <w:rFonts w:ascii="Arial" w:hAnsi="Arial" w:eastAsia="Arial" w:cs="Arial"/>
      <w:b/>
      <w:bCs/>
      <w:sz w:val="24"/>
      <w:szCs w:val="24"/>
    </w:rPr>
  </w:style>
  <w:style w:type="character" w:styleId="926" w:customStyle="1">
    <w:name w:val="标题 6 字符"/>
    <w:link w:val="915"/>
    <w:uiPriority w:val="9"/>
    <w:qFormat/>
    <w:rPr>
      <w:rFonts w:ascii="Arial" w:hAnsi="Arial" w:eastAsia="Arial" w:cs="Arial"/>
      <w:b/>
      <w:bCs/>
      <w:sz w:val="22"/>
      <w:szCs w:val="22"/>
    </w:rPr>
  </w:style>
  <w:style w:type="character" w:styleId="927" w:customStyle="1">
    <w:name w:val="标题 7 字符"/>
    <w:link w:val="916"/>
    <w:uiPriority w:val="9"/>
    <w:qFormat/>
    <w:rPr>
      <w:rFonts w:ascii="Arial" w:hAnsi="Arial" w:eastAsia="Arial" w:cs="Arial"/>
      <w:b/>
      <w:bCs/>
      <w:i/>
      <w:iCs/>
      <w:sz w:val="22"/>
      <w:szCs w:val="22"/>
    </w:rPr>
  </w:style>
  <w:style w:type="character" w:styleId="928" w:customStyle="1">
    <w:name w:val="标题 8 字符"/>
    <w:link w:val="917"/>
    <w:uiPriority w:val="9"/>
    <w:qFormat/>
    <w:rPr>
      <w:rFonts w:ascii="Arial" w:hAnsi="Arial" w:eastAsia="Arial" w:cs="Arial"/>
      <w:i/>
      <w:iCs/>
      <w:sz w:val="22"/>
      <w:szCs w:val="22"/>
    </w:rPr>
  </w:style>
  <w:style w:type="character" w:styleId="929" w:customStyle="1">
    <w:name w:val="标题 9 字符"/>
    <w:link w:val="918"/>
    <w:uiPriority w:val="9"/>
    <w:qFormat/>
    <w:rPr>
      <w:rFonts w:ascii="Arial" w:hAnsi="Arial" w:eastAsia="Arial" w:cs="Arial"/>
      <w:i/>
      <w:iCs/>
      <w:sz w:val="21"/>
      <w:szCs w:val="21"/>
    </w:rPr>
  </w:style>
  <w:style w:type="paragraph" w:styleId="930" w:customStyle="1">
    <w:name w:val="目录 711"/>
    <w:basedOn w:val="840"/>
    <w:next w:val="840"/>
    <w:uiPriority w:val="39"/>
    <w:unhideWhenUsed/>
    <w:qFormat/>
    <w:pPr>
      <w:ind w:left="1701"/>
      <w:spacing w:after="57"/>
    </w:pPr>
  </w:style>
  <w:style w:type="paragraph" w:styleId="931" w:customStyle="1">
    <w:name w:val="引文目录1"/>
    <w:basedOn w:val="840"/>
    <w:next w:val="840"/>
    <w:uiPriority w:val="0"/>
    <w:qFormat/>
    <w:pPr>
      <w:ind w:left="420"/>
    </w:pPr>
  </w:style>
  <w:style w:type="paragraph" w:styleId="932" w:customStyle="1">
    <w:name w:val="题注11"/>
    <w:basedOn w:val="840"/>
    <w:next w:val="840"/>
    <w:uiPriority w:val="35"/>
    <w:unhideWhenUsed/>
    <w:qFormat/>
    <w:pPr>
      <w:spacing w:line="276" w:lineRule="auto"/>
    </w:pPr>
    <w:rPr>
      <w:b/>
      <w:bCs/>
      <w:color w:val="4f81bd"/>
      <w:sz w:val="18"/>
      <w:szCs w:val="18"/>
    </w:rPr>
  </w:style>
  <w:style w:type="paragraph" w:styleId="933" w:customStyle="1">
    <w:name w:val="批注文字12"/>
    <w:basedOn w:val="840"/>
    <w:uiPriority w:val="99"/>
    <w:unhideWhenUsed/>
    <w:qFormat/>
    <w:pPr>
      <w:jc w:val="left"/>
    </w:pPr>
  </w:style>
  <w:style w:type="paragraph" w:styleId="934" w:customStyle="1">
    <w:name w:val="正文文本112"/>
    <w:basedOn w:val="840"/>
    <w:uiPriority w:val="0"/>
    <w:qFormat/>
    <w:pPr>
      <w:spacing w:after="120"/>
    </w:pPr>
  </w:style>
  <w:style w:type="paragraph" w:styleId="935" w:customStyle="1">
    <w:name w:val="正文文本缩进2"/>
    <w:basedOn w:val="840"/>
    <w:next w:val="936"/>
    <w:uiPriority w:val="99"/>
    <w:unhideWhenUsed/>
    <w:qFormat/>
    <w:pPr>
      <w:ind w:left="420"/>
      <w:spacing w:after="120"/>
    </w:pPr>
  </w:style>
  <w:style w:type="paragraph" w:styleId="936" w:customStyle="1">
    <w:name w:val="寄信人地址2"/>
    <w:basedOn w:val="840"/>
    <w:uiPriority w:val="0"/>
    <w:qFormat/>
    <w:rPr>
      <w:rFonts w:ascii="Arial" w:hAnsi="Arial"/>
    </w:rPr>
  </w:style>
  <w:style w:type="paragraph" w:styleId="937" w:customStyle="1">
    <w:name w:val="文本块1111"/>
    <w:basedOn w:val="840"/>
    <w:uiPriority w:val="0"/>
    <w:qFormat/>
    <w:pPr>
      <w:ind w:left="256" w:right="6" w:firstLine="624"/>
    </w:pPr>
    <w:rPr>
      <w:rFonts w:eastAsia="仿宋_GB2312"/>
      <w:sz w:val="28"/>
      <w:szCs w:val="20"/>
    </w:rPr>
  </w:style>
  <w:style w:type="paragraph" w:styleId="938" w:customStyle="1">
    <w:name w:val="目录 511"/>
    <w:basedOn w:val="840"/>
    <w:next w:val="840"/>
    <w:uiPriority w:val="39"/>
    <w:unhideWhenUsed/>
    <w:qFormat/>
    <w:pPr>
      <w:ind w:left="1134"/>
      <w:spacing w:after="57"/>
    </w:pPr>
  </w:style>
  <w:style w:type="paragraph" w:styleId="939" w:customStyle="1">
    <w:name w:val="目录 311"/>
    <w:basedOn w:val="840"/>
    <w:next w:val="840"/>
    <w:uiPriority w:val="39"/>
    <w:unhideWhenUsed/>
    <w:qFormat/>
    <w:pPr>
      <w:ind w:left="567"/>
      <w:spacing w:after="57"/>
    </w:pPr>
  </w:style>
  <w:style w:type="paragraph" w:styleId="940" w:customStyle="1">
    <w:name w:val="纯文本12"/>
    <w:basedOn w:val="840"/>
    <w:uiPriority w:val="0"/>
    <w:qFormat/>
    <w:rPr>
      <w:rFonts w:ascii="宋体" w:hAnsi="Courier New"/>
    </w:rPr>
  </w:style>
  <w:style w:type="paragraph" w:styleId="941" w:customStyle="1">
    <w:name w:val="目录 811"/>
    <w:basedOn w:val="840"/>
    <w:next w:val="840"/>
    <w:uiPriority w:val="39"/>
    <w:unhideWhenUsed/>
    <w:qFormat/>
    <w:pPr>
      <w:ind w:left="1984"/>
      <w:spacing w:after="57"/>
    </w:pPr>
  </w:style>
  <w:style w:type="paragraph" w:styleId="942" w:customStyle="1">
    <w:name w:val="尾注文本11"/>
    <w:basedOn w:val="840"/>
    <w:link w:val="943"/>
    <w:uiPriority w:val="99"/>
    <w:unhideWhenUsed/>
    <w:qFormat/>
    <w:rPr>
      <w:sz w:val="20"/>
    </w:rPr>
  </w:style>
  <w:style w:type="character" w:styleId="943" w:customStyle="1">
    <w:name w:val="尾注文本 字符"/>
    <w:link w:val="942"/>
    <w:uiPriority w:val="99"/>
    <w:qFormat/>
    <w:rPr>
      <w:sz w:val="20"/>
    </w:rPr>
  </w:style>
  <w:style w:type="paragraph" w:styleId="944" w:customStyle="1">
    <w:name w:val="页脚12"/>
    <w:basedOn w:val="840"/>
    <w:link w:val="945"/>
    <w:uiPriority w:val="99"/>
    <w:unhideWhenUsed/>
    <w:qFormat/>
    <w:pPr>
      <w:tabs>
        <w:tab w:val="center" w:pos="7143" w:leader="none"/>
        <w:tab w:val="right" w:pos="14287" w:leader="none"/>
      </w:tabs>
    </w:pPr>
  </w:style>
  <w:style w:type="character" w:styleId="945" w:customStyle="1">
    <w:name w:val="页脚 字符"/>
    <w:link w:val="944"/>
    <w:uiPriority w:val="99"/>
    <w:qFormat/>
  </w:style>
  <w:style w:type="paragraph" w:styleId="946" w:customStyle="1">
    <w:name w:val="页眉12"/>
    <w:basedOn w:val="840"/>
    <w:link w:val="947"/>
    <w:uiPriority w:val="99"/>
    <w:unhideWhenUsed/>
    <w:qFormat/>
    <w:pPr>
      <w:tabs>
        <w:tab w:val="center" w:pos="7143" w:leader="none"/>
        <w:tab w:val="right" w:pos="14287" w:leader="none"/>
      </w:tabs>
    </w:pPr>
  </w:style>
  <w:style w:type="character" w:styleId="947" w:customStyle="1">
    <w:name w:val="页眉 字符"/>
    <w:link w:val="946"/>
    <w:uiPriority w:val="99"/>
    <w:qFormat/>
  </w:style>
  <w:style w:type="paragraph" w:styleId="948" w:customStyle="1">
    <w:name w:val="目录 112"/>
    <w:basedOn w:val="840"/>
    <w:next w:val="840"/>
    <w:uiPriority w:val="39"/>
    <w:unhideWhenUsed/>
    <w:qFormat/>
    <w:pPr>
      <w:spacing w:after="57"/>
    </w:pPr>
  </w:style>
  <w:style w:type="paragraph" w:styleId="949" w:customStyle="1">
    <w:name w:val="目录 411"/>
    <w:basedOn w:val="840"/>
    <w:next w:val="840"/>
    <w:uiPriority w:val="39"/>
    <w:unhideWhenUsed/>
    <w:qFormat/>
    <w:pPr>
      <w:ind w:left="850"/>
      <w:spacing w:after="57"/>
    </w:pPr>
  </w:style>
  <w:style w:type="paragraph" w:styleId="950" w:customStyle="1">
    <w:name w:val="索引标题1"/>
    <w:basedOn w:val="840"/>
    <w:next w:val="951"/>
    <w:uiPriority w:val="0"/>
    <w:qFormat/>
    <w:pPr>
      <w:tabs>
        <w:tab w:val="left" w:pos="560" w:leader="none"/>
      </w:tabs>
    </w:pPr>
    <w:rPr>
      <w:rFonts w:ascii="Arial" w:hAnsi="Arial" w:cs="Arial"/>
      <w:b/>
      <w:bCs/>
    </w:rPr>
  </w:style>
  <w:style w:type="paragraph" w:styleId="951" w:customStyle="1">
    <w:name w:val="索引 11"/>
    <w:basedOn w:val="840"/>
    <w:next w:val="840"/>
    <w:uiPriority w:val="0"/>
    <w:qFormat/>
    <w:pPr>
      <w:jc w:val="center"/>
      <w:tabs>
        <w:tab w:val="left" w:pos="560" w:leader="none"/>
      </w:tabs>
    </w:pPr>
    <w:rPr>
      <w:rFonts w:ascii="宋体" w:hAnsi="宋体"/>
    </w:rPr>
  </w:style>
  <w:style w:type="paragraph" w:styleId="952" w:customStyle="1">
    <w:name w:val="副标题11"/>
    <w:basedOn w:val="840"/>
    <w:next w:val="840"/>
    <w:link w:val="953"/>
    <w:uiPriority w:val="11"/>
    <w:qFormat/>
    <w:pPr>
      <w:spacing w:before="200" w:after="200"/>
    </w:pPr>
    <w:rPr>
      <w:sz w:val="24"/>
      <w:szCs w:val="24"/>
    </w:rPr>
  </w:style>
  <w:style w:type="character" w:styleId="953" w:customStyle="1">
    <w:name w:val="副标题 字符"/>
    <w:link w:val="952"/>
    <w:uiPriority w:val="11"/>
    <w:qFormat/>
    <w:rPr>
      <w:sz w:val="24"/>
      <w:szCs w:val="24"/>
    </w:rPr>
  </w:style>
  <w:style w:type="paragraph" w:styleId="954" w:customStyle="1">
    <w:name w:val="脚注文本112"/>
    <w:basedOn w:val="840"/>
    <w:link w:val="955"/>
    <w:uiPriority w:val="99"/>
    <w:unhideWhenUsed/>
    <w:qFormat/>
    <w:pPr>
      <w:spacing w:after="40"/>
    </w:pPr>
    <w:rPr>
      <w:sz w:val="18"/>
    </w:rPr>
  </w:style>
  <w:style w:type="character" w:styleId="955" w:customStyle="1">
    <w:name w:val="脚注文本 字符"/>
    <w:link w:val="954"/>
    <w:uiPriority w:val="99"/>
    <w:qFormat/>
    <w:rPr>
      <w:sz w:val="18"/>
    </w:rPr>
  </w:style>
  <w:style w:type="paragraph" w:styleId="956" w:customStyle="1">
    <w:name w:val="目录 611"/>
    <w:basedOn w:val="840"/>
    <w:next w:val="840"/>
    <w:uiPriority w:val="39"/>
    <w:unhideWhenUsed/>
    <w:qFormat/>
    <w:pPr>
      <w:ind w:left="1417"/>
      <w:spacing w:after="57"/>
    </w:pPr>
  </w:style>
  <w:style w:type="paragraph" w:styleId="957" w:customStyle="1">
    <w:name w:val="图表目录11"/>
    <w:basedOn w:val="840"/>
    <w:next w:val="840"/>
    <w:uiPriority w:val="99"/>
    <w:unhideWhenUsed/>
    <w:qFormat/>
  </w:style>
  <w:style w:type="paragraph" w:styleId="958" w:customStyle="1">
    <w:name w:val="目录 211"/>
    <w:basedOn w:val="840"/>
    <w:next w:val="840"/>
    <w:uiPriority w:val="39"/>
    <w:unhideWhenUsed/>
    <w:qFormat/>
    <w:pPr>
      <w:ind w:left="283"/>
      <w:spacing w:after="57"/>
    </w:pPr>
  </w:style>
  <w:style w:type="paragraph" w:styleId="959" w:customStyle="1">
    <w:name w:val="目录 911"/>
    <w:basedOn w:val="840"/>
    <w:next w:val="840"/>
    <w:uiPriority w:val="39"/>
    <w:unhideWhenUsed/>
    <w:qFormat/>
    <w:pPr>
      <w:ind w:left="2268"/>
      <w:spacing w:after="57"/>
    </w:pPr>
  </w:style>
  <w:style w:type="paragraph" w:styleId="960" w:customStyle="1">
    <w:name w:val="普通(网站)11"/>
    <w:basedOn w:val="840"/>
    <w:uiPriority w:val="0"/>
    <w:qFormat/>
    <w:pPr>
      <w:jc w:val="left"/>
      <w:spacing w:beforeAutospacing="1" w:afterAutospacing="1"/>
    </w:pPr>
    <w:rPr>
      <w:sz w:val="24"/>
    </w:rPr>
  </w:style>
  <w:style w:type="paragraph" w:styleId="961" w:customStyle="1">
    <w:name w:val="标题11"/>
    <w:basedOn w:val="840"/>
    <w:next w:val="840"/>
    <w:link w:val="962"/>
    <w:uiPriority w:val="10"/>
    <w:qFormat/>
    <w:pPr>
      <w:contextualSpacing/>
      <w:spacing w:before="300" w:after="200"/>
    </w:pPr>
    <w:rPr>
      <w:sz w:val="48"/>
      <w:szCs w:val="48"/>
    </w:rPr>
  </w:style>
  <w:style w:type="character" w:styleId="962" w:customStyle="1">
    <w:name w:val="标题 字符"/>
    <w:link w:val="961"/>
    <w:uiPriority w:val="10"/>
    <w:qFormat/>
    <w:rPr>
      <w:sz w:val="48"/>
      <w:szCs w:val="48"/>
    </w:rPr>
  </w:style>
  <w:style w:type="paragraph" w:styleId="963" w:customStyle="1">
    <w:name w:val="正文首行缩进11"/>
    <w:basedOn w:val="840"/>
    <w:uiPriority w:val="0"/>
    <w:qFormat/>
    <w:pPr>
      <w:ind w:firstLine="200"/>
      <w:spacing w:line="360" w:lineRule="auto"/>
    </w:pPr>
    <w:rPr>
      <w:rFonts w:ascii="仿宋_GB2312" w:eastAsia="仿宋_GB2312"/>
      <w:sz w:val="30"/>
      <w:szCs w:val="30"/>
    </w:rPr>
  </w:style>
  <w:style w:type="paragraph" w:styleId="964" w:customStyle="1">
    <w:name w:val="正文首行缩进 22"/>
    <w:basedOn w:val="935"/>
    <w:uiPriority w:val="0"/>
    <w:qFormat/>
    <w:pPr>
      <w:ind w:firstLine="420"/>
    </w:pPr>
  </w:style>
  <w:style w:type="table" w:styleId="965" w:customStyle="1">
    <w:name w:val="网格型12"/>
    <w:uiPriority w:val="59"/>
    <w:qFormat/>
    <w:tblPr>
      <w:tblCellMar>
        <w:left w:w="0" w:type="dxa"/>
        <w:top w:w="0" w:type="dxa"/>
        <w:right w:w="0" w:type="dxa"/>
        <w:bottom w:w="0" w:type="dxa"/>
      </w:tblCellMar>
    </w:tblPr>
  </w:style>
  <w:style w:type="character" w:styleId="966" w:customStyle="1">
    <w:name w:val="要点1"/>
    <w:basedOn w:val="919"/>
    <w:uiPriority w:val="0"/>
    <w:qFormat/>
    <w:rPr>
      <w:b/>
    </w:rPr>
  </w:style>
  <w:style w:type="character" w:styleId="967" w:customStyle="1">
    <w:name w:val="尾注引用11"/>
    <w:uiPriority w:val="99"/>
    <w:unhideWhenUsed/>
    <w:qFormat/>
    <w:rPr>
      <w:vertAlign w:val="superscript"/>
    </w:rPr>
  </w:style>
  <w:style w:type="character" w:styleId="968" w:customStyle="1">
    <w:name w:val="页码11"/>
    <w:uiPriority w:val="0"/>
    <w:qFormat/>
  </w:style>
  <w:style w:type="character" w:styleId="969" w:customStyle="1">
    <w:name w:val="强调1"/>
    <w:basedOn w:val="919"/>
    <w:uiPriority w:val="20"/>
    <w:qFormat/>
    <w:rPr>
      <w:i/>
    </w:rPr>
  </w:style>
  <w:style w:type="character" w:styleId="970" w:customStyle="1">
    <w:name w:val="超链接12"/>
    <w:basedOn w:val="919"/>
    <w:uiPriority w:val="99"/>
    <w:unhideWhenUsed/>
    <w:qFormat/>
    <w:rPr>
      <w:color w:val="0000ff"/>
      <w:u w:val="single"/>
    </w:rPr>
  </w:style>
  <w:style w:type="character" w:styleId="971" w:customStyle="1">
    <w:name w:val="脚注引用11"/>
    <w:uiPriority w:val="99"/>
    <w:unhideWhenUsed/>
    <w:qFormat/>
    <w:rPr>
      <w:vertAlign w:val="superscript"/>
    </w:rPr>
  </w:style>
  <w:style w:type="character" w:styleId="972" w:customStyle="1">
    <w:name w:val="NormalCharacter1"/>
    <w:uiPriority w:val="0"/>
    <w:qFormat/>
    <w:rPr>
      <w:rFonts w:ascii="Times New Roman" w:hAnsi="Times New Roman" w:eastAsia="宋体" w:cs="Times New Roman"/>
      <w:sz w:val="21"/>
      <w:szCs w:val="21"/>
      <w:lang w:val="en-US" w:eastAsia="zh-CN" w:bidi="ar-SA"/>
    </w:rPr>
  </w:style>
  <w:style w:type="character" w:styleId="973" w:customStyle="1">
    <w:name w:val="font51"/>
    <w:basedOn w:val="974"/>
    <w:link w:val="895"/>
    <w:uiPriority w:val="0"/>
    <w:qFormat/>
    <w:rPr>
      <w:rFonts w:ascii="Calibri" w:hAnsi="Calibri" w:cs="Calibri"/>
      <w:color w:val="000000"/>
      <w:sz w:val="22"/>
      <w:szCs w:val="22"/>
      <w:u w:val="none"/>
    </w:rPr>
  </w:style>
  <w:style w:type="character" w:styleId="974" w:customStyle="1">
    <w:name w:val="默认段落字体11"/>
    <w:uiPriority w:val="1"/>
    <w:unhideWhenUsed/>
    <w:qFormat/>
  </w:style>
  <w:style w:type="paragraph" w:styleId="975" w:customStyle="1">
    <w:name w:val="首行缩进"/>
    <w:basedOn w:val="840"/>
    <w:uiPriority w:val="0"/>
    <w:qFormat/>
    <w:pPr>
      <w:ind w:firstLine="420"/>
      <w:spacing w:line="360" w:lineRule="auto"/>
    </w:pPr>
  </w:style>
  <w:style w:type="character" w:styleId="976" w:customStyle="1">
    <w:name w:val="Heading 1 Char"/>
    <w:basedOn w:val="919"/>
    <w:uiPriority w:val="9"/>
    <w:qFormat/>
    <w:rPr>
      <w:rFonts w:ascii="Arial" w:hAnsi="Arial" w:eastAsia="Arial" w:cs="Arial"/>
      <w:sz w:val="40"/>
      <w:szCs w:val="40"/>
    </w:rPr>
  </w:style>
  <w:style w:type="character" w:styleId="977" w:customStyle="1">
    <w:name w:val="Heading 2 Char"/>
    <w:basedOn w:val="919"/>
    <w:uiPriority w:val="9"/>
    <w:qFormat/>
    <w:rPr>
      <w:rFonts w:ascii="Arial" w:hAnsi="Arial" w:eastAsia="Arial" w:cs="Arial"/>
      <w:sz w:val="34"/>
    </w:rPr>
  </w:style>
  <w:style w:type="character" w:styleId="978" w:customStyle="1">
    <w:name w:val="Heading 3 Char"/>
    <w:basedOn w:val="919"/>
    <w:uiPriority w:val="9"/>
    <w:qFormat/>
    <w:rPr>
      <w:rFonts w:ascii="Arial" w:hAnsi="Arial" w:eastAsia="Arial" w:cs="Arial"/>
      <w:sz w:val="30"/>
      <w:szCs w:val="30"/>
    </w:rPr>
  </w:style>
  <w:style w:type="character" w:styleId="979" w:customStyle="1">
    <w:name w:val="Heading 4 Char"/>
    <w:basedOn w:val="919"/>
    <w:uiPriority w:val="9"/>
    <w:qFormat/>
    <w:rPr>
      <w:rFonts w:ascii="Arial" w:hAnsi="Arial" w:eastAsia="Arial" w:cs="Arial"/>
      <w:b/>
      <w:bCs/>
      <w:sz w:val="26"/>
      <w:szCs w:val="26"/>
    </w:rPr>
  </w:style>
  <w:style w:type="character" w:styleId="980" w:customStyle="1">
    <w:name w:val="Heading 5 Char"/>
    <w:basedOn w:val="919"/>
    <w:uiPriority w:val="9"/>
    <w:qFormat/>
    <w:rPr>
      <w:rFonts w:ascii="Arial" w:hAnsi="Arial" w:eastAsia="Arial" w:cs="Arial"/>
      <w:b/>
      <w:bCs/>
      <w:sz w:val="24"/>
      <w:szCs w:val="24"/>
    </w:rPr>
  </w:style>
  <w:style w:type="character" w:styleId="981" w:customStyle="1">
    <w:name w:val="Heading 6 Char"/>
    <w:basedOn w:val="919"/>
    <w:uiPriority w:val="9"/>
    <w:qFormat/>
    <w:rPr>
      <w:rFonts w:ascii="Arial" w:hAnsi="Arial" w:eastAsia="Arial" w:cs="Arial"/>
      <w:b/>
      <w:bCs/>
      <w:sz w:val="22"/>
      <w:szCs w:val="22"/>
    </w:rPr>
  </w:style>
  <w:style w:type="character" w:styleId="982" w:customStyle="1">
    <w:name w:val="Heading 7 Char"/>
    <w:basedOn w:val="919"/>
    <w:uiPriority w:val="9"/>
    <w:qFormat/>
    <w:rPr>
      <w:rFonts w:ascii="Arial" w:hAnsi="Arial" w:eastAsia="Arial" w:cs="Arial"/>
      <w:b/>
      <w:bCs/>
      <w:i/>
      <w:iCs/>
      <w:sz w:val="22"/>
      <w:szCs w:val="22"/>
    </w:rPr>
  </w:style>
  <w:style w:type="character" w:styleId="983" w:customStyle="1">
    <w:name w:val="Heading 8 Char"/>
    <w:basedOn w:val="919"/>
    <w:uiPriority w:val="9"/>
    <w:qFormat/>
    <w:rPr>
      <w:rFonts w:ascii="Arial" w:hAnsi="Arial" w:eastAsia="Arial" w:cs="Arial"/>
      <w:i/>
      <w:iCs/>
      <w:sz w:val="22"/>
      <w:szCs w:val="22"/>
    </w:rPr>
  </w:style>
  <w:style w:type="character" w:styleId="984" w:customStyle="1">
    <w:name w:val="Heading 9 Char"/>
    <w:basedOn w:val="919"/>
    <w:uiPriority w:val="9"/>
    <w:qFormat/>
    <w:rPr>
      <w:rFonts w:ascii="Arial" w:hAnsi="Arial" w:eastAsia="Arial" w:cs="Arial"/>
      <w:i/>
      <w:iCs/>
      <w:sz w:val="21"/>
      <w:szCs w:val="21"/>
    </w:rPr>
  </w:style>
  <w:style w:type="character" w:styleId="985" w:customStyle="1">
    <w:name w:val="Title Char"/>
    <w:basedOn w:val="919"/>
    <w:uiPriority w:val="10"/>
    <w:qFormat/>
    <w:rPr>
      <w:sz w:val="48"/>
      <w:szCs w:val="48"/>
    </w:rPr>
  </w:style>
  <w:style w:type="character" w:styleId="986" w:customStyle="1">
    <w:name w:val="Subtitle Char"/>
    <w:basedOn w:val="919"/>
    <w:uiPriority w:val="11"/>
    <w:qFormat/>
    <w:rPr>
      <w:sz w:val="24"/>
      <w:szCs w:val="24"/>
    </w:rPr>
  </w:style>
  <w:style w:type="character" w:styleId="987" w:customStyle="1">
    <w:name w:val="Header Char"/>
    <w:basedOn w:val="919"/>
    <w:uiPriority w:val="99"/>
    <w:qFormat/>
  </w:style>
  <w:style w:type="character" w:styleId="988" w:customStyle="1">
    <w:name w:val="Caption Char"/>
    <w:uiPriority w:val="99"/>
    <w:qFormat/>
  </w:style>
  <w:style w:type="table" w:styleId="989" w:customStyle="1">
    <w:name w:val="无格式表格 11"/>
    <w:basedOn w:val="920"/>
    <w:uiPriority w:val="59"/>
    <w:qFormat/>
    <w:tblPr/>
  </w:style>
  <w:style w:type="table" w:styleId="990" w:customStyle="1">
    <w:name w:val="无格式表格 21"/>
    <w:basedOn w:val="920"/>
    <w:uiPriority w:val="59"/>
    <w:qFormat/>
    <w:tblPr/>
  </w:style>
  <w:style w:type="table" w:styleId="991" w:customStyle="1">
    <w:name w:val="无格式表格 31"/>
    <w:basedOn w:val="920"/>
    <w:uiPriority w:val="99"/>
    <w:qFormat/>
    <w:tblPr/>
  </w:style>
  <w:style w:type="table" w:styleId="992" w:customStyle="1">
    <w:name w:val="无格式表格 41"/>
    <w:basedOn w:val="920"/>
    <w:uiPriority w:val="99"/>
    <w:qFormat/>
    <w:tblPr/>
  </w:style>
  <w:style w:type="table" w:styleId="993" w:customStyle="1">
    <w:name w:val="无格式表格 51"/>
    <w:basedOn w:val="920"/>
    <w:uiPriority w:val="99"/>
    <w:qFormat/>
    <w:tblPr/>
  </w:style>
  <w:style w:type="table" w:styleId="994" w:customStyle="1">
    <w:name w:val="网格表 1 浅色1"/>
    <w:basedOn w:val="920"/>
    <w:uiPriority w:val="99"/>
    <w:qFormat/>
    <w:tblPr/>
  </w:style>
  <w:style w:type="table" w:styleId="995" w:customStyle="1">
    <w:name w:val="网格表 21"/>
    <w:basedOn w:val="920"/>
    <w:uiPriority w:val="99"/>
    <w:qFormat/>
    <w:tblPr/>
  </w:style>
  <w:style w:type="table" w:styleId="996" w:customStyle="1">
    <w:name w:val="网格表 31"/>
    <w:basedOn w:val="920"/>
    <w:uiPriority w:val="99"/>
    <w:qFormat/>
    <w:tblPr/>
  </w:style>
  <w:style w:type="table" w:styleId="997" w:customStyle="1">
    <w:name w:val="网格表 41"/>
    <w:basedOn w:val="920"/>
    <w:uiPriority w:val="59"/>
    <w:qFormat/>
    <w:tblPr/>
  </w:style>
  <w:style w:type="table" w:styleId="998" w:customStyle="1">
    <w:name w:val="网格表 5 深色1"/>
    <w:basedOn w:val="920"/>
    <w:uiPriority w:val="99"/>
    <w:qFormat/>
    <w:tblPr/>
  </w:style>
  <w:style w:type="table" w:styleId="999" w:customStyle="1">
    <w:name w:val="网格表 6 彩色1"/>
    <w:basedOn w:val="920"/>
    <w:uiPriority w:val="99"/>
    <w:qFormat/>
    <w:tblPr/>
  </w:style>
  <w:style w:type="table" w:styleId="1000" w:customStyle="1">
    <w:name w:val="网格表 7 彩色1"/>
    <w:basedOn w:val="920"/>
    <w:uiPriority w:val="99"/>
    <w:qFormat/>
    <w:tblPr/>
  </w:style>
  <w:style w:type="table" w:styleId="1001" w:customStyle="1">
    <w:name w:val="清单表 1 浅色1"/>
    <w:basedOn w:val="920"/>
    <w:uiPriority w:val="99"/>
    <w:qFormat/>
    <w:tblPr/>
  </w:style>
  <w:style w:type="table" w:styleId="1002" w:customStyle="1">
    <w:name w:val="清单表 21"/>
    <w:basedOn w:val="920"/>
    <w:uiPriority w:val="99"/>
    <w:qFormat/>
    <w:tblPr/>
  </w:style>
  <w:style w:type="table" w:styleId="1003" w:customStyle="1">
    <w:name w:val="清单表 31"/>
    <w:basedOn w:val="920"/>
    <w:uiPriority w:val="99"/>
    <w:qFormat/>
    <w:tblPr/>
  </w:style>
  <w:style w:type="table" w:styleId="1004" w:customStyle="1">
    <w:name w:val="清单表 41"/>
    <w:basedOn w:val="920"/>
    <w:uiPriority w:val="99"/>
    <w:qFormat/>
    <w:tblPr/>
  </w:style>
  <w:style w:type="table" w:styleId="1005" w:customStyle="1">
    <w:name w:val="清单表 5 深色1"/>
    <w:basedOn w:val="920"/>
    <w:uiPriority w:val="99"/>
    <w:qFormat/>
    <w:tblPr/>
  </w:style>
  <w:style w:type="table" w:styleId="1006" w:customStyle="1">
    <w:name w:val="清单表 6 彩色1"/>
    <w:basedOn w:val="920"/>
    <w:uiPriority w:val="99"/>
    <w:qFormat/>
    <w:tblPr/>
  </w:style>
  <w:style w:type="table" w:styleId="1007" w:customStyle="1">
    <w:name w:val="清单表 7 彩色1"/>
    <w:basedOn w:val="920"/>
    <w:uiPriority w:val="99"/>
    <w:qFormat/>
    <w:tblPr/>
  </w:style>
  <w:style w:type="character" w:styleId="1008" w:customStyle="1">
    <w:name w:val="Footnote Text Char"/>
    <w:uiPriority w:val="99"/>
    <w:qFormat/>
    <w:rPr>
      <w:sz w:val="18"/>
    </w:rPr>
  </w:style>
  <w:style w:type="character" w:styleId="1009" w:customStyle="1">
    <w:name w:val="Endnote Text Char"/>
    <w:uiPriority w:val="99"/>
    <w:qFormat/>
    <w:rPr>
      <w:sz w:val="20"/>
    </w:rPr>
  </w:style>
  <w:style w:type="paragraph" w:styleId="1010" w:customStyle="1">
    <w:name w:val="TOC 标题1"/>
    <w:uiPriority w:val="39"/>
    <w:unhideWhenUsed/>
    <w:qFormat/>
    <w:rPr>
      <w:rFonts w:ascii="Times New Roman" w:hAnsi="Times New Roman" w:eastAsia="宋体" w:cs="Times New Roman"/>
      <w:lang w:val="en-US" w:eastAsia="zh-CN" w:bidi="ar-SA"/>
    </w:rPr>
  </w:style>
  <w:style w:type="paragraph" w:styleId="1011" w:customStyle="1">
    <w:name w:val="标题 21"/>
    <w:basedOn w:val="895"/>
    <w:next w:val="888"/>
    <w:uiPriority w:val="9"/>
    <w:qFormat/>
    <w:pPr>
      <w:keepLines/>
      <w:keepNext/>
      <w:spacing w:before="360" w:after="200"/>
      <w:outlineLvl w:val="1"/>
    </w:pPr>
    <w:rPr>
      <w:rFonts w:ascii="Arial" w:hAnsi="Arial" w:eastAsia="Arial"/>
      <w:sz w:val="34"/>
      <w:szCs w:val="20"/>
    </w:rPr>
  </w:style>
  <w:style w:type="paragraph" w:styleId="1012" w:customStyle="1">
    <w:name w:val="标题 111"/>
    <w:basedOn w:val="898"/>
    <w:next w:val="898"/>
    <w:uiPriority w:val="0"/>
    <w:qFormat/>
    <w:pPr>
      <w:jc w:val="center"/>
      <w:keepLines/>
      <w:keepNext/>
      <w:spacing w:line="578" w:lineRule="auto"/>
      <w:outlineLvl w:val="0"/>
    </w:pPr>
    <w:rPr>
      <w:rFonts w:eastAsia="新宋体"/>
      <w:b/>
      <w:bCs/>
      <w:sz w:val="30"/>
      <w:szCs w:val="44"/>
    </w:rPr>
  </w:style>
  <w:style w:type="character" w:styleId="1013" w:customStyle="1">
    <w:name w:val="标题 1 Char"/>
    <w:link w:val="1014"/>
    <w:uiPriority w:val="0"/>
    <w:qFormat/>
    <w:rPr>
      <w:rFonts w:eastAsia="新宋体"/>
      <w:b/>
      <w:bCs/>
      <w:sz w:val="30"/>
      <w:szCs w:val="44"/>
    </w:rPr>
  </w:style>
  <w:style w:type="paragraph" w:styleId="1014" w:customStyle="1">
    <w:name w:val="标题 11"/>
    <w:basedOn w:val="888"/>
    <w:next w:val="888"/>
    <w:link w:val="1013"/>
    <w:uiPriority w:val="0"/>
    <w:qFormat/>
    <w:pPr>
      <w:jc w:val="center"/>
      <w:keepLines/>
      <w:keepNext/>
      <w:spacing w:line="578" w:lineRule="auto"/>
      <w:outlineLvl w:val="0"/>
    </w:pPr>
    <w:rPr>
      <w:rFonts w:eastAsia="新宋体"/>
      <w:b/>
      <w:bCs/>
      <w:sz w:val="30"/>
      <w:szCs w:val="44"/>
    </w:rPr>
  </w:style>
  <w:style w:type="paragraph" w:styleId="1015" w:customStyle="1">
    <w:name w:val="文本块11"/>
    <w:basedOn w:val="1016"/>
    <w:uiPriority w:val="6"/>
    <w:qFormat/>
    <w:pPr>
      <w:ind w:left="256" w:right="6" w:firstLine="624"/>
    </w:pPr>
    <w:rPr>
      <w:rFonts w:eastAsia="仿宋_GB2312"/>
      <w:sz w:val="28"/>
      <w:szCs w:val="20"/>
    </w:rPr>
  </w:style>
  <w:style w:type="paragraph" w:styleId="1016" w:customStyle="1">
    <w:name w:val="正文121"/>
    <w:next w:val="1015"/>
    <w:uiPriority w:val="0"/>
    <w:qFormat/>
    <w:pPr>
      <w:jc w:val="both"/>
      <w:widowControl w:val="off"/>
    </w:pPr>
    <w:rPr>
      <w:rFonts w:ascii="Calibri" w:hAnsi="Calibri" w:eastAsia="宋体" w:cs="Times New Roman"/>
      <w:sz w:val="21"/>
      <w:szCs w:val="24"/>
      <w:lang w:val="en-US" w:eastAsia="zh-CN" w:bidi="ar-SA"/>
    </w:rPr>
  </w:style>
  <w:style w:type="character" w:styleId="1017" w:customStyle="1">
    <w:name w:val="标题 3 Char"/>
    <w:link w:val="1018"/>
    <w:uiPriority w:val="9"/>
    <w:qFormat/>
    <w:rPr>
      <w:rFonts w:ascii="Arial" w:hAnsi="Arial" w:eastAsia="Arial" w:cs="Arial"/>
      <w:sz w:val="30"/>
      <w:szCs w:val="30"/>
    </w:rPr>
  </w:style>
  <w:style w:type="paragraph" w:styleId="1018" w:customStyle="1">
    <w:name w:val="标题 311"/>
    <w:basedOn w:val="840"/>
    <w:next w:val="840"/>
    <w:link w:val="1017"/>
    <w:uiPriority w:val="9"/>
    <w:unhideWhenUsed/>
    <w:qFormat/>
    <w:pPr>
      <w:keepLines/>
      <w:keepNext/>
      <w:spacing w:before="320" w:after="200"/>
      <w:outlineLvl w:val="2"/>
    </w:pPr>
    <w:rPr>
      <w:rFonts w:ascii="Arial" w:hAnsi="Arial" w:eastAsia="Arial" w:cs="Arial"/>
      <w:sz w:val="30"/>
      <w:szCs w:val="30"/>
    </w:rPr>
  </w:style>
  <w:style w:type="paragraph" w:styleId="1019" w:customStyle="1">
    <w:name w:val="文本块2"/>
    <w:basedOn w:val="840"/>
    <w:uiPriority w:val="0"/>
    <w:qFormat/>
    <w:pPr>
      <w:ind w:left="256" w:right="6" w:firstLine="624"/>
    </w:pPr>
    <w:rPr>
      <w:rFonts w:eastAsia="仿宋_GB2312"/>
      <w:sz w:val="28"/>
      <w:szCs w:val="20"/>
    </w:rPr>
  </w:style>
  <w:style w:type="character" w:styleId="1020" w:customStyle="1">
    <w:name w:val="Quote Char"/>
    <w:uiPriority w:val="29"/>
    <w:qFormat/>
    <w:rPr>
      <w:i/>
    </w:rPr>
  </w:style>
  <w:style w:type="character" w:styleId="1021" w:customStyle="1">
    <w:name w:val="Intense Quote Char"/>
    <w:uiPriority w:val="30"/>
    <w:qFormat/>
    <w:rPr>
      <w:i/>
    </w:rPr>
  </w:style>
  <w:style w:type="paragraph" w:styleId="1022" w:customStyle="1">
    <w:name w:val="TOC 标题111"/>
    <w:uiPriority w:val="39"/>
    <w:unhideWhenUsed/>
    <w:qFormat/>
    <w:rPr>
      <w:rFonts w:ascii="Times New Roman" w:hAnsi="Times New Roman" w:eastAsia="宋体" w:cs="Times New Roman"/>
      <w:lang w:val="en-US" w:eastAsia="zh-CN" w:bidi="ar-SA"/>
    </w:rPr>
  </w:style>
  <w:style w:type="paragraph" w:styleId="1023" w:customStyle="1">
    <w:name w:val="标题 1111"/>
    <w:basedOn w:val="840"/>
    <w:next w:val="840"/>
    <w:link w:val="1024"/>
    <w:uiPriority w:val="9"/>
    <w:qFormat/>
    <w:pPr>
      <w:keepLines/>
      <w:keepNext/>
      <w:spacing w:before="480" w:after="200"/>
      <w:outlineLvl w:val="0"/>
    </w:pPr>
    <w:rPr>
      <w:rFonts w:ascii="Arial" w:hAnsi="Arial" w:eastAsia="Arial" w:cs="Arial"/>
      <w:sz w:val="40"/>
      <w:szCs w:val="40"/>
    </w:rPr>
  </w:style>
  <w:style w:type="character" w:styleId="1024" w:customStyle="1">
    <w:name w:val="标题 1 Char1"/>
    <w:link w:val="1023"/>
    <w:uiPriority w:val="9"/>
    <w:qFormat/>
    <w:rPr>
      <w:rFonts w:ascii="Arial" w:hAnsi="Arial" w:eastAsia="Arial" w:cs="Arial"/>
      <w:sz w:val="40"/>
      <w:szCs w:val="40"/>
    </w:rPr>
  </w:style>
  <w:style w:type="paragraph" w:styleId="1025" w:customStyle="1">
    <w:name w:val="标题 211"/>
    <w:basedOn w:val="840"/>
    <w:next w:val="898"/>
    <w:link w:val="1026"/>
    <w:uiPriority w:val="9"/>
    <w:unhideWhenUsed/>
    <w:qFormat/>
    <w:pPr>
      <w:keepLines/>
      <w:keepNext/>
      <w:spacing w:before="360" w:after="200"/>
      <w:outlineLvl w:val="1"/>
    </w:pPr>
    <w:rPr>
      <w:rFonts w:ascii="Calibri Light" w:hAnsi="Calibri Light"/>
      <w:bCs/>
      <w:sz w:val="32"/>
      <w:szCs w:val="32"/>
    </w:rPr>
  </w:style>
  <w:style w:type="character" w:styleId="1026" w:customStyle="1">
    <w:name w:val="标题 2 Char"/>
    <w:link w:val="1025"/>
    <w:uiPriority w:val="9"/>
    <w:qFormat/>
    <w:rPr>
      <w:rFonts w:ascii="Arial" w:hAnsi="Arial" w:eastAsia="Arial" w:cs="Arial"/>
      <w:sz w:val="34"/>
    </w:rPr>
  </w:style>
  <w:style w:type="paragraph" w:styleId="1027" w:customStyle="1">
    <w:name w:val="标题 411"/>
    <w:basedOn w:val="840"/>
    <w:next w:val="840"/>
    <w:link w:val="1028"/>
    <w:uiPriority w:val="9"/>
    <w:unhideWhenUsed/>
    <w:qFormat/>
    <w:pPr>
      <w:keepLines/>
      <w:keepNext/>
      <w:spacing w:before="320" w:after="200"/>
      <w:outlineLvl w:val="3"/>
    </w:pPr>
    <w:rPr>
      <w:rFonts w:ascii="Arial" w:hAnsi="Arial" w:eastAsia="Arial" w:cs="Arial"/>
      <w:b/>
      <w:bCs/>
      <w:sz w:val="26"/>
      <w:szCs w:val="26"/>
    </w:rPr>
  </w:style>
  <w:style w:type="character" w:styleId="1028" w:customStyle="1">
    <w:name w:val="标题 4 Char"/>
    <w:link w:val="1027"/>
    <w:uiPriority w:val="9"/>
    <w:qFormat/>
    <w:rPr>
      <w:rFonts w:ascii="Arial" w:hAnsi="Arial" w:eastAsia="Arial" w:cs="Arial"/>
      <w:b/>
      <w:bCs/>
      <w:sz w:val="26"/>
      <w:szCs w:val="26"/>
    </w:rPr>
  </w:style>
  <w:style w:type="paragraph" w:styleId="1029" w:customStyle="1">
    <w:name w:val="标题 51"/>
    <w:basedOn w:val="840"/>
    <w:next w:val="840"/>
    <w:link w:val="1030"/>
    <w:uiPriority w:val="9"/>
    <w:unhideWhenUsed/>
    <w:qFormat/>
    <w:pPr>
      <w:keepLines/>
      <w:keepNext/>
      <w:spacing w:before="320" w:after="200"/>
      <w:outlineLvl w:val="4"/>
    </w:pPr>
    <w:rPr>
      <w:rFonts w:ascii="Arial" w:hAnsi="Arial" w:eastAsia="Arial" w:cs="Arial"/>
      <w:b/>
      <w:bCs/>
      <w:sz w:val="24"/>
      <w:szCs w:val="24"/>
    </w:rPr>
  </w:style>
  <w:style w:type="character" w:styleId="1030" w:customStyle="1">
    <w:name w:val="标题 5 Char"/>
    <w:link w:val="1029"/>
    <w:uiPriority w:val="9"/>
    <w:qFormat/>
    <w:rPr>
      <w:rFonts w:ascii="Arial" w:hAnsi="Arial" w:eastAsia="Arial" w:cs="Arial"/>
      <w:b/>
      <w:bCs/>
      <w:sz w:val="24"/>
      <w:szCs w:val="24"/>
    </w:rPr>
  </w:style>
  <w:style w:type="paragraph" w:styleId="1031" w:customStyle="1">
    <w:name w:val="标题 61"/>
    <w:basedOn w:val="840"/>
    <w:next w:val="840"/>
    <w:link w:val="1032"/>
    <w:uiPriority w:val="9"/>
    <w:unhideWhenUsed/>
    <w:qFormat/>
    <w:pPr>
      <w:keepLines/>
      <w:keepNext/>
      <w:spacing w:before="320" w:after="200"/>
      <w:outlineLvl w:val="5"/>
    </w:pPr>
    <w:rPr>
      <w:rFonts w:ascii="Arial" w:hAnsi="Arial" w:eastAsia="Arial" w:cs="Arial"/>
      <w:b/>
      <w:bCs/>
      <w:sz w:val="22"/>
      <w:szCs w:val="22"/>
    </w:rPr>
  </w:style>
  <w:style w:type="character" w:styleId="1032" w:customStyle="1">
    <w:name w:val="标题 6 Char"/>
    <w:link w:val="1031"/>
    <w:uiPriority w:val="9"/>
    <w:qFormat/>
    <w:rPr>
      <w:rFonts w:ascii="Arial" w:hAnsi="Arial" w:eastAsia="Arial" w:cs="Arial"/>
      <w:b/>
      <w:bCs/>
      <w:sz w:val="22"/>
      <w:szCs w:val="22"/>
    </w:rPr>
  </w:style>
  <w:style w:type="paragraph" w:styleId="1033" w:customStyle="1">
    <w:name w:val="标题 71"/>
    <w:basedOn w:val="840"/>
    <w:next w:val="840"/>
    <w:link w:val="1034"/>
    <w:uiPriority w:val="9"/>
    <w:unhideWhenUsed/>
    <w:qFormat/>
    <w:pPr>
      <w:keepLines/>
      <w:keepNext/>
      <w:spacing w:before="320" w:after="200"/>
      <w:outlineLvl w:val="6"/>
    </w:pPr>
    <w:rPr>
      <w:rFonts w:ascii="Arial" w:hAnsi="Arial" w:eastAsia="Arial" w:cs="Arial"/>
      <w:b/>
      <w:bCs/>
      <w:i/>
      <w:iCs/>
      <w:sz w:val="22"/>
      <w:szCs w:val="22"/>
    </w:rPr>
  </w:style>
  <w:style w:type="character" w:styleId="1034" w:customStyle="1">
    <w:name w:val="标题 7 Char"/>
    <w:link w:val="1033"/>
    <w:uiPriority w:val="9"/>
    <w:qFormat/>
    <w:rPr>
      <w:rFonts w:ascii="Arial" w:hAnsi="Arial" w:eastAsia="Arial" w:cs="Arial"/>
      <w:b/>
      <w:bCs/>
      <w:i/>
      <w:iCs/>
      <w:sz w:val="22"/>
      <w:szCs w:val="22"/>
    </w:rPr>
  </w:style>
  <w:style w:type="paragraph" w:styleId="1035" w:customStyle="1">
    <w:name w:val="标题 81"/>
    <w:basedOn w:val="840"/>
    <w:next w:val="840"/>
    <w:link w:val="1036"/>
    <w:uiPriority w:val="9"/>
    <w:unhideWhenUsed/>
    <w:qFormat/>
    <w:pPr>
      <w:keepLines/>
      <w:keepNext/>
      <w:spacing w:before="320" w:after="200"/>
      <w:outlineLvl w:val="7"/>
    </w:pPr>
    <w:rPr>
      <w:rFonts w:ascii="Arial" w:hAnsi="Arial" w:eastAsia="Arial" w:cs="Arial"/>
      <w:i/>
      <w:iCs/>
      <w:sz w:val="22"/>
      <w:szCs w:val="22"/>
    </w:rPr>
  </w:style>
  <w:style w:type="character" w:styleId="1036" w:customStyle="1">
    <w:name w:val="标题 8 Char"/>
    <w:link w:val="1035"/>
    <w:uiPriority w:val="9"/>
    <w:qFormat/>
    <w:rPr>
      <w:rFonts w:ascii="Arial" w:hAnsi="Arial" w:eastAsia="Arial" w:cs="Arial"/>
      <w:i/>
      <w:iCs/>
      <w:sz w:val="22"/>
      <w:szCs w:val="22"/>
    </w:rPr>
  </w:style>
  <w:style w:type="paragraph" w:styleId="1037" w:customStyle="1">
    <w:name w:val="标题 91"/>
    <w:basedOn w:val="840"/>
    <w:next w:val="840"/>
    <w:link w:val="1038"/>
    <w:uiPriority w:val="9"/>
    <w:unhideWhenUsed/>
    <w:qFormat/>
    <w:pPr>
      <w:keepLines/>
      <w:keepNext/>
      <w:spacing w:before="320" w:after="200"/>
      <w:outlineLvl w:val="8"/>
    </w:pPr>
    <w:rPr>
      <w:rFonts w:ascii="Arial" w:hAnsi="Arial" w:eastAsia="Arial" w:cs="Arial"/>
      <w:i/>
      <w:iCs/>
    </w:rPr>
  </w:style>
  <w:style w:type="character" w:styleId="1038" w:customStyle="1">
    <w:name w:val="标题 9 Char"/>
    <w:link w:val="1037"/>
    <w:uiPriority w:val="9"/>
    <w:qFormat/>
    <w:rPr>
      <w:rFonts w:ascii="Arial" w:hAnsi="Arial" w:eastAsia="Arial" w:cs="Arial"/>
      <w:i/>
      <w:iCs/>
      <w:sz w:val="21"/>
      <w:szCs w:val="21"/>
    </w:rPr>
  </w:style>
  <w:style w:type="table" w:styleId="1039" w:customStyle="1">
    <w:name w:val="普通表格11"/>
    <w:uiPriority w:val="99"/>
    <w:unhideWhenUsed/>
    <w:qFormat/>
    <w:tblPr>
      <w:tblCellMar>
        <w:left w:w="0" w:type="dxa"/>
        <w:top w:w="0" w:type="dxa"/>
        <w:right w:w="0" w:type="dxa"/>
        <w:bottom w:w="0" w:type="dxa"/>
      </w:tblCellMar>
    </w:tblPr>
  </w:style>
  <w:style w:type="paragraph" w:styleId="1040" w:customStyle="1">
    <w:name w:val="文本块12"/>
    <w:basedOn w:val="840"/>
    <w:uiPriority w:val="0"/>
    <w:qFormat/>
    <w:pPr>
      <w:ind w:left="420" w:right="33"/>
      <w:jc w:val="left"/>
    </w:pPr>
    <w:rPr>
      <w:sz w:val="24"/>
      <w:szCs w:val="20"/>
    </w:rPr>
  </w:style>
  <w:style w:type="paragraph" w:styleId="1041" w:customStyle="1">
    <w:name w:val="目录 71"/>
    <w:basedOn w:val="840"/>
    <w:next w:val="840"/>
    <w:uiPriority w:val="39"/>
    <w:unhideWhenUsed/>
    <w:qFormat/>
    <w:pPr>
      <w:ind w:left="1701"/>
      <w:spacing w:after="57"/>
    </w:pPr>
  </w:style>
  <w:style w:type="paragraph" w:styleId="1042" w:customStyle="1">
    <w:name w:val="题注1"/>
    <w:basedOn w:val="840"/>
    <w:next w:val="840"/>
    <w:uiPriority w:val="35"/>
    <w:unhideWhenUsed/>
    <w:qFormat/>
    <w:pPr>
      <w:spacing w:line="276" w:lineRule="auto"/>
    </w:pPr>
    <w:rPr>
      <w:b/>
      <w:bCs/>
      <w:color w:val="4f81bd"/>
      <w:sz w:val="18"/>
      <w:szCs w:val="18"/>
    </w:rPr>
  </w:style>
  <w:style w:type="paragraph" w:styleId="1043" w:customStyle="1">
    <w:name w:val="索引 5111"/>
    <w:basedOn w:val="840"/>
    <w:next w:val="840"/>
    <w:uiPriority w:val="0"/>
    <w:qFormat/>
    <w:pPr>
      <w:ind w:left="798"/>
    </w:pPr>
    <w:rPr>
      <w:rFonts w:ascii="Calibri" w:hAnsi="Calibri"/>
    </w:rPr>
  </w:style>
  <w:style w:type="paragraph" w:styleId="1044" w:customStyle="1">
    <w:name w:val="引文目录标题1"/>
    <w:basedOn w:val="840"/>
    <w:next w:val="840"/>
    <w:uiPriority w:val="99"/>
    <w:qFormat/>
    <w:pPr>
      <w:spacing w:before="120"/>
    </w:pPr>
    <w:rPr>
      <w:rFonts w:ascii="Cambria" w:hAnsi="Cambria" w:cs="Cambria"/>
      <w:sz w:val="24"/>
    </w:rPr>
  </w:style>
  <w:style w:type="paragraph" w:styleId="1045" w:customStyle="1">
    <w:name w:val="批注文字11"/>
    <w:basedOn w:val="840"/>
    <w:link w:val="1046"/>
    <w:uiPriority w:val="99"/>
    <w:unhideWhenUsed/>
    <w:qFormat/>
    <w:pPr>
      <w:jc w:val="left"/>
    </w:pPr>
  </w:style>
  <w:style w:type="character" w:styleId="1046" w:customStyle="1">
    <w:name w:val="批注文字 Char"/>
    <w:basedOn w:val="974"/>
    <w:link w:val="1045"/>
    <w:uiPriority w:val="99"/>
    <w:semiHidden/>
    <w:qFormat/>
    <w:rPr>
      <w:sz w:val="21"/>
      <w:szCs w:val="21"/>
    </w:rPr>
  </w:style>
  <w:style w:type="paragraph" w:styleId="1047" w:customStyle="1">
    <w:name w:val="正文文本缩进111"/>
    <w:basedOn w:val="840"/>
    <w:next w:val="909"/>
    <w:uiPriority w:val="0"/>
    <w:qFormat/>
    <w:pPr>
      <w:ind w:left="420"/>
      <w:spacing w:after="120"/>
    </w:pPr>
  </w:style>
  <w:style w:type="paragraph" w:styleId="1048" w:customStyle="1">
    <w:name w:val="目录 51"/>
    <w:basedOn w:val="840"/>
    <w:next w:val="840"/>
    <w:uiPriority w:val="39"/>
    <w:unhideWhenUsed/>
    <w:qFormat/>
    <w:pPr>
      <w:ind w:left="1134"/>
      <w:spacing w:after="57"/>
    </w:pPr>
  </w:style>
  <w:style w:type="paragraph" w:styleId="1049" w:customStyle="1">
    <w:name w:val="目录 31"/>
    <w:basedOn w:val="840"/>
    <w:next w:val="840"/>
    <w:uiPriority w:val="39"/>
    <w:unhideWhenUsed/>
    <w:qFormat/>
    <w:pPr>
      <w:ind w:left="567"/>
      <w:spacing w:after="57"/>
    </w:pPr>
  </w:style>
  <w:style w:type="paragraph" w:styleId="1050" w:customStyle="1">
    <w:name w:val="纯文本11"/>
    <w:basedOn w:val="840"/>
    <w:uiPriority w:val="0"/>
    <w:qFormat/>
    <w:rPr>
      <w:rFonts w:ascii="宋体" w:hAnsi="Courier New" w:eastAsia="仿宋_GB2312"/>
      <w:sz w:val="30"/>
      <w:szCs w:val="20"/>
    </w:rPr>
  </w:style>
  <w:style w:type="paragraph" w:styleId="1051" w:customStyle="1">
    <w:name w:val="目录 81"/>
    <w:basedOn w:val="840"/>
    <w:next w:val="840"/>
    <w:uiPriority w:val="39"/>
    <w:unhideWhenUsed/>
    <w:qFormat/>
    <w:pPr>
      <w:ind w:left="1984"/>
      <w:spacing w:after="57"/>
    </w:pPr>
  </w:style>
  <w:style w:type="paragraph" w:styleId="1052" w:customStyle="1">
    <w:name w:val="尾注文本1"/>
    <w:basedOn w:val="840"/>
    <w:link w:val="1053"/>
    <w:uiPriority w:val="99"/>
    <w:unhideWhenUsed/>
    <w:qFormat/>
    <w:rPr>
      <w:sz w:val="20"/>
    </w:rPr>
  </w:style>
  <w:style w:type="character" w:styleId="1053" w:customStyle="1">
    <w:name w:val="尾注文本 Char"/>
    <w:link w:val="1052"/>
    <w:uiPriority w:val="99"/>
    <w:qFormat/>
    <w:rPr>
      <w:sz w:val="20"/>
    </w:rPr>
  </w:style>
  <w:style w:type="paragraph" w:styleId="1054" w:customStyle="1">
    <w:name w:val="批注框文本11"/>
    <w:basedOn w:val="840"/>
    <w:link w:val="1055"/>
    <w:uiPriority w:val="99"/>
    <w:unhideWhenUsed/>
    <w:qFormat/>
    <w:rPr>
      <w:sz w:val="18"/>
      <w:szCs w:val="18"/>
    </w:rPr>
  </w:style>
  <w:style w:type="character" w:styleId="1055" w:customStyle="1">
    <w:name w:val="批注框文本 Char1"/>
    <w:basedOn w:val="974"/>
    <w:link w:val="1054"/>
    <w:uiPriority w:val="99"/>
    <w:semiHidden/>
    <w:qFormat/>
    <w:rPr>
      <w:sz w:val="18"/>
      <w:szCs w:val="18"/>
    </w:rPr>
  </w:style>
  <w:style w:type="paragraph" w:styleId="1056" w:customStyle="1">
    <w:name w:val="页脚11"/>
    <w:basedOn w:val="840"/>
    <w:link w:val="1057"/>
    <w:uiPriority w:val="99"/>
    <w:unhideWhenUsed/>
    <w:qFormat/>
    <w:pPr>
      <w:tabs>
        <w:tab w:val="center" w:pos="7143" w:leader="none"/>
        <w:tab w:val="right" w:pos="14287" w:leader="none"/>
      </w:tabs>
    </w:pPr>
  </w:style>
  <w:style w:type="character" w:styleId="1057" w:customStyle="1">
    <w:name w:val="页脚 Char"/>
    <w:link w:val="1056"/>
    <w:uiPriority w:val="99"/>
    <w:qFormat/>
  </w:style>
  <w:style w:type="paragraph" w:styleId="1058" w:customStyle="1">
    <w:name w:val="页眉11"/>
    <w:basedOn w:val="840"/>
    <w:link w:val="1059"/>
    <w:uiPriority w:val="99"/>
    <w:unhideWhenUsed/>
    <w:qFormat/>
    <w:pPr>
      <w:tabs>
        <w:tab w:val="center" w:pos="7143" w:leader="none"/>
        <w:tab w:val="right" w:pos="14287" w:leader="none"/>
      </w:tabs>
    </w:pPr>
  </w:style>
  <w:style w:type="character" w:styleId="1059" w:customStyle="1">
    <w:name w:val="页眉 Char"/>
    <w:link w:val="1058"/>
    <w:uiPriority w:val="99"/>
    <w:qFormat/>
  </w:style>
  <w:style w:type="paragraph" w:styleId="1060" w:customStyle="1">
    <w:name w:val="目录 1111"/>
    <w:basedOn w:val="840"/>
    <w:next w:val="840"/>
    <w:uiPriority w:val="39"/>
    <w:unhideWhenUsed/>
    <w:qFormat/>
    <w:pPr>
      <w:spacing w:after="57"/>
    </w:pPr>
  </w:style>
  <w:style w:type="paragraph" w:styleId="1061" w:customStyle="1">
    <w:name w:val="目录 41"/>
    <w:basedOn w:val="840"/>
    <w:next w:val="840"/>
    <w:uiPriority w:val="39"/>
    <w:unhideWhenUsed/>
    <w:qFormat/>
    <w:pPr>
      <w:ind w:left="850"/>
      <w:spacing w:after="57"/>
    </w:pPr>
  </w:style>
  <w:style w:type="paragraph" w:styleId="1062" w:customStyle="1">
    <w:name w:val="副标题1"/>
    <w:basedOn w:val="840"/>
    <w:next w:val="840"/>
    <w:link w:val="1063"/>
    <w:uiPriority w:val="11"/>
    <w:qFormat/>
    <w:pPr>
      <w:spacing w:before="200" w:after="200"/>
    </w:pPr>
    <w:rPr>
      <w:sz w:val="24"/>
      <w:szCs w:val="24"/>
    </w:rPr>
  </w:style>
  <w:style w:type="character" w:styleId="1063" w:customStyle="1">
    <w:name w:val="副标题 Char"/>
    <w:link w:val="1062"/>
    <w:uiPriority w:val="11"/>
    <w:qFormat/>
    <w:rPr>
      <w:sz w:val="24"/>
      <w:szCs w:val="24"/>
    </w:rPr>
  </w:style>
  <w:style w:type="paragraph" w:styleId="1064" w:customStyle="1">
    <w:name w:val="脚注文本111"/>
    <w:basedOn w:val="840"/>
    <w:next w:val="1043"/>
    <w:link w:val="1065"/>
    <w:uiPriority w:val="99"/>
    <w:unhideWhenUsed/>
    <w:qFormat/>
    <w:pPr>
      <w:spacing w:after="40"/>
    </w:pPr>
    <w:rPr>
      <w:sz w:val="18"/>
    </w:rPr>
  </w:style>
  <w:style w:type="character" w:styleId="1065" w:customStyle="1">
    <w:name w:val="脚注文本 Char1"/>
    <w:link w:val="1064"/>
    <w:uiPriority w:val="99"/>
    <w:qFormat/>
    <w:rPr>
      <w:sz w:val="18"/>
    </w:rPr>
  </w:style>
  <w:style w:type="paragraph" w:styleId="1066" w:customStyle="1">
    <w:name w:val="目录 61"/>
    <w:basedOn w:val="840"/>
    <w:next w:val="840"/>
    <w:uiPriority w:val="39"/>
    <w:unhideWhenUsed/>
    <w:qFormat/>
    <w:pPr>
      <w:ind w:left="1417"/>
      <w:spacing w:after="57"/>
    </w:pPr>
  </w:style>
  <w:style w:type="paragraph" w:styleId="1067" w:customStyle="1">
    <w:name w:val="图表目录1"/>
    <w:basedOn w:val="840"/>
    <w:next w:val="840"/>
    <w:uiPriority w:val="99"/>
    <w:unhideWhenUsed/>
    <w:qFormat/>
  </w:style>
  <w:style w:type="paragraph" w:styleId="1068" w:customStyle="1">
    <w:name w:val="目录 21"/>
    <w:basedOn w:val="840"/>
    <w:next w:val="840"/>
    <w:uiPriority w:val="39"/>
    <w:unhideWhenUsed/>
    <w:qFormat/>
    <w:pPr>
      <w:ind w:left="283"/>
      <w:spacing w:after="57"/>
    </w:pPr>
  </w:style>
  <w:style w:type="paragraph" w:styleId="1069" w:customStyle="1">
    <w:name w:val="目录 91"/>
    <w:basedOn w:val="840"/>
    <w:next w:val="840"/>
    <w:uiPriority w:val="39"/>
    <w:unhideWhenUsed/>
    <w:qFormat/>
    <w:pPr>
      <w:ind w:left="2268"/>
      <w:spacing w:after="57"/>
    </w:pPr>
  </w:style>
  <w:style w:type="paragraph" w:styleId="1070" w:customStyle="1">
    <w:name w:val="标题1"/>
    <w:basedOn w:val="840"/>
    <w:next w:val="840"/>
    <w:link w:val="1071"/>
    <w:uiPriority w:val="10"/>
    <w:qFormat/>
    <w:pPr>
      <w:contextualSpacing/>
      <w:spacing w:before="300" w:after="200"/>
    </w:pPr>
    <w:rPr>
      <w:sz w:val="48"/>
      <w:szCs w:val="48"/>
    </w:rPr>
  </w:style>
  <w:style w:type="character" w:styleId="1071" w:customStyle="1">
    <w:name w:val="标题 Char"/>
    <w:link w:val="1070"/>
    <w:uiPriority w:val="10"/>
    <w:qFormat/>
    <w:rPr>
      <w:sz w:val="48"/>
      <w:szCs w:val="48"/>
    </w:rPr>
  </w:style>
  <w:style w:type="paragraph" w:styleId="1072" w:customStyle="1">
    <w:name w:val="批注主题1"/>
    <w:basedOn w:val="1045"/>
    <w:next w:val="1045"/>
    <w:link w:val="1073"/>
    <w:uiPriority w:val="99"/>
    <w:unhideWhenUsed/>
    <w:qFormat/>
    <w:rPr>
      <w:b/>
      <w:bCs/>
    </w:rPr>
  </w:style>
  <w:style w:type="character" w:styleId="1073" w:customStyle="1">
    <w:name w:val="批注主题 Char"/>
    <w:basedOn w:val="1046"/>
    <w:link w:val="1072"/>
    <w:uiPriority w:val="99"/>
    <w:semiHidden/>
    <w:qFormat/>
    <w:rPr>
      <w:b/>
      <w:bCs/>
      <w:sz w:val="21"/>
      <w:szCs w:val="21"/>
    </w:rPr>
  </w:style>
  <w:style w:type="table" w:styleId="1074" w:customStyle="1">
    <w:name w:val="网格型11"/>
    <w:uiPriority w:val="59"/>
    <w:qFormat/>
    <w:tblPr>
      <w:tblCellMar>
        <w:left w:w="0" w:type="dxa"/>
        <w:top w:w="0" w:type="dxa"/>
        <w:right w:w="0" w:type="dxa"/>
        <w:bottom w:w="0" w:type="dxa"/>
      </w:tblCellMar>
    </w:tblPr>
  </w:style>
  <w:style w:type="character" w:styleId="1075" w:customStyle="1">
    <w:name w:val="尾注引用1"/>
    <w:uiPriority w:val="99"/>
    <w:unhideWhenUsed/>
    <w:qFormat/>
    <w:rPr>
      <w:vertAlign w:val="superscript"/>
    </w:rPr>
  </w:style>
  <w:style w:type="character" w:styleId="1076" w:customStyle="1">
    <w:name w:val="超链接11"/>
    <w:uiPriority w:val="99"/>
    <w:unhideWhenUsed/>
    <w:qFormat/>
    <w:rPr>
      <w:color w:val="0000ff"/>
      <w:u w:val="single"/>
    </w:rPr>
  </w:style>
  <w:style w:type="character" w:styleId="1077" w:customStyle="1">
    <w:name w:val="批注引用11"/>
    <w:basedOn w:val="974"/>
    <w:uiPriority w:val="99"/>
    <w:unhideWhenUsed/>
    <w:qFormat/>
    <w:rPr>
      <w:sz w:val="21"/>
      <w:szCs w:val="21"/>
    </w:rPr>
  </w:style>
  <w:style w:type="character" w:styleId="1078" w:customStyle="1">
    <w:name w:val="脚注引用1"/>
    <w:uiPriority w:val="99"/>
    <w:unhideWhenUsed/>
    <w:qFormat/>
    <w:rPr>
      <w:vertAlign w:val="superscript"/>
    </w:rPr>
  </w:style>
  <w:style w:type="paragraph" w:styleId="1079" w:customStyle="1">
    <w:name w:val="列出段落1"/>
    <w:basedOn w:val="887"/>
    <w:uiPriority w:val="0"/>
    <w:qFormat/>
    <w:pPr>
      <w:ind w:firstLine="420"/>
    </w:pPr>
    <w:rPr>
      <w:rFonts w:ascii="Calibri" w:hAnsi="Calibri"/>
    </w:rPr>
  </w:style>
  <w:style w:type="paragraph" w:styleId="1080">
    <w:name w:val="List Paragraph"/>
    <w:basedOn w:val="840"/>
    <w:uiPriority w:val="34"/>
    <w:qFormat/>
    <w:pPr>
      <w:contextualSpacing/>
      <w:ind w:left="720"/>
    </w:pPr>
  </w:style>
  <w:style w:type="paragraph" w:styleId="1081">
    <w:name w:val="No Spacing"/>
    <w:uiPriority w:val="1"/>
    <w:qFormat/>
    <w:rPr>
      <w:rFonts w:ascii="Times New Roman" w:hAnsi="Times New Roman" w:eastAsia="宋体" w:cs="Times New Roman"/>
      <w:lang w:val="en-US" w:eastAsia="zh-CN" w:bidi="ar-SA"/>
    </w:rPr>
  </w:style>
  <w:style w:type="paragraph" w:styleId="1082">
    <w:name w:val="Quote"/>
    <w:basedOn w:val="840"/>
    <w:next w:val="840"/>
    <w:link w:val="1083"/>
    <w:uiPriority w:val="29"/>
    <w:qFormat/>
    <w:pPr>
      <w:ind w:left="720" w:right="720"/>
    </w:pPr>
    <w:rPr>
      <w:i/>
    </w:rPr>
  </w:style>
  <w:style w:type="character" w:styleId="1083" w:customStyle="1">
    <w:name w:val="引用 字符"/>
    <w:link w:val="1082"/>
    <w:uiPriority w:val="29"/>
    <w:qFormat/>
    <w:rPr>
      <w:i/>
    </w:rPr>
  </w:style>
  <w:style w:type="paragraph" w:styleId="1084">
    <w:name w:val="Intense Quote"/>
    <w:basedOn w:val="840"/>
    <w:next w:val="840"/>
    <w:link w:val="10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5" w:customStyle="1">
    <w:name w:val="明显引用 字符"/>
    <w:link w:val="1084"/>
    <w:uiPriority w:val="30"/>
    <w:qFormat/>
    <w:rPr>
      <w:i/>
    </w:rPr>
  </w:style>
  <w:style w:type="character" w:styleId="1086" w:customStyle="1">
    <w:name w:val="Footer Char"/>
    <w:uiPriority w:val="99"/>
    <w:qFormat/>
  </w:style>
  <w:style w:type="table" w:styleId="1087" w:customStyle="1">
    <w:name w:val="Table Grid Light"/>
    <w:uiPriority w:val="59"/>
    <w:qFormat/>
    <w:tblPr>
      <w:tblCellMar>
        <w:left w:w="0" w:type="dxa"/>
        <w:top w:w="0" w:type="dxa"/>
        <w:right w:w="0" w:type="dxa"/>
        <w:bottom w:w="0" w:type="dxa"/>
      </w:tblCellMar>
    </w:tblPr>
  </w:style>
  <w:style w:type="table" w:styleId="1088" w:customStyle="1">
    <w:name w:val="Grid Table 1 Light - Accent 1"/>
    <w:uiPriority w:val="99"/>
    <w:qFormat/>
    <w:tblPr>
      <w:tblCellMar>
        <w:left w:w="0" w:type="dxa"/>
        <w:top w:w="0" w:type="dxa"/>
        <w:right w:w="0" w:type="dxa"/>
        <w:bottom w:w="0" w:type="dxa"/>
      </w:tblCellMar>
    </w:tblPr>
  </w:style>
  <w:style w:type="table" w:styleId="1089" w:customStyle="1">
    <w:name w:val="Grid Table 1 Light - Accent 2"/>
    <w:uiPriority w:val="99"/>
    <w:qFormat/>
    <w:tblPr>
      <w:tblCellMar>
        <w:left w:w="0" w:type="dxa"/>
        <w:top w:w="0" w:type="dxa"/>
        <w:right w:w="0" w:type="dxa"/>
        <w:bottom w:w="0" w:type="dxa"/>
      </w:tblCellMar>
    </w:tblPr>
  </w:style>
  <w:style w:type="table" w:styleId="1090" w:customStyle="1">
    <w:name w:val="Grid Table 1 Light - Accent 3"/>
    <w:uiPriority w:val="99"/>
    <w:qFormat/>
    <w:tblPr>
      <w:tblCellMar>
        <w:left w:w="0" w:type="dxa"/>
        <w:top w:w="0" w:type="dxa"/>
        <w:right w:w="0" w:type="dxa"/>
        <w:bottom w:w="0" w:type="dxa"/>
      </w:tblCellMar>
    </w:tblPr>
  </w:style>
  <w:style w:type="table" w:styleId="1091" w:customStyle="1">
    <w:name w:val="Grid Table 1 Light - Accent 4"/>
    <w:uiPriority w:val="99"/>
    <w:qFormat/>
    <w:tblPr>
      <w:tblCellMar>
        <w:left w:w="0" w:type="dxa"/>
        <w:top w:w="0" w:type="dxa"/>
        <w:right w:w="0" w:type="dxa"/>
        <w:bottom w:w="0" w:type="dxa"/>
      </w:tblCellMar>
    </w:tblPr>
  </w:style>
  <w:style w:type="table" w:styleId="1092" w:customStyle="1">
    <w:name w:val="Grid Table 1 Light - Accent 5"/>
    <w:uiPriority w:val="99"/>
    <w:qFormat/>
    <w:tblPr>
      <w:tblCellMar>
        <w:left w:w="0" w:type="dxa"/>
        <w:top w:w="0" w:type="dxa"/>
        <w:right w:w="0" w:type="dxa"/>
        <w:bottom w:w="0" w:type="dxa"/>
      </w:tblCellMar>
    </w:tblPr>
  </w:style>
  <w:style w:type="table" w:styleId="1093" w:customStyle="1">
    <w:name w:val="Grid Table 1 Light - Accent 6"/>
    <w:uiPriority w:val="99"/>
    <w:qFormat/>
    <w:tblPr>
      <w:tblCellMar>
        <w:left w:w="0" w:type="dxa"/>
        <w:top w:w="0" w:type="dxa"/>
        <w:right w:w="0" w:type="dxa"/>
        <w:bottom w:w="0" w:type="dxa"/>
      </w:tblCellMar>
    </w:tblPr>
  </w:style>
  <w:style w:type="table" w:styleId="1094" w:customStyle="1">
    <w:name w:val="Grid Table 2 - Accent 1"/>
    <w:uiPriority w:val="99"/>
    <w:qFormat/>
    <w:tblPr>
      <w:tblCellMar>
        <w:left w:w="0" w:type="dxa"/>
        <w:top w:w="0" w:type="dxa"/>
        <w:right w:w="0" w:type="dxa"/>
        <w:bottom w:w="0" w:type="dxa"/>
      </w:tblCellMar>
    </w:tblPr>
  </w:style>
  <w:style w:type="table" w:styleId="1095" w:customStyle="1">
    <w:name w:val="Grid Table 2 - Accent 2"/>
    <w:uiPriority w:val="99"/>
    <w:qFormat/>
    <w:tblPr>
      <w:tblCellMar>
        <w:left w:w="0" w:type="dxa"/>
        <w:top w:w="0" w:type="dxa"/>
        <w:right w:w="0" w:type="dxa"/>
        <w:bottom w:w="0" w:type="dxa"/>
      </w:tblCellMar>
    </w:tblPr>
  </w:style>
  <w:style w:type="table" w:styleId="1096" w:customStyle="1">
    <w:name w:val="Grid Table 2 - Accent 3"/>
    <w:uiPriority w:val="99"/>
    <w:qFormat/>
    <w:tblPr>
      <w:tblCellMar>
        <w:left w:w="0" w:type="dxa"/>
        <w:top w:w="0" w:type="dxa"/>
        <w:right w:w="0" w:type="dxa"/>
        <w:bottom w:w="0" w:type="dxa"/>
      </w:tblCellMar>
    </w:tblPr>
  </w:style>
  <w:style w:type="table" w:styleId="1097" w:customStyle="1">
    <w:name w:val="Grid Table 2 - Accent 4"/>
    <w:uiPriority w:val="99"/>
    <w:qFormat/>
    <w:tblPr>
      <w:tblCellMar>
        <w:left w:w="0" w:type="dxa"/>
        <w:top w:w="0" w:type="dxa"/>
        <w:right w:w="0" w:type="dxa"/>
        <w:bottom w:w="0" w:type="dxa"/>
      </w:tblCellMar>
    </w:tblPr>
  </w:style>
  <w:style w:type="table" w:styleId="1098" w:customStyle="1">
    <w:name w:val="Grid Table 2 - Accent 5"/>
    <w:uiPriority w:val="99"/>
    <w:qFormat/>
    <w:tblPr>
      <w:tblCellMar>
        <w:left w:w="0" w:type="dxa"/>
        <w:top w:w="0" w:type="dxa"/>
        <w:right w:w="0" w:type="dxa"/>
        <w:bottom w:w="0" w:type="dxa"/>
      </w:tblCellMar>
    </w:tblPr>
  </w:style>
  <w:style w:type="table" w:styleId="1099" w:customStyle="1">
    <w:name w:val="Grid Table 2 - Accent 6"/>
    <w:uiPriority w:val="99"/>
    <w:qFormat/>
    <w:tblPr>
      <w:tblCellMar>
        <w:left w:w="0" w:type="dxa"/>
        <w:top w:w="0" w:type="dxa"/>
        <w:right w:w="0" w:type="dxa"/>
        <w:bottom w:w="0" w:type="dxa"/>
      </w:tblCellMar>
    </w:tblPr>
  </w:style>
  <w:style w:type="table" w:styleId="1100" w:customStyle="1">
    <w:name w:val="Grid Table 3 - Accent 1"/>
    <w:uiPriority w:val="99"/>
    <w:qFormat/>
    <w:tblPr>
      <w:tblCellMar>
        <w:left w:w="0" w:type="dxa"/>
        <w:top w:w="0" w:type="dxa"/>
        <w:right w:w="0" w:type="dxa"/>
        <w:bottom w:w="0" w:type="dxa"/>
      </w:tblCellMar>
    </w:tblPr>
  </w:style>
  <w:style w:type="table" w:styleId="1101" w:customStyle="1">
    <w:name w:val="Grid Table 3 - Accent 2"/>
    <w:uiPriority w:val="99"/>
    <w:qFormat/>
    <w:tblPr>
      <w:tblCellMar>
        <w:left w:w="0" w:type="dxa"/>
        <w:top w:w="0" w:type="dxa"/>
        <w:right w:w="0" w:type="dxa"/>
        <w:bottom w:w="0" w:type="dxa"/>
      </w:tblCellMar>
    </w:tblPr>
  </w:style>
  <w:style w:type="table" w:styleId="1102" w:customStyle="1">
    <w:name w:val="Grid Table 3 - Accent 3"/>
    <w:uiPriority w:val="99"/>
    <w:qFormat/>
    <w:tblPr>
      <w:tblCellMar>
        <w:left w:w="0" w:type="dxa"/>
        <w:top w:w="0" w:type="dxa"/>
        <w:right w:w="0" w:type="dxa"/>
        <w:bottom w:w="0" w:type="dxa"/>
      </w:tblCellMar>
    </w:tblPr>
  </w:style>
  <w:style w:type="table" w:styleId="1103" w:customStyle="1">
    <w:name w:val="Grid Table 3 - Accent 4"/>
    <w:uiPriority w:val="99"/>
    <w:qFormat/>
    <w:tblPr>
      <w:tblCellMar>
        <w:left w:w="0" w:type="dxa"/>
        <w:top w:w="0" w:type="dxa"/>
        <w:right w:w="0" w:type="dxa"/>
        <w:bottom w:w="0" w:type="dxa"/>
      </w:tblCellMar>
    </w:tblPr>
  </w:style>
  <w:style w:type="table" w:styleId="1104" w:customStyle="1">
    <w:name w:val="Grid Table 3 - Accent 5"/>
    <w:uiPriority w:val="99"/>
    <w:qFormat/>
    <w:tblPr>
      <w:tblCellMar>
        <w:left w:w="0" w:type="dxa"/>
        <w:top w:w="0" w:type="dxa"/>
        <w:right w:w="0" w:type="dxa"/>
        <w:bottom w:w="0" w:type="dxa"/>
      </w:tblCellMar>
    </w:tblPr>
  </w:style>
  <w:style w:type="table" w:styleId="1105" w:customStyle="1">
    <w:name w:val="Grid Table 3 - Accent 6"/>
    <w:uiPriority w:val="99"/>
    <w:qFormat/>
    <w:tblPr>
      <w:tblCellMar>
        <w:left w:w="0" w:type="dxa"/>
        <w:top w:w="0" w:type="dxa"/>
        <w:right w:w="0" w:type="dxa"/>
        <w:bottom w:w="0" w:type="dxa"/>
      </w:tblCellMar>
    </w:tblPr>
  </w:style>
  <w:style w:type="table" w:styleId="1106" w:customStyle="1">
    <w:name w:val="Grid Table 4 - Accent 1"/>
    <w:uiPriority w:val="59"/>
    <w:qFormat/>
    <w:tblPr>
      <w:tblCellMar>
        <w:left w:w="0" w:type="dxa"/>
        <w:top w:w="0" w:type="dxa"/>
        <w:right w:w="0" w:type="dxa"/>
        <w:bottom w:w="0" w:type="dxa"/>
      </w:tblCellMar>
    </w:tblPr>
  </w:style>
  <w:style w:type="table" w:styleId="1107" w:customStyle="1">
    <w:name w:val="Grid Table 4 - Accent 2"/>
    <w:uiPriority w:val="59"/>
    <w:qFormat/>
    <w:tblPr>
      <w:tblCellMar>
        <w:left w:w="0" w:type="dxa"/>
        <w:top w:w="0" w:type="dxa"/>
        <w:right w:w="0" w:type="dxa"/>
        <w:bottom w:w="0" w:type="dxa"/>
      </w:tblCellMar>
    </w:tblPr>
  </w:style>
  <w:style w:type="table" w:styleId="1108" w:customStyle="1">
    <w:name w:val="Grid Table 4 - Accent 3"/>
    <w:uiPriority w:val="59"/>
    <w:qFormat/>
    <w:tblPr>
      <w:tblCellMar>
        <w:left w:w="0" w:type="dxa"/>
        <w:top w:w="0" w:type="dxa"/>
        <w:right w:w="0" w:type="dxa"/>
        <w:bottom w:w="0" w:type="dxa"/>
      </w:tblCellMar>
    </w:tblPr>
  </w:style>
  <w:style w:type="table" w:styleId="1109" w:customStyle="1">
    <w:name w:val="Grid Table 4 - Accent 4"/>
    <w:uiPriority w:val="59"/>
    <w:qFormat/>
    <w:tblPr>
      <w:tblCellMar>
        <w:left w:w="0" w:type="dxa"/>
        <w:top w:w="0" w:type="dxa"/>
        <w:right w:w="0" w:type="dxa"/>
        <w:bottom w:w="0" w:type="dxa"/>
      </w:tblCellMar>
    </w:tblPr>
  </w:style>
  <w:style w:type="table" w:styleId="1110" w:customStyle="1">
    <w:name w:val="Grid Table 4 - Accent 5"/>
    <w:uiPriority w:val="59"/>
    <w:qFormat/>
    <w:tblPr>
      <w:tblCellMar>
        <w:left w:w="0" w:type="dxa"/>
        <w:top w:w="0" w:type="dxa"/>
        <w:right w:w="0" w:type="dxa"/>
        <w:bottom w:w="0" w:type="dxa"/>
      </w:tblCellMar>
    </w:tblPr>
  </w:style>
  <w:style w:type="table" w:styleId="1111" w:customStyle="1">
    <w:name w:val="Grid Table 4 - Accent 6"/>
    <w:uiPriority w:val="59"/>
    <w:qFormat/>
    <w:tblPr>
      <w:tblCellMar>
        <w:left w:w="0" w:type="dxa"/>
        <w:top w:w="0" w:type="dxa"/>
        <w:right w:w="0" w:type="dxa"/>
        <w:bottom w:w="0" w:type="dxa"/>
      </w:tblCellMar>
    </w:tblPr>
  </w:style>
  <w:style w:type="table" w:styleId="1112" w:customStyle="1">
    <w:name w:val="Grid Table 5 Dark- Accent 1"/>
    <w:uiPriority w:val="99"/>
    <w:qFormat/>
    <w:tblPr>
      <w:tblCellMar>
        <w:left w:w="0" w:type="dxa"/>
        <w:top w:w="0" w:type="dxa"/>
        <w:right w:w="0" w:type="dxa"/>
        <w:bottom w:w="0" w:type="dxa"/>
      </w:tblCellMar>
    </w:tblPr>
  </w:style>
  <w:style w:type="table" w:styleId="1113" w:customStyle="1">
    <w:name w:val="Grid Table 5 Dark - Accent 2"/>
    <w:uiPriority w:val="99"/>
    <w:qFormat/>
    <w:tblPr>
      <w:tblCellMar>
        <w:left w:w="0" w:type="dxa"/>
        <w:top w:w="0" w:type="dxa"/>
        <w:right w:w="0" w:type="dxa"/>
        <w:bottom w:w="0" w:type="dxa"/>
      </w:tblCellMar>
    </w:tblPr>
  </w:style>
  <w:style w:type="table" w:styleId="1114" w:customStyle="1">
    <w:name w:val="Grid Table 5 Dark - Accent 3"/>
    <w:uiPriority w:val="99"/>
    <w:qFormat/>
    <w:tblPr>
      <w:tblCellMar>
        <w:left w:w="0" w:type="dxa"/>
        <w:top w:w="0" w:type="dxa"/>
        <w:right w:w="0" w:type="dxa"/>
        <w:bottom w:w="0" w:type="dxa"/>
      </w:tblCellMar>
    </w:tblPr>
  </w:style>
  <w:style w:type="table" w:styleId="1115" w:customStyle="1">
    <w:name w:val="Grid Table 5 Dark- Accent 4"/>
    <w:uiPriority w:val="99"/>
    <w:qFormat/>
    <w:tblPr>
      <w:tblCellMar>
        <w:left w:w="0" w:type="dxa"/>
        <w:top w:w="0" w:type="dxa"/>
        <w:right w:w="0" w:type="dxa"/>
        <w:bottom w:w="0" w:type="dxa"/>
      </w:tblCellMar>
    </w:tblPr>
  </w:style>
  <w:style w:type="table" w:styleId="1116" w:customStyle="1">
    <w:name w:val="Grid Table 5 Dark - Accent 5"/>
    <w:uiPriority w:val="99"/>
    <w:qFormat/>
    <w:tblPr>
      <w:tblCellMar>
        <w:left w:w="0" w:type="dxa"/>
        <w:top w:w="0" w:type="dxa"/>
        <w:right w:w="0" w:type="dxa"/>
        <w:bottom w:w="0" w:type="dxa"/>
      </w:tblCellMar>
    </w:tblPr>
  </w:style>
  <w:style w:type="table" w:styleId="1117" w:customStyle="1">
    <w:name w:val="Grid Table 5 Dark - Accent 6"/>
    <w:uiPriority w:val="99"/>
    <w:qFormat/>
    <w:tblPr>
      <w:tblCellMar>
        <w:left w:w="0" w:type="dxa"/>
        <w:top w:w="0" w:type="dxa"/>
        <w:right w:w="0" w:type="dxa"/>
        <w:bottom w:w="0" w:type="dxa"/>
      </w:tblCellMar>
    </w:tblPr>
  </w:style>
  <w:style w:type="table" w:styleId="1118" w:customStyle="1">
    <w:name w:val="Grid Table 6 Colorful - Accent 1"/>
    <w:uiPriority w:val="99"/>
    <w:qFormat/>
    <w:tblPr>
      <w:tblCellMar>
        <w:left w:w="0" w:type="dxa"/>
        <w:top w:w="0" w:type="dxa"/>
        <w:right w:w="0" w:type="dxa"/>
        <w:bottom w:w="0" w:type="dxa"/>
      </w:tblCellMar>
    </w:tblPr>
  </w:style>
  <w:style w:type="table" w:styleId="1119" w:customStyle="1">
    <w:name w:val="Grid Table 6 Colorful - Accent 2"/>
    <w:uiPriority w:val="99"/>
    <w:qFormat/>
    <w:tblPr>
      <w:tblCellMar>
        <w:left w:w="0" w:type="dxa"/>
        <w:top w:w="0" w:type="dxa"/>
        <w:right w:w="0" w:type="dxa"/>
        <w:bottom w:w="0" w:type="dxa"/>
      </w:tblCellMar>
    </w:tblPr>
  </w:style>
  <w:style w:type="table" w:styleId="1120" w:customStyle="1">
    <w:name w:val="Grid Table 6 Colorful - Accent 3"/>
    <w:uiPriority w:val="99"/>
    <w:qFormat/>
    <w:tblPr>
      <w:tblCellMar>
        <w:left w:w="0" w:type="dxa"/>
        <w:top w:w="0" w:type="dxa"/>
        <w:right w:w="0" w:type="dxa"/>
        <w:bottom w:w="0" w:type="dxa"/>
      </w:tblCellMar>
    </w:tblPr>
  </w:style>
  <w:style w:type="table" w:styleId="1121" w:customStyle="1">
    <w:name w:val="Grid Table 6 Colorful - Accent 4"/>
    <w:uiPriority w:val="99"/>
    <w:qFormat/>
    <w:tblPr>
      <w:tblCellMar>
        <w:left w:w="0" w:type="dxa"/>
        <w:top w:w="0" w:type="dxa"/>
        <w:right w:w="0" w:type="dxa"/>
        <w:bottom w:w="0" w:type="dxa"/>
      </w:tblCellMar>
    </w:tblPr>
  </w:style>
  <w:style w:type="table" w:styleId="1122" w:customStyle="1">
    <w:name w:val="Grid Table 6 Colorful - Accent 5"/>
    <w:uiPriority w:val="99"/>
    <w:qFormat/>
    <w:tblPr>
      <w:tblCellMar>
        <w:left w:w="0" w:type="dxa"/>
        <w:top w:w="0" w:type="dxa"/>
        <w:right w:w="0" w:type="dxa"/>
        <w:bottom w:w="0" w:type="dxa"/>
      </w:tblCellMar>
    </w:tblPr>
  </w:style>
  <w:style w:type="table" w:styleId="1123" w:customStyle="1">
    <w:name w:val="Grid Table 6 Colorful - Accent 6"/>
    <w:uiPriority w:val="99"/>
    <w:qFormat/>
    <w:tblPr>
      <w:tblCellMar>
        <w:left w:w="0" w:type="dxa"/>
        <w:top w:w="0" w:type="dxa"/>
        <w:right w:w="0" w:type="dxa"/>
        <w:bottom w:w="0" w:type="dxa"/>
      </w:tblCellMar>
    </w:tblPr>
  </w:style>
  <w:style w:type="table" w:styleId="1124" w:customStyle="1">
    <w:name w:val="Grid Table 7 Colorful - Accent 1"/>
    <w:uiPriority w:val="99"/>
    <w:qFormat/>
    <w:tblPr>
      <w:tblCellMar>
        <w:left w:w="0" w:type="dxa"/>
        <w:top w:w="0" w:type="dxa"/>
        <w:right w:w="0" w:type="dxa"/>
        <w:bottom w:w="0" w:type="dxa"/>
      </w:tblCellMar>
    </w:tblPr>
  </w:style>
  <w:style w:type="table" w:styleId="1125" w:customStyle="1">
    <w:name w:val="Grid Table 7 Colorful - Accent 2"/>
    <w:uiPriority w:val="99"/>
    <w:qFormat/>
    <w:tblPr>
      <w:tblCellMar>
        <w:left w:w="0" w:type="dxa"/>
        <w:top w:w="0" w:type="dxa"/>
        <w:right w:w="0" w:type="dxa"/>
        <w:bottom w:w="0" w:type="dxa"/>
      </w:tblCellMar>
    </w:tblPr>
  </w:style>
  <w:style w:type="table" w:styleId="1126" w:customStyle="1">
    <w:name w:val="Grid Table 7 Colorful - Accent 3"/>
    <w:uiPriority w:val="99"/>
    <w:qFormat/>
    <w:tblPr>
      <w:tblCellMar>
        <w:left w:w="0" w:type="dxa"/>
        <w:top w:w="0" w:type="dxa"/>
        <w:right w:w="0" w:type="dxa"/>
        <w:bottom w:w="0" w:type="dxa"/>
      </w:tblCellMar>
    </w:tblPr>
  </w:style>
  <w:style w:type="table" w:styleId="1127" w:customStyle="1">
    <w:name w:val="Grid Table 7 Colorful - Accent 4"/>
    <w:uiPriority w:val="99"/>
    <w:qFormat/>
    <w:tblPr>
      <w:tblCellMar>
        <w:left w:w="0" w:type="dxa"/>
        <w:top w:w="0" w:type="dxa"/>
        <w:right w:w="0" w:type="dxa"/>
        <w:bottom w:w="0" w:type="dxa"/>
      </w:tblCellMar>
    </w:tblPr>
  </w:style>
  <w:style w:type="table" w:styleId="1128" w:customStyle="1">
    <w:name w:val="Grid Table 7 Colorful - Accent 5"/>
    <w:uiPriority w:val="99"/>
    <w:qFormat/>
    <w:tblPr>
      <w:tblCellMar>
        <w:left w:w="0" w:type="dxa"/>
        <w:top w:w="0" w:type="dxa"/>
        <w:right w:w="0" w:type="dxa"/>
        <w:bottom w:w="0" w:type="dxa"/>
      </w:tblCellMar>
    </w:tblPr>
  </w:style>
  <w:style w:type="table" w:styleId="1129" w:customStyle="1">
    <w:name w:val="Grid Table 7 Colorful - Accent 6"/>
    <w:uiPriority w:val="99"/>
    <w:qFormat/>
    <w:tblPr>
      <w:tblCellMar>
        <w:left w:w="0" w:type="dxa"/>
        <w:top w:w="0" w:type="dxa"/>
        <w:right w:w="0" w:type="dxa"/>
        <w:bottom w:w="0" w:type="dxa"/>
      </w:tblCellMar>
    </w:tblPr>
  </w:style>
  <w:style w:type="table" w:styleId="1130" w:customStyle="1">
    <w:name w:val="List Table 1 Light - Accent 1"/>
    <w:uiPriority w:val="99"/>
    <w:qFormat/>
    <w:tblPr>
      <w:tblCellMar>
        <w:left w:w="0" w:type="dxa"/>
        <w:top w:w="0" w:type="dxa"/>
        <w:right w:w="0" w:type="dxa"/>
        <w:bottom w:w="0" w:type="dxa"/>
      </w:tblCellMar>
    </w:tblPr>
  </w:style>
  <w:style w:type="table" w:styleId="1131" w:customStyle="1">
    <w:name w:val="List Table 1 Light - Accent 2"/>
    <w:uiPriority w:val="99"/>
    <w:qFormat/>
    <w:tblPr>
      <w:tblCellMar>
        <w:left w:w="0" w:type="dxa"/>
        <w:top w:w="0" w:type="dxa"/>
        <w:right w:w="0" w:type="dxa"/>
        <w:bottom w:w="0" w:type="dxa"/>
      </w:tblCellMar>
    </w:tblPr>
  </w:style>
  <w:style w:type="table" w:styleId="1132" w:customStyle="1">
    <w:name w:val="List Table 1 Light - Accent 3"/>
    <w:uiPriority w:val="99"/>
    <w:qFormat/>
    <w:tblPr>
      <w:tblCellMar>
        <w:left w:w="0" w:type="dxa"/>
        <w:top w:w="0" w:type="dxa"/>
        <w:right w:w="0" w:type="dxa"/>
        <w:bottom w:w="0" w:type="dxa"/>
      </w:tblCellMar>
    </w:tblPr>
  </w:style>
  <w:style w:type="table" w:styleId="1133" w:customStyle="1">
    <w:name w:val="List Table 1 Light - Accent 4"/>
    <w:uiPriority w:val="99"/>
    <w:qFormat/>
    <w:tblPr>
      <w:tblCellMar>
        <w:left w:w="0" w:type="dxa"/>
        <w:top w:w="0" w:type="dxa"/>
        <w:right w:w="0" w:type="dxa"/>
        <w:bottom w:w="0" w:type="dxa"/>
      </w:tblCellMar>
    </w:tblPr>
  </w:style>
  <w:style w:type="table" w:styleId="1134" w:customStyle="1">
    <w:name w:val="List Table 1 Light - Accent 5"/>
    <w:uiPriority w:val="99"/>
    <w:qFormat/>
    <w:tblPr>
      <w:tblCellMar>
        <w:left w:w="0" w:type="dxa"/>
        <w:top w:w="0" w:type="dxa"/>
        <w:right w:w="0" w:type="dxa"/>
        <w:bottom w:w="0" w:type="dxa"/>
      </w:tblCellMar>
    </w:tblPr>
  </w:style>
  <w:style w:type="table" w:styleId="1135" w:customStyle="1">
    <w:name w:val="List Table 1 Light - Accent 6"/>
    <w:uiPriority w:val="99"/>
    <w:qFormat/>
    <w:tblPr>
      <w:tblCellMar>
        <w:left w:w="0" w:type="dxa"/>
        <w:top w:w="0" w:type="dxa"/>
        <w:right w:w="0" w:type="dxa"/>
        <w:bottom w:w="0" w:type="dxa"/>
      </w:tblCellMar>
    </w:tblPr>
  </w:style>
  <w:style w:type="table" w:styleId="1136" w:customStyle="1">
    <w:name w:val="List Table 2 - Accent 1"/>
    <w:uiPriority w:val="99"/>
    <w:qFormat/>
    <w:tblPr>
      <w:tblCellMar>
        <w:left w:w="0" w:type="dxa"/>
        <w:top w:w="0" w:type="dxa"/>
        <w:right w:w="0" w:type="dxa"/>
        <w:bottom w:w="0" w:type="dxa"/>
      </w:tblCellMar>
    </w:tblPr>
  </w:style>
  <w:style w:type="table" w:styleId="1137" w:customStyle="1">
    <w:name w:val="List Table 2 - Accent 2"/>
    <w:uiPriority w:val="99"/>
    <w:qFormat/>
    <w:tblPr>
      <w:tblCellMar>
        <w:left w:w="0" w:type="dxa"/>
        <w:top w:w="0" w:type="dxa"/>
        <w:right w:w="0" w:type="dxa"/>
        <w:bottom w:w="0" w:type="dxa"/>
      </w:tblCellMar>
    </w:tblPr>
  </w:style>
  <w:style w:type="table" w:styleId="1138" w:customStyle="1">
    <w:name w:val="List Table 2 - Accent 3"/>
    <w:uiPriority w:val="99"/>
    <w:qFormat/>
    <w:tblPr>
      <w:tblCellMar>
        <w:left w:w="0" w:type="dxa"/>
        <w:top w:w="0" w:type="dxa"/>
        <w:right w:w="0" w:type="dxa"/>
        <w:bottom w:w="0" w:type="dxa"/>
      </w:tblCellMar>
    </w:tblPr>
  </w:style>
  <w:style w:type="table" w:styleId="1139" w:customStyle="1">
    <w:name w:val="List Table 2 - Accent 4"/>
    <w:uiPriority w:val="99"/>
    <w:qFormat/>
    <w:tblPr>
      <w:tblCellMar>
        <w:left w:w="0" w:type="dxa"/>
        <w:top w:w="0" w:type="dxa"/>
        <w:right w:w="0" w:type="dxa"/>
        <w:bottom w:w="0" w:type="dxa"/>
      </w:tblCellMar>
    </w:tblPr>
  </w:style>
  <w:style w:type="table" w:styleId="1140" w:customStyle="1">
    <w:name w:val="List Table 2 - Accent 5"/>
    <w:uiPriority w:val="99"/>
    <w:qFormat/>
    <w:tblPr>
      <w:tblCellMar>
        <w:left w:w="0" w:type="dxa"/>
        <w:top w:w="0" w:type="dxa"/>
        <w:right w:w="0" w:type="dxa"/>
        <w:bottom w:w="0" w:type="dxa"/>
      </w:tblCellMar>
    </w:tblPr>
  </w:style>
  <w:style w:type="table" w:styleId="1141" w:customStyle="1">
    <w:name w:val="List Table 2 - Accent 6"/>
    <w:uiPriority w:val="99"/>
    <w:qFormat/>
    <w:tblPr>
      <w:tblCellMar>
        <w:left w:w="0" w:type="dxa"/>
        <w:top w:w="0" w:type="dxa"/>
        <w:right w:w="0" w:type="dxa"/>
        <w:bottom w:w="0" w:type="dxa"/>
      </w:tblCellMar>
    </w:tblPr>
  </w:style>
  <w:style w:type="table" w:styleId="1142" w:customStyle="1">
    <w:name w:val="List Table 3 - Accent 1"/>
    <w:uiPriority w:val="99"/>
    <w:qFormat/>
    <w:tblPr>
      <w:tblCellMar>
        <w:left w:w="0" w:type="dxa"/>
        <w:top w:w="0" w:type="dxa"/>
        <w:right w:w="0" w:type="dxa"/>
        <w:bottom w:w="0" w:type="dxa"/>
      </w:tblCellMar>
    </w:tblPr>
  </w:style>
  <w:style w:type="table" w:styleId="1143" w:customStyle="1">
    <w:name w:val="List Table 3 - Accent 2"/>
    <w:uiPriority w:val="99"/>
    <w:qFormat/>
    <w:tblPr>
      <w:tblCellMar>
        <w:left w:w="0" w:type="dxa"/>
        <w:top w:w="0" w:type="dxa"/>
        <w:right w:w="0" w:type="dxa"/>
        <w:bottom w:w="0" w:type="dxa"/>
      </w:tblCellMar>
    </w:tblPr>
  </w:style>
  <w:style w:type="table" w:styleId="1144" w:customStyle="1">
    <w:name w:val="List Table 3 - Accent 3"/>
    <w:uiPriority w:val="99"/>
    <w:qFormat/>
    <w:tblPr>
      <w:tblCellMar>
        <w:left w:w="0" w:type="dxa"/>
        <w:top w:w="0" w:type="dxa"/>
        <w:right w:w="0" w:type="dxa"/>
        <w:bottom w:w="0" w:type="dxa"/>
      </w:tblCellMar>
    </w:tblPr>
  </w:style>
  <w:style w:type="table" w:styleId="1145" w:customStyle="1">
    <w:name w:val="List Table 3 - Accent 4"/>
    <w:uiPriority w:val="99"/>
    <w:qFormat/>
    <w:tblPr>
      <w:tblCellMar>
        <w:left w:w="0" w:type="dxa"/>
        <w:top w:w="0" w:type="dxa"/>
        <w:right w:w="0" w:type="dxa"/>
        <w:bottom w:w="0" w:type="dxa"/>
      </w:tblCellMar>
    </w:tblPr>
  </w:style>
  <w:style w:type="table" w:styleId="1146" w:customStyle="1">
    <w:name w:val="List Table 3 - Accent 5"/>
    <w:uiPriority w:val="99"/>
    <w:qFormat/>
    <w:tblPr>
      <w:tblCellMar>
        <w:left w:w="0" w:type="dxa"/>
        <w:top w:w="0" w:type="dxa"/>
        <w:right w:w="0" w:type="dxa"/>
        <w:bottom w:w="0" w:type="dxa"/>
      </w:tblCellMar>
    </w:tblPr>
  </w:style>
  <w:style w:type="table" w:styleId="1147" w:customStyle="1">
    <w:name w:val="List Table 3 - Accent 6"/>
    <w:uiPriority w:val="99"/>
    <w:qFormat/>
    <w:tblPr>
      <w:tblCellMar>
        <w:left w:w="0" w:type="dxa"/>
        <w:top w:w="0" w:type="dxa"/>
        <w:right w:w="0" w:type="dxa"/>
        <w:bottom w:w="0" w:type="dxa"/>
      </w:tblCellMar>
    </w:tblPr>
  </w:style>
  <w:style w:type="table" w:styleId="1148" w:customStyle="1">
    <w:name w:val="List Table 4 - Accent 1"/>
    <w:uiPriority w:val="99"/>
    <w:qFormat/>
    <w:tblPr>
      <w:tblCellMar>
        <w:left w:w="0" w:type="dxa"/>
        <w:top w:w="0" w:type="dxa"/>
        <w:right w:w="0" w:type="dxa"/>
        <w:bottom w:w="0" w:type="dxa"/>
      </w:tblCellMar>
    </w:tblPr>
  </w:style>
  <w:style w:type="table" w:styleId="1149" w:customStyle="1">
    <w:name w:val="List Table 4 - Accent 2"/>
    <w:uiPriority w:val="99"/>
    <w:qFormat/>
    <w:tblPr>
      <w:tblCellMar>
        <w:left w:w="0" w:type="dxa"/>
        <w:top w:w="0" w:type="dxa"/>
        <w:right w:w="0" w:type="dxa"/>
        <w:bottom w:w="0" w:type="dxa"/>
      </w:tblCellMar>
    </w:tblPr>
  </w:style>
  <w:style w:type="table" w:styleId="1150" w:customStyle="1">
    <w:name w:val="List Table 4 - Accent 3"/>
    <w:uiPriority w:val="99"/>
    <w:qFormat/>
    <w:tblPr>
      <w:tblCellMar>
        <w:left w:w="0" w:type="dxa"/>
        <w:top w:w="0" w:type="dxa"/>
        <w:right w:w="0" w:type="dxa"/>
        <w:bottom w:w="0" w:type="dxa"/>
      </w:tblCellMar>
    </w:tblPr>
  </w:style>
  <w:style w:type="table" w:styleId="1151" w:customStyle="1">
    <w:name w:val="List Table 4 - Accent 4"/>
    <w:uiPriority w:val="99"/>
    <w:qFormat/>
    <w:tblPr>
      <w:tblCellMar>
        <w:left w:w="0" w:type="dxa"/>
        <w:top w:w="0" w:type="dxa"/>
        <w:right w:w="0" w:type="dxa"/>
        <w:bottom w:w="0" w:type="dxa"/>
      </w:tblCellMar>
    </w:tblPr>
  </w:style>
  <w:style w:type="table" w:styleId="1152" w:customStyle="1">
    <w:name w:val="List Table 4 - Accent 5"/>
    <w:uiPriority w:val="99"/>
    <w:qFormat/>
    <w:tblPr>
      <w:tblCellMar>
        <w:left w:w="0" w:type="dxa"/>
        <w:top w:w="0" w:type="dxa"/>
        <w:right w:w="0" w:type="dxa"/>
        <w:bottom w:w="0" w:type="dxa"/>
      </w:tblCellMar>
    </w:tblPr>
  </w:style>
  <w:style w:type="table" w:styleId="1153" w:customStyle="1">
    <w:name w:val="List Table 4 - Accent 6"/>
    <w:uiPriority w:val="99"/>
    <w:qFormat/>
    <w:tblPr>
      <w:tblCellMar>
        <w:left w:w="0" w:type="dxa"/>
        <w:top w:w="0" w:type="dxa"/>
        <w:right w:w="0" w:type="dxa"/>
        <w:bottom w:w="0" w:type="dxa"/>
      </w:tblCellMar>
    </w:tblPr>
  </w:style>
  <w:style w:type="table" w:styleId="1154" w:customStyle="1">
    <w:name w:val="List Table 5 Dark - Accent 1"/>
    <w:uiPriority w:val="99"/>
    <w:qFormat/>
    <w:tblPr>
      <w:tblCellMar>
        <w:left w:w="0" w:type="dxa"/>
        <w:top w:w="0" w:type="dxa"/>
        <w:right w:w="0" w:type="dxa"/>
        <w:bottom w:w="0" w:type="dxa"/>
      </w:tblCellMar>
    </w:tblPr>
  </w:style>
  <w:style w:type="table" w:styleId="1155" w:customStyle="1">
    <w:name w:val="List Table 5 Dark - Accent 2"/>
    <w:uiPriority w:val="99"/>
    <w:qFormat/>
    <w:tblPr>
      <w:tblCellMar>
        <w:left w:w="0" w:type="dxa"/>
        <w:top w:w="0" w:type="dxa"/>
        <w:right w:w="0" w:type="dxa"/>
        <w:bottom w:w="0" w:type="dxa"/>
      </w:tblCellMar>
    </w:tblPr>
  </w:style>
  <w:style w:type="table" w:styleId="1156" w:customStyle="1">
    <w:name w:val="List Table 5 Dark - Accent 3"/>
    <w:uiPriority w:val="99"/>
    <w:qFormat/>
    <w:tblPr>
      <w:tblCellMar>
        <w:left w:w="0" w:type="dxa"/>
        <w:top w:w="0" w:type="dxa"/>
        <w:right w:w="0" w:type="dxa"/>
        <w:bottom w:w="0" w:type="dxa"/>
      </w:tblCellMar>
    </w:tblPr>
  </w:style>
  <w:style w:type="table" w:styleId="1157" w:customStyle="1">
    <w:name w:val="List Table 5 Dark - Accent 4"/>
    <w:uiPriority w:val="99"/>
    <w:qFormat/>
    <w:tblPr>
      <w:tblCellMar>
        <w:left w:w="0" w:type="dxa"/>
        <w:top w:w="0" w:type="dxa"/>
        <w:right w:w="0" w:type="dxa"/>
        <w:bottom w:w="0" w:type="dxa"/>
      </w:tblCellMar>
    </w:tblPr>
  </w:style>
  <w:style w:type="table" w:styleId="1158" w:customStyle="1">
    <w:name w:val="List Table 5 Dark - Accent 5"/>
    <w:uiPriority w:val="99"/>
    <w:qFormat/>
    <w:tblPr>
      <w:tblCellMar>
        <w:left w:w="0" w:type="dxa"/>
        <w:top w:w="0" w:type="dxa"/>
        <w:right w:w="0" w:type="dxa"/>
        <w:bottom w:w="0" w:type="dxa"/>
      </w:tblCellMar>
    </w:tblPr>
  </w:style>
  <w:style w:type="table" w:styleId="1159" w:customStyle="1">
    <w:name w:val="List Table 5 Dark - Accent 6"/>
    <w:uiPriority w:val="99"/>
    <w:qFormat/>
    <w:tblPr>
      <w:tblCellMar>
        <w:left w:w="0" w:type="dxa"/>
        <w:top w:w="0" w:type="dxa"/>
        <w:right w:w="0" w:type="dxa"/>
        <w:bottom w:w="0" w:type="dxa"/>
      </w:tblCellMar>
    </w:tblPr>
  </w:style>
  <w:style w:type="table" w:styleId="1160" w:customStyle="1">
    <w:name w:val="List Table 6 Colorful - Accent 1"/>
    <w:uiPriority w:val="99"/>
    <w:qFormat/>
    <w:tblPr>
      <w:tblCellMar>
        <w:left w:w="0" w:type="dxa"/>
        <w:top w:w="0" w:type="dxa"/>
        <w:right w:w="0" w:type="dxa"/>
        <w:bottom w:w="0" w:type="dxa"/>
      </w:tblCellMar>
    </w:tblPr>
  </w:style>
  <w:style w:type="table" w:styleId="1161" w:customStyle="1">
    <w:name w:val="List Table 6 Colorful - Accent 2"/>
    <w:uiPriority w:val="99"/>
    <w:qFormat/>
    <w:tblPr>
      <w:tblCellMar>
        <w:left w:w="0" w:type="dxa"/>
        <w:top w:w="0" w:type="dxa"/>
        <w:right w:w="0" w:type="dxa"/>
        <w:bottom w:w="0" w:type="dxa"/>
      </w:tblCellMar>
    </w:tblPr>
  </w:style>
  <w:style w:type="table" w:styleId="1162" w:customStyle="1">
    <w:name w:val="List Table 6 Colorful - Accent 3"/>
    <w:uiPriority w:val="99"/>
    <w:qFormat/>
    <w:tblPr>
      <w:tblCellMar>
        <w:left w:w="0" w:type="dxa"/>
        <w:top w:w="0" w:type="dxa"/>
        <w:right w:w="0" w:type="dxa"/>
        <w:bottom w:w="0" w:type="dxa"/>
      </w:tblCellMar>
    </w:tblPr>
  </w:style>
  <w:style w:type="table" w:styleId="1163" w:customStyle="1">
    <w:name w:val="List Table 6 Colorful - Accent 4"/>
    <w:uiPriority w:val="99"/>
    <w:qFormat/>
    <w:tblPr>
      <w:tblCellMar>
        <w:left w:w="0" w:type="dxa"/>
        <w:top w:w="0" w:type="dxa"/>
        <w:right w:w="0" w:type="dxa"/>
        <w:bottom w:w="0" w:type="dxa"/>
      </w:tblCellMar>
    </w:tblPr>
  </w:style>
  <w:style w:type="table" w:styleId="1164" w:customStyle="1">
    <w:name w:val="List Table 6 Colorful - Accent 5"/>
    <w:uiPriority w:val="99"/>
    <w:qFormat/>
    <w:tblPr>
      <w:tblCellMar>
        <w:left w:w="0" w:type="dxa"/>
        <w:top w:w="0" w:type="dxa"/>
        <w:right w:w="0" w:type="dxa"/>
        <w:bottom w:w="0" w:type="dxa"/>
      </w:tblCellMar>
    </w:tblPr>
  </w:style>
  <w:style w:type="table" w:styleId="1165" w:customStyle="1">
    <w:name w:val="List Table 6 Colorful - Accent 6"/>
    <w:uiPriority w:val="99"/>
    <w:qFormat/>
    <w:tblPr>
      <w:tblCellMar>
        <w:left w:w="0" w:type="dxa"/>
        <w:top w:w="0" w:type="dxa"/>
        <w:right w:w="0" w:type="dxa"/>
        <w:bottom w:w="0" w:type="dxa"/>
      </w:tblCellMar>
    </w:tblPr>
  </w:style>
  <w:style w:type="table" w:styleId="1166" w:customStyle="1">
    <w:name w:val="List Table 7 Colorful - Accent 1"/>
    <w:uiPriority w:val="99"/>
    <w:qFormat/>
    <w:tblPr>
      <w:tblCellMar>
        <w:left w:w="0" w:type="dxa"/>
        <w:top w:w="0" w:type="dxa"/>
        <w:right w:w="0" w:type="dxa"/>
        <w:bottom w:w="0" w:type="dxa"/>
      </w:tblCellMar>
    </w:tblPr>
  </w:style>
  <w:style w:type="table" w:styleId="1167" w:customStyle="1">
    <w:name w:val="List Table 7 Colorful - Accent 2"/>
    <w:uiPriority w:val="99"/>
    <w:qFormat/>
    <w:tblPr>
      <w:tblCellMar>
        <w:left w:w="0" w:type="dxa"/>
        <w:top w:w="0" w:type="dxa"/>
        <w:right w:w="0" w:type="dxa"/>
        <w:bottom w:w="0" w:type="dxa"/>
      </w:tblCellMar>
    </w:tblPr>
  </w:style>
  <w:style w:type="table" w:styleId="1168" w:customStyle="1">
    <w:name w:val="List Table 7 Colorful - Accent 3"/>
    <w:uiPriority w:val="99"/>
    <w:qFormat/>
    <w:tblPr>
      <w:tblCellMar>
        <w:left w:w="0" w:type="dxa"/>
        <w:top w:w="0" w:type="dxa"/>
        <w:right w:w="0" w:type="dxa"/>
        <w:bottom w:w="0" w:type="dxa"/>
      </w:tblCellMar>
    </w:tblPr>
  </w:style>
  <w:style w:type="table" w:styleId="1169" w:customStyle="1">
    <w:name w:val="List Table 7 Colorful - Accent 4"/>
    <w:uiPriority w:val="99"/>
    <w:qFormat/>
    <w:tblPr>
      <w:tblCellMar>
        <w:left w:w="0" w:type="dxa"/>
        <w:top w:w="0" w:type="dxa"/>
        <w:right w:w="0" w:type="dxa"/>
        <w:bottom w:w="0" w:type="dxa"/>
      </w:tblCellMar>
    </w:tblPr>
  </w:style>
  <w:style w:type="table" w:styleId="1170" w:customStyle="1">
    <w:name w:val="List Table 7 Colorful - Accent 5"/>
    <w:uiPriority w:val="99"/>
    <w:qFormat/>
    <w:tblPr>
      <w:tblCellMar>
        <w:left w:w="0" w:type="dxa"/>
        <w:top w:w="0" w:type="dxa"/>
        <w:right w:w="0" w:type="dxa"/>
        <w:bottom w:w="0" w:type="dxa"/>
      </w:tblCellMar>
    </w:tblPr>
  </w:style>
  <w:style w:type="table" w:styleId="1171" w:customStyle="1">
    <w:name w:val="List Table 7 Colorful - Accent 6"/>
    <w:uiPriority w:val="99"/>
    <w:qFormat/>
    <w:tblPr>
      <w:tblCellMar>
        <w:left w:w="0" w:type="dxa"/>
        <w:top w:w="0" w:type="dxa"/>
        <w:right w:w="0" w:type="dxa"/>
        <w:bottom w:w="0" w:type="dxa"/>
      </w:tblCellMar>
    </w:tblPr>
  </w:style>
  <w:style w:type="table" w:styleId="1172" w:customStyle="1">
    <w:name w:val="Lined - Accent"/>
    <w:uiPriority w:val="99"/>
    <w:qFormat/>
    <w:rPr>
      <w:color w:val="404040"/>
    </w:rPr>
    <w:tblPr>
      <w:tblCellMar>
        <w:left w:w="0" w:type="dxa"/>
        <w:top w:w="0" w:type="dxa"/>
        <w:right w:w="0" w:type="dxa"/>
        <w:bottom w:w="0" w:type="dxa"/>
      </w:tblCellMar>
    </w:tblPr>
  </w:style>
  <w:style w:type="table" w:styleId="1173" w:customStyle="1">
    <w:name w:val="Lined - Accent 1"/>
    <w:uiPriority w:val="99"/>
    <w:qFormat/>
    <w:rPr>
      <w:color w:val="404040"/>
    </w:rPr>
    <w:tblPr>
      <w:tblCellMar>
        <w:left w:w="0" w:type="dxa"/>
        <w:top w:w="0" w:type="dxa"/>
        <w:right w:w="0" w:type="dxa"/>
        <w:bottom w:w="0" w:type="dxa"/>
      </w:tblCellMar>
    </w:tblPr>
  </w:style>
  <w:style w:type="table" w:styleId="1174" w:customStyle="1">
    <w:name w:val="Lined - Accent 2"/>
    <w:uiPriority w:val="99"/>
    <w:qFormat/>
    <w:rPr>
      <w:color w:val="404040"/>
    </w:rPr>
    <w:tblPr>
      <w:tblCellMar>
        <w:left w:w="0" w:type="dxa"/>
        <w:top w:w="0" w:type="dxa"/>
        <w:right w:w="0" w:type="dxa"/>
        <w:bottom w:w="0" w:type="dxa"/>
      </w:tblCellMar>
    </w:tblPr>
  </w:style>
  <w:style w:type="table" w:styleId="1175" w:customStyle="1">
    <w:name w:val="Lined - Accent 3"/>
    <w:uiPriority w:val="99"/>
    <w:qFormat/>
    <w:rPr>
      <w:color w:val="404040"/>
    </w:rPr>
    <w:tblPr>
      <w:tblCellMar>
        <w:left w:w="0" w:type="dxa"/>
        <w:top w:w="0" w:type="dxa"/>
        <w:right w:w="0" w:type="dxa"/>
        <w:bottom w:w="0" w:type="dxa"/>
      </w:tblCellMar>
    </w:tblPr>
  </w:style>
  <w:style w:type="table" w:styleId="1176" w:customStyle="1">
    <w:name w:val="Lined - Accent 4"/>
    <w:uiPriority w:val="99"/>
    <w:qFormat/>
    <w:rPr>
      <w:color w:val="404040"/>
    </w:rPr>
    <w:tblPr>
      <w:tblCellMar>
        <w:left w:w="0" w:type="dxa"/>
        <w:top w:w="0" w:type="dxa"/>
        <w:right w:w="0" w:type="dxa"/>
        <w:bottom w:w="0" w:type="dxa"/>
      </w:tblCellMar>
    </w:tblPr>
  </w:style>
  <w:style w:type="table" w:styleId="1177" w:customStyle="1">
    <w:name w:val="Lined - Accent 5"/>
    <w:uiPriority w:val="99"/>
    <w:qFormat/>
    <w:rPr>
      <w:color w:val="404040"/>
    </w:rPr>
    <w:tblPr>
      <w:tblCellMar>
        <w:left w:w="0" w:type="dxa"/>
        <w:top w:w="0" w:type="dxa"/>
        <w:right w:w="0" w:type="dxa"/>
        <w:bottom w:w="0" w:type="dxa"/>
      </w:tblCellMar>
    </w:tblPr>
  </w:style>
  <w:style w:type="table" w:styleId="1178" w:customStyle="1">
    <w:name w:val="Lined - Accent 6"/>
    <w:uiPriority w:val="99"/>
    <w:qFormat/>
    <w:rPr>
      <w:color w:val="404040"/>
    </w:rPr>
    <w:tblPr>
      <w:tblCellMar>
        <w:left w:w="0" w:type="dxa"/>
        <w:top w:w="0" w:type="dxa"/>
        <w:right w:w="0" w:type="dxa"/>
        <w:bottom w:w="0" w:type="dxa"/>
      </w:tblCellMar>
    </w:tblPr>
  </w:style>
  <w:style w:type="table" w:styleId="1179" w:customStyle="1">
    <w:name w:val="Bordered &amp; Lined - Accent"/>
    <w:uiPriority w:val="99"/>
    <w:qFormat/>
    <w:rPr>
      <w:color w:val="404040"/>
    </w:rPr>
    <w:tblPr>
      <w:tblCellMar>
        <w:left w:w="0" w:type="dxa"/>
        <w:top w:w="0" w:type="dxa"/>
        <w:right w:w="0" w:type="dxa"/>
        <w:bottom w:w="0" w:type="dxa"/>
      </w:tblCellMar>
    </w:tblPr>
  </w:style>
  <w:style w:type="table" w:styleId="1180" w:customStyle="1">
    <w:name w:val="Bordered &amp; Lined - Accent 1"/>
    <w:uiPriority w:val="99"/>
    <w:qFormat/>
    <w:rPr>
      <w:color w:val="404040"/>
    </w:rPr>
    <w:tblPr>
      <w:tblCellMar>
        <w:left w:w="0" w:type="dxa"/>
        <w:top w:w="0" w:type="dxa"/>
        <w:right w:w="0" w:type="dxa"/>
        <w:bottom w:w="0" w:type="dxa"/>
      </w:tblCellMar>
    </w:tblPr>
  </w:style>
  <w:style w:type="table" w:styleId="1181" w:customStyle="1">
    <w:name w:val="Bordered &amp; Lined - Accent 2"/>
    <w:uiPriority w:val="99"/>
    <w:qFormat/>
    <w:rPr>
      <w:color w:val="404040"/>
    </w:rPr>
    <w:tblPr>
      <w:tblCellMar>
        <w:left w:w="0" w:type="dxa"/>
        <w:top w:w="0" w:type="dxa"/>
        <w:right w:w="0" w:type="dxa"/>
        <w:bottom w:w="0" w:type="dxa"/>
      </w:tblCellMar>
    </w:tblPr>
  </w:style>
  <w:style w:type="table" w:styleId="1182" w:customStyle="1">
    <w:name w:val="Bordered &amp; Lined - Accent 3"/>
    <w:uiPriority w:val="99"/>
    <w:qFormat/>
    <w:rPr>
      <w:color w:val="404040"/>
    </w:rPr>
    <w:tblPr>
      <w:tblCellMar>
        <w:left w:w="0" w:type="dxa"/>
        <w:top w:w="0" w:type="dxa"/>
        <w:right w:w="0" w:type="dxa"/>
        <w:bottom w:w="0" w:type="dxa"/>
      </w:tblCellMar>
    </w:tblPr>
  </w:style>
  <w:style w:type="table" w:styleId="1183" w:customStyle="1">
    <w:name w:val="Bordered &amp; Lined - Accent 4"/>
    <w:uiPriority w:val="99"/>
    <w:qFormat/>
    <w:rPr>
      <w:color w:val="404040"/>
    </w:rPr>
    <w:tblPr>
      <w:tblCellMar>
        <w:left w:w="0" w:type="dxa"/>
        <w:top w:w="0" w:type="dxa"/>
        <w:right w:w="0" w:type="dxa"/>
        <w:bottom w:w="0" w:type="dxa"/>
      </w:tblCellMar>
    </w:tblPr>
  </w:style>
  <w:style w:type="table" w:styleId="1184" w:customStyle="1">
    <w:name w:val="Bordered &amp; Lined - Accent 5"/>
    <w:uiPriority w:val="99"/>
    <w:qFormat/>
    <w:rPr>
      <w:color w:val="404040"/>
    </w:rPr>
    <w:tblPr>
      <w:tblCellMar>
        <w:left w:w="0" w:type="dxa"/>
        <w:top w:w="0" w:type="dxa"/>
        <w:right w:w="0" w:type="dxa"/>
        <w:bottom w:w="0" w:type="dxa"/>
      </w:tblCellMar>
    </w:tblPr>
  </w:style>
  <w:style w:type="table" w:styleId="1185" w:customStyle="1">
    <w:name w:val="Bordered &amp; Lined - Accent 6"/>
    <w:uiPriority w:val="99"/>
    <w:qFormat/>
    <w:rPr>
      <w:color w:val="404040"/>
    </w:rPr>
    <w:tblPr>
      <w:tblCellMar>
        <w:left w:w="0" w:type="dxa"/>
        <w:top w:w="0" w:type="dxa"/>
        <w:right w:w="0" w:type="dxa"/>
        <w:bottom w:w="0" w:type="dxa"/>
      </w:tblCellMar>
    </w:tblPr>
  </w:style>
  <w:style w:type="table" w:styleId="1186" w:customStyle="1">
    <w:name w:val="Bordered"/>
    <w:uiPriority w:val="99"/>
    <w:qFormat/>
    <w:tblPr>
      <w:tblCellMar>
        <w:left w:w="0" w:type="dxa"/>
        <w:top w:w="0" w:type="dxa"/>
        <w:right w:w="0" w:type="dxa"/>
        <w:bottom w:w="0" w:type="dxa"/>
      </w:tblCellMar>
    </w:tblPr>
  </w:style>
  <w:style w:type="table" w:styleId="1187" w:customStyle="1">
    <w:name w:val="Bordered - Accent 1"/>
    <w:uiPriority w:val="99"/>
    <w:qFormat/>
    <w:tblPr>
      <w:tblCellMar>
        <w:left w:w="0" w:type="dxa"/>
        <w:top w:w="0" w:type="dxa"/>
        <w:right w:w="0" w:type="dxa"/>
        <w:bottom w:w="0" w:type="dxa"/>
      </w:tblCellMar>
    </w:tblPr>
  </w:style>
  <w:style w:type="table" w:styleId="1188" w:customStyle="1">
    <w:name w:val="Bordered - Accent 2"/>
    <w:uiPriority w:val="99"/>
    <w:qFormat/>
    <w:tblPr>
      <w:tblCellMar>
        <w:left w:w="0" w:type="dxa"/>
        <w:top w:w="0" w:type="dxa"/>
        <w:right w:w="0" w:type="dxa"/>
        <w:bottom w:w="0" w:type="dxa"/>
      </w:tblCellMar>
    </w:tblPr>
  </w:style>
  <w:style w:type="table" w:styleId="1189" w:customStyle="1">
    <w:name w:val="Bordered - Accent 3"/>
    <w:uiPriority w:val="99"/>
    <w:qFormat/>
    <w:tblPr>
      <w:tblCellMar>
        <w:left w:w="0" w:type="dxa"/>
        <w:top w:w="0" w:type="dxa"/>
        <w:right w:w="0" w:type="dxa"/>
        <w:bottom w:w="0" w:type="dxa"/>
      </w:tblCellMar>
    </w:tblPr>
  </w:style>
  <w:style w:type="table" w:styleId="1190" w:customStyle="1">
    <w:name w:val="Bordered - Accent 4"/>
    <w:uiPriority w:val="99"/>
    <w:qFormat/>
    <w:tblPr>
      <w:tblCellMar>
        <w:left w:w="0" w:type="dxa"/>
        <w:top w:w="0" w:type="dxa"/>
        <w:right w:w="0" w:type="dxa"/>
        <w:bottom w:w="0" w:type="dxa"/>
      </w:tblCellMar>
    </w:tblPr>
  </w:style>
  <w:style w:type="table" w:styleId="1191" w:customStyle="1">
    <w:name w:val="Bordered - Accent 5"/>
    <w:uiPriority w:val="99"/>
    <w:qFormat/>
    <w:tblPr>
      <w:tblCellMar>
        <w:left w:w="0" w:type="dxa"/>
        <w:top w:w="0" w:type="dxa"/>
        <w:right w:w="0" w:type="dxa"/>
        <w:bottom w:w="0" w:type="dxa"/>
      </w:tblCellMar>
    </w:tblPr>
  </w:style>
  <w:style w:type="table" w:styleId="1192" w:customStyle="1">
    <w:name w:val="Bordered - Accent 6"/>
    <w:uiPriority w:val="99"/>
    <w:qFormat/>
    <w:tblPr>
      <w:tblCellMar>
        <w:left w:w="0" w:type="dxa"/>
        <w:top w:w="0" w:type="dxa"/>
        <w:right w:w="0" w:type="dxa"/>
        <w:bottom w:w="0" w:type="dxa"/>
      </w:tblCellMar>
    </w:tblPr>
  </w:style>
  <w:style w:type="paragraph" w:styleId="1193" w:customStyle="1">
    <w:name w:val="TOC 标题11"/>
    <w:uiPriority w:val="39"/>
    <w:unhideWhenUsed/>
    <w:qFormat/>
    <w:rPr>
      <w:rFonts w:ascii="Times New Roman" w:hAnsi="Times New Roman" w:eastAsia="宋体" w:cs="Times New Roman"/>
      <w:lang w:val="en-US" w:eastAsia="zh-CN" w:bidi="ar-SA"/>
    </w:rPr>
  </w:style>
  <w:style w:type="paragraph" w:styleId="1194" w:customStyle="1">
    <w:name w:val="正文缩进1"/>
    <w:basedOn w:val="840"/>
    <w:uiPriority w:val="99"/>
    <w:qFormat/>
    <w:pPr>
      <w:ind w:firstLine="420"/>
    </w:pPr>
  </w:style>
  <w:style w:type="paragraph" w:styleId="1195" w:customStyle="1">
    <w:name w:val="标题 31"/>
    <w:basedOn w:val="840"/>
    <w:next w:val="840"/>
    <w:uiPriority w:val="0"/>
    <w:qFormat/>
    <w:pPr>
      <w:jc w:val="left"/>
      <w:spacing w:beforeAutospacing="1" w:afterAutospacing="1"/>
      <w:outlineLvl w:val="2"/>
    </w:pPr>
    <w:rPr>
      <w:rFonts w:hint="eastAsia" w:ascii="宋体" w:hAnsi="宋体"/>
      <w:b/>
      <w:bCs/>
      <w:sz w:val="27"/>
      <w:szCs w:val="27"/>
    </w:rPr>
  </w:style>
  <w:style w:type="character" w:styleId="1196" w:customStyle="1">
    <w:name w:val="默认段落字体1"/>
    <w:uiPriority w:val="1"/>
    <w:unhideWhenUsed/>
    <w:qFormat/>
  </w:style>
  <w:style w:type="table" w:styleId="1197" w:customStyle="1">
    <w:name w:val="普通表格1"/>
    <w:uiPriority w:val="99"/>
    <w:unhideWhenUsed/>
    <w:qFormat/>
    <w:tblPr>
      <w:tblCellMar>
        <w:left w:w="0" w:type="dxa"/>
        <w:top w:w="0" w:type="dxa"/>
        <w:right w:w="0" w:type="dxa"/>
        <w:bottom w:w="0" w:type="dxa"/>
      </w:tblCellMar>
    </w:tblPr>
  </w:style>
  <w:style w:type="paragraph" w:styleId="1198" w:customStyle="1">
    <w:name w:val="文本块111"/>
    <w:basedOn w:val="840"/>
    <w:uiPriority w:val="0"/>
    <w:qFormat/>
    <w:pPr>
      <w:ind w:left="256" w:right="6" w:firstLine="624"/>
    </w:pPr>
    <w:rPr>
      <w:rFonts w:eastAsia="仿宋_GB2312"/>
      <w:sz w:val="28"/>
      <w:szCs w:val="20"/>
    </w:rPr>
  </w:style>
  <w:style w:type="paragraph" w:styleId="1199" w:customStyle="1">
    <w:name w:val="索引 511"/>
    <w:basedOn w:val="840"/>
    <w:next w:val="840"/>
    <w:uiPriority w:val="0"/>
    <w:qFormat/>
    <w:pPr>
      <w:ind w:left="798"/>
      <w:jc w:val="left"/>
    </w:pPr>
  </w:style>
  <w:style w:type="paragraph" w:styleId="1200" w:customStyle="1">
    <w:name w:val="批注文字1"/>
    <w:basedOn w:val="840"/>
    <w:uiPriority w:val="0"/>
    <w:qFormat/>
    <w:pPr>
      <w:jc w:val="left"/>
    </w:pPr>
  </w:style>
  <w:style w:type="paragraph" w:styleId="1201" w:customStyle="1">
    <w:name w:val="正文文本111"/>
    <w:basedOn w:val="840"/>
    <w:next w:val="903"/>
    <w:link w:val="1202"/>
    <w:uiPriority w:val="0"/>
    <w:qFormat/>
    <w:rPr>
      <w:rFonts w:ascii="Verdana" w:hAnsi="Verdana"/>
      <w:sz w:val="24"/>
      <w:szCs w:val="18"/>
    </w:rPr>
  </w:style>
  <w:style w:type="character" w:styleId="1202" w:customStyle="1">
    <w:name w:val="正文文本 Char"/>
    <w:basedOn w:val="1196"/>
    <w:link w:val="1201"/>
    <w:uiPriority w:val="0"/>
    <w:qFormat/>
    <w:rPr>
      <w:rFonts w:ascii="Verdana" w:hAnsi="Verdana"/>
      <w:sz w:val="24"/>
      <w:szCs w:val="18"/>
    </w:rPr>
  </w:style>
  <w:style w:type="paragraph" w:styleId="1203" w:customStyle="1">
    <w:name w:val="纯文本1"/>
    <w:basedOn w:val="1016"/>
    <w:uiPriority w:val="0"/>
    <w:qFormat/>
    <w:rPr>
      <w:rFonts w:ascii="宋体" w:hAnsi="Courier New"/>
    </w:rPr>
  </w:style>
  <w:style w:type="paragraph" w:styleId="1204" w:customStyle="1">
    <w:name w:val="BlockQuote1"/>
    <w:basedOn w:val="898"/>
    <w:uiPriority w:val="0"/>
    <w:qFormat/>
    <w:pPr>
      <w:ind w:left="256" w:right="6" w:firstLine="624"/>
    </w:pPr>
    <w:rPr>
      <w:rFonts w:eastAsia="仿宋_GB2312"/>
      <w:sz w:val="28"/>
    </w:rPr>
  </w:style>
  <w:style w:type="paragraph" w:styleId="1205" w:customStyle="1">
    <w:name w:val="日期1"/>
    <w:basedOn w:val="840"/>
    <w:next w:val="840"/>
    <w:uiPriority w:val="0"/>
    <w:qFormat/>
    <w:rPr>
      <w:rFonts w:eastAsia="仿宋_GB2312"/>
      <w:sz w:val="28"/>
      <w:szCs w:val="20"/>
    </w:rPr>
  </w:style>
  <w:style w:type="paragraph" w:styleId="1206" w:customStyle="1">
    <w:name w:val="批注框文本1"/>
    <w:basedOn w:val="840"/>
    <w:link w:val="1207"/>
    <w:uiPriority w:val="0"/>
    <w:qFormat/>
    <w:rPr>
      <w:sz w:val="18"/>
      <w:szCs w:val="18"/>
    </w:rPr>
  </w:style>
  <w:style w:type="character" w:styleId="1207" w:customStyle="1">
    <w:name w:val="批注框文本 Char"/>
    <w:basedOn w:val="1196"/>
    <w:link w:val="1206"/>
    <w:uiPriority w:val="0"/>
    <w:qFormat/>
    <w:rPr>
      <w:rFonts w:ascii="Calibri" w:hAnsi="Calibri" w:eastAsia="宋体" w:cs="Times New Roman"/>
      <w:sz w:val="18"/>
      <w:szCs w:val="18"/>
    </w:rPr>
  </w:style>
  <w:style w:type="paragraph" w:styleId="1208" w:customStyle="1">
    <w:name w:val="页脚1"/>
    <w:basedOn w:val="840"/>
    <w:uiPriority w:val="0"/>
    <w:qFormat/>
    <w:pPr>
      <w:jc w:val="left"/>
      <w:tabs>
        <w:tab w:val="center" w:pos="4153" w:leader="none"/>
        <w:tab w:val="right" w:pos="8306" w:leader="none"/>
      </w:tabs>
    </w:pPr>
    <w:rPr>
      <w:sz w:val="18"/>
    </w:rPr>
  </w:style>
  <w:style w:type="paragraph" w:styleId="1209" w:customStyle="1">
    <w:name w:val="页眉1"/>
    <w:basedOn w:val="840"/>
    <w:uiPriority w:val="0"/>
    <w:qFormat/>
    <w:pPr>
      <w:jc w:val="center"/>
      <w:tabs>
        <w:tab w:val="center" w:pos="4153" w:leader="none"/>
        <w:tab w:val="right" w:pos="8306" w:leader="none"/>
      </w:tabs>
      <w:pBdr>
        <w:bottom w:val="single" w:color="000000" w:sz="6" w:space="1"/>
      </w:pBdr>
    </w:pPr>
    <w:rPr>
      <w:sz w:val="18"/>
      <w:szCs w:val="18"/>
    </w:rPr>
  </w:style>
  <w:style w:type="paragraph" w:styleId="1210" w:customStyle="1">
    <w:name w:val="脚注文本11"/>
    <w:basedOn w:val="840"/>
    <w:next w:val="1199"/>
    <w:link w:val="1211"/>
    <w:uiPriority w:val="0"/>
    <w:qFormat/>
    <w:pPr>
      <w:jc w:val="left"/>
    </w:pPr>
    <w:rPr>
      <w:rFonts w:ascii="宋体" w:eastAsia="Times New Roman"/>
      <w:sz w:val="18"/>
      <w:szCs w:val="18"/>
    </w:rPr>
  </w:style>
  <w:style w:type="character" w:styleId="1211" w:customStyle="1">
    <w:name w:val="脚注文本 Char"/>
    <w:basedOn w:val="1196"/>
    <w:link w:val="1210"/>
    <w:uiPriority w:val="0"/>
    <w:qFormat/>
    <w:rPr>
      <w:rFonts w:ascii="宋体" w:hAnsi="Calibri" w:eastAsia="Times New Roman"/>
      <w:sz w:val="18"/>
      <w:szCs w:val="18"/>
    </w:rPr>
  </w:style>
  <w:style w:type="paragraph" w:styleId="1212" w:customStyle="1">
    <w:name w:val="普通(网站)1"/>
    <w:basedOn w:val="840"/>
    <w:uiPriority w:val="0"/>
    <w:qFormat/>
    <w:pPr>
      <w:jc w:val="left"/>
      <w:spacing w:beforeAutospacing="1" w:afterAutospacing="1"/>
    </w:pPr>
    <w:rPr>
      <w:sz w:val="24"/>
    </w:rPr>
  </w:style>
  <w:style w:type="table" w:styleId="1213" w:customStyle="1">
    <w:name w:val="网格型1"/>
    <w:basedOn w:val="1197"/>
    <w:uiPriority w:val="59"/>
    <w:qFormat/>
    <w:rPr>
      <w:rFonts w:ascii="Calibri" w:hAnsi="Calibri"/>
      <w:sz w:val="21"/>
      <w:szCs w:val="22"/>
    </w:rPr>
    <w:tblPr/>
  </w:style>
  <w:style w:type="character" w:styleId="1214" w:customStyle="1">
    <w:name w:val="页码1"/>
    <w:basedOn w:val="1196"/>
    <w:uiPriority w:val="0"/>
    <w:qFormat/>
  </w:style>
  <w:style w:type="character" w:styleId="1215" w:customStyle="1">
    <w:name w:val="超链接1"/>
    <w:uiPriority w:val="99"/>
    <w:qFormat/>
    <w:rPr>
      <w:rFonts w:cs="Times New Roman"/>
      <w:color w:val="0000ff"/>
      <w:u w:val="single"/>
    </w:rPr>
  </w:style>
  <w:style w:type="character" w:styleId="1216" w:customStyle="1">
    <w:name w:val="批注引用1"/>
    <w:basedOn w:val="1196"/>
    <w:uiPriority w:val="0"/>
    <w:qFormat/>
    <w:rPr>
      <w:sz w:val="21"/>
      <w:szCs w:val="21"/>
    </w:rPr>
  </w:style>
  <w:style w:type="paragraph" w:styleId="1217" w:customStyle="1">
    <w:name w:val="BlockQuote11"/>
    <w:basedOn w:val="840"/>
    <w:uiPriority w:val="0"/>
    <w:qFormat/>
    <w:pPr>
      <w:ind w:left="256" w:right="6" w:firstLine="624"/>
    </w:pPr>
    <w:rPr>
      <w:rFonts w:eastAsia="仿宋_GB2312"/>
      <w:sz w:val="28"/>
    </w:rPr>
  </w:style>
  <w:style w:type="paragraph" w:styleId="1218" w:customStyle="1">
    <w:name w:val="Default"/>
    <w:next w:val="840"/>
    <w:uiPriority w:val="0"/>
    <w:qFormat/>
    <w:pPr>
      <w:widowControl w:val="off"/>
    </w:pPr>
    <w:rPr>
      <w:rFonts w:ascii="Times New Roman" w:hAnsi="Times New Roman" w:eastAsia="宋体" w:cs="Calibri"/>
      <w:color w:val="000000"/>
      <w:sz w:val="24"/>
      <w:szCs w:val="24"/>
      <w:lang w:val="en-US" w:eastAsia="zh-CN" w:bidi="ar-SA"/>
    </w:rPr>
  </w:style>
  <w:style w:type="character" w:styleId="1219" w:customStyle="1">
    <w:name w:val="font81"/>
    <w:basedOn w:val="1196"/>
    <w:uiPriority w:val="0"/>
    <w:qFormat/>
    <w:rPr>
      <w:rFonts w:hint="eastAsia" w:ascii="宋体" w:hAnsi="宋体" w:eastAsia="宋体" w:cs="宋体"/>
      <w:color w:val="ff0000"/>
      <w:sz w:val="20"/>
      <w:szCs w:val="20"/>
      <w:u w:val="none"/>
    </w:rPr>
  </w:style>
  <w:style w:type="character" w:styleId="1220" w:customStyle="1">
    <w:name w:val="font71"/>
    <w:basedOn w:val="1196"/>
    <w:uiPriority w:val="0"/>
    <w:qFormat/>
    <w:rPr>
      <w:rFonts w:hint="eastAsia" w:ascii="宋体" w:hAnsi="宋体" w:eastAsia="宋体" w:cs="宋体"/>
      <w:color w:val="000000"/>
      <w:sz w:val="20"/>
      <w:szCs w:val="20"/>
      <w:u w:val="none"/>
    </w:rPr>
  </w:style>
  <w:style w:type="character" w:styleId="1221" w:customStyle="1">
    <w:name w:val="font01"/>
    <w:basedOn w:val="974"/>
    <w:uiPriority w:val="0"/>
    <w:qFormat/>
    <w:rPr>
      <w:rFonts w:hint="eastAsia" w:ascii="宋体" w:hAnsi="宋体" w:eastAsia="宋体" w:cs="宋体"/>
      <w:color w:val="000000"/>
      <w:sz w:val="21"/>
      <w:szCs w:val="21"/>
      <w:u w:val="none"/>
    </w:rPr>
  </w:style>
  <w:style w:type="character" w:styleId="1222" w:customStyle="1">
    <w:name w:val="font21"/>
    <w:basedOn w:val="1196"/>
    <w:uiPriority w:val="0"/>
    <w:qFormat/>
    <w:rPr>
      <w:rFonts w:hint="eastAsia" w:ascii="宋体" w:hAnsi="宋体" w:eastAsia="宋体" w:cs="宋体"/>
      <w:color w:val="000000"/>
      <w:sz w:val="20"/>
      <w:szCs w:val="20"/>
      <w:u w:val="none"/>
    </w:rPr>
  </w:style>
  <w:style w:type="character" w:styleId="1223" w:customStyle="1">
    <w:name w:val="font112"/>
    <w:basedOn w:val="1196"/>
    <w:uiPriority w:val="0"/>
    <w:qFormat/>
    <w:rPr>
      <w:rFonts w:hint="eastAsia" w:ascii="宋体" w:hAnsi="宋体" w:eastAsia="宋体" w:cs="宋体"/>
      <w:color w:val="000000"/>
      <w:sz w:val="20"/>
      <w:szCs w:val="20"/>
      <w:u w:val="none"/>
    </w:rPr>
  </w:style>
  <w:style w:type="character" w:styleId="1224" w:customStyle="1">
    <w:name w:val="font101"/>
    <w:basedOn w:val="1196"/>
    <w:uiPriority w:val="0"/>
    <w:qFormat/>
    <w:rPr>
      <w:rFonts w:hint="eastAsia" w:ascii="宋体" w:hAnsi="宋体" w:eastAsia="宋体" w:cs="宋体"/>
      <w:color w:val="ff0000"/>
      <w:sz w:val="20"/>
      <w:szCs w:val="20"/>
      <w:u w:val="none"/>
    </w:rPr>
  </w:style>
  <w:style w:type="character" w:styleId="1225" w:customStyle="1">
    <w:name w:val="font91"/>
    <w:basedOn w:val="1196"/>
    <w:uiPriority w:val="0"/>
    <w:qFormat/>
    <w:rPr>
      <w:rFonts w:hint="eastAsia" w:ascii="宋体" w:hAnsi="宋体" w:eastAsia="宋体" w:cs="宋体"/>
      <w:color w:val="000000"/>
      <w:sz w:val="20"/>
      <w:szCs w:val="20"/>
      <w:u w:val="none"/>
    </w:rPr>
  </w:style>
  <w:style w:type="character" w:styleId="1226" w:customStyle="1">
    <w:name w:val="NormalCharacter11"/>
    <w:uiPriority w:val="0"/>
    <w:qFormat/>
    <w:rPr>
      <w:lang w:val="en-US" w:eastAsia="zh-CN" w:bidi="ar-SA"/>
    </w:rPr>
  </w:style>
  <w:style w:type="paragraph" w:styleId="1227" w:customStyle="1">
    <w:name w:val="Heading21"/>
    <w:basedOn w:val="840"/>
    <w:next w:val="840"/>
    <w:uiPriority w:val="0"/>
    <w:qFormat/>
    <w:pPr>
      <w:keepLines/>
      <w:keepNext/>
    </w:pPr>
    <w:rPr>
      <w:rFonts w:ascii="Arial" w:hAnsi="Arial"/>
      <w:sz w:val="28"/>
    </w:rPr>
  </w:style>
  <w:style w:type="paragraph" w:styleId="1228" w:customStyle="1">
    <w:name w:val="标准"/>
    <w:basedOn w:val="840"/>
    <w:uiPriority w:val="0"/>
    <w:qFormat/>
    <w:pPr>
      <w:ind w:firstLine="200"/>
      <w:spacing w:line="360" w:lineRule="auto"/>
    </w:pPr>
    <w:rPr>
      <w:rFonts w:cs="宋体"/>
      <w:szCs w:val="20"/>
    </w:rPr>
  </w:style>
  <w:style w:type="paragraph" w:styleId="1229" w:customStyle="1">
    <w:name w:val="列出段落2"/>
    <w:basedOn w:val="840"/>
    <w:uiPriority w:val="34"/>
    <w:qFormat/>
    <w:pPr>
      <w:ind w:firstLine="420"/>
    </w:pPr>
  </w:style>
  <w:style w:type="paragraph" w:styleId="1230" w:customStyle="1">
    <w:name w:val="正文（缩进）"/>
    <w:basedOn w:val="840"/>
    <w:uiPriority w:val="0"/>
    <w:qFormat/>
    <w:pPr>
      <w:ind w:firstLine="480"/>
      <w:spacing w:line="360" w:lineRule="auto"/>
    </w:pPr>
    <w:rPr>
      <w:sz w:val="24"/>
    </w:rPr>
  </w:style>
  <w:style w:type="paragraph" w:styleId="1231" w:customStyle="1">
    <w:name w:val="Table Paragraph"/>
    <w:basedOn w:val="898"/>
    <w:uiPriority w:val="0"/>
    <w:qFormat/>
    <w:pPr>
      <w:jc w:val="left"/>
      <w:widowControl w:val="off"/>
    </w:pPr>
    <w:rPr>
      <w:rFonts w:ascii="仿宋" w:hAnsi="仿宋" w:eastAsia="仿宋"/>
      <w:sz w:val="22"/>
      <w:szCs w:val="22"/>
    </w:rPr>
  </w:style>
  <w:style w:type="paragraph" w:styleId="1232" w:customStyle="1">
    <w:name w:val="p0"/>
    <w:basedOn w:val="840"/>
    <w:uiPriority w:val="0"/>
    <w:qFormat/>
  </w:style>
  <w:style w:type="paragraph" w:styleId="1233" w:customStyle="1">
    <w:name w:val="Normal1"/>
    <w:uiPriority w:val="0"/>
    <w:qFormat/>
    <w:pPr>
      <w:jc w:val="both"/>
    </w:pPr>
    <w:rPr>
      <w:rFonts w:ascii="Times New Roman" w:hAnsi="Times New Roman" w:eastAsia="宋体" w:cs="Times New Roman"/>
      <w:sz w:val="21"/>
      <w:szCs w:val="21"/>
      <w:lang w:val="en-US" w:eastAsia="zh-CN" w:bidi="ar-SA"/>
    </w:rPr>
  </w:style>
  <w:style w:type="character" w:styleId="1234" w:customStyle="1">
    <w:name w:val="font61"/>
    <w:basedOn w:val="850"/>
    <w:uiPriority w:val="0"/>
    <w:qFormat/>
    <w:rPr>
      <w:rFonts w:ascii="Calibri" w:hAnsi="Calibri" w:cs="Calibri"/>
      <w:color w:val="000000"/>
      <w:sz w:val="24"/>
      <w:szCs w:val="24"/>
      <w:u w:val="none"/>
    </w:rPr>
  </w:style>
  <w:style w:type="character" w:styleId="1235" w:customStyle="1">
    <w:name w:val="font11"/>
    <w:basedOn w:val="974"/>
    <w:uiPriority w:val="99"/>
    <w:qFormat/>
    <w:rPr>
      <w:rFonts w:hint="eastAsia" w:ascii="宋体" w:hAnsi="宋体" w:eastAsia="宋体" w:cs="宋体"/>
      <w:color w:val="000000"/>
      <w:sz w:val="22"/>
      <w:szCs w:val="22"/>
      <w:u w:val="none"/>
    </w:rPr>
  </w:style>
  <w:style w:type="table" w:styleId="1236" w:customStyle="1">
    <w:name w:val="网格型6"/>
    <w:basedOn w:val="1039"/>
    <w:uiPriority w:val="99"/>
    <w:unhideWhenUsed/>
    <w:qFormat/>
    <w:rPr>
      <w:rFonts w:eastAsia="Times New Roman"/>
    </w:rPr>
    <w:tblPr/>
  </w:style>
  <w:style w:type="table" w:styleId="1237" w:customStyle="1">
    <w:name w:val="Table Normal"/>
    <w:uiPriority w:val="2"/>
    <w:unhideWhenUsed/>
    <w:qFormat/>
    <w:pPr>
      <w:widowControl w:val="off"/>
    </w:pPr>
    <w:rPr>
      <w:sz w:val="22"/>
      <w:lang w:eastAsia="en-US"/>
    </w:rPr>
    <w:tblPr>
      <w:tblCellMar>
        <w:left w:w="0" w:type="dxa"/>
        <w:top w:w="0" w:type="dxa"/>
        <w:right w:w="0" w:type="dxa"/>
        <w:bottom w:w="0" w:type="dxa"/>
      </w:tblCellMar>
    </w:tblPr>
  </w:style>
  <w:style w:type="paragraph" w:styleId="1238" w:customStyle="1">
    <w:name w:val="WPSOffice手动目录 1"/>
    <w:uiPriority w:val="0"/>
    <w:qFormat/>
    <w:rPr>
      <w:rFonts w:ascii="Times New Roman" w:hAnsi="Times New Roman" w:eastAsia="宋体" w:cs="Times New Roman"/>
      <w:lang w:val="en-US" w:eastAsia="zh-CN" w:bidi="ar-SA"/>
    </w:rPr>
  </w:style>
  <w:style w:type="paragraph" w:styleId="1239" w:customStyle="1">
    <w:name w:val="列出段落"/>
    <w:basedOn w:val="898"/>
    <w:uiPriority w:val="0"/>
    <w:qFormat/>
    <w:pPr>
      <w:ind w:firstLine="420"/>
    </w:pPr>
    <w:rPr>
      <w:sz w:val="21"/>
    </w:rPr>
  </w:style>
  <w:style w:type="paragraph" w:styleId="1240" w:customStyle="1">
    <w:name w:val="*正文"/>
    <w:basedOn w:val="840"/>
    <w:uiPriority w:val="0"/>
    <w:qFormat/>
    <w:rPr>
      <w:rFonts w:ascii="Calibri" w:hAnsi="Calibri"/>
    </w:rPr>
  </w:style>
  <w:style w:type="character" w:styleId="1241" w:customStyle="1">
    <w:name w:val="font31"/>
    <w:uiPriority w:val="99"/>
    <w:qFormat/>
    <w:rPr>
      <w:rFonts w:ascii="宋体" w:hAnsi="宋体" w:eastAsia="宋体" w:cs="宋体"/>
      <w:color w:val="000000"/>
      <w:sz w:val="22"/>
      <w:szCs w:val="22"/>
      <w:u w:val="none"/>
    </w:rPr>
  </w:style>
  <w:style w:type="paragraph" w:styleId="1242" w:customStyle="1">
    <w:name w:val="修订1"/>
    <w:hidden/>
    <w:uiPriority w:val="99"/>
    <w:unhideWhenUsed/>
    <w:qFormat/>
    <w:rPr>
      <w:rFonts w:ascii="Times New Roman" w:hAnsi="Times New Roman" w:eastAsia="宋体" w:cs="Times New Roman"/>
      <w:sz w:val="21"/>
      <w:szCs w:val="21"/>
      <w:lang w:val="en-US" w:eastAsia="zh-CN" w:bidi="ar-SA"/>
    </w:rPr>
  </w:style>
  <w:style w:type="paragraph" w:styleId="1243" w:customStyle="1">
    <w:name w:val="修订2"/>
    <w:hidden/>
    <w:uiPriority w:val="99"/>
    <w:unhideWhenUsed/>
    <w:qFormat/>
    <w:rPr>
      <w:rFonts w:ascii="Times New Roman" w:hAnsi="Times New Roman" w:eastAsia="宋体" w:cs="Times New Roman"/>
      <w:sz w:val="21"/>
      <w:szCs w:val="21"/>
      <w:lang w:val="en-US" w:eastAsia="zh-CN" w:bidi="ar-SA"/>
    </w:rPr>
  </w:style>
  <w:style w:type="paragraph" w:styleId="1244" w:customStyle="1">
    <w:name w:val="Revision"/>
    <w:hidden/>
    <w:uiPriority w:val="99"/>
    <w:unhideWhenUsed/>
    <w:qFormat/>
    <w:rPr>
      <w:rFonts w:ascii="Times New Roman" w:hAnsi="Times New Roman" w:eastAsia="宋体" w:cs="Times New Roman"/>
      <w:sz w:val="21"/>
      <w:szCs w:val="21"/>
      <w:lang w:val="en-US" w:eastAsia="zh-CN" w:bidi="ar-SA"/>
    </w:rPr>
  </w:style>
  <w:style w:type="paragraph" w:styleId="1245" w:customStyle="1">
    <w:name w:val="列表段落1"/>
    <w:basedOn w:val="887"/>
    <w:next w:val="840"/>
    <w:uiPriority w:val="99"/>
    <w:qFormat/>
    <w:pPr>
      <w:ind w:firstLine="420"/>
    </w:pPr>
  </w:style>
  <w:style w:type="numbering" w:styleId="12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2.jpg"/><Relationship Id="rId18"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9C954501-220C-4830-B5E0-66AC5835F4D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永</dc:creator>
  <cp:lastModifiedBy>夏海燕</cp:lastModifiedBy>
  <cp:revision>17</cp:revision>
  <dcterms:created xsi:type="dcterms:W3CDTF">2026-06-10T08:02:00Z</dcterms:created>
  <dcterms:modified xsi:type="dcterms:W3CDTF">2026-07-30T08:44:16Z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eyJoZGlkIjoiMzMzN2IxYzJkNmUyZjE4ZTFjNTM0N2U4YzQ5MjVlYWIiLCJ1c2VySWQiOiIyODI0Nzc1NjYifQ==</vt:lpwstr>
  </property>
  <property fmtid="{D5CDD505-2E9C-101B-9397-08002B2CF9AE}" pid="3" name="KSOProductBuildVer">
    <vt:lpwstr>2052-12.1.0.28043</vt:lpwstr>
  </property>
  <property fmtid="{D5CDD505-2E9C-101B-9397-08002B2CF9AE}" pid="4" name="ICV">
    <vt:lpwstr>37D53BC57C43433EBC4F20D13687446F_13</vt:lpwstr>
  </property>
</Properties>
</file>