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7FFCB">
      <w:pPr>
        <w:numPr>
          <w:ilvl w:val="0"/>
          <w:numId w:val="0"/>
        </w:numPr>
        <w:ind w:firstLine="560" w:firstLineChars="200"/>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如有建议或意见，请以书面形式并加盖公章、注明联系人、联系方式，于</w:t>
      </w:r>
      <w:r>
        <w:rPr>
          <w:rFonts w:hint="eastAsia" w:ascii="宋体" w:hAnsi="宋体" w:eastAsia="宋体" w:cs="宋体"/>
          <w:sz w:val="28"/>
          <w:szCs w:val="28"/>
          <w:highlight w:val="none"/>
          <w:lang w:eastAsia="zh-CN"/>
        </w:rPr>
        <w:t>2026年</w:t>
      </w: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24</w:t>
      </w:r>
      <w:r>
        <w:rPr>
          <w:rFonts w:hint="eastAsia" w:ascii="宋体" w:hAnsi="宋体" w:eastAsia="宋体" w:cs="宋体"/>
          <w:sz w:val="28"/>
          <w:szCs w:val="28"/>
          <w:highlight w:val="none"/>
        </w:rPr>
        <w:t>日17:00之前送至我单位，逾期不受理（如邮寄，</w:t>
      </w:r>
      <w:r>
        <w:rPr>
          <w:rFonts w:hint="eastAsia" w:ascii="宋体" w:hAnsi="宋体" w:eastAsia="宋体" w:cs="宋体"/>
          <w:sz w:val="28"/>
          <w:szCs w:val="28"/>
          <w:highlight w:val="none"/>
          <w:lang w:eastAsia="zh-CN"/>
        </w:rPr>
        <w:t>2026年</w:t>
      </w: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24</w:t>
      </w:r>
      <w:r>
        <w:rPr>
          <w:rFonts w:hint="eastAsia" w:ascii="宋体" w:hAnsi="宋体" w:eastAsia="宋体" w:cs="宋体"/>
          <w:sz w:val="28"/>
          <w:szCs w:val="28"/>
          <w:highlight w:val="none"/>
        </w:rPr>
        <w:t>日17:00之后到达本公司的邮件将不再受理）。</w:t>
      </w:r>
    </w:p>
    <w:p w14:paraId="67A9E7F0">
      <w:pPr>
        <w:rPr>
          <w:rFonts w:hint="eastAsia" w:ascii="宋体" w:hAnsi="宋体" w:eastAsia="宋体" w:cs="宋体"/>
          <w:b/>
          <w:bCs/>
          <w:color w:val="000000" w:themeColor="text1"/>
          <w:sz w:val="30"/>
          <w:szCs w:val="44"/>
          <w:highlight w:val="none"/>
          <w14:textFill>
            <w14:solidFill>
              <w14:schemeClr w14:val="tx1"/>
            </w14:solidFill>
          </w14:textFill>
        </w:rPr>
      </w:pPr>
      <w:r>
        <w:rPr>
          <w:rFonts w:hint="eastAsia" w:ascii="宋体" w:hAnsi="宋体" w:eastAsia="宋体" w:cs="宋体"/>
          <w:b/>
          <w:bCs/>
          <w:color w:val="000000" w:themeColor="text1"/>
          <w:sz w:val="30"/>
          <w:szCs w:val="44"/>
          <w:highlight w:val="none"/>
          <w14:textFill>
            <w14:solidFill>
              <w14:schemeClr w14:val="tx1"/>
            </w14:solidFill>
          </w14:textFill>
        </w:rPr>
        <w:br w:type="page"/>
      </w:r>
    </w:p>
    <w:p w14:paraId="2A20FE48">
      <w:pPr>
        <w:pStyle w:val="25"/>
        <w:keepNext/>
        <w:keepLines/>
        <w:pageBreakBefore w:val="0"/>
        <w:widowControl w:val="0"/>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第六章  采购需求</w:t>
      </w:r>
    </w:p>
    <w:p w14:paraId="521B5D4A">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一、说明</w:t>
      </w:r>
    </w:p>
    <w:p w14:paraId="6D45E897">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（一）采购人：徐州市文物保护和考古研究所</w:t>
      </w:r>
    </w:p>
    <w:p w14:paraId="1A955DA3">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（二）采购项目名称：土山汉墓发掘报告出版</w:t>
      </w:r>
    </w:p>
    <w:p w14:paraId="7C193C0C">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（三）采购标的：土山汉墓发掘报告出版</w:t>
      </w:r>
    </w:p>
    <w:p w14:paraId="3AD56107">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土山汉墓发掘报告出版对应的中小企业划分标准所属行业为其他未列明行业。</w:t>
      </w:r>
    </w:p>
    <w:p w14:paraId="456C8848">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注：中小企业划分</w:t>
      </w:r>
      <w:r>
        <w:rPr>
          <w:rFonts w:hint="eastAsia" w:ascii="宋体" w:hAnsi="宋体" w:eastAsia="宋体" w:cs="宋体"/>
          <w:sz w:val="30"/>
          <w:szCs w:val="30"/>
          <w:highlight w:val="none"/>
        </w:rPr>
        <w:t>标准所属行业以《工业和信息化部、国家统计局、国家发展和改革委员会、财政部关于印发中小企业划型标准规定的通知》（工信部联企业[2011]300号）的规定为准。</w:t>
      </w:r>
    </w:p>
    <w:p w14:paraId="1CD495A2">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lang w:eastAsia="zh-CN"/>
        </w:rPr>
        <w:t>（</w:t>
      </w:r>
      <w:r>
        <w:rPr>
          <w:rFonts w:hint="eastAsia" w:ascii="宋体" w:hAnsi="宋体" w:eastAsia="宋体" w:cs="宋体"/>
          <w:sz w:val="30"/>
          <w:szCs w:val="30"/>
          <w:highlight w:val="none"/>
          <w:lang w:val="en-US" w:eastAsia="zh-CN"/>
        </w:rPr>
        <w:t>四</w:t>
      </w:r>
      <w:r>
        <w:rPr>
          <w:rFonts w:hint="eastAsia" w:ascii="宋体" w:hAnsi="宋体" w:eastAsia="宋体" w:cs="宋体"/>
          <w:sz w:val="30"/>
          <w:szCs w:val="30"/>
          <w:highlight w:val="none"/>
          <w:lang w:eastAsia="zh-CN"/>
        </w:rPr>
        <w:t>）</w:t>
      </w:r>
      <w:r>
        <w:rPr>
          <w:rFonts w:hint="eastAsia" w:ascii="宋体" w:hAnsi="宋体" w:eastAsia="宋体" w:cs="宋体"/>
          <w:sz w:val="30"/>
          <w:szCs w:val="30"/>
          <w:highlight w:val="none"/>
        </w:rPr>
        <w:t>本项目</w:t>
      </w:r>
      <w:r>
        <w:rPr>
          <w:rFonts w:hint="eastAsia" w:ascii="宋体" w:hAnsi="宋体" w:eastAsia="宋体" w:cs="宋体"/>
          <w:sz w:val="30"/>
          <w:szCs w:val="30"/>
          <w:highlight w:val="none"/>
          <w:lang w:val="en-US" w:eastAsia="zh-CN"/>
        </w:rPr>
        <w:t>不</w:t>
      </w:r>
      <w:r>
        <w:rPr>
          <w:rFonts w:hint="eastAsia" w:ascii="宋体" w:hAnsi="宋体" w:eastAsia="宋体" w:cs="宋体"/>
          <w:sz w:val="30"/>
          <w:szCs w:val="30"/>
          <w:highlight w:val="none"/>
        </w:rPr>
        <w:t>属于专门面向中小企业的项目。</w:t>
      </w:r>
    </w:p>
    <w:p w14:paraId="4C7B79F4">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（五）预算金额为120万元。</w:t>
      </w:r>
      <w:bookmarkStart w:id="4" w:name="_GoBack"/>
      <w:bookmarkEnd w:id="4"/>
    </w:p>
    <w:p w14:paraId="7DBB4313">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（六）服务期限：</w:t>
      </w:r>
    </w:p>
    <w:p w14:paraId="0C263632">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本项目服务期限分为两个阶段：</w:t>
      </w:r>
    </w:p>
    <w:p w14:paraId="59F95363">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采购人交稿阶段：采购人于2026年12月31日前完成全部文稿定稿并移交供应商。具体交稿时间以采购人书面通知为准。</w:t>
      </w:r>
    </w:p>
    <w:p w14:paraId="3E32A8E7">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供应商出版交付阶段：自采购人向供应商提交完整定稿之日起12个月内，供应商须完成全部出版印制及成品交付验收工作。</w:t>
      </w:r>
    </w:p>
    <w:p w14:paraId="26ED1003">
      <w:pPr>
        <w:spacing w:line="520" w:lineRule="exact"/>
        <w:ind w:firstLine="602" w:firstLineChars="200"/>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报价包括但不限于所有人工费、差旅费、书号管理费、编审费、排版设计费、印刷费、耗材费、技术服务费、相关税费等全部费用，采购人不再支付报价以外的任何费用。</w:t>
      </w:r>
    </w:p>
    <w:p w14:paraId="7A25BF18">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 xml:space="preserve">二、项目背景 </w:t>
      </w:r>
    </w:p>
    <w:p w14:paraId="5AA223A6">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土山汉墓位于徐州云龙山北麓徐州博物馆院内，是全国唯一被“馆藏”在博物馆院内的东汉诸侯王陵墓，曾荣获“2020年度全国十大考古新发现”。墓葬结构复杂，出土各类文物近5000件（套），封土中出土封泥4500余枚。墓主身份经综合研究锁定为东汉第一代彭城王刘恭。本报告将成为研究东汉诸侯王陵墓制度、徐州汉代历史的重要学术成果。因此，本项目的出版服务须达到国内一流考古报告的学术水准和印制质量。</w:t>
      </w:r>
    </w:p>
    <w:p w14:paraId="50868902">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三、项目概况</w:t>
      </w:r>
    </w:p>
    <w:p w14:paraId="154A91C5">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 xml:space="preserve"> 本项目为土山汉墓考古发掘报告出版服务采购。系统梳理土山汉墓考古勘探、发掘、文物整理、现场保护等全过程资料，整合墓葬形制结构、出土文物、石刻铭文及专项研究成果。服务内容包含文稿整编、图文校对、排版设计、装帧印刷、出版报审、成品交付等全部工作。成品需符合考古类出版物规范与国家图书印制质量标准，内容严谨、图文规范，保障学术性与专业性，按期完成出版印制及交付，为汉代陵墓考古研究提供权威资料支撑。</w:t>
      </w:r>
    </w:p>
    <w:p w14:paraId="43244C37">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四、服务要求</w:t>
      </w:r>
    </w:p>
    <w:p w14:paraId="3C3E8E11">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lang w:eastAsia="zh-CN"/>
        </w:rPr>
        <w:t>（</w:t>
      </w:r>
      <w:r>
        <w:rPr>
          <w:rFonts w:hint="eastAsia" w:ascii="宋体" w:hAnsi="宋体" w:eastAsia="宋体" w:cs="宋体"/>
          <w:sz w:val="30"/>
          <w:szCs w:val="30"/>
          <w:highlight w:val="none"/>
          <w:lang w:val="en-US" w:eastAsia="zh-CN"/>
        </w:rPr>
        <w:t>一</w:t>
      </w:r>
      <w:r>
        <w:rPr>
          <w:rFonts w:hint="eastAsia" w:ascii="宋体" w:hAnsi="宋体" w:eastAsia="宋体" w:cs="宋体"/>
          <w:sz w:val="30"/>
          <w:szCs w:val="30"/>
          <w:highlight w:val="none"/>
          <w:lang w:eastAsia="zh-CN"/>
        </w:rPr>
        <w:t>）</w:t>
      </w:r>
      <w:r>
        <w:rPr>
          <w:rFonts w:hint="eastAsia" w:ascii="宋体" w:hAnsi="宋体" w:eastAsia="宋体" w:cs="宋体"/>
          <w:sz w:val="30"/>
          <w:szCs w:val="30"/>
          <w:highlight w:val="none"/>
        </w:rPr>
        <w:t xml:space="preserve">考古文稿整编与学术编审 </w:t>
      </w:r>
    </w:p>
    <w:p w14:paraId="4CA8D141">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（1）系统梳理土山汉墓考古勘探、田野发掘、文物清理、现场保护、资料整理全周期原始档案、文字初稿、发掘记录、工作日志、科研文稿；</w:t>
      </w:r>
    </w:p>
    <w:p w14:paraId="36B4546A">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（2）统一全书考古术语、编号体系、计量单位、墓葬定名、文物定名、地层编号，严格遵循《考古发掘报告编写规范》《文物出版物体例规范》；</w:t>
      </w:r>
    </w:p>
    <w:p w14:paraId="33CD7AF4">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3）完成初审、复审、终审三级编审：初审核查内容完整性、逻辑结构、篇章体例；复审专项核对墓葬形制数据、文物尺寸、材质、纹饰、铭文、线图、照片对应关系；终审把控学术结论、研究观点、内容严谨性；</w:t>
      </w:r>
    </w:p>
    <w:p w14:paraId="3DF5A639">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（4）开展三次全面校对 + 专项校对：文字校对、标点校对、数据校对、图文对应校对、拓片/铭文释文校对、编号校对；逐页修正错字、漏字、衍字、专业错误、格式错误；</w:t>
      </w:r>
    </w:p>
    <w:p w14:paraId="61591A6E">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5）全程配合考古专家组、文物主管部门审稿，按修改意见完成文稿增补、删减、调整、润色，直至学术定稿，留存全套审稿记录、修改台账。供应商需配合采购人合理学术修改，常规篇章调整、图文校对修改全部免费；因采购人提出全书体例重构、大规模内容重编等颠覆性修改，双方另行协商（费用按国家出版行业编审费标准或市场公允价格结算，由双方签订补充协议确认），不纳入本次包干服务范围。</w:t>
      </w:r>
    </w:p>
    <w:p w14:paraId="08BA358F">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lang w:eastAsia="zh-CN"/>
        </w:rPr>
        <w:t>（</w:t>
      </w:r>
      <w:r>
        <w:rPr>
          <w:rFonts w:hint="eastAsia" w:ascii="宋体" w:hAnsi="宋体" w:eastAsia="宋体" w:cs="宋体"/>
          <w:sz w:val="30"/>
          <w:szCs w:val="30"/>
          <w:highlight w:val="none"/>
          <w:lang w:val="en-US" w:eastAsia="zh-CN"/>
        </w:rPr>
        <w:t>二</w:t>
      </w:r>
      <w:r>
        <w:rPr>
          <w:rFonts w:hint="eastAsia" w:ascii="宋体" w:hAnsi="宋体" w:eastAsia="宋体" w:cs="宋体"/>
          <w:sz w:val="30"/>
          <w:szCs w:val="30"/>
          <w:highlight w:val="none"/>
          <w:lang w:eastAsia="zh-CN"/>
        </w:rPr>
        <w:t>）</w:t>
      </w:r>
      <w:r>
        <w:rPr>
          <w:rFonts w:hint="eastAsia" w:ascii="宋体" w:hAnsi="宋体" w:eastAsia="宋体" w:cs="宋体"/>
          <w:sz w:val="30"/>
          <w:szCs w:val="30"/>
          <w:highlight w:val="none"/>
        </w:rPr>
        <w:t xml:space="preserve">图片、线图、拓片、图文处理 </w:t>
      </w:r>
    </w:p>
    <w:p w14:paraId="5265C718">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（1）统一处理考古现场照片、文物摄影、航拍图、墓葬结构图、平剖面图、测绘线图、石刻拓片、铭文照片等全部图料；</w:t>
      </w:r>
    </w:p>
    <w:p w14:paraId="5CF688C7">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（2）图片处理要求：高清校色、瑕疵修复、除尘、匀光、色彩还原，文物纹饰、铭文、线条清晰可辨，符合考古图版出版标准；</w:t>
      </w:r>
    </w:p>
    <w:p w14:paraId="57B8930E">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（3）按照考古规范完成图号、图名、图注、图例、比例尺编制，做到一图一注、图文一一对应；</w:t>
      </w:r>
    </w:p>
    <w:p w14:paraId="1B94CCDD">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（4）完成彩版、黑白图版、插页、跨页大图、拉页的分区编排，全书图版体例统一、排序合规；</w:t>
      </w:r>
    </w:p>
    <w:p w14:paraId="4250FBC9">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（5）所有图片、线图、拓片源文件归档，交付可编辑高清文件（格式要求：未压缩原图，TIFF或JPEG格式，分辨率不低于300dpi；线图需提供矢量格式，AI、CDR或EPS）。</w:t>
      </w:r>
    </w:p>
    <w:p w14:paraId="3428EF7F">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lang w:eastAsia="zh-CN"/>
        </w:rPr>
        <w:t>（</w:t>
      </w:r>
      <w:r>
        <w:rPr>
          <w:rFonts w:hint="eastAsia" w:ascii="宋体" w:hAnsi="宋体" w:eastAsia="宋体" w:cs="宋体"/>
          <w:sz w:val="30"/>
          <w:szCs w:val="30"/>
          <w:highlight w:val="none"/>
          <w:lang w:val="en-US" w:eastAsia="zh-CN"/>
        </w:rPr>
        <w:t>三</w:t>
      </w:r>
      <w:r>
        <w:rPr>
          <w:rFonts w:hint="eastAsia" w:ascii="宋体" w:hAnsi="宋体" w:eastAsia="宋体" w:cs="宋体"/>
          <w:sz w:val="30"/>
          <w:szCs w:val="30"/>
          <w:highlight w:val="none"/>
          <w:lang w:eastAsia="zh-CN"/>
        </w:rPr>
        <w:t>）</w:t>
      </w:r>
      <w:r>
        <w:rPr>
          <w:rFonts w:hint="eastAsia" w:ascii="宋体" w:hAnsi="宋体" w:eastAsia="宋体" w:cs="宋体"/>
          <w:sz w:val="30"/>
          <w:szCs w:val="30"/>
          <w:highlight w:val="none"/>
          <w:lang w:val="en-US" w:eastAsia="zh-CN"/>
        </w:rPr>
        <w:t>具体服务要求</w:t>
      </w:r>
      <w:r>
        <w:rPr>
          <w:rFonts w:hint="eastAsia" w:ascii="宋体" w:hAnsi="宋体" w:eastAsia="宋体" w:cs="宋体"/>
          <w:sz w:val="30"/>
          <w:szCs w:val="30"/>
          <w:highlight w:val="none"/>
        </w:rPr>
        <w:t xml:space="preserve"> </w:t>
      </w:r>
    </w:p>
    <w:p w14:paraId="3ABE9270">
      <w:pPr>
        <w:spacing w:line="520" w:lineRule="exact"/>
        <w:ind w:firstLine="600" w:firstLineChars="200"/>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（1）《土山汉墓考古报告》（</w:t>
      </w:r>
      <w:bookmarkStart w:id="0" w:name="OLE_LINK8"/>
      <w:bookmarkStart w:id="1" w:name="OLE_LINK9"/>
      <w:r>
        <w:rPr>
          <w:rFonts w:hint="eastAsia" w:ascii="宋体" w:hAnsi="宋体" w:eastAsia="宋体" w:cs="宋体"/>
          <w:sz w:val="30"/>
          <w:szCs w:val="30"/>
          <w:highlight w:val="none"/>
          <w:lang w:val="en-US" w:eastAsia="zh-CN"/>
        </w:rPr>
        <w:t>七卷册</w:t>
      </w:r>
      <w:bookmarkEnd w:id="0"/>
      <w:bookmarkEnd w:id="1"/>
      <w:r>
        <w:rPr>
          <w:rFonts w:hint="eastAsia" w:ascii="宋体" w:hAnsi="宋体" w:eastAsia="宋体" w:cs="宋体"/>
          <w:sz w:val="30"/>
          <w:szCs w:val="30"/>
          <w:highlight w:val="none"/>
          <w:lang w:val="en-US" w:eastAsia="zh-CN"/>
        </w:rPr>
        <w:t>）：</w:t>
      </w:r>
    </w:p>
    <w:p w14:paraId="427EF8A6">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七卷册，黑白1040面、全彩1364面。其中：</w:t>
      </w:r>
    </w:p>
    <w:p w14:paraId="3592723D">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综合卷（两卷册）：652面（552面黑白+100面四色）</w:t>
      </w:r>
    </w:p>
    <w:p w14:paraId="2C3A18D3">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封泥卷（三卷册）：1056面（256面黑白+800面四色）</w:t>
      </w:r>
    </w:p>
    <w:p w14:paraId="4B912776">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石刻卷（两卷册）：696面（232面黑白+464面四色）</w:t>
      </w:r>
    </w:p>
    <w:p w14:paraId="4BA0BA31">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包装：单本收缩包装后打纸包入五层纸箱</w:t>
      </w:r>
    </w:p>
    <w:p w14:paraId="41240D4F">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送货：作者指定地点</w:t>
      </w:r>
    </w:p>
    <w:p w14:paraId="67D5EDAF">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数量：综合卷、封泥卷、石刻卷各700套，总计4900卷册</w:t>
      </w:r>
    </w:p>
    <w:p w14:paraId="5587DF43">
      <w:pPr>
        <w:spacing w:line="520" w:lineRule="exact"/>
        <w:ind w:firstLine="600" w:firstLineChars="200"/>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（2）《土山汉墓考古发掘报告·综合卷》（两卷册）：</w:t>
      </w:r>
    </w:p>
    <w:p w14:paraId="1B8A4094">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成品：大16开（210mm*285mm）</w:t>
      </w:r>
    </w:p>
    <w:p w14:paraId="6B24009C">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图文信息：预计折合652面两卷册。</w:t>
      </w:r>
    </w:p>
    <w:p w14:paraId="66C9CDC2">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封面：纸面平脊精装，157克有光铜版纸，单面哑膜，局部UV，烫电化铝</w:t>
      </w:r>
    </w:p>
    <w:p w14:paraId="315FAC9E">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环衬用纸：前后环衬，180克特种纸，不印刷</w:t>
      </w:r>
    </w:p>
    <w:p w14:paraId="1A67558A">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内文用纸：80克胶版纸，552面，黑白单色印刷</w:t>
      </w:r>
    </w:p>
    <w:p w14:paraId="2B52CF21">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 xml:space="preserve">          128克铜版纸（有光），100面，四色印刷</w:t>
      </w:r>
    </w:p>
    <w:p w14:paraId="57B944DF">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装订工艺：锁线胶订</w:t>
      </w:r>
    </w:p>
    <w:p w14:paraId="7CB666C2">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版面字数：1800字/面×652面≈1174千字</w:t>
      </w:r>
    </w:p>
    <w:p w14:paraId="7FD24739">
      <w:pPr>
        <w:spacing w:line="520" w:lineRule="exact"/>
        <w:ind w:firstLine="600" w:firstLineChars="200"/>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（3）《土山汉墓考古发掘报告·封泥卷》（三卷册）：</w:t>
      </w:r>
    </w:p>
    <w:p w14:paraId="28AA3B62">
      <w:pPr>
        <w:spacing w:line="520" w:lineRule="exact"/>
        <w:ind w:firstLine="600" w:firstLineChars="200"/>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成品：大16开（210mm*285mm）</w:t>
      </w:r>
    </w:p>
    <w:p w14:paraId="6359F0CA">
      <w:pPr>
        <w:spacing w:line="520" w:lineRule="exact"/>
        <w:ind w:firstLine="600" w:firstLineChars="200"/>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图文信息：预计折合1056面三卷册。</w:t>
      </w:r>
    </w:p>
    <w:p w14:paraId="17C9FBD5">
      <w:pPr>
        <w:spacing w:line="520" w:lineRule="exact"/>
        <w:ind w:firstLine="600" w:firstLineChars="200"/>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封面：纸面平脊精装，157克有光铜版纸，单面哑膜，局部UV，烫电化铝</w:t>
      </w:r>
    </w:p>
    <w:p w14:paraId="48A6FB90">
      <w:pPr>
        <w:spacing w:line="520" w:lineRule="exact"/>
        <w:ind w:firstLine="600" w:firstLineChars="200"/>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环衬用纸：前后环衬，180克特种纸，不印刷</w:t>
      </w:r>
    </w:p>
    <w:p w14:paraId="291653DE">
      <w:pPr>
        <w:spacing w:line="520" w:lineRule="exact"/>
        <w:ind w:firstLine="600" w:firstLineChars="200"/>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内文用纸：80克胶版纸，256面，黑白单色印刷</w:t>
      </w:r>
    </w:p>
    <w:p w14:paraId="269F4A70">
      <w:pPr>
        <w:spacing w:line="520" w:lineRule="exact"/>
        <w:ind w:firstLine="600" w:firstLineChars="200"/>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 xml:space="preserve">          128克铜版纸（有光），800面，四色印刷</w:t>
      </w:r>
    </w:p>
    <w:p w14:paraId="37A40910">
      <w:pPr>
        <w:spacing w:line="520" w:lineRule="exact"/>
        <w:ind w:firstLine="600" w:firstLineChars="200"/>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装订工艺：锁线胶订</w:t>
      </w:r>
    </w:p>
    <w:p w14:paraId="3EC3D388">
      <w:pPr>
        <w:spacing w:line="520" w:lineRule="exact"/>
        <w:ind w:firstLine="600" w:firstLineChars="200"/>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版面字数：1800字/面×1056面≈1901千字</w:t>
      </w:r>
    </w:p>
    <w:p w14:paraId="2DDF5A96">
      <w:pPr>
        <w:spacing w:line="520" w:lineRule="exact"/>
        <w:ind w:firstLine="600" w:firstLineChars="200"/>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（4）《土山汉墓考古发掘报告·石刻卷》（两卷册）：</w:t>
      </w:r>
    </w:p>
    <w:p w14:paraId="444D763C">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成品：大16开（210mm*285mm）</w:t>
      </w:r>
    </w:p>
    <w:p w14:paraId="6FBCD78A">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图文信息：预计折合</w:t>
      </w:r>
      <w:bookmarkStart w:id="2" w:name="OLE_LINK6"/>
      <w:bookmarkStart w:id="3" w:name="OLE_LINK5"/>
      <w:r>
        <w:rPr>
          <w:rFonts w:hint="eastAsia" w:ascii="宋体" w:hAnsi="宋体" w:eastAsia="宋体" w:cs="宋体"/>
          <w:sz w:val="30"/>
          <w:szCs w:val="30"/>
          <w:highlight w:val="none"/>
        </w:rPr>
        <w:t>696面</w:t>
      </w:r>
      <w:bookmarkEnd w:id="2"/>
      <w:bookmarkEnd w:id="3"/>
      <w:r>
        <w:rPr>
          <w:rFonts w:hint="eastAsia" w:ascii="宋体" w:hAnsi="宋体" w:eastAsia="宋体" w:cs="宋体"/>
          <w:sz w:val="30"/>
          <w:szCs w:val="30"/>
          <w:highlight w:val="none"/>
        </w:rPr>
        <w:t>两卷册。</w:t>
      </w:r>
    </w:p>
    <w:p w14:paraId="74292C84">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封面：纸面平脊精装，157克有光铜版纸，单面哑膜，局部UV，烫电化铝</w:t>
      </w:r>
    </w:p>
    <w:p w14:paraId="2E123C20">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环衬用纸：前后环衬，180克特种纸，不印刷</w:t>
      </w:r>
    </w:p>
    <w:p w14:paraId="406E050F">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内文用纸：80克胶版纸，232面，黑白单色印刷</w:t>
      </w:r>
    </w:p>
    <w:p w14:paraId="77D11D8A">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 xml:space="preserve">          128克铜版纸（有光），464面，四色印刷</w:t>
      </w:r>
    </w:p>
    <w:p w14:paraId="5993E4B4">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装订工艺：锁线胶订</w:t>
      </w:r>
    </w:p>
    <w:p w14:paraId="47A8C69E">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版面字数：1800字/面×696面≈1253千字</w:t>
      </w:r>
    </w:p>
    <w:p w14:paraId="0AB9A452">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w:t>
      </w:r>
      <w:r>
        <w:rPr>
          <w:rFonts w:hint="eastAsia" w:ascii="宋体" w:hAnsi="宋体" w:eastAsia="宋体" w:cs="宋体"/>
          <w:sz w:val="30"/>
          <w:szCs w:val="30"/>
          <w:highlight w:val="none"/>
          <w:lang w:val="en-US" w:eastAsia="zh-CN"/>
        </w:rPr>
        <w:t>5</w:t>
      </w:r>
      <w:r>
        <w:rPr>
          <w:rFonts w:hint="eastAsia" w:ascii="宋体" w:hAnsi="宋体" w:eastAsia="宋体" w:cs="宋体"/>
          <w:sz w:val="30"/>
          <w:szCs w:val="30"/>
          <w:highlight w:val="none"/>
        </w:rPr>
        <w:t>）版式标准：严格执行《图书版式通用规范》《考古出版物制图与排版规范》，区分正文、引文、注释、图注、表格、附录、参考文献、索引，统一字体、字号、行距、段距、页眉、页脚、页码；</w:t>
      </w:r>
    </w:p>
    <w:p w14:paraId="0A505315">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w:t>
      </w:r>
      <w:r>
        <w:rPr>
          <w:rFonts w:hint="eastAsia" w:ascii="宋体" w:hAnsi="宋体" w:eastAsia="宋体" w:cs="宋体"/>
          <w:sz w:val="30"/>
          <w:szCs w:val="30"/>
          <w:highlight w:val="none"/>
          <w:lang w:val="en-US" w:eastAsia="zh-CN"/>
        </w:rPr>
        <w:t>6</w:t>
      </w:r>
      <w:r>
        <w:rPr>
          <w:rFonts w:hint="eastAsia" w:ascii="宋体" w:hAnsi="宋体" w:eastAsia="宋体" w:cs="宋体"/>
          <w:sz w:val="30"/>
          <w:szCs w:val="30"/>
          <w:highlight w:val="none"/>
        </w:rPr>
        <w:t>）完成全书数字化排版、拼版、出片，依次提供初排样、一校样、二校样、终校样、蓝纸样、打样样书，每轮修改均按采购人及专家意见执行；</w:t>
      </w:r>
    </w:p>
    <w:p w14:paraId="39545AE5">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w:t>
      </w:r>
      <w:r>
        <w:rPr>
          <w:rFonts w:hint="eastAsia" w:ascii="宋体" w:hAnsi="宋体" w:eastAsia="宋体" w:cs="宋体"/>
          <w:sz w:val="30"/>
          <w:szCs w:val="30"/>
          <w:highlight w:val="none"/>
          <w:lang w:val="en-US" w:eastAsia="zh-CN"/>
        </w:rPr>
        <w:t>7</w:t>
      </w:r>
      <w:r>
        <w:rPr>
          <w:rFonts w:hint="eastAsia" w:ascii="宋体" w:hAnsi="宋体" w:eastAsia="宋体" w:cs="宋体"/>
          <w:sz w:val="30"/>
          <w:szCs w:val="30"/>
          <w:highlight w:val="none"/>
        </w:rPr>
        <w:t>）印刷工艺：胶印，套印精准、无重影、无漏印、无污渍、无偏色，墨色均匀；</w:t>
      </w:r>
    </w:p>
    <w:p w14:paraId="22314584">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w:t>
      </w:r>
      <w:r>
        <w:rPr>
          <w:rFonts w:hint="eastAsia" w:ascii="宋体" w:hAnsi="宋体" w:eastAsia="宋体" w:cs="宋体"/>
          <w:sz w:val="30"/>
          <w:szCs w:val="30"/>
          <w:highlight w:val="none"/>
          <w:lang w:val="en-US" w:eastAsia="zh-CN"/>
        </w:rPr>
        <w:t>8</w:t>
      </w:r>
      <w:r>
        <w:rPr>
          <w:rFonts w:hint="eastAsia" w:ascii="宋体" w:hAnsi="宋体" w:eastAsia="宋体" w:cs="宋体"/>
          <w:sz w:val="30"/>
          <w:szCs w:val="30"/>
          <w:highlight w:val="none"/>
        </w:rPr>
        <w:t>）装订工艺：锁线精装，书壳平整、包边牢固、翻阅顺畅，不掉页、不脱胶、不散页；</w:t>
      </w:r>
    </w:p>
    <w:p w14:paraId="3E5C9FE9">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w:t>
      </w:r>
      <w:r>
        <w:rPr>
          <w:rFonts w:hint="eastAsia" w:ascii="宋体" w:hAnsi="宋体" w:eastAsia="宋体" w:cs="宋体"/>
          <w:sz w:val="30"/>
          <w:szCs w:val="30"/>
          <w:highlight w:val="none"/>
          <w:lang w:val="en-US" w:eastAsia="zh-CN"/>
        </w:rPr>
        <w:t>9</w:t>
      </w:r>
      <w:r>
        <w:rPr>
          <w:rFonts w:hint="eastAsia" w:ascii="宋体" w:hAnsi="宋体" w:eastAsia="宋体" w:cs="宋体"/>
          <w:sz w:val="30"/>
          <w:szCs w:val="30"/>
          <w:highlight w:val="none"/>
        </w:rPr>
        <w:t>）</w:t>
      </w:r>
      <w:r>
        <w:rPr>
          <w:rFonts w:hint="eastAsia" w:ascii="宋体" w:hAnsi="宋体" w:eastAsia="宋体" w:cs="宋体"/>
          <w:sz w:val="30"/>
          <w:szCs w:val="30"/>
          <w:highlight w:val="none"/>
          <w:lang w:val="en-US" w:eastAsia="zh-CN"/>
        </w:rPr>
        <w:t>印刷</w:t>
      </w:r>
      <w:r>
        <w:rPr>
          <w:rFonts w:hint="eastAsia" w:ascii="宋体" w:hAnsi="宋体" w:eastAsia="宋体" w:cs="宋体"/>
          <w:sz w:val="30"/>
          <w:szCs w:val="30"/>
          <w:highlight w:val="none"/>
        </w:rPr>
        <w:t>标准：严格符合GB/T 14850-2020《图书印制质量标准》，达到国家一级图书印制质量。</w:t>
      </w:r>
    </w:p>
    <w:p w14:paraId="58ABD950">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lang w:eastAsia="zh-CN"/>
        </w:rPr>
        <w:t>（</w:t>
      </w:r>
      <w:r>
        <w:rPr>
          <w:rFonts w:hint="eastAsia" w:ascii="宋体" w:hAnsi="宋体" w:eastAsia="宋体" w:cs="宋体"/>
          <w:sz w:val="30"/>
          <w:szCs w:val="30"/>
          <w:highlight w:val="none"/>
          <w:lang w:val="en-US" w:eastAsia="zh-CN"/>
        </w:rPr>
        <w:t>四</w:t>
      </w:r>
      <w:r>
        <w:rPr>
          <w:rFonts w:hint="eastAsia" w:ascii="宋体" w:hAnsi="宋体" w:eastAsia="宋体" w:cs="宋体"/>
          <w:sz w:val="30"/>
          <w:szCs w:val="30"/>
          <w:highlight w:val="none"/>
          <w:lang w:eastAsia="zh-CN"/>
        </w:rPr>
        <w:t>）</w:t>
      </w:r>
      <w:r>
        <w:rPr>
          <w:rFonts w:hint="eastAsia" w:ascii="宋体" w:hAnsi="宋体" w:eastAsia="宋体" w:cs="宋体"/>
          <w:sz w:val="30"/>
          <w:szCs w:val="30"/>
          <w:highlight w:val="none"/>
        </w:rPr>
        <w:t xml:space="preserve">出版报审、书号、CIP及合规办理 </w:t>
      </w:r>
    </w:p>
    <w:p w14:paraId="3832133B">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（1）负责图书选题申报、出版社三审备案，全程对接正规出版社；</w:t>
      </w:r>
    </w:p>
    <w:p w14:paraId="3258C6D4">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（2）办理国家正规ISBN书号、CIP数据核字号，确保书号、CIP真实有效、可在国家新闻出版署官网查询；</w:t>
      </w:r>
    </w:p>
    <w:p w14:paraId="143DF7F4">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（3）完成属地新闻出版部门、文物主管部门报审、备案、抽检配合工作；</w:t>
      </w:r>
    </w:p>
    <w:p w14:paraId="64EAD1C5">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（4）出具全套出版合规文件：出版合同复印件、书号证明、CIP备案页、出版社资质复印件。</w:t>
      </w:r>
    </w:p>
    <w:p w14:paraId="689C2B15">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lang w:eastAsia="zh-CN"/>
        </w:rPr>
        <w:t>（</w:t>
      </w:r>
      <w:r>
        <w:rPr>
          <w:rFonts w:hint="eastAsia" w:ascii="宋体" w:hAnsi="宋体" w:eastAsia="宋体" w:cs="宋体"/>
          <w:sz w:val="30"/>
          <w:szCs w:val="30"/>
          <w:highlight w:val="none"/>
          <w:lang w:val="en-US" w:eastAsia="zh-CN"/>
        </w:rPr>
        <w:t>五</w:t>
      </w:r>
      <w:r>
        <w:rPr>
          <w:rFonts w:hint="eastAsia" w:ascii="宋体" w:hAnsi="宋体" w:eastAsia="宋体" w:cs="宋体"/>
          <w:sz w:val="30"/>
          <w:szCs w:val="30"/>
          <w:highlight w:val="none"/>
          <w:lang w:eastAsia="zh-CN"/>
        </w:rPr>
        <w:t>）</w:t>
      </w:r>
      <w:r>
        <w:rPr>
          <w:rFonts w:hint="eastAsia" w:ascii="宋体" w:hAnsi="宋体" w:eastAsia="宋体" w:cs="宋体"/>
          <w:sz w:val="30"/>
          <w:szCs w:val="30"/>
          <w:highlight w:val="none"/>
        </w:rPr>
        <w:t xml:space="preserve">成品交付、档案归档、售后质保 </w:t>
      </w:r>
    </w:p>
    <w:p w14:paraId="1BD2AA21">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lang w:val="en-US" w:eastAsia="zh-CN"/>
        </w:rPr>
        <w:t>1.</w:t>
      </w:r>
      <w:r>
        <w:rPr>
          <w:rFonts w:hint="eastAsia" w:ascii="宋体" w:hAnsi="宋体" w:eastAsia="宋体" w:cs="宋体"/>
          <w:sz w:val="30"/>
          <w:szCs w:val="30"/>
          <w:highlight w:val="none"/>
        </w:rPr>
        <w:t>印制数量（印数）</w:t>
      </w:r>
    </w:p>
    <w:p w14:paraId="43AD011C">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成品图书印制数量为1000套，全套分册数以最终考古定稿及出版排版结果为准，总价包干不调整。其中采购人留存不少于950套，剩余50套由供应商协助完成入库、调拨、赠送等工作，具体数量在采购合同中另行约定。</w:t>
      </w:r>
    </w:p>
    <w:p w14:paraId="757A17C3">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lang w:val="en-US" w:eastAsia="zh-CN"/>
        </w:rPr>
        <w:t>2.</w:t>
      </w:r>
      <w:r>
        <w:rPr>
          <w:rFonts w:hint="eastAsia" w:ascii="宋体" w:hAnsi="宋体" w:eastAsia="宋体" w:cs="宋体"/>
          <w:sz w:val="30"/>
          <w:szCs w:val="30"/>
          <w:highlight w:val="none"/>
        </w:rPr>
        <w:t xml:space="preserve"> 交付与验收</w:t>
      </w:r>
    </w:p>
    <w:p w14:paraId="75C2897E">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（1）成品图书：按采购人约定数量印制、打包、运输、送货至采购人指定地点，负责卸货、清点、验收；</w:t>
      </w:r>
    </w:p>
    <w:p w14:paraId="4182E884">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（2）电子档案交付：</w:t>
      </w:r>
    </w:p>
    <w:p w14:paraId="2ACEF166">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全书高清PDF定稿（不可编辑版，分辨率不低于300dpi）；</w:t>
      </w:r>
    </w:p>
    <w:p w14:paraId="22514CC6">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全书可编辑源文件（正文为Word或InDesign文件，图表为可编辑的AI、CDR或PSD分层源文件）；</w:t>
      </w:r>
    </w:p>
    <w:p w14:paraId="68E50D13">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全部图片源文件（要求：未压缩原图，TIFF或JPEG格式，分辨率不低于300dpi）；</w:t>
      </w:r>
    </w:p>
    <w:p w14:paraId="7BB066BB">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全部线图源文件（要求：矢量格式，AI、CDR或EPS）；</w:t>
      </w:r>
    </w:p>
    <w:p w14:paraId="5AAB2570">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全部审稿记录、校对台账（PDF或Word格式）。</w:t>
      </w:r>
    </w:p>
    <w:p w14:paraId="13BE9881">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（3）纸质档案交付：</w:t>
      </w:r>
    </w:p>
    <w:p w14:paraId="7BE50656">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全套审稿单、校对单、设计稿、打样稿、出版审批资料、印制质检报告、出厂合格证；所有打样样书、废页、废书履约结束后由中标单位统一回收销毁，不得私自留存外流，同步向采购人提交书面销毁说明。</w:t>
      </w:r>
    </w:p>
    <w:p w14:paraId="0FDC1588">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lang w:val="en-US" w:eastAsia="zh-CN"/>
        </w:rPr>
        <w:t>3.</w:t>
      </w:r>
      <w:r>
        <w:rPr>
          <w:rFonts w:hint="eastAsia" w:ascii="宋体" w:hAnsi="宋体" w:eastAsia="宋体" w:cs="宋体"/>
          <w:sz w:val="30"/>
          <w:szCs w:val="30"/>
          <w:highlight w:val="none"/>
        </w:rPr>
        <w:t>质量质保</w:t>
      </w:r>
    </w:p>
    <w:p w14:paraId="730AEEDA">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（1）成品图书质保期不少于24个月（自验收合格之日起计算）。质保期内出现脱页、开胶、印刷瑕疵、装订缺陷等质量问题，供应商须在24小时内响应，无条件免费更换、返工。</w:t>
      </w:r>
    </w:p>
    <w:p w14:paraId="4C8BE8EA">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2）批量质量问题处置：在质保期内，如批量图书中有15%以上（含15%）的图书存在相同质量问题（如批量开胶、缺页、印刷错误等），经采购人确认或双方认可的第三方检测机构认定后，供应商应召回全部问题图书，采购人有权要求更换全部图书或退货，由此产生的一切费用由供应商负担。</w:t>
      </w:r>
    </w:p>
    <w:p w14:paraId="73EE0A09">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（3）后期服务：配合采购人完成图书入库、归档、展览、赠送、查阅等工作，长期提供电子版查阅、格式适配等技术支持。</w:t>
      </w:r>
    </w:p>
    <w:p w14:paraId="6FA91861">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六、出版社专业能力要求</w:t>
      </w:r>
    </w:p>
    <w:p w14:paraId="0A5BEC01">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 xml:space="preserve"> 供应商应为本项目配备经验丰富的专业编辑团队，项目负责人及责任编辑应具有文物考古类专业编辑从业经验（需提供职称证书或从业证明）；</w:t>
      </w:r>
    </w:p>
    <w:p w14:paraId="3E313B28">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供应商应具备采编排版系统、文物图片处理能力、专业校对人员及考古类专业顾问资源。</w:t>
      </w:r>
    </w:p>
    <w:p w14:paraId="4B3B19E8">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七、核心条款说明</w:t>
      </w:r>
    </w:p>
    <w:p w14:paraId="5A5E5DF4">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w:t>
      </w:r>
      <w:r>
        <w:rPr>
          <w:rFonts w:hint="eastAsia" w:ascii="宋体" w:hAnsi="宋体" w:eastAsia="宋体" w:cs="宋体"/>
          <w:sz w:val="30"/>
          <w:szCs w:val="30"/>
          <w:highlight w:val="none"/>
          <w:lang w:val="en-US" w:eastAsia="zh-CN"/>
        </w:rPr>
        <w:t>一</w:t>
      </w:r>
      <w:r>
        <w:rPr>
          <w:rFonts w:hint="eastAsia" w:ascii="宋体" w:hAnsi="宋体" w:eastAsia="宋体" w:cs="宋体"/>
          <w:sz w:val="30"/>
          <w:szCs w:val="30"/>
          <w:highlight w:val="none"/>
        </w:rPr>
        <w:t>）违约责任</w:t>
      </w:r>
    </w:p>
    <w:p w14:paraId="5EA4E119">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供应商逾期交付的，每逾期一日按合同总金额的1‰支付违约金；逾期超过30日历天，采购人有权单方解除合同，供应商须退还采购人已支付全部款项，并承担合同总金额10%的违约金，同时赔偿采购人实际经济损失。</w:t>
      </w:r>
    </w:p>
    <w:p w14:paraId="27594F3F">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因泄密、著作权侵权、重大批量质量缺陷、擅自转包分包等根本性违约的，违约方按合同总金额20%向守约方支付违约金，并赔偿由此造成的全部实际损失。</w:t>
      </w:r>
    </w:p>
    <w:p w14:paraId="479C613F">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w:t>
      </w:r>
      <w:r>
        <w:rPr>
          <w:rFonts w:hint="eastAsia" w:ascii="宋体" w:hAnsi="宋体" w:eastAsia="宋体" w:cs="宋体"/>
          <w:sz w:val="30"/>
          <w:szCs w:val="30"/>
          <w:highlight w:val="none"/>
          <w:lang w:val="en-US" w:eastAsia="zh-CN"/>
        </w:rPr>
        <w:t>二</w:t>
      </w:r>
      <w:r>
        <w:rPr>
          <w:rFonts w:hint="eastAsia" w:ascii="宋体" w:hAnsi="宋体" w:eastAsia="宋体" w:cs="宋体"/>
          <w:sz w:val="30"/>
          <w:szCs w:val="30"/>
          <w:highlight w:val="none"/>
        </w:rPr>
        <w:t>）知识产权</w:t>
      </w:r>
    </w:p>
    <w:p w14:paraId="341968B4">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供应商保证所出版图书不侵犯任何第三方著作权、专利权、商标权等权利。本项目全部文稿、图片、拓片、排版源文件、设计稿件、成书等全部内容的著作权、知识产权永久归采购人所有；供应商仅拥有本项目履约必要使用权限，履约完毕须完整移交全部源文件资料，不得私自留存、备份、转载、商用。如因侵权引发纠纷，由供应商承担全部法律责任和经济损失。</w:t>
      </w:r>
    </w:p>
    <w:p w14:paraId="7B36FCF2">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w:t>
      </w:r>
      <w:r>
        <w:rPr>
          <w:rFonts w:hint="eastAsia" w:ascii="宋体" w:hAnsi="宋体" w:eastAsia="宋体" w:cs="宋体"/>
          <w:sz w:val="30"/>
          <w:szCs w:val="30"/>
          <w:highlight w:val="none"/>
          <w:lang w:val="en-US" w:eastAsia="zh-CN"/>
        </w:rPr>
        <w:t>三</w:t>
      </w:r>
      <w:r>
        <w:rPr>
          <w:rFonts w:hint="eastAsia" w:ascii="宋体" w:hAnsi="宋体" w:eastAsia="宋体" w:cs="宋体"/>
          <w:sz w:val="30"/>
          <w:szCs w:val="30"/>
          <w:highlight w:val="none"/>
        </w:rPr>
        <w:t>）保密义务</w:t>
      </w:r>
    </w:p>
    <w:p w14:paraId="5BB09587">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供应商对采购人提供的考古原始资料、未公开研究成果、出土文物影像、墓葬数据等负有保密义务，未经采购人书面同意，不得向任何第三方泄露或用于本合同目的以外的用途。违反保密义务的，采购人有权解除合同并追究供应商法律责任。项目作废资料、残次品图书统一由供应商回收销毁，留存销毁台账备查。</w:t>
      </w:r>
    </w:p>
    <w:p w14:paraId="0F90DA39">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w:t>
      </w:r>
      <w:r>
        <w:rPr>
          <w:rFonts w:hint="eastAsia" w:ascii="宋体" w:hAnsi="宋体" w:eastAsia="宋体" w:cs="宋体"/>
          <w:sz w:val="30"/>
          <w:szCs w:val="30"/>
          <w:highlight w:val="none"/>
          <w:lang w:val="en-US" w:eastAsia="zh-CN"/>
        </w:rPr>
        <w:t>四</w:t>
      </w:r>
      <w:r>
        <w:rPr>
          <w:rFonts w:hint="eastAsia" w:ascii="宋体" w:hAnsi="宋体" w:eastAsia="宋体" w:cs="宋体"/>
          <w:sz w:val="30"/>
          <w:szCs w:val="30"/>
          <w:highlight w:val="none"/>
        </w:rPr>
        <w:t>）争议解决</w:t>
      </w:r>
    </w:p>
    <w:p w14:paraId="21D2D0C9">
      <w:pPr>
        <w:spacing w:line="520" w:lineRule="exac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因本合同引起的任何争议，由双方协商解决；协商不成的，依法向采购人所在地人民法院提起诉讼。</w:t>
      </w:r>
    </w:p>
    <w:p w14:paraId="718F69D9">
      <w:pPr>
        <w:keepNext w:val="0"/>
        <w:keepLines w:val="0"/>
        <w:pageBreakBefore w:val="0"/>
        <w:kinsoku/>
        <w:wordWrap/>
        <w:overflowPunct/>
        <w:topLinePunct w:val="0"/>
        <w:autoSpaceDE/>
        <w:autoSpaceDN/>
        <w:bidi w:val="0"/>
        <w:adjustRightInd/>
        <w:snapToGrid/>
        <w:spacing w:line="440" w:lineRule="exact"/>
        <w:ind w:left="0" w:firstLine="600" w:firstLineChars="200"/>
        <w:jc w:val="left"/>
        <w:textAlignment w:val="auto"/>
        <w:rPr>
          <w:rFonts w:hint="eastAsia" w:ascii="宋体" w:hAnsi="宋体" w:eastAsia="宋体" w:cs="宋体"/>
          <w:b w:val="0"/>
          <w:bCs w:val="0"/>
          <w:color w:val="auto"/>
          <w:sz w:val="28"/>
          <w:szCs w:val="28"/>
          <w:highlight w:val="none"/>
          <w:lang w:val="en-US" w:eastAsia="zh-CN" w:bidi="ar-SA"/>
        </w:rPr>
      </w:pPr>
      <w:r>
        <w:rPr>
          <w:rFonts w:hint="eastAsia" w:ascii="宋体" w:hAnsi="宋体" w:eastAsia="宋体" w:cs="宋体"/>
          <w:sz w:val="30"/>
          <w:szCs w:val="30"/>
          <w:highlight w:val="none"/>
        </w:rPr>
        <w:t xml:space="preserve">八、其他要求 </w:t>
      </w:r>
      <w:r>
        <w:rPr>
          <w:rFonts w:hint="eastAsia" w:ascii="宋体" w:hAnsi="宋体" w:eastAsia="宋体" w:cs="宋体"/>
          <w:sz w:val="30"/>
          <w:szCs w:val="30"/>
          <w:highlight w:val="none"/>
        </w:rPr>
        <w:t>见招标文件第五章《拟签订的合同文本》。</w:t>
      </w:r>
    </w:p>
    <w:p w14:paraId="55EC3C9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eastAsia="宋体" w:cs="宋体"/>
          <w:color w:val="000000" w:themeColor="text1"/>
          <w:highlight w:val="none"/>
          <w14:textFill>
            <w14:solidFill>
              <w14:schemeClr w14:val="tx1"/>
            </w14:solidFill>
          </w14:textFill>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E86DB5"/>
    <w:rsid w:val="1C2D4B1E"/>
    <w:rsid w:val="409E33DB"/>
    <w:rsid w:val="481E60AD"/>
    <w:rsid w:val="4B7B0F89"/>
    <w:rsid w:val="50DE5B7C"/>
    <w:rsid w:val="579C71AA"/>
    <w:rsid w:val="59FB5EC9"/>
    <w:rsid w:val="60636E92"/>
    <w:rsid w:val="700A50B3"/>
    <w:rsid w:val="73891D5B"/>
    <w:rsid w:val="756149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customStyle="1" w:styleId="4">
    <w:name w:val="一级条标题"/>
    <w:basedOn w:val="5"/>
    <w:next w:val="6"/>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5">
    <w:name w:val="章标题"/>
    <w:next w:val="1"/>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6">
    <w:name w:val="段"/>
    <w:basedOn w:val="7"/>
    <w:next w:val="14"/>
    <w:qFormat/>
    <w:uiPriority w:val="0"/>
    <w:pPr>
      <w:widowControl/>
      <w:ind w:firstLine="200"/>
    </w:pPr>
    <w:rPr>
      <w:rFonts w:hint="eastAsia" w:ascii="宋体"/>
      <w:szCs w:val="20"/>
    </w:rPr>
  </w:style>
  <w:style w:type="paragraph" w:customStyle="1" w:styleId="7">
    <w:name w:val="正文11"/>
    <w:next w:val="8"/>
    <w:qFormat/>
    <w:uiPriority w:val="0"/>
    <w:pPr>
      <w:jc w:val="both"/>
    </w:pPr>
    <w:rPr>
      <w:rFonts w:hint="default" w:ascii="Times New Roman" w:hAnsi="Times New Roman" w:eastAsia="宋体" w:cs="Times New Roman"/>
      <w:lang w:val="en-US" w:eastAsia="zh-CN" w:bidi="ar-SA"/>
    </w:rPr>
  </w:style>
  <w:style w:type="paragraph" w:customStyle="1" w:styleId="8">
    <w:name w:val="正文首行缩进11"/>
    <w:basedOn w:val="9"/>
    <w:next w:val="10"/>
    <w:qFormat/>
    <w:uiPriority w:val="0"/>
    <w:pPr>
      <w:ind w:firstLine="420"/>
    </w:pPr>
    <w:rPr>
      <w:rFonts w:ascii="仿宋_GB2312" w:hAnsi="Times New Roman" w:eastAsia="仿宋_GB2312"/>
      <w:sz w:val="30"/>
      <w:szCs w:val="30"/>
    </w:rPr>
  </w:style>
  <w:style w:type="paragraph" w:customStyle="1" w:styleId="9">
    <w:name w:val="正文文本11"/>
    <w:basedOn w:val="1"/>
    <w:next w:val="7"/>
    <w:qFormat/>
    <w:uiPriority w:val="0"/>
    <w:pPr>
      <w:spacing w:after="120"/>
    </w:pPr>
  </w:style>
  <w:style w:type="paragraph" w:customStyle="1" w:styleId="10">
    <w:name w:val="正文首行缩进 211"/>
    <w:basedOn w:val="11"/>
    <w:qFormat/>
    <w:uiPriority w:val="0"/>
    <w:pPr>
      <w:ind w:firstLine="420"/>
    </w:pPr>
  </w:style>
  <w:style w:type="paragraph" w:customStyle="1" w:styleId="11">
    <w:name w:val="正文文本缩进11"/>
    <w:basedOn w:val="12"/>
    <w:next w:val="13"/>
    <w:qFormat/>
    <w:uiPriority w:val="0"/>
    <w:pPr>
      <w:spacing w:line="360" w:lineRule="auto"/>
      <w:ind w:firstLine="425"/>
    </w:pPr>
  </w:style>
  <w:style w:type="paragraph" w:customStyle="1" w:styleId="12">
    <w:name w:val="正文111"/>
    <w:next w:val="1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3">
    <w:name w:val="寄信人地址11"/>
    <w:basedOn w:val="7"/>
    <w:qFormat/>
    <w:uiPriority w:val="0"/>
    <w:rPr>
      <w:rFonts w:ascii="Arial" w:hAnsi="Arial"/>
    </w:rPr>
  </w:style>
  <w:style w:type="paragraph" w:customStyle="1" w:styleId="14">
    <w:name w:val="正文1"/>
    <w:basedOn w:val="12"/>
    <w:next w:val="15"/>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5">
    <w:name w:val="目录 11"/>
    <w:basedOn w:val="16"/>
    <w:next w:val="14"/>
    <w:qFormat/>
    <w:uiPriority w:val="39"/>
  </w:style>
  <w:style w:type="paragraph" w:customStyle="1" w:styleId="16">
    <w:name w:val="正文12"/>
    <w:next w:val="17"/>
    <w:qFormat/>
    <w:uiPriority w:val="0"/>
    <w:pPr>
      <w:widowControl w:val="0"/>
      <w:spacing w:line="360" w:lineRule="auto"/>
      <w:ind w:firstLine="723"/>
      <w:jc w:val="both"/>
    </w:pPr>
    <w:rPr>
      <w:rFonts w:hint="default" w:ascii="Times New Roman" w:hAnsi="Times New Roman" w:eastAsia="宋体" w:cs="Times New Roman"/>
      <w:sz w:val="24"/>
      <w:szCs w:val="24"/>
      <w:lang w:val="en-US" w:eastAsia="zh-CN" w:bidi="ar-SA"/>
    </w:rPr>
  </w:style>
  <w:style w:type="paragraph" w:customStyle="1" w:styleId="17">
    <w:name w:val="文本块11"/>
    <w:basedOn w:val="16"/>
    <w:qFormat/>
    <w:uiPriority w:val="0"/>
    <w:pPr>
      <w:ind w:left="256" w:right="6" w:firstLine="624"/>
    </w:pPr>
    <w:rPr>
      <w:rFonts w:ascii="Arial" w:hAnsi="Arial" w:eastAsia="仿宋"/>
      <w:sz w:val="28"/>
    </w:rPr>
  </w:style>
  <w:style w:type="paragraph" w:styleId="18">
    <w:name w:val="Body Text Indent"/>
    <w:basedOn w:val="1"/>
    <w:unhideWhenUsed/>
    <w:qFormat/>
    <w:uiPriority w:val="99"/>
    <w:pPr>
      <w:spacing w:after="120"/>
      <w:ind w:left="420"/>
    </w:pPr>
  </w:style>
  <w:style w:type="paragraph" w:styleId="19">
    <w:name w:val="Body Text First Indent 2"/>
    <w:basedOn w:val="18"/>
    <w:qFormat/>
    <w:uiPriority w:val="0"/>
    <w:pPr>
      <w:ind w:firstLine="420"/>
    </w:pPr>
    <w:rPr>
      <w:rFonts w:ascii="Times New Roman" w:hAnsi="Times New Roman"/>
    </w:rPr>
  </w:style>
  <w:style w:type="table" w:styleId="21">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23">
    <w:name w:val="标题 111"/>
    <w:basedOn w:val="1"/>
    <w:next w:val="1"/>
    <w:qFormat/>
    <w:uiPriority w:val="9"/>
    <w:pPr>
      <w:keepNext/>
      <w:keepLines/>
      <w:spacing w:line="578" w:lineRule="auto"/>
      <w:jc w:val="center"/>
      <w:outlineLvl w:val="0"/>
    </w:pPr>
    <w:rPr>
      <w:rFonts w:eastAsia="新宋体"/>
      <w:b/>
      <w:bCs/>
      <w:sz w:val="30"/>
      <w:szCs w:val="44"/>
    </w:rPr>
  </w:style>
  <w:style w:type="paragraph" w:customStyle="1" w:styleId="24">
    <w:name w:val="正文文本1"/>
    <w:basedOn w:val="1"/>
    <w:qFormat/>
    <w:uiPriority w:val="0"/>
    <w:pPr>
      <w:spacing w:after="120"/>
    </w:pPr>
    <w:rPr>
      <w:rFonts w:ascii="Calibri" w:hAnsi="Calibri"/>
    </w:rPr>
  </w:style>
  <w:style w:type="paragraph" w:customStyle="1" w:styleId="25">
    <w:name w:val="标题 11"/>
    <w:basedOn w:val="14"/>
    <w:next w:val="14"/>
    <w:qFormat/>
    <w:uiPriority w:val="0"/>
    <w:pPr>
      <w:keepNext/>
      <w:keepLines/>
      <w:spacing w:line="578" w:lineRule="auto"/>
      <w:jc w:val="center"/>
      <w:outlineLvl w:val="0"/>
    </w:pPr>
    <w:rPr>
      <w:rFonts w:eastAsia="新宋体"/>
      <w:b/>
      <w:bCs/>
      <w:sz w:val="30"/>
      <w:szCs w:val="44"/>
    </w:rPr>
  </w:style>
  <w:style w:type="paragraph" w:customStyle="1" w:styleId="26">
    <w:name w:val="正文首行缩进 21"/>
    <w:basedOn w:val="27"/>
    <w:next w:val="16"/>
    <w:qFormat/>
    <w:uiPriority w:val="0"/>
    <w:pPr>
      <w:ind w:firstLine="420"/>
    </w:pPr>
    <w:rPr>
      <w:rFonts w:ascii="Times New Roman" w:hAnsi="Times New Roman"/>
    </w:rPr>
  </w:style>
  <w:style w:type="paragraph" w:customStyle="1" w:styleId="27">
    <w:name w:val="正文文本缩进1"/>
    <w:basedOn w:val="7"/>
    <w:next w:val="28"/>
    <w:qFormat/>
    <w:uiPriority w:val="0"/>
    <w:pPr>
      <w:spacing w:after="120"/>
      <w:ind w:left="420"/>
    </w:pPr>
    <w:rPr>
      <w:rFonts w:ascii="Calibri" w:hAnsi="Calibri"/>
    </w:rPr>
  </w:style>
  <w:style w:type="paragraph" w:customStyle="1" w:styleId="28">
    <w:name w:val="寄信人地址1"/>
    <w:basedOn w:val="7"/>
    <w:qFormat/>
    <w:uiPriority w:val="0"/>
    <w:rPr>
      <w:rFonts w:ascii="Arial" w:hAnsi="Arial"/>
    </w:rPr>
  </w:style>
  <w:style w:type="table" w:customStyle="1" w:styleId="29">
    <w:name w:val="网格型1"/>
    <w:basedOn w:val="30"/>
    <w:qFormat/>
    <w:uiPriority w:val="0"/>
    <w:pPr>
      <w:widowControl w:val="0"/>
      <w:jc w:val="both"/>
    </w:pPr>
  </w:style>
  <w:style w:type="table" w:customStyle="1" w:styleId="30">
    <w:name w:val="普通表格1"/>
    <w:semiHidden/>
    <w:qFormat/>
    <w:uiPriority w:val="0"/>
    <w:tblPr>
      <w:tblCellMar>
        <w:top w:w="0" w:type="dxa"/>
        <w:left w:w="0" w:type="dxa"/>
        <w:bottom w:w="0" w:type="dxa"/>
        <w:right w:w="0" w:type="dxa"/>
      </w:tblCellMar>
    </w:tblPr>
  </w:style>
  <w:style w:type="paragraph" w:styleId="31">
    <w:name w:val="List Paragraph"/>
    <w:basedOn w:val="7"/>
    <w:qFormat/>
    <w:uiPriority w:val="34"/>
    <w:pPr>
      <w:ind w:left="720"/>
      <w:contextualSpacing/>
    </w:pPr>
    <w:rPr>
      <w:rFonts w:hint="default" w:ascii="Times New Roman" w:hAnsi="Times New Roman" w:eastAsia="宋体" w:cs="Times New Roman"/>
      <w:lang w:val="en-US" w:eastAsia="zh-CN" w:bidi="ar-SA"/>
    </w:rPr>
  </w:style>
  <w:style w:type="character" w:customStyle="1" w:styleId="32">
    <w:name w:val="font11"/>
    <w:basedOn w:val="22"/>
    <w:qFormat/>
    <w:uiPriority w:val="0"/>
    <w:rPr>
      <w:rFonts w:hint="eastAsia" w:ascii="方正仿宋_GBK" w:hAnsi="方正仿宋_GBK" w:eastAsia="方正仿宋_GBK" w:cs="方正仿宋_GBK"/>
      <w:color w:val="000000"/>
      <w:sz w:val="32"/>
      <w:szCs w:val="32"/>
      <w:u w:val="none"/>
    </w:rPr>
  </w:style>
  <w:style w:type="paragraph" w:customStyle="1" w:styleId="33">
    <w:name w:val="页眉1"/>
    <w:basedOn w:val="14"/>
    <w:qFormat/>
    <w:uiPriority w:val="0"/>
    <w:pPr>
      <w:pBdr>
        <w:bottom w:val="single" w:color="000000" w:sz="6" w:space="1"/>
      </w:pBdr>
      <w:tabs>
        <w:tab w:val="center" w:pos="4153"/>
        <w:tab w:val="right" w:pos="8306"/>
      </w:tabs>
      <w:jc w:val="center"/>
    </w:pPr>
    <w:rPr>
      <w:sz w:val="18"/>
      <w:szCs w:val="18"/>
    </w:rPr>
  </w:style>
  <w:style w:type="paragraph" w:customStyle="1" w:styleId="34">
    <w:name w:val="页脚1"/>
    <w:basedOn w:val="14"/>
    <w:qFormat/>
    <w:uiPriority w:val="0"/>
    <w:pPr>
      <w:tabs>
        <w:tab w:val="center" w:pos="4153"/>
        <w:tab w:val="right" w:pos="8306"/>
      </w:tabs>
      <w:jc w:val="left"/>
    </w:pPr>
    <w:rPr>
      <w:sz w:val="18"/>
      <w:szCs w:val="18"/>
    </w:rPr>
  </w:style>
  <w:style w:type="character" w:customStyle="1" w:styleId="35">
    <w:name w:val="页码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7357</Words>
  <Characters>7520</Characters>
  <Lines>0</Lines>
  <Paragraphs>0</Paragraphs>
  <TotalTime>0</TotalTime>
  <ScaleCrop>false</ScaleCrop>
  <LinksUpToDate>false</LinksUpToDate>
  <CharactersWithSpaces>7543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2025-01-09T01:45:00Z</dcterms:created>
  <dc:creator>Administrator</dc:creator>
  <cp:lastModifiedBy>丶Simple</cp:lastModifiedBy>
  <dcterms:modified xsi:type="dcterms:W3CDTF">2026-07-21T07:04:24Z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598A79BA465A4E06BF0C32D99D92C58E</vt:lpwstr>
  </property>
  <property fmtid="{D5CDD505-2E9C-101B-9397-08002B2CF9AE}" pid="4" name="KSOTemplateDocerSaveRecord">
    <vt:lpwstr>eyJoZGlkIjoiZGY0MWE3OGQxNjc3OGQ1ZDFhMDdhYjA4NGYyYjI4MmUiLCJ1c2VySWQiOiI1NzU3OTAzMzcifQ==</vt:lpwstr>
  </property>
</Properties>
</file>