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left="0"/>
        <w:pageBreakBefore w:val="0"/>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pStyle w:val="994"/>
        <w:ind w:left="0"/>
        <w:pageBreakBefore w:val="0"/>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pageBreakBefore w:val="0"/>
        <w:spacing w:line="360" w:lineRule="auto"/>
        <w:rPr>
          <w:rFonts w:hint="eastAsia" w:ascii="宋体" w:hAnsi="宋体" w:eastAsia="宋体" w:cs="宋体"/>
          <w:b/>
          <w:bCs/>
          <w:color w:val="auto"/>
          <w:sz w:val="96"/>
          <w:szCs w:val="96"/>
          <w:highlight w:val="none"/>
        </w:rPr>
      </w:pPr>
      <w:r>
        <w:rPr>
          <w:rFonts w:hint="eastAsia" w:ascii="宋体" w:hAnsi="宋体" w:eastAsia="宋体" w:cs="宋体"/>
          <w:b/>
          <w:bCs/>
          <w:color w:val="auto"/>
          <w:sz w:val="96"/>
          <w:szCs w:val="96"/>
          <w:highlight w:val="none"/>
        </w:rPr>
        <w:t xml:space="preserve">竞争性磋商文件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1124"/>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37"/>
        <w:rPr>
          <w:rFonts w:hint="eastAsia"/>
          <w:color w:val="auto"/>
          <w:highlight w:val="none"/>
        </w:rPr>
      </w:pPr>
      <w:r>
        <w:rPr>
          <w:rFonts w:hint="eastAsia"/>
          <w:color w:val="auto"/>
          <w:highlight w:val="none"/>
        </w:rPr>
      </w:r>
      <w:r/>
    </w:p>
    <w:p>
      <w:pPr>
        <w:ind w:right="0" w:firstLine="960"/>
        <w:jc w:val="both"/>
        <w:keepLines w:val="0"/>
        <w:keepNext w:val="0"/>
        <w:pageBreakBefore w:val="0"/>
        <w:spacing w:line="360" w:lineRule="auto"/>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right="0" w:firstLine="960"/>
        <w:jc w:val="both"/>
        <w:keepLines w:val="0"/>
        <w:keepNext w:val="0"/>
        <w:pageBreakBefore w:val="0"/>
        <w:spacing w:line="360" w:lineRule="auto"/>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right="0" w:firstLine="1285"/>
        <w:jc w:val="both"/>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JSZC-320312-DJZX-C2026-0005</w:t>
      </w:r>
      <w:r/>
    </w:p>
    <w:p>
      <w:pPr>
        <w:ind w:left="2883" w:right="0" w:hanging="1606"/>
        <w:jc w:val="both"/>
        <w:keepLines w:val="0"/>
        <w:keepNext w:val="0"/>
        <w:pageBreakBefore w:val="0"/>
        <w:spacing w:line="360" w:lineRule="auto"/>
        <w:widowControl w:val="off"/>
        <w:rPr>
          <w:rFonts w:hint="eastAsia"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徐州高新区交通安全设施提升改造工程</w:t>
      </w:r>
      <w:r/>
    </w:p>
    <w:p>
      <w:pPr>
        <w:ind w:right="0" w:firstLine="1285"/>
        <w:keepLines w:val="0"/>
        <w:keepNext w:val="0"/>
        <w:pageBreakBefore w:val="0"/>
        <w:spacing w:line="360" w:lineRule="auto"/>
        <w:widowControl w:val="off"/>
        <w:rPr>
          <w:rFonts w:hint="eastAsia"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徐州高新技术产业开发区公共事业管理</w:t>
      </w:r>
      <w:r/>
    </w:p>
    <w:p>
      <w:pPr>
        <w:ind w:right="0" w:firstLine="2891"/>
        <w:keepLines w:val="0"/>
        <w:keepNext w:val="0"/>
        <w:pageBreakBefore w:val="0"/>
        <w:spacing w:line="360" w:lineRule="auto"/>
        <w:widowControl w:val="off"/>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eastAsia="zh-CN"/>
        </w:rPr>
        <w:t xml:space="preserve">服务中心</w:t>
      </w:r>
      <w:r/>
    </w:p>
    <w:p>
      <w:pPr>
        <w:pStyle w:val="1255"/>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firstLine="96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96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96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96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1928"/>
        <w:jc w:val="both"/>
        <w:keepLines w:val="0"/>
        <w:keepNext w:val="0"/>
        <w:pageBreakBefore w:val="0"/>
        <w:spacing w:line="360" w:lineRule="auto"/>
        <w:widowControl w:val="off"/>
        <w:rPr>
          <w:rFonts w:hint="eastAsia" w:ascii="宋体" w:hAnsi="宋体" w:eastAsia="宋体" w:cs="宋体"/>
          <w:b/>
          <w:color w:val="auto"/>
          <w:sz w:val="36"/>
          <w:szCs w:val="36"/>
          <w:highlight w:val="none"/>
          <w:lang w:eastAsia="zh-CN"/>
        </w:rPr>
      </w:pPr>
      <w:r>
        <w:rPr>
          <w:rFonts w:hint="eastAsia" w:ascii="宋体" w:hAnsi="宋体" w:cs="宋体"/>
          <w:b/>
          <w:bCs/>
          <w:color w:val="auto"/>
          <w:sz w:val="32"/>
          <w:szCs w:val="32"/>
          <w:highlight w:val="none"/>
          <w:lang w:val="en-US" w:eastAsia="zh-CN"/>
        </w:rPr>
        <w:t xml:space="preserve">招标</w:t>
      </w:r>
      <w:r>
        <w:rPr>
          <w:rFonts w:ascii="宋体" w:hAnsi="宋体" w:eastAsia="宋体" w:cs="宋体"/>
          <w:b/>
          <w:bCs/>
          <w:color w:val="auto"/>
          <w:sz w:val="32"/>
          <w:szCs w:val="32"/>
          <w:highlight w:val="none"/>
        </w:rPr>
        <w:t xml:space="preserve">代理机构：</w:t>
      </w:r>
      <w:r>
        <w:rPr>
          <w:rFonts w:hint="eastAsia" w:ascii="宋体" w:hAnsi="宋体" w:cs="宋体"/>
          <w:b/>
          <w:bCs/>
          <w:color w:val="auto"/>
          <w:sz w:val="32"/>
          <w:szCs w:val="32"/>
          <w:highlight w:val="none"/>
          <w:lang w:eastAsia="zh-CN"/>
        </w:rPr>
        <w:t xml:space="preserve">江苏鼎坚工程咨询有限公司</w:t>
      </w:r>
      <w:r/>
    </w:p>
    <w:p>
      <w:pPr>
        <w:jc w:val="center"/>
        <w:pageBreakBefore w:val="0"/>
        <w:spacing w:line="360" w:lineRule="auto"/>
        <w:rPr>
          <w:rFonts w:hint="eastAsia" w:ascii="宋体" w:hAnsi="宋体" w:cs="宋体"/>
          <w:b w:val="0"/>
          <w:bCs w:val="0"/>
          <w:color w:val="auto"/>
          <w:sz w:val="32"/>
          <w:szCs w:val="32"/>
          <w:highlight w:val="none"/>
          <w:lang w:val="en-US" w:eastAsia="zh-CN"/>
        </w:rPr>
      </w:pPr>
      <w:r>
        <w:rPr>
          <w:rFonts w:hint="eastAsia" w:ascii="宋体" w:hAnsi="宋体" w:cs="宋体"/>
          <w:b w:val="0"/>
          <w:bCs w:val="0"/>
          <w:color w:val="auto"/>
          <w:sz w:val="32"/>
          <w:szCs w:val="32"/>
          <w:highlight w:val="none"/>
          <w:lang w:val="en-US" w:eastAsia="zh-CN"/>
        </w:rPr>
      </w:r>
      <w:r/>
    </w:p>
    <w:p>
      <w:pPr>
        <w:jc w:val="center"/>
        <w:pageBreakBefore w:val="0"/>
        <w:spacing w:line="360" w:lineRule="auto"/>
        <w:rPr>
          <w:rFonts w:hint="eastAsia" w:ascii="宋体" w:hAnsi="宋体" w:eastAsia="宋体" w:cs="宋体"/>
          <w:b w:val="0"/>
          <w:bCs w:val="0"/>
          <w:color w:val="auto"/>
          <w:sz w:val="36"/>
          <w:highlight w:val="none"/>
        </w:rPr>
        <w:sectPr>
          <w:headerReference w:type="default" r:id="rId9"/>
          <w:headerReference w:type="even" r:id="rId10"/>
          <w:footerReference w:type="default" r:id="rId13"/>
          <w:footerReference w:type="even" r:id="rId14"/>
          <w:footnotePr/>
          <w:endnotePr/>
          <w:type w:val="continuous"/>
          <w:pgSz w:w="11906" w:h="16838" w:orient="portrait"/>
          <w:pgMar w:top="1440" w:right="1247" w:bottom="1440" w:left="1247" w:header="851" w:footer="992" w:gutter="0"/>
          <w:cols w:num="1" w:sep="0" w:space="1701" w:equalWidth="1"/>
          <w:docGrid w:linePitch="360"/>
          <w:titlePg/>
        </w:sectPr>
      </w:pPr>
      <w:r>
        <w:rPr>
          <w:rFonts w:hint="eastAsia" w:ascii="宋体" w:hAnsi="宋体" w:cs="宋体"/>
          <w:b/>
          <w:bCs/>
          <w:color w:val="auto"/>
          <w:sz w:val="32"/>
          <w:szCs w:val="32"/>
          <w:highlight w:val="none"/>
          <w:lang w:val="en-US" w:eastAsia="zh-CN"/>
        </w:rPr>
        <w:t xml:space="preserve">二〇二六年七月</w:t>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jc w:val="center"/>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JSZC-320312-DJZX-C2026-0005</w:t>
      </w:r>
      <w:r/>
    </w:p>
    <w:p>
      <w:pPr>
        <w:jc w:val="both"/>
        <w:pageBreakBefore w:val="0"/>
        <w:spacing w:line="360" w:lineRule="auto"/>
        <w:tabs>
          <w:tab w:val="left" w:pos="3240" w:leader="none"/>
        </w:tabs>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val="en-US" w:eastAsia="zh-CN"/>
        </w:rPr>
        <w:t xml:space="preserve">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szCs w:val="24"/>
          <w:highlight w:val="none"/>
          <w:u w:val="single"/>
          <w:lang w:eastAsia="zh-CN"/>
        </w:rPr>
        <w:t xml:space="preserve">江苏鼎坚工程咨询有限公司</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u w:val="single"/>
          <w:lang w:eastAsia="zh-CN"/>
        </w:rPr>
        <w:t xml:space="preserve">徐州高新区交通安全设施提升改造工程</w:t>
      </w:r>
      <w:r>
        <w:rPr>
          <w:rFonts w:hint="eastAsia" w:ascii="宋体" w:hAnsi="宋体" w:eastAsia="宋体" w:cs="宋体"/>
          <w:color w:val="auto"/>
          <w:sz w:val="24"/>
          <w:szCs w:val="24"/>
          <w:highlight w:val="none"/>
        </w:rPr>
        <w:t xml:space="preserve">采取竞争性磋商采购方式进行采购。如贵单位有意与本公司合作，请按以下竞争性磋商文件（以下简称磋商文件）要求参加磋商。</w:t>
      </w:r>
      <w:r/>
    </w:p>
    <w:p>
      <w:pPr>
        <w:pStyle w:val="975"/>
        <w:rPr>
          <w:rFonts w:hint="eastAsia"/>
          <w:color w:val="auto"/>
          <w:highlight w:val="none"/>
        </w:rPr>
      </w:pPr>
      <w:r>
        <w:rPr>
          <w:rFonts w:hint="eastAsia"/>
          <w:color w:val="auto"/>
          <w:highlight w:val="none"/>
        </w:rPr>
        <w:t xml:space="preserve">第一章 项目说明</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一、采购人：</w:t>
      </w:r>
      <w:r>
        <w:rPr>
          <w:rFonts w:hint="eastAsia" w:ascii="宋体" w:hAnsi="宋体" w:eastAsia="宋体" w:cs="宋体"/>
          <w:color w:val="auto"/>
          <w:sz w:val="24"/>
          <w:szCs w:val="24"/>
          <w:highlight w:val="none"/>
          <w:lang w:eastAsia="zh-CN"/>
        </w:rPr>
        <w:t xml:space="preserve">徐州高新技术产业开发区公共事业管理服务中心</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徐州高新区交通安全设施提升改造工程</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三、项目编号：</w:t>
      </w:r>
      <w:r>
        <w:rPr>
          <w:rFonts w:hint="eastAsia" w:ascii="宋体" w:hAnsi="宋体" w:cs="宋体"/>
          <w:color w:val="auto"/>
          <w:sz w:val="24"/>
          <w:szCs w:val="24"/>
          <w:highlight w:val="none"/>
          <w:lang w:eastAsia="zh-CN"/>
        </w:rPr>
        <w:t xml:space="preserve">JSZC-320312-DJZX-C2026-0005</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四、采购邀请：通过发布公告的方式邀请符合相应资格条件的供应商参与竞争性磋商采购活动。</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五、采购方式：本项目采用竞争性磋商采购方式。</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六、供应商资格条件：见竞争性磋商公告（项目编号：</w:t>
      </w:r>
      <w:r>
        <w:rPr>
          <w:rFonts w:hint="eastAsia" w:ascii="宋体" w:hAnsi="宋体" w:cs="宋体"/>
          <w:bCs/>
          <w:color w:val="auto"/>
          <w:sz w:val="24"/>
          <w:szCs w:val="24"/>
          <w:highlight w:val="none"/>
          <w:lang w:eastAsia="zh-CN"/>
        </w:rPr>
        <w:t xml:space="preserve">JSZC-320312-DJZX-C2026-0005</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七、采购预算（采购项目预算金额）：见《磋商文件》附件2、《项目要求（采购需求）》。</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八、采购需求：见《磋商文件》附件2、《项目要求（采购需求）》。</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九、合同草案条款：见《磋商文件》附件</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、《拟签订的合同文本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合同草案条款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u w:val="none"/>
          <w:lang w:val="en-US" w:eastAsia="zh-CN"/>
        </w:rPr>
        <w:t xml:space="preserve">采购人或采购代理机构</w:t>
      </w:r>
      <w:r>
        <w:rPr>
          <w:rFonts w:hint="eastAsia" w:ascii="宋体" w:hAnsi="宋体" w:eastAsia="宋体" w:cs="宋体"/>
          <w:color w:val="auto"/>
          <w:sz w:val="24"/>
          <w:szCs w:val="24"/>
          <w:highlight w:val="none"/>
          <w:u w:val="none"/>
        </w:rPr>
        <w:t xml:space="preserve">无承诺表示时视为未成交，</w:t>
      </w:r>
      <w:r>
        <w:rPr>
          <w:rFonts w:hint="eastAsia" w:ascii="宋体" w:hAnsi="宋体" w:eastAsia="宋体" w:cs="宋体"/>
          <w:color w:val="auto"/>
          <w:sz w:val="24"/>
          <w:szCs w:val="24"/>
          <w:highlight w:val="none"/>
          <w:u w:val="none"/>
          <w:lang w:val="en-US" w:eastAsia="zh-CN"/>
        </w:rPr>
        <w:t xml:space="preserve">采购人或采购代理机构</w:t>
      </w:r>
      <w:r>
        <w:rPr>
          <w:rFonts w:hint="eastAsia" w:ascii="宋体" w:hAnsi="宋体" w:eastAsia="宋体" w:cs="宋体"/>
          <w:color w:val="auto"/>
          <w:sz w:val="24"/>
          <w:szCs w:val="24"/>
          <w:highlight w:val="none"/>
          <w:u w:val="none"/>
        </w:rPr>
        <w:t xml:space="preserve">认为</w:t>
      </w:r>
      <w:r>
        <w:rPr>
          <w:rFonts w:hint="eastAsia" w:ascii="宋体" w:hAnsi="宋体" w:eastAsia="宋体" w:cs="宋体"/>
          <w:color w:val="auto"/>
          <w:sz w:val="24"/>
          <w:szCs w:val="24"/>
          <w:highlight w:val="none"/>
        </w:rPr>
        <w:t xml:space="preserve">必要时可重新进行竞争性磋商采购或采取其它方式采购。</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75"/>
        <w:rPr>
          <w:rFonts w:hint="eastAsia"/>
          <w:color w:val="auto"/>
          <w:highlight w:val="none"/>
        </w:rPr>
      </w:pPr>
      <w:r>
        <w:rPr>
          <w:rFonts w:hint="eastAsia"/>
          <w:color w:val="auto"/>
          <w:highlight w:val="none"/>
        </w:rPr>
        <w:t xml:space="preserve">第二章 磋商保证金</w:t>
      </w:r>
      <w:r/>
    </w:p>
    <w:p>
      <w:pPr>
        <w:pStyle w:val="976"/>
        <w:ind w:firstLine="482"/>
        <w:keepLines/>
        <w:keepNext/>
        <w:pageBreakBefore w:val="0"/>
        <w:widowControl w:val="off"/>
        <w:rPr>
          <w:rFonts w:hint="eastAsia"/>
          <w:color w:val="auto"/>
          <w:highlight w:val="none"/>
        </w:rPr>
      </w:pPr>
      <w:r>
        <w:rPr>
          <w:rFonts w:hint="eastAsia"/>
          <w:b/>
          <w:bCs w:val="0"/>
          <w:color w:val="auto"/>
          <w:highlight w:val="none"/>
        </w:rPr>
        <w:t xml:space="preserve">十一、供应商提交磋商保证金</w:t>
      </w:r>
      <w:r/>
    </w:p>
    <w:p>
      <w:pPr>
        <w:ind w:right="-57"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1、磋商保证金交纳数额和形式：不需交纳。</w:t>
      </w:r>
      <w:r/>
    </w:p>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75"/>
        <w:rPr>
          <w:rFonts w:hint="eastAsia"/>
          <w:color w:val="auto"/>
          <w:highlight w:val="none"/>
        </w:rPr>
      </w:pPr>
      <w:r>
        <w:rPr>
          <w:rFonts w:hint="eastAsia"/>
          <w:color w:val="auto"/>
          <w:highlight w:val="none"/>
        </w:rPr>
        <w:t xml:space="preserve">第三章 响应文件</w:t>
      </w:r>
      <w:r/>
    </w:p>
    <w:p>
      <w:pPr>
        <w:pStyle w:val="976"/>
        <w:ind w:firstLine="482"/>
        <w:keepLines/>
        <w:keepNext/>
        <w:pageBreakBefore w:val="0"/>
        <w:widowControl w:val="off"/>
        <w:rPr>
          <w:rFonts w:hint="eastAsia"/>
          <w:color w:val="auto"/>
          <w:highlight w:val="none"/>
        </w:rPr>
      </w:pPr>
      <w:r>
        <w:rPr>
          <w:rFonts w:hint="eastAsia" w:eastAsia="宋体"/>
          <w:b/>
          <w:bCs w:val="0"/>
          <w:color w:val="auto"/>
          <w:highlight w:val="none"/>
        </w:rPr>
        <w:t xml:space="preserve">十二、提交响应文件要求</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（一）本项目通过“苏采云”系统进行电子采购，即供应商响应文件从政府采购客户端工具制作并通过“苏采云”系统提交。</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供应商应当通过“苏采云”系统提交数据电文形式的响应文件（即电子</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）。未进行线上响应文件提交并解密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因“苏采云”系统导致解密失败的除外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的供应商，响应无效。</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t xml:space="preserve">；或进入徐州政府采购网（网址：https://czj.xz.gov.cn/zfcg/），点击“苏采云”进入系统），按照要求通过互联网方式提交首次响应文件。</w:t>
      </w:r>
      <w:r/>
    </w:p>
    <w:p>
      <w:pPr>
        <w:ind w:firstLine="480"/>
        <w:jc w:val="both"/>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“苏采云”系统使用要求：</w:t>
      </w:r>
      <w:r/>
    </w:p>
    <w:p>
      <w:pPr>
        <w:pStyle w:val="1031"/>
        <w:ind w:firstLine="480"/>
        <w:jc w:val="both"/>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4.1使用谷歌浏览器参与不见面开标及磋商环节。</w:t>
      </w:r>
      <w:r/>
    </w:p>
    <w:p>
      <w:pPr>
        <w:pStyle w:val="1031"/>
        <w:ind w:firstLine="480"/>
        <w:jc w:val="both"/>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4.2电脑需提前准备好麦克风、音响，摄像头，提前检查保证能够正常使用。</w:t>
      </w:r>
      <w:r/>
    </w:p>
    <w:p>
      <w:pPr>
        <w:pStyle w:val="1031"/>
        <w:ind w:firstLine="480"/>
        <w:jc w:val="both"/>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4.3操作系统至少win7以上，建议使用win10操作系统。</w:t>
      </w:r>
      <w:r/>
    </w:p>
    <w:p>
      <w:pPr>
        <w:pStyle w:val="977"/>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（二）首次响应文件提交时间、地点</w:t>
      </w:r>
      <w:r>
        <w:rPr>
          <w:rFonts w:hint="eastAsia" w:ascii="宋体" w:hAnsi="宋体" w:eastAsia="宋体" w:cs="宋体"/>
          <w:color w:val="auto"/>
          <w:sz w:val="24"/>
          <w:szCs w:val="24"/>
          <w:highlight w:val="none"/>
        </w:rPr>
        <w:t xml:space="preserve">：</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1、首次响应文件提交的截止时间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rPr>
        <w:t xml:space="preserve">（北京时间）</w:t>
      </w:r>
      <w:r>
        <w:rPr>
          <w:rFonts w:hint="eastAsia" w:ascii="宋体" w:hAnsi="宋体" w:eastAsia="宋体" w:cs="宋体"/>
          <w:color w:val="auto"/>
          <w:sz w:val="24"/>
          <w:szCs w:val="24"/>
          <w:highlight w:val="none"/>
        </w:rPr>
        <w:t xml:space="preserve">，截止时间后提交的响应文件为无效文件将被拒收。</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2、提交首次响应文件地点：“苏采云”系统（网址：</w:t>
      </w:r>
      <w:r>
        <w:rPr>
          <w:rFonts w:hint="eastAsia" w:ascii="宋体" w:hAnsi="宋体" w:eastAsia="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t xml:space="preserve">）“开标大厅”或进入徐州政府采购网（网址：https://czj.xz.gov.cn/zfcg/），点击“苏采云”进入系统“开标大厅”。</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3、首次响应文件开启时间：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0（北京时间）</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4、首次响应文件开启地点：“苏采云”系统（网址：</w:t>
      </w:r>
      <w:r>
        <w:rPr>
          <w:rFonts w:hint="eastAsia" w:ascii="宋体" w:hAnsi="宋体" w:eastAsia="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t xml:space="preserve">）“开标大厅”或进入徐州政府采购网（网址：https://czj.xz.gov.cn/zfcg/），点击“苏采云”进入系统“开标大厅”。</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（四）不接受不按要求加盖公章（电子签章）的首次响应文件。电子签章相关要求见“苏采云”系统。</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highlight w:val="none"/>
        </w:rPr>
        <w:t xml:space="preserve">开启后“苏采云”系统提示解密30分钟内，通过“苏采云”系统</w:t>
      </w:r>
      <w:r>
        <w:rPr>
          <w:rFonts w:hint="eastAsia" w:ascii="宋体" w:hAnsi="宋体" w:eastAsia="宋体" w:cs="宋体"/>
          <w:color w:val="auto"/>
          <w:sz w:val="24"/>
          <w:szCs w:val="24"/>
          <w:highlight w:val="none"/>
        </w:rPr>
        <w:t xml:space="preserve">（使用“CA数字证书”）解密。</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（六）采购文件（后缀名为“.kedt”）、供应商操作手册及政府采购客户端工具可通过“苏采云”系统（网址：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（七）相关说明: 供应商在“苏采云”系统中提交首次响应文件的时间即为数据电文（响应文件，下同）的发送时间和接收时间。</w:t>
      </w:r>
      <w:r/>
    </w:p>
    <w:p>
      <w:pPr>
        <w:pStyle w:val="976"/>
        <w:ind w:firstLine="482"/>
        <w:keepLines/>
        <w:keepNext/>
        <w:pageBreakBefore w:val="0"/>
        <w:widowControl w:val="off"/>
        <w:rPr>
          <w:rFonts w:hint="eastAsia"/>
          <w:b/>
          <w:bCs w:val="0"/>
          <w:color w:val="auto"/>
          <w:highlight w:val="none"/>
        </w:rPr>
      </w:pPr>
      <w:r>
        <w:rPr>
          <w:rFonts w:hint="eastAsia"/>
          <w:b/>
          <w:bCs w:val="0"/>
          <w:color w:val="auto"/>
          <w:highlight w:val="none"/>
        </w:rPr>
        <w:t xml:space="preserve">十三、响应文件编制要求</w:t>
      </w:r>
      <w:r/>
    </w:p>
    <w:p>
      <w:pPr>
        <w:pStyle w:val="1027"/>
        <w:ind w:firstLine="480"/>
        <w:jc w:val="both"/>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请按照以下要求（包括但不限于以下要求）制作：</w:t>
      </w:r>
      <w:r/>
    </w:p>
    <w:p>
      <w:pPr>
        <w:pStyle w:val="977"/>
        <w:rPr>
          <w:rFonts w:hint="eastAsia"/>
          <w:color w:val="auto"/>
          <w:highlight w:val="none"/>
        </w:rPr>
      </w:pPr>
      <w:r>
        <w:rPr>
          <w:rFonts w:hint="eastAsia"/>
          <w:color w:val="auto"/>
          <w:highlight w:val="none"/>
        </w:rPr>
        <w:t xml:space="preserve">（一）基本目录</w:t>
      </w:r>
      <w:r/>
    </w:p>
    <w:p>
      <w:pPr>
        <w:pStyle w:val="1027"/>
        <w:ind w:firstLine="480"/>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1、《磋商报价表》（加盖电子签章，格式见磋商文件《响应文件相关格式》或政府采购客户端工具输入报价自动生成）；</w:t>
      </w:r>
      <w:r/>
    </w:p>
    <w:p>
      <w:pPr>
        <w:pStyle w:val="1027"/>
        <w:ind w:firstLine="480"/>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供应商认为需要提供的其他资料的扫描件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977"/>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b/>
          <w:bCs w:val="0"/>
          <w:color w:val="auto"/>
          <w:highlight w:val="none"/>
        </w:rPr>
        <w:t xml:space="preserve">资格</w:t>
      </w:r>
      <w:r>
        <w:rPr>
          <w:rFonts w:hint="eastAsia" w:ascii="宋体" w:hAnsi="宋体" w:eastAsia="宋体" w:cs="宋体"/>
          <w:b/>
          <w:color w:val="auto"/>
          <w:sz w:val="24"/>
          <w:szCs w:val="24"/>
          <w:highlight w:val="none"/>
        </w:rPr>
        <w:t xml:space="preserve">条件（1～</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项必须提供原件扫描件，否则响应无效）</w:t>
      </w:r>
      <w:r/>
    </w:p>
    <w:p>
      <w:pPr>
        <w:pStyle w:val="1031"/>
        <w:numPr>
          <w:ilvl w:val="0"/>
          <w:numId w:val="0"/>
        </w:numPr>
        <w:ind w:left="-62" w:right="-334" w:firstLine="482"/>
        <w:jc w:val="both"/>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1.具有独立承担民事责任的能力，提供供应商合法有效的营业执照扫描件（或事业单位法人证书扫描件，或民办非企业单位登记证书扫描件）；</w:t>
      </w:r>
      <w:r/>
    </w:p>
    <w:p>
      <w:pPr>
        <w:pStyle w:val="1031"/>
        <w:numPr>
          <w:ilvl w:val="0"/>
          <w:numId w:val="0"/>
        </w:numPr>
        <w:ind w:left="-62" w:right="-334" w:firstLine="482"/>
        <w:jc w:val="both"/>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p>
    <w:p>
      <w:pPr>
        <w:pStyle w:val="1031"/>
        <w:numPr>
          <w:ilvl w:val="0"/>
          <w:numId w:val="0"/>
        </w:numPr>
        <w:ind w:left="-62" w:right="-334" w:firstLine="482"/>
        <w:jc w:val="both"/>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pStyle w:val="1031"/>
        <w:numPr>
          <w:ilvl w:val="0"/>
          <w:numId w:val="0"/>
        </w:numPr>
        <w:ind w:left="-62" w:right="-334" w:firstLine="482"/>
        <w:jc w:val="both"/>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p>
    <w:p>
      <w:pPr>
        <w:pStyle w:val="1031"/>
        <w:numPr>
          <w:ilvl w:val="0"/>
          <w:numId w:val="0"/>
        </w:numPr>
        <w:ind w:left="-62" w:right="-334" w:firstLine="482"/>
        <w:jc w:val="both"/>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5.供应商参加政府采购活动前3年内在经营活动中没有重大违法记录的书面声明（加盖电子签章，格式见磋商文件《响应文件相关格式》）；</w:t>
      </w:r>
      <w:r/>
    </w:p>
    <w:p>
      <w:pPr>
        <w:pStyle w:val="1031"/>
        <w:numPr>
          <w:ilvl w:val="0"/>
          <w:numId w:val="0"/>
        </w:numPr>
        <w:ind w:left="-62" w:right="-334" w:firstLine="482"/>
        <w:jc w:val="both"/>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6.本项目特定资格要求：提供以下资料扫描件，加盖电子签章：</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（1）供应商具有合格有效的《电子与智能化工程专业承包》贰级（含）以上资质，并同时具备安全生产条件，并取得《安全生产许可证》；</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供应商拟选派项目负责人具有机电工程贰级（含）以上资质注册建造师证书、有效的《建筑施工企业安全生产考核合格证书》（B证），且无在建工程（提供无在建承诺书，格式见磋商文件《响应文件相关格式》，加盖电子签章,必须提供）。</w:t>
      </w:r>
      <w:r/>
    </w:p>
    <w:p>
      <w:pPr>
        <w:pStyle w:val="977"/>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（三）符合</w:t>
      </w:r>
      <w:r>
        <w:rPr>
          <w:rFonts w:hint="eastAsia"/>
          <w:b/>
          <w:bCs w:val="0"/>
          <w:color w:val="auto"/>
          <w:highlight w:val="none"/>
          <w:lang w:val="en-US" w:eastAsia="zh-CN"/>
        </w:rPr>
        <w:t xml:space="preserve">条件</w:t>
      </w:r>
      <w:r>
        <w:rPr>
          <w:rFonts w:hint="eastAsia" w:ascii="宋体" w:hAnsi="宋体" w:eastAsia="宋体" w:cs="宋体"/>
          <w:b/>
          <w:bCs/>
          <w:color w:val="auto"/>
          <w:sz w:val="24"/>
          <w:szCs w:val="24"/>
          <w:highlight w:val="none"/>
          <w:lang w:val="en-US" w:eastAsia="zh-CN" w:bidi="ar-SA"/>
        </w:rPr>
        <w:t xml:space="preserve">（必须提供，否则响应无效）</w:t>
      </w:r>
      <w:r/>
    </w:p>
    <w:p>
      <w:pPr>
        <w:ind w:left="0" w:right="0" w:firstLine="480"/>
        <w:jc w:val="both"/>
        <w:keepLines w:val="0"/>
        <w:keepNext w:val="0"/>
        <w:pageBreakBefore w:val="0"/>
        <w:spacing w:before="0" w:after="0" w:line="36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1.《承诺书》（加盖电子签章，格式见磋商文件《响应文件相关格式》）</w:t>
      </w:r>
      <w:r/>
    </w:p>
    <w:p>
      <w:pPr>
        <w:ind w:left="0" w:right="0" w:firstLine="480"/>
        <w:jc w:val="both"/>
        <w:keepLines w:val="0"/>
        <w:keepNext w:val="0"/>
        <w:pageBreakBefore w:val="0"/>
        <w:spacing w:before="0" w:after="0" w:line="36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2.《磋商报价表》（加盖电子签章，格式见磋商文件《响应文件相关格式》）；</w:t>
      </w:r>
      <w:r/>
    </w:p>
    <w:p>
      <w:pPr>
        <w:ind w:left="0" w:right="0" w:firstLine="480"/>
        <w:jc w:val="both"/>
        <w:keepLines w:val="0"/>
        <w:keepNext w:val="0"/>
        <w:pageBreakBefore w:val="0"/>
        <w:spacing w:before="0" w:after="0" w:line="36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3.《分项价格表》（具有标价的工程量清单与报价表）（加盖电子签章，格式见磋商文件《响应文件相关格式》）；</w:t>
      </w:r>
      <w:r/>
    </w:p>
    <w:p>
      <w:pPr>
        <w:ind w:left="0" w:right="0" w:firstLine="480"/>
        <w:jc w:val="both"/>
        <w:keepLines w:val="0"/>
        <w:keepNext w:val="0"/>
        <w:pageBreakBefore w:val="0"/>
        <w:spacing w:before="0" w:after="0" w:line="36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4.《偏离表》（必须提供，否则响应无效）（加盖电子签章，格式见磋商文件《响应文件相关格式》）；</w:t>
      </w:r>
      <w:r/>
    </w:p>
    <w:p>
      <w:pPr>
        <w:ind w:left="0" w:right="0" w:firstLine="480"/>
        <w:jc w:val="both"/>
        <w:keepLines w:val="0"/>
        <w:keepNext w:val="0"/>
        <w:pageBreakBefore w:val="0"/>
        <w:spacing w:before="0" w:after="0" w:line="36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5.《授权委托书》（加盖电子签章，格式见磋商文件《响应文件相关格式》）；</w:t>
      </w:r>
      <w:r/>
    </w:p>
    <w:p>
      <w:pPr>
        <w:ind w:left="0" w:right="0" w:firstLine="480"/>
        <w:jc w:val="both"/>
        <w:keepLines w:val="0"/>
        <w:keepNext w:val="0"/>
        <w:pageBreakBefore w:val="0"/>
        <w:spacing w:before="0" w:after="0" w:line="360" w:lineRule="auto"/>
        <w:widowControl/>
        <w:rPr>
          <w:rFonts w:hint="eastAsia" w:ascii="宋体" w:hAnsi="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6.《主要材料（设备）一览表》（加盖电子签章，格式见磋商文件《响应文件相关格式》）；</w:t>
      </w:r>
      <w:r/>
    </w:p>
    <w:p>
      <w:pPr>
        <w:pStyle w:val="1026"/>
        <w:spacing w:line="360" w:lineRule="auto"/>
        <w:rPr>
          <w:rFonts w:hint="default"/>
          <w:color w:val="auto"/>
          <w:highlight w:val="none"/>
          <w:lang w:val="en-US" w:eastAsia="zh-CN"/>
        </w:rPr>
      </w:pPr>
      <w:r>
        <w:rPr>
          <w:rFonts w:hint="eastAsia" w:ascii="宋体" w:hAnsi="宋体" w:cs="宋体"/>
          <w:color w:val="auto"/>
          <w:sz w:val="24"/>
          <w:szCs w:val="24"/>
          <w:highlight w:val="none"/>
          <w:lang w:val="en-US" w:eastAsia="zh-CN" w:bidi="ar-SA"/>
        </w:rPr>
        <w:t xml:space="preserve">7.《承包人主要施工管理人员表》（加盖电子签章，格式见磋商文件《响应文件相关格式》）</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《承诺函》（针对平台对接，加盖电子签章，格式自拟）</w:t>
      </w:r>
      <w:r>
        <w:rPr>
          <w:rFonts w:hint="eastAsia" w:ascii="宋体" w:hAnsi="宋体" w:cs="宋体"/>
          <w:color w:val="auto"/>
          <w:sz w:val="24"/>
          <w:szCs w:val="24"/>
          <w:highlight w:val="none"/>
          <w:lang w:val="en-US" w:eastAsia="zh-CN" w:bidi="ar-SA"/>
        </w:rPr>
        <w:t xml:space="preserve">。</w:t>
      </w:r>
      <w:r/>
    </w:p>
    <w:p>
      <w:pPr>
        <w:pStyle w:val="977"/>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（四）综合</w:t>
      </w:r>
      <w:r>
        <w:rPr>
          <w:rFonts w:hint="eastAsia"/>
          <w:b/>
          <w:bCs w:val="0"/>
          <w:color w:val="auto"/>
          <w:highlight w:val="none"/>
          <w:lang w:val="en-US" w:eastAsia="zh-CN"/>
        </w:rPr>
        <w:t xml:space="preserve">评审</w:t>
      </w:r>
      <w:r>
        <w:rPr>
          <w:rFonts w:hint="eastAsia" w:ascii="宋体" w:hAnsi="宋体" w:eastAsia="宋体" w:cs="宋体"/>
          <w:b/>
          <w:bCs/>
          <w:color w:val="auto"/>
          <w:sz w:val="24"/>
          <w:szCs w:val="24"/>
          <w:highlight w:val="none"/>
          <w:lang w:val="en-US" w:eastAsia="zh-CN" w:bidi="ar-SA"/>
        </w:rPr>
        <w:t xml:space="preserve">评分项</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1、技术部分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（1）《总体施工方案》（要求见《磋商文件》附件1、《评分细则》）。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（2）《进度及保证措施》（要求见《磋商文件》附件1、《评分细则》）。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（3）《质量保证措施》（要求见《磋商文件》附件1、《评分细则》）。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（4）《安全文明施工措施》（要求见《磋商文件》附件1、《评分细则》）。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（5）《劳动力、机械设备和材料投入》（要求见《磋商文件》附件1、《评分细则》）。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（6）《对接方案》（要求见《磋商文件》附件1、《评分细则》）。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（7）《关键施工技术、工艺及工程项目实施的重点、难点和解决方案》（要求见《磋商文件》附件1、《评分细则》）。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（8）《售后服务方案》（要求见《磋商文件》附件1、《评分细则》）。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2、商务部分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（1）供应商业绩（要求见《磋商文件》附件1、《评分细则》）；</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（2）评分细则中评分得分需提供的相关证明文件原件扫描件或供应商认为需要提供的其他资料扫描件。</w:t>
      </w:r>
      <w:r/>
    </w:p>
    <w:p>
      <w:pPr>
        <w:pStyle w:val="97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（五）价格</w:t>
      </w:r>
      <w:r>
        <w:rPr>
          <w:rFonts w:hint="eastAsia"/>
          <w:b/>
          <w:bCs w:val="0"/>
          <w:color w:val="auto"/>
          <w:highlight w:val="none"/>
        </w:rPr>
        <w:t xml:space="preserve">折扣</w:t>
      </w:r>
      <w:r>
        <w:rPr>
          <w:rFonts w:hint="eastAsia" w:ascii="宋体" w:hAnsi="宋体" w:eastAsia="宋体" w:cs="宋体"/>
          <w:b/>
          <w:bCs/>
          <w:color w:val="auto"/>
          <w:sz w:val="24"/>
          <w:szCs w:val="24"/>
          <w:highlight w:val="none"/>
        </w:rPr>
        <w:t xml:space="preserve">文件格式</w:t>
      </w:r>
      <w:r/>
    </w:p>
    <w:p>
      <w:pPr>
        <w:ind w:left="0" w:right="0" w:firstLine="480"/>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1、企业报价折扣证明：</w:t>
      </w:r>
      <w:r>
        <w:rPr>
          <w:rFonts w:hint="eastAsia" w:ascii="宋体" w:hAnsi="宋体" w:eastAsia="宋体" w:cs="宋体"/>
          <w:b/>
          <w:bCs/>
          <w:color w:val="auto"/>
          <w:sz w:val="24"/>
          <w:szCs w:val="24"/>
          <w:highlight w:val="none"/>
          <w:lang w:val="en-US" w:eastAsia="zh-CN" w:bidi="ar-SA"/>
        </w:rPr>
        <w:t xml:space="preserve">《中小企业声明函》（加盖电子签章，填写完整，如不填写完整，视为无效，格式见《磋商文件》附件）。</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注：中小微企业，应当同时符合以下条件</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977"/>
        <w:rPr>
          <w:rFonts w:hint="eastAsia"/>
          <w:color w:val="auto"/>
          <w:highlight w:val="none"/>
        </w:rPr>
      </w:pPr>
      <w:r>
        <w:rPr>
          <w:rFonts w:hint="eastAsia"/>
          <w:color w:val="auto"/>
          <w:highlight w:val="none"/>
        </w:rPr>
        <w:t xml:space="preserve">（六）提交的首次响应文件的加密、签署、盖章要求：</w:t>
      </w:r>
      <w:r/>
    </w:p>
    <w:p>
      <w:pPr>
        <w:ind w:left="0" w:right="0" w:firstLine="480"/>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1、密封（加密）要求：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签署要求：</w:t>
      </w:r>
      <w:r>
        <w:rPr>
          <w:rFonts w:hint="eastAsia" w:ascii="宋体" w:hAnsi="宋体" w:eastAsia="宋体" w:cs="宋体"/>
          <w:color w:val="auto"/>
          <w:sz w:val="24"/>
          <w:szCs w:val="24"/>
          <w:highlight w:val="none"/>
        </w:rPr>
        <w:t xml:space="preserve">见《磋商文件》第九章附件中相关格式要求。</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特别提醒：竞争性磋商文件中如需法定代表人（签字或盖章）或受托人（签字或盖章），供应商应打印成文档，签字或盖章后再扫描上传，最后再电子签章。</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盖章要求</w:t>
      </w:r>
      <w:r>
        <w:rPr>
          <w:rFonts w:hint="eastAsia" w:ascii="宋体" w:hAnsi="宋体" w:eastAsia="宋体" w:cs="宋体"/>
          <w:color w:val="auto"/>
          <w:sz w:val="24"/>
          <w:szCs w:val="24"/>
          <w:highlight w:val="none"/>
        </w:rPr>
        <w:t xml:space="preserve">：见《磋商文件》第九章附件中相关格式要求。供应商须通过“苏采云”系统提供的政府采购客户端工具（使用“CA数字证书”）加盖电子签章。</w:t>
      </w:r>
      <w:r/>
    </w:p>
    <w:p>
      <w:pPr>
        <w:pStyle w:val="1027"/>
        <w:jc w:val="both"/>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（七）通过“苏采云”系统提交政府采购客户端工具导出加密的响应文件（后缀名为zip）。响应文件不得超过150M！（以系统为准） </w:t>
      </w:r>
      <w:r/>
    </w:p>
    <w:p>
      <w:pPr>
        <w:pStyle w:val="1027"/>
        <w:ind w:firstLine="497"/>
        <w:jc w:val="both"/>
        <w:pageBreakBefore w:val="0"/>
        <w:spacing w:line="360" w:lineRule="auto"/>
        <w:rPr>
          <w:rFonts w:hint="eastAsia" w:ascii="宋体" w:hAnsi="宋体" w:eastAsia="宋体" w:cs="宋体"/>
          <w:b/>
          <w:bCs/>
          <w:color w:val="auto"/>
          <w:sz w:val="24"/>
          <w:szCs w:val="24"/>
          <w:highlight w:val="none"/>
        </w:rPr>
      </w:pPr>
      <w:r>
        <w:rPr>
          <w:rFonts w:hint="eastAsia" w:eastAsia="宋体" w:cs="宋体"/>
          <w:b/>
          <w:bCs/>
          <w:color w:val="auto"/>
          <w:sz w:val="24"/>
          <w:szCs w:val="24"/>
          <w:highlight w:val="none"/>
          <w:lang w:eastAsia="zh-CN"/>
        </w:rPr>
        <w:t xml:space="preserve">特别说明</w:t>
      </w:r>
      <w:r>
        <w:rPr>
          <w:rFonts w:hint="eastAsia" w:ascii="宋体" w:hAnsi="宋体" w:eastAsia="宋体" w:cs="宋体"/>
          <w:b/>
          <w:bCs/>
          <w:color w:val="auto"/>
          <w:sz w:val="24"/>
          <w:szCs w:val="24"/>
          <w:highlight w:val="none"/>
        </w:rPr>
        <w:t xml:space="preserve">：</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供应商应当按照《磋商文件》的要求编制响应文件，并对其提交的响应文件的真实性、合法性承担法律责任。</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供应商中标（成交）后，须向代理机构提供</w:t>
      </w:r>
      <w:bookmarkStart w:id="0" w:name="_Hlk105221193"/>
      <w:r>
        <w:rPr>
          <w:rFonts w:hint="eastAsia" w:ascii="宋体" w:hAnsi="宋体" w:eastAsia="宋体" w:cs="宋体"/>
          <w:color w:val="auto"/>
          <w:sz w:val="24"/>
          <w:szCs w:val="24"/>
          <w:highlight w:val="none"/>
        </w:rPr>
        <w:t xml:space="preserve">纸质版响应文件一正四副及电子响应文件2份（U盘）</w:t>
      </w:r>
      <w:bookmarkEnd w:id="0"/>
      <w:r>
        <w:rPr>
          <w:rFonts w:hint="eastAsia" w:ascii="宋体" w:hAnsi="宋体" w:eastAsia="宋体" w:cs="宋体"/>
          <w:color w:val="auto"/>
          <w:sz w:val="24"/>
          <w:szCs w:val="24"/>
          <w:highlight w:val="none"/>
        </w:rPr>
        <w:t xml:space="preserve">。采购人索取成交供应商的响应文件，须在双方签订政府采购合同后，由采购代理机构提供给采购人。</w:t>
      </w:r>
      <w:r/>
    </w:p>
    <w:p>
      <w:pPr>
        <w:pStyle w:val="975"/>
        <w:rPr>
          <w:rFonts w:hint="eastAsia"/>
          <w:color w:val="auto"/>
          <w:highlight w:val="none"/>
        </w:rPr>
      </w:pPr>
      <w:r>
        <w:rPr>
          <w:rFonts w:hint="eastAsia"/>
          <w:color w:val="auto"/>
          <w:highlight w:val="none"/>
        </w:rPr>
        <w:t xml:space="preserve">第四章 磋商相关说明</w:t>
      </w:r>
      <w:r/>
    </w:p>
    <w:p>
      <w:pPr>
        <w:pStyle w:val="976"/>
        <w:ind w:firstLine="482"/>
        <w:keepLines/>
        <w:keepNext/>
        <w:pageBreakBefore w:val="0"/>
        <w:widowControl w:val="off"/>
        <w:rPr>
          <w:rFonts w:hint="eastAsia"/>
          <w:b/>
          <w:bCs w:val="0"/>
          <w:color w:val="auto"/>
          <w:highlight w:val="none"/>
        </w:rPr>
      </w:pPr>
      <w:r>
        <w:rPr>
          <w:rFonts w:hint="eastAsia"/>
          <w:b/>
          <w:bCs w:val="0"/>
          <w:color w:val="auto"/>
          <w:highlight w:val="none"/>
        </w:rPr>
        <w:t xml:space="preserve">十四、磋商程序</w:t>
      </w:r>
      <w:r/>
    </w:p>
    <w:p>
      <w:pPr>
        <w:pStyle w:val="1027"/>
        <w:jc w:val="both"/>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（一）磋商要求</w:t>
      </w:r>
      <w:r/>
    </w:p>
    <w:p>
      <w:pPr>
        <w:pStyle w:val="1027"/>
        <w:ind w:firstLine="480"/>
        <w:jc w:val="both"/>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1027"/>
        <w:ind w:firstLine="480"/>
        <w:jc w:val="both"/>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2、供应商可通过CA数字证书，在首次响应文件开启时间后，使用CA数字证书在规定时间内解密各自响应文件。</w:t>
      </w:r>
      <w:r/>
    </w:p>
    <w:p>
      <w:pPr>
        <w:pStyle w:val="1027"/>
        <w:ind w:firstLine="480"/>
        <w:jc w:val="both"/>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3、供应商授权的磋商人员需携带授权委托书原件及身份证原件按时参与磋商活动。</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4、磋商顺序按照电子标书解密先后时间进行，解密时间相同的，不分先后顺序。</w:t>
      </w:r>
      <w:r/>
    </w:p>
    <w:p>
      <w:pPr>
        <w:pStyle w:val="1034"/>
        <w:ind w:firstLine="480"/>
        <w:jc w:val="both"/>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
          <w:color w:val="auto"/>
          <w:sz w:val="24"/>
          <w:szCs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6.未在规定时间内进行答疑澄清的，视同放弃澄清。</w:t>
      </w:r>
      <w:r/>
    </w:p>
    <w:p>
      <w:pPr>
        <w:pStyle w:val="1027"/>
        <w:ind w:firstLine="480"/>
        <w:jc w:val="both"/>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7.未在规定时间内进行报价的，视为响应无效。</w:t>
      </w:r>
      <w:r/>
    </w:p>
    <w:p>
      <w:pPr>
        <w:pStyle w:val="1027"/>
        <w:ind w:firstLine="480"/>
        <w:jc w:val="both"/>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8.被邀请参与磋商的供应商如未按上述磋商要求执行，视同放弃磋商的权利。</w:t>
      </w:r>
      <w:r/>
    </w:p>
    <w:p>
      <w:pPr>
        <w:pStyle w:val="1027"/>
        <w:ind w:firstLine="240"/>
        <w:jc w:val="both"/>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查询及使用供应商信用记录</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1.由采购人查询信用信息。</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2.查询渠道包括：</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“信用中国”网（www.creditchina.gov.cn）；</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中国政府采购网（www.ccgp.gov.cn）；</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信用江苏”网（http://credit.jiangsu.gov.cn/）；</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“信用中国（江苏徐州）”网（ http://</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"http://www.xuzhoucredit.gov.cn）。"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www.xuzhoucredit.gov.cn）。</w:t>
      </w:r>
      <w:r>
        <w:rPr>
          <w:rFonts w:hint="eastAsia" w:ascii="宋体" w:hAnsi="宋体" w:eastAsia="宋体" w:cs="宋体"/>
          <w:color w:val="auto"/>
          <w:sz w:val="24"/>
          <w:szCs w:val="24"/>
          <w:highlight w:val="none"/>
        </w:rPr>
        <w:fldChar w:fldCharType="end"/>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3.截止时点（查询环节）：首次响应文件开启后资格审查结束前。</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4.信用信息查询记录和证据留存的具体方式：网页截屏打印，与其他采购文件一并保存。</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5.信用信息的使用规则：</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76"/>
        <w:ind w:firstLine="482"/>
        <w:keepLines/>
        <w:keepNext/>
        <w:pageBreakBefore w:val="0"/>
        <w:widowControl w:val="off"/>
        <w:rPr>
          <w:rFonts w:hint="eastAsia" w:ascii="宋体" w:hAnsi="宋体" w:eastAsia="宋体" w:cs="宋体"/>
          <w:b/>
          <w:bCs/>
          <w:color w:val="auto"/>
          <w:sz w:val="24"/>
          <w:szCs w:val="24"/>
          <w:highlight w:val="none"/>
        </w:rPr>
      </w:pPr>
      <w:r>
        <w:rPr>
          <w:rFonts w:hint="eastAsia"/>
          <w:b/>
          <w:bCs w:val="0"/>
          <w:color w:val="auto"/>
          <w:highlight w:val="none"/>
        </w:rPr>
        <w:t xml:space="preserve">十五、评审程序</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磋商小组在阅读完所有磋商供应商的响应文件后，集中与单一供应商代表分别就技术参数等技术问题及价格和售后服务等内容进行磋商。</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磋商结束后，磋商小组应当要求所有参加磋商的供应商在规定时间内进行最后报价。供应商可按照磋商小组的要求在磋商现场（</w:t>
      </w:r>
      <w:r>
        <w:rPr>
          <w:rFonts w:hint="eastAsia" w:ascii="宋体" w:hAnsi="宋体" w:eastAsia="宋体" w:cs="宋体"/>
          <w:b/>
          <w:bCs/>
          <w:color w:val="auto"/>
          <w:sz w:val="24"/>
          <w:szCs w:val="24"/>
          <w:highlight w:val="none"/>
        </w:rPr>
        <w:t xml:space="preserve">即“苏采云”系统开标大厅中</w:t>
      </w:r>
      <w:r>
        <w:rPr>
          <w:rFonts w:hint="eastAsia" w:ascii="宋体" w:hAnsi="宋体" w:eastAsia="宋体" w:cs="宋体"/>
          <w:color w:val="auto"/>
          <w:sz w:val="24"/>
          <w:szCs w:val="24"/>
          <w:highlight w:val="none"/>
        </w:rPr>
        <w:t xml:space="preserve">）进行不少于两次的报价，首轮报价不公开，本项目二次报价为最后报价。</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color w:val="auto"/>
          <w:sz w:val="24"/>
          <w:szCs w:val="24"/>
          <w:highlight w:val="none"/>
          <w:lang w:eastAsia="zh-CN"/>
        </w:rPr>
        <w:t xml:space="preserve">技术部分</w:t>
      </w:r>
      <w:r>
        <w:rPr>
          <w:rFonts w:hint="eastAsia" w:ascii="宋体" w:hAnsi="宋体" w:eastAsia="宋体" w:cs="宋体"/>
          <w:color w:val="auto"/>
          <w:sz w:val="24"/>
          <w:szCs w:val="24"/>
          <w:highlight w:val="none"/>
        </w:rPr>
        <w:t xml:space="preserve">优劣（得分）顺序推荐。</w:t>
      </w:r>
      <w:r/>
    </w:p>
    <w:p>
      <w:pPr>
        <w:pStyle w:val="1027"/>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磋商过程中出现下列情形之一的，磋商小组认为供应商的报价明显低于其他供应商的报价，有可能影响产品质量、服务质量或者不能诚信履约的，磋商小组应当启动异常低价响应审查程序:</w:t>
      </w:r>
      <w:r/>
    </w:p>
    <w:p>
      <w:pPr>
        <w:pStyle w:val="1027"/>
        <w:ind w:firstLine="480"/>
        <w:jc w:val="both"/>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实施政府采购异常低价审查的有关要求：</w:t>
      </w:r>
      <w:r/>
    </w:p>
    <w:p>
      <w:pPr>
        <w:pStyle w:val="1027"/>
        <w:ind w:firstLine="480"/>
        <w:jc w:val="both"/>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（一）评审过程中出现下列情形之一的，评审委员会应当启动异常低价投标（响应）审查程序：</w:t>
      </w:r>
      <w:r/>
    </w:p>
    <w:p>
      <w:pPr>
        <w:pStyle w:val="1027"/>
        <w:ind w:firstLine="480"/>
        <w:jc w:val="both"/>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pStyle w:val="1027"/>
        <w:ind w:firstLine="480"/>
        <w:jc w:val="both"/>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pStyle w:val="1027"/>
        <w:ind w:firstLine="480"/>
        <w:jc w:val="both"/>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③投标（响应）报价低于采购项目最高限价45%的，即投标（响应）报价&lt;采购项目最高限价×45%；</w:t>
      </w:r>
      <w:r/>
    </w:p>
    <w:p>
      <w:pPr>
        <w:pStyle w:val="1027"/>
        <w:ind w:firstLine="480"/>
        <w:jc w:val="both"/>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fldChar w:fldCharType="begin"/>
      </w:r>
      <w:r>
        <w:rPr>
          <w:rFonts w:hint="eastAsia" w:ascii="宋体" w:hAnsi="宋体" w:eastAsia="宋体" w:cs="宋体"/>
          <w:b/>
          <w:bCs/>
          <w:color w:val="auto"/>
          <w:sz w:val="24"/>
          <w:szCs w:val="24"/>
          <w:highlight w:val="none"/>
          <w:lang w:val="en-US" w:eastAsia="zh-CN"/>
        </w:rPr>
        <w:instrText xml:space="preserve"> = 4 \* GB3 \* MERGEFORMAT </w:instrText>
      </w:r>
      <w:r>
        <w:rPr>
          <w:rFonts w:hint="eastAsia" w:ascii="宋体" w:hAnsi="宋体" w:eastAsia="宋体" w:cs="宋体"/>
          <w:b/>
          <w:bCs/>
          <w:color w:val="auto"/>
          <w:sz w:val="24"/>
          <w:szCs w:val="24"/>
          <w:highlight w:val="none"/>
          <w:lang w:val="en-US" w:eastAsia="zh-CN"/>
        </w:rPr>
        <w:fldChar w:fldCharType="separate"/>
      </w:r>
      <w:r>
        <w:rPr>
          <w:rFonts w:hint="eastAsia" w:ascii="宋体" w:hAnsi="宋体" w:eastAsia="宋体" w:cs="宋体"/>
          <w:b/>
          <w:bCs/>
          <w:color w:val="auto"/>
          <w:sz w:val="24"/>
          <w:szCs w:val="24"/>
          <w:highlight w:val="none"/>
          <w:lang w:val="en-US" w:eastAsia="zh-CN"/>
        </w:rPr>
        <w:t xml:space="preserve">④</w:t>
      </w:r>
      <w:r>
        <w:rPr>
          <w:rFonts w:hint="eastAsia" w:ascii="宋体" w:hAnsi="宋体" w:eastAsia="宋体" w:cs="宋体"/>
          <w:b/>
          <w:bCs/>
          <w:color w:val="auto"/>
          <w:sz w:val="24"/>
          <w:szCs w:val="24"/>
          <w:highlight w:val="none"/>
          <w:lang w:val="en-US" w:eastAsia="zh-CN"/>
        </w:rPr>
        <w:fldChar w:fldCharType="end"/>
      </w:r>
      <w:r>
        <w:rPr>
          <w:rFonts w:hint="eastAsia" w:ascii="宋体" w:hAnsi="宋体" w:eastAsia="宋体" w:cs="宋体"/>
          <w:b/>
          <w:bCs/>
          <w:color w:val="auto"/>
          <w:sz w:val="24"/>
          <w:szCs w:val="24"/>
          <w:highlight w:val="none"/>
          <w:lang w:val="en-US" w:eastAsia="zh-CN"/>
        </w:rPr>
        <w:t xml:space="preserve">评审委员会基于专业判断，认为供应商报价过低，有可能影响产品质量或者不能诚信履约的其他情形。</w:t>
      </w:r>
      <w:r/>
    </w:p>
    <w:p>
      <w:pPr>
        <w:pStyle w:val="1027"/>
        <w:ind w:firstLine="480"/>
        <w:jc w:val="both"/>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磋商小组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27"/>
        <w:ind w:firstLine="480"/>
        <w:jc w:val="both"/>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1027"/>
        <w:ind w:firstLine="480"/>
        <w:jc w:val="both"/>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027"/>
        <w:ind w:firstLine="480"/>
        <w:jc w:val="both"/>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0"/>
        <w:jc w:val="both"/>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w:t>
      </w:r>
      <w:r>
        <w:rPr>
          <w:rFonts w:hint="eastAsia" w:ascii="宋体" w:hAnsi="宋体" w:eastAsia="宋体" w:cs="宋体"/>
          <w:b/>
          <w:bCs/>
          <w:color w:val="auto"/>
          <w:sz w:val="24"/>
          <w:szCs w:val="24"/>
          <w:highlight w:val="none"/>
          <w:lang w:val="en-US" w:eastAsia="zh-CN"/>
        </w:rPr>
        <w:t xml:space="preserve">2026</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号文件。</w:t>
      </w:r>
      <w:r/>
    </w:p>
    <w:p>
      <w:pPr>
        <w:pStyle w:val="976"/>
        <w:ind w:firstLine="482"/>
        <w:keepLines/>
        <w:keepNext/>
        <w:pageBreakBefore w:val="0"/>
        <w:widowControl w:val="off"/>
        <w:rPr>
          <w:rFonts w:hint="eastAsia" w:ascii="宋体" w:hAnsi="宋体" w:eastAsia="宋体" w:cs="宋体"/>
          <w:color w:val="auto"/>
          <w:sz w:val="24"/>
          <w:szCs w:val="24"/>
          <w:highlight w:val="none"/>
        </w:rPr>
      </w:pPr>
      <w:r>
        <w:rPr>
          <w:rFonts w:hint="eastAsia"/>
          <w:b/>
          <w:bCs w:val="0"/>
          <w:color w:val="auto"/>
          <w:highlight w:val="none"/>
        </w:rPr>
        <w:t xml:space="preserve">十六、评审方法和评审标准</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1、评审方法：综合评分法</w:t>
      </w:r>
      <w:r/>
    </w:p>
    <w:p>
      <w:pPr>
        <w:ind w:left="2" w:right="29"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2、评审标准：详见《磋商文件》附件1、《评分细则》</w:t>
      </w:r>
      <w:r/>
    </w:p>
    <w:p>
      <w:pPr>
        <w:pStyle w:val="976"/>
        <w:ind w:firstLine="482"/>
        <w:keepLines/>
        <w:keepNext/>
        <w:pageBreakBefore w:val="0"/>
        <w:widowControl w:val="off"/>
        <w:rPr>
          <w:rFonts w:hint="eastAsia" w:ascii="宋体" w:hAnsi="宋体" w:eastAsia="宋体" w:cs="宋体"/>
          <w:b/>
          <w:bCs/>
          <w:color w:val="auto"/>
          <w:sz w:val="24"/>
          <w:szCs w:val="24"/>
          <w:highlight w:val="none"/>
        </w:rPr>
      </w:pPr>
      <w:r>
        <w:rPr>
          <w:rFonts w:hint="eastAsia"/>
          <w:b/>
          <w:bCs w:val="0"/>
          <w:color w:val="auto"/>
          <w:highlight w:val="none"/>
        </w:rPr>
        <w:t xml:space="preserve">十七、有下列</w:t>
      </w:r>
      <w:r>
        <w:rPr>
          <w:rFonts w:hint="eastAsia" w:eastAsia="宋体"/>
          <w:b/>
          <w:bCs w:val="0"/>
          <w:color w:val="auto"/>
          <w:highlight w:val="none"/>
        </w:rPr>
        <w:t xml:space="preserve">情形</w:t>
      </w:r>
      <w:r>
        <w:rPr>
          <w:rFonts w:hint="eastAsia"/>
          <w:b/>
          <w:bCs w:val="0"/>
          <w:color w:val="auto"/>
          <w:highlight w:val="none"/>
        </w:rPr>
        <w:t xml:space="preserve">之一的，其响应无效：</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3、供应商未在规定时间内解密电子响应文件的；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7、响应文件未按磋商文件规定的内容和要求填写的；没有在系统指定位置上传对应文件、材料的；</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8、响应文件含有采购人不能接受的附加条件的；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9、不同供应商委托同一单位或者个人办理磋商事宜的；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10、项目磋商报价超过本项目（采购包）预算或最高限价的；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中已标价工程量清单与</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规定的甲供材料价格不一致的；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中已标价工程量清单与</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明确列出的不可竞争费用项目或费率或计算基础不一致的；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的已标价工程量清单与</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提供的工程量清单中的项目编码、项目名称、项目特征、计量单位、工程量不一致的；</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15、响应文件内容不全或不符合磋商文件中规定的其它实质性要求的； </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16、法律法规和磋商文件规定的其它无效情形。</w:t>
      </w:r>
      <w:r/>
    </w:p>
    <w:p>
      <w:pPr>
        <w:ind w:left="2" w:right="29"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十八、磋商过程中可能实质性变动的内容：在磋商过程中，磋商小组可以根据《磋商文件》和磋商情况实质性变动采购需求中的技术、服务要求以及合同草案条款。</w:t>
      </w:r>
      <w:r/>
    </w:p>
    <w:p>
      <w:pPr>
        <w:pStyle w:val="990"/>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、成交的”情形，并承担相应的法律责任。</w:t>
      </w:r>
      <w:r/>
    </w:p>
    <w:p>
      <w:pPr>
        <w:pStyle w:val="975"/>
        <w:rPr>
          <w:rFonts w:hint="eastAsia"/>
          <w:color w:val="auto"/>
          <w:highlight w:val="none"/>
        </w:rPr>
      </w:pPr>
      <w:r>
        <w:rPr>
          <w:rFonts w:hint="eastAsia"/>
          <w:color w:val="auto"/>
          <w:highlight w:val="none"/>
        </w:rPr>
        <w:t xml:space="preserve">第五章 确定成交供应商及合同签订等</w:t>
      </w:r>
      <w:r/>
    </w:p>
    <w:p>
      <w:pPr>
        <w:ind w:left="2" w:right="29"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both"/>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cs="宋体"/>
          <w:b/>
          <w:bCs/>
          <w:color w:val="auto"/>
          <w:sz w:val="24"/>
          <w:szCs w:val="24"/>
          <w:highlight w:val="none"/>
          <w:lang w:val="en-US" w:eastAsia="zh-CN"/>
        </w:rPr>
        <w:t xml:space="preserve">成交供应商逾期未订立的视为放弃成交，采购人有权另行招标。</w:t>
      </w:r>
      <w:r/>
    </w:p>
    <w:p>
      <w:pPr>
        <w:ind w:firstLine="480"/>
        <w:jc w:val="both"/>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 按照《政府采购法》及其实施条例以及相关规定，</w:t>
      </w:r>
      <w:r>
        <w:rPr>
          <w:rFonts w:hint="eastAsia" w:ascii="宋体" w:hAnsi="宋体" w:eastAsia="宋体" w:cs="宋体"/>
          <w:b/>
          <w:bCs/>
          <w:color w:val="auto"/>
          <w:sz w:val="24"/>
          <w:szCs w:val="24"/>
          <w:highlight w:val="none"/>
          <w:lang w:eastAsia="zh-CN"/>
        </w:rPr>
        <w:t xml:space="preserve">成交</w:t>
      </w:r>
      <w:r>
        <w:rPr>
          <w:rFonts w:hint="eastAsia" w:ascii="宋体" w:hAnsi="宋体" w:eastAsia="宋体" w:cs="宋体"/>
          <w:b/>
          <w:bCs/>
          <w:color w:val="auto"/>
          <w:sz w:val="24"/>
          <w:szCs w:val="24"/>
          <w:highlight w:val="none"/>
        </w:rPr>
        <w:t xml:space="preserve">或者成交后无正当理由拒不与采购人签订政府采购合同的, 在一至三年内禁止参加政府采购活动，列入政府采购严重违法失信行为记录名单。</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二十二、成交供应商在收到成交通知书时，须向</w:t>
      </w:r>
      <w:r>
        <w:rPr>
          <w:rFonts w:hint="eastAsia" w:ascii="宋体" w:hAnsi="宋体" w:cs="宋体"/>
          <w:color w:val="auto"/>
          <w:sz w:val="24"/>
          <w:szCs w:val="24"/>
          <w:highlight w:val="none"/>
          <w:lang w:eastAsia="zh-CN"/>
        </w:rPr>
        <w:t xml:space="preserve">江苏鼎坚工程咨询有限公司</w:t>
      </w:r>
      <w:r>
        <w:rPr>
          <w:rFonts w:hint="eastAsia" w:ascii="宋体" w:hAnsi="宋体" w:eastAsia="宋体" w:cs="宋体"/>
          <w:color w:val="auto"/>
          <w:sz w:val="24"/>
          <w:szCs w:val="24"/>
          <w:highlight w:val="none"/>
        </w:rPr>
        <w:t xml:space="preserve">提交《磋商报价表》（首次响应文件）和《分项价格表》（首次响应文件）的数据文件（WORD格式）。</w:t>
      </w:r>
      <w:r/>
    </w:p>
    <w:p>
      <w:pPr>
        <w:ind w:firstLine="480"/>
        <w:jc w:val="both"/>
        <w:pageBreakBefore w:val="0"/>
        <w:spacing w:line="360" w:lineRule="auto"/>
        <w:rPr>
          <w:rFonts w:hint="eastAsia" w:ascii="宋体" w:hAnsi="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二十三、</w:t>
      </w:r>
      <w:r>
        <w:rPr>
          <w:rFonts w:hint="eastAsia" w:ascii="宋体" w:hAnsi="宋体" w:eastAsia="宋体" w:cs="宋体"/>
          <w:bCs/>
          <w:color w:val="auto"/>
          <w:sz w:val="24"/>
          <w:szCs w:val="24"/>
          <w:highlight w:val="none"/>
        </w:rPr>
        <w:t xml:space="preserve">供应商应对响应文件的合法性、真实性负责。</w:t>
      </w:r>
      <w:r>
        <w:rPr>
          <w:rFonts w:hint="eastAsia" w:ascii="宋体" w:hAnsi="宋体" w:eastAsia="宋体" w:cs="宋体"/>
          <w:b/>
          <w:bCs/>
          <w:color w:val="auto"/>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（成交）资格</w:t>
      </w:r>
      <w:r>
        <w:rPr>
          <w:rFonts w:hint="eastAsia" w:ascii="宋体" w:hAnsi="宋体" w:cs="宋体"/>
          <w:b/>
          <w:bCs/>
          <w:color w:val="auto"/>
          <w:sz w:val="24"/>
          <w:szCs w:val="24"/>
          <w:highlight w:val="none"/>
          <w:lang w:eastAsia="zh-CN"/>
        </w:rPr>
        <w:t xml:space="preserve">。</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75"/>
        <w:rPr>
          <w:rFonts w:hint="eastAsia"/>
          <w:color w:val="auto"/>
          <w:highlight w:val="none"/>
        </w:rPr>
      </w:pPr>
      <w:r>
        <w:rPr>
          <w:rFonts w:hint="eastAsia"/>
          <w:color w:val="auto"/>
          <w:highlight w:val="none"/>
        </w:rPr>
        <w:t xml:space="preserve">第六章 磋商文件的澄清或者修改</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二十四、《磋商文件》的澄清或者修改</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75"/>
        <w:rPr>
          <w:rFonts w:hint="eastAsia"/>
          <w:color w:val="auto"/>
          <w:highlight w:val="none"/>
        </w:rPr>
      </w:pPr>
      <w:r>
        <w:rPr>
          <w:rFonts w:hint="eastAsia"/>
          <w:color w:val="auto"/>
          <w:highlight w:val="none"/>
        </w:rPr>
        <w:t xml:space="preserve">第七章 询问和质疑</w:t>
      </w:r>
      <w:r/>
    </w:p>
    <w:p>
      <w:pPr>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二十五、询问和质疑</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2、质疑和投诉按《政府采购质疑和投诉办法》执行。</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3、供应商对同一采购程序环节的质疑应在质疑期内一次性提出。</w:t>
      </w:r>
      <w:r/>
    </w:p>
    <w:p>
      <w:pPr>
        <w:ind w:firstLine="480"/>
        <w:jc w:val="both"/>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i w:val="0"/>
          <w:iCs w:val="0"/>
          <w:caps w:val="0"/>
          <w:color w:val="auto"/>
          <w:spacing w:val="0"/>
          <w:sz w:val="24"/>
          <w:szCs w:val="24"/>
          <w:highlight w:val="none"/>
          <w:shd w:val="clear" w:color="auto" w:fill="ffffff"/>
          <w:lang w:eastAsia="zh-CN"/>
        </w:rPr>
        <w:t xml:space="preserve">赵颖 </w:t>
      </w:r>
      <w:r>
        <w:rPr>
          <w:rFonts w:hint="eastAsia" w:ascii="宋体" w:hAnsi="宋体" w:eastAsia="宋体" w:cs="宋体"/>
          <w:color w:val="auto"/>
          <w:sz w:val="24"/>
          <w:szCs w:val="24"/>
          <w:highlight w:val="none"/>
        </w:rPr>
        <w:t xml:space="preserve">    联系电话：</w:t>
      </w:r>
      <w:r>
        <w:rPr>
          <w:rFonts w:hint="eastAsia" w:ascii="宋体" w:hAnsi="宋体" w:cs="宋体"/>
          <w:i w:val="0"/>
          <w:iCs w:val="0"/>
          <w:caps w:val="0"/>
          <w:color w:val="auto"/>
          <w:spacing w:val="0"/>
          <w:sz w:val="24"/>
          <w:szCs w:val="24"/>
          <w:highlight w:val="none"/>
          <w:shd w:val="clear" w:color="auto" w:fill="ffffff"/>
          <w:lang w:eastAsia="zh-CN"/>
        </w:rPr>
        <w:t xml:space="preserve">0516-66699078</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i w:val="0"/>
          <w:iCs w:val="0"/>
          <w:caps w:val="0"/>
          <w:color w:val="auto"/>
          <w:spacing w:val="0"/>
          <w:sz w:val="24"/>
          <w:szCs w:val="24"/>
          <w:highlight w:val="none"/>
          <w:shd w:val="clear" w:color="auto" w:fill="ffffff"/>
          <w:lang w:eastAsia="zh-CN"/>
        </w:rPr>
        <w:t xml:space="preserve">徐州市泉山区软件园C6栋8层</w:t>
      </w:r>
      <w:r>
        <w:rPr>
          <w:rFonts w:hint="eastAsia" w:ascii="宋体" w:hAnsi="宋体" w:eastAsia="宋体" w:cs="宋体"/>
          <w:color w:val="auto"/>
          <w:sz w:val="24"/>
          <w:szCs w:val="24"/>
          <w:highlight w:val="none"/>
        </w:rPr>
        <w:t xml:space="preserve">。</w:t>
      </w:r>
      <w:r/>
    </w:p>
    <w:p>
      <w:pPr>
        <w:pStyle w:val="975"/>
        <w:rPr>
          <w:rFonts w:hint="eastAsia"/>
          <w:color w:val="auto"/>
          <w:highlight w:val="none"/>
        </w:rPr>
      </w:pPr>
      <w:r>
        <w:rPr>
          <w:rFonts w:hint="eastAsia"/>
          <w:color w:val="auto"/>
          <w:highlight w:val="none"/>
        </w:rPr>
        <w:t xml:space="preserve">第八章 其他</w:t>
      </w:r>
      <w:r/>
    </w:p>
    <w:p>
      <w:pPr>
        <w:ind w:firstLine="480"/>
        <w:jc w:val="both"/>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1、成交供应商在领取成交通知书前，向采购代理机构缴纳代理服务费，收取标准见附件</w:t>
      </w:r>
      <w:r>
        <w:rPr>
          <w:rFonts w:hint="eastAsia" w:ascii="宋体" w:hAnsi="宋体" w:eastAsia="宋体" w:cs="宋体"/>
          <w:color w:val="auto"/>
          <w:sz w:val="24"/>
          <w:szCs w:val="24"/>
          <w:highlight w:val="none"/>
          <w:lang w:eastAsia="zh-CN"/>
        </w:rPr>
        <w:t xml:space="preserve">。</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、成交结果在徐州政府采购网https://czj.xz.gov.cn/zfcg/index.html上公布。</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、采购人信息</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徐州高新技术产业开发区公共事业管理服务中心</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地址：江苏省徐州市铜山区同昌西路1号楼4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5层</w:t>
      </w:r>
      <w:r/>
    </w:p>
    <w:p>
      <w:pPr>
        <w:ind w:firstLine="480"/>
        <w:jc w:val="both"/>
        <w:pageBreakBefore w:val="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贺环宇</w:t>
      </w:r>
      <w:r/>
    </w:p>
    <w:p>
      <w:pPr>
        <w:ind w:firstLine="480"/>
        <w:jc w:val="both"/>
        <w:pageBreakBefore w:val="0"/>
        <w:spacing w:line="360" w:lineRule="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联系电话：19852050640</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、采购代理机构信息</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江苏鼎坚工程咨询有限公司</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cs="宋体"/>
          <w:i w:val="0"/>
          <w:iCs w:val="0"/>
          <w:caps w:val="0"/>
          <w:color w:val="auto"/>
          <w:spacing w:val="0"/>
          <w:sz w:val="24"/>
          <w:szCs w:val="24"/>
          <w:highlight w:val="none"/>
          <w:shd w:val="clear" w:color="auto" w:fill="ffffff"/>
          <w:lang w:eastAsia="zh-CN"/>
        </w:rPr>
        <w:t xml:space="preserve">徐州市泉山区软件园C6栋8层</w:t>
      </w:r>
      <w:r/>
    </w:p>
    <w:p>
      <w:pPr>
        <w:ind w:firstLine="480"/>
        <w:jc w:val="both"/>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赵颖 </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联系</w:t>
      </w:r>
      <w:r>
        <w:rPr>
          <w:rFonts w:hint="eastAsia" w:ascii="宋体" w:hAnsi="宋体" w:eastAsia="宋体" w:cs="宋体"/>
          <w:color w:val="auto"/>
          <w:sz w:val="24"/>
          <w:szCs w:val="24"/>
          <w:highlight w:val="none"/>
        </w:rPr>
        <w:t xml:space="preserve">电话：</w:t>
      </w:r>
      <w:r>
        <w:rPr>
          <w:rFonts w:hint="eastAsia" w:ascii="宋体" w:hAnsi="宋体" w:cs="宋体"/>
          <w:i w:val="0"/>
          <w:iCs w:val="0"/>
          <w:caps w:val="0"/>
          <w:color w:val="auto"/>
          <w:spacing w:val="0"/>
          <w:sz w:val="24"/>
          <w:szCs w:val="24"/>
          <w:highlight w:val="none"/>
          <w:shd w:val="clear" w:color="auto" w:fill="ffffff"/>
          <w:lang w:eastAsia="zh-CN"/>
        </w:rPr>
        <w:t xml:space="preserve">0516-66699078</w:t>
      </w:r>
      <w:r/>
    </w:p>
    <w:p>
      <w:pPr>
        <w:pStyle w:val="975"/>
        <w:rPr>
          <w:rFonts w:hint="eastAsia"/>
          <w:color w:val="auto"/>
          <w:highlight w:val="none"/>
        </w:rPr>
      </w:pPr>
      <w:r>
        <w:rPr>
          <w:rFonts w:hint="eastAsia"/>
          <w:color w:val="auto"/>
          <w:highlight w:val="none"/>
        </w:rPr>
        <w:t xml:space="preserve">第九章 附件</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1、《评分细则》</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2、《项目要求（采购需求）》</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3、《磋商报价表》</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4、《分项价格表》</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、《偏离表》</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主要材料（设备）一览表</w:t>
      </w:r>
      <w:r>
        <w:rPr>
          <w:rFonts w:hint="eastAsia" w:ascii="宋体" w:hAnsi="宋体" w:cs="宋体"/>
          <w:color w:val="auto"/>
          <w:sz w:val="24"/>
          <w:szCs w:val="24"/>
          <w:highlight w:val="none"/>
          <w:lang w:eastAsia="zh-CN"/>
        </w:rPr>
        <w:t xml:space="preserve">》</w:t>
      </w:r>
      <w:r/>
    </w:p>
    <w:p>
      <w:pPr>
        <w:ind w:firstLine="48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承包人主要施工管理人员表</w:t>
      </w:r>
      <w:r>
        <w:rPr>
          <w:rFonts w:hint="eastAsia" w:ascii="宋体" w:hAnsi="宋体" w:cs="宋体"/>
          <w:color w:val="auto"/>
          <w:sz w:val="24"/>
          <w:szCs w:val="24"/>
          <w:highlight w:val="none"/>
          <w:lang w:eastAsia="zh-CN"/>
        </w:rPr>
        <w:t xml:space="preserve">》</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、《拟签订的合同文本（合同草案条款）》</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、《授权委托书》</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、《中小企业声明函》及自测小程序</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、《供应商参加政府采购活动前3年内在经营活动中没有重大违法记录的书面声明》</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、《残疾人福利性单位声明函》</w:t>
      </w:r>
      <w:r/>
    </w:p>
    <w:p>
      <w:pPr>
        <w:ind w:firstLine="480"/>
        <w:jc w:val="both"/>
        <w:pageBreakBefore w:val="0"/>
        <w:spacing w:line="360" w:lineRule="auto"/>
        <w:rPr>
          <w:rFonts w:hint="eastAsia"/>
          <w:color w:val="auto"/>
          <w:highlight w:val="none"/>
        </w:rPr>
      </w:pPr>
      <w:r>
        <w:rPr>
          <w:rFonts w:hint="eastAsia" w:ascii="宋体" w:hAnsi="宋体" w:eastAsia="宋体" w:cs="宋体"/>
          <w:color w:val="auto"/>
          <w:sz w:val="24"/>
          <w:szCs w:val="24"/>
          <w:highlight w:val="none"/>
          <w:lang w:val="en-US" w:eastAsia="zh-CN"/>
        </w:rPr>
        <w:t xml:space="preserve">15、</w:t>
      </w:r>
      <w:r>
        <w:rPr>
          <w:rFonts w:ascii="宋体" w:hAnsi="宋体" w:eastAsia="宋体" w:cs="宋体"/>
          <w:color w:val="auto"/>
          <w:sz w:val="24"/>
          <w:szCs w:val="24"/>
          <w:highlight w:val="none"/>
        </w:rPr>
        <w:t xml:space="preserve">《代理服务收费标准》</w:t>
      </w:r>
      <w:r/>
    </w:p>
    <w:p>
      <w:pPr>
        <w:ind w:firstLine="48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、《预付款保函支付条款模板》</w:t>
      </w:r>
      <w:r/>
    </w:p>
    <w:p>
      <w:pPr>
        <w:pStyle w:val="976"/>
        <w:ind w:firstLine="0"/>
        <w:jc w:val="center"/>
        <w:rPr>
          <w:rFonts w:hint="eastAsia" w:ascii="宋体" w:hAnsi="宋体" w:eastAsia="宋体" w:cs="宋体"/>
          <w:color w:val="auto"/>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1、</w:t>
      </w:r>
      <w:r>
        <w:rPr>
          <w:rFonts w:hint="eastAsia" w:ascii="宋体" w:hAnsi="宋体" w:eastAsia="宋体" w:cs="宋体"/>
          <w:b/>
          <w:color w:val="auto"/>
          <w:sz w:val="30"/>
          <w:szCs w:val="30"/>
          <w:highlight w:val="none"/>
        </w:rPr>
        <w:t xml:space="preserve">评分细则</w:t>
      </w:r>
      <w:r/>
    </w:p>
    <w:tbl>
      <w:tblPr>
        <w:tblStyle w:val="985"/>
        <w:tblW w:w="98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1200"/>
        <w:gridCol w:w="7393"/>
      </w:tblGrid>
      <w:tr>
        <w:trPr>
          <w:trHeight w:val="90"/>
        </w:trPr>
        <w:tc>
          <w:tcPr>
            <w:gridSpan w:val="3"/>
            <w:tcW w:w="9839"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评分细则</w:t>
            </w:r>
            <w:r/>
          </w:p>
        </w:tc>
      </w:tr>
      <w:tr>
        <w:trPr>
          <w:trHeight w:val="2889"/>
        </w:trPr>
        <w:tc>
          <w:tcPr>
            <w:tcW w:w="1246"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价格部分</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gridSpan w:val="2"/>
            <w:tcW w:w="8593" w:type="dxa"/>
            <w:vAlign w:val="center"/>
            <w:textDirection w:val="lrTb"/>
            <w:noWrap w:val="false"/>
          </w:tcPr>
          <w:p>
            <w:pPr>
              <w:ind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w:t>
            </w:r>
            <w:r/>
          </w:p>
          <w:p>
            <w:pPr>
              <w:ind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磋商报价得分=（磋商基准价/最后磋商报价）×10</w:t>
            </w:r>
            <w:r/>
          </w:p>
          <w:p>
            <w:pPr>
              <w:ind w:righ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lang w:val="en-US" w:eastAsia="zh-CN"/>
              </w:rPr>
              <w:t xml:space="preserve">全部由符合政策要求的小微企业、监狱企业、享受政府采购支持政策的残疾人福利性单位承接的（以供应商提供的《中小企业声明函》、监狱企业证明文件和《残疾人福利性单位声明函》等相关材料为准），给予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%的价格扣除，用扣除后的价格参加评审。该供应商最后磋商报价=最后报价*（100%-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p>
        </w:tc>
      </w:tr>
      <w:tr>
        <w:trPr>
          <w:trHeight w:val="1864"/>
        </w:trPr>
        <w:tc>
          <w:tcPr>
            <w:tcW w:w="1246" w:type="dxa"/>
            <w:vAlign w:val="center"/>
            <w:vMerge w:val="restart"/>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商务部分</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tc>
        <w:tc>
          <w:tcPr>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业绩</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（4分）</w:t>
            </w:r>
            <w:r/>
          </w:p>
        </w:tc>
        <w:tc>
          <w:tcPr>
            <w:tcW w:w="7393" w:type="dxa"/>
            <w:vAlign w:val="center"/>
            <w:textDirection w:val="lrTb"/>
            <w:noWrap w:val="false"/>
          </w:tcPr>
          <w:p>
            <w:pPr>
              <w:pStyle w:val="1242"/>
              <w:ind w:righ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月1日以来承担过相同或类似工程的，响应文件中提供业绩合同扫描件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时间以合同签订日期为准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1242"/>
              <w:ind w:right="0"/>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响应文件中提供证明材料原件扫描件。</w:t>
            </w:r>
            <w:r/>
          </w:p>
        </w:tc>
      </w:tr>
      <w:tr>
        <w:trPr>
          <w:trHeight w:val="2099"/>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投标人评价</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（2分）</w:t>
            </w:r>
            <w:r/>
          </w:p>
        </w:tc>
        <w:tc>
          <w:tcPr>
            <w:tcW w:w="7393" w:type="dxa"/>
            <w:vAlign w:val="center"/>
            <w:textDirection w:val="lrTb"/>
            <w:noWrap w:val="false"/>
          </w:tcPr>
          <w:p>
            <w:pPr>
              <w:pStyle w:val="1242"/>
              <w:ind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Cs w:val="21"/>
                <w:highlight w:val="none"/>
                <w:lang w:bidi="ar"/>
              </w:rPr>
              <w:t xml:space="preserve">投标人具备机电工程施工总承包</w:t>
            </w:r>
            <w:r>
              <w:rPr>
                <w:rFonts w:hint="eastAsia" w:ascii="宋体" w:hAnsi="宋体" w:cs="宋体"/>
                <w:color w:val="auto"/>
                <w:szCs w:val="21"/>
                <w:highlight w:val="none"/>
                <w:lang w:val="en-US" w:eastAsia="zh-CN" w:bidi="ar"/>
              </w:rPr>
              <w:t xml:space="preserve">叁</w:t>
            </w:r>
            <w:r>
              <w:rPr>
                <w:rFonts w:hint="eastAsia" w:ascii="宋体" w:hAnsi="宋体" w:eastAsia="宋体" w:cs="宋体"/>
                <w:color w:val="auto"/>
                <w:szCs w:val="21"/>
                <w:highlight w:val="none"/>
                <w:lang w:bidi="ar"/>
              </w:rPr>
              <w:t xml:space="preserve">级及以上</w:t>
            </w:r>
            <w:r>
              <w:rPr>
                <w:rFonts w:hint="eastAsia" w:ascii="宋体" w:hAnsi="宋体" w:eastAsia="宋体" w:cs="宋体"/>
                <w:color w:val="auto"/>
                <w:szCs w:val="21"/>
                <w:highlight w:val="none"/>
                <w:lang w:val="en-US" w:eastAsia="zh-CN" w:bidi="ar"/>
              </w:rPr>
              <w:t xml:space="preserve">资质</w:t>
            </w:r>
            <w:r>
              <w:rPr>
                <w:rFonts w:hint="eastAsia" w:ascii="宋体" w:hAnsi="宋体" w:eastAsia="宋体" w:cs="宋体"/>
                <w:color w:val="auto"/>
                <w:szCs w:val="21"/>
                <w:highlight w:val="none"/>
                <w:lang w:bidi="ar"/>
              </w:rPr>
              <w:t xml:space="preserve">证书得1分，</w:t>
            </w:r>
            <w:r>
              <w:rPr>
                <w:rFonts w:hint="eastAsia" w:ascii="宋体" w:hAnsi="宋体" w:eastAsia="宋体" w:cs="宋体"/>
                <w:color w:val="auto"/>
                <w:sz w:val="24"/>
                <w:szCs w:val="24"/>
                <w:highlight w:val="none"/>
                <w:lang w:val="en-US" w:eastAsia="zh-CN" w:bidi="ar-SA"/>
              </w:rPr>
              <w:t xml:space="preserve">未提供</w:t>
            </w:r>
            <w:r>
              <w:rPr>
                <w:rFonts w:hint="eastAsia" w:ascii="宋体" w:hAnsi="宋体" w:eastAsia="宋体" w:cs="宋体"/>
                <w:color w:val="auto"/>
                <w:szCs w:val="21"/>
                <w:highlight w:val="none"/>
                <w:lang w:bidi="ar"/>
              </w:rPr>
              <w:t xml:space="preserve">不得分。</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投标人具备通信工程施工总承包</w:t>
            </w:r>
            <w:r>
              <w:rPr>
                <w:rFonts w:hint="eastAsia" w:ascii="宋体" w:hAnsi="宋体" w:cs="宋体"/>
                <w:color w:val="auto"/>
                <w:szCs w:val="21"/>
                <w:highlight w:val="none"/>
                <w:lang w:val="en-US" w:eastAsia="zh-CN" w:bidi="ar"/>
              </w:rPr>
              <w:t xml:space="preserve">叁</w:t>
            </w:r>
            <w:r>
              <w:rPr>
                <w:rFonts w:hint="eastAsia" w:ascii="宋体" w:hAnsi="宋体" w:eastAsia="宋体" w:cs="宋体"/>
                <w:color w:val="auto"/>
                <w:szCs w:val="21"/>
                <w:highlight w:val="none"/>
                <w:lang w:bidi="ar"/>
              </w:rPr>
              <w:t xml:space="preserve">级及以上</w:t>
            </w:r>
            <w:r>
              <w:rPr>
                <w:rFonts w:hint="eastAsia" w:ascii="宋体" w:hAnsi="宋体" w:eastAsia="宋体" w:cs="宋体"/>
                <w:color w:val="auto"/>
                <w:szCs w:val="21"/>
                <w:highlight w:val="none"/>
                <w:lang w:val="en-US" w:eastAsia="zh-CN" w:bidi="ar"/>
              </w:rPr>
              <w:t xml:space="preserve">资质</w:t>
            </w:r>
            <w:r>
              <w:rPr>
                <w:rFonts w:hint="eastAsia" w:ascii="宋体" w:hAnsi="宋体" w:eastAsia="宋体" w:cs="宋体"/>
                <w:color w:val="auto"/>
                <w:szCs w:val="21"/>
                <w:highlight w:val="none"/>
                <w:lang w:bidi="ar"/>
              </w:rPr>
              <w:t xml:space="preserve">证书得1分，</w:t>
            </w:r>
            <w:r>
              <w:rPr>
                <w:rFonts w:hint="eastAsia" w:ascii="宋体" w:hAnsi="宋体" w:eastAsia="宋体" w:cs="宋体"/>
                <w:color w:val="auto"/>
                <w:sz w:val="24"/>
                <w:szCs w:val="24"/>
                <w:highlight w:val="none"/>
                <w:lang w:val="en-US" w:eastAsia="zh-CN" w:bidi="ar-SA"/>
              </w:rPr>
              <w:t xml:space="preserve">未提供</w:t>
            </w:r>
            <w:r>
              <w:rPr>
                <w:rFonts w:hint="eastAsia" w:ascii="宋体" w:hAnsi="宋体" w:eastAsia="宋体" w:cs="宋体"/>
                <w:color w:val="auto"/>
                <w:szCs w:val="21"/>
                <w:highlight w:val="none"/>
                <w:lang w:bidi="ar"/>
              </w:rPr>
              <w:t xml:space="preserve">不得分。</w:t>
            </w:r>
            <w:r>
              <w:rPr>
                <w:rFonts w:hint="eastAsia" w:ascii="宋体" w:hAnsi="宋体" w:eastAsia="宋体" w:cs="宋体"/>
                <w:color w:val="auto"/>
                <w:szCs w:val="21"/>
                <w:highlight w:val="none"/>
                <w:lang w:bidi="ar"/>
              </w:rPr>
              <w:br/>
            </w:r>
            <w:r>
              <w:rPr>
                <w:rFonts w:hint="eastAsia" w:ascii="宋体" w:hAnsi="宋体" w:eastAsia="宋体" w:cs="宋体"/>
                <w:b/>
                <w:bCs/>
                <w:color w:val="auto"/>
                <w:sz w:val="24"/>
                <w:szCs w:val="24"/>
                <w:highlight w:val="none"/>
                <w:lang w:val="en-US" w:eastAsia="zh-CN"/>
              </w:rPr>
              <w:t xml:space="preserve">响应文件中</w:t>
            </w:r>
            <w:r>
              <w:rPr>
                <w:rFonts w:hint="eastAsia" w:ascii="宋体" w:hAnsi="宋体" w:eastAsia="宋体" w:cs="宋体"/>
                <w:b/>
                <w:bCs/>
                <w:color w:val="auto"/>
                <w:szCs w:val="21"/>
                <w:highlight w:val="none"/>
                <w:lang w:bidi="ar"/>
              </w:rPr>
              <w:t xml:space="preserve">提供相关证书</w:t>
            </w:r>
            <w:r>
              <w:rPr>
                <w:rFonts w:hint="eastAsia" w:ascii="宋体" w:hAnsi="宋体" w:eastAsia="宋体" w:cs="宋体"/>
                <w:b/>
                <w:bCs/>
                <w:color w:val="auto"/>
                <w:sz w:val="24"/>
                <w:szCs w:val="24"/>
                <w:highlight w:val="none"/>
                <w:lang w:val="en-US" w:eastAsia="zh-CN"/>
              </w:rPr>
              <w:t xml:space="preserve">原件扫描件</w:t>
            </w:r>
            <w:r>
              <w:rPr>
                <w:rFonts w:hint="eastAsia" w:ascii="宋体" w:hAnsi="宋体" w:eastAsia="宋体" w:cs="宋体"/>
                <w:b/>
                <w:bCs/>
                <w:color w:val="auto"/>
                <w:szCs w:val="21"/>
                <w:highlight w:val="none"/>
                <w:lang w:bidi="ar"/>
              </w:rPr>
              <w:t xml:space="preserve">并加盖</w:t>
            </w:r>
            <w:r>
              <w:rPr>
                <w:rFonts w:hint="eastAsia" w:ascii="宋体" w:hAnsi="宋体" w:eastAsia="宋体" w:cs="宋体"/>
                <w:b/>
                <w:bCs/>
                <w:color w:val="auto"/>
                <w:szCs w:val="21"/>
                <w:highlight w:val="none"/>
                <w:lang w:val="en-US" w:eastAsia="zh-CN" w:bidi="ar"/>
              </w:rPr>
              <w:t xml:space="preserve">电子签章</w:t>
            </w:r>
            <w:r>
              <w:rPr>
                <w:rFonts w:hint="eastAsia" w:ascii="宋体" w:hAnsi="宋体" w:eastAsia="宋体" w:cs="宋体"/>
                <w:b/>
                <w:bCs/>
                <w:color w:val="auto"/>
                <w:szCs w:val="21"/>
                <w:highlight w:val="none"/>
                <w:lang w:bidi="ar"/>
              </w:rPr>
              <w:t xml:space="preserve">。</w:t>
            </w:r>
            <w:r/>
          </w:p>
        </w:tc>
      </w:tr>
      <w:tr>
        <w:trPr>
          <w:trHeight w:val="5885"/>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项目组成员配备</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393" w:type="dxa"/>
            <w:vAlign w:val="center"/>
            <w:textDirection w:val="lrTb"/>
            <w:noWrap w:val="false"/>
          </w:tcPr>
          <w:p>
            <w:pPr>
              <w:numPr>
                <w:ilvl w:val="0"/>
                <w:numId w:val="0"/>
              </w:num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1、投标人拟派项目经理具有机电工程</w:t>
            </w:r>
            <w:r>
              <w:rPr>
                <w:rFonts w:hint="eastAsia" w:ascii="宋体" w:hAnsi="宋体" w:cs="宋体"/>
                <w:color w:val="auto"/>
                <w:sz w:val="24"/>
                <w:szCs w:val="24"/>
                <w:highlight w:val="none"/>
                <w:lang w:val="en-US" w:eastAsia="zh-CN" w:bidi="ar-SA"/>
              </w:rPr>
              <w:t xml:space="preserve">一级</w:t>
            </w:r>
            <w:r>
              <w:rPr>
                <w:rFonts w:hint="eastAsia" w:ascii="宋体" w:hAnsi="宋体" w:eastAsia="宋体" w:cs="宋体"/>
                <w:color w:val="auto"/>
                <w:sz w:val="24"/>
                <w:szCs w:val="24"/>
                <w:highlight w:val="none"/>
                <w:lang w:val="en-US" w:eastAsia="zh-CN" w:bidi="ar-SA"/>
              </w:rPr>
              <w:t xml:space="preserve">建造师</w:t>
            </w:r>
            <w:r>
              <w:rPr>
                <w:rFonts w:hint="eastAsia" w:ascii="宋体" w:hAnsi="宋体" w:cs="宋体"/>
                <w:color w:val="auto"/>
                <w:sz w:val="24"/>
                <w:szCs w:val="24"/>
                <w:highlight w:val="none"/>
                <w:lang w:val="en-US" w:eastAsia="zh-CN" w:bidi="ar-SA"/>
              </w:rPr>
              <w:t xml:space="preserve">的得1分，具有</w:t>
            </w:r>
            <w:r>
              <w:rPr>
                <w:rFonts w:hint="eastAsia" w:ascii="宋体" w:hAnsi="宋体" w:eastAsia="宋体" w:cs="宋体"/>
                <w:color w:val="auto"/>
                <w:sz w:val="24"/>
                <w:szCs w:val="24"/>
                <w:highlight w:val="none"/>
                <w:lang w:val="en-US" w:eastAsia="zh-CN" w:bidi="ar-SA"/>
              </w:rPr>
              <w:t xml:space="preserve">CISAW信息安全保障人员认证证书</w:t>
            </w:r>
            <w:r>
              <w:rPr>
                <w:rFonts w:hint="eastAsia" w:ascii="宋体" w:hAnsi="宋体" w:cs="宋体"/>
                <w:color w:val="auto"/>
                <w:sz w:val="24"/>
                <w:szCs w:val="24"/>
                <w:highlight w:val="none"/>
                <w:lang w:val="en-US" w:eastAsia="zh-CN" w:bidi="ar-SA"/>
              </w:rPr>
              <w:t xml:space="preserve">的得1分</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本项最高得2分，</w:t>
            </w:r>
            <w:r>
              <w:rPr>
                <w:rFonts w:hint="eastAsia" w:ascii="宋体" w:hAnsi="宋体" w:eastAsia="宋体" w:cs="宋体"/>
                <w:color w:val="auto"/>
                <w:sz w:val="24"/>
                <w:szCs w:val="24"/>
                <w:highlight w:val="none"/>
                <w:lang w:val="en-US" w:eastAsia="zh-CN" w:bidi="ar-SA"/>
              </w:rPr>
              <w:t xml:space="preserve">未提供</w:t>
            </w:r>
            <w:r>
              <w:rPr>
                <w:rFonts w:hint="eastAsia" w:ascii="宋体" w:hAnsi="宋体" w:cs="宋体"/>
                <w:color w:val="auto"/>
                <w:sz w:val="24"/>
                <w:szCs w:val="24"/>
                <w:highlight w:val="none"/>
                <w:lang w:val="en-US" w:eastAsia="zh-CN" w:bidi="ar-SA"/>
              </w:rPr>
              <w:t xml:space="preserve">证书的</w:t>
            </w:r>
            <w:r>
              <w:rPr>
                <w:rFonts w:hint="eastAsia" w:ascii="宋体" w:hAnsi="宋体" w:eastAsia="宋体" w:cs="宋体"/>
                <w:color w:val="auto"/>
                <w:sz w:val="24"/>
                <w:szCs w:val="24"/>
                <w:highlight w:val="none"/>
                <w:lang w:val="en-US" w:eastAsia="zh-CN" w:bidi="ar-SA"/>
              </w:rPr>
              <w:t xml:space="preserve">不得分。</w:t>
            </w:r>
            <w:r/>
          </w:p>
          <w:p>
            <w:pPr>
              <w:numPr>
                <w:ilvl w:val="0"/>
                <w:numId w:val="0"/>
              </w:numPr>
              <w:ind w:left="0" w:right="0"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2、投标人技术负责人，具备机电工程</w:t>
            </w: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级</w:t>
            </w:r>
            <w:r>
              <w:rPr>
                <w:rFonts w:hint="eastAsia" w:ascii="宋体" w:hAnsi="宋体" w:cs="宋体"/>
                <w:color w:val="auto"/>
                <w:sz w:val="24"/>
                <w:szCs w:val="24"/>
                <w:highlight w:val="none"/>
                <w:lang w:val="en-US" w:eastAsia="zh-CN" w:bidi="ar-SA"/>
              </w:rPr>
              <w:t xml:space="preserve">及以上</w:t>
            </w:r>
            <w:r>
              <w:rPr>
                <w:rFonts w:hint="eastAsia" w:ascii="宋体" w:hAnsi="宋体" w:eastAsia="宋体" w:cs="宋体"/>
                <w:color w:val="auto"/>
                <w:sz w:val="24"/>
                <w:szCs w:val="24"/>
                <w:highlight w:val="none"/>
                <w:lang w:val="en-US" w:eastAsia="zh-CN" w:bidi="ar-SA"/>
              </w:rPr>
              <w:t xml:space="preserve">建造师</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分，未提供不得分。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3、投标人除项目经理及技术负责人外拟派项目组其他人员，具有</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注册信息安全专业人员/CISP、</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低压电工、</w:t>
            </w:r>
            <w:r>
              <w:rPr>
                <w:rFonts w:hint="eastAsia" w:ascii="宋体" w:hAnsi="宋体" w:cs="宋体"/>
                <w:color w:val="auto"/>
                <w:sz w:val="24"/>
                <w:szCs w:val="24"/>
                <w:highlight w:val="none"/>
                <w:lang w:val="en-US" w:eastAsia="zh-CN" w:bidi="ar-SA"/>
              </w:rPr>
              <w:t xml:space="preserve">（3）信息通信网络机务员或电信机务员</w:t>
            </w:r>
            <w:r>
              <w:rPr>
                <w:rFonts w:hint="eastAsia" w:ascii="宋体" w:hAnsi="宋体" w:eastAsia="宋体" w:cs="宋体"/>
                <w:color w:val="auto"/>
                <w:sz w:val="24"/>
                <w:szCs w:val="24"/>
                <w:highlight w:val="none"/>
                <w:lang w:val="en-US" w:eastAsia="zh-CN" w:bidi="ar-SA"/>
              </w:rPr>
              <w:t xml:space="preserve">（网络通信安全管理员）、</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施工员（电气</w:t>
            </w:r>
            <w:r>
              <w:rPr>
                <w:rFonts w:hint="eastAsia" w:ascii="宋体" w:hAnsi="宋体" w:cs="宋体"/>
                <w:color w:val="auto"/>
                <w:sz w:val="24"/>
                <w:szCs w:val="24"/>
                <w:highlight w:val="none"/>
                <w:lang w:val="en-US" w:eastAsia="zh-CN" w:bidi="ar-SA"/>
              </w:rPr>
              <w:t xml:space="preserve">或设备安装</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针对（1）（2）（3）（4）项</w:t>
            </w:r>
            <w:r>
              <w:rPr>
                <w:rFonts w:hint="eastAsia" w:ascii="宋体" w:hAnsi="宋体" w:eastAsia="宋体" w:cs="宋体"/>
                <w:color w:val="auto"/>
                <w:sz w:val="24"/>
                <w:szCs w:val="24"/>
                <w:highlight w:val="none"/>
                <w:lang w:val="en-US" w:eastAsia="zh-CN" w:bidi="ar-SA"/>
              </w:rPr>
              <w:t xml:space="preserve">每提供1个对应证书得0.5分，最多得2分。同一人员具有多个证书的不重复得分，同一证书仅计1次得分。</w:t>
            </w:r>
            <w:r/>
          </w:p>
          <w:p>
            <w:pPr>
              <w:pStyle w:val="1242"/>
              <w:ind w:righ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Cs w:val="21"/>
                <w:highlight w:val="none"/>
                <w:lang w:bidi="ar"/>
              </w:rPr>
              <w:t xml:space="preserve">以上拟派人员必须为投标人单位员工，提供相关证书</w:t>
            </w:r>
            <w:r>
              <w:rPr>
                <w:rFonts w:hint="eastAsia" w:ascii="宋体" w:hAnsi="宋体" w:eastAsia="宋体" w:cs="宋体"/>
                <w:b/>
                <w:bCs/>
                <w:color w:val="auto"/>
                <w:sz w:val="24"/>
                <w:szCs w:val="24"/>
                <w:highlight w:val="none"/>
                <w:lang w:val="en-US" w:eastAsia="zh-CN"/>
              </w:rPr>
              <w:t xml:space="preserve">原件扫描件</w:t>
            </w:r>
            <w:r>
              <w:rPr>
                <w:rFonts w:hint="eastAsia" w:ascii="宋体" w:hAnsi="宋体" w:eastAsia="宋体" w:cs="宋体"/>
                <w:b/>
                <w:bCs/>
                <w:color w:val="auto"/>
                <w:szCs w:val="21"/>
                <w:highlight w:val="none"/>
                <w:lang w:bidi="ar"/>
              </w:rPr>
              <w:t xml:space="preserve">并加盖</w:t>
            </w:r>
            <w:r>
              <w:rPr>
                <w:rFonts w:hint="eastAsia" w:ascii="宋体" w:hAnsi="宋体" w:eastAsia="宋体" w:cs="宋体"/>
                <w:b/>
                <w:bCs/>
                <w:color w:val="auto"/>
                <w:szCs w:val="21"/>
                <w:highlight w:val="none"/>
                <w:lang w:val="en-US" w:eastAsia="zh-CN" w:bidi="ar"/>
              </w:rPr>
              <w:t xml:space="preserve">电子签章，</w:t>
            </w:r>
            <w:r>
              <w:rPr>
                <w:rFonts w:hint="eastAsia" w:ascii="宋体" w:hAnsi="宋体" w:eastAsia="宋体" w:cs="宋体"/>
                <w:b/>
                <w:bCs/>
                <w:color w:val="auto"/>
                <w:szCs w:val="21"/>
                <w:highlight w:val="none"/>
                <w:lang w:bidi="ar"/>
              </w:rPr>
              <w:t xml:space="preserve">及开标前6个月内任意1个月（不含开标当月）由本单位缴纳的社保证明材料并加盖</w:t>
            </w:r>
            <w:r>
              <w:rPr>
                <w:rFonts w:hint="eastAsia" w:ascii="宋体" w:hAnsi="宋体" w:eastAsia="宋体" w:cs="宋体"/>
                <w:b/>
                <w:bCs/>
                <w:color w:val="auto"/>
                <w:szCs w:val="21"/>
                <w:highlight w:val="none"/>
                <w:lang w:val="en-US" w:eastAsia="zh-CN" w:bidi="ar"/>
              </w:rPr>
              <w:t xml:space="preserve">电子签章</w:t>
            </w:r>
            <w:r>
              <w:rPr>
                <w:rFonts w:hint="eastAsia" w:ascii="宋体" w:hAnsi="宋体" w:eastAsia="宋体" w:cs="宋体"/>
                <w:b/>
                <w:bCs/>
                <w:color w:val="auto"/>
                <w:szCs w:val="21"/>
                <w:highlight w:val="none"/>
                <w:lang w:bidi="ar"/>
              </w:rPr>
              <w:t xml:space="preserve">。</w:t>
            </w:r>
            <w:r/>
          </w:p>
        </w:tc>
      </w:tr>
      <w:tr>
        <w:trPr>
          <w:trHeight w:val="137"/>
        </w:trPr>
        <w:tc>
          <w:tcPr>
            <w:tcW w:w="1246" w:type="dxa"/>
            <w:vAlign w:val="center"/>
            <w:vMerge w:val="restart"/>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技术部分</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1200"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总体施</w:t>
            </w:r>
            <w:r/>
          </w:p>
          <w:p>
            <w:pPr>
              <w:ind w:right="0"/>
              <w:jc w:val="center"/>
              <w:keepLines w:val="0"/>
              <w:keepNext w:val="0"/>
              <w:pageBreakBefore w:val="0"/>
              <w:spacing w:line="400" w:lineRule="exact"/>
              <w:widowControl w:val="off"/>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工方案</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（12分）</w:t>
            </w:r>
            <w:r/>
          </w:p>
        </w:tc>
        <w:tc>
          <w:tcPr>
            <w:tcW w:w="7393"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评委依据供应商响应文件中施工组织总体设想、方案针对性进行评分：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全面性（4分）：全面具体详实得4分；较全面得2分；不全面得1分。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可行性（4分）：符合实际切实可行得4分；较切实可行得2分；可行性欠缺得1分。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针对性（4分）：针对性强得4分；针对性较强得2分；针对性不强得1分。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未提供的不得分，本项最高得12分。</w:t>
            </w:r>
            <w:r/>
          </w:p>
        </w:tc>
      </w:tr>
      <w:tr>
        <w:trPr>
          <w:trHeight w:val="1565"/>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进度及</w:t>
            </w:r>
            <w:r/>
          </w:p>
          <w:p>
            <w:pPr>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保证措施</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（9分）</w:t>
            </w:r>
            <w:r/>
          </w:p>
        </w:tc>
        <w:tc>
          <w:tcPr>
            <w:tcW w:w="7393"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评委依据供应商响应文件中施工进度计划和各阶段进度的保证措施进行评分：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全面性（3分）：全面具体详实得3分；较全面得2分；不全面得1分。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未提供的不得分，本项最高得9分。</w:t>
            </w:r>
            <w:r/>
          </w:p>
        </w:tc>
      </w:tr>
      <w:tr>
        <w:trPr>
          <w:trHeight w:val="1233"/>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质量保</w:t>
            </w:r>
            <w:r/>
          </w:p>
          <w:p>
            <w:pPr>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证措施</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（9分）</w:t>
            </w:r>
            <w:r/>
          </w:p>
        </w:tc>
        <w:tc>
          <w:tcPr>
            <w:tcW w:w="7393"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评委依据供应商响应文件中质量保证措施及目标进行评分：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全面性（3分）：全面具体详实得3分；较全面得2分；不全面得1分。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未提供的不得分，本项最高得9分。</w:t>
            </w:r>
            <w:r/>
          </w:p>
        </w:tc>
      </w:tr>
      <w:tr>
        <w:trPr>
          <w:trHeight w:val="4058"/>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施工措施</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W w:w="7393" w:type="dxa"/>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评委依据供应商响应文件中安全文明施工及环境保护措施进行评分：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：全面具体详实得3分；较全面得2分；不全面得1分。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：符合实际切实可行得3分；较切实可行得2分；可行性欠缺得1分。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：针对性强得3分；针对性较强得2分；针对性不强得1分。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未提供的不得分，本项最高得9分。</w:t>
            </w:r>
            <w:r/>
          </w:p>
        </w:tc>
      </w:tr>
      <w:tr>
        <w:trPr>
          <w:trHeight w:val="342"/>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劳动力、机械设备和材料投入</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W w:w="7393" w:type="dxa"/>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评委依据供应商响应文件中劳动力、机械设备和材料投入计划进行评分：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：全面具体详实得3分；较全面得2分；不全面得1分。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：符合实际切实可行得3分；较切实可行得2分；可行性欠缺得1分。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：针对性强得3分；针对性较强得2分；针对性不强得1分</w:t>
            </w:r>
            <w:r>
              <w:rPr>
                <w:rFonts w:hint="eastAsia" w:ascii="宋体" w:hAnsi="宋体" w:eastAsia="宋体" w:cs="宋体"/>
                <w:color w:val="auto"/>
                <w:sz w:val="24"/>
                <w:szCs w:val="24"/>
                <w:highlight w:val="none"/>
                <w:lang w:eastAsia="zh-CN"/>
              </w:rPr>
              <w:t xml:space="preserve">。</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未提供的不得分，本项最高得9分。</w:t>
            </w:r>
            <w:r/>
          </w:p>
        </w:tc>
      </w:tr>
      <w:tr>
        <w:trPr>
          <w:trHeight w:val="419"/>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对接方案（1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W w:w="7393" w:type="dxa"/>
            <w:vAlign w:val="center"/>
            <w:textDirection w:val="lrTb"/>
            <w:noWrap w:val="false"/>
          </w:tcPr>
          <w:p>
            <w:pPr>
              <w:ind w:right="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rPr>
              <w:t xml:space="preserve">根据项目情况,提供详细的对接方案，内容包含但不限于应用对接方案，数据对接方案，对所需对接应用接口类型、数据类型进行详细说明，方案内容能够全部覆盖本次项目建设所需要的应用接口类型，数据资源，符合</w:t>
            </w:r>
            <w:r>
              <w:rPr>
                <w:rFonts w:hint="eastAsia" w:ascii="宋体" w:hAnsi="宋体" w:cs="宋体"/>
                <w:color w:val="auto"/>
                <w:sz w:val="24"/>
                <w:szCs w:val="22"/>
                <w:highlight w:val="none"/>
                <w:lang w:val="en-US" w:eastAsia="zh-CN"/>
              </w:rPr>
              <w:t xml:space="preserve">铜山区公安局</w:t>
            </w:r>
            <w:r>
              <w:rPr>
                <w:rFonts w:hint="eastAsia" w:ascii="宋体" w:hAnsi="宋体" w:eastAsia="宋体" w:cs="宋体"/>
                <w:color w:val="auto"/>
                <w:sz w:val="24"/>
                <w:szCs w:val="22"/>
                <w:highlight w:val="none"/>
                <w:lang w:val="en-US" w:eastAsia="zh-CN"/>
              </w:rPr>
              <w:t xml:space="preserve">大数据应用平台现状，</w:t>
            </w:r>
            <w:r>
              <w:rPr>
                <w:rFonts w:hint="eastAsia" w:ascii="宋体" w:hAnsi="宋体" w:cs="宋体"/>
                <w:color w:val="auto"/>
                <w:sz w:val="24"/>
                <w:szCs w:val="22"/>
                <w:highlight w:val="none"/>
                <w:lang w:val="en-US" w:eastAsia="zh-CN"/>
              </w:rPr>
              <w:t xml:space="preserve">需顺利接入铜山区公安局视频专网，</w:t>
            </w:r>
            <w:r>
              <w:rPr>
                <w:rFonts w:hint="eastAsia" w:ascii="宋体" w:hAnsi="宋体" w:eastAsia="宋体" w:cs="宋体"/>
                <w:color w:val="auto"/>
                <w:sz w:val="24"/>
                <w:szCs w:val="22"/>
                <w:highlight w:val="none"/>
                <w:lang w:val="en-US" w:eastAsia="zh-CN"/>
              </w:rPr>
              <w:t xml:space="preserve">根据对接方案的全面性、针对性、可行性进行评价</w:t>
            </w:r>
            <w:r>
              <w:rPr>
                <w:rFonts w:hint="eastAsia" w:ascii="宋体" w:hAnsi="宋体" w:eastAsia="宋体" w:cs="宋体"/>
                <w:color w:val="auto"/>
                <w:sz w:val="24"/>
                <w:szCs w:val="24"/>
                <w:highlight w:val="none"/>
              </w:rPr>
              <w:t xml:space="preserve">：</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：全面具体详实得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分；不全面得1分。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：符合实际切实可行得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分；针对性不强得1分</w:t>
            </w:r>
            <w:r>
              <w:rPr>
                <w:rFonts w:hint="eastAsia" w:ascii="宋体" w:hAnsi="宋体" w:eastAsia="宋体" w:cs="宋体"/>
                <w:color w:val="auto"/>
                <w:sz w:val="24"/>
                <w:szCs w:val="24"/>
                <w:highlight w:val="none"/>
                <w:lang w:eastAsia="zh-CN"/>
              </w:rPr>
              <w:t xml:space="preserve">。</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未提供的不得分，本项最高得1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p>
        </w:tc>
      </w:tr>
      <w:tr>
        <w:trPr>
          <w:trHeight w:val="1702"/>
        </w:trPr>
        <w:tc>
          <w:tcPr>
            <w:tcW w:w="1246" w:type="dxa"/>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关键施工技术、工艺及工程项目实施的重点、难点和解决方案</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Borders>
              <w:left w:val="single" w:color="auto" w:sz="4" w:space="0"/>
            </w:tcBorders>
            <w:tcW w:w="7393" w:type="dxa"/>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评委依据供应商响应文件中关键施工技术、工艺及工程项目实施的重点、难点和解决方案进行评分：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：全面具体详实得3分；较全面得2分；不全面得1分。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：符合实际切实可行得3分；较切实可行得2分；可行性欠缺得1分。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：针对性强得3分；针对性较强得2分；针对性不强得1分</w:t>
            </w:r>
            <w:r>
              <w:rPr>
                <w:rFonts w:hint="eastAsia" w:ascii="宋体" w:hAnsi="宋体" w:eastAsia="宋体" w:cs="宋体"/>
                <w:color w:val="auto"/>
                <w:sz w:val="24"/>
                <w:szCs w:val="24"/>
                <w:highlight w:val="none"/>
                <w:lang w:eastAsia="zh-CN"/>
              </w:rPr>
              <w:t xml:space="preserve">。</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未提供的不得分，本项最高得9分。</w:t>
            </w:r>
            <w:r/>
          </w:p>
        </w:tc>
      </w:tr>
      <w:tr>
        <w:trPr>
          <w:trHeight w:val="852"/>
        </w:trPr>
        <w:tc>
          <w:tcPr>
            <w:tcW w:w="1246" w:type="dxa"/>
            <w:vAlign w:val="center"/>
            <w:vMerge w:val="continue"/>
            <w:textDirection w:val="lrTb"/>
            <w:noWrap w:val="false"/>
          </w:tcPr>
          <w:p>
            <w:pPr>
              <w:pStyle w:val="1248"/>
              <w:ind w:right="0" w:firstLine="0"/>
              <w:jc w:val="center"/>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200" w:type="dxa"/>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W w:w="7393" w:type="dxa"/>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根据响应文件中的售后服务方案进行综合评价。</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全面性（2分）：全面详实的得2分；较全面的得1分；基本具备的得0.5分。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针对性（2分）：针对性强得2分；针对性较强得1分；欠缺针对性的得0.5分。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可操作性（2分）：操作性强的得2分，操作性较强的得1分，操作性欠缺的得0.5分。</w:t>
            </w:r>
            <w:r/>
          </w:p>
          <w:p>
            <w:pPr>
              <w:pStyle w:val="1242"/>
              <w:ind w:right="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未提供的不得分，最高得6分。</w:t>
            </w:r>
            <w:r/>
          </w:p>
        </w:tc>
      </w:tr>
    </w:tbl>
    <w:p>
      <w:pPr>
        <w:pStyle w:val="1031"/>
        <w:contextualSpacing/>
        <w:jc w:val="left"/>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1034"/>
        <w:ind w:firstLine="482"/>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本章说明：本项目采用综合评分法。评分结果精确到小数点后二位</w:t>
      </w:r>
      <w:r/>
    </w:p>
    <w:p>
      <w:pPr>
        <w:pStyle w:val="104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976"/>
        <w:ind w:firstLine="0"/>
        <w:jc w:val="center"/>
        <w:rPr>
          <w:rFonts w:hint="eastAsia" w:ascii="宋体" w:hAnsi="宋体" w:eastAsia="宋体" w:cs="宋体"/>
          <w:color w:val="auto"/>
          <w:sz w:val="24"/>
          <w:szCs w:val="24"/>
          <w:highlight w:val="none"/>
        </w:rPr>
      </w:pPr>
      <w:r>
        <w:rPr>
          <w:rFonts w:hint="eastAsia" w:ascii="宋体" w:hAnsi="宋体" w:eastAsia="宋体" w:cs="宋体"/>
          <w:b/>
          <w:color w:val="auto"/>
          <w:sz w:val="30"/>
          <w:szCs w:val="30"/>
          <w:highlight w:val="none"/>
          <w:lang w:val="en-US" w:eastAsia="zh-CN"/>
        </w:rPr>
        <w:t xml:space="preserve">2、项目要求（采购需求）</w:t>
      </w:r>
      <w:r/>
    </w:p>
    <w:p>
      <w:pPr>
        <w:pStyle w:val="1034"/>
        <w:ind w:firstLine="482"/>
        <w:pageBreakBefore w:val="0"/>
        <w:spacing w:line="360" w:lineRule="auto"/>
        <w:rPr>
          <w:rFonts w:hint="eastAsia" w:ascii="宋体" w:hAnsi="宋体" w:cs="宋体"/>
          <w:bCs/>
          <w:color w:val="auto"/>
          <w:highlight w:val="none"/>
          <w:lang w:val="en-US" w:eastAsia="zh-CN"/>
        </w:rPr>
      </w:pPr>
      <w:r>
        <w:rPr>
          <w:rFonts w:hint="eastAsia" w:ascii="宋体" w:hAnsi="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本项目不接受超过最高投标限价</w:t>
      </w:r>
      <w:r>
        <w:rPr>
          <w:rFonts w:hint="eastAsia" w:ascii="宋体" w:hAnsi="宋体" w:cs="宋体"/>
          <w:b/>
          <w:bCs/>
          <w:color w:val="auto"/>
          <w:sz w:val="24"/>
          <w:szCs w:val="24"/>
          <w:highlight w:val="none"/>
          <w:u w:val="single"/>
          <w:lang w:val="en-US" w:eastAsia="zh-CN"/>
        </w:rPr>
        <w:t xml:space="preserve">159.15万</w:t>
      </w:r>
      <w:r>
        <w:rPr>
          <w:rFonts w:hint="eastAsia" w:ascii="宋体" w:hAnsi="宋体" w:eastAsia="宋体" w:cs="宋体"/>
          <w:b/>
          <w:bCs/>
          <w:color w:val="auto"/>
          <w:sz w:val="24"/>
          <w:szCs w:val="24"/>
          <w:highlight w:val="none"/>
          <w:u w:val="single"/>
          <w:lang w:val="en-US" w:eastAsia="zh-CN"/>
        </w:rPr>
        <w:t xml:space="preserve">元</w:t>
      </w:r>
      <w:r>
        <w:rPr>
          <w:rFonts w:hint="eastAsia" w:ascii="宋体" w:hAnsi="宋体" w:eastAsia="宋体" w:cs="宋体"/>
          <w:b/>
          <w:bCs/>
          <w:color w:val="auto"/>
          <w:sz w:val="24"/>
          <w:szCs w:val="24"/>
          <w:highlight w:val="none"/>
        </w:rPr>
        <w:t xml:space="preserve">（采购项目预算金额）的报价</w:t>
      </w:r>
      <w:r>
        <w:rPr>
          <w:rFonts w:hint="eastAsia" w:ascii="宋体" w:hAnsi="宋体" w:eastAsia="宋体" w:cs="宋体"/>
          <w:bCs/>
          <w:color w:val="auto"/>
          <w:sz w:val="24"/>
          <w:szCs w:val="24"/>
          <w:highlight w:val="none"/>
        </w:rPr>
        <w:t xml:space="preserve">（首次和最后报价），报价包括为完成本工程所有施工、验收、售后服务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网络连接</w:t>
      </w:r>
      <w:r>
        <w:rPr>
          <w:rFonts w:hint="eastAsia" w:ascii="宋体" w:hAnsi="宋体" w:eastAsia="宋体" w:cs="宋体"/>
          <w:bCs/>
          <w:color w:val="auto"/>
          <w:sz w:val="24"/>
          <w:szCs w:val="24"/>
          <w:highlight w:val="none"/>
        </w:rPr>
        <w:t xml:space="preserve">等全部费用</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采购人不再支付报</w:t>
      </w:r>
      <w:r>
        <w:rPr>
          <w:rFonts w:hint="eastAsia" w:ascii="宋体" w:hAnsi="宋体" w:cs="宋体"/>
          <w:bCs/>
          <w:color w:val="auto"/>
          <w:highlight w:val="none"/>
          <w:lang w:eastAsia="zh-CN"/>
        </w:rPr>
        <w:t xml:space="preserve">价以外的任何费用。</w:t>
      </w:r>
      <w:r>
        <w:rPr>
          <w:rFonts w:hint="eastAsia" w:ascii="宋体" w:hAnsi="宋体" w:cs="宋体"/>
          <w:b/>
          <w:bCs w:val="0"/>
          <w:color w:val="auto"/>
          <w:highlight w:val="none"/>
          <w:lang w:val="en-US" w:eastAsia="zh-CN"/>
        </w:rPr>
        <w:t xml:space="preserve">本项目不属于专门面向中小微企业项目。</w:t>
      </w:r>
      <w:r/>
    </w:p>
    <w:p>
      <w:pPr>
        <w:pStyle w:val="1034"/>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二、项目内容：</w:t>
      </w:r>
      <w:r/>
    </w:p>
    <w:p>
      <w:pPr>
        <w:pStyle w:val="1034"/>
        <w:ind w:firstLine="482"/>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1、工程名称：</w:t>
      </w:r>
      <w:r>
        <w:rPr>
          <w:rFonts w:hint="eastAsia" w:ascii="宋体" w:hAnsi="宋体" w:cs="宋体"/>
          <w:bCs/>
          <w:color w:val="auto"/>
          <w:sz w:val="24"/>
          <w:szCs w:val="24"/>
          <w:highlight w:val="none"/>
          <w:lang w:eastAsia="zh-CN"/>
        </w:rPr>
        <w:t xml:space="preserve">徐州高新区交通安全设施提升改造工程</w:t>
      </w:r>
      <w:r/>
    </w:p>
    <w:p>
      <w:pPr>
        <w:pStyle w:val="1034"/>
        <w:ind w:firstLine="48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2、建设地点：</w:t>
      </w:r>
      <w:r>
        <w:rPr>
          <w:rFonts w:hint="eastAsia" w:ascii="宋体" w:hAnsi="宋体" w:eastAsia="宋体" w:cs="宋体"/>
          <w:bCs/>
          <w:color w:val="auto"/>
          <w:highlight w:val="none"/>
        </w:rPr>
        <w:t xml:space="preserve">长安路</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珠江东路至太康路</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、闽江路</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北京南路至银山路</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，闰江路与千禧城规划路交叉口、漓江路与千禧城规划路交叉口。</w:t>
      </w:r>
      <w:r/>
    </w:p>
    <w:p>
      <w:pPr>
        <w:pStyle w:val="1034"/>
        <w:ind w:firstLine="482"/>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3、招标范围：</w:t>
      </w:r>
      <w:r>
        <w:rPr>
          <w:rFonts w:hint="eastAsia" w:ascii="宋体" w:hAnsi="宋体" w:cs="宋体"/>
          <w:bCs/>
          <w:color w:val="auto"/>
          <w:highlight w:val="none"/>
          <w:lang w:eastAsia="zh-CN"/>
        </w:rPr>
        <w:t xml:space="preserve">长安路（珠江东路-太康路）、闽江路（银山路-北京南路）、闽江路与规划路交叉口、漓江路与规划路交叉口、毕庄、二堡及滕寨安置房基础设施配套工程建设项目-二堡安置房基础设施配套工程、康平路交通及道路进行改造提升。详见工程量清单及施工图所含全部内容。</w:t>
      </w:r>
      <w:r/>
    </w:p>
    <w:p>
      <w:pPr>
        <w:pStyle w:val="1034"/>
        <w:ind w:firstLine="48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4、承包方式：包工包料。</w:t>
      </w:r>
      <w:r/>
    </w:p>
    <w:p>
      <w:pPr>
        <w:pStyle w:val="1034"/>
        <w:ind w:firstLine="482"/>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5、要求工期：</w:t>
      </w:r>
      <w:r>
        <w:rPr>
          <w:rFonts w:hint="eastAsia" w:ascii="宋体" w:hAnsi="宋体" w:cs="宋体"/>
          <w:color w:val="auto"/>
          <w:sz w:val="24"/>
          <w:szCs w:val="24"/>
          <w:highlight w:val="none"/>
          <w:u w:val="none"/>
          <w:lang w:val="en-US" w:eastAsia="zh-CN"/>
        </w:rPr>
        <w:t xml:space="preserve">90</w:t>
      </w:r>
      <w:r>
        <w:rPr>
          <w:rFonts w:hint="eastAsia" w:ascii="宋体" w:hAnsi="宋体" w:eastAsia="宋体" w:cs="宋体"/>
          <w:color w:val="auto"/>
          <w:sz w:val="24"/>
          <w:szCs w:val="24"/>
          <w:highlight w:val="none"/>
        </w:rPr>
        <w:t xml:space="preserve">日历天。</w:t>
      </w:r>
      <w:r/>
    </w:p>
    <w:p>
      <w:pPr>
        <w:pStyle w:val="1034"/>
        <w:ind w:firstLine="482"/>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6、工程质量标准：合格</w:t>
      </w:r>
      <w:r>
        <w:rPr>
          <w:rFonts w:hint="eastAsia" w:ascii="宋体" w:hAnsi="宋体" w:eastAsia="宋体" w:cs="宋体"/>
          <w:bCs/>
          <w:color w:val="auto"/>
          <w:sz w:val="24"/>
          <w:szCs w:val="24"/>
          <w:highlight w:val="none"/>
          <w:lang w:eastAsia="zh-CN"/>
        </w:rPr>
        <w:t xml:space="preserve">，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013"/>
        <w:ind w:right="6" w:firstLine="480"/>
        <w:jc w:val="both"/>
        <w:pageBreakBefore w:val="0"/>
        <w:spacing w:before="0" w:beforeAutospacing="0" w:after="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.技术标准和要求：符合现行国家技术、施工及验收规范规程，对施工工艺的特殊要求，按国家有关规定执行。</w:t>
      </w:r>
      <w:r/>
    </w:p>
    <w:p>
      <w:pPr>
        <w:pStyle w:val="1034"/>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三、工程量清单报价</w:t>
      </w:r>
      <w:r/>
    </w:p>
    <w:p>
      <w:pPr>
        <w:pStyle w:val="1034"/>
        <w:ind w:firstLine="48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1、报价内容</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 响应报价应包括磋商文件中所确定的范围内工程量清单以及施工图中所含的全部内容，以及为完成上述内容所需的全部费用。</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cs="宋体"/>
          <w:bCs/>
          <w:color w:val="auto"/>
          <w:sz w:val="24"/>
          <w:szCs w:val="24"/>
          <w:highlight w:val="none"/>
          <w:lang w:eastAsia="zh-CN"/>
        </w:rPr>
        <w:t xml:space="preserve">分部</w:t>
      </w:r>
      <w:r>
        <w:rPr>
          <w:rFonts w:hint="eastAsia" w:ascii="宋体" w:hAnsi="宋体" w:eastAsia="宋体" w:cs="宋体"/>
          <w:bCs/>
          <w:color w:val="auto"/>
          <w:sz w:val="24"/>
          <w:szCs w:val="24"/>
          <w:highlight w:val="none"/>
        </w:rPr>
        <w:t xml:space="preserve">分项内容及数量，否则视为不响应磋商文件。</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供应商应按采购人提供的工程量清单填报价格。填写的项目名称、项目特征、计量单位、工程量必须与采购人提供的一致。</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1.5清单项目中特征描述不全的工序，如图纸已明确或已指明引用规范、图集等或是常规工艺必须的工序，应包括在报价中。</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1.6响应供应商应认真研读竞争性磋商文件和合同内容，已明示含在</w:t>
      </w:r>
      <w:r>
        <w:rPr>
          <w:rFonts w:hint="eastAsia" w:ascii="宋体" w:hAnsi="宋体" w:eastAsia="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rPr>
        <w:t xml:space="preserve">报价中的费用供应商自行考虑，不管工程量清单是否单独列支，采购人均认为供应商已充分考虑此部分费用，应包括在报价中。</w:t>
      </w:r>
      <w:r/>
    </w:p>
    <w:p>
      <w:pPr>
        <w:pStyle w:val="1034"/>
        <w:ind w:firstLine="48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34"/>
        <w:ind w:firstLine="48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034"/>
        <w:ind w:firstLine="48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color w:val="auto"/>
          <w:sz w:val="24"/>
          <w:szCs w:val="24"/>
          <w:highlight w:val="none"/>
        </w:rPr>
        <w:t xml:space="preserve">垃圾外运，运距及运输方式供应商自行考虑。</w:t>
      </w:r>
      <w:r/>
    </w:p>
    <w:p>
      <w:pPr>
        <w:pStyle w:val="1034"/>
        <w:ind w:firstLine="48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1.10实行工程量清单采购的工程建设项目，量的风险由采购人承担，价的风险在约定风险范围内的，由供应商承担，风险范围以外的按合同约定。</w:t>
      </w:r>
      <w:r/>
    </w:p>
    <w:p>
      <w:pPr>
        <w:pStyle w:val="1034"/>
        <w:ind w:firstLine="482"/>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施工时需做好防护措施保证周边安全，因</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人保障不利对</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或第三方造成损失的，赔偿责任全部由</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人承担，若因此会增加费用，控制价不计取，</w:t>
      </w:r>
      <w:r>
        <w:rPr>
          <w:rFonts w:hint="eastAsia" w:ascii="宋体" w:hAnsi="宋体" w:eastAsia="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rPr>
        <w:t xml:space="preserve">人自行考虑在报价中，结算时不予调整。</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2、报价方式</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2.1本工程采用固定单价合同（除另有规定外）。供应商应充分考虑施工期间各类建材的市场风险，并计入总报价，供应商在计算报价时应考虑一定的风险系数。</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材料风险约定：</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 对于法律、法规、规章或有关政策出台导致工程税金等发生变化的，应按照有关规定执行。</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auto"/>
          <w:sz w:val="24"/>
          <w:szCs w:val="24"/>
          <w:highlight w:val="none"/>
        </w:rPr>
        <w:t xml:space="preserve">供应商所填写的单价和合价在合同实施期间</w:t>
      </w:r>
      <w:r>
        <w:rPr>
          <w:rFonts w:hint="eastAsia" w:ascii="宋体" w:hAnsi="宋体" w:eastAsia="宋体" w:cs="宋体"/>
          <w:bCs/>
          <w:color w:val="auto"/>
          <w:sz w:val="24"/>
          <w:szCs w:val="24"/>
          <w:highlight w:val="none"/>
        </w:rPr>
        <w:t xml:space="preserve">不因市场变化因素而变动，结算不再调整。</w:t>
      </w:r>
      <w:r>
        <w:rPr>
          <w:rFonts w:hint="eastAsia" w:ascii="宋体" w:hAnsi="宋体" w:eastAsia="宋体" w:cs="宋体"/>
          <w:b/>
          <w:bCs w:val="0"/>
          <w:color w:val="auto"/>
          <w:sz w:val="24"/>
          <w:szCs w:val="24"/>
          <w:highlight w:val="none"/>
        </w:rPr>
        <w:t xml:space="preserve">本工程工期较短结算时材料价格不予调整</w:t>
      </w:r>
      <w:r>
        <w:rPr>
          <w:rFonts w:hint="eastAsia" w:ascii="宋体" w:hAnsi="宋体" w:eastAsia="宋体" w:cs="宋体"/>
          <w:bCs/>
          <w:color w:val="auto"/>
          <w:sz w:val="24"/>
          <w:szCs w:val="24"/>
          <w:highlight w:val="none"/>
        </w:rPr>
        <w:t xml:space="preserve">。</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3、报价的计价方法</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34"/>
        <w:ind w:firstLine="48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、报价编制依据及要求</w:t>
      </w:r>
      <w:r>
        <w:rPr>
          <w:rFonts w:hint="eastAsia" w:ascii="宋体" w:hAnsi="宋体" w:eastAsia="宋体" w:cs="宋体"/>
          <w:b/>
          <w:bCs w:val="0"/>
          <w:color w:val="auto"/>
          <w:sz w:val="24"/>
          <w:szCs w:val="24"/>
          <w:highlight w:val="none"/>
          <w:lang w:eastAsia="zh-CN"/>
        </w:rPr>
        <w:t xml:space="preserve">：</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4.1</w:t>
      </w:r>
      <w:r>
        <w:rPr>
          <w:rFonts w:hint="eastAsia" w:ascii="宋体" w:hAnsi="宋体" w:eastAsia="宋体" w:cs="宋体"/>
          <w:bCs/>
          <w:color w:val="auto"/>
          <w:sz w:val="24"/>
          <w:szCs w:val="24"/>
          <w:highlight w:val="none"/>
        </w:rPr>
        <w:t xml:space="preserve">响应报价应根据采购文件中的有关计价要求，并按照下列依据自主报价，但不得低于成本。</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(1)本采购文件；</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(2)《建设工程工程量清单计价标准》（GB/T50500-2024）</w:t>
      </w:r>
      <w:r>
        <w:rPr>
          <w:rFonts w:hint="eastAsia" w:ascii="宋体" w:hAnsi="宋体" w:cs="宋体"/>
          <w:bCs/>
          <w:color w:val="auto"/>
          <w:sz w:val="24"/>
          <w:szCs w:val="24"/>
          <w:highlight w:val="none"/>
          <w:lang w:eastAsia="zh-CN"/>
        </w:rPr>
        <w:t xml:space="preserve">、《房屋建筑与装饰工程工程量计算标准》（GB/T50854-2024）</w:t>
      </w:r>
      <w:r>
        <w:rPr>
          <w:rFonts w:hint="eastAsia" w:ascii="宋体" w:hAnsi="宋体" w:eastAsia="宋体" w:cs="宋体"/>
          <w:bCs/>
          <w:color w:val="auto"/>
          <w:sz w:val="24"/>
          <w:szCs w:val="24"/>
          <w:highlight w:val="none"/>
        </w:rPr>
        <w:t xml:space="preserve">及其9本计算规范；</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(3)国家或省级、行业建设主管部门颁发的计价办法；</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(4)企业定额，国家或省级、行业建设主管部门颁发的计价定额；</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(5)采购文件、招标工程量清单及其补充通知、答疑纪要；</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(6)建设工程设计文件及相关资料；</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(7)施工现场情况、工程特点及拟定的投标施工组织设计或施工方案；</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(8)与建设项目相关的标准、规范等技术资料；</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(9)市场价格信息或工程造价管理机构发布的工程造价信息；</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(10)其他的相关资料。</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4.2</w:t>
      </w:r>
      <w:r>
        <w:rPr>
          <w:rFonts w:hint="eastAsia" w:ascii="宋体" w:hAnsi="宋体" w:eastAsia="宋体" w:cs="宋体"/>
          <w:bCs/>
          <w:color w:val="auto"/>
          <w:sz w:val="24"/>
          <w:szCs w:val="24"/>
          <w:highlight w:val="none"/>
        </w:rPr>
        <w:t xml:space="preserve">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.3 工程量清单中标价的单价或金额，应包括所需人工费、材料费、施工机具使用费、管理费和利润，以及一定范围内的风险费用。</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.4 “响应报价汇总表”中的投标总价由分部分项工程费、措施项目费、其他项目费、税金组成，并且“响应报价汇总表”中的投标总价应当与构成已标价工程量清单的分部分项工程费、措施项目费、其他项目费、税金的合计金额一致。</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 分部分项工程和措施项目中的单价项目按下列要求报价：</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.5.1 分部分项工程应根据采购文件和招标工程量清单确定综合单价。</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.5.2 如果分部分项工程量清单中涉及“材料（工程设备）暂估单价及调整表”中列出的材料和工程设备，将该类材料和工程设备的暂估单价计入对应的工程量清单综合单价。</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.5.4 “分部分项工程清单”所列各项目的综合单价组成中，各项目的人工、材料和机械台班消耗量、管理费费率、利润费率由投标人按照其自身情况做充分的、竞争性考虑。</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.6 措施项目中的总价项目按下列要求报价：</w:t>
      </w:r>
      <w:r/>
    </w:p>
    <w:p>
      <w:pPr>
        <w:pStyle w:val="1034"/>
        <w:ind w:firstLine="48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.6.1 措施项目费的准确性和完整性由投标人负责。</w:t>
      </w:r>
      <w:r/>
    </w:p>
    <w:p>
      <w:pPr>
        <w:pStyle w:val="1034"/>
        <w:ind w:firstLine="48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.6.2 措施项目费中的安全生产措施费按照国家及省级、行业主管部门的相关规定计价。</w:t>
      </w:r>
      <w:r/>
    </w:p>
    <w:p>
      <w:pPr>
        <w:pStyle w:val="1034"/>
        <w:ind w:firstLine="48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.6.4 “措施项目费”中所填写的报价金额，应全面涵盖招标文件约定的投标人中标后施工、竣工、交付本工程并维修其任何缺陷所需要履行的责任和义务的全部费用。</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.7 其他项目清单费应按下列规定报价：</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.7.1 计日工按“计日工表”中列出的项目和估算数量，自主确定综合单价并计算计日工金额。</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.7.2 总承包服务费根据采购文件中列出的内容和要求，按“总承包服务费计价表”所列格式自主报价。</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.8 增值税应按“增值税计价表”所列项目并根据国家、省级或行业建设主管部门的有关规定列项和计算，不得作为竞争性费用。</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.9 除采购文件有强制性规定以及不可竞争部分以外，响应报价由供应商自主确定，但不得低于成本。</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.11 管理费应由供应商在保证不低于其成本的基础上做竞争性考虑；利润由供应商根据自身情况和综合实力做竞争性考虑。</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.12 响应报价中应考虑采购文件中要求供应商承担的风险范围以及相关的费用。</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.13 投标总价为供应商在响应文件中提出的各项支付金额的总和（含税），为实施、完成招标工程并修补缺陷以及履行采购文件中约定的风险范围内的所有责任和义务所发生的全部费用。   </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.14.7 响应文件报价要求：</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①首次响应文件中提供《已标价的工程量清单》文件。</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②按照《工程量清单》编制《已标价的工程量清单》（工程量清单不得改变）。</w:t>
      </w:r>
      <w:r/>
    </w:p>
    <w:p>
      <w:pPr>
        <w:pStyle w:val="1034"/>
        <w:ind w:firstLine="480"/>
        <w:pageBreakBefore w:val="0"/>
        <w:spacing w:line="360" w:lineRule="auto"/>
        <w:rPr>
          <w:rFonts w:hint="eastAsia"/>
          <w:color w:val="auto"/>
          <w:highlight w:val="none"/>
        </w:rPr>
      </w:pPr>
      <w:r>
        <w:rPr>
          <w:rFonts w:hint="eastAsia" w:ascii="宋体" w:hAnsi="宋体" w:eastAsia="宋体" w:cs="宋体"/>
          <w:bCs/>
          <w:color w:val="auto"/>
          <w:sz w:val="24"/>
          <w:szCs w:val="24"/>
          <w:highlight w:val="none"/>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pStyle w:val="1034"/>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异常低价报价</w:t>
      </w:r>
      <w:r>
        <w:rPr>
          <w:rFonts w:hint="eastAsia" w:ascii="宋体" w:hAnsi="宋体" w:eastAsia="宋体" w:cs="宋体"/>
          <w:b w:val="0"/>
          <w:bCs w:val="0"/>
          <w:color w:val="auto"/>
          <w:sz w:val="24"/>
          <w:szCs w:val="24"/>
          <w:highlight w:val="none"/>
        </w:rPr>
        <w:t xml:space="preserve">：</w:t>
      </w:r>
      <w:r/>
    </w:p>
    <w:p>
      <w:pPr>
        <w:pStyle w:val="1034"/>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szCs w:val="24"/>
          <w:highlight w:val="none"/>
        </w:rPr>
        <w:t xml:space="preserve">磋商小组认为供应商的报价明显低于其他供应商的报价，有可能影响产品质量或者不能诚信履约的，</w:t>
      </w:r>
      <w:r>
        <w:rPr>
          <w:rFonts w:hint="eastAsia" w:ascii="宋体" w:hAnsi="宋体" w:eastAsia="宋体" w:cs="宋体"/>
          <w:bCs/>
          <w:color w:val="auto"/>
          <w:sz w:val="24"/>
          <w:szCs w:val="24"/>
          <w:highlight w:val="none"/>
        </w:rPr>
        <w:t xml:space="preserve">实施政府采购异常低价审查的有关要求：</w:t>
      </w:r>
      <w:r/>
    </w:p>
    <w:p>
      <w:pPr>
        <w:pStyle w:val="1034"/>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pStyle w:val="1034"/>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②投标（响应）报价低于通过符合性审查的次低报价供应商投标（响应）报价50%的，即投标（响应）报价〈通过符合性审查的次低报价供应商投标（响应）报价×50%；</w:t>
      </w:r>
      <w:r/>
    </w:p>
    <w:p>
      <w:pPr>
        <w:pStyle w:val="1034"/>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③投标（响应）报价低于采购项目最高限价45%的，即投标（响应）报价&lt;采购项目最高限价×45%；</w:t>
      </w:r>
      <w:r/>
    </w:p>
    <w:p>
      <w:pPr>
        <w:pStyle w:val="103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fldChar w:fldCharType="begin"/>
      </w:r>
      <w:r>
        <w:rPr>
          <w:rFonts w:hint="eastAsia" w:ascii="宋体" w:hAnsi="宋体" w:eastAsia="宋体" w:cs="宋体"/>
          <w:b w:val="0"/>
          <w:bCs/>
          <w:color w:val="auto"/>
          <w:sz w:val="24"/>
          <w:szCs w:val="24"/>
          <w:highlight w:val="none"/>
          <w:lang w:val="en-US" w:eastAsia="zh-CN"/>
        </w:rPr>
        <w:instrText xml:space="preserve"> = 4 \* GB3 \* MERGEFORMAT </w:instrText>
      </w:r>
      <w:r>
        <w:rPr>
          <w:rFonts w:hint="eastAsia" w:ascii="宋体" w:hAnsi="宋体" w:eastAsia="宋体" w:cs="宋体"/>
          <w:b w:val="0"/>
          <w:bCs/>
          <w:color w:val="auto"/>
          <w:sz w:val="24"/>
          <w:szCs w:val="24"/>
          <w:highlight w:val="none"/>
          <w:lang w:val="en-US" w:eastAsia="zh-CN"/>
        </w:rPr>
        <w:fldChar w:fldCharType="separate"/>
      </w:r>
      <w:r>
        <w:rPr>
          <w:rFonts w:hint="eastAsia" w:ascii="宋体" w:hAnsi="宋体" w:eastAsia="宋体" w:cs="宋体"/>
          <w:b w:val="0"/>
          <w:bCs/>
          <w:color w:val="auto"/>
          <w:sz w:val="24"/>
          <w:szCs w:val="24"/>
          <w:highlight w:val="none"/>
          <w:lang w:val="en-US" w:eastAsia="zh-CN"/>
        </w:rPr>
        <w:t xml:space="preserve">④</w:t>
      </w:r>
      <w:r>
        <w:rPr>
          <w:rFonts w:hint="eastAsia" w:ascii="宋体" w:hAnsi="宋体" w:eastAsia="宋体" w:cs="宋体"/>
          <w:b w:val="0"/>
          <w:bCs/>
          <w:color w:val="auto"/>
          <w:sz w:val="24"/>
          <w:szCs w:val="24"/>
          <w:highlight w:val="none"/>
          <w:lang w:val="en-US" w:eastAsia="zh-CN"/>
        </w:rPr>
        <w:fldChar w:fldCharType="end"/>
      </w:r>
      <w:r>
        <w:rPr>
          <w:rFonts w:hint="eastAsia" w:ascii="宋体" w:hAnsi="宋体" w:eastAsia="宋体" w:cs="宋体"/>
          <w:b w:val="0"/>
          <w:bCs/>
          <w:color w:val="auto"/>
          <w:sz w:val="24"/>
          <w:szCs w:val="24"/>
          <w:highlight w:val="none"/>
          <w:lang w:val="en-US" w:eastAsia="zh-CN"/>
        </w:rPr>
        <w:t xml:space="preserve">评审委员会基于专业判断，认为供应商报价过低，有可能影响产品质量或者不能诚信履约的其他情形。</w:t>
      </w:r>
      <w:r/>
    </w:p>
    <w:p>
      <w:pPr>
        <w:pStyle w:val="103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磋商小组启动异常低价投标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响应</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审查后，属于前述第1项至第4项情形的，应当要求相关供应商通过“苏采云”系统合理的时间内对投标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响应</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响应</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文件一并提交相关书面说明及必要的证明材料的，在评审现场可不再重复提交。</w:t>
      </w:r>
      <w:r/>
    </w:p>
    <w:p>
      <w:pPr>
        <w:pStyle w:val="103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磋商小组依据专业经验，参考同类项目中标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成交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响应</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供应商不能提供书面说明、证明材料，或者提供的书面说明、证明材料不能证明其报价合理性的，磋商小组应当将其作为无效投标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响应</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处理。</w:t>
      </w:r>
      <w:r/>
    </w:p>
    <w:p>
      <w:pPr>
        <w:pStyle w:val="103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采购人、采购代理机构应当为磋商小组在评审现场及时获取同类项目中标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成交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034"/>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异常低价投标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响应</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审查的启动原因、审查意见和审查结果应当在评审报告中记录，并随供应商提供的相关书面说明及证明材料，以及磋商小组有关互联网浏览、查询历史一并归档。</w:t>
      </w:r>
      <w:r/>
    </w:p>
    <w:p>
      <w:pPr>
        <w:pStyle w:val="1034"/>
        <w:ind w:firstLine="480"/>
        <w:spacing w:line="360" w:lineRule="auto"/>
        <w:rPr>
          <w:rFonts w:hint="eastAsia" w:ascii="宋体" w:hAnsi="宋体" w:eastAsia="宋体" w:cs="宋体"/>
          <w:color w:val="auto"/>
          <w:highlight w:val="none"/>
        </w:rPr>
      </w:pPr>
      <w:r>
        <w:rPr>
          <w:rFonts w:hint="eastAsia" w:ascii="宋体" w:hAnsi="宋体" w:eastAsia="宋体" w:cs="宋体"/>
          <w:b w:val="0"/>
          <w:bCs/>
          <w:color w:val="auto"/>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hint="eastAsia" w:ascii="宋体" w:hAnsi="宋体" w:eastAsia="宋体" w:cs="宋体"/>
          <w:b/>
          <w:bCs/>
          <w:color w:val="auto"/>
          <w:sz w:val="24"/>
          <w:szCs w:val="24"/>
          <w:highlight w:val="none"/>
        </w:rPr>
        <w:t xml:space="preserve">铜财购[</w:t>
      </w:r>
      <w:r>
        <w:rPr>
          <w:rFonts w:hint="eastAsia" w:ascii="宋体" w:hAnsi="宋体" w:eastAsia="宋体" w:cs="宋体"/>
          <w:b/>
          <w:bCs/>
          <w:color w:val="auto"/>
          <w:sz w:val="24"/>
          <w:szCs w:val="24"/>
          <w:highlight w:val="none"/>
          <w:lang w:val="en-US" w:eastAsia="zh-CN"/>
        </w:rPr>
        <w:t xml:space="preserve">2026</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号文件</w:t>
      </w:r>
      <w:r>
        <w:rPr>
          <w:rFonts w:hint="eastAsia" w:ascii="宋体" w:hAnsi="宋体" w:eastAsia="宋体" w:cs="宋体"/>
          <w:b w:val="0"/>
          <w:bCs/>
          <w:color w:val="auto"/>
          <w:sz w:val="24"/>
          <w:szCs w:val="24"/>
          <w:highlight w:val="none"/>
          <w:lang w:val="en-US" w:eastAsia="zh-CN" w:bidi="ar-SA"/>
        </w:rPr>
        <w:t xml:space="preserve">。</w:t>
      </w:r>
      <w:r/>
    </w:p>
    <w:p>
      <w:pPr>
        <w:pStyle w:val="1034"/>
        <w:ind w:firstLine="482"/>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六、其他要求：</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1.供应商报价时需考虑完成本项目内容所涉及的人工费、材料费、机械费、税费、验收等相关的一切费用。</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2.供应商应根据本项目实际情况，合理配置人员，除项目经理外，安全员、质检员、施工员、预算员、材料员等人员应经验丰富，确保项目顺利实施。</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1034"/>
        <w:ind w:firstLine="482"/>
        <w:rPr>
          <w:rFonts w:hint="eastAsia"/>
          <w:color w:val="auto"/>
          <w:highlight w:val="none"/>
        </w:rPr>
      </w:pPr>
      <w:r>
        <w:rPr>
          <w:rFonts w:hint="eastAsia" w:ascii="宋体" w:hAnsi="宋体" w:eastAsia="宋体" w:cs="宋体"/>
          <w:color w:val="auto"/>
          <w:sz w:val="24"/>
          <w:szCs w:val="24"/>
          <w:highlight w:val="none"/>
          <w:lang w:val="en-US" w:eastAsia="zh-CN" w:bidi="ar-SA"/>
        </w:rPr>
        <w:t xml:space="preserve">5.供应商对工程建设期间扬尘治理工作负主体责任。应制定施工现场扬尘污染防治专项方案，按照承包工程范围做好扬尘污染防治措施的落实。方案必须符合我市“徐空气提升办【2018】11号”</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“徐城管发【2018】55号”</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《关于进一步加强市区建设工地扬尘污染防治的通知》（徐住建发〔2023〕62号）</w:t>
      </w:r>
      <w:r>
        <w:rPr>
          <w:rFonts w:hint="eastAsia" w:ascii="宋体" w:hAnsi="宋体" w:cs="宋体"/>
          <w:color w:val="auto"/>
          <w:sz w:val="24"/>
          <w:szCs w:val="24"/>
          <w:highlight w:val="none"/>
          <w:lang w:val="en-US" w:eastAsia="zh-CN" w:bidi="ar-SA"/>
        </w:rPr>
        <w:t xml:space="preserve">及</w:t>
      </w:r>
      <w:r>
        <w:rPr>
          <w:rFonts w:hint="eastAsia" w:ascii="宋体" w:hAnsi="宋体" w:eastAsia="宋体" w:cs="宋体"/>
          <w:color w:val="auto"/>
          <w:sz w:val="24"/>
          <w:szCs w:val="24"/>
          <w:highlight w:val="none"/>
          <w:lang w:val="en-US" w:eastAsia="zh-CN" w:bidi="ar-SA"/>
        </w:rPr>
        <w:t xml:space="preserve">《关于印发&lt;徐州市建设工程扬尘（噪声）智慧监管系统建设实施意见（试行）&gt;的通知》（徐污防攻坚指办〔2023〕26号）关于扬尘管控的相关规定要求。</w:t>
      </w:r>
      <w:r/>
    </w:p>
    <w:p>
      <w:pPr>
        <w:pStyle w:val="1034"/>
        <w:ind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七、服务要求： </w:t>
      </w:r>
      <w:r/>
    </w:p>
    <w:p>
      <w:pPr>
        <w:pStyle w:val="1034"/>
        <w:ind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rPr>
        <w:t xml:space="preserve">1、质保及售后服务：</w:t>
      </w:r>
      <w:r>
        <w:rPr>
          <w:rFonts w:hint="eastAsia" w:ascii="宋体" w:hAnsi="宋体" w:eastAsia="宋体" w:cs="宋体"/>
          <w:bCs/>
          <w:color w:val="auto"/>
          <w:sz w:val="24"/>
          <w:szCs w:val="24"/>
          <w:highlight w:val="none"/>
          <w:lang w:val="en-US" w:eastAsia="zh-CN"/>
        </w:rPr>
        <w:t xml:space="preserve">工程</w:t>
      </w:r>
      <w:r>
        <w:rPr>
          <w:rFonts w:hint="eastAsia" w:ascii="宋体" w:hAnsi="宋体" w:eastAsia="宋体" w:cs="宋体"/>
          <w:bCs/>
          <w:color w:val="auto"/>
          <w:sz w:val="24"/>
          <w:szCs w:val="24"/>
          <w:highlight w:val="none"/>
        </w:rPr>
        <w:t xml:space="preserve">质保期详见《工程质量保修书》，质保期外工程质量出现问题，</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人应主动提供维修方案，只收取材料费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设备质保期</w:t>
      </w:r>
      <w:r>
        <w:rPr>
          <w:rFonts w:hint="eastAsia" w:ascii="宋体" w:hAnsi="宋体" w:eastAsia="宋体" w:cs="宋体"/>
          <w:bCs/>
          <w:color w:val="auto"/>
          <w:sz w:val="24"/>
          <w:szCs w:val="24"/>
          <w:highlight w:val="none"/>
          <w:u w:val="single"/>
          <w:lang w:val="en-US" w:eastAsia="zh-CN"/>
        </w:rPr>
        <w:t xml:space="preserve">两</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w:t>
      </w:r>
      <w:r/>
    </w:p>
    <w:p>
      <w:pPr>
        <w:pStyle w:val="1034"/>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2、质保期内，如发生故障，采购人通知供应商售后服务人员时，相关服务人员要在接到保修电话后</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小时</w:t>
      </w:r>
      <w:r>
        <w:rPr>
          <w:rFonts w:hint="eastAsia" w:ascii="宋体" w:hAnsi="宋体" w:eastAsia="宋体" w:cs="宋体"/>
          <w:bCs/>
          <w:color w:val="auto"/>
          <w:sz w:val="24"/>
          <w:szCs w:val="24"/>
          <w:highlight w:val="none"/>
          <w:lang w:val="en-US" w:eastAsia="zh-CN"/>
        </w:rPr>
        <w:t xml:space="preserve">内</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小时内赶到现场维修，</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小时内排除故障，进行更换或进行必要的维修。 </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bidi="ar-SA"/>
        </w:rPr>
        <w:t xml:space="preserve">、本项目需与采购人现有的</w:t>
      </w:r>
      <w:r>
        <w:rPr>
          <w:rFonts w:hint="eastAsia" w:ascii="宋体" w:hAnsi="宋体" w:cs="宋体"/>
          <w:color w:val="auto"/>
          <w:sz w:val="24"/>
          <w:szCs w:val="24"/>
          <w:highlight w:val="none"/>
          <w:lang w:val="en-US" w:eastAsia="zh-CN" w:bidi="ar-SA"/>
        </w:rPr>
        <w:t xml:space="preserve">铜山区公安局</w:t>
      </w:r>
      <w:r>
        <w:rPr>
          <w:rFonts w:hint="eastAsia" w:ascii="宋体" w:hAnsi="宋体" w:eastAsia="宋体" w:cs="宋体"/>
          <w:color w:val="auto"/>
          <w:sz w:val="24"/>
          <w:szCs w:val="24"/>
          <w:highlight w:val="none"/>
          <w:lang w:val="en-US" w:eastAsia="zh-CN" w:bidi="ar-SA"/>
        </w:rPr>
        <w:t xml:space="preserve">大数据应用平台无缝对接，</w:t>
      </w:r>
      <w:r>
        <w:rPr>
          <w:rFonts w:hint="eastAsia" w:ascii="宋体" w:hAnsi="宋体" w:eastAsia="宋体" w:cs="宋体"/>
          <w:b/>
          <w:bCs/>
          <w:color w:val="auto"/>
          <w:sz w:val="24"/>
          <w:szCs w:val="24"/>
          <w:highlight w:val="none"/>
          <w:lang w:val="en-US" w:eastAsia="zh-CN"/>
        </w:rPr>
        <w:t xml:space="preserve">此项是不允许偏离的实质性要求和条件，如有偏离，在符合性审查时按照投标无效处理，针对此项提供承诺函加盖</w:t>
      </w:r>
      <w:r>
        <w:rPr>
          <w:rFonts w:hint="eastAsia" w:ascii="宋体" w:hAnsi="宋体" w:eastAsia="宋体" w:cs="宋体"/>
          <w:b/>
          <w:bCs w:val="0"/>
          <w:color w:val="auto"/>
          <w:sz w:val="24"/>
          <w:szCs w:val="24"/>
          <w:highlight w:val="none"/>
          <w:lang w:val="en-US" w:eastAsia="zh-CN"/>
        </w:rPr>
        <w:t xml:space="preserve">电子签章</w:t>
      </w:r>
      <w:r>
        <w:rPr>
          <w:rFonts w:hint="eastAsia" w:ascii="宋体" w:hAnsi="宋体" w:eastAsia="宋体" w:cs="宋体"/>
          <w:b/>
          <w:bCs/>
          <w:color w:val="auto"/>
          <w:sz w:val="24"/>
          <w:szCs w:val="24"/>
          <w:highlight w:val="none"/>
          <w:lang w:val="en-US" w:eastAsia="zh-CN"/>
        </w:rPr>
        <w:t xml:space="preserve">（格式自拟），响应文件中提供详细的对接方案；</w:t>
      </w:r>
      <w:r>
        <w:rPr>
          <w:rFonts w:hint="eastAsia" w:ascii="宋体" w:hAnsi="宋体" w:eastAsia="宋体" w:cs="宋体"/>
          <w:color w:val="auto"/>
          <w:sz w:val="24"/>
          <w:szCs w:val="24"/>
          <w:highlight w:val="none"/>
          <w:lang w:val="en-US" w:eastAsia="zh-CN" w:bidi="ar-SA"/>
        </w:rPr>
        <w:t xml:space="preserve">一切与对接相关的费用包括但不限于两年售后维保费用等，均包含在本项目投标报价内，采购人不再另行支付。</w:t>
      </w:r>
      <w:r/>
    </w:p>
    <w:p>
      <w:pPr>
        <w:pStyle w:val="1034"/>
        <w:ind w:firstLine="48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八、其他要求：见《竞争性磋商文件》附件：《</w:t>
      </w:r>
      <w:r>
        <w:rPr>
          <w:rFonts w:hint="eastAsia" w:ascii="宋体" w:hAnsi="宋体" w:eastAsia="宋体" w:cs="宋体"/>
          <w:b/>
          <w:color w:val="auto"/>
          <w:sz w:val="24"/>
          <w:szCs w:val="24"/>
          <w:highlight w:val="none"/>
          <w:lang w:val="en-US" w:eastAsia="zh-CN"/>
        </w:rPr>
        <w:t xml:space="preserve">拟签订的合同文本</w:t>
      </w:r>
      <w:r>
        <w:rPr>
          <w:rFonts w:hint="eastAsia" w:ascii="宋体" w:hAnsi="宋体" w:cs="宋体"/>
          <w:b/>
          <w:color w:val="auto"/>
          <w:sz w:val="24"/>
          <w:szCs w:val="24"/>
          <w:highlight w:val="none"/>
          <w:lang w:val="en-US" w:eastAsia="zh-CN"/>
        </w:rPr>
        <w:t xml:space="preserve">（合同草案条款）</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76"/>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0"/>
          <w:szCs w:val="30"/>
          <w:highlight w:val="none"/>
          <w:lang w:val="en-US" w:eastAsia="zh-CN"/>
        </w:rPr>
        <w:t xml:space="preserve">3、磋商报价表</w:t>
      </w:r>
      <w:r/>
    </w:p>
    <w:p>
      <w:pPr>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JSZC-320312-DJZX-C2026-0005</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985"/>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1031"/>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项目名称</w:t>
            </w:r>
            <w:r/>
          </w:p>
        </w:tc>
        <w:tc>
          <w:tcPr>
            <w:tcW w:w="1919" w:type="dxa"/>
            <w:vAlign w:val="center"/>
            <w:textDirection w:val="lrTb"/>
            <w:noWrap w:val="false"/>
          </w:tcPr>
          <w:p>
            <w:pPr>
              <w:pStyle w:val="1031"/>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项目内容</w:t>
            </w:r>
            <w:r/>
          </w:p>
        </w:tc>
        <w:tc>
          <w:tcPr>
            <w:tcW w:w="1667" w:type="dxa"/>
            <w:vAlign w:val="center"/>
            <w:textDirection w:val="lrTb"/>
            <w:noWrap w:val="false"/>
          </w:tcPr>
          <w:p>
            <w:pPr>
              <w:pStyle w:val="1031"/>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总价</w:t>
            </w:r>
            <w:r/>
          </w:p>
          <w:p>
            <w:pPr>
              <w:pStyle w:val="1031"/>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（小写）</w:t>
            </w:r>
            <w:r/>
          </w:p>
        </w:tc>
        <w:tc>
          <w:tcPr>
            <w:tcW w:w="1775" w:type="dxa"/>
            <w:vAlign w:val="center"/>
            <w:textDirection w:val="lrTb"/>
            <w:noWrap w:val="false"/>
          </w:tcPr>
          <w:p>
            <w:pPr>
              <w:pStyle w:val="1031"/>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工期</w:t>
            </w:r>
            <w:r/>
          </w:p>
          <w:p>
            <w:pPr>
              <w:pStyle w:val="1031"/>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（日历天）</w:t>
            </w:r>
            <w:r/>
          </w:p>
        </w:tc>
        <w:tc>
          <w:tcPr>
            <w:tcW w:w="1625" w:type="dxa"/>
            <w:vAlign w:val="center"/>
            <w:textDirection w:val="lrTb"/>
            <w:noWrap w:val="false"/>
          </w:tcPr>
          <w:p>
            <w:pPr>
              <w:jc w:val="center"/>
              <w:pageBreakBefore w:val="0"/>
              <w:spacing w:line="360" w:lineRule="auto"/>
              <w:widowControl/>
              <w:rPr>
                <w:rStyle w:val="1231"/>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1554"/>
        </w:trPr>
        <w:tc>
          <w:tcPr>
            <w:tcW w:w="2092" w:type="dxa"/>
            <w:vAlign w:val="center"/>
            <w:textDirection w:val="lrTb"/>
            <w:noWrap w:val="false"/>
          </w:tcPr>
          <w:p>
            <w:pPr>
              <w:pStyle w:val="1031"/>
              <w:jc w:val="center"/>
              <w:pageBreakBefore w:val="0"/>
              <w:spacing w:line="360" w:lineRule="auto"/>
              <w:widowControl w:val="off"/>
              <w:rPr>
                <w:rStyle w:val="1231"/>
                <w:rFonts w:hint="eastAsia" w:ascii="宋体" w:hAnsi="宋体" w:eastAsia="宋体" w:cs="宋体"/>
                <w:color w:val="auto"/>
                <w:sz w:val="24"/>
                <w:szCs w:val="24"/>
                <w:highlight w:val="none"/>
                <w:lang w:eastAsia="zh-CN"/>
              </w:rPr>
            </w:pPr>
            <w:r>
              <w:rPr>
                <w:rStyle w:val="1231"/>
                <w:rFonts w:hint="eastAsia" w:ascii="宋体" w:hAnsi="宋体" w:cs="宋体"/>
                <w:color w:val="auto"/>
                <w:sz w:val="24"/>
                <w:szCs w:val="24"/>
                <w:highlight w:val="none"/>
                <w:lang w:eastAsia="zh-CN"/>
              </w:rPr>
              <w:t xml:space="preserve">徐州高新区交通安全设施提升改造工程</w:t>
            </w:r>
            <w:r/>
          </w:p>
        </w:tc>
        <w:tc>
          <w:tcPr>
            <w:tcW w:w="1919" w:type="dxa"/>
            <w:vAlign w:val="center"/>
            <w:textDirection w:val="lrTb"/>
            <w:noWrap w:val="false"/>
          </w:tcPr>
          <w:p>
            <w:pPr>
              <w:pStyle w:val="1031"/>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详见响应文件</w:t>
            </w:r>
            <w:r/>
          </w:p>
        </w:tc>
        <w:tc>
          <w:tcPr>
            <w:tcW w:w="1667" w:type="dxa"/>
            <w:vAlign w:val="center"/>
            <w:textDirection w:val="lrTb"/>
            <w:noWrap w:val="false"/>
          </w:tcPr>
          <w:p>
            <w:pPr>
              <w:pStyle w:val="1031"/>
              <w:jc w:val="center"/>
              <w:pageBreakBefore w:val="0"/>
              <w:spacing w:line="360" w:lineRule="auto"/>
              <w:widowControl w:val="off"/>
              <w:rPr>
                <w:rStyle w:val="123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5" w:type="dxa"/>
            <w:vAlign w:val="center"/>
            <w:textDirection w:val="lrTb"/>
            <w:noWrap w:val="false"/>
          </w:tcPr>
          <w:p>
            <w:pPr>
              <w:pStyle w:val="1031"/>
              <w:jc w:val="center"/>
              <w:pageBreakBefore w:val="0"/>
              <w:spacing w:line="360" w:lineRule="auto"/>
              <w:widowControl w:val="off"/>
              <w:rPr>
                <w:rStyle w:val="123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5" w:type="dxa"/>
            <w:vAlign w:val="center"/>
            <w:vMerge w:val="restart"/>
            <w:textDirection w:val="lrTb"/>
            <w:noWrap w:val="false"/>
          </w:tcPr>
          <w:p>
            <w:pPr>
              <w:jc w:val="center"/>
              <w:pageBreakBefore w:val="0"/>
              <w:spacing w:line="360" w:lineRule="auto"/>
              <w:widowControl/>
              <w:rPr>
                <w:rStyle w:val="1231"/>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报价为《工程量报价清单》的总价</w:t>
            </w:r>
            <w:r/>
          </w:p>
        </w:tc>
      </w:tr>
      <w:tr>
        <w:trPr>
          <w:trHeight w:val="1974"/>
        </w:trPr>
        <w:tc>
          <w:tcPr>
            <w:tcW w:w="2092" w:type="dxa"/>
            <w:vAlign w:val="center"/>
            <w:textDirection w:val="lrTb"/>
            <w:noWrap w:val="false"/>
          </w:tcPr>
          <w:p>
            <w:pPr>
              <w:pStyle w:val="1031"/>
              <w:jc w:val="center"/>
              <w:pageBreakBefore w:val="0"/>
              <w:spacing w:line="360" w:lineRule="auto"/>
              <w:widowControl w:val="off"/>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总价（大写）：</w:t>
            </w:r>
            <w:r/>
          </w:p>
        </w:tc>
        <w:tc>
          <w:tcPr>
            <w:gridSpan w:val="3"/>
            <w:tcW w:w="5361" w:type="dxa"/>
            <w:vAlign w:val="center"/>
            <w:textDirection w:val="lrTb"/>
            <w:noWrap w:val="false"/>
          </w:tcPr>
          <w:p>
            <w:pPr>
              <w:pStyle w:val="1031"/>
              <w:jc w:val="center"/>
              <w:pageBreakBefore w:val="0"/>
              <w:spacing w:line="360" w:lineRule="auto"/>
              <w:widowControl w:val="off"/>
              <w:rPr>
                <w:rStyle w:val="123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5" w:type="dxa"/>
            <w:vAlign w:val="center"/>
            <w:vMerge w:val="continue"/>
            <w:textDirection w:val="lrTb"/>
            <w:noWrap w:val="false"/>
          </w:tcPr>
          <w:p>
            <w:pPr>
              <w:jc w:val="center"/>
              <w:pageBreakBefore w:val="0"/>
              <w:spacing w:line="360" w:lineRule="auto"/>
              <w:widowControl/>
              <w:rPr>
                <w:rStyle w:val="1231"/>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供应商承诺：本报价（总价）为供应商本企业提供的服务。</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1、报价应包括磋商文件所确定的招标范围内工程量清单所含的全部内容，以及为完成上述内容所需的全部费用。采购人不再支付报价以外的任何费用。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2、报价以总价为准，大小写不一致以大写为准；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3、偏离说明：详见《偏离表》；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4、如最后报价未列明单价，则最后所报各项单价计算方法为：（最后报价/最初报价）* 各项最初报价的单价。</w:t>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供应商（电子签章）：</w:t>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或授权代表（签字或盖章）：  </w:t>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76"/>
        <w:ind w:firstLine="0"/>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30"/>
          <w:szCs w:val="30"/>
          <w:highlight w:val="none"/>
          <w:lang w:val="en-US" w:eastAsia="zh-CN"/>
        </w:rPr>
        <w:t xml:space="preserve">4、</w:t>
      </w:r>
      <w:bookmarkStart w:id="1" w:name="_Hlk81985238"/>
      <w:r>
        <w:rPr>
          <w:rFonts w:hint="eastAsia" w:ascii="宋体" w:hAnsi="宋体" w:eastAsia="宋体" w:cs="宋体"/>
          <w:b/>
          <w:color w:val="auto"/>
          <w:sz w:val="30"/>
          <w:szCs w:val="30"/>
          <w:highlight w:val="none"/>
          <w:lang w:val="en-US" w:eastAsia="zh-CN"/>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（具有标价的工程量清单与报价表）</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JSZC-320312-DJZX-C2026-0005</w:t>
      </w:r>
      <w:r/>
    </w:p>
    <w:p>
      <w:pP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徐州高新区交通安全设施提升改造工程</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ind w:lef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【根据《工程量清单》进行编制】</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2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供应商（电子签章）：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或授权代表（签字或盖章）：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w:t>
      </w:r>
      <w:r>
        <w:rPr>
          <w:rFonts w:hint="eastAsia" w:ascii="宋体" w:hAnsi="宋体" w:eastAsia="宋体" w:cs="宋体"/>
          <w:b/>
          <w:color w:val="auto"/>
          <w:sz w:val="24"/>
          <w:szCs w:val="24"/>
          <w:highlight w:val="none"/>
        </w:rPr>
        <w:t xml:space="preserve">如果不提供《分项价格表》将视为没有实质性响应。</w:t>
      </w:r>
      <w:r/>
    </w:p>
    <w:p>
      <w:pPr>
        <w:numPr>
          <w:ilvl w:val="0"/>
          <w:numId w:val="3"/>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响应供应商对以上数据的真实性负责。</w:t>
      </w:r>
      <w:bookmarkEnd w:id="1"/>
      <w:r/>
      <w:r/>
    </w:p>
    <w:p>
      <w:pPr>
        <w:numPr>
          <w:ilvl w:val="0"/>
          <w:numId w:val="3"/>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如果按单价计算的结果与总价不一致，以总价为准。</w:t>
      </w:r>
      <w:r/>
    </w:p>
    <w:p>
      <w:pPr>
        <w:ind w:firstLine="482"/>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采购人或采购代理机构有权将以上内容进行公示。</w:t>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76"/>
        <w:ind w:firstLine="0"/>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30"/>
          <w:szCs w:val="30"/>
          <w:highlight w:val="none"/>
          <w:lang w:val="en-US" w:eastAsia="zh-CN"/>
        </w:rPr>
        <w:t xml:space="preserve">5、</w:t>
      </w:r>
      <w:bookmarkStart w:id="2" w:name="_Hlk81985343"/>
      <w:r>
        <w:rPr>
          <w:rFonts w:hint="eastAsia" w:ascii="宋体" w:hAnsi="宋体" w:eastAsia="宋体" w:cs="宋体"/>
          <w:b/>
          <w:color w:val="auto"/>
          <w:sz w:val="30"/>
          <w:szCs w:val="30"/>
          <w:highlight w:val="none"/>
          <w:lang w:val="en-US" w:eastAsia="zh-CN"/>
        </w:rPr>
        <w:t xml:space="preserve">偏离表</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项目编号：JSZC-320312-DJZX-C2026-0005</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项目名称：徐州高新区交通安全设施提升改造工程</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W w:w="74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W w:w="3685"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竞争性磋商文件（含竞争性磋商文件的澄清或者修改）的要求</w:t>
            </w:r>
            <w:r/>
          </w:p>
        </w:tc>
        <w:tc>
          <w:tcPr>
            <w:tcW w:w="1515"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W w:w="1230" w:type="dxa"/>
            <w:vAlign w:val="center"/>
            <w:textDirection w:val="lrTb"/>
            <w:noWrap w:val="false"/>
          </w:tcPr>
          <w:p>
            <w:pP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W w:w="77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jc w:val="center"/>
          <w:trHeight w:val="794"/>
        </w:trPr>
        <w:tc>
          <w:tcPr>
            <w:tcW w:w="7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74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3685"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1515"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123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77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firstLine="52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或授权代表（签字或盖章）： </w:t>
      </w:r>
      <w:r/>
    </w:p>
    <w:p>
      <w:pPr>
        <w:ind w:right="29" w:firstLine="67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End w:id="2"/>
      <w:r/>
      <w:r/>
    </w:p>
    <w:p>
      <w:pPr>
        <w:pStyle w:val="99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right="29"/>
        <w:jc w:val="both"/>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76"/>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0"/>
          <w:szCs w:val="30"/>
          <w:highlight w:val="none"/>
          <w:lang w:val="en-US" w:eastAsia="zh-CN"/>
        </w:rPr>
        <w:t xml:space="preserve">6、</w:t>
      </w:r>
      <w:bookmarkStart w:id="3" w:name="_Hlk199863876"/>
      <w:r>
        <w:rPr>
          <w:rFonts w:hint="eastAsia" w:ascii="宋体" w:hAnsi="宋体" w:eastAsia="宋体" w:cs="宋体"/>
          <w:b/>
          <w:color w:val="auto"/>
          <w:sz w:val="30"/>
          <w:szCs w:val="30"/>
          <w:highlight w:val="none"/>
          <w:lang w:val="en-US" w:eastAsia="zh-CN"/>
        </w:rPr>
        <w:t xml:space="preserve">主要材料（设备）一览表</w:t>
      </w:r>
      <w:bookmarkEnd w:id="3"/>
      <w:r/>
      <w:r/>
    </w:p>
    <w:p>
      <w:pPr>
        <w:numPr>
          <w:ilvl w:val="0"/>
          <w:numId w:val="0"/>
        </w:numPr>
        <w:ind w:right="29"/>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项目编号：JSZC-320312-DJZX-C2026-0005</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eastAsia="zh-CN"/>
        </w:rPr>
        <w:t xml:space="preserve">项目名称：徐州高新区交通安全设施提升改造工程</w:t>
      </w:r>
      <w:r/>
    </w:p>
    <w:tbl>
      <w:tblPr>
        <w:tblStyle w:val="985"/>
        <w:tblW w:w="4917" w:type="pct"/>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27"/>
        <w:gridCol w:w="1056"/>
        <w:gridCol w:w="1945"/>
        <w:gridCol w:w="893"/>
        <w:gridCol w:w="1348"/>
        <w:gridCol w:w="2003"/>
        <w:gridCol w:w="756"/>
        <w:gridCol w:w="725"/>
      </w:tblGrid>
      <w:tr>
        <w:trPr>
          <w:trHeight w:val="1493"/>
        </w:trPr>
        <w:tc>
          <w:tcPr>
            <w:tcMar>
              <w:left w:w="15" w:type="dxa"/>
              <w:top w:w="15" w:type="dxa"/>
              <w:right w:w="15" w:type="dxa"/>
              <w:bottom w:w="0" w:type="dxa"/>
            </w:tcMar>
            <w:tcW w:w="335"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Mar>
              <w:left w:w="15" w:type="dxa"/>
              <w:top w:w="15" w:type="dxa"/>
              <w:right w:w="15" w:type="dxa"/>
              <w:bottom w:w="0" w:type="dxa"/>
            </w:tcMar>
            <w:tcW w:w="564"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材料编码</w:t>
            </w:r>
            <w:r/>
          </w:p>
        </w:tc>
        <w:tc>
          <w:tcPr>
            <w:tcMar>
              <w:left w:w="15" w:type="dxa"/>
              <w:top w:w="15" w:type="dxa"/>
              <w:right w:w="15" w:type="dxa"/>
              <w:bottom w:w="0" w:type="dxa"/>
            </w:tcMar>
            <w:tcW w:w="1039"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材料（设备）名称</w:t>
            </w:r>
            <w:r/>
          </w:p>
        </w:tc>
        <w:tc>
          <w:tcPr>
            <w:tcMar>
              <w:left w:w="15" w:type="dxa"/>
              <w:top w:w="15" w:type="dxa"/>
              <w:right w:w="15" w:type="dxa"/>
              <w:bottom w:w="0" w:type="dxa"/>
            </w:tcMar>
            <w:tcW w:w="477"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品牌</w:t>
            </w:r>
            <w:r/>
          </w:p>
        </w:tc>
        <w:tc>
          <w:tcPr>
            <w:tcMar>
              <w:left w:w="15" w:type="dxa"/>
              <w:top w:w="15" w:type="dxa"/>
              <w:right w:w="15" w:type="dxa"/>
              <w:bottom w:w="0" w:type="dxa"/>
            </w:tcMar>
            <w:tcW w:w="720"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规格、型号</w:t>
            </w:r>
            <w:r/>
          </w:p>
        </w:tc>
        <w:tc>
          <w:tcPr>
            <w:tcMar>
              <w:left w:w="15" w:type="dxa"/>
              <w:top w:w="15" w:type="dxa"/>
              <w:right w:w="15" w:type="dxa"/>
              <w:bottom w:w="0" w:type="dxa"/>
            </w:tcMar>
            <w:tcW w:w="1070"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产品制造企业名称</w:t>
            </w:r>
            <w:r/>
          </w:p>
        </w:tc>
        <w:tc>
          <w:tcPr>
            <w:tcMar>
              <w:left w:w="15" w:type="dxa"/>
              <w:top w:w="15" w:type="dxa"/>
              <w:right w:w="15" w:type="dxa"/>
              <w:bottom w:w="0" w:type="dxa"/>
            </w:tcMar>
            <w:tcW w:w="404"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w:t>
            </w:r>
            <w:r/>
          </w:p>
        </w:tc>
        <w:tc>
          <w:tcPr>
            <w:tcMar>
              <w:left w:w="15" w:type="dxa"/>
              <w:top w:w="15" w:type="dxa"/>
              <w:right w:w="15" w:type="dxa"/>
              <w:bottom w:w="0" w:type="dxa"/>
            </w:tcMar>
            <w:tcW w:w="387" w:type="pct"/>
            <w:vAlign w:val="center"/>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trHeight w:val="757"/>
        </w:trPr>
        <w:tc>
          <w:tcPr>
            <w:tcMar>
              <w:left w:w="15" w:type="dxa"/>
              <w:top w:w="15" w:type="dxa"/>
              <w:right w:w="15" w:type="dxa"/>
              <w:bottom w:w="0" w:type="dxa"/>
            </w:tcMar>
            <w:tcW w:w="335" w:type="pct"/>
            <w:vAlign w:val="bottom"/>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Mar>
              <w:left w:w="15" w:type="dxa"/>
              <w:top w:w="15" w:type="dxa"/>
              <w:right w:w="15" w:type="dxa"/>
              <w:bottom w:w="0" w:type="dxa"/>
            </w:tcMar>
            <w:tcW w:w="56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Mar>
              <w:left w:w="15" w:type="dxa"/>
              <w:top w:w="15" w:type="dxa"/>
              <w:right w:w="15" w:type="dxa"/>
              <w:bottom w:w="0" w:type="dxa"/>
            </w:tcMar>
            <w:tcW w:w="56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Mar>
              <w:left w:w="15" w:type="dxa"/>
              <w:top w:w="15" w:type="dxa"/>
              <w:right w:w="15" w:type="dxa"/>
              <w:bottom w:w="0" w:type="dxa"/>
            </w:tcMar>
            <w:tcW w:w="56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Mar>
              <w:left w:w="15" w:type="dxa"/>
              <w:top w:w="15" w:type="dxa"/>
              <w:right w:w="15" w:type="dxa"/>
              <w:bottom w:w="0" w:type="dxa"/>
            </w:tcMar>
            <w:tcW w:w="56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Mar>
              <w:left w:w="15" w:type="dxa"/>
              <w:top w:w="15" w:type="dxa"/>
              <w:right w:w="15" w:type="dxa"/>
              <w:bottom w:w="0" w:type="dxa"/>
            </w:tcMar>
            <w:tcW w:w="56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72"/>
        </w:trPr>
        <w:tc>
          <w:tcPr>
            <w:tcMar>
              <w:left w:w="15" w:type="dxa"/>
              <w:top w:w="15" w:type="dxa"/>
              <w:right w:w="15" w:type="dxa"/>
              <w:bottom w:w="0" w:type="dxa"/>
            </w:tcMar>
            <w:tcW w:w="335" w:type="pct"/>
            <w:vAlign w:val="bottom"/>
            <w:textDirection w:val="lrTb"/>
            <w:noWrap w:val="false"/>
          </w:tcPr>
          <w:p>
            <w:pPr>
              <w:pStyle w:val="1033"/>
              <w:ind w:left="0" w:firstLine="0"/>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Mar>
              <w:left w:w="15" w:type="dxa"/>
              <w:top w:w="15" w:type="dxa"/>
              <w:right w:w="15" w:type="dxa"/>
              <w:bottom w:w="0" w:type="dxa"/>
            </w:tcMar>
            <w:tcW w:w="56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39"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77"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720"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1070" w:type="pct"/>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404"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Mar>
              <w:left w:w="15" w:type="dxa"/>
              <w:top w:w="15" w:type="dxa"/>
              <w:right w:w="15" w:type="dxa"/>
              <w:bottom w:w="0" w:type="dxa"/>
            </w:tcMar>
            <w:tcW w:w="387" w:type="pct"/>
            <w:vAlign w:val="bottom"/>
            <w:textDirection w:val="lrTb"/>
            <w:noWrap w:val="false"/>
          </w:tcPr>
          <w:p>
            <w:pPr>
              <w:pStyle w:val="1033"/>
              <w:jc w:val="center"/>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bl>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供应商（电子签章）：</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法定代表人（负责人）或授权代表（签字或盖章）：  </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日期：  年  月  日</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注：1、如果不提供《主要材料（设备）一览表》将视为没有实质性响应。</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2、响应供应商对以上数据的真实性负责。</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eastAsia="zh-CN"/>
        </w:rPr>
        <w:t xml:space="preserve">采购人或采购代理机构有权将以上内容进行公示。</w:t>
      </w:r>
      <w:r/>
    </w:p>
    <w:p>
      <w:pPr>
        <w:pStyle w:val="1033"/>
        <w:pageBreakBefore w:val="0"/>
        <w:spacing w:before="0" w:after="0" w:line="360" w:lineRule="auto"/>
        <w:rPr>
          <w:rFonts w:hint="eastAsia" w:ascii="宋体" w:hAnsi="宋体" w:eastAsia="宋体" w:cs="宋体"/>
          <w:b w:val="0"/>
          <w:bCs w:val="0"/>
          <w:color w:val="auto"/>
          <w:sz w:val="24"/>
          <w:szCs w:val="24"/>
          <w:highlight w:val="none"/>
        </w:rPr>
        <w:sectPr>
          <w:headerReference w:type="default" r:id="rId11"/>
          <w:footerReference w:type="default" r:id="rId15"/>
          <w:footerReference w:type="first" r:id="rId16"/>
          <w:footnotePr/>
          <w:endnotePr/>
          <w:type w:val="nextPage"/>
          <w:pgSz w:w="11906" w:h="16838" w:orient="portrait"/>
          <w:pgMar w:top="1440" w:right="1080" w:bottom="1440" w:left="1300" w:header="851" w:footer="992" w:gutter="0"/>
          <w:pgNumType w:start="1"/>
          <w:cols w:num="1" w:sep="0" w:space="1701" w:equalWidth="1"/>
          <w:docGrid w:linePitch="360"/>
        </w:sectPr>
      </w:pPr>
      <w:r>
        <w:rPr>
          <w:rFonts w:hint="eastAsia" w:ascii="宋体" w:hAnsi="宋体" w:eastAsia="宋体" w:cs="宋体"/>
          <w:b w:val="0"/>
          <w:bCs w:val="0"/>
          <w:color w:val="auto"/>
          <w:sz w:val="24"/>
          <w:szCs w:val="24"/>
          <w:highlight w:val="none"/>
        </w:rPr>
      </w:r>
      <w:r/>
    </w:p>
    <w:p>
      <w:pPr>
        <w:pStyle w:val="976"/>
        <w:ind w:firstLine="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30"/>
          <w:szCs w:val="30"/>
          <w:highlight w:val="none"/>
          <w:lang w:val="en-US" w:eastAsia="zh-CN"/>
        </w:rPr>
        <w:t xml:space="preserve">7、</w:t>
      </w:r>
      <w:bookmarkStart w:id="4" w:name="_Hlk199863890"/>
      <w:r>
        <w:rPr>
          <w:rFonts w:hint="eastAsia" w:ascii="宋体" w:hAnsi="宋体" w:eastAsia="宋体" w:cs="宋体"/>
          <w:b/>
          <w:color w:val="auto"/>
          <w:sz w:val="30"/>
          <w:szCs w:val="30"/>
          <w:highlight w:val="none"/>
          <w:lang w:val="en-US" w:eastAsia="zh-CN"/>
        </w:rPr>
        <w:t xml:space="preserve">承包人主要施工管理人员表</w:t>
      </w:r>
      <w:bookmarkEnd w:id="4"/>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项目编号：JSZC-320312-DJZX-C2026-0005</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eastAsia="zh-CN"/>
        </w:rPr>
        <w:t xml:space="preserve">项目名称：徐州高新区交通安全设施提升改造工程</w:t>
      </w:r>
      <w:r/>
    </w:p>
    <w:tbl>
      <w:tblPr>
        <w:tblStyle w:val="1017"/>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3"/>
        <w:gridCol w:w="1659"/>
        <w:gridCol w:w="1659"/>
        <w:gridCol w:w="1659"/>
        <w:gridCol w:w="2077"/>
      </w:tblGrid>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Height w:val="624"/>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0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0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供应商（电子签章）：</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法定代表人（负责人）或授权代表（签字或盖章）：  </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日期：  年  月  日</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注：1、如果不提供此表将视为没有实质性响应。</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eastAsia="zh-CN"/>
        </w:rPr>
        <w:t xml:space="preserve">响应供应商对以上数据的真实性负责。采购人或采购代理机构有权将以上内容进行公示。</w:t>
      </w:r>
      <w:r/>
    </w:p>
    <w:p>
      <w:pPr>
        <w:pStyle w:val="990"/>
        <w:ind w:left="0" w:right="0"/>
        <w:jc w:val="center"/>
        <w:keepLines w:val="0"/>
        <w:keepNext w:val="0"/>
        <w:pageBreakBefore w:val="0"/>
        <w:spacing w:line="360" w:lineRule="auto"/>
        <w:widowControl w:val="off"/>
        <w:rPr>
          <w:rFonts w:hint="eastAsia" w:ascii="宋体" w:hAnsi="宋体" w:eastAsia="宋体" w:cs="宋体"/>
          <w:color w:val="auto"/>
          <w:spacing w:val="0"/>
          <w:position w:val="0"/>
          <w:highlight w:val="none"/>
        </w:rPr>
      </w:pPr>
      <w:r>
        <w:rPr>
          <w:rFonts w:hint="eastAsia" w:ascii="宋体" w:hAnsi="宋体" w:eastAsia="宋体" w:cs="宋体"/>
          <w:b/>
          <w:color w:val="auto"/>
          <w:sz w:val="24"/>
          <w:szCs w:val="24"/>
          <w:highlight w:val="none"/>
        </w:rPr>
        <w:br w:type="page" w:clear="all"/>
      </w:r>
      <w:bookmarkStart w:id="5" w:name="_Toc65317831"/>
      <w:r/>
      <w:r/>
    </w:p>
    <w:p>
      <w:pPr>
        <w:pStyle w:val="976"/>
        <w:jc w:val="center"/>
        <w:rPr>
          <w:color w:val="auto"/>
          <w:sz w:val="30"/>
          <w:szCs w:val="30"/>
          <w:highlight w:val="none"/>
        </w:rPr>
      </w:pPr>
      <w:r>
        <w:rPr>
          <w:rFonts w:hint="eastAsia"/>
          <w:b/>
          <w:bCs w:val="0"/>
          <w:color w:val="auto"/>
          <w:sz w:val="30"/>
          <w:szCs w:val="30"/>
          <w:highlight w:val="none"/>
          <w:lang w:val="en-US" w:eastAsia="zh-CN"/>
        </w:rPr>
        <w:t xml:space="preserve">8、拟签订的合同文本（合同草案条款）</w:t>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1240"/>
        <w:jc w:val="center"/>
        <w:rPr>
          <w:rFonts w:ascii="宋体" w:hAnsi="宋体" w:cs="宋体"/>
          <w:b/>
          <w:color w:val="auto"/>
          <w:sz w:val="72"/>
          <w:szCs w:val="52"/>
          <w:highlight w:val="none"/>
        </w:rPr>
      </w:pPr>
      <w:r>
        <w:rPr>
          <w:rFonts w:hint="eastAsia" w:ascii="宋体" w:hAnsi="宋体" w:cs="宋体"/>
          <w:b/>
          <w:color w:val="auto"/>
          <w:sz w:val="72"/>
          <w:szCs w:val="52"/>
          <w:highlight w:val="none"/>
        </w:rPr>
        <w:t xml:space="preserve">建设工程施工合同</w:t>
      </w:r>
      <w:r/>
    </w:p>
    <w:p>
      <w:pPr>
        <w:pStyle w:val="1240"/>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pStyle w:val="1240"/>
        <w:jc w:val="center"/>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（GF—2017—0201）</w:t>
      </w:r>
      <w:r/>
    </w:p>
    <w:p>
      <w:pPr>
        <w:ind w:left="0" w:right="0"/>
        <w:jc w:val="center"/>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sectPr>
          <w:footerReference w:type="default" r:id="rId17"/>
          <w:footerReference w:type="first" r:id="rId18"/>
          <w:footnotePr/>
          <w:endnotePr/>
          <w:type w:val="nextPage"/>
          <w:pgSz w:w="11905" w:h="16839" w:orient="portrait"/>
          <w:pgMar w:top="1440" w:right="1559" w:bottom="1440" w:left="1559" w:header="0" w:footer="762" w:gutter="0"/>
          <w:pgNumType w:start="28"/>
          <w:cols w:num="1" w:sep="0" w:space="0" w:equalWidth="1"/>
          <w:docGrid w:linePitch="360"/>
        </w:sectPr>
      </w:pPr>
      <w:r>
        <w:rPr>
          <w:rFonts w:hint="eastAsia" w:ascii="宋体" w:hAnsi="宋体" w:eastAsia="宋体" w:cs="宋体"/>
          <w:color w:val="auto"/>
          <w:spacing w:val="0"/>
          <w:position w:val="0"/>
          <w:sz w:val="24"/>
          <w:szCs w:val="24"/>
          <w:highlight w:val="none"/>
        </w:rPr>
      </w:r>
      <w:bookmarkEnd w:id="5"/>
      <w:r/>
      <w:r/>
    </w:p>
    <w:p>
      <w:pPr>
        <w:pStyle w:val="977"/>
        <w:jc w:val="center"/>
        <w:rPr>
          <w:color w:val="auto"/>
          <w:highlight w:val="none"/>
        </w:rPr>
      </w:pPr>
      <w:r/>
      <w:bookmarkStart w:id="6" w:name="_Toc526760851"/>
      <w:r>
        <w:rPr>
          <w:rFonts w:hint="eastAsia"/>
          <w:color w:val="auto"/>
          <w:highlight w:val="none"/>
        </w:rPr>
        <w:t xml:space="preserve">第一部分 合同协议书</w:t>
      </w:r>
      <w:bookmarkEnd w:id="6"/>
      <w:r/>
      <w:r/>
    </w:p>
    <w:p>
      <w:pPr>
        <w:pStyle w:val="1034"/>
        <w:tabs>
          <w:tab w:val="left" w:pos="7836" w:leader="none"/>
        </w:tabs>
        <w:rPr>
          <w:rFonts w:ascii="仿宋" w:hAnsi="仿宋" w:eastAsia="仿宋" w:cs="仿宋"/>
          <w:b/>
          <w:color w:val="auto"/>
          <w:highlight w:val="none"/>
          <w:u w:val="single"/>
        </w:rPr>
      </w:pPr>
      <w:r>
        <w:rPr>
          <w:rFonts w:hint="eastAsia" w:ascii="仿宋" w:hAnsi="仿宋" w:eastAsia="仿宋" w:cs="仿宋"/>
          <w:b/>
          <w:color w:val="auto"/>
          <w:highlight w:val="none"/>
        </w:rPr>
        <w:t xml:space="preserve">发包人（全称）：</w:t>
      </w:r>
      <w:r>
        <w:rPr>
          <w:rFonts w:hint="eastAsia" w:ascii="仿宋" w:hAnsi="仿宋" w:eastAsia="仿宋" w:cs="仿宋"/>
          <w:b/>
          <w:color w:val="auto"/>
          <w:highlight w:val="none"/>
          <w:u w:val="single"/>
        </w:rPr>
        <w:t xml:space="preserve">徐州高新技术产业开发区公共事业管理服务中心</w:t>
      </w:r>
      <w:r>
        <w:rPr>
          <w:rFonts w:hint="eastAsia" w:ascii="仿宋" w:hAnsi="仿宋" w:eastAsia="仿宋" w:cs="仿宋"/>
          <w:bCs/>
          <w:color w:val="auto"/>
          <w:highlight w:val="none"/>
        </w:rPr>
        <w:tab/>
      </w:r>
      <w:r/>
    </w:p>
    <w:p>
      <w:pPr>
        <w:pStyle w:val="1034"/>
        <w:rPr>
          <w:rFonts w:ascii="仿宋" w:hAnsi="仿宋" w:eastAsia="仿宋" w:cs="仿宋"/>
          <w:b/>
          <w:color w:val="auto"/>
          <w:highlight w:val="none"/>
          <w:u w:val="single"/>
        </w:rPr>
      </w:pPr>
      <w:r>
        <w:rPr>
          <w:rFonts w:hint="eastAsia" w:ascii="仿宋" w:hAnsi="仿宋" w:eastAsia="仿宋" w:cs="仿宋"/>
          <w:b/>
          <w:color w:val="auto"/>
          <w:highlight w:val="none"/>
        </w:rPr>
        <w:t xml:space="preserve">承包人（全称）：</w:t>
      </w:r>
      <w:r>
        <w:rPr>
          <w:rFonts w:hint="eastAsia" w:ascii="仿宋" w:hAnsi="仿宋" w:eastAsia="仿宋" w:cs="仿宋"/>
          <w:b/>
          <w:color w:val="auto"/>
          <w:highlight w:val="none"/>
          <w:u w:val="single"/>
        </w:rPr>
        <w:t xml:space="preserve">                 </w:t>
      </w:r>
      <w:r>
        <w:rPr>
          <w:rFonts w:hint="eastAsia" w:ascii="仿宋" w:hAnsi="仿宋" w:eastAsia="仿宋" w:cs="仿宋"/>
          <w:b/>
          <w:color w:val="auto"/>
          <w:highlight w:val="none"/>
          <w:u w:val="single"/>
          <w:lang w:val="en-US" w:eastAsia="zh-CN"/>
        </w:rPr>
        <w:t xml:space="preserve">                         </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根据《中华人民共和国民法典》及有关法律规定，遵循平等、自愿、公平和诚实信用的原则，双方就</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b/>
          <w:bCs/>
          <w:color w:val="auto"/>
          <w:highlight w:val="none"/>
          <w:u w:val="single"/>
          <w:lang w:val="en-US" w:eastAsia="zh-CN"/>
        </w:rPr>
        <w:t xml:space="preserve">徐州高新区交通安全设施提升改造工程</w:t>
      </w:r>
      <w:r>
        <w:rPr>
          <w:rFonts w:hint="eastAsia" w:ascii="仿宋" w:hAnsi="仿宋" w:eastAsia="仿宋" w:cs="仿宋"/>
          <w:b/>
          <w:bCs/>
          <w:color w:val="auto"/>
          <w:highlight w:val="none"/>
          <w:u w:val="single"/>
        </w:rPr>
        <w:t xml:space="preserve"> </w:t>
      </w:r>
      <w:r>
        <w:rPr>
          <w:rFonts w:hint="eastAsia" w:ascii="仿宋" w:hAnsi="仿宋" w:eastAsia="仿宋" w:cs="仿宋"/>
          <w:color w:val="auto"/>
          <w:highlight w:val="none"/>
        </w:rPr>
        <w:t xml:space="preserve">施工及有关事项协商一致，共同达成如下协议：</w:t>
      </w:r>
      <w:r/>
    </w:p>
    <w:p>
      <w:pPr>
        <w:pStyle w:val="978"/>
        <w:rPr>
          <w:rFonts w:hint="eastAsia"/>
          <w:color w:val="auto"/>
          <w:highlight w:val="none"/>
        </w:rPr>
      </w:pPr>
      <w:r/>
      <w:bookmarkStart w:id="7" w:name="_Toc351203481"/>
      <w:r>
        <w:rPr>
          <w:rFonts w:hint="eastAsia"/>
          <w:color w:val="auto"/>
          <w:highlight w:val="none"/>
        </w:rPr>
        <w:t xml:space="preserve">一、工程概况</w:t>
      </w:r>
      <w:bookmarkEnd w:id="7"/>
      <w:r/>
      <w:r/>
    </w:p>
    <w:p>
      <w:pPr>
        <w:pStyle w:val="1034"/>
        <w:ind w:firstLine="480"/>
        <w:rPr>
          <w:rFonts w:hint="eastAsia" w:ascii="仿宋" w:hAnsi="仿宋" w:eastAsia="仿宋" w:cs="仿宋"/>
          <w:b/>
          <w:bCs/>
          <w:color w:val="auto"/>
          <w:highlight w:val="none"/>
          <w:u w:val="single"/>
          <w:lang w:val="en-US" w:eastAsia="zh-CN"/>
        </w:rPr>
      </w:pPr>
      <w:r>
        <w:rPr>
          <w:rFonts w:hint="eastAsia" w:ascii="仿宋" w:hAnsi="仿宋" w:eastAsia="仿宋" w:cs="仿宋"/>
          <w:bCs/>
          <w:color w:val="auto"/>
          <w:highlight w:val="none"/>
        </w:rPr>
        <w:t xml:space="preserve">1.工程名称</w:t>
      </w:r>
      <w:r>
        <w:rPr>
          <w:rFonts w:hint="eastAsia" w:ascii="仿宋" w:hAnsi="仿宋" w:eastAsia="仿宋" w:cs="仿宋"/>
          <w:color w:val="auto"/>
          <w:highlight w:val="none"/>
        </w:rPr>
        <w:t xml:space="preserve">：</w:t>
      </w:r>
      <w:r>
        <w:rPr>
          <w:rFonts w:hint="eastAsia" w:ascii="仿宋" w:hAnsi="仿宋" w:eastAsia="仿宋" w:cs="仿宋"/>
          <w:b/>
          <w:bCs/>
          <w:color w:val="auto"/>
          <w:highlight w:val="none"/>
          <w:u w:val="single"/>
          <w:lang w:val="en-US" w:eastAsia="zh-CN"/>
        </w:rPr>
        <w:t xml:space="preserve">徐州高新区交通安全设施提升改造工程</w:t>
      </w:r>
      <w:r/>
    </w:p>
    <w:p>
      <w:pPr>
        <w:pStyle w:val="1034"/>
        <w:ind w:firstLine="480"/>
        <w:rPr>
          <w:rFonts w:hint="eastAsia" w:ascii="仿宋" w:hAnsi="仿宋" w:eastAsia="仿宋" w:cs="仿宋"/>
          <w:b/>
          <w:bCs w:val="0"/>
          <w:color w:val="auto"/>
          <w:highlight w:val="none"/>
          <w:u w:val="single"/>
          <w:lang w:eastAsia="zh-CN"/>
        </w:rPr>
      </w:pPr>
      <w:r>
        <w:rPr>
          <w:rFonts w:hint="eastAsia" w:ascii="仿宋" w:hAnsi="仿宋" w:eastAsia="仿宋" w:cs="仿宋"/>
          <w:bCs/>
          <w:color w:val="auto"/>
          <w:highlight w:val="none"/>
        </w:rPr>
        <w:t xml:space="preserve">2.工程地点：</w:t>
      </w:r>
      <w:r>
        <w:rPr>
          <w:rFonts w:hint="eastAsia" w:ascii="仿宋" w:hAnsi="仿宋" w:eastAsia="仿宋" w:cs="仿宋"/>
          <w:b/>
          <w:bCs w:val="0"/>
          <w:color w:val="auto"/>
          <w:highlight w:val="none"/>
          <w:u w:val="single"/>
        </w:rPr>
        <w:t xml:space="preserve">长安路</w:t>
      </w:r>
      <w:r>
        <w:rPr>
          <w:rFonts w:hint="eastAsia" w:ascii="仿宋" w:hAnsi="仿宋" w:eastAsia="仿宋" w:cs="仿宋"/>
          <w:b/>
          <w:bCs w:val="0"/>
          <w:color w:val="auto"/>
          <w:highlight w:val="none"/>
          <w:u w:val="single"/>
          <w:lang w:eastAsia="zh-CN"/>
        </w:rPr>
        <w:t xml:space="preserve">（</w:t>
      </w:r>
      <w:r>
        <w:rPr>
          <w:rFonts w:hint="eastAsia" w:ascii="仿宋" w:hAnsi="仿宋" w:eastAsia="仿宋" w:cs="仿宋"/>
          <w:b/>
          <w:bCs w:val="0"/>
          <w:color w:val="auto"/>
          <w:highlight w:val="none"/>
          <w:u w:val="single"/>
        </w:rPr>
        <w:t xml:space="preserve">珠江东路至太康路</w:t>
      </w:r>
      <w:r>
        <w:rPr>
          <w:rFonts w:hint="eastAsia" w:ascii="仿宋" w:hAnsi="仿宋" w:eastAsia="仿宋" w:cs="仿宋"/>
          <w:b/>
          <w:bCs w:val="0"/>
          <w:color w:val="auto"/>
          <w:highlight w:val="none"/>
          <w:u w:val="single"/>
          <w:lang w:eastAsia="zh-CN"/>
        </w:rPr>
        <w:t xml:space="preserve">）</w:t>
      </w:r>
      <w:r>
        <w:rPr>
          <w:rFonts w:hint="eastAsia" w:ascii="仿宋" w:hAnsi="仿宋" w:eastAsia="仿宋" w:cs="仿宋"/>
          <w:b/>
          <w:bCs w:val="0"/>
          <w:color w:val="auto"/>
          <w:highlight w:val="none"/>
          <w:u w:val="single"/>
        </w:rPr>
        <w:t xml:space="preserve">、闽江路</w:t>
      </w:r>
      <w:r>
        <w:rPr>
          <w:rFonts w:hint="eastAsia" w:ascii="仿宋" w:hAnsi="仿宋" w:eastAsia="仿宋" w:cs="仿宋"/>
          <w:b/>
          <w:bCs w:val="0"/>
          <w:color w:val="auto"/>
          <w:highlight w:val="none"/>
          <w:u w:val="single"/>
          <w:lang w:eastAsia="zh-CN"/>
        </w:rPr>
        <w:t xml:space="preserve">（</w:t>
      </w:r>
      <w:r>
        <w:rPr>
          <w:rFonts w:hint="eastAsia" w:ascii="仿宋" w:hAnsi="仿宋" w:eastAsia="仿宋" w:cs="仿宋"/>
          <w:b/>
          <w:bCs w:val="0"/>
          <w:color w:val="auto"/>
          <w:highlight w:val="none"/>
          <w:u w:val="single"/>
        </w:rPr>
        <w:t xml:space="preserve">北京南路至银山路</w:t>
      </w:r>
      <w:r>
        <w:rPr>
          <w:rFonts w:hint="eastAsia" w:ascii="仿宋" w:hAnsi="仿宋" w:eastAsia="仿宋" w:cs="仿宋"/>
          <w:b/>
          <w:bCs w:val="0"/>
          <w:color w:val="auto"/>
          <w:highlight w:val="none"/>
          <w:u w:val="single"/>
          <w:lang w:eastAsia="zh-CN"/>
        </w:rPr>
        <w:t xml:space="preserve">）</w:t>
      </w:r>
      <w:r>
        <w:rPr>
          <w:rFonts w:hint="eastAsia" w:ascii="仿宋" w:hAnsi="仿宋" w:eastAsia="仿宋" w:cs="仿宋"/>
          <w:b/>
          <w:bCs w:val="0"/>
          <w:color w:val="auto"/>
          <w:highlight w:val="none"/>
          <w:u w:val="single"/>
        </w:rPr>
        <w:t xml:space="preserve">，闰江路与千禧城规划路交叉口、漓江路与千禧城规划路交叉口。</w:t>
      </w:r>
      <w:r/>
    </w:p>
    <w:p>
      <w:pPr>
        <w:pStyle w:val="1034"/>
        <w:ind w:firstLine="480"/>
        <w:rPr>
          <w:rFonts w:hint="eastAsia" w:ascii="仿宋" w:hAnsi="仿宋" w:eastAsia="仿宋" w:cs="仿宋"/>
          <w:b/>
          <w:bCs w:val="0"/>
          <w:color w:val="auto"/>
          <w:highlight w:val="none"/>
          <w:u w:val="single"/>
          <w:lang w:val="en-US" w:eastAsia="zh-CN"/>
        </w:rPr>
      </w:pPr>
      <w:r>
        <w:rPr>
          <w:rFonts w:hint="eastAsia" w:ascii="仿宋" w:hAnsi="仿宋" w:eastAsia="仿宋" w:cs="仿宋"/>
          <w:b w:val="0"/>
          <w:bCs/>
          <w:color w:val="auto"/>
          <w:highlight w:val="none"/>
          <w:u w:val="none"/>
        </w:rPr>
        <w:t xml:space="preserve">3、工程立项批准文号：</w:t>
      </w:r>
      <w:r>
        <w:rPr>
          <w:rFonts w:hint="eastAsia" w:ascii="仿宋" w:hAnsi="仿宋" w:eastAsia="仿宋" w:cs="仿宋"/>
          <w:b/>
          <w:bCs w:val="0"/>
          <w:color w:val="auto"/>
          <w:highlight w:val="none"/>
          <w:u w:val="single"/>
          <w:lang w:val="en-US" w:eastAsia="zh-CN"/>
        </w:rPr>
        <w:t xml:space="preserve"> 徐高审〔2026〕16号。</w:t>
      </w:r>
      <w:r/>
    </w:p>
    <w:p>
      <w:pPr>
        <w:pStyle w:val="1034"/>
        <w:ind w:firstLine="480"/>
        <w:rPr>
          <w:rFonts w:hint="default" w:ascii="仿宋" w:hAnsi="仿宋" w:eastAsia="仿宋" w:cs="仿宋"/>
          <w:b w:val="0"/>
          <w:bCs/>
          <w:color w:val="auto"/>
          <w:highlight w:val="none"/>
          <w:u w:val="none"/>
          <w:lang w:val="en-US" w:eastAsia="zh-CN"/>
        </w:rPr>
      </w:pPr>
      <w:r>
        <w:rPr>
          <w:rFonts w:hint="default" w:ascii="仿宋" w:hAnsi="仿宋" w:eastAsia="仿宋" w:cs="仿宋"/>
          <w:b w:val="0"/>
          <w:bCs/>
          <w:color w:val="auto"/>
          <w:highlight w:val="none"/>
          <w:u w:val="none"/>
          <w:lang w:val="en-US" w:eastAsia="zh-CN"/>
        </w:rPr>
        <w:t xml:space="preserve">4</w:t>
      </w:r>
      <w:r>
        <w:rPr>
          <w:rFonts w:hint="eastAsia" w:ascii="仿宋" w:hAnsi="仿宋" w:eastAsia="仿宋" w:cs="仿宋"/>
          <w:b w:val="0"/>
          <w:bCs/>
          <w:color w:val="auto"/>
          <w:highlight w:val="none"/>
          <w:u w:val="none"/>
          <w:lang w:val="en-US" w:eastAsia="zh-CN"/>
        </w:rPr>
        <w:t xml:space="preserve">、</w:t>
      </w:r>
      <w:r>
        <w:rPr>
          <w:rFonts w:hint="default" w:ascii="仿宋" w:hAnsi="仿宋" w:eastAsia="仿宋" w:cs="仿宋"/>
          <w:b w:val="0"/>
          <w:bCs/>
          <w:color w:val="auto"/>
          <w:highlight w:val="none"/>
          <w:u w:val="none"/>
          <w:lang w:val="en-US" w:eastAsia="zh-CN"/>
        </w:rPr>
        <w:t xml:space="preserve">资金来源</w:t>
      </w:r>
      <w:r>
        <w:rPr>
          <w:rFonts w:hint="eastAsia" w:ascii="仿宋" w:hAnsi="仿宋" w:eastAsia="仿宋" w:cs="仿宋"/>
          <w:b w:val="0"/>
          <w:bCs/>
          <w:color w:val="auto"/>
          <w:highlight w:val="none"/>
          <w:u w:val="none"/>
          <w:lang w:val="en-US" w:eastAsia="zh-CN"/>
        </w:rPr>
        <w:t xml:space="preserve">：</w:t>
      </w:r>
      <w:r>
        <w:rPr>
          <w:rFonts w:hint="eastAsia" w:ascii="仿宋" w:hAnsi="仿宋" w:eastAsia="仿宋" w:cs="仿宋"/>
          <w:b/>
          <w:bCs w:val="0"/>
          <w:color w:val="auto"/>
          <w:highlight w:val="none"/>
          <w:u w:val="single"/>
          <w:lang w:val="en-US" w:eastAsia="zh-CN"/>
        </w:rPr>
        <w:t xml:space="preserve">      财政资金              。</w:t>
      </w:r>
      <w:r/>
    </w:p>
    <w:p>
      <w:pPr>
        <w:pStyle w:val="1034"/>
        <w:ind w:firstLine="480"/>
        <w:rPr>
          <w:rFonts w:hint="eastAsia" w:ascii="仿宋" w:hAnsi="仿宋" w:eastAsia="仿宋" w:cs="仿宋"/>
          <w:b/>
          <w:color w:val="auto"/>
          <w:highlight w:val="none"/>
          <w:u w:val="single"/>
        </w:rPr>
      </w:pPr>
      <w:r>
        <w:rPr>
          <w:rFonts w:hint="eastAsia" w:ascii="仿宋" w:hAnsi="仿宋" w:eastAsia="仿宋" w:cs="仿宋"/>
          <w:b w:val="0"/>
          <w:bCs/>
          <w:color w:val="auto"/>
          <w:highlight w:val="none"/>
          <w:u w:val="none"/>
          <w:lang w:val="en-US" w:eastAsia="zh-CN"/>
        </w:rPr>
        <w:t xml:space="preserve">5</w:t>
      </w:r>
      <w:r>
        <w:rPr>
          <w:rFonts w:hint="eastAsia" w:ascii="仿宋" w:hAnsi="仿宋" w:eastAsia="仿宋" w:cs="仿宋"/>
          <w:b w:val="0"/>
          <w:bCs/>
          <w:color w:val="auto"/>
          <w:highlight w:val="none"/>
          <w:u w:val="none"/>
          <w:lang w:eastAsia="zh-CN"/>
        </w:rPr>
        <w:t xml:space="preserve">、</w:t>
      </w:r>
      <w:r>
        <w:rPr>
          <w:rFonts w:hint="eastAsia" w:ascii="仿宋" w:hAnsi="仿宋" w:eastAsia="仿宋" w:cs="仿宋"/>
          <w:b w:val="0"/>
          <w:bCs/>
          <w:color w:val="auto"/>
          <w:highlight w:val="none"/>
          <w:u w:val="none"/>
        </w:rPr>
        <w:t xml:space="preserve">工程内容：</w:t>
      </w:r>
      <w:r>
        <w:rPr>
          <w:rFonts w:hint="eastAsia" w:ascii="仿宋" w:hAnsi="仿宋" w:eastAsia="仿宋" w:cs="仿宋"/>
          <w:b/>
          <w:bCs w:val="0"/>
          <w:color w:val="auto"/>
          <w:highlight w:val="none"/>
          <w:u w:val="single"/>
          <w:lang w:eastAsia="zh-CN"/>
        </w:rPr>
        <w:t xml:space="preserve">长安路（珠江东路-太康路）、闽江路（银山路-北京南路）、闽江路与规划路交叉口、漓江路与规划路交叉口、毕庄、二堡及滕寨安置房基础设施配套工程建设项目-二堡安置房基础设施配套工程、康平路交通及道路进行改造提升。详见工程量清单及施工图所含全部内容。</w:t>
      </w:r>
      <w:r/>
    </w:p>
    <w:p>
      <w:pPr>
        <w:pStyle w:val="1034"/>
        <w:ind w:firstLine="480"/>
        <w:rPr>
          <w:rFonts w:hint="eastAsia" w:ascii="仿宋" w:hAnsi="仿宋" w:eastAsia="仿宋" w:cs="仿宋"/>
          <w:b w:val="0"/>
          <w:bCs/>
          <w:color w:val="auto"/>
          <w:highlight w:val="none"/>
          <w:u w:val="none"/>
        </w:rPr>
      </w:pPr>
      <w:r>
        <w:rPr>
          <w:rFonts w:hint="eastAsia" w:ascii="仿宋" w:hAnsi="仿宋" w:eastAsia="仿宋" w:cs="仿宋"/>
          <w:b w:val="0"/>
          <w:bCs/>
          <w:color w:val="auto"/>
          <w:highlight w:val="none"/>
          <w:u w:val="none"/>
        </w:rPr>
        <w:t xml:space="preserve">6</w:t>
      </w:r>
      <w:r>
        <w:rPr>
          <w:rFonts w:hint="eastAsia" w:ascii="仿宋" w:hAnsi="仿宋" w:eastAsia="仿宋" w:cs="仿宋"/>
          <w:b w:val="0"/>
          <w:bCs/>
          <w:color w:val="auto"/>
          <w:highlight w:val="none"/>
          <w:u w:val="none"/>
          <w:lang w:eastAsia="zh-CN"/>
        </w:rPr>
        <w:t xml:space="preserve">、</w:t>
      </w:r>
      <w:r>
        <w:rPr>
          <w:rFonts w:hint="eastAsia" w:ascii="仿宋" w:hAnsi="仿宋" w:eastAsia="仿宋" w:cs="仿宋"/>
          <w:b w:val="0"/>
          <w:bCs/>
          <w:color w:val="auto"/>
          <w:highlight w:val="none"/>
          <w:u w:val="none"/>
        </w:rPr>
        <w:t xml:space="preserve">工程承包范围：</w:t>
      </w:r>
      <w:r>
        <w:rPr>
          <w:rFonts w:hint="eastAsia" w:ascii="仿宋" w:hAnsi="仿宋" w:eastAsia="仿宋" w:cs="仿宋"/>
          <w:b/>
          <w:bCs w:val="0"/>
          <w:color w:val="auto"/>
          <w:highlight w:val="none"/>
          <w:u w:val="single"/>
          <w:lang w:eastAsia="zh-CN"/>
        </w:rPr>
        <w:t xml:space="preserve">长安路（珠江东路-太康路）、闽江路（银山路-北京南路）、闽江路与规划路交叉口、漓江路与规划路交叉口、毕庄、二堡及滕寨安置房基础设施配套工程建设项目-二堡安置房基础设施配套工程、康平路交通及道路进行改造提升。</w:t>
      </w:r>
      <w:r>
        <w:rPr>
          <w:rFonts w:hint="eastAsia" w:ascii="仿宋" w:hAnsi="仿宋" w:eastAsia="仿宋" w:cs="仿宋"/>
          <w:b/>
          <w:bCs w:val="0"/>
          <w:color w:val="auto"/>
          <w:highlight w:val="none"/>
          <w:u w:val="single"/>
          <w:lang w:val="en-US" w:eastAsia="zh-CN"/>
        </w:rPr>
        <w:t xml:space="preserve">具体</w:t>
      </w:r>
      <w:r>
        <w:rPr>
          <w:rFonts w:hint="eastAsia" w:ascii="仿宋" w:hAnsi="仿宋" w:eastAsia="仿宋" w:cs="仿宋"/>
          <w:b/>
          <w:bCs w:val="0"/>
          <w:color w:val="auto"/>
          <w:highlight w:val="none"/>
          <w:u w:val="single"/>
          <w:lang w:eastAsia="zh-CN"/>
        </w:rPr>
        <w:t xml:space="preserve">详见工程量清单及施工图所含全部内容。</w:t>
      </w:r>
      <w:r/>
    </w:p>
    <w:p>
      <w:pPr>
        <w:pStyle w:val="978"/>
        <w:rPr>
          <w:rFonts w:hint="eastAsia"/>
          <w:color w:val="auto"/>
          <w:highlight w:val="none"/>
        </w:rPr>
      </w:pPr>
      <w:r/>
      <w:bookmarkStart w:id="8" w:name="_Toc351203482"/>
      <w:r>
        <w:rPr>
          <w:rFonts w:hint="eastAsia"/>
          <w:color w:val="auto"/>
          <w:highlight w:val="none"/>
        </w:rPr>
        <w:t xml:space="preserve">二、合同工期</w:t>
      </w:r>
      <w:bookmarkEnd w:id="8"/>
      <w:r/>
      <w:r/>
    </w:p>
    <w:p>
      <w:pPr>
        <w:pStyle w:val="1034"/>
        <w:ind w:firstLine="459"/>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计划开工日期：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日（以批准的开工报告日期为准）</w:t>
      </w:r>
      <w:r>
        <w:rPr>
          <w:rFonts w:hint="eastAsia" w:ascii="仿宋" w:hAnsi="仿宋" w:eastAsia="仿宋" w:cs="仿宋"/>
          <w:color w:val="auto"/>
          <w:highlight w:val="none"/>
          <w:lang w:eastAsia="zh-CN"/>
        </w:rPr>
        <w:t xml:space="preserve">。</w:t>
      </w:r>
      <w:r/>
    </w:p>
    <w:p>
      <w:pPr>
        <w:pStyle w:val="1034"/>
        <w:ind w:firstLine="459"/>
        <w:rPr>
          <w:rFonts w:ascii="仿宋" w:hAnsi="仿宋" w:eastAsia="仿宋" w:cs="仿宋"/>
          <w:color w:val="auto"/>
          <w:highlight w:val="none"/>
        </w:rPr>
      </w:pPr>
      <w:r>
        <w:rPr>
          <w:rFonts w:hint="eastAsia" w:ascii="仿宋" w:hAnsi="仿宋" w:eastAsia="仿宋" w:cs="仿宋"/>
          <w:color w:val="auto"/>
          <w:highlight w:val="none"/>
        </w:rPr>
        <w:t xml:space="preserve">计划竣工日期：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日。</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工期总日历天数</w:t>
      </w:r>
      <w:r>
        <w:rPr>
          <w:rFonts w:hint="eastAsia" w:ascii="仿宋" w:hAnsi="仿宋" w:eastAsia="仿宋" w:cs="仿宋"/>
          <w:color w:val="auto"/>
          <w:highlight w:val="none"/>
          <w:u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 xml:space="preserve">天，具体开工时间以实际下达的开工令为准。</w:t>
      </w:r>
      <w:r/>
    </w:p>
    <w:p>
      <w:pPr>
        <w:pStyle w:val="978"/>
        <w:rPr>
          <w:rFonts w:hint="eastAsia"/>
          <w:color w:val="auto"/>
          <w:highlight w:val="none"/>
        </w:rPr>
      </w:pPr>
      <w:r/>
      <w:bookmarkStart w:id="9" w:name="_Toc351203483"/>
      <w:r>
        <w:rPr>
          <w:rFonts w:hint="eastAsia"/>
          <w:color w:val="auto"/>
          <w:highlight w:val="none"/>
        </w:rPr>
        <w:t xml:space="preserve">三、质量标准</w:t>
      </w:r>
      <w:bookmarkEnd w:id="9"/>
      <w:r/>
      <w:r/>
    </w:p>
    <w:p>
      <w:pPr>
        <w:pStyle w:val="1034"/>
        <w:ind w:firstLine="459"/>
        <w:rPr>
          <w:rFonts w:ascii="仿宋" w:hAnsi="仿宋" w:eastAsia="仿宋" w:cs="仿宋"/>
          <w:color w:val="auto"/>
          <w:highlight w:val="none"/>
        </w:rPr>
      </w:pPr>
      <w:r>
        <w:rPr>
          <w:rFonts w:hint="eastAsia" w:ascii="仿宋" w:hAnsi="仿宋" w:eastAsia="仿宋" w:cs="仿宋"/>
          <w:color w:val="auto"/>
          <w:highlight w:val="none"/>
        </w:rPr>
        <w:t xml:space="preserve">工程质量符合</w:t>
      </w:r>
      <w:r>
        <w:rPr>
          <w:rFonts w:hint="eastAsia" w:ascii="仿宋" w:hAnsi="仿宋" w:eastAsia="仿宋" w:cs="仿宋"/>
          <w:color w:val="auto"/>
          <w:highlight w:val="none"/>
          <w:u w:val="single"/>
        </w:rPr>
        <w:t xml:space="preserve"> 合格</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 xml:space="preserve">标准。</w:t>
      </w:r>
      <w:r/>
    </w:p>
    <w:p>
      <w:pPr>
        <w:pStyle w:val="978"/>
        <w:rPr>
          <w:rFonts w:hint="eastAsia"/>
          <w:color w:val="auto"/>
          <w:highlight w:val="none"/>
        </w:rPr>
      </w:pPr>
      <w:r/>
      <w:bookmarkStart w:id="10" w:name="_Toc351203484"/>
      <w:r>
        <w:rPr>
          <w:rFonts w:hint="eastAsia"/>
          <w:color w:val="auto"/>
          <w:highlight w:val="none"/>
        </w:rPr>
        <w:t xml:space="preserve">四、签约合同价</w:t>
      </w:r>
      <w:bookmarkEnd w:id="10"/>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1.签约合同价为：</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其中：</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（1）安全文明施工费：</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（2）材料和工程设备暂估价金额：</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（3）专业工程暂估价金额：</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（4）暂列金额：</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1040"/>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2.合同价格形式：</w:t>
      </w:r>
      <w:r>
        <w:rPr>
          <w:rFonts w:hint="eastAsia" w:ascii="仿宋" w:hAnsi="仿宋" w:eastAsia="仿宋" w:cs="仿宋"/>
          <w:color w:val="auto"/>
          <w:sz w:val="24"/>
          <w:highlight w:val="none"/>
          <w:u w:val="single"/>
        </w:rPr>
        <w:t xml:space="preserve">固定单价合同。</w:t>
      </w:r>
      <w:r/>
    </w:p>
    <w:p>
      <w:pPr>
        <w:pStyle w:val="978"/>
        <w:rPr>
          <w:rFonts w:hint="eastAsia"/>
          <w:color w:val="auto"/>
          <w:highlight w:val="none"/>
        </w:rPr>
      </w:pPr>
      <w:r/>
      <w:bookmarkStart w:id="11" w:name="_Toc351203485"/>
      <w:r>
        <w:rPr>
          <w:rFonts w:hint="eastAsia"/>
          <w:color w:val="auto"/>
          <w:highlight w:val="none"/>
        </w:rPr>
        <w:t xml:space="preserve">五、</w:t>
      </w:r>
      <w:bookmarkEnd w:id="11"/>
      <w:r>
        <w:rPr>
          <w:rFonts w:hint="eastAsia"/>
          <w:color w:val="auto"/>
          <w:highlight w:val="none"/>
        </w:rPr>
        <w:t xml:space="preserve">项目经理</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承包人项目经理：</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pStyle w:val="978"/>
        <w:rPr>
          <w:rFonts w:hint="eastAsia"/>
          <w:color w:val="auto"/>
          <w:highlight w:val="none"/>
        </w:rPr>
      </w:pPr>
      <w:r/>
      <w:bookmarkStart w:id="12" w:name="_Toc351203486"/>
      <w:r>
        <w:rPr>
          <w:rFonts w:hint="eastAsia"/>
          <w:color w:val="auto"/>
          <w:highlight w:val="none"/>
        </w:rPr>
        <w:t xml:space="preserve">六、合同文件构成</w:t>
      </w:r>
      <w:bookmarkEnd w:id="12"/>
      <w:r/>
      <w:r/>
    </w:p>
    <w:p>
      <w:pPr>
        <w:pStyle w:val="1034"/>
        <w:ind w:firstLine="480"/>
        <w:rPr>
          <w:rFonts w:hint="eastAsia" w:ascii="仿宋" w:hAnsi="仿宋" w:eastAsia="仿宋" w:cs="仿宋"/>
          <w:bCs/>
          <w:color w:val="auto"/>
          <w:highlight w:val="none"/>
        </w:rPr>
      </w:pPr>
      <w:r>
        <w:rPr>
          <w:rFonts w:hint="eastAsia" w:ascii="仿宋" w:hAnsi="仿宋" w:eastAsia="仿宋" w:cs="仿宋"/>
          <w:bCs/>
          <w:color w:val="auto"/>
          <w:highlight w:val="none"/>
        </w:rPr>
        <w:t xml:space="preserve">本协议书与下列文件一起构成合同文件：</w:t>
      </w:r>
      <w:r/>
    </w:p>
    <w:p>
      <w:pPr>
        <w:pStyle w:val="1034"/>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lang w:eastAsia="zh-CN"/>
        </w:rPr>
        <w:t xml:space="preserve">）磋商文件；</w:t>
      </w:r>
      <w:r/>
    </w:p>
    <w:p>
      <w:pPr>
        <w:pStyle w:val="1034"/>
        <w:ind w:firstLine="480"/>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成交通知书；</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）最终报价表； </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）专用合同条款及其附件；</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）通用合同条款；</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）技术标准和要求；</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）图纸；</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）已标价工程量清单或预算书；</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）其他合同文件。</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在合同订立及履行过程中形成的与合同有关的文件均构成合同文件组成部分。</w:t>
      </w:r>
      <w:r/>
    </w:p>
    <w:p>
      <w:pPr>
        <w:pStyle w:val="1034"/>
        <w:ind w:firstLine="480"/>
        <w:rPr>
          <w:rFonts w:ascii="仿宋" w:hAnsi="仿宋" w:eastAsia="仿宋" w:cs="仿宋"/>
          <w:color w:val="auto"/>
          <w:highlight w:val="none"/>
        </w:rPr>
      </w:pPr>
      <w:r>
        <w:rPr>
          <w:rFonts w:hint="eastAsia" w:ascii="仿宋" w:hAnsi="仿宋" w:eastAsia="仿宋" w:cs="仿宋"/>
          <w:color w:val="auto"/>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78"/>
        <w:rPr>
          <w:rFonts w:hint="eastAsia"/>
          <w:color w:val="auto"/>
          <w:highlight w:val="none"/>
        </w:rPr>
      </w:pPr>
      <w:r/>
      <w:bookmarkStart w:id="13" w:name="_Toc351203487"/>
      <w:r>
        <w:rPr>
          <w:rFonts w:hint="eastAsia"/>
          <w:color w:val="auto"/>
          <w:highlight w:val="none"/>
        </w:rPr>
        <w:t xml:space="preserve">七、承诺</w:t>
      </w:r>
      <w:bookmarkEnd w:id="13"/>
      <w:r/>
      <w:r/>
    </w:p>
    <w:p>
      <w:pPr>
        <w:pStyle w:val="1034"/>
        <w:ind w:firstLine="480"/>
        <w:rPr>
          <w:rFonts w:ascii="仿宋" w:hAnsi="仿宋" w:eastAsia="仿宋" w:cs="仿宋"/>
          <w:bCs/>
          <w:color w:val="auto"/>
          <w:highlight w:val="none"/>
        </w:rPr>
      </w:pPr>
      <w:r>
        <w:rPr>
          <w:rFonts w:hint="eastAsia" w:ascii="仿宋" w:hAnsi="仿宋" w:eastAsia="仿宋" w:cs="仿宋"/>
          <w:bCs/>
          <w:color w:val="auto"/>
          <w:highlight w:val="none"/>
        </w:rPr>
        <w:t xml:space="preserve">1.发包人承诺按照法律规定履行项目审批手续、筹集工程建设资金并按照合同约定的期限和方式支付合同价款。</w:t>
      </w:r>
      <w:r/>
    </w:p>
    <w:p>
      <w:pPr>
        <w:pStyle w:val="1034"/>
        <w:ind w:firstLine="480"/>
        <w:rPr>
          <w:rFonts w:ascii="仿宋" w:hAnsi="仿宋" w:eastAsia="仿宋" w:cs="仿宋"/>
          <w:bCs/>
          <w:color w:val="auto"/>
          <w:highlight w:val="none"/>
        </w:rPr>
      </w:pPr>
      <w:r>
        <w:rPr>
          <w:rFonts w:hint="eastAsia" w:ascii="仿宋" w:hAnsi="仿宋" w:eastAsia="仿宋" w:cs="仿宋"/>
          <w:bCs/>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pStyle w:val="1034"/>
        <w:ind w:firstLine="480"/>
        <w:rPr>
          <w:rFonts w:ascii="仿宋" w:hAnsi="仿宋" w:eastAsia="仿宋" w:cs="仿宋"/>
          <w:bCs/>
          <w:color w:val="auto"/>
          <w:highlight w:val="none"/>
        </w:rPr>
      </w:pPr>
      <w:r>
        <w:rPr>
          <w:rFonts w:hint="eastAsia" w:ascii="仿宋" w:hAnsi="仿宋" w:eastAsia="仿宋" w:cs="仿宋"/>
          <w:bCs/>
          <w:color w:val="auto"/>
          <w:highlight w:val="none"/>
        </w:rPr>
        <w:t xml:space="preserve">3.发包人和承包人通过招</w:t>
      </w:r>
      <w:r>
        <w:rPr>
          <w:rFonts w:hint="eastAsia" w:ascii="仿宋" w:hAnsi="仿宋" w:eastAsia="仿宋" w:cs="仿宋"/>
          <w:bCs/>
          <w:color w:val="auto"/>
          <w:highlight w:val="none"/>
          <w:lang w:eastAsia="zh-CN"/>
        </w:rPr>
        <w:t xml:space="preserve">响应</w:t>
      </w:r>
      <w:r>
        <w:rPr>
          <w:rFonts w:hint="eastAsia" w:ascii="仿宋" w:hAnsi="仿宋" w:eastAsia="仿宋" w:cs="仿宋"/>
          <w:bCs/>
          <w:color w:val="auto"/>
          <w:highlight w:val="none"/>
        </w:rPr>
        <w:t xml:space="preserve">形式签订合同的，双方理解并承诺不再就同一工程另行签订与合同实质性内容相背离的协议。</w:t>
      </w:r>
      <w:r/>
    </w:p>
    <w:p>
      <w:pPr>
        <w:pStyle w:val="978"/>
        <w:rPr>
          <w:rFonts w:hint="eastAsia"/>
          <w:color w:val="auto"/>
          <w:highlight w:val="none"/>
        </w:rPr>
      </w:pPr>
      <w:r/>
      <w:bookmarkStart w:id="14" w:name="_Toc351203488"/>
      <w:r>
        <w:rPr>
          <w:rFonts w:hint="eastAsia"/>
          <w:color w:val="auto"/>
          <w:highlight w:val="none"/>
        </w:rPr>
        <w:t xml:space="preserve">八、词语含义</w:t>
      </w:r>
      <w:bookmarkEnd w:id="14"/>
      <w:r/>
      <w:r/>
    </w:p>
    <w:p>
      <w:pPr>
        <w:pStyle w:val="1034"/>
        <w:ind w:firstLine="480"/>
        <w:rPr>
          <w:rFonts w:ascii="仿宋" w:hAnsi="仿宋" w:eastAsia="仿宋" w:cs="仿宋"/>
          <w:bCs/>
          <w:color w:val="auto"/>
          <w:highlight w:val="none"/>
        </w:rPr>
      </w:pPr>
      <w:r>
        <w:rPr>
          <w:rFonts w:hint="eastAsia" w:ascii="仿宋" w:hAnsi="仿宋" w:eastAsia="仿宋" w:cs="仿宋"/>
          <w:bCs/>
          <w:color w:val="auto"/>
          <w:highlight w:val="none"/>
        </w:rPr>
        <w:t xml:space="preserve">本协议书中词语含义与第二部分通用合同条款中赋予的含义相同。</w:t>
      </w:r>
      <w:r/>
    </w:p>
    <w:p>
      <w:pPr>
        <w:pStyle w:val="978"/>
        <w:rPr>
          <w:rFonts w:hint="eastAsia"/>
          <w:color w:val="auto"/>
          <w:highlight w:val="none"/>
        </w:rPr>
      </w:pPr>
      <w:r/>
      <w:bookmarkStart w:id="15" w:name="_Toc351203489"/>
      <w:r>
        <w:rPr>
          <w:rFonts w:hint="eastAsia"/>
          <w:color w:val="auto"/>
          <w:highlight w:val="none"/>
        </w:rPr>
        <w:t xml:space="preserve">九、签订时间</w:t>
      </w:r>
      <w:bookmarkEnd w:id="15"/>
      <w:r/>
      <w:r/>
    </w:p>
    <w:p>
      <w:pPr>
        <w:pStyle w:val="1034"/>
        <w:ind w:firstLine="480"/>
        <w:rPr>
          <w:rFonts w:hint="eastAsia" w:ascii="仿宋" w:hAnsi="仿宋" w:eastAsia="仿宋" w:cs="仿宋"/>
          <w:bCs/>
          <w:color w:val="auto"/>
          <w:highlight w:val="none"/>
        </w:rPr>
      </w:pPr>
      <w:r>
        <w:rPr>
          <w:rFonts w:hint="eastAsia" w:ascii="仿宋" w:hAnsi="仿宋" w:eastAsia="仿宋" w:cs="仿宋"/>
          <w:bCs/>
          <w:color w:val="auto"/>
          <w:highlight w:val="none"/>
        </w:rPr>
        <w:t xml:space="preserve">本合同于</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年</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月</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日签订。</w:t>
      </w:r>
      <w:r/>
    </w:p>
    <w:p>
      <w:pPr>
        <w:pStyle w:val="978"/>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十、签订地点</w:t>
      </w:r>
      <w:r>
        <w:rPr>
          <w:rFonts w:hint="eastAsia" w:ascii="仿宋" w:hAnsi="仿宋" w:eastAsia="仿宋" w:cs="仿宋"/>
          <w:b/>
          <w:bCs/>
          <w:color w:val="auto"/>
          <w:sz w:val="24"/>
          <w:szCs w:val="24"/>
          <w:highlight w:val="none"/>
        </w:rPr>
        <w:tab/>
      </w:r>
      <w:r/>
    </w:p>
    <w:p>
      <w:pPr>
        <w:pStyle w:val="1034"/>
        <w:ind w:firstLine="480"/>
        <w:rPr>
          <w:rFonts w:ascii="仿宋" w:hAnsi="仿宋" w:eastAsia="仿宋" w:cs="仿宋"/>
          <w:bCs/>
          <w:color w:val="auto"/>
          <w:highlight w:val="none"/>
        </w:rPr>
      </w:pPr>
      <w:r>
        <w:rPr>
          <w:rFonts w:hint="eastAsia" w:ascii="仿宋" w:hAnsi="仿宋" w:eastAsia="仿宋" w:cs="仿宋"/>
          <w:bCs/>
          <w:color w:val="auto"/>
          <w:highlight w:val="none"/>
        </w:rPr>
        <w:t xml:space="preserve">本合同在</w:t>
      </w: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rPr>
        <w:t xml:space="preserve">签订。</w:t>
      </w:r>
      <w:r/>
    </w:p>
    <w:p>
      <w:pPr>
        <w:pStyle w:val="978"/>
        <w:rPr>
          <w:rFonts w:hint="eastAsia"/>
          <w:color w:val="auto"/>
          <w:highlight w:val="none"/>
        </w:rPr>
      </w:pPr>
      <w:r/>
      <w:bookmarkStart w:id="16" w:name="_Toc351203491"/>
      <w:r>
        <w:rPr>
          <w:rFonts w:hint="eastAsia"/>
          <w:color w:val="auto"/>
          <w:highlight w:val="none"/>
        </w:rPr>
        <w:t xml:space="preserve">十一、补充协议</w:t>
      </w:r>
      <w:bookmarkEnd w:id="16"/>
      <w:r/>
      <w:r/>
    </w:p>
    <w:p>
      <w:pPr>
        <w:pStyle w:val="1034"/>
        <w:ind w:firstLine="480"/>
        <w:rPr>
          <w:rFonts w:ascii="仿宋" w:hAnsi="仿宋" w:eastAsia="仿宋" w:cs="仿宋"/>
          <w:b/>
          <w:bCs/>
          <w:color w:val="auto"/>
          <w:highlight w:val="none"/>
        </w:rPr>
      </w:pPr>
      <w:r>
        <w:rPr>
          <w:rFonts w:hint="eastAsia" w:ascii="仿宋" w:hAnsi="仿宋" w:eastAsia="仿宋" w:cs="仿宋"/>
          <w:bCs/>
          <w:color w:val="auto"/>
          <w:highlight w:val="none"/>
        </w:rPr>
        <w:t xml:space="preserve">合同未尽事宜，合同当事人另行签订补充协议，补充协议是合同的组成部分。</w:t>
      </w:r>
      <w:r/>
    </w:p>
    <w:p>
      <w:pPr>
        <w:pStyle w:val="978"/>
        <w:rPr>
          <w:rFonts w:hint="eastAsia"/>
          <w:color w:val="auto"/>
          <w:highlight w:val="none"/>
        </w:rPr>
      </w:pPr>
      <w:r/>
      <w:bookmarkStart w:id="17" w:name="_Toc351203492"/>
      <w:r>
        <w:rPr>
          <w:rFonts w:hint="eastAsia"/>
          <w:color w:val="auto"/>
          <w:highlight w:val="none"/>
        </w:rPr>
        <w:t xml:space="preserve">十二、合同生效</w:t>
      </w:r>
      <w:bookmarkEnd w:id="17"/>
      <w:r/>
      <w:r/>
    </w:p>
    <w:p>
      <w:pPr>
        <w:pStyle w:val="1034"/>
        <w:ind w:firstLine="480"/>
        <w:rPr>
          <w:rFonts w:hint="eastAsia" w:ascii="仿宋" w:hAnsi="仿宋" w:eastAsia="仿宋" w:cs="仿宋"/>
          <w:bCs/>
          <w:color w:val="auto"/>
          <w:highlight w:val="none"/>
        </w:rPr>
      </w:pPr>
      <w:r>
        <w:rPr>
          <w:rFonts w:hint="eastAsia" w:ascii="仿宋" w:hAnsi="仿宋" w:eastAsia="仿宋" w:cs="仿宋"/>
          <w:bCs/>
          <w:color w:val="auto"/>
          <w:highlight w:val="none"/>
        </w:rPr>
        <w:t xml:space="preserve">本合同自</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u w:val="single"/>
          <w:lang w:val="en-US" w:eastAsia="zh-CN"/>
        </w:rPr>
        <w:t xml:space="preserve"> 双方签字且盖章后   </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生效。</w:t>
      </w:r>
      <w:r/>
    </w:p>
    <w:p>
      <w:pPr>
        <w:pStyle w:val="978"/>
        <w:rPr>
          <w:rFonts w:hint="eastAsia"/>
          <w:color w:val="auto"/>
          <w:highlight w:val="none"/>
        </w:rPr>
      </w:pPr>
      <w:r/>
      <w:bookmarkStart w:id="18" w:name="_Toc351203493"/>
      <w:r>
        <w:rPr>
          <w:rFonts w:hint="eastAsia"/>
          <w:color w:val="auto"/>
          <w:highlight w:val="none"/>
        </w:rPr>
        <w:t xml:space="preserve">十三、合同份数</w:t>
      </w:r>
      <w:bookmarkEnd w:id="18"/>
      <w:r/>
      <w:r/>
    </w:p>
    <w:p>
      <w:pPr>
        <w:pStyle w:val="1034"/>
        <w:ind w:firstLine="480"/>
        <w:rPr>
          <w:rFonts w:ascii="仿宋" w:hAnsi="仿宋" w:eastAsia="仿宋" w:cs="仿宋"/>
          <w:bCs/>
          <w:color w:val="auto"/>
          <w:highlight w:val="none"/>
        </w:rPr>
      </w:pPr>
      <w:r>
        <w:rPr>
          <w:rFonts w:hint="eastAsia" w:ascii="仿宋" w:hAnsi="仿宋" w:eastAsia="仿宋" w:cs="仿宋"/>
          <w:bCs/>
          <w:color w:val="auto"/>
          <w:highlight w:val="none"/>
        </w:rPr>
        <w:t xml:space="preserve">本合同一式</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份，均具有同等法律效力，发包人执</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份，承包人执</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份。</w:t>
      </w:r>
      <w:r/>
    </w:p>
    <w:p>
      <w:pPr>
        <w:pStyle w:val="1034"/>
        <w:rPr>
          <w:rFonts w:ascii="仿宋" w:hAnsi="仿宋" w:eastAsia="仿宋" w:cs="仿宋"/>
          <w:color w:val="auto"/>
          <w:highlight w:val="none"/>
        </w:rPr>
      </w:pPr>
      <w:r>
        <w:rPr>
          <w:rFonts w:ascii="仿宋" w:hAnsi="仿宋" w:eastAsia="仿宋" w:cs="仿宋"/>
          <w:color w:val="auto"/>
          <w:highlight w:val="none"/>
        </w:rPr>
      </w:r>
      <w:r/>
    </w:p>
    <w:p>
      <w:pPr>
        <w:pStyle w:val="1034"/>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发包人：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承包人：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eastAsia="zh-CN"/>
        </w:rPr>
        <w:t xml:space="preserve">）</w:t>
      </w:r>
      <w:r/>
    </w:p>
    <w:p>
      <w:pPr>
        <w:pStyle w:val="1034"/>
        <w:ind w:left="0" w:firstLine="0"/>
        <w:rPr>
          <w:rFonts w:ascii="仿宋" w:hAnsi="仿宋" w:eastAsia="仿宋" w:cs="仿宋"/>
          <w:color w:val="auto"/>
          <w:highlight w:val="none"/>
          <w:u w:val="single"/>
        </w:rPr>
      </w:pPr>
      <w:r>
        <w:rPr>
          <w:rFonts w:ascii="仿宋" w:hAnsi="仿宋" w:eastAsia="仿宋" w:cs="仿宋"/>
          <w:color w:val="auto"/>
          <w:highlight w:val="none"/>
          <w:u w:val="single"/>
        </w:rPr>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法定代表人或其委托代理人：  法定代表人或其委托代理人：</w:t>
      </w:r>
      <w:r/>
    </w:p>
    <w:p>
      <w:pPr>
        <w:pStyle w:val="1034"/>
        <w:rPr>
          <w:rFonts w:ascii="仿宋" w:hAnsi="仿宋" w:eastAsia="仿宋" w:cs="仿宋"/>
          <w:color w:val="auto"/>
          <w:highlight w:val="none"/>
          <w:u w:val="single"/>
        </w:rPr>
      </w:pPr>
      <w:r>
        <w:rPr>
          <w:rFonts w:hint="eastAsia" w:ascii="仿宋" w:hAnsi="仿宋" w:eastAsia="仿宋" w:cs="仿宋"/>
          <w:color w:val="auto"/>
          <w:highlight w:val="none"/>
        </w:rPr>
        <w:t xml:space="preserve">（签字）                    （签字）</w:t>
      </w:r>
      <w:r/>
    </w:p>
    <w:p>
      <w:pPr>
        <w:pStyle w:val="1034"/>
        <w:tabs>
          <w:tab w:val="left" w:pos="4410" w:leader="none"/>
        </w:tabs>
        <w:rPr>
          <w:rFonts w:ascii="仿宋" w:hAnsi="仿宋" w:eastAsia="仿宋" w:cs="仿宋"/>
          <w:color w:val="auto"/>
          <w:highlight w:val="none"/>
        </w:rPr>
      </w:pPr>
      <w:r>
        <w:rPr>
          <w:rFonts w:hint="eastAsia" w:ascii="仿宋" w:hAnsi="仿宋" w:eastAsia="仿宋" w:cs="仿宋"/>
          <w:color w:val="auto"/>
          <w:highlight w:val="none"/>
        </w:rPr>
        <w:t xml:space="preserve">组织机构代码：</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组织机构代码：</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地  址：</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地  址：</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邮政编码：</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邮政编码：</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法定代表人：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法定代表人：</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委托代理人：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委托代理人：</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电  话：</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 xml:space="preserve">电  话：</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传  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 xml:space="preserve">传  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电子信箱：</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 xml:space="preserve">电子信箱：</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p>
    <w:p>
      <w:pPr>
        <w:pStyle w:val="1034"/>
        <w:rPr>
          <w:rFonts w:ascii="仿宋" w:hAnsi="仿宋" w:eastAsia="仿宋" w:cs="仿宋"/>
          <w:color w:val="auto"/>
          <w:highlight w:val="none"/>
        </w:rPr>
      </w:pPr>
      <w:r>
        <w:rPr>
          <w:rFonts w:hint="eastAsia" w:ascii="仿宋" w:hAnsi="仿宋" w:eastAsia="仿宋" w:cs="仿宋"/>
          <w:color w:val="auto"/>
          <w:highlight w:val="none"/>
        </w:rPr>
        <w:t xml:space="preserve">开户银行：</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 xml:space="preserve">开户银行：</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p>
    <w:p>
      <w:pPr>
        <w:pStyle w:val="1034"/>
        <w:jc w:val="center"/>
        <w:rPr>
          <w:rFonts w:hint="eastAsia" w:ascii="宋体" w:hAnsi="宋体" w:eastAsia="宋体" w:cs="宋体"/>
          <w:b/>
          <w:bCs/>
          <w:color w:val="auto"/>
          <w:sz w:val="24"/>
          <w:szCs w:val="27"/>
          <w:highlight w:val="none"/>
          <w:lang w:val="en-US" w:eastAsia="zh-CN" w:bidi="ar"/>
        </w:rPr>
      </w:pPr>
      <w:r>
        <w:rPr>
          <w:rFonts w:hint="eastAsia" w:ascii="仿宋" w:hAnsi="仿宋" w:eastAsia="仿宋" w:cs="仿宋"/>
          <w:color w:val="auto"/>
          <w:highlight w:val="none"/>
        </w:rPr>
        <w:t xml:space="preserve">账  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账  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bookmarkStart w:id="19" w:name="_Toc526760852"/>
      <w:r>
        <w:rPr>
          <w:rFonts w:hint="eastAsia"/>
          <w:color w:val="auto"/>
          <w:highlight w:val="none"/>
        </w:rPr>
        <w:br w:type="page" w:clear="all"/>
      </w:r>
      <w:r>
        <w:rPr>
          <w:rFonts w:hint="eastAsia" w:ascii="宋体" w:hAnsi="宋体" w:eastAsia="宋体" w:cs="宋体"/>
          <w:b/>
          <w:bCs/>
          <w:color w:val="auto"/>
          <w:sz w:val="24"/>
          <w:szCs w:val="27"/>
          <w:highlight w:val="none"/>
          <w:lang w:val="en-US" w:eastAsia="zh-CN" w:bidi="ar"/>
        </w:rPr>
        <w:t xml:space="preserve">第二部分 通用合同条款</w:t>
      </w:r>
      <w:bookmarkEnd w:id="19"/>
      <w:r/>
      <w:r/>
    </w:p>
    <w:p>
      <w:pPr>
        <w:pStyle w:val="1044"/>
        <w:rPr>
          <w:color w:val="auto"/>
          <w:highlight w:val="none"/>
        </w:rPr>
      </w:pPr>
      <w:r>
        <w:rPr>
          <w:color w:val="auto"/>
          <w:highlight w:val="none"/>
        </w:rPr>
      </w:r>
      <w:r/>
    </w:p>
    <w:p>
      <w:pPr>
        <w:pStyle w:val="1034"/>
        <w:ind w:left="0" w:firstLine="0"/>
        <w:jc w:val="center"/>
        <w:rPr>
          <w:rFonts w:ascii="仿宋" w:hAnsi="仿宋" w:eastAsia="仿宋" w:cs="仿宋"/>
          <w:b/>
          <w:color w:val="auto"/>
          <w:highlight w:val="none"/>
        </w:rPr>
      </w:pPr>
      <w:r>
        <w:rPr>
          <w:rFonts w:hint="eastAsia" w:ascii="仿宋" w:hAnsi="仿宋" w:eastAsia="仿宋" w:cs="仿宋"/>
          <w:b/>
          <w:color w:val="auto"/>
          <w:highlight w:val="none"/>
        </w:rPr>
        <w:t xml:space="preserve">采用《建设工程施工合同（示范文本）》（GF—2017—0201）</w:t>
      </w:r>
      <w:r/>
    </w:p>
    <w:p>
      <w:pPr>
        <w:pStyle w:val="1034"/>
        <w:ind w:left="0" w:firstLine="0"/>
        <w:jc w:val="center"/>
        <w:rPr>
          <w:rFonts w:ascii="仿宋" w:hAnsi="仿宋" w:eastAsia="仿宋" w:cs="仿宋"/>
          <w:color w:val="auto"/>
          <w:highlight w:val="none"/>
        </w:rPr>
      </w:pPr>
      <w:r>
        <w:rPr>
          <w:rFonts w:hint="eastAsia" w:ascii="仿宋" w:hAnsi="仿宋" w:eastAsia="仿宋" w:cs="仿宋"/>
          <w:b/>
          <w:color w:val="auto"/>
          <w:highlight w:val="none"/>
          <w:u w:val="single"/>
        </w:rPr>
        <w:t xml:space="preserve">此部分在正式签订合同时应不加修改的、完整的装订在合同中。</w:t>
      </w:r>
      <w:r/>
    </w:p>
    <w:p>
      <w:pPr>
        <w:rPr>
          <w:rFonts w:hint="eastAsia" w:ascii="宋体" w:hAnsi="宋体" w:cs="宋体"/>
          <w:b/>
          <w:bCs/>
          <w:color w:val="auto"/>
          <w:sz w:val="28"/>
          <w:szCs w:val="44"/>
          <w:highlight w:val="none"/>
        </w:rPr>
      </w:pPr>
      <w:r>
        <w:rPr>
          <w:rFonts w:hint="eastAsia" w:ascii="宋体" w:hAnsi="宋体" w:cs="宋体"/>
          <w:b/>
          <w:bCs/>
          <w:color w:val="auto"/>
          <w:sz w:val="28"/>
          <w:szCs w:val="44"/>
          <w:highlight w:val="none"/>
        </w:rPr>
      </w:r>
      <w:r/>
    </w:p>
    <w:p>
      <w:pPr>
        <w:pStyle w:val="977"/>
        <w:jc w:val="center"/>
        <w:rPr>
          <w:rFonts w:hint="eastAsia"/>
          <w:color w:val="auto"/>
          <w:highlight w:val="none"/>
        </w:rPr>
      </w:pPr>
      <w:r>
        <w:rPr>
          <w:rFonts w:hint="eastAsia"/>
          <w:color w:val="auto"/>
          <w:highlight w:val="none"/>
        </w:rPr>
        <w:br w:type="page" w:clear="all"/>
      </w:r>
      <w:r>
        <w:rPr>
          <w:rFonts w:hint="eastAsia"/>
          <w:color w:val="auto"/>
          <w:highlight w:val="none"/>
        </w:rPr>
        <w:t xml:space="preserve">第三部分</w:t>
      </w:r>
      <w:r>
        <w:rPr>
          <w:rFonts w:hint="eastAsia" w:eastAsia="宋体"/>
          <w:color w:val="auto"/>
          <w:highlight w:val="none"/>
          <w:lang w:val="en-US" w:eastAsia="zh-CN"/>
        </w:rPr>
        <w:t xml:space="preserve"> </w:t>
      </w:r>
      <w:r>
        <w:rPr>
          <w:rFonts w:hint="eastAsia"/>
          <w:color w:val="auto"/>
          <w:highlight w:val="none"/>
        </w:rPr>
        <w:t xml:space="preserve">专用合同条款</w:t>
      </w:r>
      <w:r/>
    </w:p>
    <w:p>
      <w:pPr>
        <w:pStyle w:val="978"/>
        <w:rPr>
          <w:color w:val="auto"/>
          <w:highlight w:val="none"/>
        </w:rPr>
      </w:pPr>
      <w:r/>
      <w:bookmarkStart w:id="20" w:name="_Toc351203633"/>
      <w:r>
        <w:rPr>
          <w:rFonts w:hint="eastAsia"/>
          <w:color w:val="auto"/>
          <w:highlight w:val="none"/>
        </w:rPr>
        <w:t xml:space="preserve">1</w:t>
      </w:r>
      <w:bookmarkStart w:id="21" w:name="_Toc296503156"/>
      <w:r/>
      <w:bookmarkStart w:id="22" w:name="_Toc296347155"/>
      <w:r/>
      <w:bookmarkStart w:id="23" w:name="_Toc297120456"/>
      <w:r/>
      <w:bookmarkStart w:id="24" w:name="_Toc292559866"/>
      <w:r/>
      <w:bookmarkStart w:id="25" w:name="_Toc296891196"/>
      <w:r/>
      <w:bookmarkStart w:id="26" w:name="_Toc297048342"/>
      <w:r/>
      <w:bookmarkStart w:id="27" w:name="_Toc296944495"/>
      <w:r/>
      <w:bookmarkStart w:id="28" w:name="_Toc292559361"/>
      <w:r/>
      <w:bookmarkStart w:id="29" w:name="_Toc296890984"/>
      <w:r/>
      <w:bookmarkStart w:id="30" w:name="_Toc296346657"/>
      <w:r>
        <w:rPr>
          <w:rFonts w:hint="eastAsia"/>
          <w:color w:val="auto"/>
          <w:highlight w:val="none"/>
        </w:rPr>
        <w:t xml:space="preserve">. 一般约定</w:t>
      </w:r>
      <w:bookmarkEnd w:id="20"/>
      <w:r/>
      <w:bookmarkEnd w:id="21"/>
      <w:r/>
      <w:bookmarkEnd w:id="22"/>
      <w:r/>
      <w:bookmarkEnd w:id="23"/>
      <w:r/>
      <w:bookmarkEnd w:id="24"/>
      <w:r/>
      <w:bookmarkEnd w:id="25"/>
      <w:r/>
      <w:bookmarkEnd w:id="26"/>
      <w:r/>
      <w:bookmarkEnd w:id="27"/>
      <w:r/>
      <w:bookmarkEnd w:id="28"/>
      <w:r/>
      <w:bookmarkEnd w:id="29"/>
      <w:r/>
      <w:bookmarkEnd w:id="30"/>
      <w:r/>
      <w:r/>
    </w:p>
    <w:p>
      <w:pPr>
        <w:pStyle w:val="979"/>
        <w:rPr>
          <w:color w:val="auto"/>
          <w:highlight w:val="none"/>
        </w:rPr>
      </w:pPr>
      <w:r>
        <w:rPr>
          <w:rFonts w:hint="eastAsia"/>
          <w:color w:val="auto"/>
          <w:highlight w:val="none"/>
        </w:rPr>
        <w:t xml:space="preserve">1.1 </w:t>
      </w:r>
      <w:r>
        <w:rPr>
          <w:rFonts w:hint="eastAsia" w:ascii="仿宋" w:hAnsi="仿宋" w:eastAsia="仿宋" w:cs="仿宋"/>
          <w:color w:val="auto"/>
          <w:sz w:val="24"/>
          <w:highlight w:val="none"/>
        </w:rPr>
        <w:t xml:space="preserve">词语</w:t>
      </w:r>
      <w:r>
        <w:rPr>
          <w:rFonts w:hint="eastAsia"/>
          <w:color w:val="auto"/>
          <w:highlight w:val="none"/>
        </w:rPr>
        <w:t xml:space="preserve">定义</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1.1.1合同</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1.1.1.10其他合同文件包括：</w:t>
      </w:r>
      <w:r>
        <w:rPr>
          <w:rFonts w:hint="eastAsia" w:ascii="仿宋" w:hAnsi="仿宋" w:eastAsia="仿宋" w:cs="仿宋"/>
          <w:color w:val="auto"/>
          <w:sz w:val="24"/>
          <w:highlight w:val="none"/>
          <w:u w:val="single"/>
        </w:rPr>
        <w:t xml:space="preserve">合同履行过程中经双方共同签字认可的对合同有影响的会议纪要、签证、设计变更、工程联系单及通知单等相关书面资料。</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1.1.2 合同当事人及其他相关方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1.1.2.4监理人：</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名    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资质类别和等级：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电子信箱：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通信地址：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1.1.2.5 设计人：</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名    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资质类别和等级：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电子信箱：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通信地址：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1.1.3 工程和设备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1.1.3.7 作为施工现场组成部分的其他场所包括：</w:t>
      </w:r>
      <w:r>
        <w:rPr>
          <w:rFonts w:hint="eastAsia" w:ascii="仿宋" w:hAnsi="仿宋" w:eastAsia="仿宋" w:cs="仿宋"/>
          <w:color w:val="auto"/>
          <w:sz w:val="24"/>
          <w:highlight w:val="none"/>
          <w:u w:val="single"/>
        </w:rPr>
        <w:t xml:space="preserve">现场临时办公及施工场地。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1.1.3.9 永久占地包括：</w:t>
      </w:r>
      <w:r>
        <w:rPr>
          <w:rFonts w:hint="eastAsia" w:ascii="仿宋" w:hAnsi="仿宋" w:eastAsia="仿宋" w:cs="仿宋"/>
          <w:color w:val="auto"/>
          <w:sz w:val="24"/>
          <w:highlight w:val="none"/>
          <w:u w:val="single"/>
        </w:rPr>
        <w:t xml:space="preserve">规划用地范围内。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1.1.3.10 临时占地包括：</w:t>
      </w:r>
      <w:r>
        <w:rPr>
          <w:rFonts w:hint="eastAsia" w:ascii="仿宋" w:hAnsi="仿宋" w:eastAsia="仿宋" w:cs="仿宋"/>
          <w:color w:val="auto"/>
          <w:sz w:val="24"/>
          <w:highlight w:val="none"/>
          <w:u w:val="single"/>
        </w:rPr>
        <w:t xml:space="preserve">规划用地范围</w:t>
      </w:r>
      <w:r>
        <w:rPr>
          <w:rFonts w:hint="eastAsia" w:ascii="仿宋" w:hAnsi="仿宋" w:eastAsia="仿宋" w:cs="仿宋"/>
          <w:color w:val="auto"/>
          <w:sz w:val="24"/>
          <w:highlight w:val="none"/>
          <w:u w:val="single"/>
          <w:lang w:val="en-US" w:eastAsia="zh-CN"/>
        </w:rPr>
        <w:t xml:space="preserve">外</w:t>
      </w:r>
      <w:r>
        <w:rPr>
          <w:rFonts w:hint="eastAsia" w:ascii="仿宋" w:hAnsi="仿宋" w:eastAsia="仿宋" w:cs="仿宋"/>
          <w:color w:val="auto"/>
          <w:sz w:val="24"/>
          <w:highlight w:val="none"/>
          <w:u w:val="single"/>
        </w:rPr>
        <w:t xml:space="preserve">。  </w:t>
      </w:r>
      <w:r/>
    </w:p>
    <w:p>
      <w:pPr>
        <w:pStyle w:val="979"/>
        <w:rPr>
          <w:color w:val="auto"/>
          <w:highlight w:val="none"/>
        </w:rPr>
      </w:pPr>
      <w:r>
        <w:rPr>
          <w:rFonts w:hint="eastAsia"/>
          <w:color w:val="auto"/>
          <w:highlight w:val="none"/>
        </w:rPr>
        <w:t xml:space="preserve">1.3法律 </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适用于合同的其他规范性文件：</w:t>
      </w:r>
      <w:r>
        <w:rPr>
          <w:rFonts w:hint="eastAsia" w:ascii="仿宋" w:hAnsi="仿宋" w:eastAsia="仿宋" w:cs="仿宋"/>
          <w:color w:val="auto"/>
          <w:sz w:val="24"/>
          <w:highlight w:val="none"/>
          <w:u w:val="single"/>
        </w:rPr>
        <w:t xml:space="preserve">《中华人民共和国建筑法》《中华人民共和国民法典》《中华人民共和国招投标法》《建筑工程质量管理条例》《建筑工程安全生产管理条例》《危险性较大的分部分项工程安全管理规定》（住房和城乡建设部令第37号）、住房城乡建设部办公厅关于实施《危险性较大的分部分项工程安全管理规定》有关问题的通知（建办质【2018】31号）及江苏省、徐州市现行的相关管理条例、规定。</w:t>
      </w:r>
      <w:r/>
    </w:p>
    <w:p>
      <w:pPr>
        <w:pStyle w:val="979"/>
        <w:rPr>
          <w:color w:val="auto"/>
          <w:highlight w:val="none"/>
        </w:rPr>
      </w:pPr>
      <w:r>
        <w:rPr>
          <w:rFonts w:hint="eastAsia"/>
          <w:color w:val="auto"/>
          <w:highlight w:val="none"/>
        </w:rPr>
        <w:t xml:space="preserve">1.4 标准和规范</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1.4.1适用于工程的标准规范包括：</w:t>
      </w:r>
      <w:r>
        <w:rPr>
          <w:rFonts w:hint="eastAsia" w:ascii="仿宋" w:hAnsi="仿宋" w:eastAsia="仿宋" w:cs="仿宋"/>
          <w:color w:val="auto"/>
          <w:sz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1.4.2 发包人提供国外标准、规范的名称：</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发包人提供国外标准、规范的份数：</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发包人提供国外标准、规范的名称：</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1.4.3发包人对工程的技术标准和功能要求的特殊要求：</w:t>
      </w:r>
      <w:r>
        <w:rPr>
          <w:rFonts w:hint="eastAsia" w:ascii="仿宋" w:hAnsi="仿宋" w:eastAsia="仿宋" w:cs="仿宋"/>
          <w:color w:val="auto"/>
          <w:sz w:val="24"/>
          <w:highlight w:val="none"/>
          <w:u w:val="single"/>
        </w:rPr>
        <w:t xml:space="preserve">符合有关行业主管部门及发包人的要求</w:t>
      </w:r>
      <w:r/>
    </w:p>
    <w:p>
      <w:pPr>
        <w:pStyle w:val="979"/>
        <w:rPr>
          <w:color w:val="auto"/>
          <w:highlight w:val="none"/>
        </w:rPr>
      </w:pPr>
      <w:r>
        <w:rPr>
          <w:rFonts w:hint="eastAsia"/>
          <w:color w:val="auto"/>
          <w:highlight w:val="none"/>
        </w:rPr>
        <w:t xml:space="preserve">1.5 合同文件的优先顺序</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合同文件组成及优先顺序为：</w:t>
      </w:r>
      <w:r>
        <w:rPr>
          <w:rFonts w:hint="eastAsia" w:ascii="仿宋" w:hAnsi="仿宋" w:eastAsia="仿宋" w:cs="仿宋"/>
          <w:color w:val="auto"/>
          <w:sz w:val="24"/>
          <w:highlight w:val="none"/>
          <w:u w:val="single"/>
        </w:rPr>
        <w:t xml:space="preserve">（1）合同协议书及补充协议书；（2）中标通知书；（3）投标函及其附录；（4）专用合同条款及其附件；（5）招标文件；（6）通用合同条款；（7）技术标准和要求；（8）图纸；（9）预算书；（10）已标价工程量清单；（11）其他合同文件。</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双方有关工程的洽商、变更、会议纪要、双方来往函件</w:t>
      </w: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rPr>
        <w:t xml:space="preserve">施工过程中的</w:t>
      </w: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rPr>
        <w:t xml:space="preserve">等书面协议或文件视为本合同的组成部分，对同一事项叙述不一致的，以日期靠后的为准。</w:t>
      </w:r>
      <w:r/>
    </w:p>
    <w:p>
      <w:pPr>
        <w:ind w:firstLine="480"/>
        <w:spacing w:line="360" w:lineRule="auto"/>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上述各项合同文件包括合同当事人就该项合同文件所做出的补充和修改，属于同一类内容的文件，应以最新签署的为准。</w:t>
      </w:r>
      <w:r/>
    </w:p>
    <w:p>
      <w:pPr>
        <w:ind w:firstLine="480"/>
        <w:spacing w:line="360" w:lineRule="auto"/>
        <w:rPr>
          <w:rFonts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p>
    <w:p>
      <w:pPr>
        <w:pStyle w:val="979"/>
        <w:rPr>
          <w:rFonts w:ascii="仿宋" w:hAnsi="仿宋" w:eastAsia="仿宋" w:cs="仿宋"/>
          <w:color w:val="auto"/>
          <w:sz w:val="24"/>
          <w:highlight w:val="none"/>
        </w:rPr>
      </w:pPr>
      <w:r>
        <w:rPr>
          <w:rFonts w:hint="eastAsia" w:ascii="仿宋" w:hAnsi="仿宋" w:eastAsia="仿宋" w:cs="仿宋"/>
          <w:color w:val="auto"/>
          <w:sz w:val="24"/>
          <w:highlight w:val="none"/>
        </w:rPr>
        <w:t xml:space="preserve">1.6 图纸和承包人文件</w:t>
      </w:r>
      <w:r>
        <w:rPr>
          <w:rFonts w:hint="eastAsia" w:ascii="仿宋" w:hAnsi="仿宋" w:eastAsia="仿宋" w:cs="仿宋"/>
          <w:color w:val="auto"/>
          <w:sz w:val="24"/>
          <w:highlight w:val="none"/>
        </w:rPr>
        <w:tab/>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1.6.1 图纸的提供</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发包人向承包人提供图纸的期限：</w:t>
      </w:r>
      <w:r>
        <w:rPr>
          <w:rFonts w:hint="eastAsia" w:ascii="仿宋" w:hAnsi="仿宋" w:eastAsia="仿宋" w:cs="仿宋"/>
          <w:color w:val="auto"/>
          <w:sz w:val="24"/>
          <w:highlight w:val="none"/>
          <w:u w:val="single"/>
        </w:rPr>
        <w:t xml:space="preserve">开工前14天</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b/>
          <w:bCs/>
          <w:color w:val="auto"/>
          <w:sz w:val="24"/>
          <w:highlight w:val="none"/>
          <w:u w:val="single"/>
        </w:rPr>
      </w:pPr>
      <w:r>
        <w:rPr>
          <w:rFonts w:hint="eastAsia" w:ascii="仿宋" w:hAnsi="仿宋" w:eastAsia="仿宋" w:cs="仿宋"/>
          <w:color w:val="auto"/>
          <w:sz w:val="24"/>
          <w:highlight w:val="none"/>
        </w:rPr>
        <w:t xml:space="preserve">发包人向承包人提供图纸的数量：</w:t>
      </w:r>
      <w:r>
        <w:rPr>
          <w:rFonts w:hint="eastAsia" w:ascii="仿宋" w:hAnsi="仿宋" w:eastAsia="仿宋" w:cs="仿宋"/>
          <w:b/>
          <w:bCs/>
          <w:color w:val="auto"/>
          <w:sz w:val="24"/>
          <w:highlight w:val="none"/>
          <w:u w:val="single"/>
        </w:rPr>
        <w:t xml:space="preserve">肆套（含用作竣工图使用的图纸）。如承包人需增加施工图纸，由发包人与设计院联系，出图费用由承包人自行承担。设计文件和图纸由发包人统一提供，承包人不得直接接收设计单位提供的设计文件和图纸；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承包人收到文件和图纸后，要根据技术标准、设计规范、标准设计图、通用图和有关规定，对设计文件和图纸认真审查。发现问题及时以书面形式报告发包人。否则，因设计文件和图纸差错造成的损失，由承包人承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发包人向承包人提供图纸的内容：</w:t>
      </w:r>
      <w:r>
        <w:rPr>
          <w:rFonts w:hint="eastAsia" w:ascii="仿宋" w:hAnsi="仿宋" w:eastAsia="仿宋" w:cs="仿宋"/>
          <w:b/>
          <w:bCs/>
          <w:color w:val="auto"/>
          <w:sz w:val="24"/>
          <w:highlight w:val="none"/>
          <w:u w:val="single"/>
        </w:rPr>
        <w:t xml:space="preserve">已经审核的工程施工的全套图（发包人不提供所配套的有关图集）。</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发包人对图纸的保密要求：</w:t>
      </w:r>
      <w:r>
        <w:rPr>
          <w:rFonts w:hint="eastAsia" w:ascii="仿宋" w:hAnsi="仿宋" w:eastAsia="仿宋" w:cs="仿宋"/>
          <w:color w:val="auto"/>
          <w:sz w:val="24"/>
          <w:highlight w:val="none"/>
          <w:u w:val="single"/>
        </w:rPr>
        <w:t xml:space="preserve">除法律规定或合同另有约定外，未经发包人同意，承包人不得因本工程以外的原因复制本工程图纸、相关文件等，不得向第三方提供有关本工程的任何技术资料。</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1.6.4 承包人文件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需要由承包人提供的文件，包括但不限于：</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 xml:space="preserve">①按 GB/T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50502</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b/>
          <w:bCs/>
          <w:color w:val="auto"/>
          <w:sz w:val="24"/>
          <w:szCs w:val="24"/>
          <w:highlight w:val="none"/>
          <w:u w:val="single"/>
          <w:lang w:val="en-US" w:eastAsia="zh-CN"/>
        </w:rPr>
        <w:t xml:space="preserve">2009</w:t>
      </w:r>
      <w:r>
        <w:rPr>
          <w:rFonts w:hint="eastAsia" w:ascii="仿宋" w:hAnsi="仿宋" w:eastAsia="仿宋" w:cs="仿宋"/>
          <w:color w:val="auto"/>
          <w:sz w:val="24"/>
          <w:szCs w:val="24"/>
          <w:highlight w:val="none"/>
          <w:u w:val="single"/>
        </w:rPr>
        <w:t xml:space="preserve">、本合同第二部分 通用合同条款 7.1 和 7.2 编制</w:t>
      </w:r>
      <w:r>
        <w:rPr>
          <w:rFonts w:hint="eastAsia" w:ascii="仿宋" w:hAnsi="仿宋" w:eastAsia="仿宋" w:cs="仿宋"/>
          <w:b/>
          <w:bCs/>
          <w:color w:val="auto"/>
          <w:sz w:val="24"/>
          <w:szCs w:val="24"/>
          <w:highlight w:val="none"/>
          <w:u w:val="single"/>
        </w:rPr>
        <w:t xml:space="preserve">施工组织设计、施工</w:t>
      </w:r>
      <w:r>
        <w:rPr>
          <w:rFonts w:hint="eastAsia" w:ascii="仿宋" w:hAnsi="仿宋" w:eastAsia="仿宋" w:cs="仿宋"/>
          <w:b/>
          <w:bCs/>
          <w:color w:val="auto"/>
          <w:sz w:val="24"/>
          <w:szCs w:val="24"/>
          <w:highlight w:val="none"/>
          <w:u w:val="single"/>
          <w:lang w:val="en-US" w:eastAsia="zh-CN"/>
        </w:rPr>
        <w:t xml:space="preserve">进度</w:t>
      </w:r>
      <w:r>
        <w:rPr>
          <w:rFonts w:hint="eastAsia" w:ascii="仿宋" w:hAnsi="仿宋" w:eastAsia="仿宋" w:cs="仿宋"/>
          <w:b/>
          <w:bCs/>
          <w:color w:val="auto"/>
          <w:sz w:val="24"/>
          <w:szCs w:val="24"/>
          <w:highlight w:val="none"/>
          <w:u w:val="single"/>
        </w:rPr>
        <w:t xml:space="preserve">计划</w:t>
      </w:r>
      <w:r>
        <w:rPr>
          <w:rFonts w:hint="eastAsia" w:ascii="仿宋" w:hAnsi="仿宋" w:eastAsia="仿宋" w:cs="仿宋"/>
          <w:color w:val="auto"/>
          <w:sz w:val="24"/>
          <w:szCs w:val="24"/>
          <w:highlight w:val="none"/>
          <w:u w:val="single"/>
        </w:rPr>
        <w:t xml:space="preserve">报监理人审核和发包人确认</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交通导改方案、扬尘污染防治方案等（专项）施工方案参照施工组织设计编制及提交和修改要求执行。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②由承包人办理的许可和批准的办理结果书面报送监理人审核和发包人确认、留存；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③拟制施工人员名册（动态），并与为其办理工伤保险的有效证明一起报送监理人审核和发包人确认；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⑤特殊工种作业人员资格证明报送监理人审核和发包人确认；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⑦工程质量管理体系及措施文件、质量检查制度、质量控制文件，报送监理人审核和发包人确认；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⑧工程安全管理体系及措施文件、安全检查制度、安全控制文件，报送监理人审核和发包人确认；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⑨发包人管理需要的其他文件；</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⑩上述文件如发包人因管理需增加时，承包人有义务按发包人提出的形式、格式、数量、时间等要求提供</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b/>
          <w:color w:val="auto"/>
          <w:sz w:val="24"/>
          <w:szCs w:val="24"/>
          <w:highlight w:val="none"/>
          <w:u w:val="single"/>
        </w:rPr>
        <w:t xml:space="preserve">根据合同约定或发包人、监理人要求</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b/>
          <w:color w:val="auto"/>
          <w:sz w:val="24"/>
          <w:szCs w:val="24"/>
          <w:highlight w:val="none"/>
          <w:u w:val="single"/>
        </w:rPr>
        <w:t xml:space="preserve">根据合同约定或发包人、监理人要求</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b/>
          <w:color w:val="auto"/>
          <w:sz w:val="24"/>
          <w:szCs w:val="24"/>
          <w:highlight w:val="none"/>
          <w:u w:val="single"/>
        </w:rPr>
        <w:t xml:space="preserve">根据合同约定或发包人、监理人要求</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b/>
          <w:bCs/>
          <w:color w:val="auto"/>
          <w:sz w:val="24"/>
          <w:szCs w:val="24"/>
          <w:highlight w:val="none"/>
          <w:u w:val="single"/>
        </w:rPr>
        <w:t xml:space="preserve">执行通用条款</w:t>
      </w:r>
      <w:r>
        <w:rPr>
          <w:rFonts w:hint="eastAsia" w:ascii="仿宋" w:hAnsi="仿宋" w:eastAsia="仿宋" w:cs="仿宋"/>
          <w:b/>
          <w:bCs/>
          <w:color w:val="auto"/>
          <w:sz w:val="24"/>
          <w:szCs w:val="24"/>
          <w:highlight w:val="none"/>
          <w:u w:val="single"/>
          <w:lang w:val="en-US" w:eastAsia="zh-CN"/>
        </w:rPr>
        <w:t xml:space="preserve">7.1.2和7.2.2规定</w:t>
      </w:r>
      <w:r>
        <w:rPr>
          <w:rFonts w:hint="eastAsia" w:ascii="仿宋" w:hAnsi="仿宋" w:eastAsia="仿宋" w:cs="仿宋"/>
          <w:b/>
          <w:color w:val="auto"/>
          <w:sz w:val="24"/>
          <w:szCs w:val="24"/>
          <w:highlight w:val="none"/>
          <w:u w:val="single"/>
        </w:rPr>
        <w:t xml:space="preserve">或发包人、监理人要求</w:t>
      </w:r>
      <w:r>
        <w:rPr>
          <w:rFonts w:hint="eastAsia" w:ascii="仿宋" w:hAnsi="仿宋" w:eastAsia="仿宋" w:cs="仿宋"/>
          <w:color w:val="auto"/>
          <w:sz w:val="24"/>
          <w:szCs w:val="24"/>
          <w:highlight w:val="none"/>
          <w:u w:val="singl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1.6.5 现场图纸准备</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承包人应在施工现场另外保存一套完整的图纸和承包人文件，供发包人、监理人及有关人员进行工程检查时使用。</w:t>
      </w:r>
      <w:r/>
    </w:p>
    <w:p>
      <w:pPr>
        <w:pStyle w:val="979"/>
        <w:rPr>
          <w:rFonts w:hint="eastAsia"/>
          <w:color w:val="auto"/>
          <w:highlight w:val="none"/>
        </w:rPr>
      </w:pPr>
      <w:r>
        <w:rPr>
          <w:rFonts w:hint="eastAsia"/>
          <w:color w:val="auto"/>
          <w:highlight w:val="none"/>
        </w:rPr>
        <w:t xml:space="preserve">1.7 联络</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1.7.1发包人和承包人应当在相应事件发生后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7</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1.7.2 发包人接收文件的地点：</w:t>
      </w:r>
      <w:r>
        <w:rPr>
          <w:rFonts w:hint="eastAsia" w:ascii="仿宋" w:hAnsi="仿宋" w:eastAsia="仿宋" w:cs="仿宋"/>
          <w:color w:val="auto"/>
          <w:sz w:val="24"/>
          <w:highlight w:val="none"/>
          <w:u w:val="single"/>
        </w:rPr>
        <w:t xml:space="preserve">发包人指定地点；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发包人指定的接收人为：</w:t>
      </w:r>
      <w:r>
        <w:rPr>
          <w:rFonts w:hint="eastAsia" w:ascii="仿宋" w:hAnsi="仿宋" w:eastAsia="仿宋" w:cs="仿宋"/>
          <w:color w:val="auto"/>
          <w:sz w:val="24"/>
          <w:highlight w:val="none"/>
          <w:u w:val="single"/>
        </w:rPr>
        <w:t xml:space="preserve">发包人派驻现场代表；</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承包人接收文件的地点：</w:t>
      </w:r>
      <w:r>
        <w:rPr>
          <w:rFonts w:hint="eastAsia" w:ascii="仿宋" w:hAnsi="仿宋" w:eastAsia="仿宋" w:cs="仿宋"/>
          <w:color w:val="auto"/>
          <w:sz w:val="24"/>
          <w:highlight w:val="none"/>
          <w:u w:val="single"/>
        </w:rPr>
        <w:t xml:space="preserve">施工现场办公室</w:t>
      </w:r>
      <w:r>
        <w:rPr>
          <w:rFonts w:hint="eastAsia" w:ascii="仿宋" w:hAnsi="仿宋" w:eastAsia="仿宋" w:cs="仿宋"/>
          <w:color w:val="auto"/>
          <w:sz w:val="24"/>
          <w:highlight w:val="none"/>
          <w:u w:val="single"/>
          <w:lang w:eastAsia="zh-CN"/>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承包人指定的接收人为：</w:t>
      </w:r>
      <w:r>
        <w:rPr>
          <w:rFonts w:hint="eastAsia" w:ascii="仿宋" w:hAnsi="仿宋" w:eastAsia="仿宋" w:cs="仿宋"/>
          <w:color w:val="auto"/>
          <w:sz w:val="24"/>
          <w:highlight w:val="none"/>
          <w:u w:val="single"/>
        </w:rPr>
        <w:t xml:space="preserve">承包人指定；</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监理人接收文件的地点：</w:t>
      </w:r>
      <w:r>
        <w:rPr>
          <w:rFonts w:hint="eastAsia" w:ascii="仿宋" w:hAnsi="仿宋" w:eastAsia="仿宋" w:cs="仿宋"/>
          <w:color w:val="auto"/>
          <w:sz w:val="24"/>
          <w:highlight w:val="none"/>
          <w:u w:val="single"/>
        </w:rPr>
        <w:t xml:space="preserve">监理人施工现场办公室；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监理人指定的接收人为：</w:t>
      </w:r>
      <w:r>
        <w:rPr>
          <w:rFonts w:hint="eastAsia" w:ascii="仿宋" w:hAnsi="仿宋" w:eastAsia="仿宋" w:cs="仿宋"/>
          <w:color w:val="auto"/>
          <w:sz w:val="24"/>
          <w:highlight w:val="none"/>
          <w:u w:val="single"/>
        </w:rPr>
        <w:t xml:space="preserve">总监或总监代表。</w:t>
      </w:r>
      <w:r/>
    </w:p>
    <w:p>
      <w:pPr>
        <w:pStyle w:val="979"/>
        <w:rPr>
          <w:rFonts w:hint="eastAsia"/>
          <w:color w:val="auto"/>
          <w:highlight w:val="none"/>
        </w:rPr>
      </w:pPr>
      <w:r>
        <w:rPr>
          <w:rFonts w:hint="eastAsia"/>
          <w:color w:val="auto"/>
          <w:highlight w:val="none"/>
        </w:rPr>
        <w:t xml:space="preserve">1.10 交通运输</w:t>
      </w:r>
      <w:r/>
    </w:p>
    <w:p>
      <w:pPr>
        <w:ind w:firstLine="420"/>
        <w:spacing w:line="360" w:lineRule="auto"/>
        <w:rPr>
          <w:rFonts w:hint="eastAsia" w:ascii="仿宋" w:hAnsi="仿宋" w:eastAsia="仿宋" w:cs="仿宋"/>
          <w:color w:val="auto"/>
          <w:sz w:val="24"/>
          <w:szCs w:val="24"/>
          <w:highlight w:val="none"/>
        </w:rPr>
      </w:pPr>
      <w:r/>
      <w:bookmarkStart w:id="31" w:name="_Toc304295521"/>
      <w:r/>
      <w:bookmarkStart w:id="32" w:name="_Toc312677986"/>
      <w:r/>
      <w:bookmarkStart w:id="33" w:name="_Toc303539100"/>
      <w:r/>
      <w:bookmarkStart w:id="34" w:name="_Toc300934943"/>
      <w:r/>
      <w:bookmarkStart w:id="35" w:name="_Toc318581155"/>
      <w:r>
        <w:rPr>
          <w:rFonts w:hint="eastAsia" w:ascii="仿宋" w:hAnsi="仿宋" w:eastAsia="仿宋" w:cs="仿宋"/>
          <w:color w:val="auto"/>
          <w:sz w:val="24"/>
          <w:szCs w:val="24"/>
          <w:highlight w:val="none"/>
        </w:rPr>
        <w:t xml:space="preserve">1.10.1 出入现场的权利：</w:t>
      </w:r>
      <w:r>
        <w:rPr>
          <w:rFonts w:hint="eastAsia" w:ascii="仿宋" w:hAnsi="仿宋" w:eastAsia="仿宋" w:cs="仿宋"/>
          <w:color w:val="auto"/>
          <w:sz w:val="24"/>
          <w:szCs w:val="24"/>
          <w:highlight w:val="none"/>
          <w:u w:val="single"/>
        </w:rPr>
        <w:t xml:space="preserve"> 由承包人按发包人要求负责取得出入施工现场所需的批准手续和全部权利，以及取得因施工所需修建道路以及其他基础设施的权利，并承担相关手续费用和建设费用，此费用包含在合同价款内</w:t>
      </w:r>
      <w:r>
        <w:rPr>
          <w:rFonts w:hint="eastAsia" w:ascii="仿宋" w:hAnsi="仿宋" w:eastAsia="仿宋" w:cs="仿宋"/>
          <w:color w:val="auto"/>
          <w:sz w:val="24"/>
          <w:szCs w:val="24"/>
          <w:highlight w:val="none"/>
          <w:u w:val="single"/>
        </w:rPr>
        <w:t xml:space="preserve">。发包人应协助承包人办理上述手续。</w:t>
      </w:r>
      <w:bookmarkEnd w:id="31"/>
      <w:r/>
      <w:bookmarkEnd w:id="32"/>
      <w:r/>
      <w:bookmarkEnd w:id="33"/>
      <w:r/>
      <w:bookmarkEnd w:id="34"/>
      <w:r/>
      <w:bookmarkEnd w:id="35"/>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bookmarkStart w:id="36" w:name="_Toc303539101"/>
      <w:r/>
      <w:bookmarkStart w:id="37" w:name="_Toc304295522"/>
      <w:r/>
      <w:bookmarkStart w:id="38" w:name="_Toc318581156"/>
      <w:r/>
      <w:bookmarkStart w:id="39" w:name="_Toc300934944"/>
      <w:r/>
      <w:bookmarkStart w:id="40" w:name="_Toc312677987"/>
      <w:r>
        <w:rPr>
          <w:rFonts w:hint="eastAsia" w:ascii="仿宋" w:hAnsi="仿宋" w:eastAsia="仿宋" w:cs="仿宋"/>
          <w:color w:val="auto"/>
          <w:sz w:val="24"/>
          <w:highlight w:val="none"/>
        </w:rPr>
        <w:t xml:space="preserve">.10.3 场内交通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以现场实际施工条件为准。</w:t>
      </w:r>
      <w:r/>
    </w:p>
    <w:p>
      <w:pPr>
        <w:ind w:firstLine="480"/>
        <w:jc w:val="left"/>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bookmarkEnd w:id="36"/>
      <w:r/>
      <w:bookmarkEnd w:id="37"/>
      <w:r/>
      <w:bookmarkEnd w:id="38"/>
      <w:r/>
      <w:bookmarkEnd w:id="39"/>
      <w:r/>
      <w:bookmarkEnd w:id="40"/>
      <w:r/>
      <w:bookmarkStart w:id="41" w:name="_Toc318581157"/>
      <w:r>
        <w:rPr>
          <w:rFonts w:hint="eastAsia" w:ascii="仿宋" w:hAnsi="仿宋" w:eastAsia="仿宋" w:cs="仿宋"/>
          <w:color w:val="auto"/>
          <w:sz w:val="24"/>
          <w:szCs w:val="24"/>
          <w:highlight w:val="none"/>
          <w:u w:val="single"/>
        </w:rPr>
        <w:t xml:space="preserve">不提供。</w:t>
      </w:r>
      <w:r>
        <w:rPr>
          <w:rFonts w:hint="eastAsia" w:ascii="仿宋" w:hAnsi="仿宋" w:eastAsia="仿宋" w:cs="仿宋"/>
          <w:b/>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承包人 </w:t>
      </w:r>
      <w:r>
        <w:rPr>
          <w:rFonts w:hint="eastAsia" w:ascii="仿宋" w:hAnsi="仿宋" w:eastAsia="仿宋" w:cs="仿宋"/>
          <w:color w:val="auto"/>
          <w:sz w:val="24"/>
          <w:szCs w:val="24"/>
          <w:highlight w:val="none"/>
        </w:rPr>
        <w:t xml:space="preserve">承担。</w:t>
      </w:r>
      <w:bookmarkEnd w:id="41"/>
      <w:r/>
      <w:r/>
    </w:p>
    <w:p>
      <w:pPr>
        <w:pStyle w:val="979"/>
        <w:rPr>
          <w:rFonts w:hint="eastAsia"/>
          <w:color w:val="auto"/>
          <w:highlight w:val="none"/>
        </w:rPr>
      </w:pPr>
      <w:r>
        <w:rPr>
          <w:rFonts w:hint="eastAsia"/>
          <w:color w:val="auto"/>
          <w:highlight w:val="none"/>
        </w:rPr>
        <w:t xml:space="preserve">1.11 知识产权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u w:val="single"/>
          <w:lang w:val="en-US" w:eastAsia="zh-CN"/>
        </w:rPr>
        <w:t xml:space="preserve">1.11.1</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u w:val="single"/>
          <w:lang w:val="en-US" w:eastAsia="zh-CN"/>
        </w:rPr>
        <w:t xml:space="preserve">1.11.1</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1.11.2 关于承包人为实施工程所编制文件的著作权的归属：</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u w:val="single"/>
          <w:lang w:val="en-US" w:eastAsia="zh-CN"/>
        </w:rPr>
        <w:t xml:space="preserve">1.11.2</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u w:val="single"/>
          <w:lang w:val="en-US" w:eastAsia="zh-CN"/>
        </w:rPr>
        <w:t xml:space="preserve">1.11.2</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1.11.4 承包人在施工过程中所采用的专利、专有技术、技术秘密的使用费的承担方式：</w:t>
      </w:r>
      <w:r>
        <w:rPr>
          <w:rFonts w:hint="eastAsia" w:ascii="仿宋" w:hAnsi="仿宋" w:eastAsia="仿宋" w:cs="仿宋"/>
          <w:color w:val="auto"/>
          <w:sz w:val="24"/>
          <w:highlight w:val="none"/>
          <w:u w:val="single"/>
        </w:rPr>
        <w:t xml:space="preserve">执行通用条款</w:t>
      </w:r>
      <w:r>
        <w:rPr>
          <w:rFonts w:hint="eastAsia" w:ascii="仿宋" w:hAnsi="仿宋" w:eastAsia="仿宋" w:cs="仿宋"/>
          <w:color w:val="auto"/>
          <w:sz w:val="24"/>
          <w:highlight w:val="none"/>
          <w:u w:val="single"/>
          <w:lang w:val="en-US" w:eastAsia="zh-CN"/>
        </w:rPr>
        <w:t xml:space="preserve">1.11.4</w:t>
      </w:r>
      <w:r>
        <w:rPr>
          <w:rFonts w:hint="eastAsia" w:ascii="仿宋" w:hAnsi="仿宋" w:eastAsia="仿宋" w:cs="仿宋"/>
          <w:color w:val="auto"/>
          <w:sz w:val="24"/>
          <w:highlight w:val="none"/>
        </w:rPr>
        <w:t xml:space="preserve">。</w:t>
      </w:r>
      <w:r/>
    </w:p>
    <w:p>
      <w:pPr>
        <w:pStyle w:val="979"/>
        <w:rPr>
          <w:color w:val="auto"/>
          <w:highlight w:val="none"/>
        </w:rPr>
      </w:pPr>
      <w:r>
        <w:rPr>
          <w:rFonts w:hint="eastAsia"/>
          <w:color w:val="auto"/>
          <w:highlight w:val="none"/>
        </w:rPr>
        <w:t xml:space="preserve">1.13工程量清单错误的修正</w:t>
      </w:r>
      <w:r/>
    </w:p>
    <w:p>
      <w:pPr>
        <w:ind w:firstLine="480"/>
        <w:spacing w:line="360" w:lineRule="auto"/>
        <w:rPr>
          <w:rFonts w:hint="eastAsia" w:ascii="仿宋" w:hAnsi="仿宋" w:eastAsia="仿宋" w:cs="仿宋"/>
          <w:color w:val="auto"/>
          <w:sz w:val="24"/>
          <w:szCs w:val="24"/>
          <w:highlight w:val="none"/>
          <w:u w:val="single"/>
        </w:rPr>
      </w:pPr>
      <w:r/>
      <w:bookmarkStart w:id="42" w:name="_Toc351203634"/>
      <w:r>
        <w:rPr>
          <w:rFonts w:hint="eastAsia" w:ascii="仿宋" w:hAnsi="仿宋" w:eastAsia="仿宋" w:cs="仿宋"/>
          <w:color w:val="auto"/>
          <w:sz w:val="24"/>
          <w:szCs w:val="24"/>
          <w:highlight w:val="none"/>
        </w:rPr>
        <w:t xml:space="preserve">出现工程量清单错误时，是否调整合同价格：</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工程量清单特征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以图纸为准）以上三种情况承包人在投标报价时应当充分考虑，不作为调整合同价格依据。</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发包人在中标通知书发布日期后30日内完成设计交底及图纸会审。施工单位应对招标清单漏项、漏量问题在设计交底时一次性提出，且经</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、财政局、设计单位、招标代理机构确认。针对图纸会审、清单漏项、漏量导致工程量及造价增加的内容，由</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履行签证审批手续后可以计入最终结算</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如超出上述时间未提出的，视为施工单位认可清单及施工图设计全部内容。</w:t>
      </w:r>
      <w:r/>
    </w:p>
    <w:p>
      <w:pPr>
        <w:ind w:firstLine="480"/>
        <w:spacing w:line="360" w:lineRule="auto"/>
        <w:rPr>
          <w:rFonts w:ascii="宋体" w:hAnsi="宋体" w:cs="宋体"/>
          <w:bCs/>
          <w:color w:val="auto"/>
          <w:szCs w:val="21"/>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t xml:space="preserve">执行“合同价格、计量与支付”相关条款</w:t>
      </w:r>
      <w:r>
        <w:rPr>
          <w:rFonts w:hint="eastAsia" w:ascii="仿宋" w:hAnsi="仿宋" w:eastAsia="仿宋" w:cs="仿宋"/>
          <w:bCs/>
          <w:color w:val="auto"/>
          <w:sz w:val="24"/>
          <w:szCs w:val="24"/>
          <w:highlight w:val="none"/>
        </w:rPr>
        <w:t xml:space="preserve">。</w:t>
      </w:r>
      <w:r/>
    </w:p>
    <w:p>
      <w:pPr>
        <w:pStyle w:val="978"/>
        <w:rPr>
          <w:color w:val="auto"/>
          <w:highlight w:val="none"/>
        </w:rPr>
      </w:pPr>
      <w:r>
        <w:rPr>
          <w:rFonts w:hint="eastAsia"/>
          <w:color w:val="auto"/>
          <w:highlight w:val="none"/>
        </w:rPr>
        <w:t xml:space="preserve">2</w:t>
      </w:r>
      <w:bookmarkStart w:id="43" w:name="_Toc292559362"/>
      <w:r/>
      <w:bookmarkStart w:id="44" w:name="_Toc297048343"/>
      <w:r/>
      <w:bookmarkStart w:id="45" w:name="_Toc296346658"/>
      <w:r/>
      <w:bookmarkStart w:id="46" w:name="_Toc292559867"/>
      <w:r/>
      <w:bookmarkStart w:id="47" w:name="_Toc297120457"/>
      <w:r/>
      <w:bookmarkStart w:id="48" w:name="_Toc296347156"/>
      <w:r/>
      <w:bookmarkStart w:id="49" w:name="_Toc296891197"/>
      <w:r/>
      <w:bookmarkStart w:id="50" w:name="_Toc296944496"/>
      <w:r/>
      <w:bookmarkStart w:id="51" w:name="_Toc296503157"/>
      <w:r/>
      <w:bookmarkStart w:id="52" w:name="_Toc296890985"/>
      <w:r>
        <w:rPr>
          <w:rFonts w:hint="eastAsia"/>
          <w:color w:val="auto"/>
          <w:highlight w:val="none"/>
        </w:rPr>
        <w:t xml:space="preserve">. 发包人</w:t>
      </w:r>
      <w:bookmarkEnd w:id="42"/>
      <w:r/>
      <w:bookmarkEnd w:id="43"/>
      <w:r/>
      <w:bookmarkEnd w:id="44"/>
      <w:r/>
      <w:bookmarkEnd w:id="45"/>
      <w:r/>
      <w:bookmarkEnd w:id="46"/>
      <w:r/>
      <w:bookmarkEnd w:id="47"/>
      <w:r/>
      <w:bookmarkEnd w:id="48"/>
      <w:r/>
      <w:bookmarkEnd w:id="49"/>
      <w:r/>
      <w:bookmarkEnd w:id="50"/>
      <w:r/>
      <w:bookmarkEnd w:id="51"/>
      <w:r/>
      <w:bookmarkEnd w:id="52"/>
      <w:r/>
      <w:r/>
    </w:p>
    <w:p>
      <w:pPr>
        <w:pStyle w:val="979"/>
        <w:rPr>
          <w:color w:val="auto"/>
          <w:highlight w:val="none"/>
        </w:rPr>
      </w:pPr>
      <w:r>
        <w:rPr>
          <w:rFonts w:hint="eastAsia"/>
          <w:color w:val="auto"/>
          <w:highlight w:val="none"/>
        </w:rPr>
        <w:t xml:space="preserve">2.2 发包人代表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发包人代表：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职    务：</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电子信箱：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通信地址：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发包人对发包人代表的授权范围如下：</w:t>
      </w:r>
      <w:r>
        <w:rPr>
          <w:rFonts w:hint="eastAsia" w:ascii="仿宋" w:hAnsi="仿宋" w:eastAsia="仿宋" w:cs="仿宋"/>
          <w:color w:val="auto"/>
          <w:sz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979"/>
        <w:rPr>
          <w:color w:val="auto"/>
          <w:highlight w:val="none"/>
        </w:rPr>
      </w:pPr>
      <w:r>
        <w:rPr>
          <w:rFonts w:hint="eastAsia"/>
          <w:color w:val="auto"/>
          <w:highlight w:val="none"/>
        </w:rPr>
        <w:t xml:space="preserve">2.4 施工现场、施工条件和基础资料的提供</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2.4.1 提供施工现场</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关于发包人移交施工现场的期限要求：</w:t>
      </w:r>
      <w:r>
        <w:rPr>
          <w:rFonts w:hint="eastAsia" w:ascii="仿宋" w:hAnsi="仿宋" w:eastAsia="仿宋" w:cs="仿宋"/>
          <w:color w:val="auto"/>
          <w:sz w:val="24"/>
          <w:highlight w:val="none"/>
          <w:u w:val="single"/>
        </w:rPr>
        <w:t xml:space="preserve">开工通知载明的开工日期7日前</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2.4.2 提供施工条件</w:t>
      </w:r>
      <w:r/>
    </w:p>
    <w:p>
      <w:pPr>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关于发包人应负责提供施工所需要的条件，包括：</w:t>
      </w:r>
      <w:r/>
    </w:p>
    <w:p>
      <w:pPr>
        <w:ind w:firstLine="60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（1）水源、电源发包人不提供，投标人自行考虑，</w:t>
      </w:r>
      <w:r>
        <w:rPr>
          <w:rFonts w:hint="eastAsia" w:ascii="仿宋" w:hAnsi="仿宋" w:eastAsia="仿宋" w:cs="仿宋"/>
          <w:bCs/>
          <w:color w:val="auto"/>
          <w:sz w:val="24"/>
          <w:szCs w:val="24"/>
          <w:highlight w:val="none"/>
          <w:u w:val="single"/>
        </w:rPr>
        <w:t xml:space="preserve">所需费用含在投标报价内</w:t>
      </w:r>
      <w:r>
        <w:rPr>
          <w:rFonts w:hint="eastAsia" w:ascii="仿宋" w:hAnsi="仿宋" w:eastAsia="仿宋" w:cs="仿宋"/>
          <w:color w:val="auto"/>
          <w:sz w:val="24"/>
          <w:szCs w:val="24"/>
          <w:highlight w:val="none"/>
          <w:u w:val="single"/>
        </w:rPr>
        <w:t xml:space="preserve">。</w:t>
      </w:r>
      <w:r/>
    </w:p>
    <w:p>
      <w:pPr>
        <w:pStyle w:val="1250"/>
        <w:ind w:left="0" w:right="0" w:firstLine="480"/>
        <w:spacing w:before="0"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（2）施工道路由承包人根据批准的施工组织设计在开工前自行完成，并满足施工要求及有关规定，此费用包含在投标报价内。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（3）图纸会审和设计交底时间：开工前</w:t>
      </w:r>
      <w:r>
        <w:rPr>
          <w:rFonts w:hint="eastAsia" w:ascii="仿宋" w:hAnsi="仿宋" w:eastAsia="仿宋" w:cs="仿宋"/>
          <w:color w:val="auto"/>
          <w:sz w:val="24"/>
          <w:szCs w:val="24"/>
          <w:highlight w:val="none"/>
          <w:u w:val="single"/>
          <w:lang w:val="en-US" w:eastAsia="zh-CN"/>
        </w:rPr>
        <w:t xml:space="preserve">7日</w:t>
      </w:r>
      <w:r>
        <w:rPr>
          <w:rFonts w:hint="eastAsia" w:ascii="仿宋" w:hAnsi="仿宋" w:eastAsia="仿宋" w:cs="仿宋"/>
          <w:color w:val="auto"/>
          <w:sz w:val="24"/>
          <w:szCs w:val="24"/>
          <w:highlight w:val="none"/>
          <w:u w:val="single"/>
        </w:rPr>
        <w:t xml:space="preserve">内完成。</w:t>
      </w:r>
      <w:r/>
    </w:p>
    <w:p>
      <w:pPr>
        <w:ind w:firstLine="480"/>
        <w:jc w:val="left"/>
        <w:spacing w:line="360" w:lineRule="auto"/>
        <w:rPr>
          <w:rFonts w:ascii="仿宋" w:hAnsi="仿宋" w:eastAsia="仿宋" w:cs="仿宋"/>
          <w:color w:val="auto"/>
          <w:sz w:val="24"/>
          <w:highlight w:val="none"/>
          <w:u w:val="single"/>
        </w:rPr>
      </w:pPr>
      <w:r>
        <w:rPr>
          <w:rFonts w:hint="eastAsia" w:ascii="仿宋" w:hAnsi="仿宋" w:eastAsia="仿宋" w:cs="仿宋"/>
          <w:color w:val="auto"/>
          <w:sz w:val="24"/>
          <w:szCs w:val="24"/>
          <w:highlight w:val="none"/>
          <w:u w:val="single"/>
        </w:rPr>
        <w:t xml:space="preserve">（4）由承包人负责协调处理施工场地周围地下管线和邻近建筑物、构筑物（含文物保护建筑）、古树名木的保护工作，</w:t>
      </w:r>
      <w:r>
        <w:rPr>
          <w:rFonts w:hint="eastAsia" w:ascii="仿宋" w:hAnsi="仿宋" w:eastAsia="仿宋" w:cs="仿宋"/>
          <w:bCs/>
          <w:color w:val="auto"/>
          <w:sz w:val="24"/>
          <w:szCs w:val="24"/>
          <w:highlight w:val="none"/>
          <w:u w:val="single"/>
        </w:rPr>
        <w:t xml:space="preserve">施工期间的周边关系及第三方干扰等由承包人负责协调，所需费用含在投标报价内。</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2.5 资金来源证明及支付担保</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发包人提供资金来源证明的期限要求：</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发包人是否提供支付担保：</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发包人提供支付担保的形式：</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pStyle w:val="978"/>
        <w:rPr>
          <w:color w:val="auto"/>
          <w:highlight w:val="none"/>
        </w:rPr>
      </w:pPr>
      <w:r/>
      <w:bookmarkStart w:id="53" w:name="_Toc351203635"/>
      <w:r>
        <w:rPr>
          <w:rFonts w:hint="eastAsia"/>
          <w:color w:val="auto"/>
          <w:highlight w:val="none"/>
        </w:rPr>
        <w:t xml:space="preserve">3</w:t>
      </w:r>
      <w:bookmarkStart w:id="54" w:name="_Toc292559363"/>
      <w:r/>
      <w:bookmarkStart w:id="55" w:name="_Toc296891198"/>
      <w:r/>
      <w:bookmarkStart w:id="56" w:name="_Toc296944497"/>
      <w:r/>
      <w:bookmarkStart w:id="57" w:name="_Toc292559868"/>
      <w:r/>
      <w:bookmarkStart w:id="58" w:name="_Toc296346659"/>
      <w:r/>
      <w:bookmarkStart w:id="59" w:name="_Toc297048344"/>
      <w:r/>
      <w:bookmarkStart w:id="60" w:name="_Toc296347157"/>
      <w:r/>
      <w:bookmarkStart w:id="61" w:name="_Toc296890986"/>
      <w:r/>
      <w:bookmarkStart w:id="62" w:name="_Toc297120458"/>
      <w:r/>
      <w:bookmarkStart w:id="63" w:name="_Toc296503158"/>
      <w:r>
        <w:rPr>
          <w:rFonts w:hint="eastAsia"/>
          <w:color w:val="auto"/>
          <w:highlight w:val="none"/>
        </w:rPr>
        <w:t xml:space="preserve">. 承包人</w:t>
      </w:r>
      <w:bookmarkEnd w:id="53"/>
      <w:r/>
      <w:bookmarkEnd w:id="54"/>
      <w:r/>
      <w:bookmarkEnd w:id="55"/>
      <w:r/>
      <w:bookmarkEnd w:id="56"/>
      <w:r/>
      <w:bookmarkEnd w:id="57"/>
      <w:r/>
      <w:bookmarkEnd w:id="58"/>
      <w:r/>
      <w:bookmarkEnd w:id="59"/>
      <w:r/>
      <w:bookmarkEnd w:id="60"/>
      <w:r/>
      <w:bookmarkEnd w:id="61"/>
      <w:r/>
      <w:bookmarkEnd w:id="62"/>
      <w:r/>
      <w:bookmarkEnd w:id="63"/>
      <w:r/>
      <w:r/>
    </w:p>
    <w:p>
      <w:pPr>
        <w:pStyle w:val="979"/>
        <w:rPr>
          <w:rFonts w:hint="eastAsia"/>
          <w:color w:val="auto"/>
          <w:highlight w:val="none"/>
        </w:rPr>
      </w:pPr>
      <w:r>
        <w:rPr>
          <w:rFonts w:hint="eastAsia"/>
          <w:color w:val="auto"/>
          <w:highlight w:val="none"/>
        </w:rPr>
        <w:t xml:space="preserve">3.1 承包人的一般义务</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3.1.1在本合同签订后，承包人应积极办理合同、质监、安监手续，配合发包人办理施工许可、渣土等手续，并承担需承包人缴纳的相关费用。</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3.1.2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3.1.3施工过程中的排污、渣土、环卫、市容、城建、城管、治安、人口管理等相关手续由承包人按规定负责办理并承担因此产生的一切费用，对临近居民和行人的影响由承包人负责处理并承担一切责任</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若因上述原因引起相关部门的处罚，则由承包人承担处罚的费用</w:t>
      </w:r>
      <w:r>
        <w:rPr>
          <w:rFonts w:hint="eastAsia" w:ascii="仿宋" w:hAnsi="仿宋" w:eastAsia="仿宋" w:cs="仿宋"/>
          <w:color w:val="auto"/>
          <w:sz w:val="24"/>
          <w:szCs w:val="24"/>
          <w:highlight w:val="none"/>
          <w:u w:val="single"/>
        </w:rPr>
        <w:t xml:space="preserve">。承包人为满足建设主管部门、质检、安监、城管（渣土）等相关部门的要求，而修建的道路、围墙、标牌标识、道路加固、安全防护等费用均已包含在投标报价中，发包人不支付任何费用。</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3.1.4承包人负责采取有效措施对已完成工程成品的保护，费用由承包人承担。保护期间发生的损坏承包人自费予以修理。损坏其他单位所承担的施工内容，由承包人负责赔偿，并承担修复费用。</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3.1.5承包人须按规定做好施工场地周围地下管线和邻近建筑物的保护。若因承包人原因造成损坏，由承包人负责修复并承担一切费用。若承包人拒绝修复，发包人有权安排其他施工单位修复，所需费用从承包人工程款中扣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3.1.6</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"https://www.baidu.c</w:instrText>
      </w:r>
      <w:r>
        <w:rPr>
          <w:rFonts w:hint="eastAsia" w:ascii="仿宋" w:hAnsi="仿宋" w:eastAsia="仿宋" w:cs="仿宋"/>
          <w:color w:val="auto"/>
          <w:sz w:val="24"/>
          <w:szCs w:val="24"/>
          <w:highlight w:val="none"/>
        </w:rPr>
        <w:instrText xml:space="preserve">om/s?wd=%E5%BB%BA%E7%AD%91%E6%96%BD%E5%B7%A5%E4%BC%81%E4%B8%9A&amp;tn=44039180_cpr&amp;fenlei=mv6quAkxTZn0IZRqIHckPjm4nH00T1dBmHb1nWcvryFWnhmkn1fk0ZwV5Hcvrjm3rH6sPfKWUMw85HfYnjn4nH6sgvPsT6KdThsqpZwYTjCEQLGCpyw9Uz4Bmy-bIi4WUvYETgN-TLwGUv3EPjDYnWRsnWTv" \t "_blank"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必须按照工程设计要求、施工技术标准和合同的约定，对建筑材料、建筑构配件和设备进行检验，不合格的不得使用。施工过程中的相关材料及工序检验及最终工程验收及相关费用由承包人承担。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3.1.7承包人使用的临时用水、临时用电等设施在合同执行期间，应按时交纳水电费。</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3.1.8施工现场应符合徐州市有关部门规定的标准化施工现场要求，同时应满足市政、市容等相关主管部门的有关规定。不符合要求者，承包人应承担 200~2000 元/ 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pStyle w:val="989"/>
        <w:ind w:firstLine="480"/>
        <w:jc w:val="both"/>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rPr>
        <w:t xml:space="preserve">承包人提交的竣工资料的内容：</w:t>
      </w:r>
      <w:r>
        <w:rPr>
          <w:rFonts w:hint="eastAsia" w:ascii="仿宋" w:hAnsi="仿宋" w:eastAsia="仿宋" w:cs="仿宋"/>
          <w:color w:val="auto"/>
          <w:sz w:val="24"/>
          <w:szCs w:val="24"/>
          <w:highlight w:val="none"/>
          <w:u w:val="single"/>
          <w:lang w:val="en-US" w:eastAsia="zh-CN" w:bidi="ar-SA"/>
        </w:rPr>
        <w:t xml:space="preserve"> 提供符合城建档案馆和行政质检监督部门要求的竣工图（含电子</w:t>
      </w:r>
      <w:r>
        <w:rPr>
          <w:rFonts w:hint="eastAsia" w:ascii="仿宋" w:hAnsi="仿宋" w:eastAsia="仿宋" w:cs="仿宋"/>
          <w:color w:val="auto"/>
          <w:sz w:val="24"/>
          <w:szCs w:val="24"/>
          <w:highlight w:val="none"/>
          <w:u w:val="single"/>
          <w:lang w:val="en-US" w:eastAsia="zh-CN" w:bidi="ar-SA"/>
        </w:rPr>
        <w:t xml:space="preserve">档）及竣工资料。即承包人按照 GB/T50328-2014《建设工程文件归档整理规范》（2019版）及江苏省相关法规、规范标及本合同要求绘制竣工图（含电子档）及完整的工程技术档案、工程质量保修书及有关工程使用、保养、维护的说明。包括但不限于：（1）招标文件、投标文件、中标通知书；（2）合同文本；（3）开、竣工报告；（4）竣工验收合格证明书；（5）签证变更资料；（6）甲控材料认价单；（7）竣工图等。质保到期资料移交要求（包括但不限于以下内容）：（1）竣工资料中管线资料必须具有测绘资质的测量单位出具的相应报告。</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 提交盖承包人公章和工程竣工资料专用章的纸质版资料叁套（含电子档竣工图）。</w:t>
      </w:r>
      <w:r/>
    </w:p>
    <w:p>
      <w:pPr>
        <w:ind w:firstLine="480"/>
        <w:jc w:val="left"/>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    由承包人自行承担 。</w:t>
      </w:r>
      <w:r/>
    </w:p>
    <w:p>
      <w:pPr>
        <w:ind w:firstLine="480"/>
        <w:jc w:val="left"/>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承包人提交的竣工资料移交时间： </w:t>
      </w:r>
      <w:r>
        <w:rPr>
          <w:rFonts w:hint="eastAsia" w:ascii="仿宋" w:hAnsi="仿宋" w:eastAsia="仿宋" w:cs="仿宋"/>
          <w:color w:val="auto"/>
          <w:sz w:val="24"/>
          <w:szCs w:val="24"/>
          <w:highlight w:val="none"/>
          <w:u w:val="single"/>
        </w:rPr>
        <w:t xml:space="preserve">工程竣工验收合格之日起30</w:t>
      </w:r>
      <w:r>
        <w:rPr>
          <w:rFonts w:hint="eastAsia" w:ascii="仿宋" w:hAnsi="仿宋" w:eastAsia="仿宋" w:cs="仿宋"/>
          <w:color w:val="auto"/>
          <w:sz w:val="24"/>
          <w:szCs w:val="24"/>
          <w:highlight w:val="none"/>
          <w:u w:val="single"/>
          <w:lang w:val="en-US" w:eastAsia="zh-CN"/>
        </w:rPr>
        <w:t xml:space="preserve">日</w:t>
      </w:r>
      <w:r>
        <w:rPr>
          <w:rFonts w:hint="eastAsia" w:ascii="仿宋" w:hAnsi="仿宋" w:eastAsia="仿宋" w:cs="仿宋"/>
          <w:color w:val="auto"/>
          <w:sz w:val="24"/>
          <w:szCs w:val="24"/>
          <w:highlight w:val="none"/>
          <w:u w:val="single"/>
        </w:rPr>
        <w:t xml:space="preserve">内完成移交。</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立卷、装订成册的纸质文档和电子文档 。</w:t>
      </w:r>
      <w:r/>
    </w:p>
    <w:p>
      <w:pPr>
        <w:numPr>
          <w:ilvl w:val="0"/>
          <w:numId w:val="4"/>
        </w:numPr>
        <w:ind w:firstLine="63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承包人应履行的其他义务：</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 承包人应按发包人的指令，完成发包人要求的对工程内容的任何增加和删减；</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书面的告知义务，否则造成工程质量、安全、进度损失，也不能免除承包人的责任。</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w:t>
      </w:r>
      <w:r>
        <w:rPr>
          <w:rFonts w:hint="eastAsia" w:ascii="仿宋" w:hAnsi="仿宋" w:eastAsia="仿宋" w:cs="仿宋"/>
          <w:b/>
          <w:bCs/>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应按照政府相关规定，建立健全的雇员工资发放和劳动保障制度，如因雇员的工资发放和劳动保障制度不健全而引发纠纷，导致民工围堵发包人等的，每发生一次支付5万元的违约金，发生2次后发包人有权解除合同，并有权要求承包人无条件退场，发包人代承包人处理相关纠纷，所支出的费用由承包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⑤负责工地安全保卫，维护工地治安，协调与周边环境的劳务纠纷，杜绝施工人员在工地斗殴。如承包人未履行上述义务造成工程财产、人身伤害等，由承包人承担全部责任。</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szCs w:val="24"/>
          <w:highlight w:val="none"/>
          <w:u w:val="single"/>
        </w:rPr>
        <w:t xml:space="preserve">⑥本工程所有建筑垃圾外运均由承包人自行处理，外运运距及垃圾处理地、外运涉及的城管、渣土、路政等手续均由承包人自行办理，相关费用由承包人承担。</w:t>
      </w:r>
      <w:r/>
    </w:p>
    <w:p>
      <w:pPr>
        <w:pStyle w:val="979"/>
        <w:rPr>
          <w:color w:val="auto"/>
          <w:highlight w:val="none"/>
        </w:rPr>
      </w:pPr>
      <w:r>
        <w:rPr>
          <w:rFonts w:hint="eastAsia"/>
          <w:color w:val="auto"/>
          <w:highlight w:val="none"/>
        </w:rPr>
        <w:t xml:space="preserve">3.2 项目经理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3.2.1 项目经理：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建造师执业资格等级：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建造师注册证书号：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建造师执业印章号：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安全生产考核合格证书号：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电子信箱：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通信地址：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承包人对项目经理的授权范围如下：</w:t>
      </w:r>
      <w:r>
        <w:rPr>
          <w:rFonts w:hint="eastAsia" w:ascii="仿宋" w:hAnsi="仿宋" w:eastAsia="仿宋" w:cs="仿宋"/>
          <w:color w:val="auto"/>
          <w:sz w:val="24"/>
          <w:szCs w:val="24"/>
          <w:highlight w:val="none"/>
          <w:u w:val="single"/>
        </w:rPr>
        <w:t xml:space="preserve">对工程质量、安全、进度和文明施工全面负责，并完成承包人应做的各项工作。</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pacing w:val="-4"/>
          <w:sz w:val="24"/>
          <w:szCs w:val="24"/>
          <w:highlight w:val="none"/>
          <w:u w:val="single"/>
        </w:rPr>
        <w:t xml:space="preserve">注册建造师为本单位人员，且资格审查合格后不再更换。中标后，</w:t>
      </w:r>
      <w:r>
        <w:rPr>
          <w:rFonts w:hint="eastAsia" w:ascii="仿宋" w:hAnsi="仿宋" w:eastAsia="仿宋" w:cs="仿宋"/>
          <w:b/>
          <w:bCs/>
          <w:color w:val="auto"/>
          <w:sz w:val="24"/>
          <w:szCs w:val="24"/>
          <w:highlight w:val="none"/>
          <w:u w:val="single"/>
        </w:rPr>
        <w:t xml:space="preserve">项目经理必须在现场组织施工，每周至少在现场5日，每日不少于8小时，切实发挥作用，未经甲方书面同意，不得离开现场，否则按次处罚，2000元/次，累计5次发包人有权单方面终止合同，并由承包人承担一切相应后果 </w:t>
      </w:r>
      <w:r>
        <w:rPr>
          <w:rFonts w:hint="eastAsia" w:ascii="仿宋" w:hAnsi="仿宋" w:eastAsia="仿宋" w:cs="仿宋"/>
          <w:b/>
          <w:bCs/>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由承包人自行承担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每查实一次向发包人支付违约金2000元，费用从当期应付工程款中直接扣除。如有特殊情况离开现场，应提前报请监理人、发包人同意。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承包人擅自更换项目经理的违约责任：</w:t>
      </w:r>
      <w:r>
        <w:rPr>
          <w:rFonts w:hint="eastAsia" w:ascii="仿宋" w:hAnsi="仿宋" w:eastAsia="仿宋" w:cs="仿宋"/>
          <w:color w:val="auto"/>
          <w:sz w:val="24"/>
          <w:szCs w:val="24"/>
          <w:highlight w:val="none"/>
          <w:u w:val="single"/>
        </w:rPr>
        <w:t xml:space="preserve">承包人的项目经理必须按投标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擅自更换一次，发包人有权在当月的进度款中扣除10万元，作为承包人的违约金。</w:t>
      </w:r>
      <w:r/>
    </w:p>
    <w:p>
      <w:pPr>
        <w:ind w:firstLine="42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szCs w:val="24"/>
          <w:highlight w:val="none"/>
          <w:u w:val="none"/>
        </w:rPr>
        <w:t xml:space="preserve">3.2.4 承包人无正当理由拒绝更换项目经理的违约责任：</w:t>
      </w:r>
      <w:r>
        <w:rPr>
          <w:rFonts w:hint="eastAsia" w:ascii="仿宋" w:hAnsi="仿宋" w:eastAsia="仿宋" w:cs="仿宋"/>
          <w:color w:val="auto"/>
          <w:sz w:val="24"/>
          <w:szCs w:val="24"/>
          <w:highlight w:val="none"/>
          <w:u w:val="single"/>
        </w:rPr>
        <w:t xml:space="preserve"> 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合同价的2%的违约金直至终止施工合同，由此所造成的一切经济损失及后果均由承包人承担。</w:t>
      </w:r>
      <w:r/>
    </w:p>
    <w:p>
      <w:pPr>
        <w:pStyle w:val="979"/>
        <w:rPr>
          <w:color w:val="auto"/>
          <w:highlight w:val="none"/>
        </w:rPr>
      </w:pPr>
      <w:r>
        <w:rPr>
          <w:rFonts w:hint="eastAsia"/>
          <w:color w:val="auto"/>
          <w:highlight w:val="none"/>
        </w:rPr>
        <w:t xml:space="preserve">3.3 承包人人员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合同签订后，开工前7日内</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 承包人无正当理由拒绝撤换主要施工管理人员的违约责任：</w:t>
      </w:r>
      <w:r>
        <w:rPr>
          <w:rFonts w:hint="eastAsia" w:ascii="仿宋" w:hAnsi="仿宋" w:eastAsia="仿宋" w:cs="仿宋"/>
          <w:color w:val="auto"/>
          <w:sz w:val="24"/>
          <w:szCs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合同价的1%的违约金直至终止施工合同，由不称职人员所造成的一切经济损失及后果均由承包人承担。</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3.3.4 承包人主要施工管理人员离开施工现场的批准要求：</w:t>
      </w:r>
      <w:r>
        <w:rPr>
          <w:rFonts w:hint="eastAsia" w:ascii="仿宋" w:hAnsi="仿宋" w:eastAsia="仿宋" w:cs="仿宋"/>
          <w:color w:val="auto"/>
          <w:sz w:val="24"/>
          <w:szCs w:val="24"/>
          <w:highlight w:val="none"/>
          <w:u w:val="single"/>
        </w:rPr>
        <w:t xml:space="preserve">提前报请监理人、发包人同意后方可离场。</w:t>
      </w:r>
      <w:r/>
    </w:p>
    <w:p>
      <w:pPr>
        <w:ind w:firstLine="54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3.3.5承包人擅自更换主要施工管理人员的违约责任：</w:t>
      </w:r>
      <w:r>
        <w:rPr>
          <w:rFonts w:hint="eastAsia" w:ascii="仿宋" w:hAnsi="仿宋" w:eastAsia="仿宋" w:cs="仿宋"/>
          <w:color w:val="auto"/>
          <w:sz w:val="24"/>
          <w:szCs w:val="24"/>
          <w:highlight w:val="none"/>
          <w:u w:val="single"/>
        </w:rPr>
        <w:t xml:space="preserve"> 施工期间承包人派驻现场的主要施工管理人员必须与合同备案时的人员名单保持一致，如不一致，按照2000元/人的标准支付违约金。费用从工程预付款中直接扣除。如有特殊情况确需调整人员配置，承包人应报请监理人、发包人同意后方可调整。</w:t>
      </w:r>
      <w:r/>
    </w:p>
    <w:p>
      <w:pPr>
        <w:ind w:firstLine="480"/>
        <w:spacing w:line="360" w:lineRule="auto"/>
        <w:rPr>
          <w:rFonts w:ascii="宋体" w:hAnsi="宋体" w:cs="宋体"/>
          <w:color w:val="auto"/>
          <w:szCs w:val="21"/>
          <w:highlight w:val="none"/>
          <w:u w:val="single"/>
        </w:rPr>
      </w:pPr>
      <w:r>
        <w:rPr>
          <w:rFonts w:hint="eastAsia" w:ascii="仿宋" w:hAnsi="仿宋" w:eastAsia="仿宋" w:cs="仿宋"/>
          <w:color w:val="auto"/>
          <w:sz w:val="24"/>
          <w:szCs w:val="24"/>
          <w:highlight w:val="none"/>
        </w:rPr>
        <w:t xml:space="preserve">承包人主要施工管理人员擅自离开施工现场的违约责任：</w:t>
      </w:r>
      <w:r>
        <w:rPr>
          <w:rFonts w:hint="eastAsia" w:ascii="仿宋" w:hAnsi="仿宋" w:eastAsia="仿宋" w:cs="仿宋"/>
          <w:color w:val="auto"/>
          <w:sz w:val="24"/>
          <w:szCs w:val="24"/>
          <w:highlight w:val="none"/>
          <w:u w:val="single"/>
        </w:rPr>
        <w:t xml:space="preserve"> 每查实一次支付违约金1000元/人次，费用从当期应付工程款中直接扣除。如有特殊情况离开现场，应提前报请监理人、发包人同意。</w:t>
      </w:r>
      <w:r/>
    </w:p>
    <w:p>
      <w:pPr>
        <w:pStyle w:val="979"/>
        <w:rPr>
          <w:color w:val="auto"/>
          <w:highlight w:val="none"/>
        </w:rPr>
      </w:pPr>
      <w:r>
        <w:rPr>
          <w:rFonts w:hint="eastAsia"/>
          <w:color w:val="auto"/>
          <w:highlight w:val="none"/>
        </w:rPr>
        <w:t xml:space="preserve">3.5 分包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64" w:name="_Toc296944499"/>
      <w:r/>
      <w:bookmarkStart w:id="65" w:name="_Toc318581158"/>
      <w:r/>
      <w:bookmarkStart w:id="66" w:name="_Toc296346661"/>
      <w:r/>
      <w:bookmarkStart w:id="67" w:name="_Toc297123493"/>
      <w:r/>
      <w:bookmarkStart w:id="68" w:name="_Toc297048346"/>
      <w:r/>
      <w:bookmarkStart w:id="69" w:name="_Toc296891200"/>
      <w:r/>
      <w:bookmarkStart w:id="70" w:name="_Toc296503160"/>
      <w:r/>
      <w:bookmarkStart w:id="71" w:name="_Toc292559365"/>
      <w:r/>
      <w:bookmarkStart w:id="72" w:name="_Toc297216152"/>
      <w:r/>
      <w:bookmarkStart w:id="73" w:name="_Toc292559870"/>
      <w:r/>
      <w:bookmarkStart w:id="74" w:name="_Toc304295524"/>
      <w:r/>
      <w:bookmarkStart w:id="75" w:name="_Toc296890988"/>
      <w:r/>
      <w:bookmarkStart w:id="76" w:name="_Toc312677989"/>
      <w:r/>
      <w:bookmarkStart w:id="77" w:name="_Toc296347159"/>
      <w:r/>
      <w:bookmarkStart w:id="78" w:name="_Toc300934946"/>
      <w:r/>
      <w:bookmarkStart w:id="79" w:name="_Toc297120460"/>
      <w:r/>
      <w:bookmarkStart w:id="80" w:name="_Toc303539103"/>
      <w:r>
        <w:rPr>
          <w:rFonts w:hint="eastAsia" w:ascii="仿宋" w:hAnsi="仿宋" w:eastAsia="仿宋" w:cs="仿宋"/>
          <w:color w:val="auto"/>
          <w:sz w:val="24"/>
          <w:szCs w:val="24"/>
          <w:highlight w:val="none"/>
        </w:rPr>
        <w:t xml:space="preserve">.5.1 分包的一般约定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全部工程。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执行国家相关法律、法规规定 </w:t>
      </w:r>
      <w:r>
        <w:rPr>
          <w:rFonts w:hint="eastAsia" w:ascii="仿宋" w:hAnsi="仿宋" w:eastAsia="仿宋" w:cs="仿宋"/>
          <w:color w:val="auto"/>
          <w:sz w:val="24"/>
          <w:szCs w:val="24"/>
          <w:highlight w:val="none"/>
        </w:rPr>
        <w:t xml:space="preserve">。</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Start w:id="81" w:name="_Toc312677990"/>
      <w:r/>
      <w:bookmarkStart w:id="82" w:name="_Toc318581159"/>
      <w:r/>
      <w:bookmarkEnd w:id="81"/>
      <w:r/>
      <w:bookmarkEnd w:id="82"/>
      <w:r/>
      <w:r/>
    </w:p>
    <w:p>
      <w:pPr>
        <w:pStyle w:val="979"/>
        <w:rPr>
          <w:rFonts w:hint="eastAsia"/>
          <w:color w:val="auto"/>
          <w:highlight w:val="none"/>
        </w:rPr>
      </w:pPr>
      <w:r>
        <w:rPr>
          <w:rFonts w:hint="eastAsia"/>
          <w:color w:val="auto"/>
          <w:highlight w:val="none"/>
        </w:rPr>
        <w:t xml:space="preserve">3.6 工程照管与成品、半成品保护</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工程施工开始至竣工验收合格并办理完工程移交手续止 。</w:t>
      </w:r>
      <w:r/>
    </w:p>
    <w:p>
      <w:pPr>
        <w:pStyle w:val="979"/>
        <w:rPr>
          <w:color w:val="auto"/>
          <w:highlight w:val="none"/>
        </w:rPr>
      </w:pPr>
      <w:r>
        <w:rPr>
          <w:rFonts w:hint="eastAsia"/>
          <w:color w:val="auto"/>
          <w:highlight w:val="none"/>
        </w:rPr>
        <w:t xml:space="preserve">3.7 履约担保</w:t>
      </w:r>
      <w:r/>
    </w:p>
    <w:p>
      <w:pPr>
        <w:ind w:firstLine="480"/>
        <w:jc w:val="left"/>
        <w:spacing w:line="360" w:lineRule="auto"/>
        <w:rPr>
          <w:rFonts w:hint="eastAsia" w:ascii="仿宋" w:hAnsi="仿宋" w:eastAsia="仿宋" w:cs="仿宋"/>
          <w:color w:val="auto"/>
          <w:sz w:val="24"/>
          <w:szCs w:val="24"/>
          <w:highlight w:val="none"/>
        </w:rPr>
      </w:pPr>
      <w:r/>
      <w:bookmarkStart w:id="83" w:name="_Toc351203636"/>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承包人提供履约担保的形式、金额及期限的：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pStyle w:val="978"/>
        <w:rPr>
          <w:color w:val="auto"/>
          <w:highlight w:val="none"/>
        </w:rPr>
      </w:pPr>
      <w:r>
        <w:rPr>
          <w:rFonts w:hint="eastAsia"/>
          <w:color w:val="auto"/>
          <w:highlight w:val="none"/>
        </w:rPr>
        <w:t xml:space="preserve">4</w:t>
      </w:r>
      <w:bookmarkStart w:id="84" w:name="_Toc296503162"/>
      <w:r/>
      <w:bookmarkStart w:id="85" w:name="_Toc292559366"/>
      <w:r/>
      <w:bookmarkStart w:id="86" w:name="_Toc296346663"/>
      <w:r/>
      <w:bookmarkStart w:id="87" w:name="_Toc292559871"/>
      <w:r/>
      <w:bookmarkStart w:id="88" w:name="_Toc267251413"/>
      <w:r/>
      <w:bookmarkStart w:id="89" w:name="_Toc296944501"/>
      <w:r/>
      <w:bookmarkStart w:id="90" w:name="_Toc296891202"/>
      <w:r/>
      <w:bookmarkStart w:id="91" w:name="_Toc297048348"/>
      <w:r/>
      <w:bookmarkStart w:id="92" w:name="_Toc296347161"/>
      <w:r/>
      <w:bookmarkStart w:id="93" w:name="_Toc297120462"/>
      <w:r/>
      <w:bookmarkStart w:id="94" w:name="_Toc296890990"/>
      <w:r>
        <w:rPr>
          <w:rFonts w:hint="eastAsia"/>
          <w:color w:val="auto"/>
          <w:highlight w:val="none"/>
        </w:rPr>
        <w:t xml:space="preserve">. 监</w:t>
      </w:r>
      <w:bookmarkEnd w:id="84"/>
      <w:r/>
      <w:bookmarkEnd w:id="85"/>
      <w:r/>
      <w:bookmarkEnd w:id="86"/>
      <w:r/>
      <w:bookmarkEnd w:id="87"/>
      <w:r/>
      <w:bookmarkEnd w:id="88"/>
      <w:r/>
      <w:bookmarkEnd w:id="89"/>
      <w:r/>
      <w:bookmarkEnd w:id="90"/>
      <w:r/>
      <w:bookmarkEnd w:id="91"/>
      <w:r/>
      <w:bookmarkEnd w:id="92"/>
      <w:r/>
      <w:bookmarkEnd w:id="93"/>
      <w:r/>
      <w:bookmarkEnd w:id="94"/>
      <w:r>
        <w:rPr>
          <w:rFonts w:hint="eastAsia"/>
          <w:color w:val="auto"/>
          <w:highlight w:val="none"/>
        </w:rPr>
        <w:t xml:space="preserve">理人</w:t>
      </w:r>
      <w:bookmarkEnd w:id="83"/>
      <w:r/>
      <w:r/>
    </w:p>
    <w:p>
      <w:pPr>
        <w:pStyle w:val="979"/>
        <w:rPr>
          <w:color w:val="auto"/>
          <w:highlight w:val="none"/>
        </w:rPr>
      </w:pPr>
      <w:r>
        <w:rPr>
          <w:rFonts w:hint="eastAsia"/>
          <w:color w:val="auto"/>
          <w:highlight w:val="none"/>
        </w:rPr>
        <w:t xml:space="preserve">4.1监理人的一般规定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  监理人需根据与发包人签订的委托监理合同约定履行职责、行使权力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  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须经发包人事先批准行使的权力如下（包含但不限于）：</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发布开工令、暂时停工或复工令；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审查技术规范（规定）或设计的变更，经发包人同意后批准实施；</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3</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审核索赔额与现场签证，并上报发包人；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4</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本工程中所有涉及改变技术类、经济类的文件。</w:t>
      </w:r>
      <w:r>
        <w:rPr>
          <w:rFonts w:hint="eastAsia" w:ascii="仿宋" w:hAnsi="仿宋" w:eastAsia="仿宋" w:cs="仿宋"/>
          <w:color w:val="auto"/>
          <w:sz w:val="24"/>
          <w:szCs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由承包人提供并承担费用</w:t>
      </w:r>
      <w:r>
        <w:rPr>
          <w:rFonts w:hint="eastAsia" w:ascii="仿宋" w:hAnsi="仿宋" w:eastAsia="仿宋" w:cs="仿宋"/>
          <w:color w:val="auto"/>
          <w:sz w:val="24"/>
          <w:szCs w:val="24"/>
          <w:highlight w:val="none"/>
        </w:rPr>
        <w:t xml:space="preserve">。</w:t>
      </w:r>
      <w:r/>
    </w:p>
    <w:p>
      <w:pPr>
        <w:pStyle w:val="979"/>
        <w:rPr>
          <w:color w:val="auto"/>
          <w:highlight w:val="none"/>
        </w:rPr>
      </w:pPr>
      <w:r>
        <w:rPr>
          <w:rFonts w:hint="eastAsia"/>
          <w:color w:val="auto"/>
          <w:highlight w:val="none"/>
        </w:rPr>
        <w:t xml:space="preserve">4.2 监理人员</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总监理工程师：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职    务：</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监理工程师执业资格证书号：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电子信箱：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通信地址：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关于监理人的其他约定：</w:t>
      </w:r>
      <w:r>
        <w:rPr>
          <w:rFonts w:hint="eastAsia" w:ascii="仿宋" w:hAnsi="仿宋" w:eastAsia="仿宋" w:cs="仿宋"/>
          <w:color w:val="auto"/>
          <w:sz w:val="24"/>
          <w:highlight w:val="none"/>
          <w:u w:val="single"/>
        </w:rPr>
        <w:t xml:space="preserve">详见本工程监理合同（发包人在承包人进场时提供）。</w:t>
      </w:r>
      <w:r/>
    </w:p>
    <w:p>
      <w:pPr>
        <w:pStyle w:val="979"/>
        <w:rPr>
          <w:color w:val="auto"/>
          <w:highlight w:val="none"/>
        </w:rPr>
      </w:pPr>
      <w:r>
        <w:rPr>
          <w:rFonts w:hint="eastAsia"/>
          <w:color w:val="auto"/>
          <w:highlight w:val="none"/>
        </w:rPr>
        <w:t xml:space="preserve">4.4 商定或确定</w:t>
      </w:r>
      <w:r/>
    </w:p>
    <w:p>
      <w:pPr>
        <w:ind w:firstLine="480"/>
        <w:jc w:val="left"/>
        <w:spacing w:line="360" w:lineRule="auto"/>
        <w:rPr>
          <w:rFonts w:hint="eastAsia" w:ascii="仿宋" w:hAnsi="仿宋" w:eastAsia="仿宋" w:cs="仿宋"/>
          <w:color w:val="auto"/>
          <w:sz w:val="24"/>
          <w:szCs w:val="24"/>
          <w:highlight w:val="none"/>
          <w:lang w:val="en-US" w:eastAsia="zh-CN"/>
        </w:rPr>
      </w:pPr>
      <w:r/>
      <w:bookmarkStart w:id="95" w:name="_Toc267251418"/>
      <w:r/>
      <w:bookmarkStart w:id="96" w:name="_Toc351203637"/>
      <w:r>
        <w:rPr>
          <w:rFonts w:hint="eastAsia" w:ascii="仿宋" w:hAnsi="仿宋" w:eastAsia="仿宋" w:cs="仿宋"/>
          <w:color w:val="auto"/>
          <w:sz w:val="24"/>
          <w:szCs w:val="24"/>
          <w:highlight w:val="none"/>
          <w:lang w:val="en-US" w:eastAsia="zh-CN"/>
        </w:rPr>
        <w:t xml:space="preserve">4.4.1 总监理工程师在对合同内涉及费用变化的任何事项进行商定或确定时，必须取得发包人的书面确认，否则无效。</w:t>
      </w:r>
      <w:r/>
    </w:p>
    <w:p>
      <w:pPr>
        <w:ind w:firstLine="480"/>
        <w:jc w:val="left"/>
        <w:spacing w:line="360" w:lineRule="auto"/>
        <w:rPr>
          <w:rFonts w:ascii="宋体" w:hAnsi="宋体" w:cs="宋体"/>
          <w:color w:val="auto"/>
          <w:szCs w:val="21"/>
          <w:highlight w:val="none"/>
        </w:rPr>
      </w:pPr>
      <w:r>
        <w:rPr>
          <w:rFonts w:hint="eastAsia" w:ascii="仿宋" w:hAnsi="仿宋" w:eastAsia="仿宋" w:cs="仿宋"/>
          <w:color w:val="auto"/>
          <w:sz w:val="24"/>
          <w:szCs w:val="24"/>
          <w:highlight w:val="none"/>
          <w:lang w:val="en-US" w:eastAsia="zh-CN"/>
        </w:rPr>
        <w:t xml:space="preserve">4.4.2 </w:t>
      </w:r>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rPr>
          <w:rFonts w:hint="eastAsia" w:ascii="仿宋" w:hAnsi="仿宋" w:eastAsia="仿宋" w:cs="仿宋"/>
          <w:color w:val="auto"/>
          <w:sz w:val="24"/>
          <w:szCs w:val="24"/>
          <w:highlight w:val="none"/>
          <w:u w:val="single"/>
        </w:rPr>
        <w:t xml:space="preserve"> 具体工序质量的判定。</w:t>
      </w:r>
      <w:r/>
    </w:p>
    <w:p>
      <w:pPr>
        <w:pStyle w:val="978"/>
        <w:rPr>
          <w:color w:val="auto"/>
          <w:highlight w:val="none"/>
        </w:rPr>
      </w:pPr>
      <w:r>
        <w:rPr>
          <w:rFonts w:hint="eastAsia"/>
          <w:color w:val="auto"/>
          <w:highlight w:val="none"/>
        </w:rPr>
        <w:t xml:space="preserve">5</w:t>
      </w:r>
      <w:bookmarkEnd w:id="95"/>
      <w:r/>
      <w:bookmarkStart w:id="97" w:name="_Toc296891203"/>
      <w:r/>
      <w:bookmarkStart w:id="98" w:name="_Toc297048349"/>
      <w:r/>
      <w:bookmarkStart w:id="99" w:name="_Toc296503163"/>
      <w:r/>
      <w:bookmarkStart w:id="100" w:name="_Toc296346664"/>
      <w:r/>
      <w:bookmarkStart w:id="101" w:name="_Toc296890991"/>
      <w:r/>
      <w:bookmarkStart w:id="102" w:name="_Toc292559367"/>
      <w:r/>
      <w:bookmarkStart w:id="103" w:name="_Toc292559872"/>
      <w:r/>
      <w:bookmarkStart w:id="104" w:name="_Toc296944502"/>
      <w:r/>
      <w:bookmarkStart w:id="105" w:name="_Toc297120463"/>
      <w:r/>
      <w:bookmarkStart w:id="106" w:name="_Toc296347162"/>
      <w:r>
        <w:rPr>
          <w:rFonts w:hint="eastAsia"/>
          <w:color w:val="auto"/>
          <w:highlight w:val="none"/>
        </w:rPr>
        <w:t xml:space="preserve">. 工程质量</w:t>
      </w:r>
      <w:bookmarkEnd w:id="96"/>
      <w:r/>
      <w:r/>
    </w:p>
    <w:p>
      <w:pPr>
        <w:pStyle w:val="979"/>
        <w:rPr>
          <w:color w:val="auto"/>
          <w:highlight w:val="none"/>
        </w:rPr>
      </w:pPr>
      <w:r>
        <w:rPr>
          <w:rFonts w:hint="eastAsia"/>
          <w:color w:val="auto"/>
          <w:highlight w:val="none"/>
        </w:rPr>
        <w:t xml:space="preserve">5.1质量要求</w:t>
      </w:r>
      <w:r/>
    </w:p>
    <w:p>
      <w:pPr>
        <w:ind w:firstLine="480"/>
        <w:jc w:val="left"/>
        <w:spacing w:line="360" w:lineRule="auto"/>
        <w:rPr>
          <w:rFonts w:hint="eastAsia" w:ascii="仿宋" w:hAnsi="仿宋" w:eastAsia="仿宋" w:cs="仿宋"/>
          <w:color w:val="auto"/>
          <w:sz w:val="24"/>
          <w:szCs w:val="24"/>
          <w:highlight w:val="none"/>
        </w:rPr>
      </w:pPr>
      <w:r/>
      <w:bookmarkStart w:id="107" w:name="_Toc312677997"/>
      <w:r/>
      <w:bookmarkStart w:id="108" w:name="_Toc297123496"/>
      <w:r/>
      <w:bookmarkStart w:id="109" w:name="_Toc300934949"/>
      <w:r/>
      <w:bookmarkStart w:id="110" w:name="_Toc297216155"/>
      <w:r/>
      <w:bookmarkStart w:id="111" w:name="_Toc318581164"/>
      <w:r/>
      <w:bookmarkStart w:id="112" w:name="_Toc303539106"/>
      <w:r/>
      <w:bookmarkStart w:id="113" w:name="_Toc304295527"/>
      <w:r>
        <w:rPr>
          <w:rFonts w:hint="eastAsia" w:ascii="仿宋" w:hAnsi="仿宋" w:eastAsia="仿宋" w:cs="仿宋"/>
          <w:color w:val="auto"/>
          <w:sz w:val="24"/>
          <w:szCs w:val="24"/>
          <w:highlight w:val="none"/>
        </w:rPr>
        <w:t xml:space="preserve">5.1.1 特殊质量标准和要求：</w:t>
      </w:r>
      <w:r>
        <w:rPr>
          <w:rFonts w:hint="eastAsia" w:ascii="仿宋" w:hAnsi="仿宋" w:eastAsia="仿宋" w:cs="仿宋"/>
          <w:color w:val="auto"/>
          <w:sz w:val="24"/>
          <w:szCs w:val="24"/>
          <w:highlight w:val="none"/>
          <w:u w:val="single"/>
        </w:rPr>
        <w:t xml:space="preserve"> 工程质量必须达到合同约定的合格标准，且保证相关部门验收一次通过；未达到质量要求的，承包人负责无条件返工，直至达到要求，返工所发生的费用由承包人自行承担，承包人还应赔偿因此给发包人造成的损失，工期不予顺延，同时发包人有权对承包人进行适度处罚</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按质论价费用不予计取。承包人自愿参加相关奖项评审的，费用由承包人承担，发包人不给予任何奖励费用</w:t>
      </w:r>
      <w:r>
        <w:rPr>
          <w:rFonts w:hint="eastAsia" w:ascii="仿宋" w:hAnsi="仿宋" w:eastAsia="仿宋" w:cs="仿宋"/>
          <w:color w:val="auto"/>
          <w:sz w:val="24"/>
          <w:szCs w:val="24"/>
          <w:highlight w:val="none"/>
        </w:rPr>
        <w:t xml:space="preserve">。</w:t>
      </w:r>
      <w:r/>
    </w:p>
    <w:p>
      <w:pPr>
        <w:pStyle w:val="979"/>
        <w:rPr>
          <w:color w:val="auto"/>
          <w:highlight w:val="none"/>
        </w:rPr>
      </w:pPr>
      <w:r>
        <w:rPr>
          <w:rFonts w:hint="eastAsia"/>
          <w:color w:val="auto"/>
          <w:highlight w:val="none"/>
        </w:rPr>
        <w:t xml:space="preserve">5.3 隐蔽工程检查</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5.3.1承包人自检</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承包人应当对工程隐蔽部位进行自检，并经自检确认是否具备覆盖条件。</w:t>
      </w:r>
      <w:r/>
    </w:p>
    <w:p>
      <w:pPr>
        <w:ind w:firstLine="480"/>
        <w:jc w:val="both"/>
        <w:spacing w:line="360" w:lineRule="auto"/>
        <w:rPr>
          <w:rFonts w:hint="default" w:ascii="仿宋" w:hAnsi="仿宋" w:eastAsia="仿宋" w:cs="仿宋"/>
          <w:b/>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5.3.2承包人提前通知监理人隐蔽工程检查的期限的约定：</w:t>
      </w:r>
      <w:r>
        <w:rPr>
          <w:rFonts w:hint="eastAsia" w:ascii="仿宋" w:hAnsi="仿宋" w:eastAsia="仿宋" w:cs="仿宋"/>
          <w:b/>
          <w:color w:val="auto"/>
          <w:sz w:val="24"/>
          <w:szCs w:val="24"/>
          <w:highlight w:val="none"/>
          <w:u w:val="single"/>
        </w:rPr>
        <w:t xml:space="preserve">工程隐蔽部位经承包人自检确认具备覆盖条件的，承包人应在共同检查前48小时书面通知监理人、甲方现场负责人检查，通知中应载明隐蔽检查的内容、时间和地点，并应附有自检记录和必要的检查资料。若未通知导致隐蔽工程无法确认的，后果由承包人承担</w:t>
      </w:r>
      <w:r>
        <w:rPr>
          <w:rFonts w:hint="eastAsia" w:ascii="仿宋" w:hAnsi="仿宋" w:eastAsia="仿宋" w:cs="仿宋"/>
          <w:b/>
          <w:color w:val="auto"/>
          <w:sz w:val="24"/>
          <w:szCs w:val="24"/>
          <w:highlight w:val="none"/>
          <w:u w:val="single"/>
          <w:lang w:val="en-US" w:eastAsia="zh-CN"/>
        </w:rPr>
        <w:t xml:space="preserve">。</w:t>
      </w:r>
      <w:r/>
    </w:p>
    <w:p>
      <w:pPr>
        <w:ind w:firstLine="482"/>
        <w:jc w:val="both"/>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监理人、甲方现场负责人应按时到场并对隐蔽工程及其施工工艺、材料和工程设备进行检查。经监理人、甲方现场负责人检查确认质量符合隐蔽要求，并在验收记录上签字后，承包人才能进行覆盖。经监理人、甲方现场负责人检查质量不合格的，承包人应在监理人、甲方现场负责人指示的时间内完成修复，并由监理人、甲方现场负责人重新检查，由此增加的费用和（或）延误的工期由承包人承担。</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24</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小时提交书面延期要求。</w:t>
      </w:r>
      <w:r/>
    </w:p>
    <w:p>
      <w:pPr>
        <w:ind w:firstLine="480"/>
        <w:jc w:val="both"/>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 48</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小时。</w:t>
      </w:r>
      <w:r/>
    </w:p>
    <w:p>
      <w:pPr>
        <w:pStyle w:val="978"/>
        <w:rPr>
          <w:color w:val="auto"/>
          <w:highlight w:val="none"/>
        </w:rPr>
      </w:pPr>
      <w:r/>
      <w:bookmarkStart w:id="114" w:name="_Toc351203638"/>
      <w:r>
        <w:rPr>
          <w:rFonts w:hint="eastAsia"/>
          <w:color w:val="auto"/>
          <w:highlight w:val="none"/>
        </w:rPr>
        <w:t xml:space="preserve">6. 安全文明施工与环境保护</w:t>
      </w:r>
      <w:bookmarkEnd w:id="114"/>
      <w:r/>
      <w:r/>
    </w:p>
    <w:p>
      <w:pPr>
        <w:pStyle w:val="979"/>
        <w:rPr>
          <w:rFonts w:hint="eastAsia"/>
          <w:color w:val="auto"/>
          <w:highlight w:val="none"/>
        </w:rPr>
      </w:pPr>
      <w:r>
        <w:rPr>
          <w:rFonts w:hint="eastAsia"/>
          <w:color w:val="auto"/>
          <w:highlight w:val="none"/>
        </w:rPr>
        <w:t xml:space="preserve">6.1安全文明施工</w:t>
      </w:r>
      <w:bookmarkEnd w:id="107"/>
      <w:r/>
      <w:bookmarkEnd w:id="108"/>
      <w:r/>
      <w:bookmarkEnd w:id="109"/>
      <w:r/>
      <w:bookmarkEnd w:id="110"/>
      <w:r/>
      <w:bookmarkEnd w:id="111"/>
      <w:r/>
      <w:bookmarkEnd w:id="112"/>
      <w:r/>
      <w:bookmarkEnd w:id="113"/>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（2）施工过程中的排污、环卫、市容、城建、城管、治安、人口管理等相关手续由承包人按规定负责办理，对临近居民和行人的影响由承包人负责处理并承担相应费用。</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（3）承包人负责采取有效措施对已完成工程成品的保护，费用由承包人承担。保护期间发生的损坏承包人自费予以修理。损坏其他单位所承担的施工内容，由承包人负责赔偿，并承担修复费用。</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（4）承包人按规定做好施工场地周围地下管线和邻近建筑物的保护。</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（5）其安全文明施工费已经含在合同价款（即中标价）内。</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（6）消防设备：在施工期间，承包人应按需要提供灭火器、沙桶和其它有效的消防设备，应符合当地政府法规及其它由工程师规定的要求。</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（7）承包人负责在工程施工至竣工前及保修过程中施工现场全部承包方、相应工作人员及施工现场第三方人员的安全。发包人不承担承包人及其分包单位雇工或其他施工现场第三方人员的伤亡赔偿或补偿责任。</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（8）承包人在施工现场的安全管理、教育和安全事故的责任皆由承包人自行承担。承包人违反安全施工的有关规定，其责任及所发生的一切费用由承包人自行承担。  </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承包人应遵守工程建设安全生产有关管理规定，严格按现行安全标准组织施工，并随时接受行业安全检查人员、监理方和甲方的监督检查，采取必要的安全防护措施，消除事故隐患，安全文明施工费用已经含在合同价款（即中标价）内 。</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（10）施工过程中承包人自行负责施工过程中的安全问题。为明确各自的安全生产职责并加强履约管理，总承包单位要求与承包人签订安全生产协议书的，承包人必须签订。</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 关于治安保卫的特别约定：</w:t>
      </w:r>
      <w:r>
        <w:rPr>
          <w:rFonts w:hint="eastAsia" w:ascii="仿宋" w:hAnsi="仿宋" w:eastAsia="仿宋" w:cs="仿宋"/>
          <w:color w:val="auto"/>
          <w:sz w:val="24"/>
          <w:szCs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 开工通知载明的开工日期7天前提交施工场地治安管理计划。 </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6.1.5 文明施工</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合同当事人对文明施工的要求：</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（1）承包人按当地有关主管部门的规定办理相关手续，并承担相应费用，同时以书面形式通知发包人，承担施工过程中因自身原因造成的罚款。</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（2）承包人应遵守环境保护和清洁卫生方面的法律、法规、规定以及发包人《建设工程安全文明施工管理办法》的规定，所发生的费用由承包人承担。</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（3）承包人对施工现场的各种粉尘、废水、废气、固体废物和振动、噪声等采取必要的控制措施，及时进行处理并承担相关费用。</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（6）现场施工及管理人员均需挂牌进场，否则，发包人有权对承包人处以 50元∕人·次的违约金。</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7）扬尘防控环保要求必须符合《中华人民共和国大气污染防治法》、《江苏省大气污染防治条例》、《建筑工地扬尘防治标准（江苏省）》（DB32/T4876-2024）、《关于印发徐州市工地污染防治管理规范的通知》（徐大气办〔2021〕11号）、《关于印发徐州市区夜间道路扬尘污染专项整治方案的通知》（徐大气指办〔2018〕32号）、《徐州市建筑工地和渣土运输扬尘污染标准化治理实施意见》、徐城管发【2018】55 号文、《关于进</w:t>
      </w:r>
      <w:r>
        <w:rPr>
          <w:rFonts w:hint="eastAsia" w:ascii="仿宋" w:hAnsi="仿宋" w:eastAsia="仿宋" w:cs="仿宋"/>
          <w:b/>
          <w:color w:val="auto"/>
          <w:sz w:val="24"/>
          <w:szCs w:val="24"/>
          <w:highlight w:val="none"/>
          <w:u w:val="single"/>
          <w:lang w:val="en-US" w:eastAsia="zh-CN"/>
        </w:rPr>
        <w:t xml:space="preserve">一步加强市区建设工地扬尘污染防治的通知》（徐住建发〔2023〕62号）、《关于印发&lt;徐州市建设工程扬尘（噪声）智慧监管系统建设实施意见（试行）&gt;的通知》（徐污防攻坚指办〔2023〕26号）的规定。投标人的扬尘防控环保要求必须符合严格按《徐建价2018年1号》文执行，扬尘污染防治费按江苏省住房和城乡建设厅公告（2018）24号文执行计取，本工程须按照市住建局《关于进一步加强市区建设工地扬尘污染防治的通知》（徐住建发〔2023〕62号）的要求落实智慧工地建设。该费用已经包含在合同价格当中，结算不再增加此项费用。</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按照《</w:t>
      </w:r>
      <w:r>
        <w:rPr>
          <w:rFonts w:hint="eastAsia" w:ascii="仿宋" w:hAnsi="仿宋" w:eastAsia="仿宋" w:cs="仿宋"/>
          <w:b/>
          <w:color w:val="auto"/>
          <w:sz w:val="24"/>
          <w:szCs w:val="24"/>
          <w:highlight w:val="none"/>
          <w:u w:val="single"/>
          <w:lang w:val="en-US" w:eastAsia="zh-CN"/>
        </w:rPr>
        <w:t xml:space="preserve">徐州市扬尘污染防治条例》和《徐州市市区扬尘污染防治办法》的要求，开工前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 3000 元违约金；造成损失的，由承包人承担。</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（8）因扬尘治理、环境保护等情况未到达标准，而导致发包人被处罚，发包人将处罚金额从承包人工程款中扣除。</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（9）承包人需按照政府相关要求创建智慧工地，费用由承包人承担。</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10）机械管理要求：①限制国Ⅱ及以下排放标准的非道路移动机械运行，鼓励厂区内部转运和非道路移动机械全部实现新能源化。②在用工程机械要完成环保编码登记备案、GPS安装。禁止未编码喷码的、未安装实时定位监控装置的、超标或者冒黑烟的、不符合排放控制区要求的、纳入淘汰名单的非道路移动机械入场（厂）区作业，否则将问题突出的单位纳入失信企业名单。③推动使用国Ⅳ及纯电机械（无纯电机械的种类除外），原则上应建设纯电工地，使用纯电工程机械。</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车辆运输要求：原则上使用纯电工程车辆，确需必要可使用国Ⅵ载货车辆，不使用国Ⅴ及以下载货车辆。渣土运输车辆必须使用新能源车辆。</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11）建筑垃圾减量和处置要求：①全面落实建筑垃圾运输核准制度，申报运输的公司必须经区城市管理等部门核准，具备在我区从事建筑垃圾运输资质。按照工程渣土、装修垃圾等建筑垃圾运输车辆外观规格、标志标识、密闭装置、卫星定位、安全配置、装卸记录等要求，严格落实运输车辆审验制度。鼓励使用新能源车辆运输建筑垃圾。②严禁对建筑垃圾非法运输、处置、倾倒、填埋。③建设过程中应积极响应对建筑垃圾减量化和再生产品在住建领域的应用推广。④编制建筑垃圾处理方案并报区城市管理等部门备案，严格落实关于建筑垃圾的相关要求。</w:t>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u w:val="single"/>
          <w:lang w:val="en-US" w:eastAsia="zh-CN"/>
        </w:rPr>
        <w:t xml:space="preserve">（12）文明施工相关法律、标准和规范的其他要求。</w:t>
      </w:r>
      <w:r/>
    </w:p>
    <w:p>
      <w:pPr>
        <w:ind w:firstLine="480"/>
        <w:jc w:val="both"/>
        <w:spacing w:line="360" w:lineRule="auto"/>
        <w:rPr>
          <w:rFonts w:ascii="仿宋" w:hAnsi="仿宋" w:eastAsia="仿宋" w:cs="仿宋"/>
          <w:color w:val="auto"/>
          <w:sz w:val="24"/>
          <w:highlight w:val="none"/>
          <w:u w:val="single"/>
        </w:rPr>
      </w:pPr>
      <w:r>
        <w:rPr>
          <w:rFonts w:hint="eastAsia" w:ascii="仿宋" w:hAnsi="仿宋" w:eastAsia="仿宋" w:cs="仿宋"/>
          <w:color w:val="auto"/>
          <w:sz w:val="24"/>
          <w:szCs w:val="24"/>
          <w:highlight w:val="none"/>
        </w:rPr>
        <w:t xml:space="preserve">6.1.6 关于安全文明施工费支付比例和支付期限的约定：</w:t>
      </w:r>
      <w:r>
        <w:rPr>
          <w:rFonts w:hint="eastAsia" w:ascii="仿宋" w:hAnsi="仿宋" w:eastAsia="仿宋" w:cs="仿宋"/>
          <w:b/>
          <w:color w:val="auto"/>
          <w:sz w:val="24"/>
          <w:szCs w:val="24"/>
          <w:highlight w:val="none"/>
          <w:u w:val="single"/>
          <w:lang w:val="en-US" w:eastAsia="zh-CN"/>
        </w:rPr>
        <w:t xml:space="preserve">首笔费用已包含在预付款内，不再另行支付</w:t>
      </w:r>
      <w:r>
        <w:rPr>
          <w:rFonts w:hint="eastAsia" w:ascii="仿宋" w:hAnsi="仿宋" w:eastAsia="仿宋" w:cs="仿宋"/>
          <w:b/>
          <w:color w:val="auto"/>
          <w:sz w:val="24"/>
          <w:szCs w:val="24"/>
          <w:highlight w:val="none"/>
          <w:u w:val="single"/>
        </w:rPr>
        <w:t xml:space="preserve">，</w:t>
      </w:r>
      <w:r>
        <w:rPr>
          <w:rFonts w:hint="eastAsia" w:ascii="仿宋" w:hAnsi="仿宋" w:eastAsia="仿宋" w:cs="仿宋"/>
          <w:b/>
          <w:color w:val="auto"/>
          <w:sz w:val="24"/>
          <w:szCs w:val="24"/>
          <w:highlight w:val="none"/>
          <w:u w:val="single"/>
          <w:lang w:val="en-US" w:eastAsia="zh-CN"/>
        </w:rPr>
        <w:t xml:space="preserve">其余部分</w:t>
      </w:r>
      <w:r>
        <w:rPr>
          <w:rFonts w:hint="eastAsia" w:ascii="仿宋" w:hAnsi="仿宋" w:eastAsia="仿宋" w:cs="仿宋"/>
          <w:b/>
          <w:color w:val="auto"/>
          <w:sz w:val="24"/>
          <w:szCs w:val="24"/>
          <w:highlight w:val="none"/>
          <w:u w:val="single"/>
        </w:rPr>
        <w:t xml:space="preserve">与合同价款同期支付。</w:t>
      </w:r>
      <w:r/>
    </w:p>
    <w:p>
      <w:pPr>
        <w:pStyle w:val="978"/>
        <w:rPr>
          <w:color w:val="auto"/>
          <w:highlight w:val="none"/>
        </w:rPr>
      </w:pPr>
      <w:r/>
      <w:bookmarkStart w:id="115" w:name="_Toc351203639"/>
      <w:r>
        <w:rPr>
          <w:rFonts w:hint="eastAsia"/>
          <w:color w:val="auto"/>
          <w:highlight w:val="none"/>
        </w:rPr>
        <w:t xml:space="preserve">7. 工期和进度</w:t>
      </w:r>
      <w:bookmarkEnd w:id="115"/>
      <w:r/>
      <w:r/>
    </w:p>
    <w:p>
      <w:pPr>
        <w:pStyle w:val="979"/>
        <w:rPr>
          <w:color w:val="auto"/>
          <w:highlight w:val="none"/>
        </w:rPr>
      </w:pPr>
      <w:r>
        <w:rPr>
          <w:rFonts w:hint="eastAsia"/>
          <w:color w:val="auto"/>
          <w:highlight w:val="none"/>
        </w:rPr>
        <w:t xml:space="preserve">7.1 施工组织设计</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w:t>
      </w:r>
      <w:r>
        <w:rPr>
          <w:rFonts w:hint="eastAsia" w:ascii="仿宋" w:hAnsi="仿宋" w:eastAsia="仿宋" w:cs="仿宋"/>
          <w:color w:val="auto"/>
          <w:sz w:val="24"/>
          <w:szCs w:val="24"/>
          <w:highlight w:val="none"/>
        </w:rPr>
        <w:t xml:space="preserve">同当事人约定的施工组织设计应包括的其他内容：</w:t>
      </w:r>
      <w:r>
        <w:rPr>
          <w:rFonts w:hint="eastAsia" w:ascii="仿宋" w:hAnsi="仿宋" w:eastAsia="仿宋" w:cs="仿宋"/>
          <w:color w:val="auto"/>
          <w:sz w:val="24"/>
          <w:szCs w:val="24"/>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它内容。</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 </w:t>
      </w:r>
      <w:r>
        <w:rPr>
          <w:rFonts w:hint="eastAsia" w:ascii="仿宋" w:hAnsi="仿宋" w:eastAsia="仿宋" w:cs="仿宋"/>
          <w:color w:val="auto"/>
          <w:sz w:val="24"/>
          <w:szCs w:val="24"/>
          <w:highlight w:val="none"/>
        </w:rPr>
        <w:t xml:space="preserve">施工组织设计的提交和修改</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开工前7</w:t>
      </w:r>
      <w:r>
        <w:rPr>
          <w:rFonts w:hint="eastAsia" w:ascii="仿宋" w:hAnsi="仿宋" w:eastAsia="仿宋" w:cs="仿宋"/>
          <w:color w:val="auto"/>
          <w:sz w:val="24"/>
          <w:szCs w:val="24"/>
          <w:highlight w:val="none"/>
          <w:u w:val="single"/>
          <w:lang w:val="en-US" w:eastAsia="zh-CN"/>
        </w:rPr>
        <w:t xml:space="preserve">日</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pStyle w:val="979"/>
        <w:rPr>
          <w:color w:val="auto"/>
          <w:highlight w:val="none"/>
        </w:rPr>
      </w:pPr>
      <w:r>
        <w:rPr>
          <w:rFonts w:hint="eastAsia"/>
          <w:color w:val="auto"/>
          <w:highlight w:val="none"/>
        </w:rPr>
        <w:t xml:space="preserve">7</w:t>
      </w:r>
      <w:bookmarkStart w:id="116" w:name="_Toc303539123"/>
      <w:r/>
      <w:bookmarkStart w:id="117" w:name="_Toc297216173"/>
      <w:r/>
      <w:bookmarkStart w:id="118" w:name="_Toc304295541"/>
      <w:r/>
      <w:bookmarkStart w:id="119" w:name="_Toc300934966"/>
      <w:r/>
      <w:bookmarkStart w:id="120" w:name="_Toc312677479"/>
      <w:r/>
      <w:bookmarkStart w:id="121" w:name="_Toc297123514"/>
      <w:r/>
      <w:bookmarkStart w:id="122" w:name="_Toc312678005"/>
      <w:r>
        <w:rPr>
          <w:rFonts w:hint="eastAsia"/>
          <w:color w:val="auto"/>
          <w:highlight w:val="none"/>
        </w:rPr>
        <w:t xml:space="preserve">.2 施工进度计划</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7.2.2 施工进度计划的修订</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收到后7</w:t>
      </w:r>
      <w:r>
        <w:rPr>
          <w:rFonts w:hint="eastAsia" w:ascii="仿宋" w:hAnsi="仿宋" w:eastAsia="仿宋" w:cs="仿宋"/>
          <w:color w:val="auto"/>
          <w:sz w:val="24"/>
          <w:szCs w:val="24"/>
          <w:highlight w:val="none"/>
          <w:u w:val="single"/>
          <w:lang w:val="en-US" w:eastAsia="zh-CN"/>
        </w:rPr>
        <w:t xml:space="preserve">日</w:t>
      </w:r>
      <w:r>
        <w:rPr>
          <w:rFonts w:hint="eastAsia" w:ascii="仿宋" w:hAnsi="仿宋" w:eastAsia="仿宋" w:cs="仿宋"/>
          <w:color w:val="auto"/>
          <w:sz w:val="24"/>
          <w:szCs w:val="24"/>
          <w:highlight w:val="none"/>
          <w:u w:val="single"/>
        </w:rPr>
        <w:t xml:space="preserve">内。施工期间，承包人每月20日前向监理工程师报送下月的“月度工程进度计划表”，经监理工程师审核和发包人代表确认后，应于3日内返回承包人；“月度工程进度计划表”如需修改时，应于3日内发回承包人修改，承包人须于次日报送修改稿。 </w:t>
      </w:r>
      <w:r/>
    </w:p>
    <w:p>
      <w:pPr>
        <w:pStyle w:val="979"/>
        <w:rPr>
          <w:color w:val="auto"/>
          <w:highlight w:val="none"/>
        </w:rPr>
      </w:pPr>
      <w:r>
        <w:rPr>
          <w:rFonts w:hint="eastAsia"/>
          <w:color w:val="auto"/>
          <w:highlight w:val="none"/>
        </w:rPr>
        <w:t xml:space="preserve">7.3 开工</w:t>
      </w:r>
      <w:bookmarkEnd w:id="116"/>
      <w:r/>
      <w:bookmarkEnd w:id="117"/>
      <w:r/>
      <w:bookmarkEnd w:id="118"/>
      <w:r/>
      <w:bookmarkEnd w:id="119"/>
      <w:r/>
      <w:bookmarkEnd w:id="120"/>
      <w:r/>
      <w:bookmarkEnd w:id="121"/>
      <w:r/>
      <w:bookmarkEnd w:id="122"/>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关于承包人提交</w:t>
      </w:r>
      <w:r>
        <w:rPr>
          <w:rFonts w:hint="eastAsia" w:ascii="仿宋" w:hAnsi="仿宋" w:eastAsia="仿宋" w:cs="仿宋"/>
          <w:color w:val="auto"/>
          <w:sz w:val="24"/>
          <w:szCs w:val="24"/>
          <w:highlight w:val="none"/>
        </w:rPr>
        <w:t xml:space="preserve">工程开工报审表的期限：</w:t>
      </w:r>
      <w:r>
        <w:rPr>
          <w:rFonts w:hint="eastAsia" w:ascii="仿宋" w:hAnsi="仿宋" w:eastAsia="仿宋" w:cs="仿宋"/>
          <w:color w:val="auto"/>
          <w:sz w:val="24"/>
          <w:szCs w:val="24"/>
          <w:highlight w:val="none"/>
          <w:u w:val="single"/>
        </w:rPr>
        <w:t xml:space="preserve"> 合同签订后、开工前。</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关于发包人应完成的其他开工准备工作及期限：</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执行通用条款。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30</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rPr>
        <w:t xml:space="preserve">内发出开工通知的，承包人有权提出价格调整要求，或者解除合同。</w:t>
      </w:r>
      <w:r/>
    </w:p>
    <w:p>
      <w:pPr>
        <w:pStyle w:val="979"/>
        <w:rPr>
          <w:color w:val="auto"/>
          <w:highlight w:val="none"/>
        </w:rPr>
      </w:pPr>
      <w:r>
        <w:rPr>
          <w:rFonts w:hint="eastAsia"/>
          <w:color w:val="auto"/>
          <w:highlight w:val="none"/>
        </w:rPr>
        <w:t xml:space="preserve">7.4 测量放线</w:t>
      </w:r>
      <w:r/>
    </w:p>
    <w:p>
      <w:pPr>
        <w:ind w:firstLine="480"/>
        <w:jc w:val="left"/>
        <w:spacing w:line="360" w:lineRule="auto"/>
        <w:rPr>
          <w:rFonts w:ascii="仿宋" w:hAnsi="仿宋" w:eastAsia="仿宋" w:cs="仿宋"/>
          <w:color w:val="auto"/>
          <w:sz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执行通用条款。</w:t>
      </w:r>
      <w:r/>
    </w:p>
    <w:p>
      <w:pPr>
        <w:pStyle w:val="979"/>
        <w:rPr>
          <w:color w:val="auto"/>
          <w:highlight w:val="none"/>
        </w:rPr>
      </w:pPr>
      <w:r>
        <w:rPr>
          <w:rFonts w:hint="eastAsia"/>
          <w:color w:val="auto"/>
          <w:highlight w:val="none"/>
        </w:rPr>
        <w:t xml:space="preserve">7</w:t>
      </w:r>
      <w:bookmarkStart w:id="123" w:name="_Toc303539125"/>
      <w:r/>
      <w:bookmarkStart w:id="124" w:name="_Toc312677484"/>
      <w:r/>
      <w:bookmarkStart w:id="125" w:name="_Toc297216175"/>
      <w:r/>
      <w:bookmarkStart w:id="126" w:name="_Toc304295546"/>
      <w:r/>
      <w:bookmarkStart w:id="127" w:name="_Toc300934968"/>
      <w:r/>
      <w:bookmarkStart w:id="128" w:name="_Toc297123516"/>
      <w:r/>
      <w:bookmarkStart w:id="129" w:name="_Toc312678010"/>
      <w:r>
        <w:rPr>
          <w:rFonts w:hint="eastAsia"/>
          <w:color w:val="auto"/>
          <w:highlight w:val="none"/>
        </w:rPr>
        <w:t xml:space="preserve">.5 工期延误</w:t>
      </w:r>
      <w:bookmarkEnd w:id="123"/>
      <w:r/>
      <w:bookmarkEnd w:id="124"/>
      <w:r/>
      <w:bookmarkEnd w:id="125"/>
      <w:r/>
      <w:bookmarkEnd w:id="126"/>
      <w:r/>
      <w:bookmarkEnd w:id="127"/>
      <w:r/>
      <w:bookmarkEnd w:id="128"/>
      <w:r/>
      <w:bookmarkEnd w:id="129"/>
      <w:r/>
      <w:r/>
    </w:p>
    <w:p>
      <w:pPr>
        <w:ind w:firstLine="480"/>
        <w:spacing w:line="360" w:lineRule="auto"/>
        <w:rPr>
          <w:rFonts w:hint="eastAsia" w:ascii="仿宋" w:hAnsi="仿宋" w:eastAsia="仿宋" w:cs="仿宋"/>
          <w:color w:val="auto"/>
          <w:sz w:val="24"/>
          <w:szCs w:val="24"/>
          <w:highlight w:val="none"/>
        </w:rPr>
      </w:pPr>
      <w:r/>
      <w:bookmarkStart w:id="130" w:name="_Toc312678014"/>
      <w:r/>
      <w:bookmarkStart w:id="131" w:name="_Toc318581171"/>
      <w:r>
        <w:rPr>
          <w:rFonts w:hint="eastAsia" w:ascii="仿宋" w:hAnsi="仿宋" w:eastAsia="仿宋" w:cs="仿宋"/>
          <w:color w:val="auto"/>
          <w:sz w:val="24"/>
          <w:szCs w:val="24"/>
          <w:highlight w:val="none"/>
        </w:rPr>
        <w:t xml:space="preserve">7.5.1 满足以下情形之一的可以办理工期延期</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提出的设计变更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造成工程</w:t>
      </w:r>
      <w:r>
        <w:rPr>
          <w:rFonts w:hint="eastAsia" w:ascii="仿宋" w:hAnsi="仿宋" w:eastAsia="仿宋" w:cs="仿宋"/>
          <w:color w:val="auto"/>
          <w:sz w:val="24"/>
          <w:szCs w:val="24"/>
          <w:highlight w:val="none"/>
          <w:lang w:eastAsia="zh-CN"/>
        </w:rPr>
        <w:t xml:space="preserve">量</w:t>
      </w:r>
      <w:r>
        <w:rPr>
          <w:rFonts w:hint="eastAsia" w:ascii="仿宋" w:hAnsi="仿宋" w:eastAsia="仿宋" w:cs="仿宋"/>
          <w:color w:val="auto"/>
          <w:sz w:val="24"/>
          <w:szCs w:val="24"/>
          <w:highlight w:val="none"/>
        </w:rPr>
        <w:t xml:space="preserve">增加</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未按合同约定的期限提供设计图纸等施工必需的资料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或因征地拆迁及其他未满足开工条件的</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3.不可抗力及意外事件导致的工期顺延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参照民法典第180条规定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《建设工程施工合同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示范文本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》通用合同条款以及《建设工程工程</w:t>
      </w:r>
      <w:r>
        <w:rPr>
          <w:rFonts w:hint="eastAsia" w:ascii="仿宋" w:hAnsi="仿宋" w:eastAsia="仿宋" w:cs="仿宋"/>
          <w:color w:val="auto"/>
          <w:sz w:val="24"/>
          <w:szCs w:val="24"/>
          <w:highlight w:val="none"/>
          <w:lang w:eastAsia="zh-CN"/>
        </w:rPr>
        <w:t xml:space="preserve">量</w:t>
      </w:r>
      <w:r>
        <w:rPr>
          <w:rFonts w:hint="eastAsia" w:ascii="仿宋" w:hAnsi="仿宋" w:eastAsia="仿宋" w:cs="仿宋"/>
          <w:color w:val="auto"/>
          <w:sz w:val="24"/>
          <w:szCs w:val="24"/>
          <w:highlight w:val="none"/>
        </w:rPr>
        <w:t xml:space="preserve">清单计价标准》规定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发生不能合理预见的战争、异常气候、自然灾害等不可抗力事件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现场发现需要保护的文物等不以施工方意志为转移的意外事件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政府管制等其他非施工方原因导致延误</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.其他非施工方原因造成工程延期的</w:t>
      </w:r>
      <w:r>
        <w:rPr>
          <w:rFonts w:hint="eastAsia" w:ascii="仿宋" w:hAnsi="仿宋" w:eastAsia="仿宋" w:cs="仿宋"/>
          <w:color w:val="auto"/>
          <w:sz w:val="24"/>
          <w:szCs w:val="24"/>
          <w:highlight w:val="none"/>
          <w:lang w:val="en-US"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施工单位必须在延误情形发生后的14天内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向</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提交书面的工期顺延申请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提出延期申请时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必须附上能证明延期事件和影响的证据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如发包人发出的变更指令、设计变更图纸、职能部门的停工通知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异常天气的记录等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。如果超过上述期限内施工单位未</w:t>
      </w:r>
      <w:r>
        <w:rPr>
          <w:rFonts w:hint="eastAsia" w:ascii="仿宋" w:hAnsi="仿宋" w:eastAsia="仿宋" w:cs="仿宋"/>
          <w:color w:val="auto"/>
          <w:sz w:val="24"/>
          <w:szCs w:val="24"/>
          <w:highlight w:val="none"/>
          <w:lang w:eastAsia="zh-CN"/>
        </w:rPr>
        <w:t xml:space="preserve">申请，则视为放弃此项</w:t>
      </w:r>
      <w:r>
        <w:rPr>
          <w:rFonts w:hint="eastAsia" w:ascii="仿宋" w:hAnsi="仿宋" w:eastAsia="仿宋" w:cs="仿宋"/>
          <w:color w:val="auto"/>
          <w:sz w:val="24"/>
          <w:szCs w:val="24"/>
          <w:highlight w:val="none"/>
        </w:rPr>
        <w:t xml:space="preserve">权利。</w:t>
      </w:r>
      <w:r/>
    </w:p>
    <w:p>
      <w:pPr>
        <w:ind w:firstLine="480"/>
        <w:spacing w:line="360" w:lineRule="auto"/>
        <w:rPr>
          <w:rFonts w:ascii="宋体" w:hAnsi="宋体" w:cs="宋体"/>
          <w:color w:val="auto"/>
          <w:szCs w:val="21"/>
          <w:highlight w:val="none"/>
          <w:u w:val="single"/>
        </w:rPr>
      </w:pPr>
      <w:r>
        <w:rPr>
          <w:rFonts w:hint="eastAsia" w:ascii="仿宋" w:hAnsi="仿宋" w:eastAsia="仿宋" w:cs="仿宋"/>
          <w:color w:val="auto"/>
          <w:sz w:val="24"/>
          <w:szCs w:val="24"/>
          <w:highlight w:val="none"/>
        </w:rPr>
        <w:t xml:space="preserve">（7）因发包人原因导致工期延误的其他情形：</w:t>
      </w:r>
      <w:r>
        <w:rPr>
          <w:rFonts w:hint="eastAsia" w:ascii="仿宋" w:hAnsi="仿宋" w:eastAsia="仿宋" w:cs="仿宋"/>
          <w:color w:val="auto"/>
          <w:sz w:val="24"/>
          <w:szCs w:val="24"/>
          <w:highlight w:val="none"/>
          <w:u w:val="single"/>
        </w:rPr>
        <w:t xml:space="preserve">执行通用条款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32" w:name="_Toc304295548"/>
      <w:r/>
      <w:bookmarkStart w:id="133" w:name="_Toc312677486"/>
      <w:r/>
      <w:bookmarkStart w:id="134" w:name="_Toc300934970"/>
      <w:r/>
      <w:bookmarkStart w:id="135" w:name="_Toc318581169"/>
      <w:r/>
      <w:bookmarkStart w:id="136" w:name="_Toc297216177"/>
      <w:r/>
      <w:bookmarkStart w:id="137" w:name="_Toc297123518"/>
      <w:r/>
      <w:bookmarkStart w:id="138" w:name="_Toc303539127"/>
      <w:r/>
      <w:bookmarkStart w:id="139" w:name="_Toc312678012"/>
      <w:r>
        <w:rPr>
          <w:rFonts w:hint="eastAsia" w:ascii="仿宋" w:hAnsi="仿宋" w:eastAsia="仿宋" w:cs="仿宋"/>
          <w:color w:val="auto"/>
          <w:sz w:val="24"/>
          <w:szCs w:val="24"/>
          <w:highlight w:val="none"/>
        </w:rPr>
        <w:t xml:space="preserve">.5.2 因承包人原因导致工期延误</w:t>
      </w:r>
      <w:bookmarkEnd w:id="132"/>
      <w:r/>
      <w:bookmarkEnd w:id="133"/>
      <w:r/>
      <w:bookmarkEnd w:id="134"/>
      <w:r/>
      <w:bookmarkEnd w:id="135"/>
      <w:r/>
      <w:bookmarkEnd w:id="136"/>
      <w:r/>
      <w:bookmarkEnd w:id="137"/>
      <w:r/>
      <w:bookmarkEnd w:id="138"/>
      <w:r/>
      <w:bookmarkEnd w:id="139"/>
      <w:r/>
      <w:r/>
    </w:p>
    <w:p>
      <w:pPr>
        <w:ind w:firstLine="480"/>
        <w:jc w:val="both"/>
        <w:spacing w:line="360" w:lineRule="auto"/>
        <w:rPr>
          <w:rFonts w:hint="eastAsia" w:ascii="仿宋" w:hAnsi="仿宋" w:eastAsia="仿宋" w:cs="仿宋"/>
          <w:b/>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因</w:t>
      </w:r>
      <w:bookmarkStart w:id="140" w:name="_Toc312677487"/>
      <w:r/>
      <w:bookmarkStart w:id="141" w:name="_Toc312678013"/>
      <w:r/>
      <w:bookmarkStart w:id="142" w:name="_Toc318581170"/>
      <w:r>
        <w:rPr>
          <w:rFonts w:hint="eastAsia" w:ascii="仿宋" w:hAnsi="仿宋" w:eastAsia="仿宋" w:cs="仿宋"/>
          <w:color w:val="auto"/>
          <w:sz w:val="24"/>
          <w:szCs w:val="24"/>
          <w:highlight w:val="none"/>
        </w:rPr>
        <w:t xml:space="preserve">承包人原因造成工期延误，逾期竣工违约金的计算方法为：</w:t>
      </w:r>
      <w:bookmarkEnd w:id="140"/>
      <w:r/>
      <w:bookmarkEnd w:id="141"/>
      <w:r/>
      <w:bookmarkEnd w:id="142"/>
      <w:r>
        <w:rPr>
          <w:rFonts w:hint="eastAsia" w:ascii="仿宋" w:hAnsi="仿宋" w:eastAsia="仿宋" w:cs="仿宋"/>
          <w:b/>
          <w:color w:val="auto"/>
          <w:sz w:val="24"/>
          <w:szCs w:val="24"/>
          <w:highlight w:val="none"/>
          <w:u w:val="single"/>
          <w:lang w:val="en-US" w:eastAsia="zh-CN"/>
        </w:rPr>
        <w:t xml:space="preserve">（1）工期每逾期1天，每天按合同价的万分之二计算违约金，且发包人有权采取任何补救措施来弥补该延误，由此增加的费用由承包人承担。若逾期超过30天，发包人有权解除合同，因此产生的一切损失和费用由承包人承担。（2）因承包人自身原因，达不到合同约定的工程质量标准，同时承包人自愿进行整改的，其整改所总时间计算在合同总工期内，增加的工作量不再另行计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因承包人原因造成工期延误，逾期竣工违约金的上限：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130"/>
      <w:r/>
      <w:bookmarkEnd w:id="131"/>
      <w:r/>
      <w:r/>
    </w:p>
    <w:p>
      <w:pPr>
        <w:pStyle w:val="979"/>
        <w:rPr>
          <w:color w:val="auto"/>
          <w:highlight w:val="none"/>
        </w:rPr>
      </w:pPr>
      <w:r>
        <w:rPr>
          <w:rFonts w:hint="eastAsia"/>
          <w:color w:val="auto"/>
          <w:highlight w:val="none"/>
        </w:rPr>
        <w:t xml:space="preserve">7</w:t>
      </w:r>
      <w:bookmarkStart w:id="143" w:name="_Toc312678015"/>
      <w:r/>
      <w:bookmarkStart w:id="144" w:name="_Toc303539128"/>
      <w:r/>
      <w:bookmarkStart w:id="145" w:name="_Toc304295549"/>
      <w:r/>
      <w:bookmarkStart w:id="146" w:name="_Toc297123519"/>
      <w:r/>
      <w:bookmarkStart w:id="147" w:name="_Toc300934971"/>
      <w:r/>
      <w:bookmarkStart w:id="148" w:name="_Toc297216178"/>
      <w:r>
        <w:rPr>
          <w:rFonts w:hint="eastAsia"/>
          <w:color w:val="auto"/>
          <w:highlight w:val="none"/>
        </w:rPr>
        <w:t xml:space="preserve">.6 不</w:t>
      </w:r>
      <w:bookmarkEnd w:id="143"/>
      <w:r/>
      <w:bookmarkEnd w:id="144"/>
      <w:r/>
      <w:bookmarkEnd w:id="145"/>
      <w:r/>
      <w:bookmarkEnd w:id="146"/>
      <w:r/>
      <w:bookmarkEnd w:id="147"/>
      <w:r/>
      <w:bookmarkEnd w:id="148"/>
      <w:r>
        <w:rPr>
          <w:rFonts w:hint="eastAsia"/>
          <w:color w:val="auto"/>
          <w:highlight w:val="none"/>
        </w:rPr>
        <w:t xml:space="preserve">利物质条件</w:t>
      </w:r>
      <w:r/>
    </w:p>
    <w:p>
      <w:pPr>
        <w:ind w:firstLine="480"/>
        <w:jc w:val="left"/>
        <w:spacing w:line="360" w:lineRule="auto"/>
        <w:rPr>
          <w:rFonts w:ascii="仿宋" w:hAnsi="仿宋" w:eastAsia="仿宋" w:cs="仿宋"/>
          <w:color w:val="auto"/>
          <w:sz w:val="24"/>
          <w:highlight w:val="none"/>
        </w:rPr>
      </w:pPr>
      <w:r/>
      <w:bookmarkStart w:id="149" w:name="_Toc297123520"/>
      <w:r/>
      <w:bookmarkStart w:id="150" w:name="_Toc300934972"/>
      <w:r/>
      <w:bookmarkStart w:id="151" w:name="_Toc297216179"/>
      <w:r/>
      <w:bookmarkStart w:id="152" w:name="_Toc304295550"/>
      <w:r/>
      <w:bookmarkStart w:id="153" w:name="_Toc312678016"/>
      <w:r/>
      <w:bookmarkStart w:id="154" w:name="_Toc303539129"/>
      <w:r/>
      <w:bookmarkStart w:id="155" w:name="_Toc318581172"/>
      <w:r>
        <w:rPr>
          <w:rFonts w:hint="eastAsia" w:ascii="仿宋" w:hAnsi="仿宋" w:eastAsia="仿宋" w:cs="仿宋"/>
          <w:color w:val="auto"/>
          <w:sz w:val="24"/>
          <w:highlight w:val="none"/>
        </w:rPr>
        <w:t xml:space="preserve">不利物质条件的其他情形和有关约定：</w:t>
      </w:r>
      <w:bookmarkEnd w:id="149"/>
      <w:r/>
      <w:bookmarkEnd w:id="150"/>
      <w:r/>
      <w:bookmarkEnd w:id="151"/>
      <w:r/>
      <w:bookmarkEnd w:id="152"/>
      <w:r/>
      <w:bookmarkEnd w:id="153"/>
      <w:r/>
      <w:bookmarkEnd w:id="154"/>
      <w:r/>
      <w:bookmarkEnd w:id="155"/>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79"/>
        <w:rPr>
          <w:rFonts w:hint="eastAsia"/>
          <w:color w:val="auto"/>
          <w:highlight w:val="none"/>
        </w:rPr>
      </w:pPr>
      <w:r>
        <w:rPr>
          <w:rFonts w:hint="eastAsia"/>
          <w:color w:val="auto"/>
          <w:highlight w:val="none"/>
        </w:rPr>
        <w:t xml:space="preserve">7</w:t>
      </w:r>
      <w:bookmarkStart w:id="156" w:name="_Toc304295551"/>
      <w:r/>
      <w:bookmarkStart w:id="157" w:name="_Toc297216180"/>
      <w:r/>
      <w:bookmarkStart w:id="158" w:name="_Toc303539130"/>
      <w:r/>
      <w:bookmarkStart w:id="159" w:name="_Toc297123521"/>
      <w:r/>
      <w:bookmarkStart w:id="160" w:name="_Toc312678017"/>
      <w:r/>
      <w:bookmarkStart w:id="161" w:name="_Toc300934973"/>
      <w:r>
        <w:rPr>
          <w:rFonts w:hint="eastAsia"/>
          <w:color w:val="auto"/>
          <w:highlight w:val="none"/>
        </w:rPr>
        <w:t xml:space="preserve">.7异常恶劣的气候条件</w:t>
      </w:r>
      <w:bookmarkEnd w:id="156"/>
      <w:r/>
      <w:bookmarkEnd w:id="157"/>
      <w:r/>
      <w:bookmarkEnd w:id="158"/>
      <w:r/>
      <w:bookmarkEnd w:id="159"/>
      <w:r/>
      <w:bookmarkEnd w:id="160"/>
      <w:r/>
      <w:bookmarkEnd w:id="161"/>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（1）8级以上持续24小时的大风；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（2）持续降雨24小时且降雨量200mm以上；下雪为30mm以上；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（3）40℃及以上持续24小时的高温；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（4）30年不遇的特大暴风、雨、雪。</w:t>
      </w:r>
      <w:r/>
    </w:p>
    <w:p>
      <w:pPr>
        <w:pStyle w:val="979"/>
        <w:rPr>
          <w:color w:val="auto"/>
          <w:highlight w:val="none"/>
        </w:rPr>
      </w:pPr>
      <w:r>
        <w:rPr>
          <w:rFonts w:hint="eastAsia"/>
          <w:color w:val="auto"/>
          <w:highlight w:val="none"/>
        </w:rPr>
        <w:t xml:space="preserve">7.9 提前竣工的奖励</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7.9.2提前竣工的奖励：</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pStyle w:val="978"/>
        <w:rPr>
          <w:color w:val="auto"/>
          <w:highlight w:val="none"/>
        </w:rPr>
      </w:pPr>
      <w:r/>
      <w:bookmarkStart w:id="162" w:name="_Toc351203640"/>
      <w:r>
        <w:rPr>
          <w:rFonts w:hint="eastAsia"/>
          <w:color w:val="auto"/>
          <w:highlight w:val="none"/>
        </w:rPr>
        <w:t xml:space="preserve">8. 材料与设备</w:t>
      </w:r>
      <w:bookmarkEnd w:id="97"/>
      <w:r/>
      <w:bookmarkEnd w:id="98"/>
      <w:r/>
      <w:bookmarkEnd w:id="99"/>
      <w:r/>
      <w:bookmarkEnd w:id="100"/>
      <w:r/>
      <w:bookmarkEnd w:id="101"/>
      <w:r/>
      <w:bookmarkEnd w:id="102"/>
      <w:r/>
      <w:bookmarkEnd w:id="103"/>
      <w:r/>
      <w:bookmarkEnd w:id="104"/>
      <w:r/>
      <w:bookmarkEnd w:id="105"/>
      <w:r/>
      <w:bookmarkEnd w:id="106"/>
      <w:r/>
      <w:bookmarkEnd w:id="162"/>
      <w:r/>
      <w:r/>
    </w:p>
    <w:p>
      <w:pPr>
        <w:pStyle w:val="979"/>
        <w:rPr>
          <w:rFonts w:hint="eastAsia"/>
          <w:color w:val="auto"/>
          <w:highlight w:val="none"/>
        </w:rPr>
      </w:pPr>
      <w:r/>
      <w:bookmarkStart w:id="163" w:name="_Toc267251424"/>
      <w:r/>
      <w:bookmarkStart w:id="164" w:name="_Toc280868656"/>
      <w:r/>
      <w:bookmarkStart w:id="165" w:name="_Toc280868655"/>
      <w:r/>
      <w:bookmarkStart w:id="166" w:name="_Toc351203641"/>
      <w:r>
        <w:rPr>
          <w:rFonts w:hint="eastAsia"/>
          <w:color w:val="auto"/>
          <w:highlight w:val="none"/>
        </w:rPr>
        <w:t xml:space="preserve">8.4材料与工程设备的保管与使用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8.4.1发包人供应的材料设备的保管费用的承担：</w:t>
      </w:r>
      <w:r>
        <w:rPr>
          <w:rFonts w:hint="eastAsia" w:ascii="仿宋" w:hAnsi="仿宋" w:eastAsia="仿宋" w:cs="仿宋"/>
          <w:color w:val="auto"/>
          <w:sz w:val="24"/>
          <w:highlight w:val="none"/>
          <w:u w:val="single"/>
        </w:rPr>
        <w:t xml:space="preserve">/。</w:t>
      </w:r>
      <w:r/>
    </w:p>
    <w:p>
      <w:pPr>
        <w:pStyle w:val="979"/>
        <w:rPr>
          <w:rFonts w:hint="eastAsia"/>
          <w:color w:val="auto"/>
          <w:highlight w:val="none"/>
        </w:rPr>
      </w:pPr>
      <w:r>
        <w:rPr>
          <w:rFonts w:hint="eastAsia"/>
          <w:color w:val="auto"/>
          <w:highlight w:val="none"/>
        </w:rPr>
        <w:t xml:space="preserve">8.6 样品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8.6.1样品的报送与封存</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需要承包人报送样品的材料或工程设备，样品的种类、名称、规格、数量要求：</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①施工中，根据发包人具体指令制作，样品不得另行收取费用。</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②承包人在采购材料设备（包括但不限于甲控品牌及暂估价材料设备）前须提供与施工图纸及发包方要求的规格相符的样品至少1份，样品应在订购制造此样品材料的28日历天前呈报。有关此样品的材料及加工步骤在被监理或发包人核准之前均不允许使用。每份样品都应有标签并附有相应的说明书（品牌、名称、产地、规格型号、价格、性能介绍、出厂报告、合格证明及其相关资料等）及在工程中的使用位置等，标签上应留有空间让监理或发包人写上意见及盖用核准章。</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④所有样品均为发包人所有，被监理人和发包人核准通过的样品应由监理人、发包人和承包人共同予以封存成为日后用于对照的标准，承包人需在工地办公区选择一间有锁的样品室给监理人，以保存一份样品以便施工中对照。</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⑥发包人有权对进场材料送交相关有资质的检测部门进行检测，如检测不合格，由承包人承担一切相关检测费用，并承担违约责任。</w:t>
      </w:r>
      <w:r/>
    </w:p>
    <w:p>
      <w:pPr>
        <w:pStyle w:val="979"/>
        <w:rPr>
          <w:rFonts w:hint="eastAsia"/>
          <w:color w:val="auto"/>
          <w:highlight w:val="none"/>
        </w:rPr>
      </w:pPr>
      <w:r>
        <w:rPr>
          <w:rFonts w:hint="eastAsia"/>
          <w:color w:val="auto"/>
          <w:highlight w:val="none"/>
        </w:rPr>
        <w:t xml:space="preserve">8.8 施工设备和临时设施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8.8.1 承包人提供的施工设备和临时设施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关于修建临时设施费用承担的约定：</w:t>
      </w:r>
      <w:r>
        <w:rPr>
          <w:rFonts w:hint="eastAsia" w:ascii="仿宋" w:hAnsi="仿宋" w:eastAsia="仿宋" w:cs="仿宋"/>
          <w:color w:val="auto"/>
          <w:sz w:val="24"/>
          <w:highlight w:val="none"/>
          <w:u w:val="single"/>
        </w:rPr>
        <w:t xml:space="preserve">已包含在合同总价中，结算时不调整。另外发包人驻施工现场管理人员必要的办公用房及设施由承包人负责免费提供。</w:t>
      </w:r>
      <w:r/>
    </w:p>
    <w:p>
      <w:pPr>
        <w:pStyle w:val="978"/>
        <w:rPr>
          <w:color w:val="auto"/>
          <w:highlight w:val="none"/>
        </w:rPr>
      </w:pPr>
      <w:r>
        <w:rPr>
          <w:rFonts w:hint="eastAsia"/>
          <w:color w:val="auto"/>
          <w:highlight w:val="none"/>
        </w:rPr>
        <w:t xml:space="preserve">9</w:t>
      </w:r>
      <w:bookmarkEnd w:id="163"/>
      <w:r/>
      <w:bookmarkEnd w:id="164"/>
      <w:r/>
      <w:bookmarkEnd w:id="165"/>
      <w:r/>
      <w:bookmarkStart w:id="167" w:name="_Toc303539139"/>
      <w:r/>
      <w:bookmarkStart w:id="168" w:name="_Toc297216192"/>
      <w:r/>
      <w:bookmarkStart w:id="169" w:name="_Toc304295559"/>
      <w:r/>
      <w:bookmarkStart w:id="170" w:name="_Toc312677495"/>
      <w:r/>
      <w:bookmarkStart w:id="171" w:name="_Toc312678021"/>
      <w:r/>
      <w:bookmarkStart w:id="172" w:name="_Toc297123533"/>
      <w:r/>
      <w:bookmarkStart w:id="173" w:name="_Toc300934982"/>
      <w:r/>
      <w:bookmarkStart w:id="174" w:name="_Toc297048359"/>
      <w:r/>
      <w:bookmarkStart w:id="175" w:name="_Toc296347172"/>
      <w:r/>
      <w:bookmarkStart w:id="176" w:name="_Toc292559378"/>
      <w:r/>
      <w:bookmarkStart w:id="177" w:name="_Toc267251428"/>
      <w:r/>
      <w:bookmarkStart w:id="178" w:name="_Toc296891213"/>
      <w:r/>
      <w:bookmarkStart w:id="179" w:name="_Toc296944512"/>
      <w:r/>
      <w:bookmarkStart w:id="180" w:name="_Toc267251427"/>
      <w:r/>
      <w:bookmarkStart w:id="181" w:name="_Toc292559883"/>
      <w:r/>
      <w:bookmarkStart w:id="182" w:name="_Toc296891001"/>
      <w:r/>
      <w:bookmarkStart w:id="183" w:name="_Toc296346674"/>
      <w:r/>
      <w:bookmarkStart w:id="184" w:name="_Toc296503173"/>
      <w:r/>
      <w:bookmarkStart w:id="185" w:name="_Toc297120473"/>
      <w:r>
        <w:rPr>
          <w:rFonts w:hint="eastAsia"/>
          <w:color w:val="auto"/>
          <w:highlight w:val="none"/>
        </w:rPr>
        <w:t xml:space="preserve">. 试验与检验</w:t>
      </w:r>
      <w:bookmarkEnd w:id="166"/>
      <w:r/>
      <w:bookmarkEnd w:id="167"/>
      <w:r/>
      <w:bookmarkEnd w:id="168"/>
      <w:r/>
      <w:bookmarkEnd w:id="169"/>
      <w:r/>
      <w:bookmarkEnd w:id="170"/>
      <w:r/>
      <w:bookmarkEnd w:id="171"/>
      <w:r/>
      <w:bookmarkEnd w:id="172"/>
      <w:r/>
      <w:bookmarkEnd w:id="173"/>
      <w:r/>
      <w:r/>
    </w:p>
    <w:p>
      <w:pPr>
        <w:pStyle w:val="979"/>
        <w:rPr>
          <w:color w:val="auto"/>
          <w:highlight w:val="none"/>
        </w:rPr>
      </w:pPr>
      <w:r>
        <w:rPr>
          <w:rFonts w:hint="eastAsia"/>
          <w:color w:val="auto"/>
          <w:highlight w:val="none"/>
        </w:rPr>
        <w:t xml:space="preserve">9</w:t>
      </w:r>
      <w:bookmarkStart w:id="186" w:name="_Toc312678022"/>
      <w:r/>
      <w:bookmarkStart w:id="187" w:name="_Toc297123534"/>
      <w:r/>
      <w:bookmarkStart w:id="188" w:name="_Toc297216193"/>
      <w:r/>
      <w:bookmarkStart w:id="189" w:name="_Toc303539140"/>
      <w:r/>
      <w:bookmarkStart w:id="190" w:name="_Toc300934983"/>
      <w:r/>
      <w:bookmarkStart w:id="191" w:name="_Toc304295560"/>
      <w:r/>
      <w:bookmarkStart w:id="192" w:name="_Toc312677496"/>
      <w:r>
        <w:rPr>
          <w:rFonts w:hint="eastAsia"/>
          <w:color w:val="auto"/>
          <w:highlight w:val="none"/>
        </w:rPr>
        <w:t xml:space="preserve">.1试验设备与试验人员</w:t>
      </w:r>
      <w:bookmarkEnd w:id="186"/>
      <w:r/>
      <w:bookmarkEnd w:id="187"/>
      <w:r/>
      <w:bookmarkEnd w:id="188"/>
      <w:r/>
      <w:bookmarkEnd w:id="189"/>
      <w:r/>
      <w:bookmarkEnd w:id="190"/>
      <w:r/>
      <w:bookmarkEnd w:id="191"/>
      <w:r/>
      <w:bookmarkEnd w:id="192"/>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w:t>
      </w:r>
      <w:bookmarkStart w:id="193" w:name="_Toc303539141"/>
      <w:r/>
      <w:bookmarkStart w:id="194" w:name="_Toc312677497"/>
      <w:r/>
      <w:bookmarkStart w:id="195" w:name="_Toc297123535"/>
      <w:r/>
      <w:bookmarkStart w:id="196" w:name="_Toc312678023"/>
      <w:r/>
      <w:bookmarkStart w:id="197" w:name="_Toc304295561"/>
      <w:r/>
      <w:bookmarkStart w:id="198" w:name="_Toc297216194"/>
      <w:r/>
      <w:bookmarkStart w:id="199" w:name="_Toc300934984"/>
      <w:r/>
      <w:bookmarkStart w:id="200" w:name="_Toc318581174"/>
      <w:r>
        <w:rPr>
          <w:rFonts w:hint="eastAsia" w:ascii="仿宋" w:hAnsi="仿宋" w:eastAsia="仿宋" w:cs="仿宋"/>
          <w:color w:val="auto"/>
          <w:sz w:val="24"/>
          <w:highlight w:val="none"/>
        </w:rPr>
        <w:t xml:space="preserve">.1.2 试验设备</w:t>
      </w:r>
      <w:bookmarkEnd w:id="193"/>
      <w:r/>
      <w:bookmarkEnd w:id="194"/>
      <w:r/>
      <w:bookmarkEnd w:id="195"/>
      <w:r/>
      <w:bookmarkEnd w:id="196"/>
      <w:r/>
      <w:bookmarkEnd w:id="197"/>
      <w:r/>
      <w:bookmarkEnd w:id="198"/>
      <w:r/>
      <w:bookmarkEnd w:id="199"/>
      <w:r/>
      <w:r/>
    </w:p>
    <w:p>
      <w:pPr>
        <w:ind w:firstLine="420"/>
        <w:jc w:val="left"/>
        <w:spacing w:line="360" w:lineRule="auto"/>
        <w:rPr>
          <w:rFonts w:hint="eastAsia" w:ascii="仿宋" w:hAnsi="仿宋" w:eastAsia="仿宋" w:cs="仿宋"/>
          <w:color w:val="auto"/>
          <w:sz w:val="24"/>
          <w:szCs w:val="24"/>
          <w:highlight w:val="none"/>
        </w:rPr>
      </w:pPr>
      <w:r/>
      <w:bookmarkStart w:id="201" w:name="_Toc300934985"/>
      <w:r/>
      <w:bookmarkStart w:id="202" w:name="_Toc303539142"/>
      <w:r/>
      <w:bookmarkStart w:id="203" w:name="_Toc304295562"/>
      <w:r/>
      <w:bookmarkStart w:id="204" w:name="_Toc312678024"/>
      <w:r/>
      <w:bookmarkStart w:id="205" w:name="_Toc312677498"/>
      <w:r/>
      <w:bookmarkStart w:id="206" w:name="_Toc297123536"/>
      <w:r/>
      <w:bookmarkStart w:id="207" w:name="_Toc297216195"/>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已含投标报价中，由承包人自行考虑</w:t>
      </w:r>
      <w:r>
        <w:rPr>
          <w:rFonts w:hint="eastAsia" w:ascii="仿宋" w:hAnsi="仿宋" w:eastAsia="仿宋" w:cs="仿宋"/>
          <w:color w:val="auto"/>
          <w:sz w:val="24"/>
          <w:szCs w:val="24"/>
          <w:highlight w:val="none"/>
        </w:rPr>
        <w:t xml:space="preserve">。 </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rPr>
          <w:rFonts w:hint="eastAsia" w:ascii="仿宋" w:hAnsi="仿宋" w:eastAsia="仿宋" w:cs="仿宋"/>
          <w:color w:val="auto"/>
          <w:sz w:val="24"/>
          <w:szCs w:val="24"/>
          <w:highlight w:val="none"/>
          <w:u w:val="single"/>
        </w:rPr>
        <w:t xml:space="preserve">符合相关规范规定，满足施工材料、施工工序自检需要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rPr>
          <w:rFonts w:hint="eastAsia" w:ascii="仿宋" w:hAnsi="仿宋" w:eastAsia="仿宋" w:cs="仿宋"/>
          <w:color w:val="auto"/>
          <w:sz w:val="24"/>
          <w:szCs w:val="24"/>
          <w:highlight w:val="none"/>
          <w:u w:val="single"/>
        </w:rPr>
        <w:t xml:space="preserve">符合相关规范规定，满足施工材料、施工工序自检需要  </w:t>
      </w:r>
      <w:r>
        <w:rPr>
          <w:rFonts w:hint="eastAsia" w:ascii="仿宋" w:hAnsi="仿宋" w:eastAsia="仿宋" w:cs="仿宋"/>
          <w:color w:val="auto"/>
          <w:sz w:val="24"/>
          <w:szCs w:val="24"/>
          <w:highlight w:val="none"/>
        </w:rPr>
        <w:t xml:space="preserve">。</w:t>
      </w:r>
      <w:r/>
    </w:p>
    <w:p>
      <w:pPr>
        <w:pStyle w:val="979"/>
        <w:rPr>
          <w:color w:val="auto"/>
          <w:highlight w:val="none"/>
        </w:rPr>
      </w:pPr>
      <w:r>
        <w:rPr>
          <w:rFonts w:hint="eastAsia"/>
          <w:color w:val="auto"/>
          <w:highlight w:val="none"/>
        </w:rPr>
        <w:t xml:space="preserve">9.4 现场工艺试验 </w:t>
      </w:r>
      <w:bookmarkEnd w:id="200"/>
      <w:r/>
      <w:bookmarkEnd w:id="201"/>
      <w:r/>
      <w:bookmarkEnd w:id="202"/>
      <w:r/>
      <w:bookmarkEnd w:id="203"/>
      <w:r/>
      <w:bookmarkEnd w:id="204"/>
      <w:r/>
      <w:bookmarkEnd w:id="205"/>
      <w:r/>
      <w:bookmarkEnd w:id="206"/>
      <w:r/>
      <w:bookmarkEnd w:id="207"/>
      <w:r/>
      <w:r/>
    </w:p>
    <w:p>
      <w:pPr>
        <w:ind w:firstLine="420"/>
        <w:jc w:val="left"/>
        <w:spacing w:line="360" w:lineRule="auto"/>
        <w:rPr>
          <w:rFonts w:hint="eastAsia" w:ascii="仿宋" w:hAnsi="仿宋" w:eastAsia="仿宋" w:cs="仿宋"/>
          <w:color w:val="auto"/>
          <w:sz w:val="24"/>
          <w:szCs w:val="24"/>
          <w:highlight w:val="none"/>
        </w:rPr>
      </w:pPr>
      <w:r/>
      <w:bookmarkStart w:id="208" w:name="_Toc351203642"/>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 监理单位和发包人如对承包人已检验的材料或已验收的部位质量有怀疑，可进行重新（抽）检验。检验合格，检验费用由发包人支付，耽误的工期予以顺延；如检验不合格，则检验费用由承包人</w:t>
      </w:r>
      <w:r>
        <w:rPr>
          <w:rFonts w:hint="eastAsia" w:ascii="仿宋" w:hAnsi="仿宋" w:eastAsia="仿宋" w:cs="仿宋"/>
          <w:color w:val="auto"/>
          <w:sz w:val="24"/>
          <w:szCs w:val="24"/>
          <w:highlight w:val="none"/>
          <w:u w:val="single"/>
          <w:lang w:val="en-US" w:eastAsia="zh-CN"/>
        </w:rPr>
        <w:t xml:space="preserve">承担</w:t>
      </w:r>
      <w:r>
        <w:rPr>
          <w:rFonts w:hint="eastAsia" w:ascii="仿宋" w:hAnsi="仿宋" w:eastAsia="仿宋" w:cs="仿宋"/>
          <w:color w:val="auto"/>
          <w:sz w:val="24"/>
          <w:szCs w:val="24"/>
          <w:highlight w:val="none"/>
          <w:u w:val="single"/>
        </w:rPr>
        <w:t xml:space="preserve">。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r/>
    </w:p>
    <w:p>
      <w:pPr>
        <w:pStyle w:val="978"/>
        <w:rPr>
          <w:color w:val="auto"/>
          <w:highlight w:val="none"/>
        </w:rPr>
      </w:pPr>
      <w:r>
        <w:rPr>
          <w:rFonts w:hint="eastAsia"/>
          <w:color w:val="auto"/>
          <w:highlight w:val="none"/>
        </w:rPr>
        <w:t xml:space="preserve">1</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Start w:id="209" w:name="_Toc296503193"/>
      <w:r/>
      <w:bookmarkStart w:id="210" w:name="_Toc292559903"/>
      <w:r/>
      <w:bookmarkStart w:id="211" w:name="_Toc297216199"/>
      <w:r/>
      <w:bookmarkStart w:id="212" w:name="_Toc297120493"/>
      <w:r/>
      <w:bookmarkStart w:id="213" w:name="_Toc296346694"/>
      <w:r/>
      <w:bookmarkStart w:id="214" w:name="_Toc296891233"/>
      <w:r/>
      <w:bookmarkStart w:id="215" w:name="_Toc304295566"/>
      <w:r/>
      <w:bookmarkStart w:id="216" w:name="_Toc303539146"/>
      <w:r/>
      <w:bookmarkStart w:id="217" w:name="_Toc296347192"/>
      <w:r/>
      <w:bookmarkStart w:id="218" w:name="_Toc297123540"/>
      <w:r/>
      <w:bookmarkStart w:id="219" w:name="_Toc296891021"/>
      <w:r/>
      <w:bookmarkStart w:id="220" w:name="_Toc312678025"/>
      <w:r/>
      <w:bookmarkStart w:id="221" w:name="_Toc300934989"/>
      <w:r/>
      <w:bookmarkStart w:id="222" w:name="_Toc292559398"/>
      <w:r/>
      <w:bookmarkStart w:id="223" w:name="_Toc296944532"/>
      <w:r/>
      <w:bookmarkStart w:id="224" w:name="_Toc312677499"/>
      <w:r/>
      <w:bookmarkStart w:id="225" w:name="_Toc297048379"/>
      <w:r/>
      <w:bookmarkStart w:id="226" w:name="_Toc267251440"/>
      <w:r/>
      <w:bookmarkStart w:id="227" w:name="_Toc267251435"/>
      <w:r/>
      <w:bookmarkStart w:id="228" w:name="_Toc267251439"/>
      <w:r/>
      <w:bookmarkStart w:id="229" w:name="_Toc267251441"/>
      <w:r/>
      <w:bookmarkStart w:id="230" w:name="_Toc267251437"/>
      <w:r/>
      <w:bookmarkStart w:id="231" w:name="_Toc267251433"/>
      <w:r/>
      <w:bookmarkStart w:id="232" w:name="_Toc267251442"/>
      <w:r>
        <w:rPr>
          <w:rFonts w:hint="eastAsia"/>
          <w:color w:val="auto"/>
          <w:highlight w:val="none"/>
        </w:rPr>
        <w:t xml:space="preserve">0. 变更</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pStyle w:val="979"/>
        <w:rPr>
          <w:color w:val="auto"/>
          <w:highlight w:val="none"/>
        </w:rPr>
      </w:pPr>
      <w:r>
        <w:rPr>
          <w:rFonts w:hint="eastAsia"/>
          <w:color w:val="auto"/>
          <w:highlight w:val="none"/>
        </w:rPr>
        <w:t xml:space="preserve">10.1 变更的范围</w:t>
      </w:r>
      <w:r/>
    </w:p>
    <w:p>
      <w:pPr>
        <w:ind w:firstLine="600"/>
        <w:jc w:val="left"/>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执行《徐州高新技术产业开发区工程建设管理实施细则》，</w:t>
      </w:r>
      <w:r>
        <w:rPr>
          <w:rFonts w:hint="eastAsia" w:ascii="仿宋" w:hAnsi="仿宋" w:eastAsia="仿宋" w:cs="仿宋"/>
          <w:b/>
          <w:color w:val="auto"/>
          <w:sz w:val="24"/>
          <w:szCs w:val="24"/>
          <w:highlight w:val="none"/>
          <w:u w:val="single"/>
        </w:rPr>
        <w:t xml:space="preserve">除设计变更、现场签证和新增（减）工程外，其余均不作调整；设计变更、现场签证、新增（减）工程均需经监理工程师和发包人代表、施工单位项目经理、现场跟踪审计人员签字认可，以最终审计为准。</w:t>
      </w:r>
      <w:r/>
    </w:p>
    <w:p>
      <w:pPr>
        <w:pStyle w:val="979"/>
        <w:rPr>
          <w:rFonts w:hint="eastAsia"/>
          <w:color w:val="auto"/>
          <w:highlight w:val="none"/>
        </w:rPr>
      </w:pPr>
      <w:r>
        <w:rPr>
          <w:rFonts w:hint="eastAsia"/>
          <w:color w:val="auto"/>
          <w:highlight w:val="none"/>
        </w:rPr>
        <w:t xml:space="preserve">10.4 变更估价</w:t>
      </w:r>
      <w:r/>
    </w:p>
    <w:p>
      <w:pPr>
        <w:ind w:firstLine="480"/>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10.4.1 变更估价原则</w:t>
      </w:r>
      <w:r/>
    </w:p>
    <w:p>
      <w:pPr>
        <w:ind w:firstLine="480"/>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关于变更估价的约定：</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审计为准。</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（3）非承包人原因的工程变更，造成增加新的工程量清单项目，其对应的综合单价按下列方法确定：</w:t>
      </w:r>
      <w:r/>
    </w:p>
    <w:p>
      <w:pPr>
        <w:ind w:firstLine="480"/>
        <w:jc w:val="left"/>
        <w:spacing w:line="360" w:lineRule="auto"/>
        <w:widowControl/>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①合同中已有的综合单价，按合同中已有的综合单价确定；  </w:t>
      </w:r>
      <w:r/>
    </w:p>
    <w:p>
      <w:pPr>
        <w:ind w:firstLine="480"/>
        <w:jc w:val="left"/>
        <w:spacing w:line="360" w:lineRule="auto"/>
        <w:widowControl/>
        <w:tabs>
          <w:tab w:val="left" w:pos="5880" w:leader="none"/>
        </w:tabs>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②合同中已有类似的综合单价，参照类似的综合单价确定。</w:t>
      </w:r>
      <w:r>
        <w:rPr>
          <w:rFonts w:hint="eastAsia" w:ascii="仿宋" w:hAnsi="仿宋" w:eastAsia="仿宋" w:cs="仿宋"/>
          <w:b w:val="0"/>
          <w:bCs w:val="0"/>
          <w:color w:val="auto"/>
          <w:sz w:val="24"/>
          <w:szCs w:val="24"/>
          <w:highlight w:val="none"/>
          <w:u w:val="single"/>
        </w:rPr>
        <w:tab/>
      </w:r>
      <w:r/>
    </w:p>
    <w:p>
      <w:pPr>
        <w:ind w:firstLine="480"/>
        <w:jc w:val="left"/>
        <w:spacing w:line="360" w:lineRule="auto"/>
        <w:widowControl/>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③合同中没有适用或类似的综合单价，由承包人提出综合单价，经发包人确认后执行，结算原则按中标价与招标控制价相比的让利幅度同比例下浮。</w:t>
      </w:r>
      <w:r/>
    </w:p>
    <w:p>
      <w:pPr>
        <w:ind w:firstLine="480"/>
        <w:jc w:val="left"/>
        <w:spacing w:line="360" w:lineRule="auto"/>
        <w:widowControl/>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④采取市场询价方式确定综合单价的不参与投标下浮，以经发包人、审计部门审核同意的市场询价结果为准。</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4）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算，并乘以承包人报价浮动比率【承包人报价浮动比率=（1-中标价/招标控制价）×100%】进行结算外，其余的措施费均不作调整。</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5）当工程量清单项目工程量的变化幅度超过10%，且其影响分部分项工程费超过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（6）清单项目中特征描述不全的工序，如图纸已明确或已指明引用规范、图集等或是常规工艺必须的工序，应视为包括在报价中（清单项目中特征描述与图纸有矛盾时以图纸为准）。</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7）①如因承包人原因造成工程量清单项未予实施或工程量减少的，当投标清单综合单价高于招标清单综合单价时，按照投标清单综合单价予以核减；当投标清单综合单价低于招标清单综合单价时，按照招标清单综合单价予以核减，竣工结算时予以扣除。②如因发包人原因或不可抗力造成工程量清单项未予实施或工程量减少</w:t>
      </w:r>
      <w:r>
        <w:rPr>
          <w:rFonts w:hint="eastAsia" w:ascii="仿宋" w:hAnsi="仿宋" w:eastAsia="仿宋" w:cs="仿宋"/>
          <w:b w:val="0"/>
          <w:bCs w:val="0"/>
          <w:color w:val="auto"/>
          <w:sz w:val="24"/>
          <w:szCs w:val="24"/>
          <w:highlight w:val="none"/>
          <w:u w:val="single"/>
          <w:lang w:eastAsia="zh-CN"/>
        </w:rPr>
        <w:t xml:space="preserve">、缺项</w:t>
      </w:r>
      <w:r>
        <w:rPr>
          <w:rFonts w:hint="eastAsia" w:ascii="仿宋" w:hAnsi="仿宋" w:eastAsia="仿宋" w:cs="仿宋"/>
          <w:b w:val="0"/>
          <w:bCs w:val="0"/>
          <w:color w:val="auto"/>
          <w:sz w:val="24"/>
          <w:szCs w:val="24"/>
          <w:highlight w:val="none"/>
          <w:u w:val="single"/>
        </w:rPr>
        <w:t xml:space="preserve">的，按照投标清单综合单价予以核减，竣工结算时予以扣除。</w:t>
      </w:r>
      <w:r/>
    </w:p>
    <w:p>
      <w:pPr>
        <w:pStyle w:val="979"/>
        <w:rPr>
          <w:rFonts w:hint="eastAsia"/>
          <w:color w:val="auto"/>
          <w:highlight w:val="none"/>
        </w:rPr>
      </w:pPr>
      <w:r>
        <w:rPr>
          <w:rFonts w:hint="eastAsia"/>
          <w:color w:val="auto"/>
          <w:highlight w:val="none"/>
        </w:rPr>
        <w:t xml:space="preserve">1</w:t>
      </w:r>
      <w:bookmarkStart w:id="233" w:name="_Toc297216203"/>
      <w:r/>
      <w:bookmarkStart w:id="234" w:name="_Toc296346698"/>
      <w:r/>
      <w:bookmarkStart w:id="235" w:name="_Toc297120497"/>
      <w:r/>
      <w:bookmarkStart w:id="236" w:name="_Toc292559402"/>
      <w:r/>
      <w:bookmarkStart w:id="237" w:name="_Toc296944536"/>
      <w:r/>
      <w:bookmarkStart w:id="238" w:name="_Toc297123544"/>
      <w:r/>
      <w:bookmarkStart w:id="239" w:name="_Toc296503197"/>
      <w:r/>
      <w:bookmarkStart w:id="240" w:name="_Toc296347196"/>
      <w:r/>
      <w:bookmarkStart w:id="241" w:name="_Toc296891025"/>
      <w:r/>
      <w:bookmarkStart w:id="242" w:name="_Toc300934993"/>
      <w:r/>
      <w:bookmarkStart w:id="243" w:name="_Toc303539150"/>
      <w:r/>
      <w:bookmarkStart w:id="244" w:name="_Toc297048383"/>
      <w:r/>
      <w:bookmarkStart w:id="245" w:name="_Toc296891237"/>
      <w:r/>
      <w:bookmarkStart w:id="246" w:name="_Toc292559907"/>
      <w:r/>
      <w:bookmarkStart w:id="247" w:name="_Toc304295570"/>
      <w:r/>
      <w:bookmarkStart w:id="248" w:name="_Toc312677503"/>
      <w:r/>
      <w:bookmarkStart w:id="249" w:name="_Toc312678029"/>
      <w:r>
        <w:rPr>
          <w:rFonts w:hint="eastAsia"/>
          <w:color w:val="auto"/>
          <w:highlight w:val="none"/>
        </w:rPr>
        <w:t xml:space="preserve">0.5承</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Start w:id="250" w:name="_Toc296891243"/>
      <w:r/>
      <w:bookmarkStart w:id="251" w:name="_Toc303539151"/>
      <w:r/>
      <w:bookmarkStart w:id="252" w:name="_Toc292559913"/>
      <w:r/>
      <w:bookmarkStart w:id="253" w:name="_Toc296347202"/>
      <w:r/>
      <w:bookmarkStart w:id="254" w:name="_Toc296503203"/>
      <w:r/>
      <w:bookmarkStart w:id="255" w:name="_Toc296944542"/>
      <w:r/>
      <w:bookmarkStart w:id="256" w:name="_Toc292559408"/>
      <w:r/>
      <w:bookmarkStart w:id="257" w:name="_Toc296891031"/>
      <w:r/>
      <w:bookmarkStart w:id="258" w:name="_Toc297120503"/>
      <w:r/>
      <w:bookmarkStart w:id="259" w:name="_Toc300934994"/>
      <w:r/>
      <w:bookmarkStart w:id="260" w:name="_Toc297123545"/>
      <w:r/>
      <w:bookmarkStart w:id="261" w:name="_Toc297048389"/>
      <w:r/>
      <w:bookmarkStart w:id="262" w:name="_Toc297216204"/>
      <w:r/>
      <w:bookmarkStart w:id="263" w:name="_Toc296346704"/>
      <w:r>
        <w:rPr>
          <w:rFonts w:hint="eastAsia"/>
          <w:color w:val="auto"/>
          <w:highlight w:val="none"/>
        </w:rPr>
        <w:t xml:space="preserve">包人的合理化建议</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ind w:firstLine="480"/>
        <w:jc w:val="left"/>
        <w:spacing w:line="360" w:lineRule="auto"/>
        <w:rPr>
          <w:rFonts w:hint="eastAsia" w:ascii="仿宋" w:hAnsi="仿宋" w:eastAsia="仿宋" w:cs="仿宋"/>
          <w:b w:val="0"/>
          <w:bCs w:val="0"/>
          <w:color w:val="auto"/>
          <w:sz w:val="24"/>
          <w:szCs w:val="24"/>
          <w:highlight w:val="none"/>
        </w:rPr>
      </w:pPr>
      <w:r/>
      <w:bookmarkStart w:id="264" w:name="_Toc296346705"/>
      <w:r/>
      <w:bookmarkStart w:id="265" w:name="_Toc303539152"/>
      <w:r/>
      <w:bookmarkStart w:id="266" w:name="_Toc296891244"/>
      <w:r/>
      <w:bookmarkStart w:id="267" w:name="_Toc312678030"/>
      <w:r/>
      <w:bookmarkStart w:id="268" w:name="_Toc296944543"/>
      <w:r/>
      <w:bookmarkStart w:id="269" w:name="_Toc318581175"/>
      <w:r/>
      <w:bookmarkStart w:id="270" w:name="_Toc297216205"/>
      <w:r/>
      <w:bookmarkStart w:id="271" w:name="_Toc300934995"/>
      <w:r/>
      <w:bookmarkStart w:id="272" w:name="_Toc304295571"/>
      <w:r/>
      <w:bookmarkStart w:id="273" w:name="_Toc292559914"/>
      <w:r/>
      <w:bookmarkStart w:id="274" w:name="_Toc296347203"/>
      <w:r/>
      <w:bookmarkStart w:id="275" w:name="_Toc297048390"/>
      <w:r/>
      <w:bookmarkStart w:id="276" w:name="_Toc297123546"/>
      <w:r/>
      <w:bookmarkStart w:id="277" w:name="_Toc297120504"/>
      <w:r/>
      <w:bookmarkStart w:id="278" w:name="_Toc292559409"/>
      <w:r/>
      <w:bookmarkStart w:id="279" w:name="_Toc312677504"/>
      <w:r/>
      <w:bookmarkStart w:id="280" w:name="_Toc296891032"/>
      <w:r/>
      <w:bookmarkStart w:id="281" w:name="_Toc296503204"/>
      <w:r>
        <w:rPr>
          <w:rFonts w:hint="eastAsia" w:ascii="仿宋" w:hAnsi="仿宋" w:eastAsia="仿宋" w:cs="仿宋"/>
          <w:b w:val="0"/>
          <w:bCs w:val="0"/>
          <w:color w:val="auto"/>
          <w:sz w:val="24"/>
          <w:szCs w:val="24"/>
          <w:highlight w:val="none"/>
        </w:rPr>
        <w:t xml:space="preserve">监理人审查承包人合理化建议的期限：</w:t>
      </w:r>
      <w:r>
        <w:rPr>
          <w:rFonts w:hint="eastAsia" w:ascii="仿宋" w:hAnsi="仿宋" w:eastAsia="仿宋" w:cs="仿宋"/>
          <w:b w:val="0"/>
          <w:bCs w:val="0"/>
          <w:color w:val="auto"/>
          <w:sz w:val="24"/>
          <w:szCs w:val="24"/>
          <w:highlight w:val="none"/>
          <w:u w:val="single"/>
        </w:rPr>
        <w:t xml:space="preserve"> 7日历天 。</w:t>
      </w:r>
      <w:r/>
    </w:p>
    <w:p>
      <w:pPr>
        <w:ind w:firstLine="480"/>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发包人审批承包人合理化建议的期限：</w:t>
      </w:r>
      <w:r>
        <w:rPr>
          <w:rFonts w:hint="eastAsia" w:ascii="仿宋" w:hAnsi="仿宋" w:eastAsia="仿宋" w:cs="仿宋"/>
          <w:b w:val="0"/>
          <w:bCs w:val="0"/>
          <w:color w:val="auto"/>
          <w:sz w:val="24"/>
          <w:szCs w:val="24"/>
          <w:highlight w:val="none"/>
          <w:u w:val="single"/>
        </w:rPr>
        <w:t xml:space="preserve"> 7日历天 。</w:t>
      </w:r>
      <w:r/>
    </w:p>
    <w:p>
      <w:pPr>
        <w:ind w:firstLine="48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承包人提出的合理化建议降低了合同价格或者提高了工程经济效益的奖励的方法和金额为：</w:t>
      </w:r>
      <w:r>
        <w:rPr>
          <w:rFonts w:hint="eastAsia" w:ascii="仿宋" w:hAnsi="仿宋" w:eastAsia="仿宋" w:cs="仿宋"/>
          <w:b w:val="0"/>
          <w:bCs w:val="0"/>
          <w:color w:val="auto"/>
          <w:sz w:val="24"/>
          <w:szCs w:val="24"/>
          <w:highlight w:val="none"/>
          <w:u w:val="single"/>
        </w:rPr>
        <w:t xml:space="preserve"> 无  </w:t>
      </w:r>
      <w:r>
        <w:rPr>
          <w:rFonts w:hint="eastAsia" w:ascii="仿宋" w:hAnsi="仿宋" w:eastAsia="仿宋" w:cs="仿宋"/>
          <w:b w:val="0"/>
          <w:bCs w:val="0"/>
          <w:color w:val="auto"/>
          <w:sz w:val="24"/>
          <w:szCs w:val="24"/>
          <w:highlight w:val="none"/>
        </w:rPr>
        <w:t xml:space="preserve">。</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pStyle w:val="979"/>
        <w:rPr>
          <w:rFonts w:hint="eastAsia"/>
          <w:color w:val="auto"/>
          <w:highlight w:val="none"/>
        </w:rPr>
      </w:pPr>
      <w:r>
        <w:rPr>
          <w:rFonts w:hint="eastAsia"/>
          <w:color w:val="auto"/>
          <w:highlight w:val="none"/>
        </w:rPr>
        <w:t xml:space="preserve">1</w:t>
      </w:r>
      <w:bookmarkStart w:id="282" w:name="_Toc297120499"/>
      <w:r/>
      <w:bookmarkStart w:id="283" w:name="_Toc296503199"/>
      <w:r/>
      <w:bookmarkStart w:id="284" w:name="_Toc300934997"/>
      <w:r/>
      <w:bookmarkStart w:id="285" w:name="_Toc303539154"/>
      <w:r/>
      <w:bookmarkStart w:id="286" w:name="_Toc296347198"/>
      <w:r/>
      <w:bookmarkStart w:id="287" w:name="_Toc297123548"/>
      <w:r/>
      <w:bookmarkStart w:id="288" w:name="_Toc297048385"/>
      <w:r/>
      <w:bookmarkStart w:id="289" w:name="_Toc292559404"/>
      <w:r/>
      <w:bookmarkStart w:id="290" w:name="_Toc296944538"/>
      <w:r/>
      <w:bookmarkStart w:id="291" w:name="_Toc297216207"/>
      <w:r/>
      <w:bookmarkStart w:id="292" w:name="_Toc304295574"/>
      <w:r/>
      <w:bookmarkStart w:id="293" w:name="_Toc296891239"/>
      <w:r/>
      <w:bookmarkStart w:id="294" w:name="_Toc296346700"/>
      <w:r/>
      <w:bookmarkStart w:id="295" w:name="_Toc312678033"/>
      <w:r/>
      <w:bookmarkStart w:id="296" w:name="_Toc296891027"/>
      <w:r/>
      <w:bookmarkStart w:id="297" w:name="_Toc292559909"/>
      <w:r/>
      <w:bookmarkStart w:id="298" w:name="_Toc312677507"/>
      <w:r>
        <w:rPr>
          <w:rFonts w:hint="eastAsia"/>
          <w:color w:val="auto"/>
          <w:highlight w:val="none"/>
        </w:rPr>
        <w:t xml:space="preserve">0.7 暂估价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ind w:firstLine="420"/>
        <w:jc w:val="left"/>
        <w:spacing w:line="36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暂估价材料和工程设备的明细详见清单：《</w:t>
      </w:r>
      <w:r>
        <w:rPr>
          <w:rFonts w:hint="eastAsia" w:ascii="仿宋" w:hAnsi="仿宋" w:eastAsia="仿宋" w:cs="仿宋"/>
          <w:b w:val="0"/>
          <w:bCs w:val="0"/>
          <w:color w:val="auto"/>
          <w:sz w:val="24"/>
          <w:szCs w:val="24"/>
          <w:highlight w:val="none"/>
        </w:rPr>
        <w:t xml:space="preserve">材料（工程设备）暂估单价表》</w:t>
      </w:r>
      <w:r>
        <w:rPr>
          <w:rFonts w:hint="eastAsia" w:ascii="仿宋" w:hAnsi="仿宋" w:eastAsia="仿宋" w:cs="仿宋"/>
          <w:b w:val="0"/>
          <w:bCs w:val="0"/>
          <w:color w:val="auto"/>
          <w:sz w:val="24"/>
          <w:szCs w:val="24"/>
          <w:highlight w:val="none"/>
        </w:rPr>
        <w:t xml:space="preserve">。</w:t>
      </w:r>
      <w:r/>
    </w:p>
    <w:p>
      <w:pPr>
        <w:ind w:firstLine="480"/>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bookmarkStart w:id="299" w:name="_Toc318581177"/>
      <w:r/>
      <w:bookmarkStart w:id="300" w:name="_Toc312677509"/>
      <w:r/>
      <w:bookmarkStart w:id="301" w:name="_Toc312678035"/>
      <w:r>
        <w:rPr>
          <w:rFonts w:hint="eastAsia" w:ascii="仿宋" w:hAnsi="仿宋" w:eastAsia="仿宋" w:cs="仿宋"/>
          <w:b w:val="0"/>
          <w:bCs w:val="0"/>
          <w:color w:val="auto"/>
          <w:sz w:val="24"/>
          <w:szCs w:val="24"/>
          <w:highlight w:val="none"/>
        </w:rPr>
        <w:t xml:space="preserve">0.7.1 依法必须招标的暂估价项目</w:t>
      </w:r>
      <w:bookmarkEnd w:id="299"/>
      <w:r/>
      <w:bookmarkEnd w:id="300"/>
      <w:r/>
      <w:bookmarkEnd w:id="301"/>
      <w:r/>
      <w:r/>
    </w:p>
    <w:p>
      <w:pPr>
        <w:ind w:firstLine="480"/>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对于依法必须招标的暂估价项目的确认和批准采取</w:t>
      </w:r>
      <w:r>
        <w:rPr>
          <w:rFonts w:hint="eastAsia" w:ascii="仿宋" w:hAnsi="仿宋" w:eastAsia="仿宋" w:cs="仿宋"/>
          <w:b w:val="0"/>
          <w:bCs w:val="0"/>
          <w:color w:val="auto"/>
          <w:sz w:val="24"/>
          <w:szCs w:val="24"/>
          <w:highlight w:val="none"/>
          <w:lang w:val="en-US" w:eastAsia="zh-CN"/>
        </w:rPr>
        <w:t xml:space="preserve">第</w:t>
      </w:r>
      <w:r>
        <w:rPr>
          <w:rFonts w:hint="eastAsia" w:ascii="仿宋" w:hAnsi="仿宋" w:eastAsia="仿宋" w:cs="仿宋"/>
          <w:b w:val="0"/>
          <w:bCs w:val="0"/>
          <w:color w:val="auto"/>
          <w:sz w:val="24"/>
          <w:szCs w:val="24"/>
          <w:highlight w:val="none"/>
          <w:u w:val="single"/>
          <w:lang w:val="en-US" w:eastAsia="zh-CN"/>
        </w:rPr>
        <w:t xml:space="preserve"> / </w:t>
      </w:r>
      <w:r>
        <w:rPr>
          <w:rFonts w:hint="eastAsia" w:ascii="仿宋" w:hAnsi="仿宋" w:eastAsia="仿宋" w:cs="仿宋"/>
          <w:b w:val="0"/>
          <w:bCs w:val="0"/>
          <w:color w:val="auto"/>
          <w:sz w:val="24"/>
          <w:szCs w:val="24"/>
          <w:highlight w:val="none"/>
          <w:u w:val="none"/>
          <w:lang w:val="en-US" w:eastAsia="zh-CN"/>
        </w:rPr>
        <w:t xml:space="preserve">种方式</w:t>
      </w:r>
      <w:r>
        <w:rPr>
          <w:rFonts w:hint="eastAsia" w:ascii="仿宋" w:hAnsi="仿宋" w:eastAsia="仿宋" w:cs="仿宋"/>
          <w:b w:val="0"/>
          <w:bCs w:val="0"/>
          <w:color w:val="auto"/>
          <w:sz w:val="24"/>
          <w:szCs w:val="24"/>
          <w:highlight w:val="none"/>
        </w:rPr>
        <w:t xml:space="preserve">确定。</w:t>
      </w:r>
      <w:r/>
    </w:p>
    <w:p>
      <w:pPr>
        <w:ind w:firstLine="480"/>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10.7.2 不属于依法必须招标的暂估价项目</w:t>
      </w:r>
      <w:r/>
    </w:p>
    <w:p>
      <w:pPr>
        <w:ind w:firstLine="480"/>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对于不属于依法必须招标的暂估价项目的确认和批准采取</w:t>
      </w:r>
      <w:r>
        <w:rPr>
          <w:rFonts w:hint="eastAsia" w:ascii="仿宋" w:hAnsi="仿宋" w:eastAsia="仿宋" w:cs="仿宋"/>
          <w:b w:val="0"/>
          <w:bCs w:val="0"/>
          <w:color w:val="auto"/>
          <w:sz w:val="24"/>
          <w:szCs w:val="24"/>
          <w:highlight w:val="none"/>
          <w:lang w:val="en-US" w:eastAsia="zh-CN"/>
        </w:rPr>
        <w:t xml:space="preserve">第</w:t>
      </w:r>
      <w:r>
        <w:rPr>
          <w:rFonts w:hint="eastAsia" w:ascii="仿宋" w:hAnsi="仿宋" w:eastAsia="仿宋" w:cs="仿宋"/>
          <w:b w:val="0"/>
          <w:bCs w:val="0"/>
          <w:color w:val="auto"/>
          <w:sz w:val="24"/>
          <w:szCs w:val="24"/>
          <w:highlight w:val="none"/>
          <w:u w:val="single"/>
          <w:lang w:val="en-US" w:eastAsia="zh-CN"/>
        </w:rPr>
        <w:t xml:space="preserve"> / </w:t>
      </w:r>
      <w:r>
        <w:rPr>
          <w:rFonts w:hint="eastAsia" w:ascii="仿宋" w:hAnsi="仿宋" w:eastAsia="仿宋" w:cs="仿宋"/>
          <w:b w:val="0"/>
          <w:bCs w:val="0"/>
          <w:color w:val="auto"/>
          <w:sz w:val="24"/>
          <w:szCs w:val="24"/>
          <w:highlight w:val="none"/>
          <w:u w:val="none"/>
          <w:lang w:val="en-US" w:eastAsia="zh-CN"/>
        </w:rPr>
        <w:t xml:space="preserve">种方式</w:t>
      </w:r>
      <w:r>
        <w:rPr>
          <w:rFonts w:hint="eastAsia" w:ascii="仿宋" w:hAnsi="仿宋" w:eastAsia="仿宋" w:cs="仿宋"/>
          <w:b w:val="0"/>
          <w:bCs w:val="0"/>
          <w:color w:val="auto"/>
          <w:sz w:val="24"/>
          <w:szCs w:val="24"/>
          <w:highlight w:val="none"/>
        </w:rPr>
        <w:t xml:space="preserve">确定。</w:t>
      </w:r>
      <w:r/>
    </w:p>
    <w:p>
      <w:pPr>
        <w:pStyle w:val="979"/>
        <w:rPr>
          <w:rFonts w:hint="eastAsia"/>
          <w:color w:val="auto"/>
          <w:highlight w:val="none"/>
        </w:rPr>
      </w:pPr>
      <w:r>
        <w:rPr>
          <w:rFonts w:hint="eastAsia"/>
          <w:color w:val="auto"/>
          <w:highlight w:val="none"/>
        </w:rPr>
        <w:t xml:space="preserve">10.8 暂列金额</w:t>
      </w:r>
      <w:r/>
    </w:p>
    <w:p>
      <w:pPr>
        <w:ind w:firstLine="420"/>
        <w:jc w:val="left"/>
        <w:spacing w:line="360" w:lineRule="auto"/>
        <w:rPr>
          <w:rFonts w:ascii="仿宋" w:hAnsi="仿宋" w:eastAsia="仿宋" w:cs="仿宋"/>
          <w:color w:val="auto"/>
          <w:sz w:val="24"/>
          <w:highlight w:val="none"/>
          <w:u w:val="single"/>
        </w:rPr>
      </w:pPr>
      <w:r>
        <w:rPr>
          <w:rFonts w:hint="eastAsia" w:ascii="仿宋" w:hAnsi="仿宋" w:eastAsia="仿宋" w:cs="仿宋"/>
          <w:b w:val="0"/>
          <w:bCs w:val="0"/>
          <w:color w:val="auto"/>
          <w:sz w:val="24"/>
          <w:szCs w:val="24"/>
          <w:highlight w:val="none"/>
        </w:rPr>
        <w:t xml:space="preserve">合同当事人关于暂列金额使用的约定：</w:t>
      </w:r>
      <w:r>
        <w:rPr>
          <w:rFonts w:hint="eastAsia" w:ascii="仿宋" w:hAnsi="仿宋" w:eastAsia="仿宋" w:cs="仿宋"/>
          <w:b w:val="0"/>
          <w:bCs w:val="0"/>
          <w:color w:val="auto"/>
          <w:sz w:val="24"/>
          <w:szCs w:val="24"/>
          <w:highlight w:val="none"/>
          <w:u w:val="single"/>
        </w:rPr>
        <w:t xml:space="preserve">根据法律法规及发包人要求。</w:t>
      </w:r>
      <w:r/>
    </w:p>
    <w:p>
      <w:pPr>
        <w:pStyle w:val="978"/>
        <w:rPr>
          <w:color w:val="auto"/>
          <w:highlight w:val="none"/>
        </w:rPr>
      </w:pPr>
      <w:r/>
      <w:bookmarkStart w:id="302" w:name="_Toc351203643"/>
      <w:r>
        <w:rPr>
          <w:rFonts w:hint="eastAsia"/>
          <w:color w:val="auto"/>
          <w:highlight w:val="none"/>
        </w:rPr>
        <w:t xml:space="preserve">11. 价格调整</w:t>
      </w:r>
      <w:bookmarkEnd w:id="302"/>
      <w:r/>
      <w:bookmarkEnd w:id="226"/>
      <w:r/>
      <w:bookmarkEnd w:id="227"/>
      <w:r/>
      <w:bookmarkEnd w:id="228"/>
      <w:r/>
      <w:bookmarkEnd w:id="229"/>
      <w:r/>
      <w:bookmarkEnd w:id="230"/>
      <w:r/>
      <w:bookmarkEnd w:id="231"/>
      <w:r/>
      <w:r/>
    </w:p>
    <w:p>
      <w:pPr>
        <w:ind w:firstLine="480"/>
        <w:jc w:val="both"/>
        <w:spacing w:line="360" w:lineRule="auto"/>
        <w:rPr>
          <w:rFonts w:hint="eastAsia" w:ascii="仿宋" w:hAnsi="仿宋" w:eastAsia="仿宋" w:cs="仿宋"/>
          <w:color w:val="auto"/>
          <w:sz w:val="24"/>
          <w:szCs w:val="24"/>
          <w:highlight w:val="none"/>
        </w:rPr>
      </w:pPr>
      <w:r/>
      <w:bookmarkStart w:id="303" w:name="_Toc296346706"/>
      <w:r/>
      <w:bookmarkStart w:id="304" w:name="_Toc296503205"/>
      <w:r/>
      <w:bookmarkStart w:id="305" w:name="_Toc297048391"/>
      <w:r/>
      <w:bookmarkStart w:id="306" w:name="_Toc296891033"/>
      <w:r/>
      <w:bookmarkStart w:id="307" w:name="_Toc297120505"/>
      <w:r/>
      <w:bookmarkStart w:id="308" w:name="_Toc292559915"/>
      <w:r/>
      <w:bookmarkStart w:id="309" w:name="_Toc296944544"/>
      <w:r/>
      <w:bookmarkStart w:id="310" w:name="_Toc296347204"/>
      <w:r/>
      <w:bookmarkStart w:id="311" w:name="_Toc296891245"/>
      <w:r/>
      <w:bookmarkStart w:id="312" w:name="_Toc292559410"/>
      <w:r/>
      <w:bookmarkStart w:id="313" w:name="_Toc297216211"/>
      <w:r/>
      <w:bookmarkStart w:id="314" w:name="_Toc297123552"/>
      <w:r/>
      <w:bookmarkStart w:id="315" w:name="_Toc304295579"/>
      <w:r/>
      <w:bookmarkStart w:id="316" w:name="_Toc303539159"/>
      <w:r/>
      <w:bookmarkStart w:id="317" w:name="_Toc312678040"/>
      <w:r/>
      <w:bookmarkStart w:id="318" w:name="_Toc351203644"/>
      <w:r/>
      <w:bookmarkStart w:id="319" w:name="_Toc300935002"/>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b/>
          <w:bCs/>
          <w:color w:val="auto"/>
          <w:sz w:val="24"/>
          <w:szCs w:val="24"/>
          <w:highlight w:val="none"/>
          <w:u w:val="single"/>
        </w:rPr>
        <w:t xml:space="preserve">不调整。</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种方式对合同价格进行调整：</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第1种方式：采用价格指数进行价格调整。</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u w:val="single"/>
        </w:rPr>
        <w:t xml:space="preserve">  / </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第2种方式：采用造价信息进行价格调整。</w:t>
      </w:r>
      <w:r/>
    </w:p>
    <w:p>
      <w:pPr>
        <w:ind w:firstLine="480"/>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（2）关于基准价格的约定：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①</w:t>
      </w:r>
      <w:r>
        <w:rPr>
          <w:rFonts w:hint="eastAsia" w:ascii="仿宋" w:hAnsi="仿宋" w:eastAsia="仿宋" w:cs="仿宋"/>
          <w:b/>
          <w:bCs/>
          <w:color w:val="auto"/>
          <w:sz w:val="24"/>
          <w:szCs w:val="24"/>
          <w:highlight w:val="none"/>
          <w:u w:val="single"/>
        </w:rPr>
        <w:t xml:space="preserve">按照开工之日当期《徐州工程造价信息》作为指导价</w:t>
      </w:r>
      <w:r>
        <w:rPr>
          <w:rFonts w:hint="eastAsia" w:ascii="仿宋" w:hAnsi="仿宋" w:eastAsia="仿宋" w:cs="仿宋"/>
          <w:b/>
          <w:bCs/>
          <w:color w:val="auto"/>
          <w:sz w:val="24"/>
          <w:szCs w:val="24"/>
          <w:highlight w:val="none"/>
          <w:u w:val="single"/>
        </w:rPr>
        <w:t xml:space="preserve">；《徐州工程造价信息》指导价缺项材料，以</w:t>
      </w:r>
      <w:r>
        <w:rPr>
          <w:rFonts w:hint="eastAsia" w:ascii="仿宋" w:hAnsi="仿宋" w:eastAsia="仿宋" w:cs="仿宋"/>
          <w:b/>
          <w:bCs/>
          <w:color w:val="auto"/>
          <w:sz w:val="24"/>
          <w:szCs w:val="24"/>
          <w:highlight w:val="none"/>
          <w:u w:val="single"/>
          <w:lang w:eastAsia="zh-CN"/>
        </w:rPr>
        <w:t xml:space="preserve">最高投标限价</w:t>
      </w:r>
      <w:r>
        <w:rPr>
          <w:rFonts w:hint="eastAsia" w:ascii="仿宋" w:hAnsi="仿宋" w:eastAsia="仿宋" w:cs="仿宋"/>
          <w:b/>
          <w:bCs/>
          <w:color w:val="auto"/>
          <w:sz w:val="24"/>
          <w:szCs w:val="24"/>
          <w:highlight w:val="none"/>
          <w:u w:val="single"/>
        </w:rPr>
        <w:t xml:space="preserve">的价格为基准价格。②仅下列材料设备参与调整：调差材料如下：钢筋、商品混凝土、水泥、电线电缆、黄沙、石子、沥青混凝土、球墨铸铁钢管、钢筋混凝土管道。合同履行期间材料单价：以工程开工令发出前一个月份至工程验收之日前一个月份的材料单价算术平均值为依据。</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%时，或材料单价跌幅以已标价工程量清单或预算书中载明材料单价为基础超过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%时，其超过部分据实调整。</w:t>
      </w:r>
      <w:r/>
    </w:p>
    <w:p>
      <w:pPr>
        <w:ind w:firstLine="48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%时，材料单价涨幅以已标价工程量清单或预算书中载明材料单价为基础超过</w:t>
      </w:r>
      <w:r>
        <w:rPr>
          <w:rFonts w:hint="eastAsia" w:ascii="仿宋" w:hAnsi="仿宋" w:eastAsia="仿宋" w:cs="仿宋"/>
          <w:color w:val="auto"/>
          <w:sz w:val="24"/>
          <w:szCs w:val="24"/>
          <w:highlight w:val="none"/>
          <w:u w:val="single"/>
        </w:rPr>
        <w:t xml:space="preserve"> 5</w:t>
      </w:r>
      <w:r>
        <w:rPr>
          <w:rFonts w:hint="eastAsia" w:ascii="仿宋" w:hAnsi="仿宋" w:eastAsia="仿宋" w:cs="仿宋"/>
          <w:color w:val="auto"/>
          <w:sz w:val="24"/>
          <w:szCs w:val="24"/>
          <w:highlight w:val="none"/>
        </w:rPr>
        <w:t xml:space="preserve">%时，其超过部分据实调整。</w:t>
      </w:r>
      <w:r/>
    </w:p>
    <w:p>
      <w:pPr>
        <w:ind w:firstLine="645"/>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%时，其超过部分据实调整。</w:t>
      </w:r>
      <w:r/>
    </w:p>
    <w:p>
      <w:pPr>
        <w:ind w:firstLine="42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第3种方式：其他价格调整方式：</w:t>
      </w:r>
      <w:r>
        <w:rPr>
          <w:rFonts w:hint="eastAsia" w:ascii="仿宋" w:hAnsi="仿宋" w:eastAsia="仿宋" w:cs="仿宋"/>
          <w:color w:val="auto"/>
          <w:sz w:val="24"/>
          <w:szCs w:val="24"/>
          <w:highlight w:val="none"/>
          <w:u w:val="single"/>
        </w:rPr>
        <w:t xml:space="preserve">/。</w:t>
      </w:r>
      <w:r/>
    </w:p>
    <w:p>
      <w:pPr>
        <w:pStyle w:val="978"/>
        <w:rPr>
          <w:rFonts w:hint="eastAsia"/>
          <w:color w:val="auto"/>
          <w:highlight w:val="none"/>
        </w:rPr>
      </w:pPr>
      <w:r>
        <w:rPr>
          <w:rFonts w:hint="eastAsia"/>
          <w:color w:val="auto"/>
          <w:highlight w:val="none"/>
        </w:rPr>
        <w:t xml:space="preserve">12. </w:t>
      </w:r>
      <w:bookmarkEnd w:id="303"/>
      <w:r/>
      <w:bookmarkEnd w:id="304"/>
      <w:r/>
      <w:bookmarkEnd w:id="305"/>
      <w:r/>
      <w:bookmarkEnd w:id="306"/>
      <w:r/>
      <w:bookmarkEnd w:id="307"/>
      <w:r/>
      <w:bookmarkEnd w:id="308"/>
      <w:r/>
      <w:bookmarkEnd w:id="309"/>
      <w:r/>
      <w:bookmarkEnd w:id="310"/>
      <w:r/>
      <w:bookmarkEnd w:id="311"/>
      <w:r/>
      <w:bookmarkEnd w:id="312"/>
      <w:r>
        <w:rPr>
          <w:rFonts w:hint="eastAsia"/>
          <w:color w:val="auto"/>
          <w:highlight w:val="none"/>
        </w:rPr>
        <w:t xml:space="preserve">合同价格、计量与支付</w:t>
      </w:r>
      <w:bookmarkEnd w:id="313"/>
      <w:r/>
      <w:bookmarkEnd w:id="314"/>
      <w:r/>
      <w:bookmarkEnd w:id="315"/>
      <w:r/>
      <w:bookmarkEnd w:id="316"/>
      <w:r/>
      <w:bookmarkEnd w:id="317"/>
      <w:r/>
      <w:bookmarkEnd w:id="318"/>
      <w:r/>
      <w:bookmarkEnd w:id="319"/>
      <w:r/>
      <w:r/>
    </w:p>
    <w:p>
      <w:pPr>
        <w:ind w:firstLine="480"/>
        <w:jc w:val="both"/>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单价合同。</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综合单价包含的风险范围：</w:t>
      </w:r>
      <w:r>
        <w:rPr>
          <w:rFonts w:hint="eastAsia" w:ascii="仿宋" w:hAnsi="仿宋" w:eastAsia="仿宋" w:cs="仿宋"/>
          <w:color w:val="auto"/>
          <w:sz w:val="24"/>
          <w:szCs w:val="24"/>
          <w:highlight w:val="none"/>
          <w:u w:val="single"/>
        </w:rPr>
        <w:t xml:space="preserve"> a人工费结算时不做调整；b除第11条约定外材料费、机械费结算不予调整，措施费不予调整；c合同和招标文件中明示及隐含的风险及有经验的承包商可以或应该预见的，为完成整体工程内容所必须考虑的风险；d一周内非承包人原因停水、停电造成累计停工在八小时以内的风险；e清单项目中特征描述不全的工序，如图纸已明确或已指明引用的规范、图集等或是常规工艺必须的工序，均应包括在综合单价中。</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p>
    <w:p>
      <w:pPr>
        <w:ind w:firstLine="480"/>
        <w:jc w:val="both"/>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(1) 工程量清单特征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以图纸为准）以上三种情况承包人在投标报价时应当充分考虑，不作为调整合同价格依据。</w:t>
      </w:r>
      <w:r/>
    </w:p>
    <w:p>
      <w:pPr>
        <w:ind w:firstLine="482"/>
        <w:jc w:val="both"/>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(2) 投标人应按招标人提供的工程量计算工程项目的单价和合价。工程量清单中的每一单项均需计算填写单价和合价，投标人没有填写单价和合价的项目将不予支付，认为此项费用已包括在工程量清单的其他单价和合价中。</w:t>
      </w:r>
      <w:r/>
    </w:p>
    <w:p>
      <w:pPr>
        <w:ind w:firstLine="482"/>
        <w:jc w:val="both"/>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(3) 投标人作为一个有经验的承包商，施工时自行采取措施避免干扰周围居民的生活，杜绝人身安全事故等；如因与周围居民发生冲突，导致工程停工，所有停工损失及其需增加的费用投标人应自主考虑在投标报价中，结算时不作调整，工期不予调整。</w:t>
      </w:r>
      <w:r/>
    </w:p>
    <w:p>
      <w:pPr>
        <w:ind w:firstLine="482"/>
        <w:jc w:val="both"/>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(4) 投标人勘查现场后必须在施工组织设计中体现：1、投标人保证有序、和谐施工，力保不发生人身伤害等恶性事件；2、现场分段施工的措施方案，临设搭设转移等措施项目费用；3、保护已有建筑、管网、线路等措施。以上三点是投标人必须考虑的费用，但不限于此，投标人可以自主报价。招标人在措施费用中为投标人综合考虑了以上费用，投标人自主报价，结算时招标人不再支付任何费用，且中标人必须承担与此相关的责任及费用时招标人不再支付任何费用。</w:t>
      </w:r>
      <w:r/>
    </w:p>
    <w:p>
      <w:pPr>
        <w:ind w:firstLine="482"/>
        <w:jc w:val="both"/>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(5) 施工所需临路、临电、临水、电讯等临时设施及管网、周围电线杆及地下管网（含但不限于军事光缆等）、周围附属物等一切施工范围内的监测与保护和由招标人所要求保护物品的保护费用包含在投标报价中，投标人自行考虑，结算时不调整，发包人也不再参与该方面问题的协调和处理（由承包人自行协调和处理），也不承担相关的费用。</w:t>
      </w:r>
      <w:r/>
    </w:p>
    <w:p>
      <w:pPr>
        <w:ind w:firstLine="482"/>
        <w:jc w:val="both"/>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（6）对于法律、法规、规章或有关政策出台导致工程税金等发生变化的，应按照有关规定执行。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工程设计变更，价款调整按照以下方法处理：①合同中已有适用的固定单价，按合同中已有的固定单价结算；②合同中有类似单价的，参照类似单价重新组价；③合同中没有适用或类似的综合单价的，按招标控制价计价办法计算，并乘以中标价与招标控制价的下浮比率作为结算依据；④采取市场询价方式确定综合单价的不参与投标下浮，以经发包人、审计部门审核同意的市场询价结果为准。</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3）当实际施工中存在取消或未施工的工程内容，其费用结算时从合同价中扣除。</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4）发包人根据施工现场实际情况，有权增减施工内容及对应的费用，承包人须无条件接受，并按现场签证执行。</w:t>
      </w:r>
      <w:r/>
    </w:p>
    <w:p>
      <w:pPr>
        <w:ind w:firstLine="480"/>
        <w:jc w:val="both"/>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5）关于法律、法规、规章或各级政府在施工期间出台的有关政策导致工程税金发生变化的，应按照有关规定执行。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79"/>
        <w:rPr>
          <w:rFonts w:hint="eastAsia"/>
          <w:color w:val="auto"/>
          <w:highlight w:val="none"/>
        </w:rPr>
      </w:pPr>
      <w:r/>
      <w:bookmarkStart w:id="320" w:name="_Toc297123554"/>
      <w:r/>
      <w:bookmarkStart w:id="321" w:name="_Toc300935004"/>
      <w:r/>
      <w:bookmarkStart w:id="322" w:name="_Toc297216213"/>
      <w:r/>
      <w:bookmarkStart w:id="323" w:name="_Toc304295581"/>
      <w:r/>
      <w:bookmarkStart w:id="324" w:name="_Toc303539161"/>
      <w:r/>
      <w:bookmarkStart w:id="325" w:name="_Toc312678042"/>
      <w:r/>
      <w:bookmarkStart w:id="326" w:name="_Toc292559412"/>
      <w:r/>
      <w:bookmarkStart w:id="327" w:name="_Toc297048393"/>
      <w:r/>
      <w:bookmarkStart w:id="328" w:name="_Toc296891247"/>
      <w:r/>
      <w:bookmarkStart w:id="329" w:name="_Toc296503207"/>
      <w:r/>
      <w:bookmarkStart w:id="330" w:name="_Toc296891035"/>
      <w:r/>
      <w:bookmarkStart w:id="331" w:name="_Toc296944546"/>
      <w:r/>
      <w:bookmarkStart w:id="332" w:name="_Toc296346708"/>
      <w:r/>
      <w:bookmarkStart w:id="333" w:name="_Toc296347206"/>
      <w:r/>
      <w:bookmarkStart w:id="334" w:name="_Toc297120507"/>
      <w:r/>
      <w:bookmarkStart w:id="335" w:name="_Toc292559917"/>
      <w:r>
        <w:rPr>
          <w:rFonts w:hint="eastAsia"/>
          <w:color w:val="auto"/>
          <w:highlight w:val="none"/>
        </w:rPr>
        <w:t xml:space="preserve">12.2 预付款</w:t>
      </w:r>
      <w:bookmarkEnd w:id="320"/>
      <w:r/>
      <w:bookmarkEnd w:id="321"/>
      <w:r/>
      <w:bookmarkEnd w:id="322"/>
      <w:r/>
      <w:bookmarkEnd w:id="323"/>
      <w:r/>
      <w:bookmarkEnd w:id="324"/>
      <w:r/>
      <w:bookmarkEnd w:id="325"/>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12.2.1 预付款的支付</w:t>
      </w:r>
      <w:r/>
    </w:p>
    <w:p>
      <w:pPr>
        <w:ind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lang w:val="en-US" w:eastAsia="zh-CN"/>
        </w:rPr>
        <w:t xml:space="preserve">详见12.4.1 付款周期。</w:t>
      </w:r>
      <w:r/>
    </w:p>
    <w:p>
      <w:pPr>
        <w:ind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lang w:val="en-US" w:eastAsia="zh-CN"/>
        </w:rPr>
        <w:t xml:space="preserve">详见12.4.1 付款周期。</w:t>
      </w:r>
      <w:r/>
    </w:p>
    <w:p>
      <w:pPr>
        <w:pStyle w:val="990"/>
        <w:ind w:left="0" w:right="0" w:firstLine="480"/>
        <w:jc w:val="left"/>
        <w:pageBreakBefore w:val="0"/>
        <w:spacing w:after="0" w:line="360" w:lineRule="auto"/>
        <w:tabs>
          <w:tab w:val="left" w:pos="381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pacing w:val="-3"/>
          <w:sz w:val="24"/>
          <w:szCs w:val="24"/>
          <w:highlight w:val="none"/>
          <w:u w:val="single"/>
        </w:rPr>
        <w:t xml:space="preserve"> </w:t>
      </w:r>
      <w:r>
        <w:rPr>
          <w:rFonts w:hint="eastAsia" w:ascii="仿宋" w:hAnsi="仿宋" w:eastAsia="仿宋" w:cs="仿宋"/>
          <w:b w:val="0"/>
          <w:bCs/>
          <w:color w:val="auto"/>
          <w:sz w:val="24"/>
          <w:szCs w:val="24"/>
          <w:highlight w:val="none"/>
          <w:u w:val="single"/>
          <w:lang w:val="en-US" w:eastAsia="zh-CN"/>
        </w:rPr>
        <w:t xml:space="preserve">不扣回，转为工程进度款</w:t>
      </w:r>
      <w:r>
        <w:rPr>
          <w:rFonts w:hint="eastAsia" w:ascii="仿宋" w:hAnsi="仿宋" w:eastAsia="仿宋" w:cs="仿宋"/>
          <w:b/>
          <w:bCs/>
          <w:color w:val="auto"/>
          <w:sz w:val="24"/>
          <w:szCs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12.2.2 预付款担保</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承包人提交预付款担保的期限：</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预付款担保的形式为：</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w:t>
      </w:r>
      <w:bookmarkEnd w:id="326"/>
      <w:r/>
      <w:bookmarkEnd w:id="327"/>
      <w:r/>
      <w:bookmarkEnd w:id="328"/>
      <w:r/>
      <w:bookmarkEnd w:id="329"/>
      <w:r/>
      <w:bookmarkEnd w:id="330"/>
      <w:r/>
      <w:bookmarkEnd w:id="331"/>
      <w:r/>
      <w:bookmarkEnd w:id="332"/>
      <w:r/>
      <w:bookmarkEnd w:id="333"/>
      <w:r/>
      <w:bookmarkEnd w:id="334"/>
      <w:r/>
      <w:bookmarkEnd w:id="335"/>
      <w:r/>
      <w:r/>
    </w:p>
    <w:p>
      <w:pPr>
        <w:pStyle w:val="979"/>
        <w:rPr>
          <w:color w:val="auto"/>
          <w:highlight w:val="none"/>
        </w:rPr>
      </w:pPr>
      <w:r>
        <w:rPr>
          <w:rFonts w:hint="eastAsia"/>
          <w:color w:val="auto"/>
          <w:highlight w:val="none"/>
        </w:rPr>
        <w:t xml:space="preserve">12.3 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firstLine="480"/>
        <w:jc w:val="both"/>
        <w:spacing w:line="360" w:lineRule="auto"/>
        <w:widowControl/>
        <w:rPr>
          <w:rFonts w:hint="eastAsia" w:ascii="仿宋" w:hAnsi="仿宋" w:eastAsia="仿宋" w:cs="仿宋"/>
          <w:b w:val="0"/>
          <w:bCs/>
          <w:color w:val="auto"/>
          <w:sz w:val="24"/>
          <w:szCs w:val="24"/>
          <w:highlight w:val="none"/>
          <w:u w:val="single"/>
          <w:lang w:val="en-US" w:eastAsia="zh-CN" w:bidi="ar-SA"/>
        </w:rPr>
      </w:pPr>
      <w:r>
        <w:rPr>
          <w:rFonts w:hint="eastAsia" w:ascii="仿宋" w:hAnsi="仿宋" w:eastAsia="仿宋" w:cs="仿宋"/>
          <w:b w:val="0"/>
          <w:bCs/>
          <w:color w:val="auto"/>
          <w:sz w:val="24"/>
          <w:szCs w:val="24"/>
          <w:highlight w:val="none"/>
          <w:u w:val="single"/>
          <w:lang w:val="en-US" w:eastAsia="zh-CN" w:bidi="ar-SA"/>
        </w:rPr>
        <w:t xml:space="preserve">本工程执行现行国家标准《建设工程工程量清单计价标准》（GB50500-2024）、《房屋建筑与装饰工程工程量计算标准》（GB/T50854-2024）；《江苏省市政工程消耗量》（2026版）、《江苏省建筑与装饰</w:t>
      </w:r>
      <w:r>
        <w:rPr>
          <w:rFonts w:hint="eastAsia" w:ascii="仿宋" w:hAnsi="仿宋" w:eastAsia="仿宋" w:cs="仿宋"/>
          <w:b w:val="0"/>
          <w:bCs/>
          <w:color w:val="auto"/>
          <w:sz w:val="24"/>
          <w:szCs w:val="24"/>
          <w:highlight w:val="none"/>
          <w:u w:val="single"/>
          <w:lang w:val="en-US" w:eastAsia="zh-CN" w:bidi="ar-SA"/>
        </w:rPr>
        <w:t xml:space="preserve">工程消耗量》（2026版）、《江苏省通用安装工程消耗量》（2026版）、《江苏省仿古建筑与园林工程计价表》(2007)；2026年《江苏省建设工程费用参考》《江苏省建设工程费用参考》及《江苏建设工程施工机具台班费用参考表》、《建筑业实施营改增后江苏省建设工程计价依据调整的通知》（苏建价【2016】154号）、苏建函价（2019）178号省住房与城乡建设厅关于建筑业增值税计价政策调整的通知及[2018]第 24号文件；《徐州高新技术产业开发区工程建设管理实施细则》及有关文件规定和招标人提供的工程量清单与图纸。</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firstLine="480"/>
        <w:jc w:val="left"/>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竣工结算时，统一计量。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竣工结算时，由承包人提交完整规范的竣工结算资料，报经监理人和发包人初步审核后，报送高新区审计办审核，审计办委托审计单位依据招标文件、投标文件、施工合同等资料进行审计，并以此作为结算依据。</w:t>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 总价合同的计量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w:t>
      </w:r>
      <w:r>
        <w:rPr>
          <w:rFonts w:hint="eastAsia" w:ascii="仿宋" w:hAnsi="仿宋" w:eastAsia="仿宋" w:cs="仿宋"/>
          <w:color w:val="auto"/>
          <w:sz w:val="24"/>
          <w:szCs w:val="24"/>
          <w:highlight w:val="none"/>
        </w:rPr>
        <w:t xml:space="preserve">12.3.4 </w:t>
      </w:r>
      <w:r>
        <w:rPr>
          <w:rFonts w:hint="eastAsia" w:ascii="仿宋" w:hAnsi="仿宋" w:eastAsia="仿宋" w:cs="仿宋"/>
          <w:color w:val="auto"/>
          <w:sz w:val="24"/>
          <w:szCs w:val="24"/>
          <w:highlight w:val="none"/>
        </w:rPr>
        <w:t xml:space="preserve">项</w:t>
      </w:r>
      <w:r>
        <w:rPr>
          <w:rFonts w:hint="eastAsia" w:ascii="仿宋" w:hAnsi="仿宋" w:eastAsia="仿宋" w:cs="仿宋"/>
          <w:color w:val="auto"/>
          <w:sz w:val="24"/>
          <w:szCs w:val="24"/>
          <w:highlight w:val="none"/>
        </w:rPr>
        <w:t xml:space="preserve">〔总价合同的计量〕</w:t>
      </w:r>
      <w:r>
        <w:rPr>
          <w:rFonts w:hint="eastAsia" w:ascii="仿宋" w:hAnsi="仿宋" w:eastAsia="仿宋" w:cs="仿宋"/>
          <w:color w:val="auto"/>
          <w:sz w:val="24"/>
          <w:szCs w:val="24"/>
          <w:highlight w:val="none"/>
        </w:rPr>
        <w:t xml:space="preserve">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 其他价格形式合同的计量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79"/>
        <w:rPr>
          <w:rFonts w:hint="eastAsia"/>
          <w:color w:val="auto"/>
          <w:highlight w:val="none"/>
        </w:rPr>
      </w:pPr>
      <w:r>
        <w:rPr>
          <w:rFonts w:hint="eastAsia"/>
          <w:color w:val="auto"/>
          <w:highlight w:val="none"/>
        </w:rPr>
        <w:t xml:space="preserve">12.4 工程进度款支付</w:t>
      </w:r>
      <w:r/>
    </w:p>
    <w:p>
      <w:pPr>
        <w:ind w:firstLine="480"/>
        <w:jc w:val="both"/>
        <w:spacing w:line="360" w:lineRule="auto"/>
        <w:rPr>
          <w:rFonts w:hint="eastAsia" w:ascii="仿宋" w:hAnsi="仿宋" w:eastAsia="仿宋" w:cs="仿宋"/>
          <w:color w:val="auto"/>
          <w:sz w:val="24"/>
          <w:highlight w:val="none"/>
        </w:rPr>
      </w:pPr>
      <w:r/>
      <w:bookmarkStart w:id="336" w:name="_Toc297216215"/>
      <w:r/>
      <w:bookmarkStart w:id="337" w:name="_Toc296891039"/>
      <w:r/>
      <w:bookmarkStart w:id="338" w:name="_Toc303539163"/>
      <w:r/>
      <w:bookmarkStart w:id="339" w:name="_Toc296346712"/>
      <w:r/>
      <w:bookmarkStart w:id="340" w:name="_Toc297123556"/>
      <w:r/>
      <w:bookmarkStart w:id="341" w:name="_Toc292559921"/>
      <w:r/>
      <w:bookmarkStart w:id="342" w:name="_Toc296891251"/>
      <w:r/>
      <w:bookmarkStart w:id="343" w:name="_Toc297120511"/>
      <w:r/>
      <w:bookmarkStart w:id="344" w:name="_Toc297048397"/>
      <w:r/>
      <w:bookmarkStart w:id="345" w:name="_Toc292559416"/>
      <w:r/>
      <w:bookmarkStart w:id="346" w:name="_Toc296944550"/>
      <w:r/>
      <w:bookmarkStart w:id="347" w:name="_Toc300935006"/>
      <w:r/>
      <w:bookmarkStart w:id="348" w:name="_Toc296347210"/>
      <w:r/>
      <w:bookmarkStart w:id="349" w:name="_Toc296503211"/>
      <w:r>
        <w:rPr>
          <w:rFonts w:hint="eastAsia" w:ascii="仿宋" w:hAnsi="仿宋" w:eastAsia="仿宋" w:cs="仿宋"/>
          <w:color w:val="auto"/>
          <w:sz w:val="24"/>
          <w:highlight w:val="none"/>
        </w:rPr>
        <w:t xml:space="preserve">12.4.1 付款周期</w:t>
      </w:r>
      <w:r/>
    </w:p>
    <w:p>
      <w:pPr>
        <w:pStyle w:val="1031"/>
        <w:ind w:firstLine="420"/>
        <w:jc w:val="both"/>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p>
    <w:p>
      <w:pPr>
        <w:ind w:left="0" w:right="0" w:firstLine="420"/>
        <w:jc w:val="both"/>
        <w:keepLines w:val="0"/>
        <w:keepNext w:val="0"/>
        <w:pageBreakBefore w:val="0"/>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本合同总金额为人民币大写金额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元（小写金额：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元），经双方协商一致，选择以下第</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种付款方式：</w:t>
      </w:r>
      <w:r/>
    </w:p>
    <w:p>
      <w:pPr>
        <w:ind w:firstLine="482"/>
        <w:jc w:val="both"/>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付款方式一：提交预付款保函的</w:t>
      </w:r>
      <w:r/>
    </w:p>
    <w:p>
      <w:pPr>
        <w:ind w:firstLine="480"/>
        <w:jc w:val="both"/>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合同价款的百分之</w:t>
      </w:r>
      <w:r>
        <w:rPr>
          <w:rFonts w:hint="eastAsia" w:ascii="仿宋" w:hAnsi="仿宋" w:eastAsia="仿宋" w:cs="仿宋"/>
          <w:color w:val="auto"/>
          <w:sz w:val="24"/>
          <w:szCs w:val="24"/>
          <w:highlight w:val="none"/>
          <w:lang w:val="en-US" w:eastAsia="zh-CN"/>
        </w:rPr>
        <w:t xml:space="preserve">四十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即￥</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元整，在双方签订</w:t>
      </w:r>
      <w:r>
        <w:rPr>
          <w:rFonts w:hint="eastAsia" w:ascii="仿宋" w:hAnsi="仿宋" w:eastAsia="仿宋" w:cs="仿宋"/>
          <w:color w:val="auto"/>
          <w:sz w:val="24"/>
          <w:szCs w:val="24"/>
          <w:highlight w:val="none"/>
          <w:lang w:val="en-US" w:eastAsia="zh-CN"/>
        </w:rPr>
        <w:t xml:space="preserve">合同</w:t>
      </w:r>
      <w:r>
        <w:rPr>
          <w:rFonts w:hint="eastAsia" w:ascii="仿宋" w:hAnsi="仿宋" w:eastAsia="仿宋" w:cs="仿宋"/>
          <w:color w:val="auto"/>
          <w:sz w:val="24"/>
          <w:szCs w:val="24"/>
          <w:highlight w:val="none"/>
        </w:rPr>
        <w:t xml:space="preserve">、材料进场</w:t>
      </w:r>
      <w:r>
        <w:rPr>
          <w:rFonts w:hint="eastAsia" w:ascii="仿宋" w:hAnsi="仿宋" w:eastAsia="仿宋" w:cs="仿宋"/>
          <w:color w:val="auto"/>
          <w:sz w:val="24"/>
          <w:szCs w:val="24"/>
          <w:highlight w:val="none"/>
          <w:lang w:val="en-US" w:eastAsia="zh-CN"/>
        </w:rPr>
        <w:t xml:space="preserve">且承包人</w:t>
      </w:r>
      <w:r>
        <w:rPr>
          <w:rFonts w:hint="eastAsia" w:ascii="仿宋" w:hAnsi="仿宋" w:eastAsia="仿宋" w:cs="仿宋"/>
          <w:color w:val="auto"/>
          <w:sz w:val="24"/>
          <w:szCs w:val="24"/>
          <w:highlight w:val="none"/>
        </w:rPr>
        <w:t xml:space="preserve">向</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出具等额预付款保函后，由</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办理政府采购资金结算手续，经审核后支付给</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w:t>
      </w:r>
      <w:r/>
    </w:p>
    <w:p>
      <w:pPr>
        <w:ind w:firstLine="480"/>
        <w:jc w:val="both"/>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工程竣工验收通过后</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日内付至合同价款的80%；竣工结算价款确认后1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日内付至确认价款的100%（各阶段付款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含预付款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承包人需提供</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认可的对应金额正规增值税发票，由</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办理政府采购资金结算手续，经审核且财政资金到位后</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个工作日内支付给</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p>
    <w:p>
      <w:pPr>
        <w:ind w:firstLine="482"/>
        <w:jc w:val="both"/>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付款方式二：不提交预付款保函的</w:t>
      </w:r>
      <w:r/>
    </w:p>
    <w:p>
      <w:pPr>
        <w:ind w:firstLine="480"/>
        <w:jc w:val="both"/>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合同价款的百分之三十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作为预付款；即￥</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元整，在双方签订</w:t>
      </w:r>
      <w:r>
        <w:rPr>
          <w:rFonts w:hint="eastAsia" w:ascii="仿宋" w:hAnsi="仿宋" w:eastAsia="仿宋" w:cs="仿宋"/>
          <w:color w:val="auto"/>
          <w:sz w:val="24"/>
          <w:szCs w:val="24"/>
          <w:highlight w:val="none"/>
          <w:lang w:val="en-US" w:eastAsia="zh-CN"/>
        </w:rPr>
        <w:t xml:space="preserve">合同</w:t>
      </w:r>
      <w:r>
        <w:rPr>
          <w:rFonts w:hint="eastAsia" w:ascii="仿宋" w:hAnsi="仿宋" w:eastAsia="仿宋" w:cs="仿宋"/>
          <w:color w:val="auto"/>
          <w:sz w:val="24"/>
          <w:szCs w:val="24"/>
          <w:highlight w:val="none"/>
        </w:rPr>
        <w:t xml:space="preserve">、材料进场且乙方提供对应金额的增值税发票后1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日内，由</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办理政府采购资金结算手续，经审核且财政资金到位后支付给</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w:t>
      </w:r>
      <w:r/>
    </w:p>
    <w:p>
      <w:pPr>
        <w:ind w:firstLine="480"/>
        <w:jc w:val="both"/>
        <w:pageBreakBefore w:val="0"/>
        <w:spacing w:line="360" w:lineRule="auto"/>
        <w:widowControl w:val="off"/>
        <w:rPr>
          <w:rFonts w:hint="eastAsia" w:ascii="仿宋" w:hAnsi="仿宋" w:eastAsia="仿宋" w:cs="仿宋"/>
          <w:b w:val="0"/>
          <w:bCs/>
          <w:color w:val="auto"/>
          <w:sz w:val="24"/>
          <w:szCs w:val="24"/>
          <w:highlight w:val="none"/>
          <w:u w:val="none"/>
        </w:rPr>
      </w:pPr>
      <w:r>
        <w:rPr>
          <w:rFonts w:hint="eastAsia" w:ascii="仿宋" w:hAnsi="仿宋" w:eastAsia="仿宋" w:cs="仿宋"/>
          <w:color w:val="auto"/>
          <w:sz w:val="24"/>
          <w:szCs w:val="24"/>
          <w:highlight w:val="none"/>
        </w:rPr>
        <w:t xml:space="preserve">工程竣工验收通过后</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日内付至合同价款的80%；竣工结算</w:t>
      </w:r>
      <w:r>
        <w:rPr>
          <w:rFonts w:hint="eastAsia" w:ascii="仿宋" w:hAnsi="仿宋" w:eastAsia="仿宋" w:cs="仿宋"/>
          <w:color w:val="auto"/>
          <w:sz w:val="24"/>
          <w:szCs w:val="24"/>
          <w:highlight w:val="none"/>
          <w:lang w:val="en-US" w:eastAsia="zh-CN"/>
        </w:rPr>
        <w:t xml:space="preserve">审计</w:t>
      </w:r>
      <w:r>
        <w:rPr>
          <w:rFonts w:hint="eastAsia" w:ascii="仿宋" w:hAnsi="仿宋" w:eastAsia="仿宋" w:cs="仿宋"/>
          <w:color w:val="auto"/>
          <w:sz w:val="24"/>
          <w:szCs w:val="24"/>
          <w:highlight w:val="none"/>
        </w:rPr>
        <w:t xml:space="preserve">价款确认</w:t>
      </w:r>
      <w:r>
        <w:rPr>
          <w:rFonts w:hint="eastAsia" w:ascii="仿宋" w:hAnsi="仿宋" w:eastAsia="仿宋" w:cs="仿宋"/>
          <w:color w:val="auto"/>
          <w:sz w:val="24"/>
          <w:szCs w:val="24"/>
          <w:highlight w:val="none"/>
          <w:lang w:val="en-US" w:eastAsia="zh-CN"/>
        </w:rPr>
        <w:t xml:space="preserve">后10</w:t>
      </w:r>
      <w:r>
        <w:rPr>
          <w:rFonts w:hint="eastAsia" w:ascii="仿宋" w:hAnsi="仿宋" w:eastAsia="仿宋" w:cs="仿宋"/>
          <w:color w:val="auto"/>
          <w:sz w:val="24"/>
          <w:szCs w:val="24"/>
          <w:highlight w:val="none"/>
        </w:rPr>
        <w:t xml:space="preserve">日内付至确认价款的100%（各阶段付款承包人需提供</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认可的对应金额正规增值税发票，由</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办理政府采购资金结算手续，经审核且财政资金到位后</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个工作日内支付给</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w:t>
      </w:r>
      <w:r>
        <w:rPr>
          <w:rFonts w:hint="eastAsia" w:ascii="仿宋" w:hAnsi="仿宋" w:eastAsia="仿宋" w:cs="仿宋"/>
          <w:b w:val="0"/>
          <w:bCs/>
          <w:color w:val="auto"/>
          <w:sz w:val="24"/>
          <w:szCs w:val="24"/>
          <w:highlight w:val="none"/>
          <w:u w:val="none"/>
          <w:lang w:eastAsia="zh-CN"/>
        </w:rPr>
        <w:t xml:space="preserve">。</w:t>
      </w:r>
      <w:r/>
    </w:p>
    <w:p>
      <w:pPr>
        <w:pStyle w:val="1091"/>
        <w:ind w:left="0" w:firstLine="478"/>
        <w:jc w:val="left"/>
        <w:keepLines w:val="0"/>
        <w:keepNext w:val="0"/>
        <w:pageBreakBefore w:val="0"/>
        <w:spacing w:line="360" w:lineRule="auto"/>
        <w:widowControl w:val="off"/>
        <w:tabs>
          <w:tab w:val="left" w:pos="1220" w:leader="none"/>
        </w:tabs>
        <w:rPr>
          <w:rFonts w:hint="eastAsia" w:ascii="仿宋" w:hAnsi="仿宋" w:eastAsia="仿宋" w:cs="仿宋"/>
          <w:bCs/>
          <w:color w:val="auto"/>
          <w:spacing w:val="-1"/>
          <w:sz w:val="24"/>
          <w:szCs w:val="24"/>
          <w:highlight w:val="none"/>
          <w:u w:val="single"/>
        </w:rPr>
      </w:pPr>
      <w:r>
        <w:rPr>
          <w:rFonts w:hint="eastAsia" w:ascii="仿宋" w:hAnsi="仿宋" w:eastAsia="仿宋" w:cs="仿宋"/>
          <w:b/>
          <w:bCs w:val="0"/>
          <w:color w:val="auto"/>
          <w:spacing w:val="-1"/>
          <w:sz w:val="24"/>
          <w:szCs w:val="24"/>
          <w:highlight w:val="none"/>
          <w:u w:val="single"/>
        </w:rPr>
        <w:t xml:space="preserve">备注：</w:t>
      </w:r>
      <w:r>
        <w:rPr>
          <w:rFonts w:hint="eastAsia" w:ascii="仿宋" w:hAnsi="仿宋" w:eastAsia="仿宋" w:cs="仿宋"/>
          <w:bCs/>
          <w:color w:val="auto"/>
          <w:spacing w:val="-1"/>
          <w:sz w:val="24"/>
          <w:szCs w:val="24"/>
          <w:highlight w:val="none"/>
          <w:u w:val="single"/>
        </w:rPr>
        <w:t xml:space="preserve">1、采用先票后款的付款方式，每次支付工程款 7 日前，承包人需向发包人提供合法有效的经招标人财务部门认可的发票，</w:t>
      </w:r>
      <w:r>
        <w:rPr>
          <w:rFonts w:hint="eastAsia" w:ascii="仿宋" w:hAnsi="仿宋" w:eastAsia="仿宋" w:cs="仿宋"/>
          <w:bCs/>
          <w:color w:val="auto"/>
          <w:spacing w:val="-1"/>
          <w:sz w:val="24"/>
          <w:szCs w:val="24"/>
          <w:highlight w:val="none"/>
          <w:u w:val="single"/>
          <w:lang w:val="en-US" w:eastAsia="zh-CN"/>
        </w:rPr>
        <w:t xml:space="preserve">开票义务为本合同的主要义务，</w:t>
      </w:r>
      <w:r>
        <w:rPr>
          <w:rFonts w:hint="eastAsia" w:ascii="仿宋" w:hAnsi="仿宋" w:eastAsia="仿宋" w:cs="仿宋"/>
          <w:bCs/>
          <w:color w:val="auto"/>
          <w:spacing w:val="-1"/>
          <w:sz w:val="24"/>
          <w:szCs w:val="24"/>
          <w:highlight w:val="none"/>
          <w:u w:val="single"/>
        </w:rPr>
        <w:t xml:space="preserve">如承包人未能开具有效发票</w:t>
      </w:r>
      <w:r>
        <w:rPr>
          <w:rFonts w:hint="eastAsia" w:ascii="仿宋" w:hAnsi="仿宋" w:eastAsia="仿宋" w:cs="仿宋"/>
          <w:bCs/>
          <w:color w:val="auto"/>
          <w:spacing w:val="-1"/>
          <w:sz w:val="24"/>
          <w:szCs w:val="24"/>
          <w:highlight w:val="none"/>
          <w:u w:val="single"/>
          <w:lang w:eastAsia="zh-CN"/>
        </w:rPr>
        <w:t xml:space="preserve">，发包人可不予支付</w:t>
      </w:r>
      <w:r>
        <w:rPr>
          <w:rFonts w:hint="eastAsia" w:ascii="仿宋" w:hAnsi="仿宋" w:eastAsia="仿宋" w:cs="仿宋"/>
          <w:bCs/>
          <w:color w:val="auto"/>
          <w:spacing w:val="-1"/>
          <w:sz w:val="24"/>
          <w:szCs w:val="24"/>
          <w:highlight w:val="none"/>
          <w:u w:val="single"/>
        </w:rPr>
        <w:t xml:space="preserve">，责任由承包人承担。 </w:t>
      </w:r>
      <w:r/>
    </w:p>
    <w:p>
      <w:pPr>
        <w:pStyle w:val="1091"/>
        <w:ind w:left="0" w:firstLine="476"/>
        <w:jc w:val="left"/>
        <w:keepLines w:val="0"/>
        <w:keepNext w:val="0"/>
        <w:pageBreakBefore w:val="0"/>
        <w:spacing w:line="360" w:lineRule="auto"/>
        <w:widowControl w:val="off"/>
        <w:tabs>
          <w:tab w:val="left" w:pos="1220" w:leader="none"/>
        </w:tabs>
        <w:rPr>
          <w:rFonts w:hint="eastAsia" w:ascii="仿宋" w:hAnsi="仿宋" w:eastAsia="仿宋" w:cs="仿宋"/>
          <w:bCs/>
          <w:color w:val="auto"/>
          <w:spacing w:val="-1"/>
          <w:sz w:val="24"/>
          <w:szCs w:val="24"/>
          <w:highlight w:val="none"/>
          <w:u w:val="single"/>
        </w:rPr>
      </w:pPr>
      <w:r>
        <w:rPr>
          <w:rFonts w:hint="eastAsia" w:ascii="仿宋" w:hAnsi="仿宋" w:eastAsia="仿宋" w:cs="仿宋"/>
          <w:bCs/>
          <w:color w:val="auto"/>
          <w:spacing w:val="-1"/>
          <w:sz w:val="24"/>
          <w:szCs w:val="24"/>
          <w:highlight w:val="none"/>
          <w:u w:val="single"/>
          <w:lang w:val="en-US" w:eastAsia="zh-CN"/>
        </w:rPr>
        <w:t xml:space="preserve">2</w:t>
      </w:r>
      <w:r>
        <w:rPr>
          <w:rFonts w:hint="eastAsia" w:ascii="仿宋" w:hAnsi="仿宋" w:eastAsia="仿宋" w:cs="仿宋"/>
          <w:bCs/>
          <w:color w:val="auto"/>
          <w:spacing w:val="-1"/>
          <w:sz w:val="24"/>
          <w:szCs w:val="24"/>
          <w:highlight w:val="none"/>
          <w:u w:val="single"/>
        </w:rPr>
        <w:t xml:space="preserve">、以上各阶段付款，发包人有权在付款中扣除涉及承包人的所有违约金、赔偿金及承包人依据合同所应承担的其他费用。 </w:t>
      </w:r>
      <w:r/>
    </w:p>
    <w:p>
      <w:pPr>
        <w:pStyle w:val="1091"/>
        <w:ind w:left="0" w:firstLine="476"/>
        <w:jc w:val="left"/>
        <w:keepLines w:val="0"/>
        <w:keepNext w:val="0"/>
        <w:pageBreakBefore w:val="0"/>
        <w:spacing w:line="360" w:lineRule="auto"/>
        <w:widowControl w:val="off"/>
        <w:tabs>
          <w:tab w:val="left" w:pos="1220" w:leader="none"/>
        </w:tabs>
        <w:rPr>
          <w:rFonts w:hint="eastAsia" w:ascii="仿宋" w:hAnsi="仿宋" w:eastAsia="仿宋" w:cs="仿宋"/>
          <w:bCs/>
          <w:color w:val="auto"/>
          <w:spacing w:val="-1"/>
          <w:sz w:val="24"/>
          <w:szCs w:val="24"/>
          <w:highlight w:val="none"/>
          <w:u w:val="single"/>
        </w:rPr>
      </w:pPr>
      <w:r>
        <w:rPr>
          <w:rFonts w:hint="eastAsia" w:ascii="仿宋" w:hAnsi="仿宋" w:eastAsia="仿宋" w:cs="仿宋"/>
          <w:bCs/>
          <w:color w:val="auto"/>
          <w:spacing w:val="-1"/>
          <w:sz w:val="24"/>
          <w:szCs w:val="24"/>
          <w:highlight w:val="none"/>
          <w:u w:val="single"/>
          <w:lang w:val="en-US" w:eastAsia="zh-CN"/>
        </w:rPr>
        <w:t xml:space="preserve">3</w:t>
      </w:r>
      <w:r>
        <w:rPr>
          <w:rFonts w:hint="eastAsia" w:ascii="仿宋" w:hAnsi="仿宋" w:eastAsia="仿宋" w:cs="仿宋"/>
          <w:bCs/>
          <w:color w:val="auto"/>
          <w:spacing w:val="-1"/>
          <w:sz w:val="24"/>
          <w:szCs w:val="24"/>
          <w:highlight w:val="none"/>
          <w:u w:val="single"/>
        </w:rPr>
        <w:t xml:space="preserve">、进度款与质量挂钩，如果所完成工程的质量达不到验收规范要求，发包人有权暂缓或不支付该部分工程款。待承包人整改完成符合验收规范要求后再行支付。</w:t>
      </w:r>
      <w:r/>
    </w:p>
    <w:p>
      <w:pPr>
        <w:pStyle w:val="1091"/>
        <w:ind w:left="0" w:firstLine="476"/>
        <w:jc w:val="both"/>
        <w:keepLines w:val="0"/>
        <w:keepNext w:val="0"/>
        <w:pageBreakBefore w:val="0"/>
        <w:spacing w:line="360" w:lineRule="auto"/>
        <w:widowControl w:val="off"/>
        <w:tabs>
          <w:tab w:val="left" w:pos="1220" w:leader="none"/>
        </w:tabs>
        <w:rPr>
          <w:rFonts w:hint="eastAsia" w:ascii="仿宋" w:hAnsi="仿宋" w:eastAsia="仿宋" w:cs="仿宋"/>
          <w:bCs/>
          <w:color w:val="auto"/>
          <w:spacing w:val="-1"/>
          <w:sz w:val="24"/>
          <w:szCs w:val="24"/>
          <w:highlight w:val="none"/>
          <w:u w:val="single"/>
          <w:lang w:val="zh-CN"/>
        </w:rPr>
      </w:pPr>
      <w:r>
        <w:rPr>
          <w:rFonts w:hint="eastAsia" w:ascii="仿宋" w:hAnsi="仿宋" w:eastAsia="仿宋" w:cs="仿宋"/>
          <w:bCs/>
          <w:color w:val="auto"/>
          <w:spacing w:val="-1"/>
          <w:sz w:val="24"/>
          <w:szCs w:val="24"/>
          <w:highlight w:val="none"/>
          <w:u w:val="single"/>
          <w:lang w:val="en-US" w:eastAsia="zh-CN"/>
        </w:rPr>
        <w:t xml:space="preserve">4</w:t>
      </w:r>
      <w:r>
        <w:rPr>
          <w:rFonts w:hint="eastAsia" w:ascii="仿宋" w:hAnsi="仿宋" w:eastAsia="仿宋" w:cs="仿宋"/>
          <w:bCs/>
          <w:color w:val="auto"/>
          <w:spacing w:val="-1"/>
          <w:sz w:val="24"/>
          <w:szCs w:val="24"/>
          <w:highlight w:val="none"/>
          <w:u w:val="single"/>
          <w:lang w:val="zh-CN"/>
        </w:rPr>
        <w:t xml:space="preserve">、承包方需开设农民工工资专用账户，保障农民工工资支付。发包人按照上述工程款支付节点将不低于应付工程款的2</w:t>
      </w:r>
      <w:r>
        <w:rPr>
          <w:rFonts w:hint="eastAsia" w:ascii="仿宋" w:hAnsi="仿宋" w:eastAsia="仿宋" w:cs="仿宋"/>
          <w:bCs/>
          <w:color w:val="auto"/>
          <w:spacing w:val="-1"/>
          <w:sz w:val="24"/>
          <w:szCs w:val="24"/>
          <w:highlight w:val="none"/>
          <w:u w:val="single"/>
          <w:lang w:val="en-US" w:eastAsia="zh-CN"/>
        </w:rPr>
        <w:t xml:space="preserve">5</w:t>
      </w:r>
      <w:r>
        <w:rPr>
          <w:rFonts w:hint="eastAsia" w:ascii="仿宋" w:hAnsi="仿宋" w:eastAsia="仿宋" w:cs="仿宋"/>
          <w:bCs/>
          <w:color w:val="auto"/>
          <w:spacing w:val="-1"/>
          <w:sz w:val="24"/>
          <w:szCs w:val="24"/>
          <w:highlight w:val="none"/>
          <w:u w:val="single"/>
          <w:lang w:val="zh-CN"/>
        </w:rPr>
        <w:t xml:space="preserve">%拨付到承包人工资存储专户，对发包人支付的工程款，承包人应优先用于支付工人劳动报酬；承包人如有拖欠、克扣工人劳动报酬的行为并造成社会不良影响的，经发包人核实确认后，即使承包人不认可、不配合，发包人亦有权在承包人工程款中扣除相应款项，按程序直接支付给本项目所属工人，同时承包人还应赔偿因此给发包人造成的一切损失。</w:t>
      </w:r>
      <w:r/>
    </w:p>
    <w:p>
      <w:pPr>
        <w:pStyle w:val="1091"/>
        <w:ind w:left="0" w:firstLine="476"/>
        <w:jc w:val="left"/>
        <w:keepLines w:val="0"/>
        <w:keepNext w:val="0"/>
        <w:pageBreakBefore w:val="0"/>
        <w:spacing w:line="360" w:lineRule="auto"/>
        <w:widowControl w:val="off"/>
        <w:tabs>
          <w:tab w:val="left" w:pos="1220" w:leader="none"/>
        </w:tabs>
        <w:rPr>
          <w:rFonts w:hint="eastAsia" w:ascii="仿宋" w:hAnsi="仿宋" w:eastAsia="仿宋" w:cs="仿宋"/>
          <w:bCs/>
          <w:color w:val="auto"/>
          <w:spacing w:val="-1"/>
          <w:sz w:val="24"/>
          <w:szCs w:val="24"/>
          <w:highlight w:val="none"/>
          <w:u w:val="single"/>
          <w:lang w:val="zh-CN"/>
        </w:rPr>
      </w:pPr>
      <w:r>
        <w:rPr>
          <w:rFonts w:hint="eastAsia" w:ascii="仿宋" w:hAnsi="仿宋" w:eastAsia="仿宋" w:cs="仿宋"/>
          <w:bCs/>
          <w:color w:val="auto"/>
          <w:spacing w:val="-1"/>
          <w:sz w:val="24"/>
          <w:szCs w:val="24"/>
          <w:highlight w:val="none"/>
          <w:u w:val="single"/>
          <w:lang w:val="en-US" w:eastAsia="zh-CN"/>
        </w:rPr>
        <w:t xml:space="preserve">5</w:t>
      </w:r>
      <w:r>
        <w:rPr>
          <w:rFonts w:hint="eastAsia" w:ascii="仿宋" w:hAnsi="仿宋" w:eastAsia="仿宋" w:cs="仿宋"/>
          <w:bCs/>
          <w:color w:val="auto"/>
          <w:spacing w:val="-1"/>
          <w:sz w:val="24"/>
          <w:szCs w:val="24"/>
          <w:highlight w:val="none"/>
          <w:u w:val="single"/>
        </w:rPr>
        <w:t xml:space="preserve">、</w:t>
      </w:r>
      <w:r>
        <w:rPr>
          <w:rFonts w:hint="eastAsia" w:ascii="仿宋" w:hAnsi="仿宋" w:eastAsia="仿宋" w:cs="仿宋"/>
          <w:bCs/>
          <w:color w:val="auto"/>
          <w:spacing w:val="-1"/>
          <w:sz w:val="24"/>
          <w:szCs w:val="24"/>
          <w:highlight w:val="none"/>
          <w:u w:val="single"/>
          <w:lang w:val="zh-CN"/>
        </w:rPr>
        <w:t xml:space="preserve">单项工程审核审减率在5%以下的，审计费用由建设单位承担；单项工程审核审减率在 5% 以上 （含） 、10%以下的，审计费用由建设单位承担 70%，施工单位承担 30%；单项工程审核审减率 在 10%以上 （含） 、15%以下的，审计费用由建设单位承担 30%，施工单位承担 70%；单项工程审减 率在 15%以上 （含） 的，其审计费用由施工单位全部承担； 由施工承担的审计费用从施工单位工程 款中扣除；单项工程审减率达到 30%以上的，应将此施工企业列入黑名单并及时通报。</w:t>
      </w:r>
      <w:bookmarkEnd w:id="232"/>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
    </w:p>
    <w:p>
      <w:pPr>
        <w:ind w:firstLine="480"/>
        <w:jc w:val="left"/>
        <w:spacing w:line="360" w:lineRule="auto"/>
        <w:rPr>
          <w:rFonts w:hint="eastAsia" w:ascii="仿宋" w:hAnsi="仿宋" w:eastAsia="仿宋" w:cs="仿宋"/>
          <w:color w:val="auto"/>
          <w:sz w:val="24"/>
          <w:szCs w:val="24"/>
          <w:highlight w:val="none"/>
        </w:rPr>
      </w:pPr>
      <w:r/>
      <w:bookmarkStart w:id="350" w:name="_Toc312678053"/>
      <w:r/>
      <w:bookmarkStart w:id="351" w:name="_Toc351203645"/>
      <w:r/>
      <w:bookmarkStart w:id="352" w:name="_Toc296346720"/>
      <w:r/>
      <w:bookmarkStart w:id="353" w:name="_Toc303539172"/>
      <w:r/>
      <w:bookmarkStart w:id="354" w:name="_Toc297123564"/>
      <w:r/>
      <w:bookmarkStart w:id="355" w:name="_Toc297048405"/>
      <w:r/>
      <w:bookmarkStart w:id="356" w:name="_Toc300935015"/>
      <w:r/>
      <w:bookmarkStart w:id="357" w:name="_Toc296891259"/>
      <w:r/>
      <w:bookmarkStart w:id="358" w:name="_Toc296891047"/>
      <w:r/>
      <w:bookmarkStart w:id="359" w:name="_Toc292559929"/>
      <w:r/>
      <w:bookmarkStart w:id="360" w:name="_Toc297216223"/>
      <w:r/>
      <w:bookmarkStart w:id="361" w:name="_Toc297120519"/>
      <w:r/>
      <w:bookmarkStart w:id="362" w:name="_Toc292559424"/>
      <w:r/>
      <w:bookmarkStart w:id="363" w:name="_Toc304295593"/>
      <w:r/>
      <w:bookmarkStart w:id="364" w:name="_Toc296503219"/>
      <w:r/>
      <w:bookmarkStart w:id="365" w:name="_Toc296944558"/>
      <w:r/>
      <w:bookmarkStart w:id="366" w:name="_Toc296347218"/>
      <w:r>
        <w:rPr>
          <w:rFonts w:hint="eastAsia" w:ascii="仿宋" w:hAnsi="仿宋" w:eastAsia="仿宋" w:cs="仿宋"/>
          <w:color w:val="auto"/>
          <w:sz w:val="24"/>
          <w:szCs w:val="24"/>
          <w:highlight w:val="none"/>
        </w:rPr>
        <w:t xml:space="preserve">12.4.2 进度付款申请单的编制</w:t>
      </w:r>
      <w:r/>
    </w:p>
    <w:p>
      <w:pPr>
        <w:ind w:firstLine="63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b/>
          <w:bCs/>
          <w:color w:val="auto"/>
          <w:sz w:val="24"/>
          <w:szCs w:val="24"/>
          <w:highlight w:val="none"/>
          <w:u w:val="single"/>
        </w:rPr>
        <w:t xml:space="preserve">执行通用条款及《徐州高新技术产业开发区工程建设管理实施细则》</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12.4.3 进度付款申请单的提交</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t xml:space="preserve">按本合同</w:t>
      </w:r>
      <w:r>
        <w:rPr>
          <w:rFonts w:hint="eastAsia" w:ascii="仿宋" w:hAnsi="仿宋" w:eastAsia="仿宋" w:cs="仿宋"/>
          <w:color w:val="auto"/>
          <w:sz w:val="24"/>
          <w:szCs w:val="24"/>
          <w:highlight w:val="none"/>
          <w:u w:val="single"/>
          <w:lang w:val="en-US" w:eastAsia="zh-CN"/>
        </w:rPr>
        <w:t xml:space="preserve">12.4.1付款周期约定，按节点向监理人提交进度款申请单、已完成工程量报表和有关资料</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监理人应在收到承包人进度付款申请单以及相关资料后7天内完成审查并报送发包人。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rPr>
        <w:t xml:space="preserve">执行通用条款。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执行通用条款</w:t>
      </w:r>
      <w:r>
        <w:rPr>
          <w:rFonts w:hint="eastAsia" w:ascii="仿宋" w:hAnsi="仿宋" w:eastAsia="仿宋" w:cs="仿宋"/>
          <w:color w:val="auto"/>
          <w:sz w:val="24"/>
          <w:szCs w:val="24"/>
          <w:highlight w:val="none"/>
          <w:u w:val="singl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发包人逾期支付进度款的违约金的计算方式：</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 支付分解表的编制</w:t>
      </w:r>
      <w:r/>
    </w:p>
    <w:p>
      <w:pPr>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3、单价合同的总价项目支付分解表的编制与审批：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78"/>
        <w:rPr>
          <w:color w:val="auto"/>
          <w:highlight w:val="none"/>
        </w:rPr>
      </w:pPr>
      <w:r>
        <w:rPr>
          <w:rFonts w:hint="eastAsia"/>
          <w:color w:val="auto"/>
          <w:highlight w:val="none"/>
        </w:rPr>
        <w:t xml:space="preserve">13. 验收和工程试车</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pStyle w:val="979"/>
        <w:rPr>
          <w:color w:val="auto"/>
          <w:highlight w:val="none"/>
        </w:rPr>
      </w:pPr>
      <w:r>
        <w:rPr>
          <w:rFonts w:hint="eastAsia"/>
          <w:color w:val="auto"/>
          <w:highlight w:val="none"/>
        </w:rPr>
        <w:t xml:space="preserve">13.1 分部分项工程验收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13.1.2监理人不能按时进行验收时，应提前</w:t>
      </w:r>
      <w:r>
        <w:rPr>
          <w:rFonts w:hint="eastAsia" w:ascii="仿宋" w:hAnsi="仿宋" w:eastAsia="仿宋" w:cs="仿宋"/>
          <w:color w:val="auto"/>
          <w:sz w:val="24"/>
          <w:highlight w:val="none"/>
          <w:u w:val="single"/>
        </w:rPr>
        <w:t xml:space="preserve">24</w:t>
      </w:r>
      <w:r>
        <w:rPr>
          <w:rFonts w:hint="eastAsia" w:ascii="仿宋" w:hAnsi="仿宋" w:eastAsia="仿宋" w:cs="仿宋"/>
          <w:color w:val="auto"/>
          <w:sz w:val="24"/>
          <w:highlight w:val="none"/>
        </w:rPr>
        <w:t xml:space="preserve">小时提交书面延期要求。</w:t>
      </w:r>
      <w:r/>
    </w:p>
    <w:p>
      <w:pPr>
        <w:ind w:firstLine="480"/>
        <w:spacing w:line="360" w:lineRule="auto"/>
        <w:rPr>
          <w:rFonts w:ascii="仿宋" w:hAnsi="仿宋" w:eastAsia="仿宋" w:cs="仿宋"/>
          <w:b/>
          <w:color w:val="auto"/>
          <w:sz w:val="24"/>
          <w:highlight w:val="none"/>
        </w:rPr>
      </w:pPr>
      <w:r>
        <w:rPr>
          <w:rFonts w:hint="eastAsia" w:ascii="仿宋" w:hAnsi="仿宋" w:eastAsia="仿宋" w:cs="仿宋"/>
          <w:color w:val="auto"/>
          <w:sz w:val="24"/>
          <w:highlight w:val="none"/>
        </w:rPr>
        <w:t xml:space="preserve">关于延期最长不得超过：</w:t>
      </w:r>
      <w:r>
        <w:rPr>
          <w:rFonts w:hint="eastAsia" w:ascii="仿宋" w:hAnsi="仿宋" w:eastAsia="仿宋" w:cs="仿宋"/>
          <w:color w:val="auto"/>
          <w:sz w:val="24"/>
          <w:highlight w:val="none"/>
          <w:u w:val="single"/>
        </w:rPr>
        <w:t xml:space="preserve"> 48 </w:t>
      </w:r>
      <w:r>
        <w:rPr>
          <w:rFonts w:hint="eastAsia" w:ascii="仿宋" w:hAnsi="仿宋" w:eastAsia="仿宋" w:cs="仿宋"/>
          <w:color w:val="auto"/>
          <w:sz w:val="24"/>
          <w:highlight w:val="none"/>
        </w:rPr>
        <w:t xml:space="preserve">小时。</w:t>
      </w:r>
      <w:r/>
    </w:p>
    <w:p>
      <w:pPr>
        <w:pStyle w:val="979"/>
        <w:rPr>
          <w:color w:val="auto"/>
          <w:highlight w:val="none"/>
        </w:rPr>
      </w:pPr>
      <w:r/>
      <w:bookmarkStart w:id="367" w:name="_Toc297216224"/>
      <w:r/>
      <w:bookmarkStart w:id="368" w:name="_Toc297123565"/>
      <w:r/>
      <w:bookmarkStart w:id="369" w:name="_Toc297120523"/>
      <w:r/>
      <w:bookmarkStart w:id="370" w:name="_Toc303539173"/>
      <w:r/>
      <w:bookmarkStart w:id="371" w:name="_Toc296891263"/>
      <w:r/>
      <w:bookmarkStart w:id="372" w:name="_Toc292559933"/>
      <w:r/>
      <w:bookmarkStart w:id="373" w:name="_Toc296503223"/>
      <w:r/>
      <w:bookmarkStart w:id="374" w:name="_Toc300935016"/>
      <w:r/>
      <w:bookmarkStart w:id="375" w:name="_Toc296346724"/>
      <w:r/>
      <w:bookmarkStart w:id="376" w:name="_Toc297048409"/>
      <w:r/>
      <w:bookmarkStart w:id="377" w:name="_Toc296891051"/>
      <w:r/>
      <w:bookmarkStart w:id="378" w:name="_Toc304295596"/>
      <w:r/>
      <w:bookmarkStart w:id="379" w:name="_Toc296347222"/>
      <w:r/>
      <w:bookmarkStart w:id="380" w:name="_Toc292559428"/>
      <w:r/>
      <w:bookmarkStart w:id="381" w:name="_Toc312678056"/>
      <w:r/>
      <w:bookmarkStart w:id="382" w:name="_Toc296944562"/>
      <w:r/>
      <w:bookmarkStart w:id="383" w:name="_Toc267251471"/>
      <w:r/>
      <w:bookmarkStart w:id="384" w:name="_Toc267251470"/>
      <w:r/>
      <w:bookmarkStart w:id="385" w:name="_Toc267251473"/>
      <w:r/>
      <w:bookmarkStart w:id="386" w:name="_Toc267251474"/>
      <w:r/>
      <w:bookmarkStart w:id="387" w:name="_Toc267251476"/>
      <w:r/>
      <w:bookmarkStart w:id="388" w:name="_Toc267251472"/>
      <w:r/>
      <w:bookmarkStart w:id="389" w:name="_Toc267251475"/>
      <w:r>
        <w:rPr>
          <w:rFonts w:hint="eastAsia"/>
          <w:color w:val="auto"/>
          <w:highlight w:val="none"/>
        </w:rPr>
        <w:t xml:space="preserve">13.2 竣工验收</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80"/>
        <w:spacing w:line="360" w:lineRule="auto"/>
        <w:rPr>
          <w:rFonts w:hint="eastAsia" w:ascii="仿宋" w:hAnsi="仿宋" w:eastAsia="仿宋" w:cs="仿宋"/>
          <w:color w:val="auto"/>
          <w:sz w:val="24"/>
          <w:highlight w:val="none"/>
        </w:rPr>
      </w:pPr>
      <w:r/>
      <w:bookmarkStart w:id="390" w:name="_Toc280868705"/>
      <w:r/>
      <w:bookmarkStart w:id="391" w:name="_Toc280868707"/>
      <w:r/>
      <w:bookmarkStart w:id="392" w:name="_Toc280868706"/>
      <w:r/>
      <w:bookmarkStart w:id="393" w:name="_Toc280868708"/>
      <w:r/>
      <w:bookmarkStart w:id="394" w:name="_Toc280868709"/>
      <w:r>
        <w:rPr>
          <w:rFonts w:hint="eastAsia" w:ascii="仿宋" w:hAnsi="仿宋" w:eastAsia="仿宋" w:cs="仿宋"/>
          <w:color w:val="auto"/>
          <w:sz w:val="24"/>
          <w:highlight w:val="none"/>
        </w:rPr>
        <w:t xml:space="preserve">13.2.2竣工验收程序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验收主体：徐州高新技术产业开发区公共事业管理服务中心。</w:t>
      </w:r>
      <w:r>
        <w:rPr>
          <w:highlight w:val="none"/>
        </w:rP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验收时间：2026年12月30日前验收（本项目工期为90天，在施工单位向采购人提交竣工验收申请后10日内由采购人组织验收）。</w:t>
      </w:r>
      <w:r>
        <w:rPr>
          <w:highlight w:val="none"/>
        </w:rPr>
      </w:r>
    </w:p>
    <w:p>
      <w:pPr>
        <w:ind w:left="0" w:right="0" w:firstLine="480"/>
        <w:jc w:val="both"/>
        <w:spacing w:before="0" w:after="0" w:line="360" w:lineRule="auto"/>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验收方式:设计单位、监理单位、采购单位参与组成验收小组，现场验收。</w:t>
      </w:r>
      <w:r>
        <w:rPr>
          <w:highlight w:val="none"/>
        </w:rPr>
      </w:r>
      <w:r>
        <w:rPr>
          <w:highlight w:val="none"/>
        </w:rPr>
      </w:r>
    </w:p>
    <w:p>
      <w:pPr>
        <w:ind w:left="0" w:right="0" w:firstLine="480"/>
        <w:jc w:val="both"/>
        <w:spacing w:before="0" w:after="0" w:line="360" w:lineRule="auto"/>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验收内容：长安路（珠江东路-太康路）、闽江路（银山路-北京南路）、闽江路与规划路交叉口、漓江路与规划路交叉口、毕庄、二堡及滕寨安置房基础设施配套工程建设项目-二堡安置房基础设施配套工程、康平路交通及道路进行改造提升。①对工程的整体质量进项审验②对项目工程量进行审查③对使用性能及档案完整性等内容进行验收评定。</w:t>
      </w:r>
      <w:r>
        <w:rPr>
          <w:highlight w:val="none"/>
        </w:rPr>
      </w:r>
      <w:r>
        <w:rPr>
          <w:highlight w:val="none"/>
        </w:rPr>
      </w:r>
    </w:p>
    <w:p>
      <w:pPr>
        <w:ind w:left="0" w:right="0" w:firstLine="480"/>
        <w:jc w:val="both"/>
        <w:spacing w:before="0" w:after="0" w:line="360" w:lineRule="auto"/>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项目验收标准：《城镇道路工程施工与质量验收规范》(CJJ1一2008）、《城市道路照明工程施工及验收规程》(CJJ89-2012)、《电气装置安装工程电缆线路施工及验收标准》(GB50168-2018)、《电气装置安装工程接地装置施工及验收规范》(GB50169-2016)及现行国家施工验收规范及相关技术标准。</w:t>
      </w:r>
      <w:r>
        <w:rPr>
          <w:sz w:val="21"/>
          <w:highlight w:val="none"/>
        </w:rPr>
      </w:r>
      <w:r>
        <w:rPr>
          <w:highlight w:val="none"/>
        </w:rP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项目验收要求：合格，通过相关部门验收。工程质量必须达到合同约定标准，且保证相关部门验收通过。</w:t>
      </w:r>
      <w:bookmarkEnd w:id="390"/>
      <w:r>
        <w:rPr>
          <w:highlight w:val="none"/>
        </w:rPr>
      </w:r>
      <w:bookmarkEnd w:id="391"/>
      <w:r>
        <w:rPr>
          <w:highlight w:val="none"/>
        </w:rPr>
      </w:r>
      <w:bookmarkEnd w:id="392"/>
      <w:r>
        <w:rPr>
          <w:highlight w:val="none"/>
        </w:rPr>
      </w:r>
      <w:r>
        <w:rPr>
          <w:highlight w:val="none"/>
        </w:rP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 xml:space="preserve">。</w:t>
      </w:r>
      <w:r>
        <w:rPr>
          <w:highlight w:val="none"/>
        </w:rP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13.2.5移交、接收全部与部分工程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 按通用条款执行。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b/>
          <w:color w:val="auto"/>
          <w:sz w:val="24"/>
          <w:szCs w:val="24"/>
          <w:highlight w:val="none"/>
          <w:u w:val="single"/>
        </w:rPr>
        <w:t xml:space="preserve">工期每逾期1天，每天按合同价的</w:t>
      </w:r>
      <w:r>
        <w:rPr>
          <w:rFonts w:hint="eastAsia" w:ascii="仿宋" w:hAnsi="仿宋" w:eastAsia="仿宋" w:cs="仿宋"/>
          <w:b/>
          <w:color w:val="auto"/>
          <w:sz w:val="24"/>
          <w:szCs w:val="24"/>
          <w:highlight w:val="none"/>
          <w:u w:val="single"/>
          <w:lang w:eastAsia="zh-CN"/>
        </w:rPr>
        <w:t xml:space="preserve">万分之二</w:t>
      </w:r>
      <w:r>
        <w:rPr>
          <w:rFonts w:hint="eastAsia" w:ascii="仿宋" w:hAnsi="仿宋" w:eastAsia="仿宋" w:cs="仿宋"/>
          <w:b/>
          <w:color w:val="auto"/>
          <w:sz w:val="24"/>
          <w:szCs w:val="24"/>
          <w:highlight w:val="none"/>
          <w:u w:val="single"/>
        </w:rPr>
        <w:t xml:space="preserve">计算违约金，发包人有权采取任何补救措施来弥补该延误，由此增加的费用由承包人承担。</w:t>
      </w:r>
      <w:r/>
    </w:p>
    <w:p>
      <w:pPr>
        <w:pStyle w:val="979"/>
        <w:rPr>
          <w:rFonts w:hint="eastAsia"/>
          <w:color w:val="auto"/>
          <w:highlight w:val="none"/>
        </w:rPr>
      </w:pPr>
      <w:r>
        <w:rPr>
          <w:rFonts w:hint="eastAsia"/>
          <w:color w:val="auto"/>
          <w:highlight w:val="none"/>
        </w:rPr>
        <w:t xml:space="preserve">13.3 工程试车</w:t>
      </w:r>
      <w:bookmarkEnd w:id="393"/>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ind w:firstLine="420"/>
        <w:jc w:val="left"/>
        <w:spacing w:line="360" w:lineRule="auto"/>
        <w:rPr>
          <w:rFonts w:hint="eastAsia" w:ascii="仿宋" w:hAnsi="仿宋" w:eastAsia="仿宋" w:cs="仿宋"/>
          <w:color w:val="auto"/>
          <w:sz w:val="24"/>
          <w:szCs w:val="24"/>
          <w:highlight w:val="none"/>
        </w:rPr>
      </w:pPr>
      <w:r/>
      <w:bookmarkStart w:id="395" w:name="_Toc351203646"/>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 投料试车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79"/>
        <w:rPr>
          <w:rFonts w:hint="eastAsia"/>
          <w:color w:val="auto"/>
          <w:highlight w:val="none"/>
        </w:rPr>
      </w:pPr>
      <w:r>
        <w:rPr>
          <w:rFonts w:hint="eastAsia"/>
          <w:color w:val="auto"/>
          <w:highlight w:val="none"/>
        </w:rPr>
        <w:t xml:space="preserve">13.6 竣工退场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 竣工退场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移交手续办理完毕28日内</w:t>
      </w:r>
      <w:r>
        <w:rPr>
          <w:rFonts w:hint="eastAsia" w:ascii="仿宋" w:hAnsi="仿宋" w:eastAsia="仿宋" w:cs="仿宋"/>
          <w:color w:val="auto"/>
          <w:sz w:val="24"/>
          <w:szCs w:val="24"/>
          <w:highlight w:val="none"/>
        </w:rPr>
        <w:t xml:space="preserve">。</w:t>
      </w:r>
      <w:r/>
    </w:p>
    <w:p>
      <w:pPr>
        <w:pStyle w:val="978"/>
        <w:rPr>
          <w:strike/>
          <w:color w:val="auto"/>
          <w:highlight w:val="none"/>
        </w:rPr>
      </w:pPr>
      <w:r>
        <w:rPr>
          <w:rFonts w:hint="eastAsia"/>
          <w:color w:val="auto"/>
          <w:highlight w:val="none"/>
        </w:rPr>
        <w:t xml:space="preserve">14. 竣工结算</w:t>
      </w:r>
      <w:bookmarkEnd w:id="395"/>
      <w:r/>
      <w:bookmarkEnd w:id="383"/>
      <w:r/>
      <w:bookmarkEnd w:id="384"/>
      <w:r/>
      <w:bookmarkEnd w:id="385"/>
      <w:r/>
      <w:bookmarkEnd w:id="386"/>
      <w:r/>
      <w:bookmarkEnd w:id="387"/>
      <w:r/>
      <w:bookmarkEnd w:id="388"/>
      <w:r/>
      <w:bookmarkEnd w:id="389"/>
      <w:r/>
      <w:bookmarkEnd w:id="394"/>
      <w:r/>
      <w:r/>
    </w:p>
    <w:p>
      <w:pPr>
        <w:pStyle w:val="979"/>
        <w:rPr>
          <w:rFonts w:hint="eastAsia"/>
          <w:color w:val="auto"/>
          <w:highlight w:val="none"/>
        </w:rPr>
      </w:pPr>
      <w:r>
        <w:rPr>
          <w:rFonts w:hint="eastAsia"/>
          <w:color w:val="auto"/>
          <w:highlight w:val="none"/>
        </w:rPr>
        <w:t xml:space="preserve">14.1 竣工结算申请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工程竣工验收合格后28天内</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b/>
          <w:color w:val="auto"/>
          <w:sz w:val="24"/>
          <w:szCs w:val="24"/>
          <w:highlight w:val="none"/>
          <w:u w:val="single"/>
        </w:rPr>
        <w:t xml:space="preserve">竣工结算书中应有完整的结算资料（图纸、签证、变更单、价格凭证等）。（因承包人提供竣工结算资料不完整或无正当理由拒不接受审计的意见，造成审计时间拖后，其责任由承包人自负。）</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承包方提供的竣工资料及竣工图应真实有效与工程实际相符，如有不符，发包人及监理有权让承包方重新整理，直至与实际相符。否则发包人将不予接收承包人报送的竣工结算申请和相关资料 </w:t>
      </w:r>
      <w:r>
        <w:rPr>
          <w:rFonts w:hint="eastAsia" w:ascii="仿宋" w:hAnsi="仿宋" w:eastAsia="仿宋" w:cs="仿宋"/>
          <w:color w:val="auto"/>
          <w:sz w:val="24"/>
          <w:szCs w:val="24"/>
          <w:highlight w:val="none"/>
        </w:rPr>
        <w:t xml:space="preserve">。</w:t>
      </w:r>
      <w:r/>
    </w:p>
    <w:p>
      <w:pPr>
        <w:pStyle w:val="979"/>
        <w:rPr>
          <w:rFonts w:hint="eastAsia"/>
          <w:color w:val="auto"/>
          <w:highlight w:val="none"/>
        </w:rPr>
      </w:pPr>
      <w:r>
        <w:rPr>
          <w:rFonts w:hint="eastAsia"/>
          <w:color w:val="auto"/>
          <w:highlight w:val="none"/>
        </w:rPr>
        <w:t xml:space="preserve">14.2 竣工结算审核</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工程竣工验收报告经发包人认可后28天内，承包人向发包人递交竣工结算报告及完整的结算资料。发包人自接到承包人递交的完整真实的结算资料后6个月内按照合同约定的合同价款及合同价款调整办法及调整因素，进行工程竣工结算审计审核。承包人在上述时间内应积极配合发包人及审计部门的审核，若承包人不配合，审计时间相应顺延。同时竣工结算支付程序遵循徐州高新区城建重点工程付款程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当双方取得一致认可的竣工结算价后30工作日内，并遵循徐州高新区城建重点工程付款程序。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按通用条款执行。</w:t>
      </w:r>
      <w:r/>
    </w:p>
    <w:p>
      <w:pPr>
        <w:pStyle w:val="979"/>
        <w:rPr>
          <w:rFonts w:hint="eastAsia"/>
          <w:color w:val="auto"/>
          <w:highlight w:val="none"/>
        </w:rPr>
      </w:pPr>
      <w:r>
        <w:rPr>
          <w:rFonts w:hint="eastAsia"/>
          <w:color w:val="auto"/>
          <w:highlight w:val="none"/>
        </w:rPr>
        <w:t xml:space="preserve">14.4 最终结清</w:t>
      </w:r>
      <w:r/>
    </w:p>
    <w:p>
      <w:pPr>
        <w:ind w:firstLine="480"/>
        <w:jc w:val="left"/>
        <w:spacing w:line="360" w:lineRule="auto"/>
        <w:rPr>
          <w:rFonts w:hint="eastAsia" w:ascii="仿宋" w:hAnsi="仿宋" w:eastAsia="仿宋" w:cs="仿宋"/>
          <w:color w:val="auto"/>
          <w:sz w:val="24"/>
          <w:szCs w:val="24"/>
          <w:highlight w:val="none"/>
        </w:rPr>
      </w:pPr>
      <w:r/>
      <w:bookmarkStart w:id="396" w:name="_Toc351203647"/>
      <w:r/>
      <w:bookmarkStart w:id="397" w:name="_Toc267251483"/>
      <w:r/>
      <w:bookmarkStart w:id="398" w:name="_Toc267251484"/>
      <w:r/>
      <w:bookmarkStart w:id="399" w:name="_Toc267251482"/>
      <w:r/>
      <w:bookmarkStart w:id="400" w:name="_Toc267251485"/>
      <w:r/>
      <w:bookmarkStart w:id="401" w:name="_Toc267251490"/>
      <w:r/>
      <w:bookmarkStart w:id="402" w:name="_Toc267251489"/>
      <w:r/>
      <w:bookmarkStart w:id="403" w:name="_Toc267251488"/>
      <w:r/>
      <w:bookmarkStart w:id="404" w:name="_Toc267251486"/>
      <w:r/>
      <w:bookmarkStart w:id="405" w:name="_Toc267251495"/>
      <w:r/>
      <w:bookmarkStart w:id="406" w:name="_Toc267251499"/>
      <w:r/>
      <w:bookmarkStart w:id="407" w:name="_Toc267251497"/>
      <w:r/>
      <w:bookmarkStart w:id="408" w:name="_Toc267251492"/>
      <w:r/>
      <w:bookmarkStart w:id="409" w:name="_Toc267251503"/>
      <w:r/>
      <w:bookmarkStart w:id="410" w:name="_Toc267251498"/>
      <w:r/>
      <w:bookmarkStart w:id="411" w:name="_Toc267251494"/>
      <w:r/>
      <w:bookmarkStart w:id="412" w:name="_Toc267251496"/>
      <w:r/>
      <w:bookmarkStart w:id="413" w:name="_Toc267251493"/>
      <w:r/>
      <w:bookmarkStart w:id="414" w:name="_Toc267251502"/>
      <w:r/>
      <w:bookmarkStart w:id="415" w:name="_Toc267251491"/>
      <w:r/>
      <w:bookmarkStart w:id="416" w:name="_Toc267251501"/>
      <w:r/>
      <w:bookmarkStart w:id="417" w:name="_Toc267251506"/>
      <w:r/>
      <w:bookmarkStart w:id="418" w:name="_Toc267251504"/>
      <w:r/>
      <w:bookmarkStart w:id="419" w:name="_Toc267251508"/>
      <w:r/>
      <w:bookmarkStart w:id="420" w:name="_Toc267251509"/>
      <w:r/>
      <w:bookmarkStart w:id="421" w:name="_Toc267251507"/>
      <w:r/>
      <w:bookmarkStart w:id="422" w:name="_Toc267251511"/>
      <w:r/>
      <w:bookmarkStart w:id="423" w:name="_Toc267251510"/>
      <w:r/>
      <w:bookmarkStart w:id="424" w:name="_Toc267251514"/>
      <w:r/>
      <w:bookmarkStart w:id="425" w:name="_Toc267251515"/>
      <w:r/>
      <w:bookmarkStart w:id="426" w:name="_Toc267251513"/>
      <w:r>
        <w:rPr>
          <w:rFonts w:hint="eastAsia" w:ascii="仿宋" w:hAnsi="仿宋" w:eastAsia="仿宋" w:cs="仿宋"/>
          <w:color w:val="auto"/>
          <w:sz w:val="24"/>
          <w:szCs w:val="24"/>
          <w:highlight w:val="none"/>
        </w:rPr>
        <w:t xml:space="preserve">14.4.1 最终结清申请单</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 最终结清证书和支付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w:t>
      </w:r>
      <w:r/>
    </w:p>
    <w:p>
      <w:pPr>
        <w:pStyle w:val="978"/>
        <w:rPr>
          <w:rFonts w:hint="eastAsia"/>
          <w:color w:val="auto"/>
          <w:highlight w:val="none"/>
        </w:rPr>
      </w:pPr>
      <w:r>
        <w:rPr>
          <w:rFonts w:hint="eastAsia"/>
          <w:color w:val="auto"/>
          <w:highlight w:val="none"/>
        </w:rPr>
        <w:t xml:space="preserve">15. 缺陷责任期与保修</w:t>
      </w:r>
      <w:bookmarkEnd w:id="396"/>
      <w:r/>
      <w:r/>
    </w:p>
    <w:p>
      <w:pPr>
        <w:pStyle w:val="979"/>
        <w:rPr>
          <w:color w:val="auto"/>
          <w:highlight w:val="none"/>
        </w:rPr>
      </w:pPr>
      <w:r>
        <w:rPr>
          <w:rFonts w:hint="eastAsia"/>
          <w:color w:val="auto"/>
          <w:highlight w:val="none"/>
        </w:rPr>
        <w:t xml:space="preserve">15.2缺陷责任期</w:t>
      </w:r>
      <w:bookmarkEnd w:id="397"/>
      <w:r/>
      <w:bookmarkEnd w:id="398"/>
      <w:r/>
      <w:bookmarkEnd w:id="399"/>
      <w:r/>
      <w:r/>
    </w:p>
    <w:p>
      <w:pPr>
        <w:ind w:firstLine="420"/>
        <w:jc w:val="lef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自竣工验收合格之日起24个月。</w:t>
      </w:r>
      <w:r/>
    </w:p>
    <w:p>
      <w:pPr>
        <w:pStyle w:val="979"/>
        <w:rPr>
          <w:rFonts w:hint="eastAsia"/>
          <w:color w:val="auto"/>
          <w:highlight w:val="none"/>
          <w:lang w:val="en-US" w:eastAsia="zh-CN"/>
        </w:rPr>
      </w:pPr>
      <w:r>
        <w:rPr>
          <w:rFonts w:hint="eastAsia"/>
          <w:color w:val="auto"/>
          <w:highlight w:val="none"/>
          <w:lang w:val="en-US" w:eastAsia="zh-CN"/>
        </w:rPr>
        <w:t xml:space="preserve">15.3 质量保证金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。在工程项目竣工前，承包人按专用合同条款第3.7条提供履约担保的，发包人不得同时预留工程质量保证金。</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15.3.1 承包人提供质量保证金的方式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（1）质量保证金保函，保证金额为：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%的工程款；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15.3.2 质量保证金的扣留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（2）工程竣工结算时一次性扣留质量保证金；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（3）其他扣留方式：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关于质量保证金的补充约定：</w:t>
      </w:r>
      <w:r>
        <w:rPr>
          <w:rFonts w:hint="eastAsia" w:ascii="仿宋" w:hAnsi="仿宋" w:eastAsia="仿宋" w:cs="仿宋"/>
          <w:color w:val="auto"/>
          <w:sz w:val="24"/>
          <w:szCs w:val="24"/>
          <w:highlight w:val="none"/>
          <w:u w:val="single"/>
        </w:rPr>
        <w:t xml:space="preserve">双方一致认可的竣工结算价</w:t>
      </w:r>
      <w:r>
        <w:rPr>
          <w:rFonts w:hint="eastAsia" w:ascii="仿宋" w:hAnsi="仿宋" w:eastAsia="仿宋" w:cs="仿宋"/>
          <w:color w:val="auto"/>
          <w:sz w:val="24"/>
          <w:szCs w:val="24"/>
          <w:highlight w:val="none"/>
          <w:u w:val="single"/>
        </w:rPr>
        <w:t xml:space="preserve">的3%作为质保金，缺陷责任期满后30工作日内付清（保修金不计利息，并扣除缺陷责任期内应由承包人承担的维修费用）</w:t>
      </w:r>
      <w:r>
        <w:rPr>
          <w:rFonts w:hint="eastAsia" w:ascii="仿宋" w:hAnsi="仿宋" w:eastAsia="仿宋" w:cs="仿宋"/>
          <w:color w:val="auto"/>
          <w:sz w:val="24"/>
          <w:szCs w:val="24"/>
          <w:highlight w:val="none"/>
        </w:rPr>
        <w:t xml:space="preserve">。</w:t>
      </w:r>
      <w:r/>
    </w:p>
    <w:p>
      <w:pPr>
        <w:pStyle w:val="979"/>
        <w:rPr>
          <w:rFonts w:hint="eastAsia"/>
          <w:color w:val="auto"/>
          <w:highlight w:val="none"/>
        </w:rPr>
      </w:pPr>
      <w:r>
        <w:rPr>
          <w:rFonts w:hint="eastAsia"/>
          <w:color w:val="auto"/>
          <w:highlight w:val="none"/>
        </w:rPr>
        <w:t xml:space="preserve">15.4保修</w:t>
      </w:r>
      <w:bookmarkEnd w:id="400"/>
      <w:r/>
      <w:r/>
    </w:p>
    <w:p>
      <w:pPr>
        <w:ind w:firstLine="46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 保修责任</w:t>
      </w:r>
      <w:bookmarkEnd w:id="401"/>
      <w:r/>
      <w:bookmarkEnd w:id="402"/>
      <w:r/>
      <w:bookmarkEnd w:id="403"/>
      <w:r/>
      <w:bookmarkEnd w:id="404"/>
      <w:r/>
      <w:r/>
    </w:p>
    <w:p>
      <w:pPr>
        <w:ind w:firstLine="468"/>
        <w:jc w:val="left"/>
        <w:spacing w:line="360" w:lineRule="auto"/>
        <w:rPr>
          <w:rFonts w:hint="eastAsia" w:ascii="仿宋" w:hAnsi="仿宋" w:eastAsia="仿宋" w:cs="仿宋"/>
          <w:color w:val="auto"/>
          <w:sz w:val="24"/>
          <w:szCs w:val="24"/>
          <w:highlight w:val="none"/>
        </w:rPr>
      </w:pPr>
      <w:r/>
      <w:bookmarkStart w:id="427" w:name="_Toc351203648"/>
      <w:r/>
      <w:bookmarkStart w:id="428" w:name="_Toc280868717"/>
      <w:r/>
      <w:bookmarkStart w:id="429" w:name="_Toc280868718"/>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详见《工程质量保修书》</w:t>
      </w:r>
      <w:r>
        <w:rPr>
          <w:rFonts w:hint="eastAsia" w:ascii="仿宋" w:hAnsi="仿宋" w:eastAsia="仿宋" w:cs="仿宋"/>
          <w:color w:val="auto"/>
          <w:sz w:val="24"/>
          <w:szCs w:val="24"/>
          <w:highlight w:val="none"/>
        </w:rPr>
        <w:t xml:space="preserve">。</w:t>
      </w:r>
      <w:r/>
    </w:p>
    <w:p>
      <w:pPr>
        <w:ind w:firstLine="46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15.4.3 修复通知</w:t>
      </w:r>
      <w:r/>
    </w:p>
    <w:p>
      <w:pPr>
        <w:ind w:firstLine="4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接到发包人通知后24小时内</w:t>
      </w:r>
      <w:r/>
    </w:p>
    <w:p>
      <w:pPr>
        <w:pStyle w:val="978"/>
        <w:rPr>
          <w:rFonts w:hint="eastAsia"/>
          <w:color w:val="auto"/>
          <w:highlight w:val="none"/>
        </w:rPr>
      </w:pPr>
      <w:r>
        <w:rPr>
          <w:rFonts w:hint="eastAsia"/>
          <w:color w:val="auto"/>
          <w:highlight w:val="none"/>
        </w:rPr>
        <w:t xml:space="preserve">16. 违约</w:t>
      </w:r>
      <w:bookmarkEnd w:id="427"/>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发包人违约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1199" w:hanging="7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 发包人违约的责任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另行协商</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无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30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pStyle w:val="979"/>
        <w:rPr>
          <w:color w:val="auto"/>
          <w:highlight w:val="none"/>
        </w:rPr>
      </w:pPr>
      <w:r>
        <w:rPr>
          <w:rFonts w:hint="eastAsia"/>
          <w:color w:val="auto"/>
          <w:highlight w:val="none"/>
        </w:rPr>
        <w:t xml:space="preserve">16.2 承包人违约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如果承包人在下列任何一方面违约，则发包人认为承包人放弃合同）</w:t>
      </w:r>
      <w:r>
        <w:rPr>
          <w:rFonts w:hint="eastAsia" w:ascii="仿宋" w:hAnsi="仿宋" w:eastAsia="仿宋" w:cs="仿宋"/>
          <w:color w:val="auto"/>
          <w:sz w:val="24"/>
          <w:szCs w:val="24"/>
          <w:highlight w:val="none"/>
          <w:u w:val="single"/>
        </w:rPr>
        <w:br/>
      </w:r>
      <w:r>
        <w:rPr>
          <w:rFonts w:hint="eastAsia" w:ascii="仿宋" w:hAnsi="仿宋" w:eastAsia="仿宋" w:cs="仿宋"/>
          <w:color w:val="auto"/>
          <w:sz w:val="24"/>
          <w:szCs w:val="24"/>
          <w:highlight w:val="none"/>
          <w:u w:val="single"/>
        </w:rPr>
        <w:t xml:space="preserve">    （1）承包人违反合同约定进行转包或违法分包的：转包或分包合同无效，承包人应向发包人承担转包或分包合同金额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（2）承包人违反合同约定采购和使用不合格的材料和工程设备的: 承包人采购的材料设备的品种、规格、型号、质量等级应满足施工图纸和相关规范要求，如不能通过监理或发包人认可或不符</w:t>
      </w:r>
      <w:r>
        <w:rPr>
          <w:rFonts w:hint="eastAsia" w:ascii="仿宋" w:hAnsi="仿宋" w:eastAsia="仿宋" w:cs="仿宋"/>
          <w:color w:val="auto"/>
          <w:sz w:val="24"/>
          <w:szCs w:val="24"/>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（4）承包人违反第 8.9 款〔材料与设备专用要求〕的约定，未经批准，私自将已按照合同约定进入施工现场的材料或设备撤离施工现场的，向发包人支付撤离施工现场材料或设备价值双倍的违约金。</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（5）承包人未能按施工进度计划及时完成合同约定的工作，造成工期延误的：按照合同专用条款 7.5 条执行。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质保金中双倍扣除，超支部分由承包人承担。缺陷责任期及保修期内因工程质量问题给发包人、业主或他人造成财产损失和人身伤害的，由承包人承担一切责任。</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（7）承包人明确表示或者以其行为表明不履行合同主要义务的：发包人有权单方解除合同并不再对承包人已完工程量进行结算，承包人应承担因此造成的一切损失。</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（8）承包人在中标后，未能按规定的时间办理相关手续、缴纳相关费用，影响办理施工许可证：视为放弃本次中标资格。</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（9）没有合理的原因而未能按期开工：延迟一天承包人向发包人支付违约金 2万/天，延迟超过 30 天，发包方有权单方解除合同。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（10）承包人无正当理由停工：如承包人施工期间无正当理由停工 3天或工期延误超过15天，发包方有权将承包方未完成工作量全部或部分发包给其他承包人进行施工，发包人与其它承包人的结算价款直接从承包人结算总价中扣除，不足部分仍由承包人承担，且承包人须无条件认可。由此造成的一切损失由承包人承担。工期延误达三十天时，发包人有权单方解除合同，将承包人清退出场并更换施工单位，由此产生的所有损失由承包人负责赔偿，承包人还应向发包人支付合同总价款不少于20%的违约金。</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 1-3 倍；该经济处罚并不免除承包人的整改、更换或拆除责任及因此缺陷给发包人造成损失的赔偿责任。</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（12）中标后被发现有出卖资质、非法挂靠行为的中标人（承包人）：发包人有权单方解除施工合同，清退施工人员并按合同总价的 20%收取违约金，在这种情况下，承包人必须在 10 日内退场，并且不得提出任何对发包人不利的要求。</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（13）承包人未能按照合同约定履行其他义务的：发包人有权单方解除合同并不再对承包人已完工程量进行结算，承包人应承担因此造成的一切损失。</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14）如在施工过程中出现质量事故、质量责任或不合格情况，发包人有权拒付相应工程款，承包人应承担由此产生的相关费用，直至达到合同要求的质量标准，工期不顺延。因承包人施工质量问题，影响发包人后期使用的，承包人承担无限赔偿责任。</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承包人发生除本项第（7）目约定以外的其他违约情况时，监理人可向承包人发出整改通知，要求其在指定的期限内改正。若不能按期改正，按以上约定执行。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以上违约已明确责任，但短时间内无法量化违约金的，按实际经济损失赔偿。</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rPr>
          <w:rFonts w:hint="eastAsia" w:ascii="仿宋" w:hAnsi="仿宋" w:eastAsia="仿宋" w:cs="仿宋"/>
          <w:color w:val="auto"/>
          <w:sz w:val="24"/>
          <w:szCs w:val="24"/>
          <w:highlight w:val="none"/>
          <w:u w:val="single"/>
        </w:rPr>
        <w:t xml:space="preserve">施工过程中，发包人、监理人发现施工质量不符合国家相关规范标准的，承包人应立即停工整改，因此所增加的费用由承包人承担；发现严重施工质量问题达到3次，发包人有权解除合同，因此产生的一切损失和费用由承包人承担。</w:t>
      </w:r>
      <w:r>
        <w:rPr>
          <w:rFonts w:hint="eastAsia" w:ascii="仿宋" w:hAnsi="仿宋" w:eastAsia="仿宋" w:cs="仿宋"/>
          <w:bCs/>
          <w:color w:val="auto"/>
          <w:sz w:val="24"/>
          <w:szCs w:val="24"/>
          <w:highlight w:val="none"/>
          <w:u w:val="single"/>
        </w:rPr>
        <w:t xml:space="preserve">工期逾期超过30天，发包人有权解除合同，因此产生的一切损失和费用由承包人承担。</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r/>
    </w:p>
    <w:p>
      <w:pPr>
        <w:pStyle w:val="978"/>
        <w:rPr>
          <w:color w:val="auto"/>
          <w:highlight w:val="none"/>
        </w:rPr>
      </w:pPr>
      <w:r/>
      <w:bookmarkStart w:id="430" w:name="_Toc351203649"/>
      <w:r>
        <w:rPr>
          <w:rFonts w:hint="eastAsia"/>
          <w:color w:val="auto"/>
          <w:highlight w:val="none"/>
        </w:rPr>
        <w:t xml:space="preserve">17. 不可抗力</w:t>
      </w:r>
      <w:bookmarkEnd w:id="428"/>
      <w:r/>
      <w:bookmarkEnd w:id="430"/>
      <w:r/>
      <w:r/>
    </w:p>
    <w:p>
      <w:pPr>
        <w:pStyle w:val="979"/>
        <w:rPr>
          <w:color w:val="auto"/>
          <w:highlight w:val="none"/>
        </w:rPr>
      </w:pPr>
      <w:r>
        <w:rPr>
          <w:rFonts w:hint="eastAsia"/>
          <w:color w:val="auto"/>
          <w:highlight w:val="none"/>
        </w:rPr>
        <w:t xml:space="preserve">17.1 不可抗力的确认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sz w:val="24"/>
          <w:szCs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（1）8级以上持续24小时的大风；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（2）持续降雨24小时且降雨量200mm以上；下雪为30mm以上；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（3）40℃及以上持续24小时的高温；</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（4）30年不遇的特大暴风、雨、雪。</w:t>
      </w:r>
      <w:r/>
    </w:p>
    <w:p>
      <w:pPr>
        <w:pStyle w:val="979"/>
        <w:rPr>
          <w:color w:val="auto"/>
          <w:highlight w:val="none"/>
        </w:rPr>
      </w:pPr>
      <w:r>
        <w:rPr>
          <w:rFonts w:hint="eastAsia"/>
          <w:color w:val="auto"/>
          <w:highlight w:val="none"/>
        </w:rPr>
        <w:t xml:space="preserve">17.4 因不可抗力解除合同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合同解除后，发包人应在商定或确定发包人应支付款项后</w:t>
      </w:r>
      <w:r>
        <w:rPr>
          <w:rFonts w:hint="eastAsia" w:ascii="仿宋" w:hAnsi="仿宋" w:eastAsia="仿宋" w:cs="仿宋"/>
          <w:color w:val="auto"/>
          <w:sz w:val="24"/>
          <w:highlight w:val="none"/>
          <w:u w:val="single"/>
          <w:lang w:val="en-US" w:eastAsia="zh-CN"/>
        </w:rPr>
        <w:t xml:space="preserve">60</w:t>
      </w:r>
      <w:r>
        <w:rPr>
          <w:rFonts w:hint="eastAsia" w:ascii="仿宋" w:hAnsi="仿宋" w:eastAsia="仿宋" w:cs="仿宋"/>
          <w:color w:val="auto"/>
          <w:sz w:val="24"/>
          <w:highlight w:val="none"/>
        </w:rPr>
        <w:t xml:space="preserve">天内完成款项的支付。</w:t>
      </w:r>
      <w:r/>
    </w:p>
    <w:p>
      <w:pPr>
        <w:pStyle w:val="978"/>
        <w:rPr>
          <w:color w:val="auto"/>
          <w:highlight w:val="none"/>
        </w:rPr>
      </w:pPr>
      <w:r/>
      <w:bookmarkStart w:id="431" w:name="_Toc351203650"/>
      <w:r>
        <w:rPr>
          <w:rFonts w:hint="eastAsia"/>
          <w:color w:val="auto"/>
          <w:highlight w:val="none"/>
        </w:rPr>
        <w:t xml:space="preserve">18. 保险</w:t>
      </w:r>
      <w:bookmarkEnd w:id="429"/>
      <w:r/>
      <w:bookmarkEnd w:id="431"/>
      <w:r/>
      <w:r/>
    </w:p>
    <w:p>
      <w:pPr>
        <w:pStyle w:val="979"/>
        <w:rPr>
          <w:color w:val="auto"/>
          <w:highlight w:val="none"/>
        </w:rPr>
      </w:pPr>
      <w:r>
        <w:rPr>
          <w:rFonts w:hint="eastAsia"/>
          <w:color w:val="auto"/>
          <w:highlight w:val="none"/>
        </w:rPr>
        <w:t xml:space="preserve">18.1 工程保险</w:t>
      </w:r>
      <w:r/>
    </w:p>
    <w:p>
      <w:pPr>
        <w:ind w:firstLine="480"/>
        <w:jc w:val="left"/>
        <w:spacing w:line="360" w:lineRule="auto"/>
        <w:rPr>
          <w:rFonts w:ascii="仿宋" w:hAnsi="仿宋" w:eastAsia="仿宋" w:cs="仿宋"/>
          <w:color w:val="auto"/>
          <w:sz w:val="24"/>
          <w:highlight w:val="none"/>
          <w:u w:val="singl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 承包人必须按照工程所在地相关规定要求执行，相关保险费用由承包人承担。若按建设主管部门规定由发包人代缴，则应在竣工结算中扣除。</w:t>
      </w:r>
      <w:r/>
    </w:p>
    <w:p>
      <w:pPr>
        <w:pStyle w:val="979"/>
        <w:rPr>
          <w:rFonts w:hint="eastAsia"/>
          <w:color w:val="auto"/>
          <w:highlight w:val="none"/>
        </w:rPr>
      </w:pPr>
      <w:r>
        <w:rPr>
          <w:rFonts w:hint="eastAsia"/>
          <w:color w:val="auto"/>
          <w:highlight w:val="none"/>
        </w:rPr>
        <w:t xml:space="preserve">18.3 其他保险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承包人必须为施工现场的全部人员办理意外伤害保险，并缴纳保险费，</w:t>
      </w:r>
      <w:r>
        <w:rPr>
          <w:rFonts w:hint="eastAsia" w:ascii="仿宋" w:hAnsi="仿宋" w:eastAsia="仿宋" w:cs="仿宋"/>
          <w:color w:val="auto"/>
          <w:sz w:val="24"/>
          <w:szCs w:val="24"/>
          <w:highlight w:val="none"/>
          <w:u w:val="single"/>
        </w:rPr>
        <w:t xml:space="preserve">包括其员工及为履行合同聘请的第三方的人员，所有保险费用由承包人承担，包含在签约合同价格中</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是</w:t>
      </w:r>
      <w:r>
        <w:rPr>
          <w:rFonts w:hint="eastAsia" w:ascii="仿宋" w:hAnsi="仿宋" w:eastAsia="仿宋" w:cs="仿宋"/>
          <w:color w:val="auto"/>
          <w:sz w:val="24"/>
          <w:szCs w:val="24"/>
          <w:highlight w:val="none"/>
        </w:rPr>
        <w:t xml:space="preserve">。</w:t>
      </w:r>
      <w:r/>
    </w:p>
    <w:p>
      <w:pPr>
        <w:pStyle w:val="979"/>
        <w:rPr>
          <w:color w:val="auto"/>
          <w:highlight w:val="none"/>
        </w:rPr>
      </w:pPr>
      <w:r>
        <w:rPr>
          <w:rFonts w:hint="eastAsia"/>
          <w:color w:val="auto"/>
          <w:highlight w:val="none"/>
        </w:rPr>
        <w:t xml:space="preserve">18.7 通知义务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关于变更保险合同时的通知义务的约定：</w:t>
      </w:r>
      <w:r>
        <w:rPr>
          <w:rFonts w:hint="eastAsia" w:ascii="仿宋" w:hAnsi="仿宋" w:eastAsia="仿宋" w:cs="仿宋"/>
          <w:color w:val="auto"/>
          <w:sz w:val="24"/>
          <w:highlight w:val="none"/>
          <w:u w:val="single"/>
        </w:rPr>
        <w:t xml:space="preserve">执行通用条款。</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pStyle w:val="978"/>
        <w:rPr>
          <w:color w:val="auto"/>
          <w:highlight w:val="none"/>
        </w:rPr>
      </w:pPr>
      <w:r/>
      <w:bookmarkStart w:id="432" w:name="_Toc351203651"/>
      <w:r>
        <w:rPr>
          <w:rFonts w:hint="eastAsia"/>
          <w:color w:val="auto"/>
          <w:highlight w:val="none"/>
        </w:rPr>
        <w:t xml:space="preserve">20. 争议解决</w:t>
      </w:r>
      <w:bookmarkEnd w:id="417"/>
      <w:r/>
      <w:bookmarkEnd w:id="418"/>
      <w:r/>
      <w:bookmarkEnd w:id="432"/>
      <w:r/>
      <w:bookmarkEnd w:id="419"/>
      <w:r/>
      <w:bookmarkEnd w:id="420"/>
      <w:r/>
      <w:bookmarkEnd w:id="421"/>
      <w:r/>
      <w:bookmarkEnd w:id="422"/>
      <w:r/>
      <w:bookmarkEnd w:id="423"/>
      <w:r/>
      <w:bookmarkEnd w:id="424"/>
      <w:r/>
      <w:bookmarkEnd w:id="425"/>
      <w:r/>
      <w:bookmarkEnd w:id="42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rPr>
        <w:t xml:space="preserve">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仲裁委员会申请仲裁；</w:t>
      </w:r>
      <w:r/>
    </w:p>
    <w:p>
      <w:pPr>
        <w:ind w:firstLine="480"/>
        <w:jc w:val="left"/>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工程所在地 </w:t>
      </w:r>
      <w:r>
        <w:rPr>
          <w:rFonts w:hint="eastAsia" w:ascii="仿宋" w:hAnsi="仿宋" w:eastAsia="仿宋" w:cs="仿宋"/>
          <w:color w:val="auto"/>
          <w:sz w:val="24"/>
          <w:szCs w:val="24"/>
          <w:highlight w:val="none"/>
        </w:rPr>
        <w:t xml:space="preserve">人民法院起诉。</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补充条款</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 承包人进场前应与发包人签订《安全生产责任协议书》《建设工程廉政协议》《治安消防交通安全协议书》和《文明施工责任协议书》作为本合同的补充，与本合同具有同等法律效力。</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 社会保障费已包含在合同价内，由承包人缴纳。地方关系、施工涉及的交通协调费投标人自行综合考虑在投标报价内，就此项发包人不支付任何费用。</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21.3承包人建造师必须参加每周例会、专题会议和发包人组织召开的需承包人参加的有关会议，因故不能参加的应提前24 小时向发包人提出申请，并在获得发包人批准后方可缺席，否则发包人将处1000 元/次罚款。</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21.4为保证整体工期，对于承包人不按购销合同支付材料设备供应商货款的行为，发包人有权在合同履行相应时期的工程价款范围内，直接向材料设备供应商支付承包人应付的款项，所付款项在应付承包人款项中直接扣除，承包人对此部分扣付款项及数额无异议，并认可为已付工程款。</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21.5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21.6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21.7施工过程中，承包人如违反现场管理制度和规定，发包人有权对承包人进行经济处罚，罚金必须3 日内缴纳，若未按期缴纳，发包人有权暂缓支付工程款直至缴纳罚金。</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21.8如承包人未按设计图纸、国家规范及合同要求施工，发包人可勒令承包人暂停施工，待承包人整改完毕并报经监理人、发包人验收同意后方可复工，由此造成的损失由承包人负责。</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21.9如承包人拒绝执行发包人的合理指令，发包人有权另行委托第三方执行指令，并视情节轻重对承包人处以1000- 3000 元/次的罚款，且执行指令的费用由承包人支付；若承包人拒绝支付，则发包人有权从承包人工程款中扣除。如因发包人指令错误造成的损失费用则由发包人承担。</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21.10本合同履行期内，承包人与第三方产生的债权、债务均由承包人自行解决</w:t>
      </w:r>
      <w:r>
        <w:rPr>
          <w:rFonts w:hint="eastAsia" w:ascii="仿宋" w:hAnsi="仿宋" w:eastAsia="仿宋" w:cs="仿宋"/>
          <w:color w:val="auto"/>
          <w:sz w:val="24"/>
          <w:szCs w:val="24"/>
          <w:highlight w:val="none"/>
          <w:u w:val="single"/>
          <w:lang w:eastAsia="zh-CN"/>
        </w:rPr>
        <w:t xml:space="preserve">和承担</w:t>
      </w:r>
      <w:r>
        <w:rPr>
          <w:rFonts w:hint="eastAsia" w:ascii="仿宋" w:hAnsi="仿宋" w:eastAsia="仿宋" w:cs="仿宋"/>
          <w:color w:val="auto"/>
          <w:sz w:val="24"/>
          <w:szCs w:val="24"/>
          <w:highlight w:val="none"/>
          <w:u w:val="single"/>
        </w:rPr>
        <w:t xml:space="preserve">，与发包人无关。</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21.11施工期间，承包人不得辱骂、殴打、威胁发包人及监理人，如若发生</w:t>
      </w:r>
      <w:r>
        <w:rPr>
          <w:rFonts w:hint="eastAsia" w:ascii="仿宋" w:hAnsi="仿宋" w:eastAsia="仿宋" w:cs="仿宋"/>
          <w:color w:val="auto"/>
          <w:sz w:val="24"/>
          <w:szCs w:val="24"/>
          <w:highlight w:val="none"/>
          <w:u w:val="single"/>
          <w:lang w:eastAsia="zh-CN"/>
        </w:rPr>
        <w:t xml:space="preserve">则发包人</w:t>
      </w:r>
      <w:r>
        <w:rPr>
          <w:rFonts w:hint="eastAsia" w:ascii="仿宋" w:hAnsi="仿宋" w:eastAsia="仿宋" w:cs="仿宋"/>
          <w:color w:val="auto"/>
          <w:sz w:val="24"/>
          <w:szCs w:val="24"/>
          <w:highlight w:val="none"/>
          <w:u w:val="single"/>
        </w:rPr>
        <w:t xml:space="preserve">将处罚承包人1万元/次，停止支付工程款，并追究其法律责任，直至承包人向发包人保证此类事件不再发生。</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21.12甲乙双方管理人员以及相关其他人员在工程施工期间必须严格遵守廉洁从业规定。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a</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宴请或以其它方式提供消费的，按5,000元/次 。</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b</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所送礼品、现金、有价证券等，价值在5,000元以下的，按50,000元/次 。</w:t>
      </w:r>
      <w:r/>
    </w:p>
    <w:p>
      <w:pPr>
        <w:pStyle w:val="990"/>
        <w:ind w:left="0" w:right="0" w:firstLine="48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c</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所送礼品、现金、有价证券等，价值在5,000元以上的，按标段总造价的5%/次 。</w:t>
      </w:r>
      <w:r/>
    </w:p>
    <w:p>
      <w:pPr>
        <w:pStyle w:val="990"/>
        <w:ind w:left="0" w:right="0" w:firstLine="420"/>
        <w:jc w:val="both"/>
        <w:spacing w:after="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21.13因环保等扬尘管控不到位被相关部门查处一次处3000元/次罚款，现场检查发现一处环保等扬尘管控不到位问题罚款500元/处。</w:t>
      </w:r>
      <w:r/>
    </w:p>
    <w:p>
      <w:pPr>
        <w:ind w:firstLine="485"/>
        <w:spacing w:line="360" w:lineRule="auto"/>
        <w:rPr>
          <w:rFonts w:hint="eastAsia" w:ascii="仿宋" w:hAnsi="仿宋" w:eastAsia="仿宋" w:cs="仿宋"/>
          <w:color w:val="auto"/>
          <w:spacing w:val="-2"/>
          <w:sz w:val="24"/>
          <w:szCs w:val="24"/>
          <w:highlight w:val="none"/>
          <w:u w:val="single"/>
        </w:rPr>
      </w:pPr>
      <w:r>
        <w:rPr>
          <w:rFonts w:hint="eastAsia" w:ascii="仿宋" w:hAnsi="仿宋" w:eastAsia="仿宋" w:cs="仿宋"/>
          <w:color w:val="auto"/>
          <w:sz w:val="24"/>
          <w:szCs w:val="24"/>
          <w:highlight w:val="none"/>
          <w:u w:val="single"/>
        </w:rPr>
        <w:t xml:space="preserve">21.14包括但不限于自来水开口费、管线测绘及视频检测费用、交通监控（含信号灯）及路灯的并网接入费用、路口开口搭接、过河、涉路、涉铁、涉高速安评等相关费用以及其他外部协调等费用已含工程报价中，投标人自行考虑。</w:t>
      </w:r>
      <w:r/>
    </w:p>
    <w:p>
      <w:pPr>
        <w:spacing w:line="4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附件</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协议书附件：</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附件1：承包人承揽工程项目一览表</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专用合同条款附件：</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附件2：发包人供应材料设备一览表</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附件3：工程质量保修书</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附件4：主要建设工程文件目录</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附件5：承包人用于本工程施工的机械设备表</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附件6：承包人主要施工管理人员表</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附件7：分包人主要施工管理人员表</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附件8：履约担保格式</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附件9：预付款担保格式</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附件10：支付担保格式</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附件11：暂估价一览表</w:t>
      </w:r>
      <w:r/>
    </w:p>
    <w:p>
      <w:pPr>
        <w:spacing w:line="400" w:lineRule="exact"/>
        <w:rPr>
          <w:color w:val="auto"/>
          <w:highlight w:val="none"/>
        </w:rPr>
      </w:pPr>
      <w:r>
        <w:rPr>
          <w:color w:val="auto"/>
          <w:highlight w:val="none"/>
        </w:rPr>
      </w:r>
      <w:r/>
    </w:p>
    <w:p>
      <w:pPr>
        <w:spacing w:line="400" w:lineRule="exact"/>
        <w:rPr>
          <w:color w:val="auto"/>
          <w:highlight w:val="none"/>
        </w:rPr>
        <w:sectPr>
          <w:footerReference w:type="default" r:id="rId19"/>
          <w:footerReference w:type="first" r:id="rId20"/>
          <w:footnotePr/>
          <w:endnotePr/>
          <w:type w:val="nextPage"/>
          <w:pgSz w:w="11906" w:h="16838" w:orient="portrait"/>
          <w:pgMar w:top="1418" w:right="1555" w:bottom="1418" w:left="1531" w:header="851" w:footer="992" w:gutter="0"/>
          <w:cols w:num="1" w:sep="0" w:space="720" w:equalWidth="1"/>
          <w:docGrid w:linePitch="360"/>
          <w:titlePg/>
        </w:sectPr>
      </w:pPr>
      <w:r>
        <w:rPr>
          <w:color w:val="auto"/>
          <w:highlight w:val="none"/>
        </w:rPr>
      </w:r>
      <w:r/>
    </w:p>
    <w:p>
      <w:pPr>
        <w:spacing w:before="156" w:after="156"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附件1：</w:t>
      </w:r>
      <w:r/>
    </w:p>
    <w:p>
      <w:pPr>
        <w:jc w:val="center"/>
        <w:spacing w:before="156" w:after="156"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承包人承揽工程项目一览表</w:t>
      </w:r>
      <w:r/>
    </w:p>
    <w:tbl>
      <w:tblPr>
        <w:tblStyle w:val="985"/>
        <w:tblW w:w="0" w:type="auto"/>
        <w:tblInd w:w="-469"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79"/>
        <w:gridCol w:w="816"/>
        <w:gridCol w:w="1582"/>
        <w:gridCol w:w="816"/>
        <w:gridCol w:w="553"/>
        <w:gridCol w:w="816"/>
        <w:gridCol w:w="1080"/>
        <w:gridCol w:w="1429"/>
        <w:gridCol w:w="817"/>
        <w:gridCol w:w="817"/>
      </w:tblGrid>
      <w:tr>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单位工程名称</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建设规模</w:t>
            </w:r>
            <w:r/>
          </w:p>
        </w:tc>
        <w:tc>
          <w:tcPr>
            <w:tcW w:w="0" w:type="auto"/>
            <w:vAlign w:val="center"/>
            <w:textDirection w:val="lrTb"/>
            <w:noWrap w:val="false"/>
          </w:tcPr>
          <w:p>
            <w:pPr>
              <w:pStyle w:val="990"/>
              <w:ind w:left="63" w:right="63"/>
              <w:keepNext/>
              <w:spacing w:line="44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建筑面积</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平方米</w:t>
            </w:r>
            <w:r>
              <w:rPr>
                <w:rFonts w:hint="eastAsia" w:ascii="仿宋" w:hAnsi="仿宋" w:eastAsia="仿宋" w:cs="仿宋"/>
                <w:color w:val="auto"/>
                <w:sz w:val="24"/>
                <w:highlight w:val="none"/>
                <w:lang w:eastAsia="zh-CN"/>
              </w:rPr>
              <w:t xml:space="preserve">）</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结构形式</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层数</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生产能力</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设备安装内容</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合同价格（元）</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开工日期</w:t>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竣工日期</w:t>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67"/>
        </w:trPr>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0" w:type="auto"/>
            <w:vAlign w:val="center"/>
            <w:textDirection w:val="lrTb"/>
            <w:noWrap w:val="false"/>
          </w:tcPr>
          <w:p>
            <w:pPr>
              <w:pStyle w:val="990"/>
              <w:ind w:left="63" w:right="63"/>
              <w:keepNext/>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color w:val="auto"/>
          <w:sz w:val="24"/>
          <w:highlight w:val="none"/>
        </w:rPr>
        <w:t xml:space="preserve">附</w:t>
      </w:r>
      <w:bookmarkStart w:id="433" w:name="_Toc296891265"/>
      <w:r/>
      <w:bookmarkStart w:id="434" w:name="_Toc296503225"/>
      <w:r/>
      <w:bookmarkStart w:id="435" w:name="_Toc296944564"/>
      <w:r/>
      <w:bookmarkStart w:id="436" w:name="_Toc296346726"/>
      <w:r/>
      <w:bookmarkStart w:id="437" w:name="_Toc296347224"/>
      <w:r/>
      <w:bookmarkStart w:id="438" w:name="_Toc296891053"/>
      <w:r/>
      <w:bookmarkStart w:id="439" w:name="_Toc267261692"/>
      <w:r>
        <w:rPr>
          <w:rFonts w:hint="eastAsia" w:ascii="仿宋" w:hAnsi="仿宋" w:eastAsia="仿宋" w:cs="仿宋"/>
          <w:color w:val="auto"/>
          <w:sz w:val="24"/>
          <w:highlight w:val="none"/>
        </w:rPr>
        <w:t xml:space="preserve">件2：</w:t>
      </w:r>
      <w:bookmarkEnd w:id="433"/>
      <w:r/>
      <w:bookmarkEnd w:id="434"/>
      <w:r/>
      <w:bookmarkEnd w:id="435"/>
      <w:r/>
      <w:bookmarkEnd w:id="436"/>
      <w:r/>
      <w:bookmarkEnd w:id="437"/>
      <w:r/>
      <w:bookmarkEnd w:id="438"/>
      <w:r/>
      <w:bookmarkEnd w:id="439"/>
      <w:r/>
      <w:r/>
    </w:p>
    <w:p>
      <w:pPr>
        <w:jc w:val="center"/>
        <w:spacing w:before="156" w:after="156"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发包人供应材料设备一览表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45"/>
        <w:gridCol w:w="1276"/>
        <w:gridCol w:w="1418"/>
        <w:gridCol w:w="940"/>
        <w:gridCol w:w="851"/>
        <w:gridCol w:w="1044"/>
        <w:gridCol w:w="992"/>
        <w:gridCol w:w="851"/>
        <w:gridCol w:w="1487"/>
        <w:gridCol w:w="798"/>
      </w:tblGrid>
      <w:tr>
        <w:trPr>
          <w:jc w:val="center"/>
          <w:trHeight w:val="95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材料、设备品种</w:t>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规格型号</w:t>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单价（元）</w:t>
            </w:r>
            <w:r/>
          </w:p>
        </w:tc>
        <w:tc>
          <w:tcPr>
            <w:tcW w:w="992" w:type="dxa"/>
            <w:vAlign w:val="center"/>
            <w:textDirection w:val="lrTb"/>
            <w:noWrap w:val="false"/>
          </w:tcPr>
          <w:p>
            <w:pPr>
              <w:pStyle w:val="990"/>
              <w:ind w:left="63" w:right="63"/>
              <w:keepNex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w:t>
            </w:r>
            <w:r/>
          </w:p>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等级</w:t>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供应时间</w:t>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送达地点</w:t>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pStyle w:val="990"/>
              <w:ind w:left="63" w:right="63"/>
              <w:keepNex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567"/>
        </w:trPr>
        <w:tc>
          <w:tcPr>
            <w:tcW w:w="745"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276"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1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40"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044"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992"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851"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1487"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W w:w="798" w:type="dxa"/>
            <w:vAlign w:val="center"/>
            <w:textDirection w:val="lrTb"/>
            <w:noWrap w:val="false"/>
          </w:tcPr>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bl>
    <w:p>
      <w:pPr>
        <w:pStyle w:val="990"/>
        <w:ind w:left="63" w:right="63"/>
        <w:rPr>
          <w:rFonts w:ascii="仿宋" w:hAnsi="仿宋" w:eastAsia="仿宋" w:cs="仿宋"/>
          <w:color w:val="auto"/>
          <w:highlight w:val="none"/>
        </w:rPr>
      </w:pPr>
      <w:r>
        <w:rPr>
          <w:rFonts w:ascii="仿宋" w:hAnsi="仿宋" w:eastAsia="仿宋" w:cs="仿宋"/>
          <w:color w:val="auto"/>
          <w:highlight w:val="none"/>
        </w:rPr>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color w:val="auto"/>
          <w:sz w:val="24"/>
          <w:highlight w:val="none"/>
        </w:rPr>
        <w:t xml:space="preserve">附</w:t>
      </w:r>
      <w:bookmarkStart w:id="440" w:name="_Toc267261693"/>
      <w:r/>
      <w:bookmarkStart w:id="441" w:name="_Toc296503226"/>
      <w:r/>
      <w:bookmarkStart w:id="442" w:name="_Toc296346727"/>
      <w:r/>
      <w:bookmarkStart w:id="443" w:name="_Toc296891054"/>
      <w:r/>
      <w:bookmarkStart w:id="444" w:name="_Toc296944565"/>
      <w:r/>
      <w:bookmarkStart w:id="445" w:name="_Toc296891266"/>
      <w:r/>
      <w:bookmarkStart w:id="446" w:name="_Toc296347225"/>
      <w:r>
        <w:rPr>
          <w:rFonts w:hint="eastAsia" w:ascii="仿宋" w:hAnsi="仿宋" w:eastAsia="仿宋" w:cs="仿宋"/>
          <w:color w:val="auto"/>
          <w:sz w:val="24"/>
          <w:highlight w:val="none"/>
        </w:rPr>
        <w:t xml:space="preserve">件3：</w:t>
      </w:r>
      <w:bookmarkEnd w:id="440"/>
      <w:r/>
      <w:bookmarkEnd w:id="441"/>
      <w:r/>
      <w:bookmarkEnd w:id="442"/>
      <w:r/>
      <w:bookmarkEnd w:id="443"/>
      <w:r/>
      <w:bookmarkEnd w:id="444"/>
      <w:r/>
      <w:bookmarkEnd w:id="445"/>
      <w:r/>
      <w:bookmarkEnd w:id="446"/>
      <w:r/>
      <w:r/>
    </w:p>
    <w:p>
      <w:pPr>
        <w:jc w:val="center"/>
        <w:spacing w:line="400" w:lineRule="exact"/>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工程质量保修书</w:t>
      </w:r>
      <w:r/>
    </w:p>
    <w:p>
      <w:pPr>
        <w:ind w:firstLine="40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发包人（全称）：</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承包人（全称）：</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发包人和承包人根据《中华人民共和国建筑法》和《建设工程质量管理条例》，经协商一致就 </w:t>
      </w:r>
      <w:r>
        <w:rPr>
          <w:rFonts w:hint="eastAsia" w:ascii="仿宋" w:hAnsi="仿宋" w:eastAsia="仿宋" w:cs="仿宋"/>
          <w:bCs/>
          <w:color w:val="auto"/>
          <w:sz w:val="24"/>
          <w:highlight w:val="none"/>
        </w:rPr>
        <w:t xml:space="preserve">（工程全称）</w:t>
      </w:r>
      <w:r>
        <w:rPr>
          <w:rFonts w:hint="eastAsia" w:ascii="仿宋" w:hAnsi="仿宋" w:eastAsia="仿宋" w:cs="仿宋"/>
          <w:color w:val="auto"/>
          <w:sz w:val="24"/>
          <w:highlight w:val="none"/>
        </w:rPr>
        <w:t xml:space="preserve">签订工程质量保修书。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一、工程质量保修范围和内容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承包人在质量保修期内，按照有关法律规定和合同约定，承担工程质量保修责任。</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auto"/>
          <w:sz w:val="24"/>
          <w:highlight w:val="none"/>
          <w:u w:val="single"/>
        </w:rPr>
        <w:t xml:space="preserve">由承包人承担施工的全部工程内容。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二、质量保修期</w:t>
      </w:r>
      <w:r/>
    </w:p>
    <w:p>
      <w:pPr>
        <w:ind w:firstLine="40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根据《建设工程质量管理条例》及有关规定，工程的质量保修期如下：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1．地基基础工程和主体结构工程为设计文件规定的工程合理使用年限；</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2．屋面防水工程、有防水要求的卫生间、房间和外墙面的防渗为 5 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3．装修工程为 2年；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4．电气管线、给排水管道、设备安装工程为2 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5．供热与供冷系统为个采暖期、供冷期；</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6、室外的给排水设施和小区道路等水利水电工程为2年；</w:t>
      </w:r>
      <w:r>
        <w:rPr>
          <w:rFonts w:hint="eastAsia" w:ascii="仿宋" w:hAnsi="仿宋" w:eastAsia="仿宋" w:cs="仿宋"/>
          <w:color w:val="auto"/>
          <w:sz w:val="24"/>
          <w:highlight w:val="none"/>
        </w:rPr>
        <w:tab/>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7．给排水设施、道路等配套工程为2 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8．其他项目保修期限约定如下：</w:t>
      </w:r>
      <w:r>
        <w:rPr>
          <w:rFonts w:hint="eastAsia" w:ascii="仿宋" w:hAnsi="仿宋" w:eastAsia="仿宋" w:cs="仿宋"/>
          <w:color w:val="auto"/>
          <w:sz w:val="24"/>
          <w:highlight w:val="none"/>
          <w:u w:val="single"/>
        </w:rPr>
        <w:t xml:space="preserve">质保期为 </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u w:val="single"/>
        </w:rPr>
        <w:t xml:space="preserve"> 年</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本工程的质量保修期自竣工验收合格后，办理交付使用之日起计算。</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三、缺陷责任期</w:t>
      </w:r>
      <w:r/>
    </w:p>
    <w:p>
      <w:pPr>
        <w:ind w:firstLine="40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工程缺陷责任期为</w:t>
      </w:r>
      <w:r>
        <w:rPr>
          <w:rFonts w:hint="eastAsia" w:ascii="仿宋" w:hAnsi="仿宋" w:eastAsia="仿宋" w:cs="仿宋"/>
          <w:color w:val="auto"/>
          <w:sz w:val="24"/>
          <w:highlight w:val="none"/>
          <w:u w:val="single"/>
        </w:rPr>
        <w:t xml:space="preserve"> 24 </w:t>
      </w:r>
      <w:r>
        <w:rPr>
          <w:rFonts w:hint="eastAsia" w:ascii="仿宋" w:hAnsi="仿宋" w:eastAsia="仿宋" w:cs="仿宋"/>
          <w:color w:val="auto"/>
          <w:sz w:val="24"/>
          <w:highlight w:val="none"/>
        </w:rPr>
        <w:t xml:space="preserve">个月，缺陷责任期自工程通过竣工验收之日起计算。</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四、质量保修责任</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1．属于保修范围、内容的项目，承包人应当在接到保修通知之日起7日内派人保修。承包人不在约定期限内派人保修的，发包人可以委托他人修理。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2．发生紧急事故需抢修的，承包人在接到事故通知后，应当立即到达事故现场抢修。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4.在工程质量保修期内，未能在合理期限对工程质量问题进行修复，或拒绝按要求进行修复的，承包人应向发包人支付修复工程支出的实际金额。</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5.质量保修完成后，由发包人组织验收。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五、保修费用</w:t>
      </w:r>
      <w:r/>
    </w:p>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保修费用由造成质量缺陷的责任方承担。</w:t>
      </w:r>
      <w:r/>
    </w:p>
    <w:p>
      <w:pPr>
        <w:ind w:firstLine="482"/>
        <w:spacing w:line="360" w:lineRule="auto"/>
        <w:rPr>
          <w:rFonts w:ascii="仿宋" w:hAnsi="仿宋" w:eastAsia="仿宋" w:cs="仿宋"/>
          <w:color w:val="auto"/>
          <w:sz w:val="24"/>
          <w:highlight w:val="none"/>
        </w:rPr>
      </w:pPr>
      <w:r>
        <w:rPr>
          <w:rFonts w:hint="eastAsia" w:ascii="仿宋" w:hAnsi="仿宋" w:eastAsia="仿宋" w:cs="仿宋"/>
          <w:b/>
          <w:color w:val="auto"/>
          <w:sz w:val="24"/>
          <w:highlight w:val="none"/>
        </w:rPr>
        <w:t xml:space="preserve">六</w:t>
      </w:r>
      <w:r>
        <w:rPr>
          <w:rFonts w:hint="eastAsia" w:ascii="仿宋" w:hAnsi="仿宋" w:eastAsia="仿宋" w:cs="仿宋"/>
          <w:color w:val="auto"/>
          <w:sz w:val="24"/>
          <w:highlight w:val="none"/>
        </w:rPr>
        <w:t xml:space="preserve">、双方约定的其他工程质量保修事项：。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工程质量保修书由发包人、承包人在工程竣工验收前共同签署，作为施工合同附件，其有效期限至保修期满。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本工程质量保修书未尽事项执行承包人响应文件中质量服务承诺相关条款。</w:t>
      </w:r>
      <w:r/>
    </w:p>
    <w:p>
      <w:pPr>
        <w:pStyle w:val="990"/>
        <w:ind w:left="63" w:right="63"/>
        <w:spacing w:after="0" w:line="360" w:lineRule="auto"/>
        <w:rPr>
          <w:rFonts w:ascii="仿宋" w:hAnsi="仿宋" w:eastAsia="仿宋" w:cs="仿宋"/>
          <w:color w:val="auto"/>
          <w:highlight w:val="none"/>
        </w:rPr>
      </w:pPr>
      <w:r>
        <w:rPr>
          <w:rFonts w:ascii="仿宋" w:hAnsi="仿宋" w:eastAsia="仿宋" w:cs="仿宋"/>
          <w:color w:val="auto"/>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公章</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承包人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公章</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Style w:val="1020"/>
          <w:rFonts w:hint="eastAsia" w:ascii="仿宋" w:hAnsi="仿宋" w:eastAsia="仿宋" w:cs="仿宋"/>
          <w:color w:val="auto"/>
          <w:sz w:val="24"/>
          <w:highlight w:val="none"/>
        </w:rPr>
        <w:t xml:space="preserve">  地址：</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法定代表人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委托代理人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委托代理人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电话：</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传真：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传真：</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开户银行：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开户银行：</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账号：</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邮政编码：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邮政编码：</w:t>
      </w:r>
      <w:r>
        <w:rPr>
          <w:rFonts w:hint="eastAsia" w:ascii="仿宋" w:hAnsi="仿宋" w:eastAsia="仿宋" w:cs="仿宋"/>
          <w:color w:val="auto"/>
          <w:sz w:val="24"/>
          <w:highlight w:val="none"/>
          <w:u w:val="single"/>
        </w:rPr>
        <w:t xml:space="preserve">                 </w:t>
      </w:r>
      <w:r/>
    </w:p>
    <w:p>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color w:val="auto"/>
          <w:sz w:val="24"/>
          <w:highlight w:val="none"/>
        </w:rPr>
        <w:t xml:space="preserve">附件4：</w:t>
      </w:r>
      <w:r/>
    </w:p>
    <w:p>
      <w:pPr>
        <w:jc w:val="center"/>
        <w:spacing w:before="120" w:after="120"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主要建设工程文件目录</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文件名称</w:t>
            </w:r>
            <w:r/>
          </w:p>
        </w:tc>
        <w:tc>
          <w:tcPr>
            <w:tcW w:w="1276"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套数</w:t>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费用（元）</w:t>
            </w:r>
            <w:r/>
          </w:p>
        </w:tc>
        <w:tc>
          <w:tcPr>
            <w:tcW w:w="1243"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质量</w:t>
            </w:r>
            <w:r/>
          </w:p>
        </w:tc>
        <w:tc>
          <w:tcPr>
            <w:tcW w:w="1450" w:type="dxa"/>
            <w:vAlign w:val="top"/>
            <w:textDirection w:val="lrTb"/>
            <w:noWrap w:val="false"/>
          </w:tcPr>
          <w:p>
            <w:pPr>
              <w:jc w:val="center"/>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移交时间</w:t>
            </w:r>
            <w:r/>
          </w:p>
        </w:tc>
        <w:tc>
          <w:tcPr>
            <w:tcW w:w="1667" w:type="dxa"/>
            <w:vAlign w:val="top"/>
            <w:textDirection w:val="lrTb"/>
            <w:noWrap w:val="false"/>
          </w:tcPr>
          <w:p>
            <w:pPr>
              <w:jc w:val="center"/>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责任人</w:t>
            </w:r>
            <w:r/>
          </w:p>
        </w:tc>
      </w:tr>
      <w:tr>
        <w:trPr>
          <w:jc w:val="center"/>
          <w:trHeight w:val="567"/>
        </w:trPr>
        <w:tc>
          <w:tcPr>
            <w:tcW w:w="1953"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276"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243"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667"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276"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243"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667"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276"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243"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667"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276"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243"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667"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276"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243"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667"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95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76"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243"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667"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bl>
    <w:p>
      <w:pPr>
        <w:pStyle w:val="990"/>
        <w:ind w:left="63" w:right="63"/>
        <w:rPr>
          <w:rFonts w:ascii="仿宋" w:hAnsi="仿宋" w:eastAsia="仿宋" w:cs="仿宋"/>
          <w:color w:val="auto"/>
          <w:highlight w:val="none"/>
        </w:rPr>
      </w:pPr>
      <w:r>
        <w:rPr>
          <w:rFonts w:ascii="仿宋" w:hAnsi="仿宋" w:eastAsia="仿宋" w:cs="仿宋"/>
          <w:color w:val="auto"/>
          <w:highlight w:val="none"/>
        </w:rPr>
      </w:r>
      <w:r/>
    </w:p>
    <w:p>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color w:val="auto"/>
          <w:sz w:val="24"/>
          <w:highlight w:val="none"/>
        </w:rPr>
        <w:t xml:space="preserve">附</w:t>
      </w:r>
      <w:bookmarkStart w:id="447" w:name="_Toc296891055"/>
      <w:r/>
      <w:bookmarkStart w:id="448" w:name="_Toc296346728"/>
      <w:r/>
      <w:bookmarkStart w:id="449" w:name="_Toc296347226"/>
      <w:r/>
      <w:bookmarkStart w:id="450" w:name="_Toc267261698"/>
      <w:r/>
      <w:bookmarkStart w:id="451" w:name="_Toc296891267"/>
      <w:r/>
      <w:bookmarkStart w:id="452" w:name="_Toc296503227"/>
      <w:r/>
      <w:bookmarkStart w:id="453" w:name="_Toc296944566"/>
      <w:r>
        <w:rPr>
          <w:rFonts w:hint="eastAsia" w:ascii="仿宋" w:hAnsi="仿宋" w:eastAsia="仿宋" w:cs="仿宋"/>
          <w:color w:val="auto"/>
          <w:sz w:val="24"/>
          <w:highlight w:val="none"/>
        </w:rPr>
        <w:t xml:space="preserve">件5：</w:t>
      </w:r>
      <w:bookmarkEnd w:id="447"/>
      <w:r/>
      <w:bookmarkEnd w:id="448"/>
      <w:r/>
      <w:bookmarkEnd w:id="449"/>
      <w:r/>
      <w:bookmarkEnd w:id="450"/>
      <w:r/>
      <w:bookmarkEnd w:id="451"/>
      <w:r/>
      <w:bookmarkEnd w:id="452"/>
      <w:r/>
      <w:bookmarkEnd w:id="453"/>
      <w:r/>
      <w:r/>
    </w:p>
    <w:p>
      <w:pPr>
        <w:jc w:val="center"/>
        <w:spacing w:before="120" w:after="120"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承包人用于本工程施工的机械设备表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序号</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机械或设备名称</w:t>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规格型号</w:t>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数量</w:t>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产地</w:t>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制造年份</w:t>
            </w:r>
            <w:r/>
          </w:p>
        </w:tc>
        <w:tc>
          <w:tcPr>
            <w:tcW w:w="1480" w:type="dxa"/>
            <w:vAlign w:val="center"/>
            <w:textDirection w:val="lrTb"/>
            <w:noWrap w:val="false"/>
          </w:tcPr>
          <w:p>
            <w:pPr>
              <w:pStyle w:val="990"/>
              <w:ind w:left="63" w:right="63"/>
              <w:keepNext/>
              <w:spacing w:line="440" w:lineRule="exac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额定功率</w:t>
            </w:r>
            <w:r>
              <w:rPr>
                <w:rFonts w:hint="eastAsia" w:ascii="仿宋" w:hAnsi="仿宋" w:eastAsia="仿宋" w:cs="仿宋"/>
                <w:color w:val="auto"/>
                <w:sz w:val="22"/>
                <w:highlight w:val="none"/>
                <w:lang w:eastAsia="zh-CN"/>
              </w:rPr>
              <w:t xml:space="preserve">（</w:t>
            </w:r>
            <w:r>
              <w:rPr>
                <w:rFonts w:hint="eastAsia" w:ascii="仿宋" w:hAnsi="仿宋" w:eastAsia="仿宋" w:cs="仿宋"/>
                <w:color w:val="auto"/>
                <w:sz w:val="22"/>
                <w:highlight w:val="none"/>
              </w:rPr>
              <w:t xml:space="preserve">kW</w:t>
            </w:r>
            <w:r>
              <w:rPr>
                <w:rFonts w:hint="eastAsia" w:ascii="仿宋" w:hAnsi="仿宋" w:eastAsia="仿宋" w:cs="仿宋"/>
                <w:color w:val="auto"/>
                <w:sz w:val="22"/>
                <w:highlight w:val="none"/>
                <w:lang w:eastAsia="zh-CN"/>
              </w:rPr>
              <w:t xml:space="preserve">）</w:t>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生产能力</w:t>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备注</w:t>
            </w:r>
            <w:r/>
          </w:p>
        </w:tc>
      </w:tr>
      <w:tr>
        <w:trPr>
          <w:jc w:val="center"/>
          <w:trHeight w:val="567"/>
        </w:trPr>
        <w:tc>
          <w:tcPr>
            <w:tcW w:w="116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48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5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58"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8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48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1020"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c>
          <w:tcPr>
            <w:tcW w:w="921" w:type="dxa"/>
            <w:vAlign w:val="center"/>
            <w:textDirection w:val="lrTb"/>
            <w:noWrap w:val="false"/>
          </w:tcPr>
          <w:p>
            <w:pPr>
              <w:pStyle w:val="990"/>
              <w:ind w:left="63" w:right="63"/>
              <w:keepNext/>
              <w:spacing w:line="440" w:lineRule="exact"/>
              <w:rPr>
                <w:rFonts w:ascii="仿宋" w:hAnsi="仿宋" w:eastAsia="仿宋" w:cs="仿宋"/>
                <w:color w:val="auto"/>
                <w:szCs w:val="30"/>
                <w:highlight w:val="none"/>
              </w:rPr>
            </w:pPr>
            <w:r>
              <w:rPr>
                <w:rFonts w:ascii="仿宋" w:hAnsi="仿宋" w:eastAsia="仿宋" w:cs="仿宋"/>
                <w:color w:val="auto"/>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r>
        <w:trPr>
          <w:jc w:val="center"/>
          <w:trHeight w:val="567"/>
        </w:trPr>
        <w:tc>
          <w:tcPr>
            <w:tcW w:w="1162"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1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5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58"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8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48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1020"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c>
          <w:tcPr>
            <w:tcW w:w="921" w:type="dxa"/>
            <w:vAlign w:val="top"/>
            <w:textDirection w:val="lrTb"/>
            <w:noWrap w:val="false"/>
          </w:tcPr>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tc>
      </w:tr>
    </w:tbl>
    <w:p>
      <w:pP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附</w:t>
      </w:r>
      <w:bookmarkStart w:id="454" w:name="_Toc296347227"/>
      <w:r/>
      <w:bookmarkStart w:id="455" w:name="_Toc267261699"/>
      <w:r/>
      <w:bookmarkStart w:id="456" w:name="_Toc296503228"/>
      <w:r/>
      <w:bookmarkStart w:id="457" w:name="_Toc296346729"/>
      <w:r/>
      <w:bookmarkStart w:id="458" w:name="_Toc296891056"/>
      <w:r/>
      <w:bookmarkStart w:id="459" w:name="_Toc296944567"/>
      <w:r/>
      <w:bookmarkStart w:id="460" w:name="_Toc296891268"/>
      <w:r>
        <w:rPr>
          <w:rFonts w:hint="eastAsia" w:ascii="仿宋" w:hAnsi="仿宋" w:eastAsia="仿宋" w:cs="仿宋"/>
          <w:color w:val="auto"/>
          <w:sz w:val="28"/>
          <w:szCs w:val="28"/>
          <w:highlight w:val="none"/>
        </w:rPr>
        <w:t xml:space="preserve">件6：</w:t>
      </w:r>
      <w:bookmarkEnd w:id="454"/>
      <w:r/>
      <w:bookmarkEnd w:id="455"/>
      <w:r/>
      <w:bookmarkEnd w:id="456"/>
      <w:r/>
      <w:bookmarkEnd w:id="457"/>
      <w:r/>
      <w:bookmarkEnd w:id="458"/>
      <w:r/>
      <w:bookmarkEnd w:id="459"/>
      <w:r/>
      <w:bookmarkEnd w:id="460"/>
      <w:r/>
      <w:r/>
    </w:p>
    <w:p>
      <w:pPr>
        <w:jc w:val="center"/>
        <w:spacing w:before="120" w:after="12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承包人主要施工管理人员表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名    称</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姓名</w:t>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hint="eastAsia" w:ascii="仿宋" w:hAnsi="仿宋" w:eastAsia="仿宋" w:cs="仿宋"/>
                <w:color w:val="auto"/>
                <w:szCs w:val="28"/>
                <w:highlight w:val="none"/>
              </w:rPr>
              <w:t xml:space="preserve">职务</w:t>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hint="eastAsia" w:ascii="仿宋" w:hAnsi="仿宋" w:eastAsia="仿宋" w:cs="仿宋"/>
                <w:color w:val="auto"/>
                <w:szCs w:val="28"/>
                <w:highlight w:val="none"/>
              </w:rPr>
              <w:t xml:space="preserve">职称</w:t>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hint="eastAsia" w:ascii="仿宋" w:hAnsi="仿宋" w:eastAsia="仿宋" w:cs="仿宋"/>
                <w:color w:val="auto"/>
                <w:szCs w:val="28"/>
                <w:highlight w:val="none"/>
              </w:rPr>
              <w:t xml:space="preserve">主要资历、经验及承担过的项目</w:t>
            </w:r>
            <w:r/>
          </w:p>
        </w:tc>
      </w:tr>
      <w:tr>
        <w:trPr>
          <w:jc w:val="center"/>
        </w:trPr>
        <w:tc>
          <w:tcPr>
            <w:gridSpan w:val="5"/>
            <w:tcW w:w="9809"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一、总部人员</w:t>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项目主管</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其他人员</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gridSpan w:val="5"/>
            <w:tcW w:w="9809"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二、现场人员</w:t>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项目经理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项目副经理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技术负责人</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造价管理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质量管理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材料管理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施工管理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安全管理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vMerge w:val="restart"/>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其他人员</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4"/>
                <w:szCs w:val="28"/>
                <w:highlight w:val="none"/>
              </w:rPr>
            </w:pPr>
            <w:r>
              <w:rPr>
                <w:rFonts w:ascii="仿宋" w:hAnsi="仿宋" w:eastAsia="仿宋" w:cs="仿宋"/>
                <w:color w:val="auto"/>
                <w:sz w:val="24"/>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Cs w:val="28"/>
                <w:highlight w:val="none"/>
              </w:rPr>
            </w:pPr>
            <w:r>
              <w:rPr>
                <w:rFonts w:ascii="仿宋" w:hAnsi="仿宋" w:eastAsia="仿宋" w:cs="仿宋"/>
                <w:color w:val="auto"/>
                <w:szCs w:val="28"/>
                <w:highlight w:val="none"/>
              </w:rPr>
            </w:r>
            <w:r/>
          </w:p>
        </w:tc>
      </w:tr>
    </w:tbl>
    <w:p>
      <w:pPr>
        <w:pStyle w:val="990"/>
        <w:ind w:left="63" w:right="63"/>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990"/>
        <w:ind w:left="63" w:right="63"/>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附</w:t>
      </w:r>
      <w:bookmarkStart w:id="461" w:name="_Toc296891269"/>
      <w:r/>
      <w:bookmarkStart w:id="462" w:name="_Toc296944568"/>
      <w:r/>
      <w:bookmarkStart w:id="463" w:name="_Toc296503229"/>
      <w:r/>
      <w:bookmarkStart w:id="464" w:name="_Toc296891057"/>
      <w:r/>
      <w:bookmarkStart w:id="465" w:name="_Toc296347228"/>
      <w:r/>
      <w:bookmarkStart w:id="466" w:name="_Toc296346730"/>
      <w:r>
        <w:rPr>
          <w:rFonts w:hint="eastAsia" w:ascii="仿宋" w:hAnsi="仿宋" w:eastAsia="仿宋" w:cs="仿宋"/>
          <w:color w:val="auto"/>
          <w:sz w:val="28"/>
          <w:szCs w:val="28"/>
          <w:highlight w:val="none"/>
        </w:rPr>
        <w:t xml:space="preserve">件7：</w:t>
      </w:r>
      <w:bookmarkEnd w:id="461"/>
      <w:r/>
      <w:bookmarkEnd w:id="462"/>
      <w:r/>
      <w:bookmarkEnd w:id="463"/>
      <w:r/>
      <w:bookmarkEnd w:id="464"/>
      <w:r/>
      <w:bookmarkEnd w:id="465"/>
      <w:r/>
      <w:bookmarkEnd w:id="466"/>
      <w:r/>
      <w:r/>
    </w:p>
    <w:p>
      <w:pPr>
        <w:jc w:val="center"/>
        <w:spacing w:before="120" w:after="120"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分包人主要施工管理人员表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名    称</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姓名</w:t>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hint="eastAsia" w:ascii="仿宋" w:hAnsi="仿宋" w:eastAsia="仿宋" w:cs="仿宋"/>
                <w:color w:val="auto"/>
                <w:sz w:val="18"/>
                <w:highlight w:val="none"/>
              </w:rPr>
              <w:t xml:space="preserve">职务</w:t>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hint="eastAsia" w:ascii="仿宋" w:hAnsi="仿宋" w:eastAsia="仿宋" w:cs="仿宋"/>
                <w:color w:val="auto"/>
                <w:sz w:val="18"/>
                <w:highlight w:val="none"/>
              </w:rPr>
              <w:t xml:space="preserve">职称</w:t>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hint="eastAsia" w:ascii="仿宋" w:hAnsi="仿宋" w:eastAsia="仿宋" w:cs="仿宋"/>
                <w:color w:val="auto"/>
                <w:sz w:val="18"/>
                <w:highlight w:val="none"/>
              </w:rPr>
              <w:t xml:space="preserve">主要资历、经验及承担过的项目</w:t>
            </w:r>
            <w:r/>
          </w:p>
        </w:tc>
      </w:tr>
      <w:tr>
        <w:trPr>
          <w:jc w:val="center"/>
        </w:trPr>
        <w:tc>
          <w:tcPr>
            <w:gridSpan w:val="5"/>
            <w:tcW w:w="9809"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一、总部人员</w:t>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项目主管</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其他人员</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gridSpan w:val="5"/>
            <w:tcW w:w="9809"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二、现场人员</w:t>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项目经理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项目副经理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技术负责人</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造价管理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质量管理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材料管理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施工管理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安全管理</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vMerge w:val="restart"/>
            <w:textDirection w:val="lrTb"/>
            <w:noWrap w:val="false"/>
          </w:tcPr>
          <w:p>
            <w:pPr>
              <w:pStyle w:val="990"/>
              <w:ind w:left="63" w:right="63"/>
              <w:keepNext/>
              <w:spacing w:line="44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其他人员</w:t>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418" w:type="dxa"/>
            <w:vAlign w:val="center"/>
            <w:textDirection w:val="lrTb"/>
            <w:noWrap w:val="false"/>
          </w:tcPr>
          <w:p>
            <w:pPr>
              <w:pStyle w:val="990"/>
              <w:ind w:left="63" w:right="63"/>
              <w:keepNext/>
              <w:spacing w:line="440" w:lineRule="exact"/>
              <w:rPr>
                <w:rFonts w:ascii="仿宋" w:hAnsi="仿宋" w:eastAsia="仿宋" w:cs="仿宋"/>
                <w:color w:val="auto"/>
                <w:sz w:val="22"/>
                <w:highlight w:val="none"/>
              </w:rPr>
            </w:pPr>
            <w:r>
              <w:rPr>
                <w:rFonts w:ascii="仿宋" w:hAnsi="仿宋" w:eastAsia="仿宋" w:cs="仿宋"/>
                <w:color w:val="auto"/>
                <w:sz w:val="22"/>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1134"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c>
          <w:tcPr>
            <w:tcW w:w="4252" w:type="dxa"/>
            <w:vAlign w:val="center"/>
            <w:textDirection w:val="lrTb"/>
            <w:noWrap w:val="false"/>
          </w:tcPr>
          <w:p>
            <w:pPr>
              <w:pStyle w:val="990"/>
              <w:ind w:left="63" w:right="63"/>
              <w:keepNext/>
              <w:spacing w:line="440" w:lineRule="exact"/>
              <w:rPr>
                <w:rFonts w:ascii="仿宋" w:hAnsi="仿宋" w:eastAsia="仿宋" w:cs="仿宋"/>
                <w:color w:val="auto"/>
                <w:sz w:val="18"/>
                <w:highlight w:val="none"/>
              </w:rPr>
            </w:pPr>
            <w:r>
              <w:rPr>
                <w:rFonts w:ascii="仿宋" w:hAnsi="仿宋" w:eastAsia="仿宋" w:cs="仿宋"/>
                <w:color w:val="auto"/>
                <w:sz w:val="18"/>
                <w:highlight w:val="none"/>
              </w:rPr>
            </w:r>
            <w:r/>
          </w:p>
        </w:tc>
      </w:tr>
    </w:tbl>
    <w:p>
      <w:pPr>
        <w:spacing w:line="440" w:lineRule="exact"/>
        <w:rPr>
          <w:rFonts w:hint="eastAsia" w:ascii="仿宋" w:hAnsi="仿宋" w:eastAsia="仿宋" w:cs="仿宋"/>
          <w:color w:val="auto"/>
          <w:sz w:val="24"/>
          <w:highlight w:val="none"/>
        </w:rPr>
      </w:pPr>
      <w:r/>
      <w:bookmarkStart w:id="467" w:name="_Toc267261701"/>
      <w:r/>
      <w:r/>
    </w:p>
    <w:p>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color w:val="auto"/>
          <w:sz w:val="24"/>
          <w:highlight w:val="none"/>
        </w:rPr>
        <w:t xml:space="preserve">附</w:t>
      </w:r>
      <w:bookmarkStart w:id="468" w:name="_Toc296891271"/>
      <w:r/>
      <w:bookmarkStart w:id="469" w:name="_Toc296503231"/>
      <w:r/>
      <w:bookmarkStart w:id="470" w:name="_Toc296944570"/>
      <w:r/>
      <w:bookmarkStart w:id="471" w:name="_Toc296346732"/>
      <w:r/>
      <w:bookmarkStart w:id="472" w:name="_Toc296347230"/>
      <w:r/>
      <w:bookmarkStart w:id="473" w:name="_Toc296891059"/>
      <w:r>
        <w:rPr>
          <w:rFonts w:hint="eastAsia" w:ascii="仿宋" w:hAnsi="仿宋" w:eastAsia="仿宋" w:cs="仿宋"/>
          <w:color w:val="auto"/>
          <w:sz w:val="24"/>
          <w:highlight w:val="none"/>
        </w:rPr>
        <w:t xml:space="preserve">件8：</w:t>
      </w:r>
      <w:bookmarkEnd w:id="467"/>
      <w:r/>
      <w:bookmarkEnd w:id="468"/>
      <w:r/>
      <w:bookmarkEnd w:id="469"/>
      <w:r/>
      <w:bookmarkEnd w:id="470"/>
      <w:r/>
      <w:bookmarkEnd w:id="471"/>
      <w:r/>
      <w:bookmarkEnd w:id="472"/>
      <w:r/>
      <w:bookmarkEnd w:id="473"/>
      <w:r/>
      <w:r/>
    </w:p>
    <w:p>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履约担保</w:t>
      </w:r>
      <w:r/>
    </w:p>
    <w:p>
      <w:pPr>
        <w:rPr>
          <w:rFonts w:ascii="仿宋" w:hAnsi="仿宋" w:eastAsia="仿宋" w:cs="仿宋"/>
          <w:color w:val="auto"/>
          <w:sz w:val="24"/>
          <w:highlight w:val="none"/>
        </w:rPr>
      </w:pP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（发包人名称）：</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鉴于（发包人名称，以下简称“发包人”）与</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名称）（以下称“承包人”）于年月日就（工程名称）施工及有关事项协商一致共同签订《建设工程施工合同》。我方愿意无条件地、不可撤销地就承包人履行与你方签订的合同，向你方提供连带责任担保。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 担保金额人民币（大写）元（¥）。</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 担保有效期自你方与承包人签订的合同生效之日起至你方签发或应签发工程接收证书之日止。</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 你方和承包人按合同约定变更合同时，我方承担本担保规定的义务不变。</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 因本保函发生的纠纷，可由双方协商解决，协商不成的，任何一方均可提请仲裁委员会仲裁。</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 本保函自我方法定代表人（或其授权代理人）签字并加盖公章之日起生效。</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担 保 人：（盖单位章）</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法定代表人或其委托代理人：（签字）</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邮政编码：</w:t>
      </w:r>
      <w:r/>
    </w:p>
    <w:p>
      <w:pPr>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电    话：</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传    真：</w:t>
      </w:r>
      <w:r/>
    </w:p>
    <w:p>
      <w:pPr>
        <w:spacing w:line="360" w:lineRule="auto"/>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ind w:left="1899" w:hanging="1519"/>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年月日</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附</w:t>
      </w:r>
      <w:bookmarkStart w:id="474" w:name="_Toc267261702"/>
      <w:r/>
      <w:bookmarkStart w:id="475" w:name="_Toc296346733"/>
      <w:r/>
      <w:bookmarkStart w:id="476" w:name="_Toc296891272"/>
      <w:r/>
      <w:bookmarkStart w:id="477" w:name="_Toc296891060"/>
      <w:r/>
      <w:bookmarkStart w:id="478" w:name="_Toc296503232"/>
      <w:r/>
      <w:bookmarkStart w:id="479" w:name="_Toc296944571"/>
      <w:r/>
      <w:bookmarkStart w:id="480" w:name="_Toc296347231"/>
      <w:r>
        <w:rPr>
          <w:rFonts w:hint="eastAsia" w:ascii="仿宋" w:hAnsi="仿宋" w:eastAsia="仿宋" w:cs="仿宋"/>
          <w:color w:val="auto"/>
          <w:sz w:val="24"/>
          <w:highlight w:val="none"/>
        </w:rPr>
        <w:t xml:space="preserve">件9 ：</w:t>
      </w:r>
      <w:bookmarkEnd w:id="474"/>
      <w:r/>
      <w:bookmarkEnd w:id="475"/>
      <w:r/>
      <w:bookmarkEnd w:id="476"/>
      <w:r/>
      <w:bookmarkEnd w:id="477"/>
      <w:r/>
      <w:bookmarkEnd w:id="478"/>
      <w:r/>
      <w:bookmarkEnd w:id="479"/>
      <w:r/>
      <w:bookmarkEnd w:id="480"/>
      <w:r/>
      <w:r/>
    </w:p>
    <w:p>
      <w:pPr>
        <w:jc w:val="center"/>
        <w:spacing w:before="120" w:after="12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预付款担保</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 （发包人名称）：</w:t>
      </w:r>
      <w:r/>
    </w:p>
    <w:p>
      <w:pPr>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根据（承包人名称）（以下称“承包人”）与</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（发包人名称）（以下简称“发包人”）</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于年月日签订的（工程名称）《建设工程施工合同》，承包人按约定的金额向你方提交一份预付款担保，即有权得到你方支付相等金额的预付款。我方愿意就你方提供给承包人的预付款为承包人提供连带责任担保。</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担保金额人民币（大写）元（¥）。</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担保有效期自预付款支付给承包人起生效，至你方签发的进度款支付证书说明已完全扣清止。</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 你方和承包人按合同约定变更合同时，我方承担本保函规定的义务不变。</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 因本保函发生的纠纷，可由双方协商解决，协商不成的，任何一方均可提请仲裁委员会仲裁。</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 本保函自我方法定代表人（或其授权代理人）签字并加盖公章之日起生效。</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担保人：（盖单位章）</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法定代表人或其委托代理人：（签字）</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p>
    <w:p>
      <w:pPr>
        <w:spacing w:line="40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邮政编码：</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p>
    <w:p>
      <w:pPr>
        <w:spacing w:line="40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电    话：</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p>
    <w:p>
      <w:pPr>
        <w:spacing w:line="40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传    真：</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p>
    <w:p>
      <w:pPr>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4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年月日</w:t>
      </w:r>
      <w:r/>
    </w:p>
    <w:p>
      <w:pPr>
        <w:rPr>
          <w:rFonts w:ascii="仿宋" w:hAnsi="仿宋" w:eastAsia="仿宋" w:cs="仿宋"/>
          <w:color w:val="auto"/>
          <w:highlight w:val="none"/>
        </w:rPr>
      </w:pPr>
      <w:r>
        <w:rPr>
          <w:rFonts w:hint="eastAsia" w:ascii="仿宋" w:hAnsi="仿宋" w:eastAsia="仿宋" w:cs="仿宋"/>
          <w:b/>
          <w:color w:val="auto"/>
          <w:sz w:val="30"/>
          <w:szCs w:val="30"/>
          <w:highlight w:val="none"/>
        </w:rPr>
        <w:br w:type="page" w:clear="all"/>
      </w:r>
      <w:r/>
    </w:p>
    <w:p>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附</w:t>
      </w:r>
      <w:bookmarkStart w:id="481" w:name="_Toc296891061"/>
      <w:r/>
      <w:bookmarkStart w:id="482" w:name="_Toc296503233"/>
      <w:r/>
      <w:bookmarkStart w:id="483" w:name="_Toc296944572"/>
      <w:r/>
      <w:bookmarkStart w:id="484" w:name="_Toc296346734"/>
      <w:r/>
      <w:bookmarkStart w:id="485" w:name="_Toc296891273"/>
      <w:r/>
      <w:bookmarkStart w:id="486" w:name="_Toc296347232"/>
      <w:r>
        <w:rPr>
          <w:rFonts w:hint="eastAsia" w:ascii="仿宋" w:hAnsi="仿宋" w:eastAsia="仿宋" w:cs="仿宋"/>
          <w:color w:val="auto"/>
          <w:sz w:val="24"/>
          <w:highlight w:val="none"/>
        </w:rPr>
        <w:t xml:space="preserve">件10:  </w:t>
      </w:r>
      <w:bookmarkEnd w:id="481"/>
      <w:r/>
      <w:bookmarkEnd w:id="482"/>
      <w:r/>
      <w:bookmarkEnd w:id="483"/>
      <w:r/>
      <w:bookmarkEnd w:id="484"/>
      <w:r/>
      <w:bookmarkEnd w:id="485"/>
      <w:r/>
      <w:bookmarkEnd w:id="486"/>
      <w:r/>
      <w:r/>
    </w:p>
    <w:p>
      <w:pPr>
        <w:jc w:val="center"/>
        <w:spacing w:before="120" w:after="12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支付担保</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（承包人）：</w:t>
      </w:r>
      <w:r/>
    </w:p>
    <w:p>
      <w:pPr>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一、保证的范围及保证金额</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我方的保证范围是主合同约定的工程款。</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本保函所称主合同约定的工程款是指主合同约定的合同价款。</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我方保证的金额是主合同约定的工程款的%，数额最高不超过人民币元（大写：）。</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二、保证的方式及保证期间</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我方保证的方式为：连带责任保证。</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我方保证的期间为：自本合同生效之日起至主合同约定的工程款支付完毕之日后日内。</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你方与发包人协议变更工程款支付日期的，经我方书面同意后，保证期间按照变更后的支付日期做相应调整。</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三、承担保证责任的形式</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我方承担保证责任的形式是代为支付。发包人未按主合同约定向你方支付工程款的，由我方在保证金额内代为支付。</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四、代偿的安排</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你方要求我方承担保证责任的，应向我方发出书面索赔通知及发包人未支付主合同约定工程款的证明材料。索赔通知应写明要求索赔的金额，支付款项应到达的账号。</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我方收到你方的书面索赔通知及相应的证明材料后７天内无条件支付。</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五、保证责任的解除</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在本保函承诺的保证期间内，你方未书面向我方主张保证责任的，自保证期间届满次日起，我方保证责任解除。</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发包人按主合同约定履行了工程款的全部支付义务的，自本保函承诺的保证期间届满次日起，我方保证责任解除。</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我方按照本保函向你方履行保证责任所支付金额达到本保函保证金额时，自我方向你方支付（支付款项从我方账户划出）之日起，保证责任即解除。</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 按照法律法规的规定或出现应解除我方保证责任的其他情形的，我方在本保函项下的保证责任亦解除。</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 我方解除保证责任后，你方应自我方保证责任解除之日起个工作日内，将本保函原件返还我方。</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六、免责条款</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因你方违约致使发包人不能履行义务的，我方不承担保证责任。</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依照法律法规的规定或你方与发包人的另行约定，免除发包人部分或全部义务的，我方亦免除其相应的保证责任。</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 因不可抗力造成发包人不能履行义务的，我方不承担保证责任。</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七、争议解决</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因本保函或本保函相关事项发生的纠纷，可由双方协商解决，协商不成的，按下列第种方式解决：</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（1）向仲裁委员会申请仲裁；</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（2）向人民法院起诉。</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八、保函的生效</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本保函自我方法定代表人（或其授权代理人）签字并加盖公章之日起生效。</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担保人：（盖章）</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法定代表人或委托代理人：（签字）</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邮政编码：</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传    真：</w:t>
      </w:r>
      <w:r/>
    </w:p>
    <w:p>
      <w:pPr>
        <w:ind w:firstLine="480"/>
        <w:spacing w:line="4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26"/>
        <w:rPr>
          <w:rFonts w:hint="eastAsia"/>
          <w:color w:val="auto"/>
          <w:highlight w:val="none"/>
          <w:lang w:val="en-US" w:eastAsia="zh-CN"/>
        </w:rPr>
      </w:pPr>
      <w:r>
        <w:rPr>
          <w:rFonts w:hint="eastAsia" w:ascii="仿宋" w:hAnsi="仿宋" w:eastAsia="仿宋" w:cs="仿宋"/>
          <w:color w:val="auto"/>
          <w:sz w:val="24"/>
          <w:highlight w:val="none"/>
        </w:rPr>
        <w:t xml:space="preserve">年月日</w:t>
      </w:r>
      <w:r/>
    </w:p>
    <w:p>
      <w:pPr>
        <w:rPr>
          <w:rFonts w:hint="default"/>
          <w:color w:val="auto"/>
          <w:highlight w:val="none"/>
          <w:lang w:val="en-US" w:eastAsia="zh-CN"/>
        </w:rPr>
      </w:pPr>
      <w:r>
        <w:rPr>
          <w:rFonts w:hint="default"/>
          <w:color w:val="auto"/>
          <w:highlight w:val="none"/>
          <w:lang w:val="en-US" w:eastAsia="zh-CN"/>
        </w:rPr>
        <w:br w:type="page" w:clear="all"/>
      </w:r>
      <w:r/>
    </w:p>
    <w:p>
      <w:pPr>
        <w:keepLines w:val="0"/>
        <w:keepNext w:val="0"/>
        <w:pageBreakBefore w:val="0"/>
        <w:spacing w:line="42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24"/>
          <w:szCs w:val="24"/>
          <w:highlight w:val="none"/>
        </w:rPr>
        <w:t xml:space="preserve">附件11：</w:t>
      </w:r>
      <w:r/>
    </w:p>
    <w:p>
      <w:pPr>
        <w:jc w:val="center"/>
        <w:spacing w:before="156" w:after="156" w:line="44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11-1：材料暂估价表</w:t>
      </w:r>
      <w:r/>
    </w:p>
    <w:tbl>
      <w:tblPr>
        <w:tblStyle w:val="98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Borders>
              <w:top w:val="none" w:color="000000" w:sz="4" w:space="0"/>
            </w:tcBorders>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bl>
    <w:p>
      <w:pPr>
        <w:spacing w:before="156" w:after="156" w:line="44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spacing w:before="156" w:after="156" w:line="44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11-2：工程设备暂估价表</w:t>
      </w:r>
      <w:r/>
    </w:p>
    <w:tbl>
      <w:tblPr>
        <w:tblStyle w:val="98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Borders>
              <w:top w:val="none" w:color="000000" w:sz="4" w:space="0"/>
            </w:tcBorders>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993"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85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7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352"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41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701"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bl>
    <w:p>
      <w:pPr>
        <w:spacing w:line="44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spacing w:before="156" w:after="156" w:line="440" w:lineRule="exact"/>
        <w:rPr>
          <w:rFonts w:hint="eastAsia" w:ascii="仿宋" w:hAnsi="仿宋" w:eastAsia="仿宋" w:cs="仿宋"/>
          <w:b w:val="0"/>
          <w:bCs w:val="0"/>
          <w:color w:val="auto"/>
          <w:sz w:val="28"/>
          <w:szCs w:val="28"/>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val="0"/>
          <w:bCs w:val="0"/>
          <w:color w:val="auto"/>
          <w:sz w:val="28"/>
          <w:szCs w:val="28"/>
          <w:highlight w:val="none"/>
        </w:rPr>
        <w:t xml:space="preserve">11-3：专业工程暂估价表</w:t>
      </w:r>
      <w:r/>
    </w:p>
    <w:tbl>
      <w:tblPr>
        <w:tblStyle w:val="985"/>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工程内容</w:t>
            </w:r>
            <w:r/>
          </w:p>
        </w:tc>
        <w:tc>
          <w:tcPr>
            <w:tcBorders>
              <w:top w:val="single" w:color="auto" w:sz="12" w:space="0"/>
              <w:bottom w:val="single" w:color="auto" w:sz="6" w:space="0"/>
            </w:tcBorders>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single" w:color="auto" w:sz="6" w:space="0"/>
              <w:bottom w:val="single" w:color="auto" w:sz="6" w:space="0"/>
            </w:tcBorders>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Borders>
              <w:top w:val="none" w:color="000000" w:sz="4" w:space="0"/>
            </w:tcBorders>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Borders>
              <w:top w:val="none" w:color="000000" w:sz="4" w:space="0"/>
            </w:tcBorders>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Borders>
              <w:top w:val="none" w:color="000000" w:sz="4" w:space="0"/>
            </w:tcBorders>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tcW w:w="879"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984"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4678"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276"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c>
          <w:tcPr>
            <w:gridSpan w:val="4"/>
            <w:tcW w:w="8817" w:type="dxa"/>
            <w:vAlign w:val="top"/>
            <w:textDirection w:val="lrTb"/>
            <w:noWrap w:val="false"/>
          </w:tcPr>
          <w:p>
            <w:pPr>
              <w:pStyle w:val="990"/>
              <w:ind w:left="63" w:right="63"/>
              <w:keepNext/>
              <w:spacing w:after="0" w:line="44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小计：</w:t>
            </w:r>
            <w:r/>
          </w:p>
        </w:tc>
      </w:tr>
    </w:tbl>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br w:type="page" w:clear="all"/>
      </w:r>
      <w:r/>
    </w:p>
    <w:p>
      <w:pPr>
        <w:pStyle w:val="976"/>
        <w:ind w:firstLine="0"/>
        <w:jc w:val="center"/>
        <w:keepLines/>
        <w:keepNex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30"/>
          <w:szCs w:val="30"/>
          <w:highlight w:val="none"/>
          <w:lang w:val="en-US" w:eastAsia="zh-CN"/>
        </w:rPr>
        <w:t xml:space="preserve">9、承诺书</w:t>
      </w:r>
      <w:r/>
    </w:p>
    <w:p>
      <w:pPr>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根据贵方《</w:t>
      </w:r>
      <w:r>
        <w:rPr>
          <w:rFonts w:hint="eastAsia" w:ascii="宋体" w:hAnsi="宋体" w:eastAsia="宋体" w:cs="宋体"/>
          <w:bCs/>
          <w:color w:val="auto"/>
          <w:sz w:val="22"/>
          <w:szCs w:val="22"/>
          <w:highlight w:val="none"/>
        </w:rPr>
        <w:t xml:space="preserve">磋商文件</w:t>
      </w:r>
      <w:r>
        <w:rPr>
          <w:rFonts w:hint="eastAsia" w:ascii="宋体" w:hAnsi="宋体" w:eastAsia="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JSZC-320312-DJZX-C2026-0005</w:t>
      </w:r>
      <w:r>
        <w:rPr>
          <w:rFonts w:hint="eastAsia" w:ascii="宋体" w:hAnsi="宋体" w:eastAsia="宋体" w:cs="宋体"/>
          <w:color w:val="auto"/>
          <w:sz w:val="22"/>
          <w:szCs w:val="22"/>
          <w:highlight w:val="none"/>
        </w:rPr>
        <w:t xml:space="preserve">）要求，本供应商正式提交以下首次响应文件。</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（1）承诺书； </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（2）磋商报价表； </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（3）偏离表；</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（4）磋商</w:t>
      </w:r>
      <w:r>
        <w:rPr>
          <w:rFonts w:hint="eastAsia" w:ascii="宋体" w:hAnsi="宋体" w:eastAsia="宋体" w:cs="宋体"/>
          <w:bCs/>
          <w:color w:val="auto"/>
          <w:sz w:val="22"/>
          <w:szCs w:val="22"/>
          <w:highlight w:val="none"/>
        </w:rPr>
        <w:t xml:space="preserve">文件</w:t>
      </w:r>
      <w:r>
        <w:rPr>
          <w:rFonts w:hint="eastAsia" w:ascii="宋体" w:hAnsi="宋体" w:eastAsia="宋体" w:cs="宋体"/>
          <w:color w:val="auto"/>
          <w:sz w:val="22"/>
          <w:szCs w:val="22"/>
          <w:highlight w:val="none"/>
        </w:rPr>
        <w:t xml:space="preserve">要求提供的其他响应文件。</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我单位符合《中华人民共和国政府采购法》第二十二条的规定，符合本项目供应商资格要求。</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我单位按照磋商文件的要求编制响应文件，并对其提交的响应文件的真实性、合法性承担法律责任。</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供应商兹宣布同意如下： </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一、完全承担根据《磋商文件》规定完成合同的责任和义务（如有偏离，将全部填写在偏离表中）。</w:t>
      </w:r>
      <w:r/>
    </w:p>
    <w:p>
      <w:pPr>
        <w:pStyle w:val="1056"/>
        <w:ind w:firstLine="48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二、保证所提供的响应文件及所有材料的真实、合法、有效，并对其负责。</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三、已详细审核竞争性磋商文件（含竞争性磋商文件的澄清或者修改），本供应商完全理解并同意放弃对这方面不明及误解的权利。</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四、所供货物保证符合国家有关产品质量、性能和安全标准，无权利瑕疵。</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五、报价有效期为30个工作日。</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六、同意向贵方提供贵方可能要求的与本次磋商采购有关的任何证据或资料。</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七、完全理解贵方不一定要接受最低的报价或收到的任何报价。</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八、采购人或采购代理机构有权将我单位本项目的《磋商报价表》和《分项价格表》予以公示，公示的方式由</w:t>
      </w:r>
      <w:r>
        <w:rPr>
          <w:rFonts w:hint="eastAsia" w:ascii="宋体" w:hAnsi="宋体" w:cs="宋体"/>
          <w:color w:val="auto"/>
          <w:sz w:val="22"/>
          <w:szCs w:val="22"/>
          <w:highlight w:val="none"/>
          <w:lang w:eastAsia="zh-CN"/>
        </w:rPr>
        <w:t xml:space="preserve">江苏鼎坚工程咨询有限公司</w:t>
      </w:r>
      <w:r>
        <w:rPr>
          <w:rFonts w:hint="eastAsia" w:ascii="宋体" w:hAnsi="宋体" w:eastAsia="宋体" w:cs="宋体"/>
          <w:color w:val="auto"/>
          <w:sz w:val="22"/>
          <w:szCs w:val="22"/>
          <w:highlight w:val="none"/>
        </w:rPr>
        <w:t xml:space="preserve">确定。</w:t>
      </w:r>
      <w:r/>
    </w:p>
    <w:p>
      <w:pPr>
        <w:ind w:firstLine="48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w:t>
      </w:r>
      <w:r>
        <w:rPr>
          <w:rFonts w:hint="eastAsia" w:ascii="宋体" w:hAnsi="宋体" w:eastAsia="宋体" w:cs="宋体"/>
          <w:color w:val="auto"/>
          <w:sz w:val="22"/>
          <w:szCs w:val="22"/>
          <w:highlight w:val="none"/>
          <w:lang w:eastAsia="zh-CN"/>
        </w:rPr>
        <w:t xml:space="preserve">成交</w:t>
      </w:r>
      <w:r>
        <w:rPr>
          <w:rFonts w:hint="eastAsia" w:ascii="宋体" w:hAnsi="宋体" w:eastAsia="宋体" w:cs="宋体"/>
          <w:color w:val="auto"/>
          <w:sz w:val="22"/>
          <w:szCs w:val="22"/>
          <w:highlight w:val="none"/>
        </w:rPr>
        <w:t xml:space="preserve">、成交的”情形，并承担相应的法律责任。</w:t>
      </w:r>
      <w:r/>
    </w:p>
    <w:p>
      <w:pPr>
        <w:ind w:firstLine="192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供应商（电子签章）：</w:t>
      </w:r>
      <w:r/>
    </w:p>
    <w:p>
      <w:pPr>
        <w:ind w:firstLine="192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法定代表人（负责人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或授权代表（签字或盖章）：  </w:t>
      </w:r>
      <w:r/>
    </w:p>
    <w:p>
      <w:pPr>
        <w:ind w:firstLine="192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p>
    <w:p>
      <w:pPr>
        <w:ind w:firstLine="192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移动电话：</w:t>
      </w:r>
      <w:r/>
    </w:p>
    <w:p>
      <w:pPr>
        <w:ind w:firstLine="192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日期：</w:t>
      </w:r>
      <w:r/>
    </w:p>
    <w:p>
      <w:pPr>
        <w:pStyle w:val="976"/>
        <w:ind w:firstLine="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10、授权委托书</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委托人（全称）：</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女士（先生）</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lang w:eastAsia="zh-CN"/>
        </w:rPr>
        <w:t xml:space="preserve">徐州高新区交通安全设施提升改造工程</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JSZC-320312-DJZX-C2026-0005</w:t>
      </w:r>
      <w:r>
        <w:rPr>
          <w:rFonts w:hint="eastAsia" w:ascii="宋体" w:hAnsi="宋体" w:eastAsia="宋体" w:cs="宋体"/>
          <w:color w:val="auto"/>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委托人（电子签章）：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法定代表人（负责人）（签字或盖章）：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受托人（签字或盖章）：</w:t>
      </w:r>
      <w:r/>
    </w:p>
    <w:p>
      <w:pPr>
        <w:ind w:firstLine="356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（受托人身份证复印件附后</w:t>
      </w:r>
      <w:r>
        <w:rPr>
          <w:rFonts w:hint="eastAsia" w:ascii="宋体" w:hAnsi="宋体" w:eastAsia="宋体" w:cs="宋体"/>
          <w:color w:val="auto"/>
          <w:sz w:val="24"/>
          <w:szCs w:val="24"/>
          <w:highlight w:val="none"/>
          <w:lang w:eastAsia="zh-CN"/>
        </w:rPr>
        <w:t xml:space="preserve">）</w:t>
      </w:r>
      <w:r/>
    </w:p>
    <w:p>
      <w:pPr>
        <w:pStyle w:val="976"/>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11、</w:t>
      </w:r>
      <w:bookmarkStart w:id="487" w:name="_Hlk81985284"/>
      <w:r>
        <w:rPr>
          <w:rFonts w:hint="eastAsia" w:ascii="宋体" w:hAnsi="宋体" w:eastAsia="宋体" w:cs="宋体"/>
          <w:b/>
          <w:color w:val="auto"/>
          <w:sz w:val="30"/>
          <w:szCs w:val="30"/>
          <w:highlight w:val="none"/>
          <w:lang w:val="en-US" w:eastAsia="zh-CN"/>
        </w:rPr>
        <w:t xml:space="preserve">中小企业声明函</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4"/>
        <w:pageBreakBefore w:val="0"/>
        <w:spacing w:line="360" w:lineRule="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徐州高新区交通安全设施提升改造工程</w:t>
      </w:r>
      <w:r/>
    </w:p>
    <w:p>
      <w:pPr>
        <w:ind w:firstLine="480"/>
        <w:pageBreakBefore w:val="0"/>
        <w:spacing w:line="360" w:lineRule="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JSZC-320312-DJZX-C2026-0005</w:t>
      </w:r>
      <w:r/>
    </w:p>
    <w:p>
      <w:pPr>
        <w:ind w:firstLine="50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本公司（联合体）郑重声明，根据《政府采购促进中小企业发展管理办法》（财库[2020]46号）的规定，本公司</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徐州高新技术产业开发区公共事业管理服务中心</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徐州高新区交通安全设施提升改造工程</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pacing w:val="6"/>
          <w:sz w:val="24"/>
          <w:szCs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6"/>
          <w:sz w:val="24"/>
          <w:szCs w:val="24"/>
          <w:highlight w:val="none"/>
          <w:lang w:val="en-US" w:eastAsia="zh-CN"/>
        </w:rPr>
        <w:t xml:space="preserve">承接</w:t>
      </w:r>
      <w:r>
        <w:rPr>
          <w:rFonts w:hint="eastAsia" w:ascii="宋体" w:hAnsi="宋体" w:eastAsia="宋体" w:cs="宋体"/>
          <w:color w:val="auto"/>
          <w:spacing w:val="6"/>
          <w:sz w:val="24"/>
          <w:szCs w:val="24"/>
          <w:highlight w:val="none"/>
        </w:rPr>
        <w:t xml:space="preserve">（承建）企业为（企业名称），从业人员（  ）人，营业收入为（   万元），资产总额为（  万元）①，属于（中型企业、小型企业、微型企业,</w:t>
      </w:r>
      <w:r>
        <w:rPr>
          <w:rFonts w:hint="eastAsia" w:ascii="宋体" w:hAnsi="宋体" w:eastAsia="宋体" w:cs="宋体"/>
          <w:b/>
          <w:bCs/>
          <w:color w:val="auto"/>
          <w:spacing w:val="6"/>
          <w:sz w:val="24"/>
          <w:szCs w:val="24"/>
          <w:highlight w:val="none"/>
        </w:rPr>
        <w:t xml:space="preserve">请勾选！</w:t>
      </w:r>
      <w:r>
        <w:rPr>
          <w:rFonts w:hint="eastAsia" w:ascii="宋体" w:hAnsi="宋体" w:eastAsia="宋体" w:cs="宋体"/>
          <w:color w:val="auto"/>
          <w:spacing w:val="6"/>
          <w:sz w:val="24"/>
          <w:szCs w:val="24"/>
          <w:highlight w:val="none"/>
        </w:rPr>
        <w:t xml:space="preserve">）；</w:t>
      </w:r>
      <w:r/>
    </w:p>
    <w:p>
      <w:pPr>
        <w:ind w:firstLine="50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6"/>
          <w:sz w:val="24"/>
          <w:szCs w:val="24"/>
          <w:highlight w:val="none"/>
          <w:lang w:val="en-US" w:eastAsia="zh-CN"/>
        </w:rPr>
        <w:t xml:space="preserve">承接</w:t>
      </w:r>
      <w:r>
        <w:rPr>
          <w:rFonts w:hint="eastAsia" w:ascii="宋体" w:hAnsi="宋体" w:eastAsia="宋体" w:cs="宋体"/>
          <w:color w:val="auto"/>
          <w:spacing w:val="6"/>
          <w:sz w:val="24"/>
          <w:szCs w:val="24"/>
          <w:highlight w:val="none"/>
        </w:rPr>
        <w:t xml:space="preserve">（承建）企业为（企业名称），从业人员（  ）人，营业收入为（   万元），资产总额为（  万元）①，属于（中型企业、小型企业、微型企业，</w:t>
      </w:r>
      <w:r>
        <w:rPr>
          <w:rFonts w:hint="eastAsia" w:ascii="宋体" w:hAnsi="宋体" w:eastAsia="宋体" w:cs="宋体"/>
          <w:b/>
          <w:bCs/>
          <w:color w:val="auto"/>
          <w:spacing w:val="6"/>
          <w:sz w:val="24"/>
          <w:szCs w:val="24"/>
          <w:highlight w:val="none"/>
        </w:rPr>
        <w:t xml:space="preserve">请勾选！</w:t>
      </w:r>
      <w:r>
        <w:rPr>
          <w:rFonts w:hint="eastAsia" w:ascii="宋体" w:hAnsi="宋体" w:eastAsia="宋体" w:cs="宋体"/>
          <w:color w:val="auto"/>
          <w:spacing w:val="6"/>
          <w:sz w:val="24"/>
          <w:szCs w:val="24"/>
          <w:highlight w:val="none"/>
        </w:rPr>
        <w:t xml:space="preserve">）；</w:t>
      </w:r>
      <w:r/>
    </w:p>
    <w:p>
      <w:pPr>
        <w:pStyle w:val="1031"/>
        <w:ind w:firstLine="48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w:t>
      </w:r>
      <w:r/>
    </w:p>
    <w:p>
      <w:pPr>
        <w:ind w:firstLine="482"/>
        <w:pageBreakBefore w:val="0"/>
        <w:spacing w:line="360" w:lineRule="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ind w:firstLine="480"/>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60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企业名称（盖章）：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注：本项目采购项目属性为：</w:t>
      </w:r>
      <w:r>
        <w:rPr>
          <w:rFonts w:hint="eastAsia" w:ascii="宋体" w:hAnsi="宋体" w:eastAsia="宋体" w:cs="宋体"/>
          <w:b/>
          <w:color w:val="auto"/>
          <w:sz w:val="24"/>
          <w:szCs w:val="24"/>
          <w:highlight w:val="none"/>
          <w:u w:val="single"/>
        </w:rPr>
        <w:t xml:space="preserve">建筑业</w:t>
      </w:r>
      <w:r>
        <w:rPr>
          <w:rFonts w:hint="eastAsia" w:ascii="宋体" w:hAnsi="宋体" w:eastAsia="宋体" w:cs="宋体"/>
          <w:b/>
          <w:color w:val="auto"/>
          <w:sz w:val="24"/>
          <w:szCs w:val="24"/>
          <w:highlight w:val="none"/>
        </w:rPr>
        <w:t xml:space="preserve">。</w:t>
      </w:r>
      <w:r/>
    </w:p>
    <w:p>
      <w:pPr>
        <w:ind w:firstLine="48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备注：从业人员、营业收入、资产总额填报上一年度数据，无上一年度数据的新成立企业可不填报。</w:t>
      </w:r>
      <w:r/>
    </w:p>
    <w:p>
      <w:pPr>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99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9"/>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260"/>
        <w:ind w:left="0"/>
        <w:keepLines w:val="0"/>
        <w:keepNext w:val="0"/>
        <w:pageBreakBefore w:val="0"/>
        <w:spacing w:after="0" w:line="320" w:lineRule="exact"/>
        <w:widowControl w:val="off"/>
        <w:rPr>
          <w:rFonts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1、中小微企业的划分具体以《政府采购促进中小企业发展管理办法》（财库</w:t>
      </w:r>
      <w:r>
        <w:rPr>
          <w:rFonts w:hint="eastAsia" w:ascii="宋体" w:hAnsi="宋体" w:cs="宋体"/>
          <w:b w:val="0"/>
          <w:bCs w:val="0"/>
          <w:color w:val="auto"/>
          <w:sz w:val="22"/>
          <w:szCs w:val="22"/>
          <w:highlight w:val="none"/>
          <w:lang w:eastAsia="zh-CN"/>
        </w:rPr>
        <w:t xml:space="preserve">〔</w:t>
      </w:r>
      <w:r>
        <w:rPr>
          <w:rFonts w:hint="eastAsia" w:ascii="宋体" w:hAnsi="宋体" w:cs="宋体"/>
          <w:b w:val="0"/>
          <w:bCs w:val="0"/>
          <w:color w:val="auto"/>
          <w:sz w:val="22"/>
          <w:szCs w:val="22"/>
          <w:highlight w:val="none"/>
        </w:rPr>
        <w:t xml:space="preserve">2020</w:t>
      </w:r>
      <w:r>
        <w:rPr>
          <w:rFonts w:hint="eastAsia" w:ascii="宋体" w:hAnsi="宋体" w:cs="宋体"/>
          <w:b w:val="0"/>
          <w:bCs w:val="0"/>
          <w:color w:val="auto"/>
          <w:sz w:val="22"/>
          <w:szCs w:val="22"/>
          <w:highlight w:val="none"/>
          <w:lang w:eastAsia="zh-CN"/>
        </w:rPr>
        <w:t xml:space="preserve">〕</w:t>
      </w:r>
      <w:r>
        <w:rPr>
          <w:rFonts w:hint="eastAsia" w:ascii="宋体" w:hAnsi="宋体" w:cs="宋体"/>
          <w:b w:val="0"/>
          <w:bCs w:val="0"/>
          <w:color w:val="auto"/>
          <w:sz w:val="22"/>
          <w:szCs w:val="22"/>
          <w:highlight w:val="none"/>
        </w:rPr>
        <w:t xml:space="preserve">46号）和《工业和信息化部、国家统计局、国家发展和改革委员会、财政部关于印发中小企业划型标准规定的通知》（工信部联企业[2011]300号）的规定为准。</w:t>
      </w:r>
      <w:r/>
    </w:p>
    <w:p>
      <w:pPr>
        <w:pStyle w:val="1260"/>
        <w:ind w:left="0"/>
        <w:keepLines w:val="0"/>
        <w:keepNext w:val="0"/>
        <w:pageBreakBefore w:val="0"/>
        <w:spacing w:after="0" w:line="320" w:lineRule="exact"/>
        <w:widowControl w:val="off"/>
        <w:rPr>
          <w:rFonts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2、从业人员、营业收入、资产总额填报供应商上一年度数据，无上一年度数据的新成立企业可不填报。</w:t>
      </w:r>
      <w:r/>
    </w:p>
    <w:p>
      <w:pPr>
        <w:pStyle w:val="1260"/>
        <w:ind w:left="0"/>
        <w:keepLines w:val="0"/>
        <w:keepNext w:val="0"/>
        <w:pageBreakBefore w:val="0"/>
        <w:spacing w:after="0" w:line="320" w:lineRule="exact"/>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3、中标人为小型、微型企业的，采购人或者其委托的采购代理机构有权随中标、成交结果同时公告其《中小企业声明函》，接受社会监督。</w:t>
      </w:r>
      <w:r/>
    </w:p>
    <w:p>
      <w:pPr>
        <w:pStyle w:val="1260"/>
        <w:ind w:left="0"/>
        <w:keepLines w:val="0"/>
        <w:keepNext w:val="0"/>
        <w:pageBreakBefore w:val="0"/>
        <w:spacing w:after="0" w:line="320" w:lineRule="exact"/>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4、执行江苏省财政厅关于进一步加大政府采购支持中小企业力度的通知（苏财购〔2022〕45号）的规定。</w:t>
      </w:r>
      <w:r/>
    </w:p>
    <w:p>
      <w:pPr>
        <w:pStyle w:val="1260"/>
        <w:ind w:left="0"/>
        <w:keepLines w:val="0"/>
        <w:keepNext w:val="0"/>
        <w:pageBreakBefore w:val="0"/>
        <w:spacing w:after="0" w:line="320" w:lineRule="exact"/>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5、供应商提供的《中小企业声明函》与事实不符的，依照《政府采购法》第七十七条第一款的规定追究法律责任。</w:t>
      </w:r>
      <w:r/>
    </w:p>
    <w:p>
      <w:pPr>
        <w:pStyle w:val="1260"/>
        <w:ind w:left="0"/>
        <w:keepLines w:val="0"/>
        <w:keepNext w:val="0"/>
        <w:pageBreakBefore w:val="0"/>
        <w:spacing w:after="0" w:line="320" w:lineRule="exact"/>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6、《中小企业声明函》查询渠道用微信搜索“中小企业规模类型自测小程序”。</w:t>
      </w:r>
      <w:r/>
    </w:p>
    <w:p>
      <w:pPr>
        <w:pStyle w:val="1239"/>
        <w:ind w:firstLine="44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360" w:lineRule="auto"/>
        <w:widowControl/>
        <w:rPr>
          <w:rFonts w:hint="eastAsia" w:ascii="宋体" w:hAnsi="宋体" w:eastAsia="宋体" w:cs="宋体"/>
          <w:b/>
          <w:color w:val="auto"/>
          <w:sz w:val="24"/>
          <w:szCs w:val="24"/>
          <w:highlight w:val="none"/>
        </w:rPr>
      </w:pPr>
      <w:r>
        <w:rPr>
          <w:rFonts w:hint="eastAsia" w:ascii="宋体" w:hAnsi="宋体"/>
          <w:color w:val="auto"/>
          <w:highlight w:val="none"/>
        </w:rPr>
        <mc:AlternateContent>
          <mc:Choice Requires="wpg">
            <w:drawing>
              <wp:inline xmlns:wp="http://schemas.openxmlformats.org/drawingml/2006/wordprocessingDrawing" distT="0" distB="0" distL="0" distR="0">
                <wp:extent cx="2545080" cy="4986655"/>
                <wp:effectExtent l="0" t="0" r="7620" b="4445"/>
                <wp:docPr id="8"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4"/>
                        <a:srcRect l="0" t="4498" r="0" b="0"/>
                        <a:stretch/>
                      </pic:blipFill>
                      <pic:spPr bwMode="auto">
                        <a:xfrm>
                          <a:off x="0" y="0"/>
                          <a:ext cx="2545080" cy="498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00.4pt;height:392.6pt;mso-wrap-distance-left:0.0pt;mso-wrap-distance-top:0.0pt;mso-wrap-distance-right:0.0pt;mso-wrap-distance-bottom:0.0pt;" stroked="f">
                <v:path textboxrect="0,0,0,0"/>
                <v:imagedata r:id="rId24" o:title=""/>
              </v:shape>
            </w:pict>
          </mc:Fallback>
        </mc:AlternateContent>
      </w:r>
      <w:bookmarkEnd w:id="487"/>
      <w:r/>
      <w:r/>
    </w:p>
    <w:p>
      <w:pPr>
        <w:pStyle w:val="976"/>
        <w:ind w:firstLine="0"/>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12、供应商参加政府采购活动前3年内在经营活动中没有重大违法记录的书面声明</w:t>
      </w:r>
      <w:r/>
    </w:p>
    <w:p>
      <w:pPr>
        <w:ind w:firstLine="480"/>
        <w:jc w:val="left"/>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徐州高新区交通安全设施提升改造工程</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JSZC-320312-DJZX-C2026-0005</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firstLine="31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或授权代表（签字或盖章）：  </w:t>
      </w:r>
      <w:r/>
    </w:p>
    <w:p>
      <w:pPr>
        <w:ind w:right="2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pStyle w:val="1013"/>
        <w:ind w:left="239" w:firstLine="264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239" w:firstLine="26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239" w:firstLine="26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239" w:firstLine="26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239" w:firstLine="26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239" w:firstLine="26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239" w:firstLine="26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ind w:left="239" w:firstLine="26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360" w:lineRule="auto"/>
        <w:rPr>
          <w:rFonts w:hint="eastAsia" w:ascii="宋体" w:hAnsi="宋体" w:eastAsia="宋体" w:cs="宋体"/>
          <w:color w:val="auto"/>
          <w:sz w:val="24"/>
          <w:szCs w:val="24"/>
          <w:highlight w:val="none"/>
        </w:rPr>
        <w:sectPr>
          <w:headerReference w:type="default" r:id="rId12"/>
          <w:footerReference w:type="default" r:id="rId21"/>
          <w:footerReference w:type="first" r:id="rId22"/>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976"/>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30"/>
          <w:szCs w:val="30"/>
          <w:highlight w:val="none"/>
          <w:lang w:val="en-US" w:eastAsia="zh-CN"/>
        </w:rPr>
        <w:t xml:space="preserve">13、具备履行合同所必需的设备和专业技术能力的书面声明</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JSZC-320312-DJZX-C2026-0005</w:t>
      </w:r>
      <w:r/>
    </w:p>
    <w:p>
      <w:pPr>
        <w:ind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徐州高新区交通安全设施提升改造工程</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供应商郑重声明：供应商具备履行合同（项目名称：</w:t>
      </w:r>
      <w:r>
        <w:rPr>
          <w:rFonts w:hint="eastAsia" w:ascii="宋体" w:hAnsi="宋体" w:cs="宋体"/>
          <w:color w:val="auto"/>
          <w:sz w:val="24"/>
          <w:szCs w:val="24"/>
          <w:highlight w:val="none"/>
          <w:lang w:eastAsia="zh-CN"/>
        </w:rPr>
        <w:t xml:space="preserve">徐州高新区交通安全设施提升改造工程</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JSZC-320312-DJZX-C2026-0005</w:t>
      </w:r>
      <w:r>
        <w:rPr>
          <w:rFonts w:hint="eastAsia" w:ascii="宋体" w:hAnsi="宋体" w:eastAsia="宋体" w:cs="宋体"/>
          <w:color w:val="auto"/>
          <w:sz w:val="24"/>
          <w:szCs w:val="24"/>
          <w:highlight w:val="none"/>
        </w:rPr>
        <w:t xml:space="preserve">）所必需的设备和专业技术能力，具体为：</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8"/>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pStyle w:val="1028"/>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（证明材料扫描件附后）</w:t>
      </w:r>
      <w:r/>
    </w:p>
    <w:p>
      <w:pPr>
        <w:pStyle w:val="1028"/>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（证明材料扫描件附后）</w:t>
      </w:r>
      <w:r/>
    </w:p>
    <w:p>
      <w:pPr>
        <w:pStyle w:val="1028"/>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（证明材料扫描件附后）</w:t>
      </w:r>
      <w:r/>
    </w:p>
    <w:p>
      <w:pPr>
        <w:pStyle w:val="1028"/>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1028"/>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8"/>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pStyle w:val="1028"/>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（证明材料扫描件附后）</w:t>
      </w:r>
      <w:r/>
    </w:p>
    <w:p>
      <w:pPr>
        <w:pStyle w:val="1028"/>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（证明材料扫描件附后）</w:t>
      </w:r>
      <w:r/>
    </w:p>
    <w:p>
      <w:pPr>
        <w:pStyle w:val="1028"/>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（证明材料扫描件附后）</w:t>
      </w:r>
      <w:r/>
    </w:p>
    <w:p>
      <w:pPr>
        <w:pStyle w:val="1028"/>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供应商：（盖单位公章）</w:t>
      </w:r>
      <w:r/>
    </w:p>
    <w:p>
      <w:pPr>
        <w:ind w:firstLine="3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供应商授权代表：（签字或盖章）  </w:t>
      </w:r>
      <w:r/>
    </w:p>
    <w:p>
      <w:pPr>
        <w:ind w:firstLine="3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pStyle w:val="976"/>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30"/>
          <w:szCs w:val="30"/>
          <w:highlight w:val="none"/>
          <w:lang w:val="en-US" w:eastAsia="zh-CN"/>
        </w:rPr>
        <w:t xml:space="preserve">14、</w:t>
      </w:r>
      <w:bookmarkStart w:id="488" w:name="_Hlk81985305"/>
      <w:r>
        <w:rPr>
          <w:rFonts w:hint="eastAsia" w:ascii="宋体" w:hAnsi="宋体" w:eastAsia="宋体" w:cs="宋体"/>
          <w:b/>
          <w:color w:val="auto"/>
          <w:sz w:val="30"/>
          <w:szCs w:val="30"/>
          <w:highlight w:val="none"/>
          <w:lang w:val="en-US" w:eastAsia="zh-CN"/>
        </w:rPr>
        <w:t xml:space="preserve">残疾人福利性单位声明函</w:t>
      </w:r>
      <w:r/>
    </w:p>
    <w:p>
      <w:pPr>
        <w:pStyle w:val="1031"/>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（注：如供应商不属于残疾人福利性单位，不需提供此声明函）</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项目名称：</w:t>
      </w:r>
      <w:r/>
    </w:p>
    <w:p>
      <w:pPr>
        <w:ind w:firstLine="50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〔2017〕141</w:t>
      </w:r>
      <w:r>
        <w:rPr>
          <w:rFonts w:hint="eastAsia" w:ascii="宋体" w:hAnsi="宋体" w:eastAsia="宋体" w:cs="宋体"/>
          <w:color w:val="auto"/>
          <w:spacing w:val="6"/>
          <w:sz w:val="24"/>
          <w:szCs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60" w:firstLine="504"/>
        <w:jc w:val="center"/>
        <w:pageBreakBefore w:val="0"/>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单位名称（电子签章）：</w:t>
      </w:r>
      <w:r/>
    </w:p>
    <w:p>
      <w:pPr>
        <w:ind w:right="1560" w:firstLine="504"/>
        <w:jc w:val="center"/>
        <w:pageBreakBefore w:val="0"/>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  期：</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、成交供应商为残疾人福利性单位的，采购人或者其委托的采购代理机构应当随</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、成交结果同时公告其《残疾人福利性单位声明函》，接受社会监督。</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供应商提供的《残疾人福利性单位声明函》与事实不符的，依照《政府采购法》第七十七条第一款的规定追究法律责任。</w:t>
      </w:r>
      <w:bookmarkEnd w:id="488"/>
      <w:r/>
      <w:r/>
    </w:p>
    <w:p>
      <w:pPr>
        <w:ind w:firstLine="60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76"/>
        <w:ind w:firstLine="0"/>
        <w:jc w:val="cente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15、代理服务收费标准</w:t>
      </w:r>
      <w:r/>
    </w:p>
    <w:tbl>
      <w:tblPr>
        <w:tblStyle w:val="1254"/>
        <w:tblW w:w="789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21"/>
        <w:gridCol w:w="2178"/>
      </w:tblGrid>
      <w:tr>
        <w:trPr>
          <w:trHeight w:val="506"/>
        </w:trPr>
        <w:tc>
          <w:tcPr>
            <w:tcW w:w="5721" w:type="dxa"/>
            <w:vAlign w:val="top"/>
            <w:textDirection w:val="lrTb"/>
            <w:noWrap w:val="false"/>
          </w:tcPr>
          <w:p>
            <w:pPr>
              <w:pStyle w:val="1258"/>
              <w:ind w:left="1929"/>
              <w:spacing w:before="153" w:line="219" w:lineRule="auto"/>
              <w:rPr>
                <w:color w:val="auto"/>
                <w:sz w:val="24"/>
                <w:szCs w:val="24"/>
                <w:highlight w:val="none"/>
              </w:rPr>
            </w:pPr>
            <w:r>
              <w:rPr>
                <w:b/>
                <w:bCs/>
                <w:color w:val="auto"/>
                <w:spacing w:val="-3"/>
                <w:sz w:val="24"/>
                <w:szCs w:val="24"/>
                <w:highlight w:val="none"/>
              </w:rPr>
              <w:t xml:space="preserve">中标或者成交金额</w:t>
            </w:r>
            <w:r/>
          </w:p>
        </w:tc>
        <w:tc>
          <w:tcPr>
            <w:tcW w:w="2178" w:type="dxa"/>
            <w:vAlign w:val="top"/>
            <w:textDirection w:val="lrTb"/>
            <w:noWrap w:val="false"/>
          </w:tcPr>
          <w:p>
            <w:pPr>
              <w:pStyle w:val="1258"/>
              <w:ind w:left="932"/>
              <w:spacing w:before="153" w:line="219" w:lineRule="auto"/>
              <w:rPr>
                <w:color w:val="auto"/>
                <w:sz w:val="24"/>
                <w:szCs w:val="24"/>
                <w:highlight w:val="none"/>
              </w:rPr>
            </w:pPr>
            <w:r>
              <w:rPr>
                <w:b/>
                <w:bCs/>
                <w:color w:val="auto"/>
                <w:spacing w:val="-1"/>
                <w:sz w:val="24"/>
                <w:szCs w:val="24"/>
                <w:highlight w:val="none"/>
              </w:rPr>
              <w:t xml:space="preserve">费率</w:t>
            </w:r>
            <w:r/>
          </w:p>
        </w:tc>
      </w:tr>
      <w:tr>
        <w:trPr>
          <w:trHeight w:val="510"/>
        </w:trPr>
        <w:tc>
          <w:tcPr>
            <w:tcW w:w="5721" w:type="dxa"/>
            <w:vAlign w:val="top"/>
            <w:textDirection w:val="lrTb"/>
            <w:noWrap w:val="false"/>
          </w:tcPr>
          <w:p>
            <w:pPr>
              <w:pStyle w:val="1258"/>
              <w:ind w:left="114"/>
              <w:spacing w:before="153" w:line="219" w:lineRule="auto"/>
              <w:rPr>
                <w:rFonts w:hint="eastAsia" w:eastAsia="宋体"/>
                <w:color w:val="auto"/>
                <w:sz w:val="24"/>
                <w:szCs w:val="24"/>
                <w:highlight w:val="none"/>
                <w:lang w:eastAsia="zh-CN"/>
              </w:rPr>
            </w:pPr>
            <w:r>
              <w:rPr>
                <w:color w:val="auto"/>
                <w:spacing w:val="4"/>
                <w:sz w:val="24"/>
                <w:szCs w:val="24"/>
                <w:highlight w:val="none"/>
              </w:rPr>
              <w:t xml:space="preserve">最低收费金额</w:t>
            </w:r>
            <w:r>
              <w:rPr>
                <w:rFonts w:hint="eastAsia"/>
                <w:color w:val="auto"/>
                <w:spacing w:val="4"/>
                <w:sz w:val="24"/>
                <w:szCs w:val="24"/>
                <w:highlight w:val="none"/>
                <w:lang w:eastAsia="zh-CN"/>
              </w:rPr>
              <w:t xml:space="preserve">（</w:t>
            </w:r>
            <w:r>
              <w:rPr>
                <w:color w:val="auto"/>
                <w:spacing w:val="4"/>
                <w:sz w:val="24"/>
                <w:szCs w:val="24"/>
                <w:highlight w:val="none"/>
              </w:rPr>
              <w:t xml:space="preserve">每个委托项目</w:t>
            </w:r>
            <w:r>
              <w:rPr>
                <w:rFonts w:hint="eastAsia"/>
                <w:color w:val="auto"/>
                <w:spacing w:val="4"/>
                <w:sz w:val="24"/>
                <w:szCs w:val="24"/>
                <w:highlight w:val="none"/>
                <w:lang w:eastAsia="zh-CN"/>
              </w:rPr>
              <w:t xml:space="preserve">）</w:t>
            </w:r>
            <w:r/>
          </w:p>
        </w:tc>
        <w:tc>
          <w:tcPr>
            <w:tcW w:w="2178" w:type="dxa"/>
            <w:vAlign w:val="top"/>
            <w:textDirection w:val="lrTb"/>
            <w:noWrap w:val="false"/>
          </w:tcPr>
          <w:p>
            <w:pPr>
              <w:pStyle w:val="1258"/>
              <w:ind w:left="87"/>
              <w:jc w:val="center"/>
              <w:spacing w:before="154" w:line="220" w:lineRule="auto"/>
              <w:rPr>
                <w:color w:val="auto"/>
                <w:sz w:val="24"/>
                <w:szCs w:val="24"/>
                <w:highlight w:val="none"/>
              </w:rPr>
            </w:pPr>
            <w:r>
              <w:rPr>
                <w:color w:val="auto"/>
                <w:spacing w:val="2"/>
                <w:sz w:val="24"/>
                <w:szCs w:val="24"/>
                <w:highlight w:val="none"/>
              </w:rPr>
              <w:t xml:space="preserve">5000元</w:t>
            </w:r>
            <w:r/>
          </w:p>
        </w:tc>
      </w:tr>
      <w:tr>
        <w:trPr>
          <w:trHeight w:val="518"/>
        </w:trPr>
        <w:tc>
          <w:tcPr>
            <w:tcW w:w="5721" w:type="dxa"/>
            <w:vAlign w:val="top"/>
            <w:textDirection w:val="lrTb"/>
            <w:noWrap w:val="false"/>
          </w:tcPr>
          <w:p>
            <w:pPr>
              <w:pStyle w:val="1258"/>
              <w:ind w:left="114"/>
              <w:spacing w:before="164" w:line="219" w:lineRule="auto"/>
              <w:rPr>
                <w:rFonts w:hint="eastAsia" w:eastAsia="宋体"/>
                <w:color w:val="auto"/>
                <w:sz w:val="24"/>
                <w:szCs w:val="24"/>
                <w:highlight w:val="none"/>
                <w:lang w:eastAsia="zh-CN"/>
              </w:rPr>
            </w:pPr>
            <w:r>
              <w:rPr>
                <w:color w:val="auto"/>
                <w:spacing w:val="5"/>
                <w:sz w:val="24"/>
                <w:szCs w:val="24"/>
                <w:highlight w:val="none"/>
              </w:rPr>
              <w:t xml:space="preserve">50万元以下</w:t>
            </w:r>
            <w:r>
              <w:rPr>
                <w:rFonts w:hint="eastAsia"/>
                <w:color w:val="auto"/>
                <w:spacing w:val="5"/>
                <w:sz w:val="24"/>
                <w:szCs w:val="24"/>
                <w:highlight w:val="none"/>
                <w:lang w:eastAsia="zh-CN"/>
              </w:rPr>
              <w:t xml:space="preserve">（</w:t>
            </w:r>
            <w:r>
              <w:rPr>
                <w:color w:val="auto"/>
                <w:spacing w:val="5"/>
                <w:sz w:val="24"/>
                <w:szCs w:val="24"/>
                <w:highlight w:val="none"/>
              </w:rPr>
              <w:t xml:space="preserve">含50万元</w:t>
            </w:r>
            <w:r>
              <w:rPr>
                <w:rFonts w:hint="eastAsia"/>
                <w:color w:val="auto"/>
                <w:spacing w:val="5"/>
                <w:sz w:val="24"/>
                <w:szCs w:val="24"/>
                <w:highlight w:val="none"/>
                <w:lang w:eastAsia="zh-CN"/>
              </w:rPr>
              <w:t xml:space="preserve">）</w:t>
            </w:r>
            <w:r/>
          </w:p>
        </w:tc>
        <w:tc>
          <w:tcPr>
            <w:tcW w:w="2178" w:type="dxa"/>
            <w:vAlign w:val="top"/>
            <w:textDirection w:val="lrTb"/>
            <w:noWrap w:val="false"/>
          </w:tcPr>
          <w:p>
            <w:pPr>
              <w:pStyle w:val="1258"/>
              <w:ind w:left="87"/>
              <w:jc w:val="center"/>
              <w:spacing w:before="243" w:line="184" w:lineRule="auto"/>
              <w:rPr>
                <w:color w:val="auto"/>
                <w:sz w:val="24"/>
                <w:szCs w:val="24"/>
                <w:highlight w:val="none"/>
              </w:rPr>
            </w:pPr>
            <w:r>
              <w:rPr>
                <w:color w:val="auto"/>
                <w:spacing w:val="-7"/>
                <w:sz w:val="24"/>
                <w:szCs w:val="24"/>
                <w:highlight w:val="none"/>
              </w:rPr>
              <w:t xml:space="preserve">1.6%</w:t>
            </w:r>
            <w:r/>
          </w:p>
        </w:tc>
      </w:tr>
      <w:tr>
        <w:trPr>
          <w:trHeight w:val="518"/>
        </w:trPr>
        <w:tc>
          <w:tcPr>
            <w:tcW w:w="5721" w:type="dxa"/>
            <w:vAlign w:val="top"/>
            <w:textDirection w:val="lrTb"/>
            <w:noWrap w:val="false"/>
          </w:tcPr>
          <w:p>
            <w:pPr>
              <w:pStyle w:val="1258"/>
              <w:ind w:left="114"/>
              <w:spacing w:before="165" w:line="219" w:lineRule="auto"/>
              <w:rPr>
                <w:rFonts w:hint="eastAsia" w:eastAsia="宋体"/>
                <w:color w:val="auto"/>
                <w:sz w:val="24"/>
                <w:szCs w:val="24"/>
                <w:highlight w:val="none"/>
                <w:lang w:eastAsia="zh-CN"/>
              </w:rPr>
            </w:pPr>
            <w:r>
              <w:rPr>
                <w:color w:val="auto"/>
                <w:spacing w:val="3"/>
                <w:sz w:val="24"/>
                <w:szCs w:val="24"/>
                <w:highlight w:val="none"/>
              </w:rPr>
              <w:t xml:space="preserve">50-400万元</w:t>
            </w:r>
            <w:r>
              <w:rPr>
                <w:rFonts w:hint="eastAsia"/>
                <w:color w:val="auto"/>
                <w:spacing w:val="3"/>
                <w:sz w:val="24"/>
                <w:szCs w:val="24"/>
                <w:highlight w:val="none"/>
                <w:lang w:eastAsia="zh-CN"/>
              </w:rPr>
              <w:t xml:space="preserve">（</w:t>
            </w:r>
            <w:r>
              <w:rPr>
                <w:color w:val="auto"/>
                <w:spacing w:val="3"/>
                <w:sz w:val="24"/>
                <w:szCs w:val="24"/>
                <w:highlight w:val="none"/>
              </w:rPr>
              <w:t xml:space="preserve">含400万元</w:t>
            </w:r>
            <w:r>
              <w:rPr>
                <w:rFonts w:hint="eastAsia"/>
                <w:color w:val="auto"/>
                <w:spacing w:val="3"/>
                <w:sz w:val="24"/>
                <w:szCs w:val="24"/>
                <w:highlight w:val="none"/>
                <w:lang w:eastAsia="zh-CN"/>
              </w:rPr>
              <w:t xml:space="preserve">）</w:t>
            </w:r>
            <w:r/>
          </w:p>
        </w:tc>
        <w:tc>
          <w:tcPr>
            <w:tcW w:w="2178" w:type="dxa"/>
            <w:vAlign w:val="top"/>
            <w:textDirection w:val="lrTb"/>
            <w:noWrap w:val="false"/>
          </w:tcPr>
          <w:p>
            <w:pPr>
              <w:pStyle w:val="1258"/>
              <w:ind w:left="87"/>
              <w:jc w:val="center"/>
              <w:spacing w:before="244" w:line="184" w:lineRule="auto"/>
              <w:rPr>
                <w:color w:val="auto"/>
                <w:sz w:val="24"/>
                <w:szCs w:val="24"/>
                <w:highlight w:val="none"/>
              </w:rPr>
            </w:pPr>
            <w:r>
              <w:rPr>
                <w:color w:val="auto"/>
                <w:spacing w:val="-7"/>
                <w:sz w:val="24"/>
                <w:szCs w:val="24"/>
                <w:highlight w:val="none"/>
              </w:rPr>
              <w:t xml:space="preserve">1.5%</w:t>
            </w:r>
            <w:r/>
          </w:p>
        </w:tc>
      </w:tr>
      <w:tr>
        <w:trPr>
          <w:trHeight w:val="518"/>
        </w:trPr>
        <w:tc>
          <w:tcPr>
            <w:tcW w:w="5721" w:type="dxa"/>
            <w:vAlign w:val="top"/>
            <w:textDirection w:val="lrTb"/>
            <w:noWrap w:val="false"/>
          </w:tcPr>
          <w:p>
            <w:pPr>
              <w:pStyle w:val="1258"/>
              <w:ind w:left="114"/>
              <w:spacing w:before="166" w:line="219" w:lineRule="auto"/>
              <w:rPr>
                <w:rFonts w:hint="eastAsia" w:eastAsia="宋体"/>
                <w:color w:val="auto"/>
                <w:sz w:val="24"/>
                <w:szCs w:val="24"/>
                <w:highlight w:val="none"/>
                <w:lang w:eastAsia="zh-CN"/>
              </w:rPr>
            </w:pPr>
            <w:r>
              <w:rPr>
                <w:color w:val="auto"/>
                <w:spacing w:val="3"/>
                <w:sz w:val="24"/>
                <w:szCs w:val="24"/>
                <w:highlight w:val="none"/>
              </w:rPr>
              <w:t xml:space="preserve">400-1000万元</w:t>
            </w:r>
            <w:r>
              <w:rPr>
                <w:rFonts w:hint="eastAsia"/>
                <w:color w:val="auto"/>
                <w:spacing w:val="3"/>
                <w:sz w:val="24"/>
                <w:szCs w:val="24"/>
                <w:highlight w:val="none"/>
                <w:lang w:eastAsia="zh-CN"/>
              </w:rPr>
              <w:t xml:space="preserve">（</w:t>
            </w:r>
            <w:r>
              <w:rPr>
                <w:color w:val="auto"/>
                <w:spacing w:val="3"/>
                <w:sz w:val="24"/>
                <w:szCs w:val="24"/>
                <w:highlight w:val="none"/>
              </w:rPr>
              <w:t xml:space="preserve">含1000万元</w:t>
            </w:r>
            <w:r>
              <w:rPr>
                <w:rFonts w:hint="eastAsia"/>
                <w:color w:val="auto"/>
                <w:spacing w:val="3"/>
                <w:sz w:val="24"/>
                <w:szCs w:val="24"/>
                <w:highlight w:val="none"/>
                <w:lang w:eastAsia="zh-CN"/>
              </w:rPr>
              <w:t xml:space="preserve">）</w:t>
            </w:r>
            <w:r/>
          </w:p>
        </w:tc>
        <w:tc>
          <w:tcPr>
            <w:tcW w:w="2178" w:type="dxa"/>
            <w:vAlign w:val="top"/>
            <w:textDirection w:val="lrTb"/>
            <w:noWrap w:val="false"/>
          </w:tcPr>
          <w:p>
            <w:pPr>
              <w:pStyle w:val="1258"/>
              <w:ind w:left="87"/>
              <w:jc w:val="center"/>
              <w:spacing w:before="245" w:line="184" w:lineRule="auto"/>
              <w:rPr>
                <w:color w:val="auto"/>
                <w:sz w:val="24"/>
                <w:szCs w:val="24"/>
                <w:highlight w:val="none"/>
              </w:rPr>
            </w:pPr>
            <w:r>
              <w:rPr>
                <w:color w:val="auto"/>
                <w:spacing w:val="-5"/>
                <w:sz w:val="24"/>
                <w:szCs w:val="24"/>
                <w:highlight w:val="none"/>
              </w:rPr>
              <w:t xml:space="preserve">1.1%</w:t>
            </w:r>
            <w:r/>
          </w:p>
        </w:tc>
      </w:tr>
      <w:tr>
        <w:trPr>
          <w:trHeight w:val="510"/>
        </w:trPr>
        <w:tc>
          <w:tcPr>
            <w:tcW w:w="5721" w:type="dxa"/>
            <w:vAlign w:val="top"/>
            <w:textDirection w:val="lrTb"/>
            <w:noWrap w:val="false"/>
          </w:tcPr>
          <w:p>
            <w:pPr>
              <w:pStyle w:val="1258"/>
              <w:ind w:left="114"/>
              <w:spacing w:before="157" w:line="219" w:lineRule="auto"/>
              <w:rPr>
                <w:rFonts w:hint="eastAsia" w:eastAsia="宋体"/>
                <w:color w:val="auto"/>
                <w:sz w:val="24"/>
                <w:szCs w:val="24"/>
                <w:highlight w:val="none"/>
                <w:lang w:eastAsia="zh-CN"/>
              </w:rPr>
            </w:pPr>
            <w:r>
              <w:rPr>
                <w:color w:val="auto"/>
                <w:spacing w:val="3"/>
                <w:sz w:val="24"/>
                <w:szCs w:val="24"/>
                <w:highlight w:val="none"/>
              </w:rPr>
              <w:t xml:space="preserve">1000-5000万元</w:t>
            </w:r>
            <w:r>
              <w:rPr>
                <w:rFonts w:hint="eastAsia"/>
                <w:color w:val="auto"/>
                <w:spacing w:val="3"/>
                <w:sz w:val="24"/>
                <w:szCs w:val="24"/>
                <w:highlight w:val="none"/>
                <w:lang w:eastAsia="zh-CN"/>
              </w:rPr>
              <w:t xml:space="preserve">（</w:t>
            </w:r>
            <w:r>
              <w:rPr>
                <w:color w:val="auto"/>
                <w:spacing w:val="3"/>
                <w:sz w:val="24"/>
                <w:szCs w:val="24"/>
                <w:highlight w:val="none"/>
              </w:rPr>
              <w:t xml:space="preserve">含5000万元</w:t>
            </w:r>
            <w:r>
              <w:rPr>
                <w:rFonts w:hint="eastAsia"/>
                <w:color w:val="auto"/>
                <w:spacing w:val="3"/>
                <w:sz w:val="24"/>
                <w:szCs w:val="24"/>
                <w:highlight w:val="none"/>
                <w:lang w:eastAsia="zh-CN"/>
              </w:rPr>
              <w:t xml:space="preserve">）</w:t>
            </w:r>
            <w:r/>
          </w:p>
        </w:tc>
        <w:tc>
          <w:tcPr>
            <w:tcW w:w="2178" w:type="dxa"/>
            <w:vAlign w:val="top"/>
            <w:textDirection w:val="lrTb"/>
            <w:noWrap w:val="false"/>
          </w:tcPr>
          <w:p>
            <w:pPr>
              <w:pStyle w:val="1258"/>
              <w:ind w:left="87"/>
              <w:jc w:val="center"/>
              <w:spacing w:before="237" w:line="183" w:lineRule="auto"/>
              <w:rPr>
                <w:color w:val="auto"/>
                <w:sz w:val="24"/>
                <w:szCs w:val="24"/>
                <w:highlight w:val="none"/>
              </w:rPr>
            </w:pPr>
            <w:r>
              <w:rPr>
                <w:color w:val="auto"/>
                <w:spacing w:val="-2"/>
                <w:sz w:val="24"/>
                <w:szCs w:val="24"/>
                <w:highlight w:val="none"/>
              </w:rPr>
              <w:t xml:space="preserve">0.8%</w:t>
            </w:r>
            <w:r/>
          </w:p>
        </w:tc>
      </w:tr>
      <w:tr>
        <w:trPr>
          <w:trHeight w:val="518"/>
        </w:trPr>
        <w:tc>
          <w:tcPr>
            <w:tcW w:w="5721" w:type="dxa"/>
            <w:vAlign w:val="top"/>
            <w:textDirection w:val="lrTb"/>
            <w:noWrap w:val="false"/>
          </w:tcPr>
          <w:p>
            <w:pPr>
              <w:pStyle w:val="1258"/>
              <w:ind w:left="114"/>
              <w:spacing w:before="168" w:line="219" w:lineRule="auto"/>
              <w:rPr>
                <w:rFonts w:hint="eastAsia" w:eastAsia="宋体"/>
                <w:color w:val="auto"/>
                <w:sz w:val="24"/>
                <w:szCs w:val="24"/>
                <w:highlight w:val="none"/>
                <w:lang w:eastAsia="zh-CN"/>
              </w:rPr>
            </w:pPr>
            <w:r>
              <w:rPr>
                <w:color w:val="auto"/>
                <w:spacing w:val="4"/>
                <w:sz w:val="24"/>
                <w:szCs w:val="24"/>
                <w:highlight w:val="none"/>
              </w:rPr>
              <w:t xml:space="preserve">5000-1亿元</w:t>
            </w:r>
            <w:r>
              <w:rPr>
                <w:rFonts w:hint="eastAsia"/>
                <w:color w:val="auto"/>
                <w:spacing w:val="4"/>
                <w:sz w:val="24"/>
                <w:szCs w:val="24"/>
                <w:highlight w:val="none"/>
                <w:lang w:eastAsia="zh-CN"/>
              </w:rPr>
              <w:t xml:space="preserve">（</w:t>
            </w:r>
            <w:r>
              <w:rPr>
                <w:color w:val="auto"/>
                <w:spacing w:val="4"/>
                <w:sz w:val="24"/>
                <w:szCs w:val="24"/>
                <w:highlight w:val="none"/>
              </w:rPr>
              <w:t xml:space="preserve">含1亿元</w:t>
            </w:r>
            <w:r>
              <w:rPr>
                <w:rFonts w:hint="eastAsia"/>
                <w:color w:val="auto"/>
                <w:spacing w:val="4"/>
                <w:sz w:val="24"/>
                <w:szCs w:val="24"/>
                <w:highlight w:val="none"/>
                <w:lang w:eastAsia="zh-CN"/>
              </w:rPr>
              <w:t xml:space="preserve">）</w:t>
            </w:r>
            <w:r/>
          </w:p>
        </w:tc>
        <w:tc>
          <w:tcPr>
            <w:tcW w:w="2178" w:type="dxa"/>
            <w:vAlign w:val="top"/>
            <w:textDirection w:val="lrTb"/>
            <w:noWrap w:val="false"/>
          </w:tcPr>
          <w:p>
            <w:pPr>
              <w:pStyle w:val="1258"/>
              <w:ind w:left="87"/>
              <w:jc w:val="center"/>
              <w:spacing w:before="248" w:line="183" w:lineRule="auto"/>
              <w:rPr>
                <w:color w:val="auto"/>
                <w:sz w:val="24"/>
                <w:szCs w:val="24"/>
                <w:highlight w:val="none"/>
              </w:rPr>
            </w:pPr>
            <w:r>
              <w:rPr>
                <w:color w:val="auto"/>
                <w:spacing w:val="-2"/>
                <w:sz w:val="24"/>
                <w:szCs w:val="24"/>
                <w:highlight w:val="none"/>
              </w:rPr>
              <w:t xml:space="preserve">0.25%</w:t>
            </w:r>
            <w:r/>
          </w:p>
        </w:tc>
      </w:tr>
      <w:tr>
        <w:trPr>
          <w:trHeight w:val="518"/>
        </w:trPr>
        <w:tc>
          <w:tcPr>
            <w:tcW w:w="5721" w:type="dxa"/>
            <w:vAlign w:val="top"/>
            <w:textDirection w:val="lrTb"/>
            <w:noWrap w:val="false"/>
          </w:tcPr>
          <w:p>
            <w:pPr>
              <w:pStyle w:val="1258"/>
              <w:ind w:left="114"/>
              <w:spacing w:before="169" w:line="219" w:lineRule="auto"/>
              <w:rPr>
                <w:rFonts w:hint="eastAsia" w:eastAsia="宋体"/>
                <w:color w:val="auto"/>
                <w:sz w:val="24"/>
                <w:szCs w:val="24"/>
                <w:highlight w:val="none"/>
                <w:lang w:eastAsia="zh-CN"/>
              </w:rPr>
            </w:pPr>
            <w:r>
              <w:rPr>
                <w:color w:val="auto"/>
                <w:spacing w:val="5"/>
                <w:sz w:val="24"/>
                <w:szCs w:val="24"/>
                <w:highlight w:val="none"/>
              </w:rPr>
              <w:t xml:space="preserve">1-10亿元</w:t>
            </w:r>
            <w:r>
              <w:rPr>
                <w:rFonts w:hint="eastAsia"/>
                <w:color w:val="auto"/>
                <w:spacing w:val="5"/>
                <w:sz w:val="24"/>
                <w:szCs w:val="24"/>
                <w:highlight w:val="none"/>
                <w:lang w:eastAsia="zh-CN"/>
              </w:rPr>
              <w:t xml:space="preserve">（</w:t>
            </w:r>
            <w:r>
              <w:rPr>
                <w:color w:val="auto"/>
                <w:spacing w:val="5"/>
                <w:sz w:val="24"/>
                <w:szCs w:val="24"/>
                <w:highlight w:val="none"/>
              </w:rPr>
              <w:t xml:space="preserve">含10亿元</w:t>
            </w:r>
            <w:r>
              <w:rPr>
                <w:rFonts w:hint="eastAsia"/>
                <w:color w:val="auto"/>
                <w:spacing w:val="5"/>
                <w:sz w:val="24"/>
                <w:szCs w:val="24"/>
                <w:highlight w:val="none"/>
                <w:lang w:eastAsia="zh-CN"/>
              </w:rPr>
              <w:t xml:space="preserve">）</w:t>
            </w:r>
            <w:r/>
          </w:p>
        </w:tc>
        <w:tc>
          <w:tcPr>
            <w:tcW w:w="2178" w:type="dxa"/>
            <w:vAlign w:val="top"/>
            <w:textDirection w:val="lrTb"/>
            <w:noWrap w:val="false"/>
          </w:tcPr>
          <w:p>
            <w:pPr>
              <w:pStyle w:val="1258"/>
              <w:ind w:left="87"/>
              <w:jc w:val="center"/>
              <w:spacing w:before="249" w:line="183" w:lineRule="auto"/>
              <w:rPr>
                <w:color w:val="auto"/>
                <w:sz w:val="24"/>
                <w:szCs w:val="24"/>
                <w:highlight w:val="none"/>
              </w:rPr>
            </w:pPr>
            <w:r>
              <w:rPr>
                <w:color w:val="auto"/>
                <w:spacing w:val="-2"/>
                <w:sz w:val="24"/>
                <w:szCs w:val="24"/>
                <w:highlight w:val="none"/>
              </w:rPr>
              <w:t xml:space="preserve">0.05%</w:t>
            </w:r>
            <w:r/>
          </w:p>
        </w:tc>
      </w:tr>
      <w:tr>
        <w:trPr>
          <w:trHeight w:val="510"/>
        </w:trPr>
        <w:tc>
          <w:tcPr>
            <w:tcW w:w="5721" w:type="dxa"/>
            <w:vAlign w:val="top"/>
            <w:textDirection w:val="lrTb"/>
            <w:noWrap w:val="false"/>
          </w:tcPr>
          <w:p>
            <w:pPr>
              <w:pStyle w:val="1258"/>
              <w:ind w:left="114"/>
              <w:spacing w:before="160" w:line="219" w:lineRule="auto"/>
              <w:rPr>
                <w:rFonts w:hint="eastAsia" w:eastAsia="宋体"/>
                <w:color w:val="auto"/>
                <w:sz w:val="24"/>
                <w:szCs w:val="24"/>
                <w:highlight w:val="none"/>
                <w:lang w:eastAsia="zh-CN"/>
              </w:rPr>
            </w:pPr>
            <w:r>
              <w:rPr>
                <w:color w:val="auto"/>
                <w:spacing w:val="4"/>
                <w:sz w:val="24"/>
                <w:szCs w:val="24"/>
                <w:highlight w:val="none"/>
              </w:rPr>
              <w:t xml:space="preserve">10-50亿元</w:t>
            </w:r>
            <w:r>
              <w:rPr>
                <w:rFonts w:hint="eastAsia"/>
                <w:color w:val="auto"/>
                <w:spacing w:val="4"/>
                <w:sz w:val="24"/>
                <w:szCs w:val="24"/>
                <w:highlight w:val="none"/>
                <w:lang w:eastAsia="zh-CN"/>
              </w:rPr>
              <w:t xml:space="preserve">（</w:t>
            </w:r>
            <w:r>
              <w:rPr>
                <w:color w:val="auto"/>
                <w:spacing w:val="4"/>
                <w:sz w:val="24"/>
                <w:szCs w:val="24"/>
                <w:highlight w:val="none"/>
              </w:rPr>
              <w:t xml:space="preserve">含50亿元</w:t>
            </w:r>
            <w:r>
              <w:rPr>
                <w:rFonts w:hint="eastAsia"/>
                <w:color w:val="auto"/>
                <w:spacing w:val="4"/>
                <w:sz w:val="24"/>
                <w:szCs w:val="24"/>
                <w:highlight w:val="none"/>
                <w:lang w:eastAsia="zh-CN"/>
              </w:rPr>
              <w:t xml:space="preserve">）</w:t>
            </w:r>
            <w:r/>
          </w:p>
        </w:tc>
        <w:tc>
          <w:tcPr>
            <w:tcW w:w="2178" w:type="dxa"/>
            <w:vAlign w:val="top"/>
            <w:textDirection w:val="lrTb"/>
            <w:noWrap w:val="false"/>
          </w:tcPr>
          <w:p>
            <w:pPr>
              <w:pStyle w:val="1258"/>
              <w:ind w:left="87"/>
              <w:jc w:val="center"/>
              <w:spacing w:before="239" w:line="184" w:lineRule="auto"/>
              <w:rPr>
                <w:color w:val="auto"/>
                <w:sz w:val="24"/>
                <w:szCs w:val="24"/>
                <w:highlight w:val="none"/>
              </w:rPr>
            </w:pPr>
            <w:r>
              <w:rPr>
                <w:color w:val="auto"/>
                <w:spacing w:val="-2"/>
                <w:sz w:val="24"/>
                <w:szCs w:val="24"/>
                <w:highlight w:val="none"/>
              </w:rPr>
              <w:t xml:space="preserve">0.01%</w:t>
            </w:r>
            <w:r/>
          </w:p>
        </w:tc>
      </w:tr>
      <w:tr>
        <w:trPr>
          <w:trHeight w:val="539"/>
        </w:trPr>
        <w:tc>
          <w:tcPr>
            <w:tcW w:w="5721" w:type="dxa"/>
            <w:vAlign w:val="top"/>
            <w:textDirection w:val="lrTb"/>
            <w:noWrap w:val="false"/>
          </w:tcPr>
          <w:p>
            <w:pPr>
              <w:pStyle w:val="1258"/>
              <w:ind w:left="114"/>
              <w:spacing w:before="172" w:line="220" w:lineRule="auto"/>
              <w:rPr>
                <w:color w:val="auto"/>
                <w:sz w:val="24"/>
                <w:szCs w:val="24"/>
                <w:highlight w:val="none"/>
              </w:rPr>
            </w:pPr>
            <w:r>
              <w:rPr>
                <w:color w:val="auto"/>
                <w:spacing w:val="2"/>
                <w:sz w:val="24"/>
                <w:szCs w:val="24"/>
                <w:highlight w:val="none"/>
              </w:rPr>
              <w:t xml:space="preserve">50亿元以上</w:t>
            </w:r>
            <w:r/>
          </w:p>
        </w:tc>
        <w:tc>
          <w:tcPr>
            <w:tcW w:w="2178" w:type="dxa"/>
            <w:vAlign w:val="top"/>
            <w:textDirection w:val="lrTb"/>
            <w:noWrap w:val="false"/>
          </w:tcPr>
          <w:p>
            <w:pPr>
              <w:pStyle w:val="1258"/>
              <w:ind w:left="87"/>
              <w:jc w:val="center"/>
              <w:spacing w:before="251" w:line="183" w:lineRule="auto"/>
              <w:rPr>
                <w:color w:val="auto"/>
                <w:sz w:val="24"/>
                <w:szCs w:val="24"/>
                <w:highlight w:val="none"/>
              </w:rPr>
            </w:pPr>
            <w:r>
              <w:rPr>
                <w:color w:val="auto"/>
                <w:spacing w:val="-2"/>
                <w:sz w:val="24"/>
                <w:szCs w:val="24"/>
                <w:highlight w:val="none"/>
              </w:rPr>
              <w:t xml:space="preserve">0.005%</w:t>
            </w:r>
            <w:r/>
          </w:p>
        </w:tc>
      </w:tr>
    </w:tbl>
    <w:p>
      <w:pPr>
        <w:pStyle w:val="1034"/>
        <w:ind w:left="0" w:righ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r>
      <w:r/>
    </w:p>
    <w:p>
      <w:pPr>
        <w:pStyle w:val="1034"/>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说 明 ：</w:t>
      </w:r>
      <w:r/>
    </w:p>
    <w:p>
      <w:pPr>
        <w:pStyle w:val="1034"/>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1.按上表计算的收费为代理服务全过程的收费金额。各社会代理机构不再收取采购文件制作售卖费用。</w:t>
      </w:r>
      <w:r/>
    </w:p>
    <w:p>
      <w:pPr>
        <w:pStyle w:val="1034"/>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2.代理服务费按差额定率累进法计算。</w:t>
      </w:r>
      <w:r/>
    </w:p>
    <w:p>
      <w:pPr>
        <w:pStyle w:val="1034"/>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3.代理服务费基准金额（按差额定率累进法计算的）=中标金额（按差额定率累进法计算的）*费率（%）。</w:t>
      </w:r>
      <w:r/>
    </w:p>
    <w:p>
      <w:pPr>
        <w:pStyle w:val="1034"/>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4.代理服务费应收取金额=代理服务费基准金额（按差额定率累进法计算的）的合计数。</w:t>
      </w:r>
      <w:r/>
    </w:p>
    <w:p>
      <w:pPr>
        <w:pStyle w:val="1034"/>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5.定点类等无金额或事先不能计算出价格总额的项目，按中标（成交）金额100万元计算。</w:t>
      </w:r>
      <w:r/>
    </w:p>
    <w:p>
      <w:pPr>
        <w:pStyle w:val="1034"/>
        <w:ind w:left="0" w:righ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6.有分包（分标段）的按一个项目计算。</w:t>
      </w:r>
      <w:r/>
    </w:p>
    <w:p>
      <w:pP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br w:type="page" w:clear="all"/>
      </w:r>
      <w:r/>
    </w:p>
    <w:p>
      <w:pPr>
        <w:pStyle w:val="976"/>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30"/>
          <w:szCs w:val="30"/>
          <w:highlight w:val="none"/>
          <w:lang w:val="en-US" w:eastAsia="zh-CN"/>
        </w:rPr>
        <w:t xml:space="preserve">16、预付款保函支付条款模板</w:t>
      </w:r>
      <w:r/>
    </w:p>
    <w:p>
      <w:pPr>
        <w:pStyle w:val="99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付款条件一：提交预付款保函的</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小写¥大写：人民币。</w:t>
      </w:r>
      <w:r/>
    </w:p>
    <w:p>
      <w:pPr>
        <w:pStyle w:val="990"/>
        <w:ind w:firstLine="480"/>
        <w:pageBreakBefore w:val="0"/>
        <w:spacing w:line="360" w:lineRule="auto"/>
        <w:tabs>
          <w:tab w:val="left" w:pos="550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 %）小写￥大写：人民币。</w:t>
      </w:r>
      <w:r/>
    </w:p>
    <w:p>
      <w:pPr>
        <w:pStyle w:val="99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99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付款条件二： 不提交预付款保函的</w:t>
      </w:r>
      <w:r/>
    </w:p>
    <w:p>
      <w:pPr>
        <w:pStyle w:val="990"/>
        <w:ind w:firstLine="480"/>
        <w:pageBreakBefore w:val="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 （％）小写￥大写：人民币</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990"/>
        <w:ind w:firstLine="480"/>
        <w:pageBreakBefore w:val="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（2）验收合格后个工作日内，甲方应支付合同价款的百分之</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（％）小写￥大写：人民币。</w:t>
      </w:r>
      <w:r/>
    </w:p>
    <w:p>
      <w:pPr>
        <w:pStyle w:val="99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0"/>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注：1、付款条件一中，出具预付款保函后支付的合同款应当与保函金额一致。</w:t>
      </w:r>
      <w:r/>
    </w:p>
    <w:p>
      <w:pPr>
        <w:pStyle w:val="99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52号）要求。</w:t>
      </w:r>
      <w:r/>
    </w:p>
    <w:p>
      <w:pPr>
        <w:pStyle w:val="99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Symbol">
    <w:panose1 w:val="05050102010706020507"/>
  </w:font>
  <w:font w:name="新宋体">
    <w:panose1 w:val="02010609030101010101"/>
  </w:font>
  <w:font w:name="Tahoma">
    <w:panose1 w:val="020B0604030504040204"/>
  </w:font>
  <w:font w:name="方正仿宋简体">
    <w:panose1 w:val="020B0503020202020204"/>
  </w:font>
  <w:font w:name="Calibri Light">
    <w:panose1 w:val="020F0302020204030204"/>
  </w:font>
  <w:font w:name="Courier New">
    <w:panose1 w:val="02070309020205020404"/>
  </w:font>
  <w:font w:name="Calibri">
    <w:panose1 w:val="020F0502020204030204"/>
  </w:font>
  <w:font w:name="仿宋_GB2312">
    <w:panose1 w:val="02010609060101010101"/>
  </w:font>
  <w:font w:name="黑体">
    <w:panose1 w:val="02010609060101010101"/>
  </w:font>
  <w:font w:name="长城仿宋">
    <w:panose1 w:val="020B0503020202020204"/>
  </w:font>
  <w:font w:name="Arial">
    <w:panose1 w:val="020B0604020202020204"/>
  </w:font>
  <w:font w:name="仿宋">
    <w:panose1 w:val="02010609060101010101"/>
  </w:font>
  <w:font w:name="等线">
    <w:panose1 w:val="02010600030101010101"/>
  </w:font>
  <w:font w:name="等线 Light">
    <w:panose1 w:val="02010600030101010101"/>
  </w:font>
  <w:font w:name="文鼎粗黑">
    <w:panose1 w:val="020B0503020202020204"/>
  </w:font>
  <w:font w:name="Cambria">
    <w:panose1 w:val="0204050305040603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4252"/>
      <w:spacing w:line="18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4252"/>
      <w:spacing w:line="18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ind w:firstLine="36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69</w:t>
                          </w:r>
                          <w:r>
                            <w:rPr>
                              <w:lang w:val="zh-CN"/>
                            </w:rP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ind w:firstLine="36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69</w:t>
                    </w:r>
                    <w:r>
                      <w:rPr>
                        <w:lang w:val="zh-CN"/>
                      </w:rPr>
                      <w:fldChar w:fldCharType="end"/>
                    </w:r>
                    <w:r/>
                  </w:p>
                  <w:p>
                    <w:r/>
                    <w:r/>
                  </w:p>
                </w:txbxContent>
              </v:textbox>
            </v:shape>
          </w:pict>
        </mc:Fallback>
      </mc:AlternateContent>
    </w:r>
    <w:r/>
  </w:p>
  <w:p>
    <w:pPr>
      <w:pStyle w:val="100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412"/>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4" w:default="1">
    <w:name w:val="Normal"/>
    <w:link w:val="123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75">
    <w:name w:val="Heading 1"/>
    <w:basedOn w:val="974"/>
    <w:next w:val="974"/>
    <w:link w:val="1082"/>
    <w:uiPriority w:val="0"/>
    <w:qFormat/>
    <w:pPr>
      <w:jc w:val="center"/>
      <w:keepLines/>
      <w:keepNext/>
      <w:spacing w:line="360" w:lineRule="auto"/>
      <w:outlineLvl w:val="0"/>
    </w:pPr>
    <w:rPr>
      <w:rFonts w:ascii="Times New Roman" w:hAnsi="Times New Roman" w:eastAsia="宋体"/>
      <w:b/>
      <w:sz w:val="28"/>
      <w:szCs w:val="20"/>
    </w:rPr>
  </w:style>
  <w:style w:type="paragraph" w:styleId="976">
    <w:name w:val="Heading 2"/>
    <w:basedOn w:val="974"/>
    <w:next w:val="974"/>
    <w:link w:val="1083"/>
    <w:uiPriority w:val="9"/>
    <w:qFormat/>
    <w:pPr>
      <w:numPr>
        <w:ilvl w:val="0"/>
        <w:numId w:val="0"/>
      </w:numPr>
      <w:ind w:left="0" w:firstLine="0"/>
      <w:keepLines/>
      <w:keepNext/>
      <w:spacing w:line="360" w:lineRule="auto"/>
      <w:outlineLvl w:val="1"/>
    </w:pPr>
    <w:rPr>
      <w:rFonts w:ascii="Cambria" w:hAnsi="Cambria" w:eastAsia="宋体"/>
      <w:bCs/>
      <w:sz w:val="24"/>
      <w:szCs w:val="32"/>
    </w:rPr>
  </w:style>
  <w:style w:type="paragraph" w:styleId="977">
    <w:name w:val="Heading 3"/>
    <w:basedOn w:val="974"/>
    <w:next w:val="974"/>
    <w:link w:val="1550"/>
    <w:uiPriority w:val="0"/>
    <w:qFormat/>
    <w:pPr>
      <w:ind w:left="0" w:right="0" w:firstLine="964"/>
      <w:jc w:val="left"/>
      <w:spacing w:before="0" w:beforeAutospacing="0" w:after="0" w:afterAutospacing="0" w:line="360" w:lineRule="auto"/>
      <w:pBdr>
        <w:top w:val="none" w:color="auto" w:sz="0" w:space="0"/>
        <w:left w:val="none" w:color="auto" w:sz="0" w:space="0"/>
        <w:bottom w:val="none" w:color="auto" w:sz="0" w:space="0"/>
        <w:right w:val="none" w:color="auto" w:sz="0" w:space="0"/>
      </w:pBdr>
      <w:outlineLvl w:val="2"/>
    </w:pPr>
    <w:rPr>
      <w:rFonts w:hint="eastAsia" w:ascii="宋体" w:hAnsi="宋体" w:eastAsia="宋体" w:cs="宋体"/>
      <w:b/>
      <w:bCs/>
      <w:color w:val="000000"/>
      <w:sz w:val="24"/>
      <w:szCs w:val="27"/>
      <w:lang w:bidi="ar"/>
    </w:rPr>
  </w:style>
  <w:style w:type="paragraph" w:styleId="978">
    <w:name w:val="Heading 4"/>
    <w:basedOn w:val="974"/>
    <w:next w:val="974"/>
    <w:link w:val="1085"/>
    <w:uiPriority w:val="0"/>
    <w:qFormat/>
    <w:pPr>
      <w:ind w:firstLine="420"/>
      <w:keepLines/>
      <w:keepNext/>
      <w:spacing w:line="360" w:lineRule="auto"/>
      <w:outlineLvl w:val="3"/>
    </w:pPr>
    <w:rPr>
      <w:rFonts w:ascii="华文仿宋" w:hAnsi="华文仿宋" w:eastAsia="仿宋"/>
      <w:b/>
      <w:bCs/>
      <w:sz w:val="24"/>
      <w:szCs w:val="28"/>
    </w:rPr>
  </w:style>
  <w:style w:type="paragraph" w:styleId="979">
    <w:name w:val="Heading 5"/>
    <w:basedOn w:val="974"/>
    <w:next w:val="974"/>
    <w:link w:val="1086"/>
    <w:uiPriority w:val="0"/>
    <w:unhideWhenUsed/>
    <w:qFormat/>
    <w:pPr>
      <w:ind w:firstLine="964"/>
      <w:keepLines/>
      <w:keepNext/>
      <w:spacing w:beforeAutospacing="0" w:afterAutospacing="0" w:line="360" w:lineRule="auto"/>
      <w:outlineLvl w:val="4"/>
    </w:pPr>
    <w:rPr>
      <w:rFonts w:ascii="仿宋" w:hAnsi="仿宋" w:eastAsia="仿宋"/>
      <w:b/>
      <w:sz w:val="24"/>
    </w:rPr>
  </w:style>
  <w:style w:type="paragraph" w:styleId="980">
    <w:name w:val="Heading 6"/>
    <w:basedOn w:val="974"/>
    <w:next w:val="974"/>
    <w:link w:val="1087"/>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981">
    <w:name w:val="Heading 7"/>
    <w:basedOn w:val="974"/>
    <w:next w:val="974"/>
    <w:link w:val="1088"/>
    <w:uiPriority w:val="0"/>
    <w:semiHidden/>
    <w:unhideWhenUsed/>
    <w:qFormat/>
    <w:pPr>
      <w:keepLines/>
      <w:keepNext/>
      <w:spacing w:before="240" w:beforeAutospacing="0" w:after="64" w:afterAutospacing="0" w:line="317" w:lineRule="auto"/>
      <w:outlineLvl w:val="6"/>
    </w:pPr>
    <w:rPr>
      <w:b/>
      <w:sz w:val="24"/>
    </w:rPr>
  </w:style>
  <w:style w:type="paragraph" w:styleId="982">
    <w:name w:val="Heading 8"/>
    <w:basedOn w:val="974"/>
    <w:next w:val="974"/>
    <w:link w:val="1089"/>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983">
    <w:name w:val="Heading 9"/>
    <w:basedOn w:val="974"/>
    <w:next w:val="974"/>
    <w:link w:val="1090"/>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984" w:default="1">
    <w:name w:val="Default Paragraph Font"/>
    <w:uiPriority w:val="1"/>
    <w:unhideWhenUsed/>
    <w:qFormat/>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toc 7"/>
    <w:basedOn w:val="974"/>
    <w:next w:val="974"/>
    <w:uiPriority w:val="0"/>
    <w:qFormat/>
    <w:pPr>
      <w:ind w:left="2520"/>
    </w:pPr>
  </w:style>
  <w:style w:type="paragraph" w:styleId="987">
    <w:name w:val="Caption"/>
    <w:basedOn w:val="974"/>
    <w:next w:val="974"/>
    <w:uiPriority w:val="0"/>
    <w:semiHidden/>
    <w:unhideWhenUsed/>
    <w:qFormat/>
    <w:rPr>
      <w:rFonts w:ascii="Arial" w:hAnsi="Arial" w:eastAsia="黑体"/>
      <w:sz w:val="20"/>
    </w:rPr>
  </w:style>
  <w:style w:type="paragraph" w:styleId="988">
    <w:name w:val="index 5"/>
    <w:basedOn w:val="974"/>
    <w:next w:val="974"/>
    <w:uiPriority w:val="0"/>
    <w:qFormat/>
    <w:pPr>
      <w:ind w:left="798"/>
      <w:jc w:val="left"/>
    </w:pPr>
    <w:rPr>
      <w:rFonts w:ascii="Calibri" w:hAnsi="Calibri"/>
    </w:rPr>
  </w:style>
  <w:style w:type="paragraph" w:styleId="989">
    <w:name w:val="annotation text"/>
    <w:basedOn w:val="974"/>
    <w:link w:val="1408"/>
    <w:uiPriority w:val="0"/>
    <w:qFormat/>
    <w:pPr>
      <w:jc w:val="left"/>
    </w:pPr>
  </w:style>
  <w:style w:type="paragraph" w:styleId="990">
    <w:name w:val="Body Text"/>
    <w:basedOn w:val="974"/>
    <w:link w:val="1410"/>
    <w:uiPriority w:val="0"/>
    <w:qFormat/>
    <w:pPr>
      <w:spacing w:after="120"/>
    </w:pPr>
  </w:style>
  <w:style w:type="paragraph" w:styleId="991">
    <w:name w:val="Body Text Indent"/>
    <w:basedOn w:val="974"/>
    <w:next w:val="992"/>
    <w:link w:val="1413"/>
    <w:uiPriority w:val="0"/>
    <w:qFormat/>
    <w:pPr>
      <w:ind w:left="420"/>
      <w:spacing w:after="120"/>
    </w:pPr>
  </w:style>
  <w:style w:type="paragraph" w:styleId="992">
    <w:name w:val="envelope return"/>
    <w:basedOn w:val="974"/>
    <w:uiPriority w:val="0"/>
    <w:qFormat/>
    <w:rPr>
      <w:rFonts w:ascii="Arial" w:hAnsi="Arial"/>
    </w:rPr>
  </w:style>
  <w:style w:type="paragraph" w:styleId="993">
    <w:name w:val="List 2"/>
    <w:basedOn w:val="974"/>
    <w:uiPriority w:val="0"/>
    <w:qFormat/>
    <w:pPr>
      <w:ind w:left="100" w:hanging="200"/>
    </w:pPr>
  </w:style>
  <w:style w:type="paragraph" w:styleId="994">
    <w:name w:val="Block Text"/>
    <w:basedOn w:val="974"/>
    <w:uiPriority w:val="0"/>
    <w:qFormat/>
    <w:pPr>
      <w:ind w:left="420" w:right="33"/>
      <w:jc w:val="left"/>
    </w:pPr>
    <w:rPr>
      <w:sz w:val="24"/>
      <w:szCs w:val="20"/>
    </w:rPr>
  </w:style>
  <w:style w:type="paragraph" w:styleId="995">
    <w:name w:val="toc 5"/>
    <w:basedOn w:val="974"/>
    <w:next w:val="974"/>
    <w:uiPriority w:val="0"/>
    <w:qFormat/>
    <w:pPr>
      <w:ind w:left="1680"/>
    </w:pPr>
  </w:style>
  <w:style w:type="paragraph" w:styleId="996">
    <w:name w:val="toc 3"/>
    <w:basedOn w:val="974"/>
    <w:next w:val="974"/>
    <w:uiPriority w:val="0"/>
    <w:qFormat/>
    <w:pPr>
      <w:ind w:left="840"/>
    </w:pPr>
  </w:style>
  <w:style w:type="paragraph" w:styleId="997">
    <w:name w:val="Plain Text"/>
    <w:basedOn w:val="974"/>
    <w:link w:val="1551"/>
    <w:uiPriority w:val="0"/>
    <w:qFormat/>
    <w:rPr>
      <w:rFonts w:ascii="宋体" w:hAnsi="Courier New"/>
      <w:szCs w:val="21"/>
    </w:rPr>
  </w:style>
  <w:style w:type="paragraph" w:styleId="998">
    <w:name w:val="toc 8"/>
    <w:basedOn w:val="974"/>
    <w:next w:val="974"/>
    <w:uiPriority w:val="0"/>
    <w:qFormat/>
    <w:pPr>
      <w:ind w:left="2940"/>
    </w:pPr>
  </w:style>
  <w:style w:type="paragraph" w:styleId="999">
    <w:name w:val="Body Text Indent 2"/>
    <w:basedOn w:val="974"/>
    <w:uiPriority w:val="0"/>
    <w:qFormat/>
    <w:pPr>
      <w:ind w:left="420"/>
      <w:spacing w:after="120" w:line="480" w:lineRule="auto"/>
    </w:pPr>
  </w:style>
  <w:style w:type="paragraph" w:styleId="1000">
    <w:name w:val="endnote text"/>
    <w:basedOn w:val="974"/>
    <w:link w:val="1228"/>
    <w:uiPriority w:val="0"/>
    <w:qFormat/>
    <w:pPr>
      <w:jc w:val="left"/>
    </w:pPr>
  </w:style>
  <w:style w:type="paragraph" w:styleId="1001">
    <w:name w:val="Balloon Text"/>
    <w:basedOn w:val="974"/>
    <w:link w:val="1411"/>
    <w:uiPriority w:val="0"/>
    <w:qFormat/>
    <w:rPr>
      <w:sz w:val="18"/>
      <w:szCs w:val="18"/>
    </w:rPr>
  </w:style>
  <w:style w:type="paragraph" w:styleId="1002">
    <w:name w:val="Footer"/>
    <w:basedOn w:val="974"/>
    <w:link w:val="1101"/>
    <w:uiPriority w:val="0"/>
    <w:qFormat/>
    <w:pPr>
      <w:jc w:val="left"/>
      <w:tabs>
        <w:tab w:val="center" w:pos="4153" w:leader="none"/>
        <w:tab w:val="right" w:pos="8306" w:leader="none"/>
      </w:tabs>
    </w:pPr>
    <w:rPr>
      <w:sz w:val="18"/>
      <w:szCs w:val="18"/>
    </w:rPr>
  </w:style>
  <w:style w:type="paragraph" w:styleId="1003">
    <w:name w:val="Header"/>
    <w:basedOn w:val="974"/>
    <w:link w:val="1099"/>
    <w:uiPriority w:val="0"/>
    <w:qFormat/>
    <w:pPr>
      <w:jc w:val="center"/>
      <w:tabs>
        <w:tab w:val="center" w:pos="4153" w:leader="none"/>
        <w:tab w:val="right" w:pos="8306" w:leader="none"/>
      </w:tabs>
      <w:pBdr>
        <w:bottom w:val="single" w:color="auto" w:sz="6" w:space="1"/>
      </w:pBdr>
    </w:pPr>
    <w:rPr>
      <w:sz w:val="18"/>
      <w:szCs w:val="18"/>
    </w:rPr>
  </w:style>
  <w:style w:type="paragraph" w:styleId="1004">
    <w:name w:val="toc 1"/>
    <w:basedOn w:val="974"/>
    <w:next w:val="974"/>
    <w:uiPriority w:val="0"/>
    <w:qFormat/>
  </w:style>
  <w:style w:type="paragraph" w:styleId="1005">
    <w:name w:val="toc 4"/>
    <w:basedOn w:val="974"/>
    <w:next w:val="974"/>
    <w:uiPriority w:val="0"/>
    <w:qFormat/>
    <w:pPr>
      <w:ind w:left="1260"/>
    </w:pPr>
  </w:style>
  <w:style w:type="paragraph" w:styleId="1006">
    <w:name w:val="Subtitle"/>
    <w:basedOn w:val="974"/>
    <w:link w:val="1094"/>
    <w:uiPriority w:val="0"/>
    <w:qFormat/>
    <w:pPr>
      <w:jc w:val="center"/>
      <w:spacing w:before="240" w:beforeAutospacing="0" w:after="60" w:afterAutospacing="0" w:line="312" w:lineRule="auto"/>
      <w:outlineLvl w:val="1"/>
    </w:pPr>
    <w:rPr>
      <w:rFonts w:ascii="Arial" w:hAnsi="Arial"/>
      <w:b/>
      <w:sz w:val="32"/>
    </w:rPr>
  </w:style>
  <w:style w:type="paragraph" w:styleId="1007">
    <w:name w:val="footnote text"/>
    <w:basedOn w:val="974"/>
    <w:next w:val="988"/>
    <w:link w:val="1227"/>
    <w:uiPriority w:val="99"/>
    <w:unhideWhenUsed/>
    <w:qFormat/>
    <w:rPr>
      <w:sz w:val="18"/>
      <w:szCs w:val="18"/>
    </w:rPr>
  </w:style>
  <w:style w:type="paragraph" w:styleId="1008">
    <w:name w:val="toc 6"/>
    <w:basedOn w:val="974"/>
    <w:next w:val="974"/>
    <w:uiPriority w:val="0"/>
    <w:qFormat/>
    <w:pPr>
      <w:ind w:left="2100"/>
    </w:pPr>
  </w:style>
  <w:style w:type="paragraph" w:styleId="1009">
    <w:name w:val="table of figures"/>
    <w:basedOn w:val="974"/>
    <w:next w:val="974"/>
    <w:uiPriority w:val="0"/>
    <w:qFormat/>
    <w:pPr>
      <w:ind w:hanging="200"/>
    </w:pPr>
  </w:style>
  <w:style w:type="paragraph" w:styleId="1010">
    <w:name w:val="toc 2"/>
    <w:basedOn w:val="974"/>
    <w:next w:val="974"/>
    <w:uiPriority w:val="0"/>
    <w:qFormat/>
    <w:pPr>
      <w:ind w:left="420"/>
    </w:pPr>
  </w:style>
  <w:style w:type="paragraph" w:styleId="1011">
    <w:name w:val="toc 9"/>
    <w:basedOn w:val="974"/>
    <w:next w:val="974"/>
    <w:uiPriority w:val="0"/>
    <w:qFormat/>
    <w:pPr>
      <w:ind w:left="3360"/>
    </w:pPr>
  </w:style>
  <w:style w:type="paragraph" w:styleId="1012">
    <w:name w:val="Body Text 2"/>
    <w:basedOn w:val="974"/>
    <w:uiPriority w:val="0"/>
    <w:qFormat/>
    <w:pPr>
      <w:spacing w:after="120" w:afterAutospacing="0" w:line="480" w:lineRule="auto"/>
    </w:pPr>
  </w:style>
  <w:style w:type="paragraph" w:styleId="1013">
    <w:name w:val="Normal (Web)"/>
    <w:basedOn w:val="974"/>
    <w:link w:val="1552"/>
    <w:uiPriority w:val="99"/>
    <w:qFormat/>
    <w:pPr>
      <w:jc w:val="left"/>
      <w:spacing w:before="100" w:beforeAutospacing="1" w:after="100" w:afterAutospacing="1"/>
      <w:widowControl/>
    </w:pPr>
    <w:rPr>
      <w:rFonts w:ascii="宋体" w:hAnsi="宋体"/>
      <w:sz w:val="24"/>
    </w:rPr>
  </w:style>
  <w:style w:type="paragraph" w:styleId="1014">
    <w:name w:val="Title"/>
    <w:basedOn w:val="974"/>
    <w:next w:val="974"/>
    <w:link w:val="1093"/>
    <w:uiPriority w:val="0"/>
    <w:qFormat/>
    <w:pPr>
      <w:jc w:val="center"/>
      <w:spacing w:before="240" w:after="60"/>
      <w:outlineLvl w:val="0"/>
    </w:pPr>
    <w:rPr>
      <w:rFonts w:ascii="宋体" w:hAnsi="宋体"/>
      <w:b/>
      <w:bCs/>
      <w:sz w:val="32"/>
      <w:szCs w:val="32"/>
    </w:rPr>
  </w:style>
  <w:style w:type="paragraph" w:styleId="1015">
    <w:name w:val="annotation subject"/>
    <w:basedOn w:val="989"/>
    <w:next w:val="989"/>
    <w:link w:val="1407"/>
    <w:uiPriority w:val="0"/>
    <w:qFormat/>
    <w:rPr>
      <w:b/>
      <w:bCs/>
    </w:rPr>
  </w:style>
  <w:style w:type="paragraph" w:styleId="1016">
    <w:name w:val="Body Text First Indent 2"/>
    <w:basedOn w:val="991"/>
    <w:link w:val="1553"/>
    <w:uiPriority w:val="0"/>
    <w:qFormat/>
    <w:pPr>
      <w:ind w:firstLine="420"/>
    </w:pPr>
  </w:style>
  <w:style w:type="table" w:styleId="1017">
    <w:name w:val="Table Grid"/>
    <w:basedOn w:val="9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8">
    <w:name w:val="Strong"/>
    <w:basedOn w:val="984"/>
    <w:uiPriority w:val="0"/>
    <w:qFormat/>
    <w:rPr>
      <w:b/>
    </w:rPr>
  </w:style>
  <w:style w:type="character" w:styleId="1019">
    <w:name w:val="endnote reference"/>
    <w:basedOn w:val="984"/>
    <w:uiPriority w:val="0"/>
    <w:qFormat/>
    <w:rPr>
      <w:vertAlign w:val="superscript"/>
    </w:rPr>
  </w:style>
  <w:style w:type="character" w:styleId="1020">
    <w:name w:val="page number"/>
    <w:basedOn w:val="984"/>
    <w:uiPriority w:val="0"/>
    <w:qFormat/>
  </w:style>
  <w:style w:type="character" w:styleId="1021">
    <w:name w:val="FollowedHyperlink"/>
    <w:uiPriority w:val="0"/>
    <w:qFormat/>
    <w:rPr>
      <w:color w:val="000000"/>
      <w:u w:val="none"/>
    </w:rPr>
  </w:style>
  <w:style w:type="character" w:styleId="1022">
    <w:name w:val="Emphasis"/>
    <w:uiPriority w:val="0"/>
    <w:qFormat/>
    <w:rPr>
      <w:color w:val="f73131"/>
    </w:rPr>
  </w:style>
  <w:style w:type="character" w:styleId="1023">
    <w:name w:val="Hyperlink"/>
    <w:uiPriority w:val="0"/>
    <w:qFormat/>
    <w:rPr>
      <w:color w:val="000000"/>
      <w:u w:val="none"/>
    </w:rPr>
  </w:style>
  <w:style w:type="character" w:styleId="1024">
    <w:name w:val="annotation reference"/>
    <w:uiPriority w:val="0"/>
    <w:qFormat/>
    <w:rPr>
      <w:sz w:val="21"/>
      <w:szCs w:val="21"/>
    </w:rPr>
  </w:style>
  <w:style w:type="character" w:styleId="1025">
    <w:name w:val="footnote reference"/>
    <w:basedOn w:val="984"/>
    <w:uiPriority w:val="0"/>
    <w:qFormat/>
    <w:rPr>
      <w:vertAlign w:val="superscript"/>
    </w:rPr>
  </w:style>
  <w:style w:type="paragraph" w:styleId="1026" w:customStyle="1">
    <w:name w:val="列表段落1"/>
    <w:basedOn w:val="1027"/>
    <w:next w:val="974"/>
    <w:uiPriority w:val="0"/>
    <w:qFormat/>
    <w:pPr>
      <w:ind w:firstLine="420"/>
    </w:pPr>
  </w:style>
  <w:style w:type="paragraph" w:styleId="1027" w:customStyle="1">
    <w:name w:val="正文1"/>
    <w:basedOn w:val="1028"/>
    <w:next w:val="1037"/>
    <w:uiPriority w:val="0"/>
    <w:qFormat/>
    <w:pPr>
      <w:jc w:val="both"/>
      <w:widowControl w:val="off"/>
    </w:pPr>
    <w:rPr>
      <w:lang w:val="en-US" w:eastAsia="zh-CN" w:bidi="ar-SA"/>
    </w:rPr>
  </w:style>
  <w:style w:type="paragraph" w:styleId="1028" w:customStyle="1">
    <w:name w:val="正文111"/>
    <w:next w:val="1029"/>
    <w:link w:val="1232"/>
    <w:uiPriority w:val="0"/>
    <w:qFormat/>
    <w:pPr>
      <w:jc w:val="both"/>
      <w:widowControl w:val="off"/>
    </w:pPr>
    <w:rPr>
      <w:rFonts w:ascii="Times New Roman" w:hAnsi="Times New Roman" w:eastAsia="宋体" w:cs="Times New Roman"/>
      <w:sz w:val="21"/>
      <w:szCs w:val="24"/>
      <w:lang w:val="en-US" w:eastAsia="zh-CN" w:bidi="ar-SA"/>
    </w:rPr>
  </w:style>
  <w:style w:type="paragraph" w:styleId="1029" w:customStyle="1">
    <w:name w:val="正文文本缩进1"/>
    <w:basedOn w:val="1027"/>
    <w:next w:val="1030"/>
    <w:uiPriority w:val="0"/>
    <w:qFormat/>
    <w:pPr>
      <w:ind w:left="420"/>
      <w:spacing w:after="120"/>
    </w:pPr>
  </w:style>
  <w:style w:type="paragraph" w:styleId="1030" w:customStyle="1">
    <w:name w:val="寄信人地址1"/>
    <w:basedOn w:val="1031"/>
    <w:uiPriority w:val="0"/>
    <w:qFormat/>
    <w:rPr>
      <w:rFonts w:ascii="Arial" w:hAnsi="Arial"/>
    </w:rPr>
  </w:style>
  <w:style w:type="paragraph" w:styleId="1031" w:customStyle="1">
    <w:name w:val="正文11"/>
    <w:next w:val="1032"/>
    <w:link w:val="1392"/>
    <w:uiPriority w:val="0"/>
    <w:qFormat/>
    <w:pPr>
      <w:jc w:val="both"/>
    </w:pPr>
    <w:rPr>
      <w:rFonts w:ascii="Times New Roman" w:hAnsi="Times New Roman" w:eastAsia="宋体" w:cs="Times New Roman"/>
      <w:lang w:val="en-US" w:eastAsia="zh-CN" w:bidi="ar-SA"/>
    </w:rPr>
  </w:style>
  <w:style w:type="paragraph" w:styleId="1032" w:customStyle="1">
    <w:name w:val="文本块1"/>
    <w:basedOn w:val="1028"/>
    <w:next w:val="1033"/>
    <w:uiPriority w:val="0"/>
    <w:qFormat/>
    <w:pPr>
      <w:ind w:left="1440" w:right="1440"/>
      <w:spacing w:after="120"/>
    </w:pPr>
  </w:style>
  <w:style w:type="paragraph" w:styleId="1033" w:customStyle="1">
    <w:name w:val="标题 41"/>
    <w:basedOn w:val="1034"/>
    <w:next w:val="1031"/>
    <w:uiPriority w:val="0"/>
    <w:qFormat/>
    <w:pPr>
      <w:keepLines/>
      <w:keepNext/>
      <w:spacing w:line="360" w:lineRule="auto"/>
      <w:outlineLvl w:val="3"/>
    </w:pPr>
    <w:rPr>
      <w:rFonts w:ascii="Arial" w:hAnsi="Arial"/>
      <w:b/>
      <w:bCs/>
      <w:sz w:val="21"/>
      <w:szCs w:val="28"/>
    </w:rPr>
  </w:style>
  <w:style w:type="paragraph" w:styleId="1034" w:customStyle="1">
    <w:name w:val="正文12"/>
    <w:next w:val="103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35" w:customStyle="1">
    <w:name w:val="脚注文本1"/>
    <w:basedOn w:val="1027"/>
    <w:next w:val="1036"/>
    <w:uiPriority w:val="0"/>
    <w:qFormat/>
    <w:rPr>
      <w:sz w:val="18"/>
      <w:szCs w:val="18"/>
    </w:rPr>
  </w:style>
  <w:style w:type="paragraph" w:styleId="1036" w:customStyle="1">
    <w:name w:val="索引 51"/>
    <w:basedOn w:val="1027"/>
    <w:next w:val="1027"/>
    <w:uiPriority w:val="0"/>
    <w:qFormat/>
    <w:pPr>
      <w:ind w:left="798"/>
      <w:jc w:val="left"/>
    </w:pPr>
  </w:style>
  <w:style w:type="paragraph" w:styleId="1037" w:customStyle="1">
    <w:name w:val="目录 11"/>
    <w:basedOn w:val="1038"/>
    <w:next w:val="1034"/>
    <w:uiPriority w:val="0"/>
    <w:qFormat/>
    <w:pPr>
      <w:jc w:val="left"/>
      <w:spacing w:before="120" w:after="120"/>
    </w:pPr>
    <w:rPr>
      <w:b/>
      <w:bCs/>
      <w:caps/>
      <w:sz w:val="20"/>
      <w:szCs w:val="20"/>
    </w:rPr>
  </w:style>
  <w:style w:type="paragraph" w:styleId="1038" w:customStyle="1">
    <w:name w:val="正文112"/>
    <w:next w:val="1039"/>
    <w:uiPriority w:val="0"/>
    <w:qFormat/>
    <w:rPr>
      <w:rFonts w:hint="default" w:ascii="Times New Roman" w:hAnsi="Times New Roman" w:eastAsia="宋体" w:cs="Times New Roman"/>
      <w:lang w:val="en-US" w:eastAsia="zh-CN" w:bidi="ar-SA"/>
    </w:rPr>
  </w:style>
  <w:style w:type="paragraph" w:styleId="1039" w:customStyle="1">
    <w:name w:val="正文首行缩进1"/>
    <w:basedOn w:val="1040"/>
    <w:next w:val="1041"/>
    <w:link w:val="1304"/>
    <w:uiPriority w:val="0"/>
    <w:qFormat/>
    <w:pPr>
      <w:ind w:firstLine="200"/>
      <w:spacing w:line="360" w:lineRule="auto"/>
    </w:pPr>
    <w:rPr>
      <w:rFonts w:ascii="仿宋_GB2312" w:eastAsia="仿宋_GB2312"/>
      <w:sz w:val="30"/>
      <w:szCs w:val="30"/>
    </w:rPr>
  </w:style>
  <w:style w:type="paragraph" w:styleId="1040" w:customStyle="1">
    <w:name w:val="正文文本11"/>
    <w:basedOn w:val="1038"/>
    <w:next w:val="1028"/>
    <w:link w:val="1293"/>
    <w:uiPriority w:val="0"/>
    <w:qFormat/>
    <w:pPr>
      <w:spacing w:after="120"/>
    </w:pPr>
  </w:style>
  <w:style w:type="paragraph" w:styleId="1041" w:customStyle="1">
    <w:name w:val="正文首行缩进 211"/>
    <w:basedOn w:val="1042"/>
    <w:next w:val="1038"/>
    <w:uiPriority w:val="99"/>
    <w:unhideWhenUsed/>
    <w:qFormat/>
    <w:pPr>
      <w:ind w:left="0" w:firstLine="420"/>
    </w:pPr>
  </w:style>
  <w:style w:type="paragraph" w:styleId="1042" w:customStyle="1">
    <w:name w:val="正文文本缩进11"/>
    <w:basedOn w:val="1028"/>
    <w:next w:val="1043"/>
    <w:uiPriority w:val="0"/>
    <w:qFormat/>
    <w:pPr>
      <w:ind w:left="420"/>
      <w:spacing w:after="120"/>
    </w:pPr>
  </w:style>
  <w:style w:type="paragraph" w:styleId="1043" w:customStyle="1">
    <w:name w:val="寄信人地址11"/>
    <w:basedOn w:val="974"/>
    <w:uiPriority w:val="0"/>
    <w:qFormat/>
    <w:rPr>
      <w:rFonts w:ascii="Arial" w:hAnsi="Arial"/>
    </w:rPr>
  </w:style>
  <w:style w:type="paragraph" w:styleId="1044" w:customStyle="1">
    <w:name w:val="无间隔1"/>
    <w:uiPriority w:val="0"/>
    <w:qFormat/>
    <w:rPr>
      <w:rFonts w:hint="default" w:ascii="Calibri" w:hAnsi="Calibri" w:eastAsia="宋体" w:cs="Times New Roman"/>
      <w:sz w:val="22"/>
      <w:lang w:val="en-US" w:eastAsia="zh-CN" w:bidi="ar-SA"/>
    </w:rPr>
  </w:style>
  <w:style w:type="paragraph" w:styleId="1045" w:customStyle="1">
    <w:name w:val="正文文本1"/>
    <w:basedOn w:val="1046"/>
    <w:next w:val="1027"/>
    <w:uiPriority w:val="0"/>
    <w:qFormat/>
    <w:pPr>
      <w:spacing w:after="120"/>
    </w:pPr>
    <w:rPr>
      <w:lang w:val="en-US" w:eastAsia="en-US"/>
    </w:rPr>
  </w:style>
  <w:style w:type="paragraph" w:styleId="1046" w:customStyle="1">
    <w:name w:val="正文1111"/>
    <w:next w:val="10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标题 211"/>
    <w:basedOn w:val="1031"/>
    <w:next w:val="1046"/>
    <w:link w:val="1289"/>
    <w:uiPriority w:val="0"/>
    <w:qFormat/>
    <w:pPr>
      <w:keepLines/>
      <w:keepNext/>
      <w:spacing w:before="260" w:after="260" w:line="416" w:lineRule="auto"/>
      <w:outlineLvl w:val="1"/>
    </w:pPr>
    <w:rPr>
      <w:rFonts w:ascii="Calibri Light" w:hAnsi="Calibri Light"/>
      <w:b/>
      <w:bCs/>
      <w:sz w:val="32"/>
      <w:szCs w:val="32"/>
    </w:rPr>
  </w:style>
  <w:style w:type="paragraph" w:styleId="1048" w:customStyle="1">
    <w:name w:val="信息标题1"/>
    <w:next w:val="1049"/>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1049" w:customStyle="1">
    <w:name w:val="正文文本12"/>
    <w:next w:val="974"/>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50" w:customStyle="1">
    <w:name w:val="一级条标题"/>
    <w:basedOn w:val="1051"/>
    <w:next w:val="10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1" w:customStyle="1">
    <w:name w:val="章标题"/>
    <w:next w:val="102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52" w:customStyle="1">
    <w:name w:val="段"/>
    <w:basedOn w:val="1031"/>
    <w:next w:val="974"/>
    <w:uiPriority w:val="0"/>
    <w:qFormat/>
    <w:pPr>
      <w:ind w:firstLine="200"/>
      <w:jc w:val="both"/>
    </w:pPr>
    <w:rPr>
      <w:rFonts w:ascii="宋体" w:hAnsi="Calibri"/>
      <w:sz w:val="21"/>
      <w:szCs w:val="22"/>
      <w:lang w:val="en-US" w:eastAsia="zh-CN" w:bidi="ar-SA"/>
    </w:rPr>
  </w:style>
  <w:style w:type="paragraph" w:styleId="1053" w:customStyle="1">
    <w:name w:val="正文13"/>
    <w:next w:val="10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目录 111"/>
    <w:basedOn w:val="1028"/>
    <w:next w:val="1028"/>
    <w:uiPriority w:val="0"/>
    <w:qFormat/>
    <w:pPr>
      <w:jc w:val="left"/>
      <w:spacing w:after="100" w:line="259" w:lineRule="auto"/>
      <w:widowControl/>
    </w:pPr>
    <w:rPr>
      <w:rFonts w:ascii="Calibri" w:hAnsi="Calibri"/>
      <w:sz w:val="22"/>
      <w:szCs w:val="22"/>
    </w:rPr>
  </w:style>
  <w:style w:type="paragraph" w:styleId="1055" w:customStyle="1">
    <w:name w:val="标题 21"/>
    <w:basedOn w:val="1038"/>
    <w:next w:val="103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56" w:customStyle="1">
    <w:name w:val="页脚1"/>
    <w:basedOn w:val="1027"/>
    <w:link w:val="1298"/>
    <w:uiPriority w:val="0"/>
    <w:qFormat/>
    <w:pPr>
      <w:jc w:val="left"/>
      <w:tabs>
        <w:tab w:val="center" w:pos="4153" w:leader="none"/>
        <w:tab w:val="right" w:pos="8306" w:leader="none"/>
      </w:tabs>
    </w:pPr>
    <w:rPr>
      <w:sz w:val="18"/>
      <w:szCs w:val="18"/>
    </w:rPr>
  </w:style>
  <w:style w:type="paragraph" w:styleId="1057" w:customStyle="1">
    <w:name w:val="正文113"/>
    <w:next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BodyText1I21"/>
    <w:basedOn w:val="1042"/>
    <w:uiPriority w:val="0"/>
    <w:qFormat/>
    <w:pPr>
      <w:ind w:firstLine="420"/>
      <w:jc w:val="both"/>
      <w:spacing w:line="240" w:lineRule="auto"/>
    </w:pPr>
    <w:rPr>
      <w:sz w:val="21"/>
      <w:lang w:val="en-US" w:eastAsia="zh-CN"/>
    </w:rPr>
  </w:style>
  <w:style w:type="paragraph" w:styleId="1059" w:customStyle="1">
    <w:name w:val="文本块11"/>
    <w:basedOn w:val="1034"/>
    <w:uiPriority w:val="0"/>
    <w:qFormat/>
    <w:pPr>
      <w:ind w:left="256" w:right="6" w:firstLine="624"/>
    </w:pPr>
    <w:rPr>
      <w:rFonts w:ascii="Arial" w:hAnsi="Arial" w:eastAsia="仿宋"/>
      <w:sz w:val="28"/>
    </w:rPr>
  </w:style>
  <w:style w:type="paragraph" w:styleId="1060" w:customStyle="1">
    <w:name w:val="正文121"/>
    <w:next w:val="1059"/>
    <w:uiPriority w:val="0"/>
    <w:qFormat/>
    <w:pPr>
      <w:jc w:val="both"/>
      <w:widowControl w:val="off"/>
    </w:pPr>
    <w:rPr>
      <w:rFonts w:hint="default" w:ascii="Times New Roman" w:hAnsi="Times New Roman" w:eastAsia="宋体" w:cs="Times New Roman"/>
      <w:sz w:val="21"/>
      <w:szCs w:val="24"/>
    </w:rPr>
  </w:style>
  <w:style w:type="paragraph" w:styleId="1061" w:customStyle="1">
    <w:name w:val="正文缩进11"/>
    <w:basedOn w:val="974"/>
    <w:uiPriority w:val="99"/>
    <w:qFormat/>
    <w:pPr>
      <w:ind w:firstLine="420"/>
    </w:pPr>
    <w:rPr>
      <w:rFonts w:eastAsia="Times New Roman"/>
      <w:sz w:val="24"/>
      <w:szCs w:val="20"/>
    </w:rPr>
  </w:style>
  <w:style w:type="paragraph" w:styleId="1062" w:customStyle="1">
    <w:name w:val="索引 41"/>
    <w:basedOn w:val="1027"/>
    <w:next w:val="1027"/>
    <w:uiPriority w:val="0"/>
    <w:unhideWhenUsed/>
    <w:qFormat/>
    <w:pPr>
      <w:ind w:left="600"/>
      <w:jc w:val="both"/>
    </w:pPr>
    <w:rPr>
      <w:rFonts w:ascii="Calibri"/>
      <w:sz w:val="22"/>
    </w:rPr>
  </w:style>
  <w:style w:type="paragraph" w:styleId="1063" w:customStyle="1">
    <w:name w:val="正文首行缩进11"/>
    <w:basedOn w:val="1045"/>
    <w:next w:val="1041"/>
    <w:uiPriority w:val="0"/>
    <w:qFormat/>
    <w:pPr>
      <w:ind w:firstLine="420"/>
    </w:pPr>
    <w:rPr>
      <w:rFonts w:ascii="仿宋_GB2312" w:eastAsia="仿宋_GB2312"/>
      <w:sz w:val="30"/>
      <w:szCs w:val="30"/>
    </w:rPr>
  </w:style>
  <w:style w:type="paragraph" w:styleId="1064" w:customStyle="1">
    <w:name w:val="正文首行缩进 21"/>
    <w:basedOn w:val="991"/>
    <w:next w:val="974"/>
    <w:uiPriority w:val="0"/>
    <w:qFormat/>
    <w:pPr>
      <w:ind w:left="0" w:firstLine="420"/>
      <w:spacing w:after="0" w:line="360" w:lineRule="auto"/>
    </w:pPr>
    <w:rPr>
      <w:rFonts w:ascii="宋体" w:hAnsi="宋体"/>
    </w:rPr>
  </w:style>
  <w:style w:type="character" w:styleId="1065" w:customStyle="1">
    <w:name w:val="Heading 1 Char"/>
    <w:uiPriority w:val="9"/>
    <w:qFormat/>
    <w:rPr>
      <w:rFonts w:ascii="Arial" w:hAnsi="Arial" w:eastAsia="Arial" w:cs="Arial"/>
      <w:sz w:val="40"/>
      <w:szCs w:val="40"/>
    </w:rPr>
  </w:style>
  <w:style w:type="character" w:styleId="1066" w:customStyle="1">
    <w:name w:val="Heading 2 Char"/>
    <w:uiPriority w:val="9"/>
    <w:qFormat/>
    <w:rPr>
      <w:rFonts w:ascii="Arial" w:hAnsi="Arial" w:eastAsia="Arial" w:cs="Arial"/>
      <w:sz w:val="34"/>
    </w:rPr>
  </w:style>
  <w:style w:type="character" w:styleId="1067" w:customStyle="1">
    <w:name w:val="Heading 3 Char"/>
    <w:uiPriority w:val="9"/>
    <w:qFormat/>
    <w:rPr>
      <w:rFonts w:ascii="Arial" w:hAnsi="Arial" w:eastAsia="Arial" w:cs="Arial"/>
      <w:sz w:val="30"/>
      <w:szCs w:val="30"/>
    </w:rPr>
  </w:style>
  <w:style w:type="character" w:styleId="1068" w:customStyle="1">
    <w:name w:val="Heading 4 Char"/>
    <w:uiPriority w:val="9"/>
    <w:qFormat/>
    <w:rPr>
      <w:rFonts w:ascii="Arial" w:hAnsi="Arial" w:eastAsia="Arial" w:cs="Arial"/>
      <w:b/>
      <w:bCs/>
      <w:sz w:val="26"/>
      <w:szCs w:val="26"/>
    </w:rPr>
  </w:style>
  <w:style w:type="character" w:styleId="1069" w:customStyle="1">
    <w:name w:val="Heading 5 Char"/>
    <w:uiPriority w:val="9"/>
    <w:qFormat/>
    <w:rPr>
      <w:rFonts w:ascii="Arial" w:hAnsi="Arial" w:eastAsia="Arial" w:cs="Arial"/>
      <w:b/>
      <w:bCs/>
      <w:sz w:val="24"/>
      <w:szCs w:val="24"/>
    </w:rPr>
  </w:style>
  <w:style w:type="character" w:styleId="1070" w:customStyle="1">
    <w:name w:val="Heading 6 Char"/>
    <w:uiPriority w:val="9"/>
    <w:qFormat/>
    <w:rPr>
      <w:rFonts w:ascii="Arial" w:hAnsi="Arial" w:eastAsia="Arial" w:cs="Arial"/>
      <w:b/>
      <w:bCs/>
      <w:sz w:val="22"/>
      <w:szCs w:val="22"/>
    </w:rPr>
  </w:style>
  <w:style w:type="character" w:styleId="1071" w:customStyle="1">
    <w:name w:val="Heading 7 Char"/>
    <w:uiPriority w:val="9"/>
    <w:qFormat/>
    <w:rPr>
      <w:rFonts w:ascii="Arial" w:hAnsi="Arial" w:eastAsia="Arial" w:cs="Arial"/>
      <w:b/>
      <w:bCs/>
      <w:i/>
      <w:iCs/>
      <w:sz w:val="22"/>
      <w:szCs w:val="22"/>
    </w:rPr>
  </w:style>
  <w:style w:type="character" w:styleId="1072" w:customStyle="1">
    <w:name w:val="Heading 8 Char"/>
    <w:uiPriority w:val="9"/>
    <w:qFormat/>
    <w:rPr>
      <w:rFonts w:ascii="Arial" w:hAnsi="Arial" w:eastAsia="Arial" w:cs="Arial"/>
      <w:i/>
      <w:iCs/>
      <w:sz w:val="22"/>
      <w:szCs w:val="22"/>
    </w:rPr>
  </w:style>
  <w:style w:type="character" w:styleId="1073" w:customStyle="1">
    <w:name w:val="Heading 9 Char"/>
    <w:uiPriority w:val="9"/>
    <w:qFormat/>
    <w:rPr>
      <w:rFonts w:ascii="Arial" w:hAnsi="Arial" w:eastAsia="Arial" w:cs="Arial"/>
      <w:i/>
      <w:iCs/>
      <w:sz w:val="21"/>
      <w:szCs w:val="21"/>
    </w:rPr>
  </w:style>
  <w:style w:type="character" w:styleId="1074" w:customStyle="1">
    <w:name w:val="Title Char"/>
    <w:uiPriority w:val="10"/>
    <w:qFormat/>
    <w:rPr>
      <w:sz w:val="48"/>
      <w:szCs w:val="48"/>
    </w:rPr>
  </w:style>
  <w:style w:type="character" w:styleId="1075" w:customStyle="1">
    <w:name w:val="Subtitle Char"/>
    <w:uiPriority w:val="11"/>
    <w:qFormat/>
    <w:rPr>
      <w:sz w:val="24"/>
      <w:szCs w:val="24"/>
    </w:rPr>
  </w:style>
  <w:style w:type="character" w:styleId="1076" w:customStyle="1">
    <w:name w:val="Quote Char"/>
    <w:uiPriority w:val="29"/>
    <w:qFormat/>
    <w:rPr>
      <w:i/>
    </w:rPr>
  </w:style>
  <w:style w:type="character" w:styleId="1077" w:customStyle="1">
    <w:name w:val="Intense Quote Char"/>
    <w:uiPriority w:val="30"/>
    <w:qFormat/>
    <w:rPr>
      <w:i/>
    </w:rPr>
  </w:style>
  <w:style w:type="character" w:styleId="1078" w:customStyle="1">
    <w:name w:val="Header Char"/>
    <w:basedOn w:val="984"/>
    <w:uiPriority w:val="99"/>
    <w:qFormat/>
  </w:style>
  <w:style w:type="character" w:styleId="1079" w:customStyle="1">
    <w:name w:val="Caption Char"/>
    <w:uiPriority w:val="99"/>
    <w:qFormat/>
  </w:style>
  <w:style w:type="character" w:styleId="1080" w:customStyle="1">
    <w:name w:val="Footnote Text Char"/>
    <w:uiPriority w:val="99"/>
    <w:qFormat/>
    <w:rPr>
      <w:sz w:val="18"/>
    </w:rPr>
  </w:style>
  <w:style w:type="character" w:styleId="1081" w:customStyle="1">
    <w:name w:val="Endnote Text Char"/>
    <w:uiPriority w:val="99"/>
    <w:qFormat/>
    <w:rPr>
      <w:sz w:val="20"/>
    </w:rPr>
  </w:style>
  <w:style w:type="character" w:styleId="1082" w:customStyle="1">
    <w:name w:val="标题 1 字符"/>
    <w:link w:val="975"/>
    <w:uiPriority w:val="9"/>
    <w:qFormat/>
    <w:rPr>
      <w:rFonts w:ascii="Times New Roman" w:hAnsi="Times New Roman" w:eastAsia="宋体"/>
      <w:b/>
      <w:sz w:val="28"/>
      <w:szCs w:val="20"/>
    </w:rPr>
  </w:style>
  <w:style w:type="character" w:styleId="1083" w:customStyle="1">
    <w:name w:val="标题 2 字符"/>
    <w:link w:val="976"/>
    <w:uiPriority w:val="9"/>
    <w:qFormat/>
    <w:rPr>
      <w:rFonts w:ascii="Cambria" w:hAnsi="Cambria" w:eastAsia="宋体"/>
      <w:bCs/>
      <w:sz w:val="24"/>
      <w:szCs w:val="32"/>
    </w:rPr>
  </w:style>
  <w:style w:type="character" w:styleId="1084" w:customStyle="1">
    <w:name w:val="标题 3 字符"/>
    <w:link w:val="977"/>
    <w:uiPriority w:val="9"/>
    <w:qFormat/>
    <w:rPr>
      <w:rFonts w:hint="eastAsia" w:ascii="宋体" w:hAnsi="宋体" w:eastAsia="宋体" w:cs="宋体"/>
      <w:b/>
      <w:bCs/>
      <w:color w:val="000000"/>
      <w:sz w:val="30"/>
      <w:szCs w:val="27"/>
      <w:lang w:bidi="ar"/>
    </w:rPr>
  </w:style>
  <w:style w:type="character" w:styleId="1085" w:customStyle="1">
    <w:name w:val="标题 4 字符"/>
    <w:link w:val="978"/>
    <w:uiPriority w:val="9"/>
    <w:qFormat/>
    <w:rPr>
      <w:rFonts w:ascii="华文仿宋" w:hAnsi="华文仿宋" w:eastAsia="仿宋"/>
      <w:b/>
      <w:bCs/>
      <w:sz w:val="24"/>
      <w:szCs w:val="28"/>
    </w:rPr>
  </w:style>
  <w:style w:type="character" w:styleId="1086" w:customStyle="1">
    <w:name w:val="标题 5 字符"/>
    <w:link w:val="979"/>
    <w:uiPriority w:val="9"/>
    <w:qFormat/>
    <w:rPr>
      <w:rFonts w:ascii="仿宋" w:hAnsi="仿宋" w:eastAsia="仿宋"/>
      <w:b/>
      <w:sz w:val="24"/>
    </w:rPr>
  </w:style>
  <w:style w:type="character" w:styleId="1087" w:customStyle="1">
    <w:name w:val="标题 6 字符"/>
    <w:link w:val="980"/>
    <w:uiPriority w:val="9"/>
    <w:qFormat/>
    <w:rPr>
      <w:rFonts w:ascii="Arial" w:hAnsi="Arial" w:eastAsia="黑体"/>
      <w:b/>
      <w:sz w:val="24"/>
    </w:rPr>
  </w:style>
  <w:style w:type="character" w:styleId="1088" w:customStyle="1">
    <w:name w:val="标题 7 字符"/>
    <w:link w:val="981"/>
    <w:uiPriority w:val="9"/>
    <w:qFormat/>
    <w:rPr>
      <w:b/>
      <w:sz w:val="24"/>
    </w:rPr>
  </w:style>
  <w:style w:type="character" w:styleId="1089" w:customStyle="1">
    <w:name w:val="标题 8 字符"/>
    <w:link w:val="982"/>
    <w:uiPriority w:val="9"/>
    <w:qFormat/>
    <w:rPr>
      <w:rFonts w:ascii="Arial" w:hAnsi="Arial" w:eastAsia="黑体"/>
      <w:sz w:val="24"/>
    </w:rPr>
  </w:style>
  <w:style w:type="character" w:styleId="1090" w:customStyle="1">
    <w:name w:val="标题 9 字符"/>
    <w:link w:val="983"/>
    <w:uiPriority w:val="9"/>
    <w:qFormat/>
    <w:rPr>
      <w:rFonts w:ascii="Arial" w:hAnsi="Arial" w:eastAsia="黑体"/>
      <w:sz w:val="21"/>
    </w:rPr>
  </w:style>
  <w:style w:type="paragraph" w:styleId="1091">
    <w:name w:val="List Paragraph"/>
    <w:basedOn w:val="974"/>
    <w:uiPriority w:val="34"/>
    <w:qFormat/>
    <w:pPr>
      <w:ind w:firstLine="420"/>
    </w:pPr>
    <w:rPr>
      <w:rFonts w:ascii="Calibri" w:hAnsi="Calibri"/>
    </w:rPr>
  </w:style>
  <w:style w:type="paragraph" w:styleId="1092">
    <w:name w:val="No Spacing"/>
    <w:uiPriority w:val="1"/>
    <w:qFormat/>
    <w:rPr>
      <w:rFonts w:hint="default" w:ascii="Times New Roman" w:hAnsi="Times New Roman" w:eastAsia="宋体" w:cs="Times New Roman"/>
      <w:lang w:val="en-US" w:eastAsia="zh-CN" w:bidi="ar-SA"/>
    </w:rPr>
  </w:style>
  <w:style w:type="character" w:styleId="1093" w:customStyle="1">
    <w:name w:val="标题 字符"/>
    <w:link w:val="1014"/>
    <w:uiPriority w:val="10"/>
    <w:qFormat/>
    <w:rPr>
      <w:rFonts w:ascii="宋体" w:hAnsi="宋体"/>
      <w:b/>
      <w:bCs/>
      <w:sz w:val="32"/>
      <w:szCs w:val="32"/>
    </w:rPr>
  </w:style>
  <w:style w:type="character" w:styleId="1094" w:customStyle="1">
    <w:name w:val="副标题 字符"/>
    <w:link w:val="1006"/>
    <w:uiPriority w:val="11"/>
    <w:qFormat/>
    <w:rPr>
      <w:rFonts w:ascii="Arial" w:hAnsi="Arial"/>
      <w:b/>
      <w:sz w:val="32"/>
    </w:rPr>
  </w:style>
  <w:style w:type="paragraph" w:styleId="1095">
    <w:name w:val="Quote"/>
    <w:basedOn w:val="974"/>
    <w:next w:val="974"/>
    <w:link w:val="1096"/>
    <w:uiPriority w:val="29"/>
    <w:qFormat/>
    <w:pPr>
      <w:ind w:left="720" w:right="720"/>
    </w:pPr>
    <w:rPr>
      <w:i/>
    </w:rPr>
  </w:style>
  <w:style w:type="character" w:styleId="1096" w:customStyle="1">
    <w:name w:val="引用 字符"/>
    <w:link w:val="1095"/>
    <w:uiPriority w:val="29"/>
    <w:qFormat/>
    <w:rPr>
      <w:i/>
    </w:rPr>
  </w:style>
  <w:style w:type="paragraph" w:styleId="1097">
    <w:name w:val="Intense Quote"/>
    <w:basedOn w:val="974"/>
    <w:next w:val="974"/>
    <w:link w:val="10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8" w:customStyle="1">
    <w:name w:val="明显引用 字符"/>
    <w:link w:val="1097"/>
    <w:uiPriority w:val="30"/>
    <w:qFormat/>
    <w:rPr>
      <w:i/>
    </w:rPr>
  </w:style>
  <w:style w:type="character" w:styleId="1099" w:customStyle="1">
    <w:name w:val="页眉 字符"/>
    <w:link w:val="1003"/>
    <w:uiPriority w:val="99"/>
    <w:qFormat/>
    <w:rPr>
      <w:sz w:val="18"/>
      <w:szCs w:val="18"/>
    </w:rPr>
  </w:style>
  <w:style w:type="character" w:styleId="1100" w:customStyle="1">
    <w:name w:val="Footer Char"/>
    <w:uiPriority w:val="99"/>
    <w:qFormat/>
  </w:style>
  <w:style w:type="character" w:styleId="1101" w:customStyle="1">
    <w:name w:val="页脚 字符"/>
    <w:link w:val="1002"/>
    <w:uiPriority w:val="99"/>
    <w:qFormat/>
    <w:rPr>
      <w:sz w:val="18"/>
      <w:szCs w:val="18"/>
    </w:rPr>
  </w:style>
  <w:style w:type="table" w:styleId="11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3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4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4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5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9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27" w:customStyle="1">
    <w:name w:val="脚注文本 字符"/>
    <w:link w:val="1007"/>
    <w:uiPriority w:val="99"/>
    <w:qFormat/>
    <w:rPr>
      <w:sz w:val="18"/>
      <w:szCs w:val="18"/>
    </w:rPr>
  </w:style>
  <w:style w:type="character" w:styleId="1228" w:customStyle="1">
    <w:name w:val="尾注文本 字符"/>
    <w:link w:val="1000"/>
    <w:uiPriority w:val="99"/>
    <w:qFormat/>
  </w:style>
  <w:style w:type="paragraph" w:styleId="1229" w:customStyle="1">
    <w:name w:val="TOC Heading"/>
    <w:uiPriority w:val="39"/>
    <w:unhideWhenUsed/>
    <w:qFormat/>
    <w:rPr>
      <w:rFonts w:hint="default" w:ascii="Times New Roman" w:hAnsi="Times New Roman" w:eastAsia="宋体" w:cs="Times New Roman"/>
      <w:lang w:val="en-US" w:eastAsia="zh-CN" w:bidi="ar-SA"/>
    </w:rPr>
  </w:style>
  <w:style w:type="paragraph" w:styleId="1230" w:customStyle="1">
    <w:name w:val="样式 正文文本缩进 + 首行缩进:  2 字符 行距: 1.5 倍行距"/>
    <w:basedOn w:val="1042"/>
    <w:uiPriority w:val="0"/>
    <w:qFormat/>
    <w:pPr>
      <w:ind w:firstLine="645"/>
      <w:spacing w:before="156" w:after="120"/>
    </w:pPr>
    <w:rPr>
      <w:rFonts w:ascii="Calibri" w:hAnsi="Calibri"/>
      <w:sz w:val="28"/>
    </w:rPr>
  </w:style>
  <w:style w:type="character" w:styleId="1231" w:customStyle="1">
    <w:name w:val="NormalCharacter1"/>
    <w:link w:val="974"/>
    <w:uiPriority w:val="0"/>
    <w:qFormat/>
    <w:rPr>
      <w:rFonts w:ascii="Times New Roman" w:hAnsi="Times New Roman" w:eastAsia="宋体" w:cs="Times New Roman"/>
      <w:sz w:val="21"/>
      <w:szCs w:val="24"/>
      <w:lang w:val="en-US" w:eastAsia="zh-CN" w:bidi="ar-SA"/>
    </w:rPr>
  </w:style>
  <w:style w:type="character" w:styleId="1232" w:customStyle="1">
    <w:name w:val="页码1"/>
    <w:link w:val="1028"/>
    <w:uiPriority w:val="0"/>
    <w:qFormat/>
    <w:rPr>
      <w:rFonts w:ascii="Times New Roman" w:hAnsi="Times New Roman" w:eastAsia="宋体" w:cs="Times New Roman"/>
      <w:sz w:val="21"/>
      <w:szCs w:val="24"/>
      <w:lang w:val="en-US" w:eastAsia="zh-CN" w:bidi="ar-SA"/>
    </w:rPr>
  </w:style>
  <w:style w:type="character" w:styleId="1233" w:customStyle="1">
    <w:name w:val="默认段落字体1"/>
    <w:link w:val="974"/>
    <w:uiPriority w:val="0"/>
    <w:qFormat/>
    <w:rPr>
      <w:rFonts w:hint="default" w:ascii="Calibri" w:hAnsi="Calibri" w:eastAsia="宋体" w:cs="Times New Roman"/>
      <w:sz w:val="21"/>
      <w:szCs w:val="21"/>
      <w:lang w:val="en-US" w:eastAsia="zh-CN" w:bidi="ar-SA"/>
    </w:rPr>
  </w:style>
  <w:style w:type="paragraph" w:styleId="1234" w:customStyle="1">
    <w:name w:val="纯文本1"/>
    <w:basedOn w:val="1027"/>
    <w:uiPriority w:val="0"/>
    <w:qFormat/>
    <w:rPr>
      <w:rFonts w:ascii="宋体" w:hAnsi="Courier New"/>
      <w:sz w:val="21"/>
      <w:szCs w:val="21"/>
      <w:lang w:val="en-US" w:eastAsia="en-US"/>
    </w:rPr>
  </w:style>
  <w:style w:type="paragraph" w:styleId="1235" w:customStyle="1">
    <w:name w:val="脚注文本11"/>
    <w:basedOn w:val="974"/>
    <w:next w:val="1236"/>
    <w:uiPriority w:val="0"/>
    <w:unhideWhenUsed/>
    <w:qFormat/>
    <w:pPr>
      <w:spacing w:after="40"/>
    </w:pPr>
    <w:rPr>
      <w:sz w:val="18"/>
    </w:rPr>
  </w:style>
  <w:style w:type="paragraph" w:styleId="1236" w:customStyle="1">
    <w:name w:val="索引 511"/>
    <w:basedOn w:val="974"/>
    <w:next w:val="974"/>
    <w:uiPriority w:val="0"/>
    <w:qFormat/>
    <w:pPr>
      <w:ind w:left="798"/>
      <w:jc w:val="left"/>
    </w:pPr>
    <w:rPr>
      <w:rFonts w:ascii="Calibri" w:hAnsi="Calibri"/>
      <w:sz w:val="21"/>
    </w:rPr>
  </w:style>
  <w:style w:type="paragraph" w:styleId="1237" w:customStyle="1">
    <w:name w:val="正文文本111"/>
    <w:basedOn w:val="1238"/>
    <w:next w:val="1034"/>
    <w:uiPriority w:val="0"/>
    <w:qFormat/>
  </w:style>
  <w:style w:type="paragraph" w:styleId="1238" w:customStyle="1">
    <w:name w:val="正文1121"/>
    <w:next w:val="1237"/>
    <w:uiPriority w:val="0"/>
    <w:qFormat/>
    <w:pPr>
      <w:jc w:val="both"/>
      <w:widowControl w:val="off"/>
    </w:pPr>
    <w:rPr>
      <w:rFonts w:hint="default" w:ascii="Calibri" w:hAnsi="Calibri" w:eastAsia="宋体" w:cs="Times New Roman"/>
      <w:sz w:val="21"/>
      <w:szCs w:val="24"/>
      <w:lang w:val="en-US" w:eastAsia="zh-CN" w:bidi="ar-SA"/>
    </w:rPr>
  </w:style>
  <w:style w:type="paragraph" w:styleId="1239" w:customStyle="1">
    <w:name w:val="普通(网站)1"/>
    <w:basedOn w:val="1028"/>
    <w:uiPriority w:val="0"/>
    <w:qFormat/>
    <w:pPr>
      <w:jc w:val="left"/>
      <w:spacing w:before="100" w:beforeAutospacing="1" w:after="100" w:afterAutospacing="1"/>
      <w:widowControl/>
    </w:pPr>
    <w:rPr>
      <w:rFonts w:ascii="宋体" w:hAnsi="宋体"/>
      <w:sz w:val="24"/>
    </w:rPr>
  </w:style>
  <w:style w:type="paragraph" w:styleId="1240" w:customStyle="1">
    <w:name w:val="正文_0"/>
    <w:uiPriority w:val="0"/>
    <w:unhideWhenUsed/>
    <w:qFormat/>
    <w:rPr>
      <w:rFonts w:hint="eastAsia" w:ascii="Times New Roman" w:hAnsi="Times New Roman" w:eastAsia="宋体" w:cs="Times New Roman"/>
      <w:sz w:val="21"/>
      <w:lang w:val="en-US" w:eastAsia="zh-CN" w:bidi="ar-SA"/>
    </w:rPr>
  </w:style>
  <w:style w:type="paragraph" w:styleId="1241" w:customStyle="1">
    <w:name w:val="Fließtext"/>
    <w:uiPriority w:val="0"/>
    <w:qFormat/>
    <w:pPr>
      <w:jc w:val="both"/>
      <w:widowControl w:val="off"/>
    </w:pPr>
    <w:rPr>
      <w:rFonts w:hint="default" w:ascii="Times New Roman" w:hAnsi="Times New Roman" w:eastAsia="宋体" w:cs="Times New Roman"/>
      <w:sz w:val="21"/>
      <w:lang w:val="en-US" w:eastAsia="zh-CN" w:bidi="ar-SA"/>
    </w:rPr>
  </w:style>
  <w:style w:type="paragraph" w:styleId="124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243" w:customStyle="1">
    <w:name w:val="页眉1"/>
    <w:basedOn w:val="1028"/>
    <w:link w:val="1299"/>
    <w:uiPriority w:val="0"/>
    <w:qFormat/>
    <w:pPr>
      <w:jc w:val="center"/>
      <w:tabs>
        <w:tab w:val="center" w:pos="4153" w:leader="none"/>
        <w:tab w:val="right" w:pos="8306" w:leader="none"/>
      </w:tabs>
      <w:pBdr>
        <w:bottom w:val="single" w:color="000000" w:sz="6" w:space="1"/>
      </w:pBdr>
    </w:pPr>
    <w:rPr>
      <w:sz w:val="18"/>
      <w:szCs w:val="18"/>
    </w:rPr>
  </w:style>
  <w:style w:type="paragraph" w:styleId="1244"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45" w:customStyle="1">
    <w:name w:val="标题 411"/>
    <w:basedOn w:val="1034"/>
    <w:next w:val="1034"/>
    <w:uiPriority w:val="0"/>
    <w:qFormat/>
    <w:pPr>
      <w:keepLines/>
      <w:keepNext/>
      <w:spacing w:before="320" w:after="200"/>
      <w:outlineLvl w:val="3"/>
    </w:pPr>
    <w:rPr>
      <w:rFonts w:ascii="Arial" w:hAnsi="Arial" w:eastAsia="Arial"/>
      <w:b/>
      <w:bCs/>
      <w:sz w:val="26"/>
      <w:szCs w:val="26"/>
    </w:rPr>
  </w:style>
  <w:style w:type="paragraph" w:styleId="1246" w:customStyle="1">
    <w:name w:val="标题 311"/>
    <w:basedOn w:val="1034"/>
    <w:next w:val="1034"/>
    <w:uiPriority w:val="0"/>
    <w:qFormat/>
    <w:pPr>
      <w:keepLines/>
      <w:keepNext/>
      <w:spacing w:before="320" w:after="200"/>
      <w:outlineLvl w:val="2"/>
    </w:pPr>
    <w:rPr>
      <w:rFonts w:ascii="Arial" w:hAnsi="Arial" w:eastAsia="Arial"/>
      <w:sz w:val="30"/>
      <w:szCs w:val="30"/>
    </w:rPr>
  </w:style>
  <w:style w:type="paragraph" w:styleId="1247" w:customStyle="1">
    <w:name w:val=" Char Char Char Char Char Char Char"/>
    <w:basedOn w:val="974"/>
    <w:uiPriority w:val="0"/>
    <w:qFormat/>
    <w:pPr>
      <w:numPr>
        <w:ilvl w:val="0"/>
        <w:numId w:val="2"/>
      </w:numPr>
      <w:tabs>
        <w:tab w:val="left" w:pos="360" w:leader="none"/>
        <w:tab w:val="left" w:pos="720" w:leader="none"/>
      </w:tabs>
    </w:pPr>
    <w:rPr>
      <w:rFonts w:ascii="等线" w:hAnsi="等线"/>
    </w:rPr>
  </w:style>
  <w:style w:type="paragraph" w:styleId="1248" w:customStyle="1">
    <w:name w:val="彩色列表 - 着色 11"/>
    <w:basedOn w:val="974"/>
    <w:uiPriority w:val="0"/>
    <w:qFormat/>
    <w:pPr>
      <w:ind w:firstLine="420"/>
    </w:pPr>
    <w:rPr>
      <w:rFonts w:ascii="Times New Roman" w:hAnsi="Times New Roman" w:eastAsia="宋体" w:cs="Times New Roman"/>
      <w:sz w:val="20"/>
    </w:rPr>
  </w:style>
  <w:style w:type="paragraph" w:styleId="1249" w:customStyle="1">
    <w:name w:val="标题 31"/>
    <w:basedOn w:val="1031"/>
    <w:next w:val="1031"/>
    <w:uiPriority w:val="0"/>
    <w:qFormat/>
    <w:pPr>
      <w:keepLines/>
      <w:keepNext/>
      <w:spacing w:line="360" w:lineRule="auto"/>
      <w:outlineLvl w:val="2"/>
    </w:pPr>
    <w:rPr>
      <w:rFonts w:eastAsia="黑体"/>
      <w:b/>
      <w:bCs/>
      <w:sz w:val="21"/>
      <w:szCs w:val="32"/>
    </w:rPr>
  </w:style>
  <w:style w:type="paragraph" w:styleId="1250"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251" w:customStyle="1">
    <w:name w:val="正文文本缩进 21"/>
    <w:basedOn w:val="1028"/>
    <w:uiPriority w:val="0"/>
    <w:qFormat/>
    <w:pPr>
      <w:ind w:left="420"/>
      <w:spacing w:after="120" w:line="480" w:lineRule="auto"/>
    </w:pPr>
  </w:style>
  <w:style w:type="paragraph" w:styleId="1252" w:customStyle="1">
    <w:name w:val="样式 首行缩进:  2 字符"/>
    <w:basedOn w:val="974"/>
    <w:uiPriority w:val="99"/>
    <w:qFormat/>
    <w:pPr>
      <w:ind w:firstLine="560"/>
    </w:pPr>
    <w:rPr>
      <w:sz w:val="24"/>
    </w:rPr>
  </w:style>
  <w:style w:type="paragraph" w:styleId="1253" w:customStyle="1">
    <w:name w:val="_Style 2"/>
    <w:basedOn w:val="975"/>
    <w:next w:val="974"/>
    <w:uiPriority w:val="0"/>
    <w:qFormat/>
    <w:pPr>
      <w:outlineLvl w:val="9"/>
    </w:pPr>
  </w:style>
  <w:style w:type="table" w:styleId="1254" w:customStyle="1">
    <w:name w:val="Table Normal"/>
    <w:uiPriority w:val="0"/>
    <w:semiHidden/>
    <w:unhideWhenUsed/>
    <w:qFormat/>
    <w:tblPr>
      <w:tblCellMar>
        <w:left w:w="0" w:type="dxa"/>
        <w:top w:w="0" w:type="dxa"/>
        <w:right w:w="0" w:type="dxa"/>
        <w:bottom w:w="0" w:type="dxa"/>
      </w:tblCellMar>
    </w:tblPr>
  </w:style>
  <w:style w:type="paragraph" w:styleId="1255" w:customStyle="1">
    <w:name w:val="文档结构图1"/>
    <w:basedOn w:val="974"/>
    <w:uiPriority w:val="99"/>
    <w:unhideWhenUsed/>
    <w:qFormat/>
    <w:rPr>
      <w:rFonts w:ascii="宋体"/>
      <w:sz w:val="18"/>
      <w:szCs w:val="18"/>
    </w:rPr>
  </w:style>
  <w:style w:type="character" w:styleId="1256" w:customStyle="1">
    <w:name w:val="font41"/>
    <w:basedOn w:val="984"/>
    <w:uiPriority w:val="0"/>
    <w:qFormat/>
    <w:rPr>
      <w:rFonts w:ascii="宋体" w:hAnsi="宋体" w:eastAsia="宋体" w:cs="宋体"/>
      <w:b/>
      <w:bCs/>
      <w:color w:val="000000"/>
      <w:sz w:val="22"/>
      <w:szCs w:val="22"/>
      <w:u w:val="none"/>
    </w:rPr>
  </w:style>
  <w:style w:type="character" w:styleId="1257" w:customStyle="1">
    <w:name w:val="font51"/>
    <w:basedOn w:val="984"/>
    <w:uiPriority w:val="0"/>
    <w:qFormat/>
    <w:rPr>
      <w:rFonts w:ascii="宋体" w:hAnsi="宋体" w:eastAsia="宋体" w:cs="宋体"/>
      <w:b/>
      <w:bCs/>
      <w:color w:val="000000"/>
      <w:sz w:val="20"/>
      <w:szCs w:val="20"/>
      <w:u w:val="none"/>
    </w:rPr>
  </w:style>
  <w:style w:type="paragraph" w:styleId="1258" w:customStyle="1">
    <w:name w:val="Table Text"/>
    <w:basedOn w:val="974"/>
    <w:uiPriority w:val="0"/>
    <w:semiHidden/>
    <w:qFormat/>
    <w:rPr>
      <w:rFonts w:ascii="宋体" w:hAnsi="宋体" w:eastAsia="宋体" w:cs="宋体"/>
      <w:sz w:val="31"/>
      <w:szCs w:val="31"/>
      <w:lang w:val="en-US" w:eastAsia="en-US" w:bidi="ar-SA"/>
    </w:rPr>
  </w:style>
  <w:style w:type="paragraph" w:styleId="1259" w:customStyle="1">
    <w:name w:val="标题3合同"/>
    <w:basedOn w:val="974"/>
    <w:uiPriority w:val="0"/>
    <w:qFormat/>
    <w:pPr>
      <w:ind w:firstLine="480"/>
      <w:spacing w:line="360" w:lineRule="auto"/>
    </w:pPr>
    <w:rPr>
      <w:rFonts w:hint="eastAsia" w:ascii="仿宋" w:hAnsi="仿宋" w:eastAsia="仿宋" w:cs="仿宋"/>
      <w:color w:val="auto"/>
      <w:sz w:val="24"/>
    </w:rPr>
  </w:style>
  <w:style w:type="paragraph" w:styleId="1260" w:customStyle="1">
    <w:name w:val="正文文本缩进2"/>
    <w:basedOn w:val="974"/>
    <w:uiPriority w:val="0"/>
    <w:qFormat/>
    <w:pPr>
      <w:ind w:left="420"/>
      <w:spacing w:after="120"/>
    </w:pPr>
    <w:rPr>
      <w:rFonts w:ascii="Calibri" w:hAnsi="Calibri"/>
    </w:rPr>
  </w:style>
  <w:style w:type="character" w:styleId="1261" w:customStyle="1">
    <w:name w:val="NormalCharacter"/>
    <w:link w:val="1031"/>
    <w:uiPriority w:val="0"/>
    <w:semiHidden/>
    <w:qFormat/>
    <w:rPr>
      <w:rFonts w:ascii="Times New Roman" w:hAnsi="Times New Roman" w:eastAsia="宋体" w:cs="Times New Roman"/>
      <w:lang w:val="en-US" w:eastAsia="zh-CN" w:bidi="ar-SA"/>
    </w:rPr>
  </w:style>
  <w:style w:type="paragraph" w:styleId="1262" w:customStyle="1">
    <w:name w:val="标题 2112"/>
    <w:basedOn w:val="974"/>
    <w:next w:val="974"/>
    <w:uiPriority w:val="9"/>
    <w:unhideWhenUsed/>
    <w:qFormat/>
    <w:pPr>
      <w:keepLines/>
      <w:keepNext/>
      <w:spacing w:before="360" w:after="200"/>
      <w:outlineLvl w:val="1"/>
    </w:pPr>
    <w:rPr>
      <w:rFonts w:ascii="Arial" w:hAnsi="Arial" w:eastAsia="Arial" w:cs="Arial"/>
      <w:sz w:val="34"/>
    </w:rPr>
  </w:style>
  <w:style w:type="paragraph" w:styleId="1263" w:customStyle="1">
    <w:name w:val="目录 112"/>
    <w:basedOn w:val="974"/>
    <w:next w:val="974"/>
    <w:uiPriority w:val="39"/>
    <w:unhideWhenUsed/>
    <w:qFormat/>
    <w:pPr>
      <w:spacing w:after="57"/>
    </w:pPr>
  </w:style>
  <w:style w:type="paragraph" w:styleId="1264" w:customStyle="1">
    <w:name w:val="标题1"/>
    <w:basedOn w:val="1034"/>
    <w:next w:val="1234"/>
    <w:uiPriority w:val="10"/>
    <w:qFormat/>
    <w:pPr>
      <w:contextualSpacing/>
      <w:spacing w:before="300" w:after="200"/>
    </w:pPr>
    <w:rPr>
      <w:sz w:val="48"/>
      <w:szCs w:val="48"/>
    </w:rPr>
  </w:style>
  <w:style w:type="table" w:styleId="1265" w:customStyle="1">
    <w:name w:val="无格式表格 11"/>
    <w:basedOn w:val="98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66" w:customStyle="1">
    <w:name w:val="无格式表格 21"/>
    <w:basedOn w:val="98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67" w:customStyle="1">
    <w:name w:val="无格式表格 31"/>
    <w:basedOn w:val="98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68" w:customStyle="1">
    <w:name w:val="无格式表格 41"/>
    <w:basedOn w:val="98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69" w:customStyle="1">
    <w:name w:val="无格式表格 51"/>
    <w:basedOn w:val="98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70" w:customStyle="1">
    <w:name w:val="网格表 1 浅色1"/>
    <w:basedOn w:val="98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71" w:customStyle="1">
    <w:name w:val="网格表 21"/>
    <w:basedOn w:val="98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72" w:customStyle="1">
    <w:name w:val="网格表 31"/>
    <w:basedOn w:val="98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3" w:customStyle="1">
    <w:name w:val="网格表 41"/>
    <w:basedOn w:val="98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74" w:customStyle="1">
    <w:name w:val="网格表 5 深色1"/>
    <w:basedOn w:val="9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75" w:customStyle="1">
    <w:name w:val="网格表 6 彩色1"/>
    <w:basedOn w:val="98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76" w:customStyle="1">
    <w:name w:val="网格表 7 彩色1"/>
    <w:basedOn w:val="98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77" w:customStyle="1">
    <w:name w:val="清单表 1 浅色1"/>
    <w:basedOn w:val="985"/>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78" w:customStyle="1">
    <w:name w:val="清单表 21"/>
    <w:basedOn w:val="98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79" w:customStyle="1">
    <w:name w:val="清单表 31"/>
    <w:basedOn w:val="98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80" w:customStyle="1">
    <w:name w:val="清单表 41"/>
    <w:basedOn w:val="98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81" w:customStyle="1">
    <w:name w:val="清单表 5 深色1"/>
    <w:basedOn w:val="98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82" w:customStyle="1">
    <w:name w:val="清单表 6 彩色1"/>
    <w:basedOn w:val="98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83" w:customStyle="1">
    <w:name w:val="清单表 7 彩色1"/>
    <w:basedOn w:val="985"/>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284" w:customStyle="1">
    <w:name w:val="TOC 标题1"/>
    <w:uiPriority w:val="39"/>
    <w:unhideWhenUsed/>
    <w:qFormat/>
    <w:rPr>
      <w:rFonts w:hint="default" w:ascii="Times New Roman" w:hAnsi="Times New Roman" w:eastAsia="宋体" w:cs="Times New Roman"/>
      <w:lang w:val="en-US" w:eastAsia="zh-CN" w:bidi="ar-SA"/>
    </w:rPr>
  </w:style>
  <w:style w:type="paragraph" w:styleId="1285" w:customStyle="1">
    <w:name w:val="TOC 标题11"/>
    <w:uiPriority w:val="39"/>
    <w:unhideWhenUsed/>
    <w:qFormat/>
    <w:rPr>
      <w:rFonts w:hint="default" w:ascii="Times New Roman" w:hAnsi="Times New Roman" w:eastAsia="宋体" w:cs="Times New Roman"/>
      <w:lang w:val="en-US" w:eastAsia="zh-CN" w:bidi="ar-SA"/>
    </w:rPr>
  </w:style>
  <w:style w:type="paragraph" w:styleId="1286" w:customStyle="1">
    <w:name w:val="标题 11"/>
    <w:basedOn w:val="1031"/>
    <w:next w:val="1031"/>
    <w:link w:val="1288"/>
    <w:uiPriority w:val="0"/>
    <w:qFormat/>
    <w:pPr>
      <w:keepLines/>
      <w:keepNext/>
      <w:spacing w:before="340" w:after="330" w:line="578" w:lineRule="auto"/>
      <w:outlineLvl w:val="0"/>
    </w:pPr>
    <w:rPr>
      <w:b/>
      <w:bCs/>
      <w:sz w:val="44"/>
      <w:szCs w:val="44"/>
    </w:rPr>
  </w:style>
  <w:style w:type="table" w:styleId="1287" w:customStyle="1">
    <w:name w:val="普通表格1"/>
    <w:uiPriority w:val="0"/>
    <w:qFormat/>
    <w:tblPr>
      <w:tblCellMar>
        <w:left w:w="0" w:type="dxa"/>
        <w:top w:w="0" w:type="dxa"/>
        <w:right w:w="0" w:type="dxa"/>
        <w:bottom w:w="0" w:type="dxa"/>
      </w:tblCellMar>
    </w:tblPr>
  </w:style>
  <w:style w:type="character" w:styleId="1288" w:customStyle="1">
    <w:name w:val="标题 1 Char"/>
    <w:link w:val="1286"/>
    <w:uiPriority w:val="0"/>
    <w:qFormat/>
    <w:rPr>
      <w:b/>
      <w:bCs/>
      <w:sz w:val="44"/>
      <w:szCs w:val="44"/>
    </w:rPr>
  </w:style>
  <w:style w:type="character" w:styleId="1289" w:customStyle="1">
    <w:name w:val="标题 2 Char"/>
    <w:link w:val="1047"/>
    <w:uiPriority w:val="0"/>
    <w:qFormat/>
    <w:rPr>
      <w:rFonts w:ascii="Calibri Light" w:hAnsi="Calibri Light"/>
      <w:b/>
      <w:bCs/>
      <w:sz w:val="32"/>
      <w:szCs w:val="32"/>
    </w:rPr>
  </w:style>
  <w:style w:type="paragraph" w:styleId="1290" w:customStyle="1">
    <w:name w:val="正文缩进1"/>
    <w:basedOn w:val="1028"/>
    <w:uiPriority w:val="0"/>
    <w:qFormat/>
    <w:pPr>
      <w:ind w:firstLine="420"/>
    </w:pPr>
  </w:style>
  <w:style w:type="paragraph" w:styleId="1291" w:customStyle="1">
    <w:name w:val="批注文字1"/>
    <w:basedOn w:val="1031"/>
    <w:link w:val="1292"/>
    <w:uiPriority w:val="0"/>
    <w:semiHidden/>
    <w:qFormat/>
    <w:pPr>
      <w:jc w:val="left"/>
    </w:pPr>
    <w:rPr>
      <w:sz w:val="21"/>
    </w:rPr>
  </w:style>
  <w:style w:type="character" w:styleId="1292" w:customStyle="1">
    <w:name w:val="批注文字 Char"/>
    <w:link w:val="1291"/>
    <w:uiPriority w:val="0"/>
    <w:semiHidden/>
    <w:qFormat/>
    <w:rPr>
      <w:sz w:val="21"/>
    </w:rPr>
  </w:style>
  <w:style w:type="character" w:styleId="1293" w:customStyle="1">
    <w:name w:val="正文文本 Char"/>
    <w:link w:val="1040"/>
    <w:uiPriority w:val="0"/>
    <w:qFormat/>
  </w:style>
  <w:style w:type="paragraph" w:styleId="1294" w:customStyle="1">
    <w:name w:val="日期1"/>
    <w:basedOn w:val="1031"/>
    <w:next w:val="1031"/>
    <w:link w:val="1295"/>
    <w:uiPriority w:val="0"/>
    <w:qFormat/>
    <w:pPr>
      <w:ind w:left="100"/>
    </w:pPr>
  </w:style>
  <w:style w:type="character" w:styleId="1295" w:customStyle="1">
    <w:name w:val="日期 Char"/>
    <w:link w:val="1294"/>
    <w:uiPriority w:val="0"/>
    <w:semiHidden/>
    <w:qFormat/>
  </w:style>
  <w:style w:type="paragraph" w:styleId="1296" w:customStyle="1">
    <w:name w:val="批注框文本1"/>
    <w:basedOn w:val="1031"/>
    <w:link w:val="1297"/>
    <w:uiPriority w:val="0"/>
    <w:qFormat/>
    <w:rPr>
      <w:sz w:val="18"/>
      <w:szCs w:val="18"/>
    </w:rPr>
  </w:style>
  <w:style w:type="character" w:styleId="1297" w:customStyle="1">
    <w:name w:val="批注框文本 Char"/>
    <w:link w:val="1296"/>
    <w:uiPriority w:val="0"/>
    <w:semiHidden/>
    <w:qFormat/>
    <w:rPr>
      <w:sz w:val="18"/>
      <w:szCs w:val="18"/>
    </w:rPr>
  </w:style>
  <w:style w:type="character" w:styleId="1298" w:customStyle="1">
    <w:name w:val="页脚 Char"/>
    <w:link w:val="1056"/>
    <w:uiPriority w:val="0"/>
    <w:qFormat/>
    <w:rPr>
      <w:sz w:val="18"/>
      <w:szCs w:val="18"/>
    </w:rPr>
  </w:style>
  <w:style w:type="character" w:styleId="1299" w:customStyle="1">
    <w:name w:val="页眉 Char"/>
    <w:link w:val="1243"/>
    <w:uiPriority w:val="0"/>
    <w:qFormat/>
    <w:rPr>
      <w:sz w:val="18"/>
      <w:szCs w:val="18"/>
    </w:rPr>
  </w:style>
  <w:style w:type="paragraph" w:styleId="1300" w:customStyle="1">
    <w:name w:val="副标题1"/>
    <w:basedOn w:val="1031"/>
    <w:next w:val="1031"/>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301" w:customStyle="1">
    <w:name w:val="目录 21"/>
    <w:basedOn w:val="1031"/>
    <w:next w:val="1031"/>
    <w:uiPriority w:val="0"/>
    <w:qFormat/>
    <w:pPr>
      <w:ind w:left="420"/>
    </w:pPr>
  </w:style>
  <w:style w:type="paragraph" w:styleId="1302" w:customStyle="1">
    <w:name w:val="批注主题1"/>
    <w:basedOn w:val="1291"/>
    <w:next w:val="1291"/>
    <w:link w:val="1303"/>
    <w:uiPriority w:val="0"/>
    <w:qFormat/>
    <w:rPr>
      <w:b/>
      <w:bCs/>
    </w:rPr>
  </w:style>
  <w:style w:type="character" w:styleId="1303" w:customStyle="1">
    <w:name w:val="批注主题 Char"/>
    <w:link w:val="1302"/>
    <w:uiPriority w:val="0"/>
    <w:semiHidden/>
    <w:qFormat/>
    <w:rPr>
      <w:b/>
      <w:bCs/>
    </w:rPr>
  </w:style>
  <w:style w:type="character" w:styleId="1304" w:customStyle="1">
    <w:name w:val="正文首行缩进 Char"/>
    <w:link w:val="1039"/>
    <w:uiPriority w:val="0"/>
    <w:qFormat/>
    <w:rPr>
      <w:rFonts w:ascii="仿宋_GB2312" w:eastAsia="仿宋_GB2312"/>
      <w:sz w:val="30"/>
      <w:szCs w:val="30"/>
    </w:rPr>
  </w:style>
  <w:style w:type="table" w:styleId="1305" w:customStyle="1">
    <w:name w:val="网格型1"/>
    <w:basedOn w:val="1287"/>
    <w:uiPriority w:val="0"/>
    <w:qFormat/>
    <w:pPr>
      <w:jc w:val="both"/>
      <w:widowControl w:val="off"/>
    </w:pPr>
    <w:tblPr/>
  </w:style>
  <w:style w:type="character" w:styleId="1306" w:customStyle="1">
    <w:name w:val="要点1"/>
    <w:uiPriority w:val="0"/>
    <w:qFormat/>
    <w:rPr>
      <w:b/>
      <w:sz w:val="21"/>
    </w:rPr>
  </w:style>
  <w:style w:type="character" w:styleId="1307" w:customStyle="1">
    <w:name w:val="强调1"/>
    <w:uiPriority w:val="0"/>
    <w:qFormat/>
    <w:rPr>
      <w:i/>
      <w:sz w:val="20"/>
    </w:rPr>
  </w:style>
  <w:style w:type="character" w:styleId="1308" w:customStyle="1">
    <w:name w:val="超链接1"/>
    <w:uiPriority w:val="0"/>
    <w:qFormat/>
    <w:rPr>
      <w:color w:val="0000ff"/>
      <w:sz w:val="20"/>
      <w:u w:val="single"/>
    </w:rPr>
  </w:style>
  <w:style w:type="character" w:styleId="1309" w:customStyle="1">
    <w:name w:val="批注引用1"/>
    <w:uiPriority w:val="0"/>
    <w:qFormat/>
    <w:rPr>
      <w:sz w:val="21"/>
      <w:szCs w:val="21"/>
    </w:rPr>
  </w:style>
  <w:style w:type="character" w:styleId="1310" w:customStyle="1">
    <w:name w:val="UserStyle_19"/>
    <w:uiPriority w:val="0"/>
    <w:qFormat/>
    <w:rPr>
      <w:b/>
      <w:sz w:val="20"/>
    </w:rPr>
  </w:style>
  <w:style w:type="character" w:styleId="1311" w:customStyle="1">
    <w:name w:val="263"/>
    <w:uiPriority w:val="0"/>
    <w:qFormat/>
    <w:rPr>
      <w:b/>
      <w:color w:val="c0504d"/>
      <w:sz w:val="20"/>
      <w:u w:val="single"/>
    </w:rPr>
  </w:style>
  <w:style w:type="character" w:styleId="1312" w:customStyle="1">
    <w:name w:val="UserStyle_47"/>
    <w:uiPriority w:val="0"/>
    <w:qFormat/>
    <w:rPr>
      <w:sz w:val="20"/>
    </w:rPr>
  </w:style>
  <w:style w:type="character" w:styleId="1313" w:customStyle="1">
    <w:name w:val="UserStyle_43"/>
    <w:uiPriority w:val="0"/>
    <w:qFormat/>
    <w:rPr>
      <w:sz w:val="20"/>
    </w:rPr>
  </w:style>
  <w:style w:type="character" w:styleId="1314" w:customStyle="1">
    <w:name w:val="UserStyle_37"/>
    <w:uiPriority w:val="0"/>
    <w:qFormat/>
    <w:rPr>
      <w:b/>
      <w:sz w:val="20"/>
    </w:rPr>
  </w:style>
  <w:style w:type="character" w:styleId="1315" w:customStyle="1">
    <w:name w:val="UserStyle_70"/>
    <w:uiPriority w:val="0"/>
    <w:qFormat/>
    <w:rPr>
      <w:sz w:val="20"/>
    </w:rPr>
  </w:style>
  <w:style w:type="character" w:styleId="1316" w:customStyle="1">
    <w:name w:val="UserStyle_55"/>
    <w:uiPriority w:val="0"/>
    <w:qFormat/>
    <w:rPr>
      <w:sz w:val="20"/>
    </w:rPr>
  </w:style>
  <w:style w:type="character" w:styleId="1317" w:customStyle="1">
    <w:name w:val="UserStyle_0"/>
    <w:link w:val="1318"/>
    <w:uiPriority w:val="0"/>
    <w:semiHidden/>
    <w:qFormat/>
    <w:rPr>
      <w:rFonts w:ascii="Courier New" w:hAnsi="Courier New"/>
      <w:sz w:val="20"/>
    </w:rPr>
  </w:style>
  <w:style w:type="paragraph" w:styleId="1318" w:customStyle="1">
    <w:name w:val="HtmlPre"/>
    <w:basedOn w:val="1031"/>
    <w:link w:val="1317"/>
    <w:uiPriority w:val="0"/>
    <w:qFormat/>
    <w:rPr>
      <w:rFonts w:ascii="Courier New" w:hAnsi="Courier New"/>
      <w:sz w:val="20"/>
    </w:rPr>
  </w:style>
  <w:style w:type="character" w:styleId="1319" w:customStyle="1">
    <w:name w:val="UserStyle_18"/>
    <w:uiPriority w:val="0"/>
    <w:semiHidden/>
    <w:qFormat/>
    <w:rPr>
      <w:sz w:val="20"/>
    </w:rPr>
  </w:style>
  <w:style w:type="character" w:styleId="1320" w:customStyle="1">
    <w:name w:val="UserStyle_56"/>
    <w:uiPriority w:val="0"/>
    <w:qFormat/>
    <w:rPr>
      <w:sz w:val="20"/>
    </w:rPr>
  </w:style>
  <w:style w:type="character" w:styleId="1321" w:customStyle="1">
    <w:name w:val="262"/>
    <w:uiPriority w:val="0"/>
    <w:qFormat/>
    <w:rPr>
      <w:color w:val="c0504d"/>
      <w:sz w:val="20"/>
      <w:u w:val="single"/>
    </w:rPr>
  </w:style>
  <w:style w:type="character" w:styleId="1322" w:customStyle="1">
    <w:name w:val="UserStyle_46"/>
    <w:uiPriority w:val="0"/>
    <w:qFormat/>
    <w:rPr>
      <w:sz w:val="20"/>
    </w:rPr>
  </w:style>
  <w:style w:type="character" w:styleId="1323" w:customStyle="1">
    <w:name w:val="UserStyle_74"/>
    <w:uiPriority w:val="0"/>
    <w:qFormat/>
    <w:rPr>
      <w:b/>
      <w:sz w:val="20"/>
    </w:rPr>
  </w:style>
  <w:style w:type="character" w:styleId="1324" w:customStyle="1">
    <w:name w:val="UserStyle_71"/>
    <w:uiPriority w:val="0"/>
    <w:qFormat/>
    <w:rPr>
      <w:sz w:val="20"/>
    </w:rPr>
  </w:style>
  <w:style w:type="character" w:styleId="1325" w:customStyle="1">
    <w:name w:val="UserStyle_72"/>
    <w:uiPriority w:val="0"/>
    <w:qFormat/>
    <w:rPr>
      <w:sz w:val="20"/>
    </w:rPr>
  </w:style>
  <w:style w:type="character" w:styleId="1326" w:customStyle="1">
    <w:name w:val="UserStyle_7"/>
    <w:uiPriority w:val="0"/>
    <w:qFormat/>
    <w:rPr>
      <w:i/>
      <w:sz w:val="20"/>
    </w:rPr>
  </w:style>
  <w:style w:type="character" w:styleId="1327" w:customStyle="1">
    <w:name w:val="UserStyle_68"/>
    <w:uiPriority w:val="0"/>
    <w:qFormat/>
    <w:rPr>
      <w:sz w:val="20"/>
    </w:rPr>
  </w:style>
  <w:style w:type="character" w:styleId="1328" w:customStyle="1">
    <w:name w:val="UserStyle_25"/>
    <w:uiPriority w:val="0"/>
    <w:qFormat/>
    <w:rPr>
      <w:sz w:val="20"/>
    </w:rPr>
  </w:style>
  <w:style w:type="character" w:styleId="1329" w:customStyle="1">
    <w:name w:val="UserStyle_66"/>
    <w:uiPriority w:val="0"/>
    <w:qFormat/>
    <w:rPr>
      <w:sz w:val="20"/>
    </w:rPr>
  </w:style>
  <w:style w:type="character" w:styleId="1330" w:customStyle="1">
    <w:name w:val="UserStyle_38"/>
    <w:uiPriority w:val="0"/>
    <w:qFormat/>
    <w:rPr>
      <w:sz w:val="20"/>
    </w:rPr>
  </w:style>
  <w:style w:type="character" w:styleId="1331" w:customStyle="1">
    <w:name w:val="UserStyle_17"/>
    <w:uiPriority w:val="0"/>
    <w:qFormat/>
    <w:rPr>
      <w:sz w:val="20"/>
    </w:rPr>
  </w:style>
  <w:style w:type="character" w:styleId="1332" w:customStyle="1">
    <w:name w:val="UserStyle_33"/>
    <w:uiPriority w:val="0"/>
    <w:qFormat/>
    <w:rPr>
      <w:sz w:val="20"/>
    </w:rPr>
  </w:style>
  <w:style w:type="character" w:styleId="1333" w:customStyle="1">
    <w:name w:val="UserStyle_45"/>
    <w:uiPriority w:val="0"/>
    <w:qFormat/>
    <w:rPr>
      <w:b/>
      <w:sz w:val="20"/>
    </w:rPr>
  </w:style>
  <w:style w:type="character" w:styleId="1334" w:customStyle="1">
    <w:name w:val="UserStyle_57"/>
    <w:uiPriority w:val="0"/>
    <w:qFormat/>
    <w:rPr>
      <w:sz w:val="20"/>
    </w:rPr>
  </w:style>
  <w:style w:type="character" w:styleId="1335" w:customStyle="1">
    <w:name w:val="UserStyle_63"/>
    <w:uiPriority w:val="0"/>
    <w:qFormat/>
    <w:rPr>
      <w:sz w:val="20"/>
    </w:rPr>
  </w:style>
  <w:style w:type="character" w:styleId="1336" w:customStyle="1">
    <w:name w:val="UserStyle_75"/>
    <w:uiPriority w:val="0"/>
    <w:qFormat/>
    <w:rPr>
      <w:sz w:val="20"/>
    </w:rPr>
  </w:style>
  <w:style w:type="character" w:styleId="1337" w:customStyle="1">
    <w:name w:val="UserStyle_23"/>
    <w:uiPriority w:val="0"/>
    <w:qFormat/>
    <w:rPr>
      <w:color w:val="000000"/>
      <w:sz w:val="20"/>
    </w:rPr>
  </w:style>
  <w:style w:type="character" w:styleId="1338" w:customStyle="1">
    <w:name w:val="UserStyle_65"/>
    <w:uiPriority w:val="0"/>
    <w:qFormat/>
    <w:rPr>
      <w:sz w:val="20"/>
    </w:rPr>
  </w:style>
  <w:style w:type="character" w:styleId="1339" w:customStyle="1">
    <w:name w:val="UserStyle_24"/>
    <w:uiPriority w:val="0"/>
    <w:qFormat/>
    <w:rPr>
      <w:sz w:val="20"/>
    </w:rPr>
  </w:style>
  <w:style w:type="character" w:styleId="1340" w:customStyle="1">
    <w:name w:val="UserStyle_50"/>
    <w:uiPriority w:val="0"/>
    <w:qFormat/>
    <w:rPr>
      <w:sz w:val="20"/>
    </w:rPr>
  </w:style>
  <w:style w:type="character" w:styleId="1341" w:customStyle="1">
    <w:name w:val="UserStyle_44"/>
    <w:uiPriority w:val="0"/>
    <w:qFormat/>
    <w:rPr>
      <w:b/>
      <w:sz w:val="20"/>
    </w:rPr>
  </w:style>
  <w:style w:type="character" w:styleId="1342" w:customStyle="1">
    <w:name w:val="UserStyle_51"/>
    <w:uiPriority w:val="0"/>
    <w:qFormat/>
    <w:rPr>
      <w:sz w:val="20"/>
    </w:rPr>
  </w:style>
  <w:style w:type="character" w:styleId="1343" w:customStyle="1">
    <w:name w:val="UserStyle_4"/>
    <w:uiPriority w:val="0"/>
    <w:qFormat/>
    <w:rPr>
      <w:sz w:val="20"/>
    </w:rPr>
  </w:style>
  <w:style w:type="character" w:styleId="1344" w:customStyle="1">
    <w:name w:val="UserStyle_52"/>
    <w:uiPriority w:val="0"/>
    <w:semiHidden/>
    <w:qFormat/>
    <w:rPr>
      <w:sz w:val="20"/>
    </w:rPr>
  </w:style>
  <w:style w:type="character" w:styleId="1345" w:customStyle="1">
    <w:name w:val="UserStyle_3"/>
    <w:uiPriority w:val="0"/>
    <w:qFormat/>
    <w:rPr>
      <w:sz w:val="20"/>
    </w:rPr>
  </w:style>
  <w:style w:type="character" w:styleId="1346" w:customStyle="1">
    <w:name w:val="UserStyle_67"/>
    <w:uiPriority w:val="0"/>
    <w:qFormat/>
    <w:rPr>
      <w:b/>
      <w:sz w:val="20"/>
    </w:rPr>
  </w:style>
  <w:style w:type="character" w:styleId="1347" w:customStyle="1">
    <w:name w:val="UserStyle_61"/>
    <w:uiPriority w:val="0"/>
    <w:qFormat/>
    <w:rPr>
      <w:b/>
      <w:sz w:val="20"/>
    </w:rPr>
  </w:style>
  <w:style w:type="character" w:styleId="1348" w:customStyle="1">
    <w:name w:val="UserStyle_36"/>
    <w:uiPriority w:val="0"/>
    <w:qFormat/>
    <w:rPr>
      <w:b/>
      <w:sz w:val="20"/>
    </w:rPr>
  </w:style>
  <w:style w:type="character" w:styleId="1349" w:customStyle="1">
    <w:name w:val="260"/>
    <w:uiPriority w:val="0"/>
    <w:qFormat/>
    <w:rPr>
      <w:i/>
      <w:color w:val="000000"/>
      <w:sz w:val="21"/>
    </w:rPr>
  </w:style>
  <w:style w:type="character" w:styleId="1350" w:customStyle="1">
    <w:name w:val="PageNumber"/>
    <w:uiPriority w:val="0"/>
    <w:qFormat/>
    <w:rPr>
      <w:sz w:val="20"/>
    </w:rPr>
  </w:style>
  <w:style w:type="character" w:styleId="1351" w:customStyle="1">
    <w:name w:val="UserStyle_1"/>
    <w:uiPriority w:val="0"/>
    <w:qFormat/>
    <w:rPr>
      <w:sz w:val="20"/>
    </w:rPr>
  </w:style>
  <w:style w:type="character" w:styleId="1352" w:customStyle="1">
    <w:name w:val="UserStyle_64"/>
    <w:uiPriority w:val="0"/>
    <w:qFormat/>
    <w:rPr>
      <w:sz w:val="20"/>
    </w:rPr>
  </w:style>
  <w:style w:type="character" w:styleId="1353" w:customStyle="1">
    <w:name w:val="UserStyle_21"/>
    <w:uiPriority w:val="0"/>
    <w:qFormat/>
    <w:rPr>
      <w:sz w:val="20"/>
    </w:rPr>
  </w:style>
  <w:style w:type="character" w:styleId="1354" w:customStyle="1">
    <w:name w:val="UserStyle_9"/>
    <w:uiPriority w:val="0"/>
    <w:qFormat/>
    <w:rPr>
      <w:sz w:val="20"/>
    </w:rPr>
  </w:style>
  <w:style w:type="character" w:styleId="1355" w:customStyle="1">
    <w:name w:val="UserStyle_40"/>
    <w:uiPriority w:val="0"/>
    <w:qFormat/>
    <w:rPr>
      <w:b/>
      <w:sz w:val="20"/>
    </w:rPr>
  </w:style>
  <w:style w:type="character" w:styleId="1356" w:customStyle="1">
    <w:name w:val="UserStyle_73"/>
    <w:uiPriority w:val="0"/>
    <w:qFormat/>
    <w:rPr>
      <w:sz w:val="20"/>
    </w:rPr>
  </w:style>
  <w:style w:type="character" w:styleId="1357" w:customStyle="1">
    <w:name w:val="UserStyle_30"/>
    <w:uiPriority w:val="0"/>
    <w:qFormat/>
    <w:rPr>
      <w:sz w:val="20"/>
    </w:rPr>
  </w:style>
  <w:style w:type="character" w:styleId="1358" w:customStyle="1">
    <w:name w:val="UserStyle_69"/>
    <w:uiPriority w:val="0"/>
    <w:qFormat/>
    <w:rPr>
      <w:b/>
      <w:sz w:val="20"/>
    </w:rPr>
  </w:style>
  <w:style w:type="character" w:styleId="1359" w:customStyle="1">
    <w:name w:val="UserStyle_13"/>
    <w:uiPriority w:val="0"/>
    <w:qFormat/>
    <w:rPr>
      <w:b/>
      <w:sz w:val="20"/>
    </w:rPr>
  </w:style>
  <w:style w:type="character" w:styleId="1360" w:customStyle="1">
    <w:name w:val="UserStyle_14"/>
    <w:uiPriority w:val="0"/>
    <w:semiHidden/>
    <w:qFormat/>
    <w:rPr>
      <w:sz w:val="20"/>
    </w:rPr>
  </w:style>
  <w:style w:type="character" w:styleId="1361" w:customStyle="1">
    <w:name w:val="UserStyle_22"/>
    <w:uiPriority w:val="0"/>
    <w:qFormat/>
    <w:rPr>
      <w:color w:val="0000ff"/>
      <w:sz w:val="20"/>
      <w:u w:val="single"/>
    </w:rPr>
  </w:style>
  <w:style w:type="character" w:styleId="1362" w:customStyle="1">
    <w:name w:val="UserStyle_8"/>
    <w:uiPriority w:val="0"/>
    <w:qFormat/>
    <w:rPr>
      <w:sz w:val="20"/>
    </w:rPr>
  </w:style>
  <w:style w:type="character" w:styleId="1363" w:customStyle="1">
    <w:name w:val="UserStyle_6"/>
    <w:uiPriority w:val="0"/>
    <w:qFormat/>
    <w:rPr>
      <w:b/>
      <w:sz w:val="20"/>
    </w:rPr>
  </w:style>
  <w:style w:type="character" w:styleId="1364" w:customStyle="1">
    <w:name w:val="UserStyle_62"/>
    <w:uiPriority w:val="0"/>
    <w:qFormat/>
    <w:rPr>
      <w:color w:val="ffff00"/>
      <w:sz w:val="20"/>
    </w:rPr>
  </w:style>
  <w:style w:type="character" w:styleId="1365" w:customStyle="1">
    <w:name w:val="UserStyle_48"/>
    <w:uiPriority w:val="0"/>
    <w:qFormat/>
    <w:rPr>
      <w:sz w:val="20"/>
    </w:rPr>
  </w:style>
  <w:style w:type="character" w:styleId="1366" w:customStyle="1">
    <w:name w:val="UserStyle_15"/>
    <w:uiPriority w:val="0"/>
    <w:qFormat/>
    <w:rPr>
      <w:b/>
      <w:sz w:val="20"/>
    </w:rPr>
  </w:style>
  <w:style w:type="character" w:styleId="1367" w:customStyle="1">
    <w:name w:val="UserStyle_49"/>
    <w:uiPriority w:val="0"/>
    <w:qFormat/>
    <w:rPr>
      <w:sz w:val="20"/>
    </w:rPr>
  </w:style>
  <w:style w:type="character" w:styleId="1368" w:customStyle="1">
    <w:name w:val="UserStyle_11"/>
    <w:uiPriority w:val="0"/>
    <w:qFormat/>
    <w:rPr>
      <w:sz w:val="20"/>
    </w:rPr>
  </w:style>
  <w:style w:type="character" w:styleId="1369" w:customStyle="1">
    <w:name w:val="UserStyle_34"/>
    <w:uiPriority w:val="0"/>
    <w:qFormat/>
    <w:rPr>
      <w:b/>
      <w:sz w:val="20"/>
    </w:rPr>
  </w:style>
  <w:style w:type="character" w:styleId="1370" w:customStyle="1">
    <w:name w:val="UserStyle_29"/>
    <w:uiPriority w:val="0"/>
    <w:qFormat/>
    <w:rPr>
      <w:sz w:val="20"/>
    </w:rPr>
  </w:style>
  <w:style w:type="character" w:styleId="1371" w:customStyle="1">
    <w:name w:val="UserStyle_42"/>
    <w:uiPriority w:val="0"/>
    <w:qFormat/>
    <w:rPr>
      <w:sz w:val="20"/>
    </w:rPr>
  </w:style>
  <w:style w:type="character" w:styleId="1372" w:customStyle="1">
    <w:name w:val="UserStyle_39"/>
    <w:uiPriority w:val="0"/>
    <w:qFormat/>
    <w:rPr>
      <w:sz w:val="20"/>
    </w:rPr>
  </w:style>
  <w:style w:type="character" w:styleId="1373" w:customStyle="1">
    <w:name w:val="UserStyle_35"/>
    <w:uiPriority w:val="0"/>
    <w:qFormat/>
    <w:rPr>
      <w:sz w:val="20"/>
    </w:rPr>
  </w:style>
  <w:style w:type="character" w:styleId="1374" w:customStyle="1">
    <w:name w:val="UserStyle_5"/>
    <w:uiPriority w:val="0"/>
    <w:qFormat/>
    <w:rPr>
      <w:sz w:val="20"/>
    </w:rPr>
  </w:style>
  <w:style w:type="character" w:styleId="1375" w:customStyle="1">
    <w:name w:val="UserStyle_26"/>
    <w:uiPriority w:val="0"/>
    <w:qFormat/>
    <w:rPr>
      <w:sz w:val="20"/>
    </w:rPr>
  </w:style>
  <w:style w:type="character" w:styleId="1376" w:customStyle="1">
    <w:name w:val="264"/>
    <w:uiPriority w:val="0"/>
    <w:qFormat/>
    <w:rPr>
      <w:b/>
      <w:i/>
      <w:sz w:val="21"/>
    </w:rPr>
  </w:style>
  <w:style w:type="character" w:styleId="1377" w:customStyle="1">
    <w:name w:val="UserStyle_76"/>
    <w:uiPriority w:val="0"/>
    <w:qFormat/>
    <w:rPr>
      <w:b/>
      <w:sz w:val="20"/>
    </w:rPr>
  </w:style>
  <w:style w:type="character" w:styleId="1378" w:customStyle="1">
    <w:name w:val="UserStyle_10"/>
    <w:uiPriority w:val="0"/>
    <w:qFormat/>
    <w:rPr>
      <w:b/>
      <w:sz w:val="20"/>
    </w:rPr>
  </w:style>
  <w:style w:type="character" w:styleId="1379" w:customStyle="1">
    <w:name w:val="UserStyle_32"/>
    <w:uiPriority w:val="0"/>
    <w:qFormat/>
    <w:rPr>
      <w:i/>
      <w:sz w:val="20"/>
    </w:rPr>
  </w:style>
  <w:style w:type="character" w:styleId="1380" w:customStyle="1">
    <w:name w:val="UserStyle_53"/>
    <w:uiPriority w:val="0"/>
    <w:qFormat/>
    <w:rPr>
      <w:sz w:val="20"/>
    </w:rPr>
  </w:style>
  <w:style w:type="character" w:styleId="1381" w:customStyle="1">
    <w:name w:val="UserStyle_2"/>
    <w:uiPriority w:val="0"/>
    <w:qFormat/>
    <w:rPr>
      <w:sz w:val="20"/>
    </w:rPr>
  </w:style>
  <w:style w:type="character" w:styleId="1382" w:customStyle="1">
    <w:name w:val="UserStyle_58"/>
    <w:uiPriority w:val="0"/>
    <w:qFormat/>
    <w:rPr>
      <w:sz w:val="20"/>
    </w:rPr>
  </w:style>
  <w:style w:type="character" w:styleId="1383" w:customStyle="1">
    <w:name w:val="UserStyle_60"/>
    <w:uiPriority w:val="0"/>
    <w:qFormat/>
    <w:rPr>
      <w:sz w:val="20"/>
    </w:rPr>
  </w:style>
  <w:style w:type="character" w:styleId="1384" w:customStyle="1">
    <w:name w:val="UserStyle_54"/>
    <w:uiPriority w:val="0"/>
    <w:qFormat/>
    <w:rPr>
      <w:b/>
      <w:sz w:val="20"/>
    </w:rPr>
  </w:style>
  <w:style w:type="character" w:styleId="1385" w:customStyle="1">
    <w:name w:val="UserStyle_16"/>
    <w:uiPriority w:val="0"/>
    <w:qFormat/>
    <w:rPr>
      <w:sz w:val="20"/>
    </w:rPr>
  </w:style>
  <w:style w:type="character" w:styleId="1386" w:customStyle="1">
    <w:name w:val="UserStyle_59"/>
    <w:uiPriority w:val="0"/>
    <w:qFormat/>
    <w:rPr>
      <w:b/>
      <w:sz w:val="20"/>
    </w:rPr>
  </w:style>
  <w:style w:type="character" w:styleId="1387" w:customStyle="1">
    <w:name w:val="UserStyle_20"/>
    <w:uiPriority w:val="0"/>
    <w:semiHidden/>
    <w:qFormat/>
    <w:rPr>
      <w:sz w:val="20"/>
    </w:rPr>
  </w:style>
  <w:style w:type="character" w:styleId="1388" w:customStyle="1">
    <w:name w:val="UserStyle_31"/>
    <w:uiPriority w:val="0"/>
    <w:qFormat/>
    <w:rPr>
      <w:b/>
      <w:sz w:val="20"/>
    </w:rPr>
  </w:style>
  <w:style w:type="character" w:styleId="1389" w:customStyle="1">
    <w:name w:val="AnnotationReference"/>
    <w:uiPriority w:val="0"/>
    <w:qFormat/>
    <w:rPr>
      <w:sz w:val="20"/>
    </w:rPr>
  </w:style>
  <w:style w:type="character" w:styleId="1390" w:customStyle="1">
    <w:name w:val="UserStyle_12"/>
    <w:uiPriority w:val="0"/>
    <w:qFormat/>
    <w:rPr>
      <w:sz w:val="20"/>
    </w:rPr>
  </w:style>
  <w:style w:type="character" w:styleId="1391" w:customStyle="1">
    <w:name w:val="261"/>
    <w:uiPriority w:val="0"/>
    <w:qFormat/>
    <w:rPr>
      <w:i/>
      <w:color w:val="000000"/>
      <w:sz w:val="21"/>
    </w:rPr>
  </w:style>
  <w:style w:type="character" w:styleId="1392" w:customStyle="1">
    <w:name w:val="UserStyle_41"/>
    <w:link w:val="1031"/>
    <w:uiPriority w:val="0"/>
    <w:qFormat/>
    <w:rPr>
      <w:rFonts w:ascii="Times New Roman" w:hAnsi="Times New Roman" w:eastAsia="宋体" w:cs="Times New Roman"/>
      <w:lang w:val="en-US" w:eastAsia="zh-CN" w:bidi="ar-SA"/>
    </w:rPr>
  </w:style>
  <w:style w:type="paragraph" w:styleId="1393" w:customStyle="1">
    <w:name w:val="179"/>
    <w:basedOn w:val="1031"/>
    <w:uiPriority w:val="0"/>
    <w:qFormat/>
    <w:pPr>
      <w:ind w:firstLine="420"/>
    </w:pPr>
    <w:rPr>
      <w:sz w:val="21"/>
      <w:szCs w:val="22"/>
    </w:rPr>
  </w:style>
  <w:style w:type="paragraph" w:styleId="1394" w:customStyle="1">
    <w:name w:val="列出段落1"/>
    <w:basedOn w:val="974"/>
    <w:uiPriority w:val="0"/>
    <w:qFormat/>
    <w:pPr>
      <w:ind w:firstLine="420"/>
    </w:pPr>
    <w:rPr>
      <w:rFonts w:ascii="Calibri" w:hAnsi="Calibri" w:eastAsia="等线" w:cs="Times New Roman"/>
      <w:szCs w:val="22"/>
    </w:rPr>
  </w:style>
  <w:style w:type="paragraph" w:styleId="1395"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396" w:customStyle="1">
    <w:name w:val="UserStyle_77"/>
    <w:basedOn w:val="1031"/>
    <w:uiPriority w:val="0"/>
    <w:qFormat/>
    <w:pPr>
      <w:ind w:firstLine="420"/>
      <w:spacing w:line="520" w:lineRule="exact"/>
    </w:pPr>
    <w:rPr>
      <w:color w:val="000000"/>
      <w:sz w:val="24"/>
      <w:szCs w:val="24"/>
    </w:rPr>
  </w:style>
  <w:style w:type="paragraph" w:styleId="1397" w:customStyle="1">
    <w:name w:val="HtmlNormal"/>
    <w:basedOn w:val="1031"/>
    <w:uiPriority w:val="0"/>
    <w:qFormat/>
    <w:rPr>
      <w:sz w:val="24"/>
      <w:szCs w:val="24"/>
    </w:rPr>
  </w:style>
  <w:style w:type="paragraph" w:styleId="1398" w:customStyle="1">
    <w:name w:val="Table Paragraph"/>
    <w:basedOn w:val="1031"/>
    <w:uiPriority w:val="0"/>
    <w:qFormat/>
    <w:pPr>
      <w:jc w:val="left"/>
      <w:widowControl w:val="off"/>
    </w:pPr>
    <w:rPr>
      <w:rFonts w:ascii="仿宋" w:hAnsi="仿宋" w:eastAsia="仿宋"/>
      <w:sz w:val="22"/>
      <w:szCs w:val="22"/>
    </w:rPr>
  </w:style>
  <w:style w:type="paragraph" w:styleId="1399" w:customStyle="1">
    <w:name w:val="BlockQuote"/>
    <w:basedOn w:val="1031"/>
    <w:uiPriority w:val="0"/>
    <w:qFormat/>
    <w:pPr>
      <w:ind w:left="256" w:right="6" w:firstLine="624"/>
    </w:pPr>
    <w:rPr>
      <w:rFonts w:eastAsia="仿宋_GB2312"/>
      <w:sz w:val="28"/>
    </w:rPr>
  </w:style>
  <w:style w:type="table" w:styleId="1400" w:customStyle="1">
    <w:name w:val="TableNormal"/>
    <w:uiPriority w:val="0"/>
    <w:semiHidden/>
    <w:qFormat/>
    <w:tblPr>
      <w:tblCellMar>
        <w:left w:w="0" w:type="dxa"/>
        <w:top w:w="0" w:type="dxa"/>
        <w:right w:w="0" w:type="dxa"/>
        <w:bottom w:w="0" w:type="dxa"/>
      </w:tblCellMar>
    </w:tblPr>
  </w:style>
  <w:style w:type="paragraph" w:styleId="1401" w:customStyle="1">
    <w:name w:val="TOC 标题2"/>
    <w:basedOn w:val="1286"/>
    <w:next w:val="1031"/>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402" w:customStyle="1">
    <w:name w:val="小标题 1"/>
    <w:basedOn w:val="1031"/>
    <w:uiPriority w:val="0"/>
    <w:qFormat/>
    <w:pPr>
      <w:spacing w:line="360" w:lineRule="atLeast"/>
      <w:widowControl w:val="off"/>
    </w:pPr>
    <w:rPr>
      <w:rFonts w:ascii="文鼎粗黑" w:eastAsia="文鼎粗黑"/>
      <w:sz w:val="22"/>
    </w:rPr>
  </w:style>
  <w:style w:type="paragraph" w:styleId="1403" w:customStyle="1">
    <w:name w:val="文档正文"/>
    <w:basedOn w:val="1031"/>
    <w:uiPriority w:val="0"/>
    <w:qFormat/>
    <w:pPr>
      <w:ind w:firstLine="567"/>
      <w:spacing w:line="312" w:lineRule="atLeast"/>
      <w:widowControl w:val="off"/>
    </w:pPr>
    <w:rPr>
      <w:rFonts w:ascii="长城仿宋" w:eastAsia="长城仿宋"/>
      <w:sz w:val="28"/>
    </w:rPr>
  </w:style>
  <w:style w:type="paragraph" w:styleId="1404"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405" w:customStyle="1">
    <w:name w:val="Body text|1"/>
    <w:basedOn w:val="1031"/>
    <w:uiPriority w:val="0"/>
    <w:qFormat/>
    <w:pPr>
      <w:ind w:firstLine="360"/>
      <w:spacing w:line="425" w:lineRule="auto"/>
      <w:widowControl w:val="off"/>
    </w:pPr>
    <w:rPr>
      <w:rFonts w:ascii="宋体" w:hAnsi="宋体"/>
      <w:sz w:val="18"/>
      <w:szCs w:val="18"/>
      <w:lang w:val="zh-TW" w:eastAsia="zh-TW" w:bidi="zh-TW"/>
    </w:rPr>
  </w:style>
  <w:style w:type="character" w:styleId="1406" w:customStyle="1">
    <w:name w:val="未处理的提及1"/>
    <w:uiPriority w:val="99"/>
    <w:semiHidden/>
    <w:unhideWhenUsed/>
    <w:qFormat/>
    <w:rPr>
      <w:color w:val="605e5c"/>
      <w:shd w:val="clear" w:color="auto" w:fill="e1dfdd"/>
    </w:rPr>
  </w:style>
  <w:style w:type="character" w:styleId="1407" w:customStyle="1">
    <w:name w:val="批注主题 字符"/>
    <w:link w:val="1015"/>
    <w:uiPriority w:val="0"/>
    <w:qFormat/>
    <w:rPr>
      <w:b/>
      <w:bCs/>
    </w:rPr>
  </w:style>
  <w:style w:type="character" w:styleId="1408" w:customStyle="1">
    <w:name w:val="批注文字 字符"/>
    <w:link w:val="989"/>
    <w:uiPriority w:val="0"/>
    <w:qFormat/>
  </w:style>
  <w:style w:type="character" w:styleId="1409" w:customStyle="1">
    <w:name w:val="批注主题 字符1"/>
    <w:uiPriority w:val="99"/>
    <w:semiHidden/>
    <w:qFormat/>
    <w:rPr>
      <w:rFonts w:ascii="Calibri" w:hAnsi="Calibri"/>
      <w:b/>
      <w:bCs/>
      <w:sz w:val="21"/>
      <w:szCs w:val="21"/>
    </w:rPr>
  </w:style>
  <w:style w:type="character" w:styleId="1410" w:customStyle="1">
    <w:name w:val="正文文本 字符"/>
    <w:link w:val="990"/>
    <w:uiPriority w:val="0"/>
    <w:qFormat/>
  </w:style>
  <w:style w:type="character" w:styleId="1411" w:customStyle="1">
    <w:name w:val="批注框文本 字符"/>
    <w:link w:val="1001"/>
    <w:uiPriority w:val="0"/>
    <w:qFormat/>
    <w:rPr>
      <w:sz w:val="18"/>
      <w:szCs w:val="18"/>
    </w:rPr>
  </w:style>
  <w:style w:type="paragraph" w:styleId="1412" w:customStyle="1">
    <w:name w:val="标题 212"/>
    <w:basedOn w:val="1027"/>
    <w:next w:val="1027"/>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413" w:customStyle="1">
    <w:name w:val="正文文本缩进 字符"/>
    <w:link w:val="991"/>
    <w:uiPriority w:val="0"/>
    <w:qFormat/>
  </w:style>
  <w:style w:type="table" w:styleId="1414"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15"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16"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17"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418" w:customStyle="1">
    <w:name w:val="无格式表格 311"/>
    <w:uiPriority w:val="99"/>
    <w:qFormat/>
    <w:tblPr>
      <w:tblCellMar>
        <w:left w:w="0" w:type="dxa"/>
        <w:top w:w="0" w:type="dxa"/>
        <w:right w:w="0" w:type="dxa"/>
        <w:bottom w:w="0" w:type="dxa"/>
      </w:tblCellMar>
    </w:tblPr>
  </w:style>
  <w:style w:type="table" w:styleId="1419" w:customStyle="1">
    <w:name w:val="无格式表格 411"/>
    <w:uiPriority w:val="99"/>
    <w:qFormat/>
    <w:tblPr>
      <w:tblCellMar>
        <w:left w:w="0" w:type="dxa"/>
        <w:top w:w="0" w:type="dxa"/>
        <w:right w:w="0" w:type="dxa"/>
        <w:bottom w:w="0" w:type="dxa"/>
      </w:tblCellMar>
    </w:tblPr>
  </w:style>
  <w:style w:type="table" w:styleId="1420" w:customStyle="1">
    <w:name w:val="无格式表格 511"/>
    <w:uiPriority w:val="99"/>
    <w:qFormat/>
    <w:tblPr>
      <w:tblCellMar>
        <w:left w:w="0" w:type="dxa"/>
        <w:top w:w="0" w:type="dxa"/>
        <w:right w:w="0" w:type="dxa"/>
        <w:bottom w:w="0" w:type="dxa"/>
      </w:tblCellMar>
    </w:tblPr>
  </w:style>
  <w:style w:type="table" w:styleId="1421"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422"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23"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24"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25"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26"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27"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28"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29"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30"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1"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2"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33"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34"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35"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36"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37"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8"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9"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40"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41"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42"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43"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444"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445"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446"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447"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48"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49"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0"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1"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2"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3"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4"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5"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6"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57"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58"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59"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60"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1"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62"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63"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64"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65"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66"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67"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8"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69"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70" w:customStyle="1">
    <w:name w:val="清单表 1 浅色11"/>
    <w:uiPriority w:val="99"/>
    <w:qFormat/>
    <w:tblPr>
      <w:tblCellMar>
        <w:left w:w="0" w:type="dxa"/>
        <w:top w:w="0" w:type="dxa"/>
        <w:right w:w="0" w:type="dxa"/>
        <w:bottom w:w="0" w:type="dxa"/>
      </w:tblCellMar>
    </w:tblPr>
  </w:style>
  <w:style w:type="table" w:styleId="1471" w:customStyle="1">
    <w:name w:val="List Table 1 Light - Accent 11"/>
    <w:uiPriority w:val="99"/>
    <w:qFormat/>
    <w:tblPr>
      <w:tblCellMar>
        <w:left w:w="0" w:type="dxa"/>
        <w:top w:w="0" w:type="dxa"/>
        <w:right w:w="0" w:type="dxa"/>
        <w:bottom w:w="0" w:type="dxa"/>
      </w:tblCellMar>
    </w:tblPr>
  </w:style>
  <w:style w:type="table" w:styleId="1472" w:customStyle="1">
    <w:name w:val="List Table 1 Light - Accent 21"/>
    <w:uiPriority w:val="99"/>
    <w:qFormat/>
    <w:tblPr>
      <w:tblCellMar>
        <w:left w:w="0" w:type="dxa"/>
        <w:top w:w="0" w:type="dxa"/>
        <w:right w:w="0" w:type="dxa"/>
        <w:bottom w:w="0" w:type="dxa"/>
      </w:tblCellMar>
    </w:tblPr>
  </w:style>
  <w:style w:type="table" w:styleId="1473" w:customStyle="1">
    <w:name w:val="List Table 1 Light - Accent 31"/>
    <w:uiPriority w:val="99"/>
    <w:qFormat/>
    <w:tblPr>
      <w:tblCellMar>
        <w:left w:w="0" w:type="dxa"/>
        <w:top w:w="0" w:type="dxa"/>
        <w:right w:w="0" w:type="dxa"/>
        <w:bottom w:w="0" w:type="dxa"/>
      </w:tblCellMar>
    </w:tblPr>
  </w:style>
  <w:style w:type="table" w:styleId="1474" w:customStyle="1">
    <w:name w:val="List Table 1 Light - Accent 41"/>
    <w:uiPriority w:val="99"/>
    <w:qFormat/>
    <w:tblPr>
      <w:tblCellMar>
        <w:left w:w="0" w:type="dxa"/>
        <w:top w:w="0" w:type="dxa"/>
        <w:right w:w="0" w:type="dxa"/>
        <w:bottom w:w="0" w:type="dxa"/>
      </w:tblCellMar>
    </w:tblPr>
  </w:style>
  <w:style w:type="table" w:styleId="1475" w:customStyle="1">
    <w:name w:val="List Table 1 Light - Accent 51"/>
    <w:uiPriority w:val="99"/>
    <w:qFormat/>
    <w:tblPr>
      <w:tblCellMar>
        <w:left w:w="0" w:type="dxa"/>
        <w:top w:w="0" w:type="dxa"/>
        <w:right w:w="0" w:type="dxa"/>
        <w:bottom w:w="0" w:type="dxa"/>
      </w:tblCellMar>
    </w:tblPr>
  </w:style>
  <w:style w:type="table" w:styleId="1476" w:customStyle="1">
    <w:name w:val="List Table 1 Light - Accent 61"/>
    <w:uiPriority w:val="99"/>
    <w:qFormat/>
    <w:tblPr>
      <w:tblCellMar>
        <w:left w:w="0" w:type="dxa"/>
        <w:top w:w="0" w:type="dxa"/>
        <w:right w:w="0" w:type="dxa"/>
        <w:bottom w:w="0" w:type="dxa"/>
      </w:tblCellMar>
    </w:tblPr>
  </w:style>
  <w:style w:type="table" w:styleId="1477"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78"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79"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80"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81"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82"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83"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84"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85"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86"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87"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88"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89"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90"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91"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92"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93"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94"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95"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96"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97"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98"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99"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500"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501"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502"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503"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04"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05"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506"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507"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508"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509"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510"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511"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512"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513"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514"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515"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516"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517"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518"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519" w:customStyle="1">
    <w:name w:val="Lined - Accent 11"/>
    <w:uiPriority w:val="99"/>
    <w:qFormat/>
    <w:rPr>
      <w:color w:val="404040"/>
    </w:rPr>
    <w:tblPr>
      <w:tblCellMar>
        <w:left w:w="0" w:type="dxa"/>
        <w:top w:w="0" w:type="dxa"/>
        <w:right w:w="0" w:type="dxa"/>
        <w:bottom w:w="0" w:type="dxa"/>
      </w:tblCellMar>
    </w:tblPr>
  </w:style>
  <w:style w:type="table" w:styleId="1520" w:customStyle="1">
    <w:name w:val="Lined - Accent 21"/>
    <w:uiPriority w:val="99"/>
    <w:qFormat/>
    <w:rPr>
      <w:color w:val="404040"/>
    </w:rPr>
    <w:tblPr>
      <w:tblCellMar>
        <w:left w:w="0" w:type="dxa"/>
        <w:top w:w="0" w:type="dxa"/>
        <w:right w:w="0" w:type="dxa"/>
        <w:bottom w:w="0" w:type="dxa"/>
      </w:tblCellMar>
    </w:tblPr>
  </w:style>
  <w:style w:type="table" w:styleId="1521" w:customStyle="1">
    <w:name w:val="Lined - Accent 31"/>
    <w:uiPriority w:val="99"/>
    <w:qFormat/>
    <w:rPr>
      <w:color w:val="404040"/>
    </w:rPr>
    <w:tblPr>
      <w:tblCellMar>
        <w:left w:w="0" w:type="dxa"/>
        <w:top w:w="0" w:type="dxa"/>
        <w:right w:w="0" w:type="dxa"/>
        <w:bottom w:w="0" w:type="dxa"/>
      </w:tblCellMar>
    </w:tblPr>
  </w:style>
  <w:style w:type="table" w:styleId="1522" w:customStyle="1">
    <w:name w:val="Lined - Accent 41"/>
    <w:uiPriority w:val="99"/>
    <w:qFormat/>
    <w:rPr>
      <w:color w:val="404040"/>
    </w:rPr>
    <w:tblPr>
      <w:tblCellMar>
        <w:left w:w="0" w:type="dxa"/>
        <w:top w:w="0" w:type="dxa"/>
        <w:right w:w="0" w:type="dxa"/>
        <w:bottom w:w="0" w:type="dxa"/>
      </w:tblCellMar>
    </w:tblPr>
  </w:style>
  <w:style w:type="table" w:styleId="1523" w:customStyle="1">
    <w:name w:val="Lined - Accent 51"/>
    <w:uiPriority w:val="99"/>
    <w:qFormat/>
    <w:rPr>
      <w:color w:val="404040"/>
    </w:rPr>
    <w:tblPr>
      <w:tblCellMar>
        <w:left w:w="0" w:type="dxa"/>
        <w:top w:w="0" w:type="dxa"/>
        <w:right w:w="0" w:type="dxa"/>
        <w:bottom w:w="0" w:type="dxa"/>
      </w:tblCellMar>
    </w:tblPr>
  </w:style>
  <w:style w:type="table" w:styleId="1524" w:customStyle="1">
    <w:name w:val="Lined - Accent 61"/>
    <w:uiPriority w:val="99"/>
    <w:qFormat/>
    <w:rPr>
      <w:color w:val="404040"/>
    </w:rPr>
    <w:tblPr>
      <w:tblCellMar>
        <w:left w:w="0" w:type="dxa"/>
        <w:top w:w="0" w:type="dxa"/>
        <w:right w:w="0" w:type="dxa"/>
        <w:bottom w:w="0" w:type="dxa"/>
      </w:tblCellMar>
    </w:tblPr>
  </w:style>
  <w:style w:type="table" w:styleId="1525"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526"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527"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528"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529"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530"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531"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532"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33"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34"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35"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36"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37"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38" w:customStyle="1">
    <w:name w:val="普通表格11"/>
    <w:uiPriority w:val="0"/>
    <w:qFormat/>
    <w:tblPr>
      <w:tblCellMar>
        <w:left w:w="0" w:type="dxa"/>
        <w:top w:w="0" w:type="dxa"/>
        <w:right w:w="0" w:type="dxa"/>
        <w:bottom w:w="0" w:type="dxa"/>
      </w:tblCellMar>
    </w:tblPr>
  </w:style>
  <w:style w:type="table" w:styleId="1539" w:customStyle="1">
    <w:name w:val="网格型11"/>
    <w:basedOn w:val="1287"/>
    <w:uiPriority w:val="0"/>
    <w:qFormat/>
    <w:pPr>
      <w:jc w:val="both"/>
      <w:widowControl w:val="off"/>
    </w:pPr>
    <w:tblPr/>
  </w:style>
  <w:style w:type="paragraph" w:styleId="1540" w:customStyle="1">
    <w:name w:val="列出段落2"/>
    <w:basedOn w:val="974"/>
    <w:uiPriority w:val="0"/>
    <w:qFormat/>
    <w:pPr>
      <w:ind w:firstLine="420"/>
    </w:pPr>
    <w:rPr>
      <w:rFonts w:ascii="Calibri" w:hAnsi="Calibri"/>
      <w:sz w:val="20"/>
      <w:szCs w:val="20"/>
    </w:rPr>
  </w:style>
  <w:style w:type="table" w:styleId="1541" w:customStyle="1">
    <w:name w:val="TableNormal1"/>
    <w:uiPriority w:val="0"/>
    <w:semiHidden/>
    <w:qFormat/>
    <w:tblPr>
      <w:tblCellMar>
        <w:left w:w="0" w:type="dxa"/>
        <w:top w:w="0" w:type="dxa"/>
        <w:right w:w="0" w:type="dxa"/>
        <w:bottom w:w="0" w:type="dxa"/>
      </w:tblCellMar>
    </w:tblPr>
  </w:style>
  <w:style w:type="paragraph" w:styleId="1542" w:customStyle="1">
    <w:name w:val="_Style 9"/>
    <w:basedOn w:val="975"/>
    <w:next w:val="974"/>
    <w:uiPriority w:val="0"/>
    <w:qFormat/>
    <w:pPr>
      <w:spacing w:before="340" w:after="330" w:line="576" w:lineRule="auto"/>
      <w:outlineLvl w:val="9"/>
    </w:pPr>
    <w:rPr>
      <w:rFonts w:ascii="Calibri" w:hAnsi="Calibri"/>
      <w:sz w:val="44"/>
    </w:rPr>
  </w:style>
  <w:style w:type="paragraph" w:styleId="1543" w:customStyle="1">
    <w:name w:val="WPSOffice手动目录 1"/>
    <w:uiPriority w:val="0"/>
    <w:qFormat/>
    <w:rPr>
      <w:rFonts w:hint="default" w:ascii="Times New Roman" w:hAnsi="Times New Roman" w:eastAsia="宋体" w:cs="Times New Roman"/>
      <w:lang w:val="en-US" w:eastAsia="zh-CN" w:bidi="ar-SA"/>
    </w:rPr>
  </w:style>
  <w:style w:type="paragraph" w:styleId="154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545" w:customStyle="1">
    <w:name w:val="彩色列表 - 强调文字颜色 11"/>
    <w:basedOn w:val="974"/>
    <w:uiPriority w:val="34"/>
    <w:qFormat/>
    <w:pPr>
      <w:ind w:firstLine="420"/>
    </w:pPr>
    <w:rPr>
      <w:szCs w:val="22"/>
    </w:rPr>
  </w:style>
  <w:style w:type="paragraph" w:styleId="1546" w:customStyle="1">
    <w:name w:val="标题 111"/>
    <w:basedOn w:val="1031"/>
    <w:next w:val="1031"/>
    <w:uiPriority w:val="0"/>
    <w:qFormat/>
    <w:pPr>
      <w:jc w:val="center"/>
      <w:keepLines/>
      <w:keepNext/>
      <w:spacing w:line="578" w:lineRule="auto"/>
      <w:outlineLvl w:val="0"/>
    </w:pPr>
    <w:rPr>
      <w:rFonts w:eastAsia="新宋体"/>
      <w:b/>
      <w:bCs/>
      <w:sz w:val="30"/>
      <w:szCs w:val="44"/>
    </w:rPr>
  </w:style>
  <w:style w:type="paragraph" w:styleId="1547" w:customStyle="1">
    <w:name w:val="_Style 11"/>
    <w:uiPriority w:val="1"/>
    <w:qFormat/>
    <w:pPr>
      <w:jc w:val="both"/>
      <w:widowControl w:val="off"/>
    </w:pPr>
    <w:rPr>
      <w:rFonts w:hint="default" w:ascii="宋体" w:hAnsi="宋体" w:eastAsia="宋体" w:cs="宋体"/>
      <w:sz w:val="21"/>
      <w:szCs w:val="22"/>
      <w:lang w:val="en-US" w:eastAsia="zh-CN" w:bidi="ar-SA"/>
    </w:rPr>
  </w:style>
  <w:style w:type="table" w:styleId="1548" w:customStyle="1">
    <w:name w:val="网格型111"/>
    <w:uiPriority w:val="0"/>
    <w:qFormat/>
    <w:rPr>
      <w:lang w:val="en-US" w:eastAsia="zh-CN" w:bidi="ar-SA"/>
    </w:rPr>
    <w:tblPr/>
  </w:style>
  <w:style w:type="paragraph" w:styleId="1549" w:customStyle="1">
    <w:name w:val="文本块111"/>
    <w:basedOn w:val="974"/>
    <w:uiPriority w:val="0"/>
    <w:qFormat/>
    <w:pPr>
      <w:ind w:left="256" w:right="6" w:firstLine="624"/>
    </w:pPr>
    <w:rPr>
      <w:rFonts w:eastAsia="仿宋_GB2312"/>
      <w:sz w:val="28"/>
      <w:szCs w:val="20"/>
    </w:rPr>
  </w:style>
  <w:style w:type="character" w:styleId="1550" w:customStyle="1">
    <w:name w:val="标题 3 Char"/>
    <w:link w:val="977"/>
    <w:uiPriority w:val="0"/>
    <w:qFormat/>
    <w:rPr>
      <w:rFonts w:hint="eastAsia" w:ascii="宋体" w:hAnsi="宋体" w:eastAsia="宋体" w:cs="宋体"/>
      <w:b/>
      <w:bCs/>
      <w:color w:val="000000"/>
      <w:sz w:val="24"/>
      <w:szCs w:val="27"/>
      <w:lang w:bidi="ar"/>
    </w:rPr>
  </w:style>
  <w:style w:type="character" w:styleId="1551" w:customStyle="1">
    <w:name w:val="纯文本 字符"/>
    <w:link w:val="997"/>
    <w:uiPriority w:val="0"/>
    <w:qFormat/>
    <w:rPr>
      <w:rFonts w:ascii="宋体" w:hAnsi="Courier New"/>
      <w:szCs w:val="21"/>
    </w:rPr>
  </w:style>
  <w:style w:type="character" w:styleId="1552" w:customStyle="1">
    <w:name w:val="普通(网站) 字符"/>
    <w:link w:val="1013"/>
    <w:uiPriority w:val="99"/>
    <w:qFormat/>
    <w:rPr>
      <w:rFonts w:ascii="宋体" w:hAnsi="宋体"/>
      <w:sz w:val="24"/>
    </w:rPr>
  </w:style>
  <w:style w:type="character" w:styleId="1553" w:customStyle="1">
    <w:name w:val="正文文本首行缩进 2 字符"/>
    <w:link w:val="1016"/>
    <w:uiPriority w:val="0"/>
    <w:qFormat/>
  </w:style>
  <w:style w:type="paragraph" w:styleId="155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555" w:customStyle="1">
    <w:name w:val="纯文本 Char"/>
    <w:uiPriority w:val="0"/>
    <w:qFormat/>
    <w:rPr>
      <w:rFonts w:hint="eastAsia" w:ascii="宋体" w:hAnsi="Courier New" w:eastAsia="宋体" w:cs="Courier New"/>
      <w:sz w:val="21"/>
      <w:szCs w:val="21"/>
    </w:rPr>
  </w:style>
  <w:style w:type="paragraph" w:styleId="1556" w:customStyle="1">
    <w:name w:val="表格3"/>
    <w:basedOn w:val="974"/>
    <w:uiPriority w:val="0"/>
    <w:qFormat/>
    <w:pPr>
      <w:jc w:val="center"/>
    </w:pPr>
  </w:style>
  <w:style w:type="paragraph" w:styleId="1557" w:customStyle="1">
    <w:name w:val="首行缩进"/>
    <w:basedOn w:val="974"/>
    <w:uiPriority w:val="0"/>
    <w:qFormat/>
    <w:pPr>
      <w:ind w:firstLine="480"/>
      <w:jc w:val="left"/>
      <w:spacing w:line="360" w:lineRule="auto"/>
    </w:pPr>
    <w:rPr>
      <w:rFonts w:ascii="宋体" w:hAnsi="宋体"/>
      <w:sz w:val="24"/>
    </w:rPr>
  </w:style>
  <w:style w:type="paragraph" w:styleId="1558" w:customStyle="1">
    <w:name w:val="默认段落字体 Para Char Char Char Char Char Char Char"/>
    <w:basedOn w:val="974"/>
    <w:uiPriority w:val="0"/>
    <w:qFormat/>
    <w:rPr>
      <w:rFonts w:ascii="Tahoma" w:hAnsi="Tahoma"/>
      <w:sz w:val="24"/>
      <w:szCs w:val="20"/>
    </w:rPr>
  </w:style>
  <w:style w:type="paragraph" w:styleId="1559" w:customStyle="1">
    <w:name w:val="页脚11"/>
    <w:basedOn w:val="974"/>
    <w:uiPriority w:val="0"/>
    <w:qFormat/>
    <w:pPr>
      <w:jc w:val="left"/>
      <w:tabs>
        <w:tab w:val="center" w:pos="4153" w:leader="none"/>
        <w:tab w:val="right" w:pos="8306" w:leader="none"/>
      </w:tabs>
    </w:pPr>
    <w:rPr>
      <w:sz w:val="18"/>
      <w:szCs w:val="18"/>
    </w:rPr>
  </w:style>
  <w:style w:type="numbering" w:styleId="15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Adminis</dc:creator>
  <cp:lastModifiedBy>赵颖</cp:lastModifiedBy>
  <cp:revision>20</cp:revision>
  <dcterms:created xsi:type="dcterms:W3CDTF">2023-09-09T08:12:00Z</dcterms:created>
  <dcterms:modified xsi:type="dcterms:W3CDTF">2026-07-21T09:30:21Z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1D8425A0C4124011ACC17D7126CC2FFD_13</vt:lpwstr>
  </property>
  <property fmtid="{D5CDD505-2E9C-101B-9397-08002B2CF9AE}" pid="4" name="KSOTemplateDocerSaveRecord">
    <vt:lpwstr>eyJoZGlkIjoiODIwMWZjZjEyNDM4ZTliZGQ1ZjFhMTUxZTMxMmU2Y2IiLCJ1c2VySWQiOiI3MDc4ODA3ODkifQ==</vt:lpwstr>
  </property>
</Properties>
</file>