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82D6DF">
      <w:pPr>
        <w:spacing w:line="360" w:lineRule="auto"/>
        <w:rPr>
          <w:rFonts w:hint="eastAsia" w:ascii="宋体" w:hAnsi="宋体" w:cs="宋体"/>
          <w:b/>
          <w:bCs/>
          <w:color w:val="auto"/>
          <w:sz w:val="110"/>
          <w:szCs w:val="110"/>
          <w:highlight w:val="none"/>
        </w:rPr>
      </w:pPr>
    </w:p>
    <w:p w14:paraId="2A79DF09">
      <w:pPr>
        <w:pStyle w:val="29"/>
        <w:rPr>
          <w:rFonts w:hint="eastAsia" w:ascii="宋体" w:hAnsi="宋体" w:cs="宋体"/>
          <w:color w:val="auto"/>
          <w:highlight w:val="none"/>
        </w:rPr>
      </w:pPr>
    </w:p>
    <w:p w14:paraId="206E34B0">
      <w:pPr>
        <w:spacing w:line="360" w:lineRule="auto"/>
        <w:rPr>
          <w:rFonts w:hint="eastAsia" w:ascii="宋体" w:hAnsi="宋体" w:cs="宋体"/>
          <w:b/>
          <w:bCs/>
          <w:color w:val="auto"/>
          <w:sz w:val="32"/>
          <w:szCs w:val="32"/>
          <w:highlight w:val="none"/>
        </w:rPr>
      </w:pPr>
    </w:p>
    <w:p w14:paraId="3EE8044D">
      <w:pPr>
        <w:spacing w:line="360" w:lineRule="auto"/>
        <w:jc w:val="center"/>
        <w:outlineLvl w:val="0"/>
        <w:rPr>
          <w:rFonts w:hint="eastAsia" w:ascii="宋体" w:hAnsi="宋体" w:cs="宋体"/>
          <w:b/>
          <w:bCs/>
          <w:color w:val="auto"/>
          <w:sz w:val="110"/>
          <w:szCs w:val="110"/>
          <w:highlight w:val="none"/>
        </w:rPr>
      </w:pPr>
      <w:r>
        <w:rPr>
          <w:rFonts w:hint="eastAsia" w:ascii="宋体" w:hAnsi="宋体" w:cs="宋体"/>
          <w:b/>
          <w:bCs/>
          <w:color w:val="auto"/>
          <w:sz w:val="110"/>
          <w:szCs w:val="110"/>
          <w:highlight w:val="none"/>
        </w:rPr>
        <w:t>竞争性磋商文件</w:t>
      </w:r>
    </w:p>
    <w:p w14:paraId="65F9D8EF">
      <w:pPr>
        <w:rPr>
          <w:rFonts w:hint="eastAsia" w:ascii="宋体" w:hAnsi="宋体" w:cs="宋体"/>
          <w:color w:val="auto"/>
          <w:sz w:val="44"/>
          <w:szCs w:val="44"/>
          <w:highlight w:val="none"/>
        </w:rPr>
      </w:pPr>
    </w:p>
    <w:p w14:paraId="3D04364C">
      <w:pPr>
        <w:rPr>
          <w:rFonts w:hint="eastAsia" w:ascii="宋体" w:hAnsi="宋体" w:cs="宋体"/>
          <w:color w:val="auto"/>
          <w:sz w:val="44"/>
          <w:szCs w:val="44"/>
          <w:highlight w:val="none"/>
        </w:rPr>
      </w:pPr>
    </w:p>
    <w:p w14:paraId="65A3C38B">
      <w:pPr>
        <w:rPr>
          <w:rFonts w:hint="eastAsia" w:ascii="宋体" w:hAnsi="宋体" w:cs="宋体"/>
          <w:color w:val="auto"/>
          <w:sz w:val="32"/>
          <w:szCs w:val="32"/>
          <w:highlight w:val="none"/>
        </w:rPr>
      </w:pPr>
    </w:p>
    <w:p w14:paraId="5691A5B4">
      <w:pPr>
        <w:spacing w:line="360" w:lineRule="auto"/>
        <w:ind w:firstLine="1280"/>
        <w:jc w:val="left"/>
        <w:outlineLvl w:val="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lang w:eastAsia="zh-CN"/>
        </w:rPr>
        <w:t>JSZC-320381-ZXGL-C2026-0004</w:t>
      </w:r>
    </w:p>
    <w:p w14:paraId="2C8ECE0C">
      <w:pPr>
        <w:spacing w:line="360" w:lineRule="auto"/>
        <w:ind w:firstLine="1280"/>
        <w:jc w:val="left"/>
        <w:outlineLvl w:val="0"/>
        <w:rPr>
          <w:rFonts w:hint="eastAsia" w:ascii="宋体" w:hAnsi="宋体" w:cs="宋体"/>
          <w:color w:val="auto"/>
          <w:sz w:val="32"/>
          <w:szCs w:val="32"/>
          <w:highlight w:val="none"/>
        </w:rPr>
      </w:pPr>
      <w:r>
        <w:rPr>
          <w:rFonts w:hint="eastAsia" w:ascii="宋体" w:hAnsi="宋体" w:cs="宋体"/>
          <w:color w:val="auto"/>
          <w:sz w:val="32"/>
          <w:szCs w:val="32"/>
          <w:highlight w:val="none"/>
        </w:rPr>
        <w:t>项目名称：2026年新沂市乡镇（街道）网格化空气自动监测站运行维护</w:t>
      </w:r>
    </w:p>
    <w:p w14:paraId="7D836C29">
      <w:pPr>
        <w:spacing w:line="360" w:lineRule="auto"/>
        <w:ind w:firstLine="1280"/>
        <w:jc w:val="left"/>
        <w:outlineLvl w:val="0"/>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人：徐州市新沂生态环境局   </w:t>
      </w:r>
    </w:p>
    <w:p w14:paraId="35D95DE0">
      <w:pPr>
        <w:rPr>
          <w:rFonts w:hint="eastAsia" w:ascii="宋体" w:hAnsi="宋体" w:cs="宋体"/>
          <w:color w:val="auto"/>
          <w:highlight w:val="none"/>
        </w:rPr>
      </w:pPr>
      <w:r>
        <w:rPr>
          <w:rFonts w:hint="eastAsia" w:ascii="宋体" w:hAnsi="宋体" w:cs="宋体"/>
          <w:color w:val="auto"/>
          <w:sz w:val="36"/>
          <w:szCs w:val="36"/>
          <w:highlight w:val="none"/>
        </w:rPr>
        <w:t xml:space="preserve">      </w:t>
      </w:r>
    </w:p>
    <w:p w14:paraId="6EF33350">
      <w:pPr>
        <w:spacing w:line="360" w:lineRule="auto"/>
        <w:rPr>
          <w:rFonts w:hint="eastAsia" w:ascii="宋体" w:hAnsi="宋体" w:cs="宋体"/>
          <w:color w:val="auto"/>
          <w:sz w:val="36"/>
          <w:szCs w:val="36"/>
          <w:highlight w:val="none"/>
        </w:rPr>
      </w:pPr>
    </w:p>
    <w:p w14:paraId="03047535">
      <w:pPr>
        <w:spacing w:line="360" w:lineRule="auto"/>
        <w:rPr>
          <w:rFonts w:hint="eastAsia" w:ascii="宋体" w:hAnsi="宋体" w:cs="宋体"/>
          <w:color w:val="auto"/>
          <w:sz w:val="36"/>
          <w:szCs w:val="36"/>
          <w:highlight w:val="none"/>
        </w:rPr>
      </w:pPr>
    </w:p>
    <w:p w14:paraId="5D113085">
      <w:pPr>
        <w:spacing w:line="360" w:lineRule="auto"/>
        <w:rPr>
          <w:rFonts w:hint="eastAsia" w:ascii="宋体" w:hAnsi="宋体" w:cs="宋体"/>
          <w:color w:val="auto"/>
          <w:sz w:val="36"/>
          <w:szCs w:val="36"/>
          <w:highlight w:val="none"/>
        </w:rPr>
      </w:pPr>
    </w:p>
    <w:p w14:paraId="777F35FB">
      <w:pPr>
        <w:spacing w:line="360" w:lineRule="auto"/>
        <w:jc w:val="center"/>
        <w:rPr>
          <w:rFonts w:hint="eastAsia" w:ascii="宋体" w:hAnsi="宋体" w:cs="宋体"/>
          <w:color w:val="auto"/>
          <w:sz w:val="32"/>
          <w:szCs w:val="32"/>
          <w:highlight w:val="none"/>
          <w:lang w:val="zh-CN"/>
        </w:rPr>
      </w:pPr>
      <w:r>
        <w:rPr>
          <w:rFonts w:hint="eastAsia" w:ascii="宋体" w:hAnsi="宋体" w:cs="宋体"/>
          <w:b/>
          <w:bCs/>
          <w:color w:val="auto"/>
          <w:sz w:val="32"/>
          <w:szCs w:val="32"/>
          <w:highlight w:val="none"/>
        </w:rPr>
        <w:t>采购代理机构：江苏振兴工程项目管理有限公司</w:t>
      </w:r>
    </w:p>
    <w:p w14:paraId="6646E2F4">
      <w:pPr>
        <w:spacing w:line="0" w:lineRule="atLeast"/>
        <w:jc w:val="center"/>
        <w:outlineLvl w:val="0"/>
        <w:rPr>
          <w:rFonts w:hint="eastAsia" w:ascii="宋体" w:hAnsi="宋体" w:cs="宋体"/>
          <w:b/>
          <w:bCs/>
          <w:color w:val="auto"/>
          <w:sz w:val="32"/>
          <w:szCs w:val="32"/>
          <w:highlight w:val="none"/>
        </w:rPr>
        <w:sectPr>
          <w:headerReference r:id="rId5" w:type="first"/>
          <w:headerReference r:id="rId3" w:type="default"/>
          <w:headerReference r:id="rId4" w:type="even"/>
          <w:footerReference r:id="rId6" w:type="even"/>
          <w:pgSz w:w="11906" w:h="16838"/>
          <w:pgMar w:top="1440" w:right="1440" w:bottom="1440" w:left="1440" w:header="851" w:footer="992" w:gutter="0"/>
          <w:cols w:space="720" w:num="1"/>
          <w:titlePg/>
          <w:docGrid w:linePitch="360" w:charSpace="0"/>
        </w:sectPr>
      </w:pPr>
      <w:r>
        <w:rPr>
          <w:rFonts w:hint="eastAsia" w:ascii="宋体" w:hAnsi="宋体" w:cs="宋体"/>
          <w:b/>
          <w:bCs/>
          <w:color w:val="auto"/>
          <w:sz w:val="32"/>
          <w:szCs w:val="32"/>
          <w:highlight w:val="none"/>
        </w:rPr>
        <w:t>二〇二六年六月</w:t>
      </w:r>
    </w:p>
    <w:p w14:paraId="487DA5BF">
      <w:pPr>
        <w:spacing w:line="360" w:lineRule="auto"/>
        <w:jc w:val="center"/>
        <w:outlineLvl w:val="0"/>
        <w:rPr>
          <w:rFonts w:hint="eastAsia" w:ascii="宋体" w:hAnsi="宋体" w:cs="宋体"/>
          <w:color w:val="auto"/>
          <w:sz w:val="24"/>
          <w:highlight w:val="none"/>
        </w:rPr>
      </w:pPr>
      <w:r>
        <w:rPr>
          <w:rFonts w:hint="eastAsia" w:ascii="宋体" w:hAnsi="宋体" w:cs="宋体"/>
          <w:b/>
          <w:color w:val="auto"/>
          <w:sz w:val="36"/>
          <w:highlight w:val="none"/>
        </w:rPr>
        <w:t>竞争性磋商文件</w:t>
      </w:r>
    </w:p>
    <w:p w14:paraId="174C7AF0">
      <w:pPr>
        <w:tabs>
          <w:tab w:val="left" w:pos="3240"/>
        </w:tabs>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JSZC-320381-ZXGL-C2026-0004</w:t>
      </w:r>
    </w:p>
    <w:p w14:paraId="6C1507E6">
      <w:pPr>
        <w:tabs>
          <w:tab w:val="left" w:pos="324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各供应商：</w:t>
      </w:r>
    </w:p>
    <w:p w14:paraId="7DDD04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江苏振兴工程项目管理有限公司对</w:t>
      </w:r>
      <w:r>
        <w:rPr>
          <w:rFonts w:hint="eastAsia" w:ascii="宋体" w:hAnsi="宋体" w:cs="宋体"/>
          <w:color w:val="auto"/>
          <w:sz w:val="24"/>
          <w:highlight w:val="none"/>
          <w:u w:val="single"/>
        </w:rPr>
        <w:t>2026年新沂市乡镇（街道）网格化空气自动监测站运行维护</w:t>
      </w:r>
      <w:r>
        <w:rPr>
          <w:rFonts w:hint="eastAsia" w:ascii="宋体" w:hAnsi="宋体" w:cs="宋体"/>
          <w:color w:val="auto"/>
          <w:sz w:val="24"/>
          <w:highlight w:val="none"/>
        </w:rPr>
        <w:t>采取竞争性磋商采购方式进行采购，竞争性磋商文件（以下简称《磋商文件》）内容如下：</w:t>
      </w:r>
    </w:p>
    <w:p w14:paraId="22F07BF4">
      <w:pPr>
        <w:spacing w:line="360" w:lineRule="auto"/>
        <w:ind w:firstLine="480"/>
        <w:jc w:val="center"/>
        <w:outlineLvl w:val="0"/>
        <w:rPr>
          <w:rFonts w:hint="eastAsia" w:ascii="宋体" w:hAnsi="宋体" w:cs="宋体"/>
          <w:color w:val="auto"/>
          <w:sz w:val="24"/>
          <w:highlight w:val="none"/>
        </w:rPr>
      </w:pPr>
      <w:r>
        <w:rPr>
          <w:rFonts w:hint="eastAsia" w:ascii="宋体" w:hAnsi="宋体" w:cs="宋体"/>
          <w:color w:val="auto"/>
          <w:sz w:val="24"/>
          <w:highlight w:val="none"/>
        </w:rPr>
        <w:t>第一章 项目说明</w:t>
      </w:r>
    </w:p>
    <w:p w14:paraId="7ECFF968">
      <w:pPr>
        <w:numPr>
          <w:ilvl w:val="0"/>
          <w:numId w:val="2"/>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采购人：徐州市新沂生态环境局   </w:t>
      </w:r>
    </w:p>
    <w:p w14:paraId="0BA00CB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二、项目名称：2026年新沂市乡镇（街道）网格化空气自动监测站运行维护  </w:t>
      </w:r>
    </w:p>
    <w:p w14:paraId="16145466">
      <w:pPr>
        <w:spacing w:line="360" w:lineRule="auto"/>
        <w:ind w:firstLine="48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三、项目编号：</w:t>
      </w:r>
      <w:r>
        <w:rPr>
          <w:rFonts w:hint="eastAsia" w:ascii="宋体" w:hAnsi="宋体" w:cs="宋体"/>
          <w:color w:val="auto"/>
          <w:sz w:val="24"/>
          <w:highlight w:val="none"/>
          <w:lang w:eastAsia="zh-CN"/>
        </w:rPr>
        <w:t>JSZC-320381-ZXGL-C2026-0004</w:t>
      </w:r>
    </w:p>
    <w:p w14:paraId="24F67BF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四、采购邀请：通过发布公告的方式邀请符合相应资格条件的供应商参与竞争性磋商采购活动。</w:t>
      </w:r>
    </w:p>
    <w:p w14:paraId="1EFE5AF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五、采购方式：竞争性磋商。</w:t>
      </w:r>
    </w:p>
    <w:p w14:paraId="1EF4A45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六、供应商资格条件：见竞争性磋商公告（项目编号：</w:t>
      </w:r>
      <w:r>
        <w:rPr>
          <w:rFonts w:hint="eastAsia" w:ascii="宋体" w:hAnsi="宋体" w:cs="宋体"/>
          <w:color w:val="auto"/>
          <w:sz w:val="24"/>
          <w:highlight w:val="none"/>
          <w:lang w:eastAsia="zh-CN"/>
        </w:rPr>
        <w:t>JSZC-320381-ZXGL-C2026-0004</w:t>
      </w:r>
      <w:r>
        <w:rPr>
          <w:rFonts w:hint="eastAsia" w:ascii="宋体" w:hAnsi="宋体" w:cs="宋体"/>
          <w:color w:val="auto"/>
          <w:sz w:val="24"/>
          <w:highlight w:val="none"/>
        </w:rPr>
        <w:t>）</w:t>
      </w:r>
    </w:p>
    <w:p w14:paraId="2A50E1E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七、采购预算（采购项目预算金额）：见《磋商文件》附件2、《项目要求（采购需求）》。</w:t>
      </w:r>
    </w:p>
    <w:p w14:paraId="7BF6A43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八、采购需求：见《磋商文件》附件2、《项目要求（采购需求）》。</w:t>
      </w:r>
    </w:p>
    <w:p w14:paraId="4006E1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九、合同草案条款：见《磋商文件》附件6、《合同草案条款》。</w:t>
      </w:r>
    </w:p>
    <w:p w14:paraId="630A4C2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十、报价要求</w:t>
      </w:r>
    </w:p>
    <w:p w14:paraId="1D195C2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1、供应商报价为要约，采购人无承诺表示时视为未成交，采购人认为必要时可重新进行竞争性磋商采购或采取其它方式采购。</w:t>
      </w:r>
    </w:p>
    <w:p w14:paraId="70F002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2、按照《磋商报价表》要求填写首次报价。</w:t>
      </w:r>
    </w:p>
    <w:p w14:paraId="42906E49">
      <w:pPr>
        <w:numPr>
          <w:ilvl w:val="0"/>
          <w:numId w:val="3"/>
        </w:numPr>
        <w:spacing w:line="360" w:lineRule="auto"/>
        <w:ind w:firstLine="480"/>
        <w:jc w:val="center"/>
        <w:outlineLvl w:val="0"/>
        <w:rPr>
          <w:rFonts w:hint="eastAsia" w:ascii="宋体" w:hAnsi="宋体" w:cs="宋体"/>
          <w:color w:val="auto"/>
          <w:sz w:val="24"/>
          <w:highlight w:val="none"/>
        </w:rPr>
      </w:pPr>
      <w:r>
        <w:rPr>
          <w:rFonts w:hint="eastAsia" w:ascii="宋体" w:hAnsi="宋体" w:cs="宋体"/>
          <w:color w:val="auto"/>
          <w:sz w:val="24"/>
          <w:highlight w:val="none"/>
        </w:rPr>
        <w:t>磋商保证金</w:t>
      </w:r>
    </w:p>
    <w:p w14:paraId="39E3BCC3">
      <w:pPr>
        <w:numPr>
          <w:ilvl w:val="0"/>
          <w:numId w:val="4"/>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供应商提交磋商保证金：本项目无需缴纳磋商保证金。</w:t>
      </w:r>
    </w:p>
    <w:p w14:paraId="70CD614C">
      <w:pPr>
        <w:spacing w:line="360" w:lineRule="auto"/>
        <w:ind w:firstLine="480"/>
        <w:jc w:val="center"/>
        <w:outlineLvl w:val="0"/>
        <w:rPr>
          <w:rFonts w:hint="eastAsia" w:ascii="宋体" w:hAnsi="宋体" w:cs="宋体"/>
          <w:color w:val="auto"/>
          <w:sz w:val="24"/>
          <w:highlight w:val="none"/>
        </w:rPr>
      </w:pPr>
      <w:r>
        <w:rPr>
          <w:rFonts w:hint="eastAsia" w:ascii="宋体" w:hAnsi="宋体" w:cs="宋体"/>
          <w:color w:val="auto"/>
          <w:sz w:val="24"/>
          <w:highlight w:val="none"/>
        </w:rPr>
        <w:t>第三章 响应文件</w:t>
      </w:r>
    </w:p>
    <w:p w14:paraId="121AA65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十二、提交响应文件要求</w:t>
      </w:r>
    </w:p>
    <w:p w14:paraId="236CD3BE">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（一）本项目通过“苏采云”系统进行电子采购，即供应商响应文件从政府采购客户端工具制作并通过“苏采云”系统提交。</w:t>
      </w:r>
    </w:p>
    <w:p w14:paraId="2103DBF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供应商应当通过“苏采云”系统提交数据电文形式的响应文件（即电子投标）。未进行线上响应文件提交并解密(因“苏采云”系统导致解密失败的除外)的供应商，响应无效。</w:t>
      </w:r>
    </w:p>
    <w:p w14:paraId="2C1A788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0E8FDA06">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使用需要第三方认证的电子签名、数据电文，通过互联网方式提交首次响应文件。即：使用“电子签名认证证书（CA数字证书）”登录“苏采云”系统（网址：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宋体" w:hAnsi="宋体" w:cs="宋体"/>
          <w:bCs/>
          <w:color w:val="auto"/>
          <w:sz w:val="24"/>
          <w:highlight w:val="none"/>
        </w:rPr>
        <w:t>http://jszfcg.jsczt.cn/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；或进入徐州政府采购网（网址：http://czj.xz.gov.cn/Home/HomeIndex）--业务工作--用户登录，点击“苏采云”进入系统），按照要求通过互联网方式提交首次响应文件。</w:t>
      </w:r>
    </w:p>
    <w:p w14:paraId="3FABC403">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“苏采云”系统使用要求：</w:t>
      </w:r>
    </w:p>
    <w:p w14:paraId="3B8B8AE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1、使用谷歌浏览器参与不见面开标及磋商环节。</w:t>
      </w:r>
    </w:p>
    <w:p w14:paraId="735C4AE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2、电脑需提前准备好麦克风、音响、摄像头，提前检查保证能够正常使用。</w:t>
      </w:r>
    </w:p>
    <w:p w14:paraId="36B3813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3、操作系统至少win7以上，建议使用win10操作系统。</w:t>
      </w:r>
    </w:p>
    <w:p w14:paraId="1F705B5E">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（二）首次响应文件提交的截止时间：</w:t>
      </w:r>
      <w:r>
        <w:rPr>
          <w:rFonts w:hint="eastAsia" w:ascii="宋体" w:hAnsi="宋体" w:cs="宋体"/>
          <w:b/>
          <w:color w:val="auto"/>
          <w:sz w:val="24"/>
          <w:highlight w:val="none"/>
        </w:rPr>
        <w:t>2026年</w:t>
      </w:r>
      <w:r>
        <w:rPr>
          <w:rFonts w:hint="eastAsia" w:ascii="宋体" w:hAnsi="宋体" w:cs="宋体"/>
          <w:b/>
          <w:color w:val="auto"/>
          <w:sz w:val="24"/>
          <w:highlight w:val="none"/>
          <w:lang w:val="en-US" w:eastAsia="zh-CN"/>
        </w:rPr>
        <w:t>06</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24</w:t>
      </w:r>
      <w:r>
        <w:rPr>
          <w:rFonts w:hint="eastAsia" w:ascii="宋体" w:hAnsi="宋体" w:cs="宋体"/>
          <w:b/>
          <w:color w:val="auto"/>
          <w:sz w:val="24"/>
          <w:highlight w:val="none"/>
        </w:rPr>
        <w:t>日北京时间9：30</w:t>
      </w:r>
      <w:r>
        <w:rPr>
          <w:rFonts w:hint="eastAsia" w:ascii="宋体" w:hAnsi="宋体" w:cs="宋体"/>
          <w:bCs/>
          <w:color w:val="auto"/>
          <w:sz w:val="24"/>
          <w:highlight w:val="none"/>
        </w:rPr>
        <w:t>，在截止时间后提交的首次响应文件为无效文件，将被拒收。</w:t>
      </w:r>
    </w:p>
    <w:p w14:paraId="346DF6D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（三）首次响应文件提交时间、地点：</w:t>
      </w:r>
    </w:p>
    <w:p w14:paraId="79A2AFA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1、提交时间</w:t>
      </w:r>
    </w:p>
    <w:p w14:paraId="713A746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首次响应文件提交的截止时间（</w:t>
      </w:r>
      <w:r>
        <w:rPr>
          <w:rFonts w:hint="eastAsia" w:ascii="宋体" w:hAnsi="宋体" w:cs="宋体"/>
          <w:b/>
          <w:color w:val="auto"/>
          <w:sz w:val="24"/>
          <w:highlight w:val="none"/>
        </w:rPr>
        <w:t>2026年</w:t>
      </w:r>
      <w:r>
        <w:rPr>
          <w:rFonts w:hint="eastAsia" w:ascii="宋体" w:hAnsi="宋体" w:cs="宋体"/>
          <w:b/>
          <w:color w:val="auto"/>
          <w:sz w:val="24"/>
          <w:highlight w:val="none"/>
          <w:lang w:val="en-US" w:eastAsia="zh-CN"/>
        </w:rPr>
        <w:t>06</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24</w:t>
      </w:r>
      <w:r>
        <w:rPr>
          <w:rFonts w:hint="eastAsia" w:ascii="宋体" w:hAnsi="宋体" w:cs="宋体"/>
          <w:b/>
          <w:color w:val="auto"/>
          <w:sz w:val="24"/>
          <w:highlight w:val="none"/>
        </w:rPr>
        <w:t>日北京时间9：30</w:t>
      </w:r>
      <w:r>
        <w:rPr>
          <w:rFonts w:hint="eastAsia" w:ascii="宋体" w:hAnsi="宋体" w:cs="宋体"/>
          <w:bCs/>
          <w:color w:val="auto"/>
          <w:sz w:val="24"/>
          <w:highlight w:val="none"/>
        </w:rPr>
        <w:t>）前。</w:t>
      </w:r>
    </w:p>
    <w:p w14:paraId="6A91B87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2、提交地点：</w:t>
      </w:r>
    </w:p>
    <w:p w14:paraId="735D931A">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“苏采云”系统（网址：http://jszfcg.jsczt.cn/）“开标大厅”或进入徐州政府采购网（网址：http://czj.xz.gov.cn/Home/HomeIndex）-业务工作-用户登录，点击“苏采云”进入系统“开标大厅”。 </w:t>
      </w:r>
    </w:p>
    <w:p w14:paraId="67E1344B">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（四）首次响应文件开启时间：</w:t>
      </w:r>
      <w:r>
        <w:rPr>
          <w:rFonts w:hint="eastAsia" w:ascii="宋体" w:hAnsi="宋体" w:cs="宋体"/>
          <w:b/>
          <w:color w:val="auto"/>
          <w:sz w:val="24"/>
          <w:highlight w:val="none"/>
        </w:rPr>
        <w:t>2026年</w:t>
      </w:r>
      <w:r>
        <w:rPr>
          <w:rFonts w:hint="eastAsia" w:ascii="宋体" w:hAnsi="宋体" w:cs="宋体"/>
          <w:b/>
          <w:color w:val="auto"/>
          <w:sz w:val="24"/>
          <w:highlight w:val="none"/>
          <w:lang w:val="en-US" w:eastAsia="zh-CN"/>
        </w:rPr>
        <w:t>06</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24</w:t>
      </w:r>
      <w:r>
        <w:rPr>
          <w:rFonts w:hint="eastAsia" w:ascii="宋体" w:hAnsi="宋体" w:cs="宋体"/>
          <w:b/>
          <w:color w:val="auto"/>
          <w:sz w:val="24"/>
          <w:highlight w:val="none"/>
        </w:rPr>
        <w:t>日北京时间9：30</w:t>
      </w:r>
      <w:r>
        <w:rPr>
          <w:rFonts w:hint="eastAsia" w:ascii="宋体" w:hAnsi="宋体" w:cs="宋体"/>
          <w:bCs/>
          <w:color w:val="auto"/>
          <w:sz w:val="24"/>
          <w:highlight w:val="none"/>
        </w:rPr>
        <w:t>。</w:t>
      </w:r>
    </w:p>
    <w:p w14:paraId="45A0182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（五）首次响应文件开启地点：</w:t>
      </w:r>
    </w:p>
    <w:p w14:paraId="29CB9A7D">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“苏采云”系统（网址：http://jszfcg.jsczt.cn/）“开标大厅”或进入徐州政府采购网（网址：http://czj.xz.gov.cn/Home/HomeIndex）-业务工作-用户登录，点击“苏采云”进入系统“开标大厅”。</w:t>
      </w:r>
    </w:p>
    <w:p w14:paraId="02F26CBB">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2941E1B4">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（七）不接受不按要求加盖公章（电子签章）的首次响应文件。电子签章相关要求见“苏采云”系统。</w:t>
      </w:r>
    </w:p>
    <w:p w14:paraId="5F7C90D4">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p>
    <w:p w14:paraId="48CD0F1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（九）采购文件（后缀名为“.kedt”）、供应商操作手册及政府采购客户端工具可通过“苏采云”系统（网址：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宋体" w:hAnsi="宋体" w:cs="宋体"/>
          <w:bCs/>
          <w:color w:val="auto"/>
          <w:sz w:val="24"/>
          <w:highlight w:val="none"/>
        </w:rPr>
        <w:t>http://jszfcg.jsczt.cn/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7DC8219E">
      <w:pPr>
        <w:spacing w:line="360" w:lineRule="auto"/>
        <w:ind w:firstLine="480"/>
        <w:jc w:val="left"/>
        <w:rPr>
          <w:rFonts w:hint="eastAsia" w:ascii="宋体" w:hAnsi="宋体" w:cs="宋体"/>
          <w:color w:val="auto"/>
          <w:highlight w:val="none"/>
        </w:rPr>
      </w:pPr>
      <w:r>
        <w:rPr>
          <w:rFonts w:hint="eastAsia" w:ascii="宋体" w:hAnsi="宋体" w:cs="宋体"/>
          <w:bCs/>
          <w:color w:val="auto"/>
          <w:sz w:val="24"/>
          <w:highlight w:val="none"/>
        </w:rPr>
        <w:t>（十）相关说明: 供应商在“苏采云”系统中提交首次响应文件的时间即为数据电文（响应文件，下同）的发送时间和接收时间。</w:t>
      </w:r>
    </w:p>
    <w:p w14:paraId="01BEA2D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十三、响应文件编制要求</w:t>
      </w:r>
    </w:p>
    <w:p w14:paraId="0978B52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请按照以下要求（包括但不限于以下要求）制作：</w:t>
      </w:r>
    </w:p>
    <w:p w14:paraId="76CA0D07">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（一）基本目录</w:t>
      </w:r>
    </w:p>
    <w:p w14:paraId="4062CC6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1、《磋商报价表》（加盖电子签章，格式见《磋商文件》附件。政府采购客户端工具输入报价自动生成。）</w:t>
      </w:r>
    </w:p>
    <w:p w14:paraId="29487AB0">
      <w:pPr>
        <w:spacing w:line="360" w:lineRule="auto"/>
        <w:ind w:firstLine="482"/>
        <w:rPr>
          <w:rFonts w:hint="eastAsia" w:ascii="宋体" w:hAnsi="宋体" w:cs="宋体"/>
          <w:bCs/>
          <w:color w:val="auto"/>
          <w:sz w:val="24"/>
          <w:highlight w:val="none"/>
        </w:rPr>
      </w:pPr>
      <w:r>
        <w:rPr>
          <w:rFonts w:hint="eastAsia" w:ascii="宋体" w:hAnsi="宋体" w:cs="宋体"/>
          <w:b/>
          <w:color w:val="auto"/>
          <w:sz w:val="24"/>
          <w:highlight w:val="none"/>
        </w:rPr>
        <w:t>（二）资格条件（1</w:t>
      </w:r>
      <w:r>
        <w:rPr>
          <w:rFonts w:hint="eastAsia" w:ascii="宋体" w:hAnsi="宋体" w:cs="宋体"/>
          <w:b/>
          <w:bCs/>
          <w:color w:val="auto"/>
          <w:sz w:val="24"/>
          <w:highlight w:val="none"/>
        </w:rPr>
        <w:t>～</w:t>
      </w:r>
      <w:r>
        <w:rPr>
          <w:rFonts w:hint="eastAsia" w:ascii="宋体" w:hAnsi="宋体" w:cs="宋体"/>
          <w:b/>
          <w:color w:val="auto"/>
          <w:sz w:val="24"/>
          <w:highlight w:val="none"/>
        </w:rPr>
        <w:t>6项必须提供，否则响应无效）</w:t>
      </w:r>
    </w:p>
    <w:p w14:paraId="5C9781A9">
      <w:pPr>
        <w:spacing w:line="360" w:lineRule="auto"/>
        <w:ind w:firstLine="480"/>
        <w:rPr>
          <w:color w:val="auto"/>
          <w:highlight w:val="none"/>
        </w:rPr>
      </w:pPr>
      <w:r>
        <w:rPr>
          <w:rFonts w:hint="eastAsia" w:ascii="宋体" w:hAnsi="宋体" w:cs="宋体"/>
          <w:bCs/>
          <w:color w:val="auto"/>
          <w:sz w:val="24"/>
          <w:highlight w:val="none"/>
        </w:rPr>
        <w:t>1.具有独立承担民事责任的能力，提供供应商合法有效的法人的营业执照(或事业单位法人证书)或其他组织应提供合法证明文件的原件扫描件(加盖电子签章)。</w:t>
      </w:r>
    </w:p>
    <w:p w14:paraId="3B56146D">
      <w:pPr>
        <w:spacing w:line="360" w:lineRule="auto"/>
        <w:ind w:firstLine="480"/>
        <w:rPr>
          <w:color w:val="auto"/>
          <w:highlight w:val="none"/>
        </w:rPr>
      </w:pPr>
      <w:r>
        <w:rPr>
          <w:rFonts w:hint="eastAsia" w:ascii="宋体" w:hAnsi="宋体" w:cs="宋体"/>
          <w:bCs/>
          <w:color w:val="auto"/>
          <w:sz w:val="24"/>
          <w:highlight w:val="none"/>
        </w:rPr>
        <w:t>2.财务状况报告，至少提供：即提供供应商的本项目“首次响应文件提交截止时间”前6个月内任何1月（不含“首次响应文件提交截止时间”当月）的资产负债表原件的扫描件1份；供应商的本项目“首次响应文件提交截止时间”前6个月内任何1月（不含“首次响应文件提交截止时间”当月）利润表月报表原件的扫描件1份。</w:t>
      </w:r>
    </w:p>
    <w:p w14:paraId="705A5FE1">
      <w:pPr>
        <w:spacing w:line="360" w:lineRule="auto"/>
        <w:ind w:firstLine="480"/>
        <w:rPr>
          <w:color w:val="auto"/>
          <w:highlight w:val="none"/>
        </w:rPr>
      </w:pPr>
      <w:r>
        <w:rPr>
          <w:rFonts w:hint="eastAsia" w:ascii="宋体" w:hAnsi="宋体" w:cs="宋体"/>
          <w:bCs/>
          <w:color w:val="auto"/>
          <w:sz w:val="24"/>
          <w:highlight w:val="none"/>
        </w:rPr>
        <w:t>3.供应商的本项目“首次响应文件提交截止时间”前6个月内（不含“首次响应文件提交截止时间”当月）任何1月的依法缴纳税收和社会保障资金的相关材料扫描件；依法免税或不需要缴纳社会保障资金的供应商应提供相应其依法免税或不需要缴纳社会保障资金的证明文件扫描件；</w:t>
      </w:r>
    </w:p>
    <w:p w14:paraId="561D231D">
      <w:pPr>
        <w:spacing w:line="360" w:lineRule="auto"/>
        <w:ind w:firstLine="480"/>
        <w:rPr>
          <w:color w:val="auto"/>
          <w:highlight w:val="none"/>
        </w:rPr>
      </w:pPr>
      <w:r>
        <w:rPr>
          <w:rFonts w:hint="eastAsia" w:ascii="宋体" w:hAnsi="宋体" w:cs="宋体"/>
          <w:bCs/>
          <w:color w:val="auto"/>
          <w:sz w:val="24"/>
          <w:highlight w:val="none"/>
        </w:rPr>
        <w:t>4.具备履行合同所必需的设备和专业技术能力的证明材料提供具备履行合同所必需的设备和专业技术能力的书面声明。</w:t>
      </w:r>
      <w:r>
        <w:rPr>
          <w:rFonts w:hint="eastAsia" w:ascii="宋体" w:hAnsi="宋体" w:cs="宋体"/>
          <w:b/>
          <w:color w:val="auto"/>
          <w:sz w:val="24"/>
          <w:highlight w:val="none"/>
        </w:rPr>
        <w:t>（加盖电子签章，格式见《磋商文件》附件）</w:t>
      </w:r>
    </w:p>
    <w:p w14:paraId="36D8EA6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5.供应商参加政府采购活动前3年内在经营活动中没有重大违法记录的书面声明。</w:t>
      </w:r>
      <w:r>
        <w:rPr>
          <w:rFonts w:hint="eastAsia" w:ascii="宋体" w:hAnsi="宋体" w:cs="宋体"/>
          <w:b/>
          <w:color w:val="auto"/>
          <w:sz w:val="24"/>
          <w:highlight w:val="none"/>
        </w:rPr>
        <w:t>（加盖电子签章，格式见《磋商文件》附件）</w:t>
      </w:r>
    </w:p>
    <w:p w14:paraId="3AA617BD">
      <w:pPr>
        <w:pStyle w:val="47"/>
        <w:widowControl w:val="0"/>
        <w:spacing w:before="0" w:beforeAutospacing="0" w:after="0" w:afterAutospacing="0" w:line="360" w:lineRule="auto"/>
        <w:ind w:firstLine="480"/>
        <w:jc w:val="both"/>
        <w:rPr>
          <w:rFonts w:hint="eastAsia"/>
          <w:bCs/>
          <w:color w:val="auto"/>
          <w:highlight w:val="none"/>
        </w:rPr>
      </w:pPr>
      <w:r>
        <w:rPr>
          <w:rFonts w:hint="eastAsia"/>
          <w:bCs/>
          <w:color w:val="auto"/>
          <w:highlight w:val="none"/>
        </w:rPr>
        <w:t>6.</w:t>
      </w:r>
      <w:r>
        <w:rPr>
          <w:rFonts w:hint="eastAsia"/>
          <w:b/>
          <w:bCs/>
          <w:color w:val="auto"/>
          <w:highlight w:val="none"/>
        </w:rPr>
        <w:t>此项目属于专门面向中小微企业采购的项目，供应商应为中小微企业、监狱企业、残疾人福利性单位</w:t>
      </w:r>
      <w:r>
        <w:rPr>
          <w:rFonts w:hint="eastAsia"/>
          <w:bCs/>
          <w:color w:val="auto"/>
          <w:highlight w:val="none"/>
        </w:rPr>
        <w:t>。提供《中小企业声明函》（</w:t>
      </w:r>
      <w:r>
        <w:rPr>
          <w:rFonts w:hint="eastAsia"/>
          <w:b/>
          <w:color w:val="auto"/>
          <w:highlight w:val="none"/>
        </w:rPr>
        <w:t>必须提供，填写完整，加盖电子签章，如不填写完整，视为无效，格式见《磋商文件》附件</w:t>
      </w:r>
      <w:r>
        <w:rPr>
          <w:rFonts w:hint="eastAsia"/>
          <w:bCs/>
          <w:color w:val="auto"/>
          <w:highlight w:val="none"/>
        </w:rPr>
        <w:t>）。</w:t>
      </w:r>
    </w:p>
    <w:p w14:paraId="10E973B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注：具体以《政府采购促进中小企业发展管理办法》（财库[2020]46号）和《关于印发中小企业划型标准规定的通知》（工信部联企业[2011]300号）的规定为准。</w:t>
      </w:r>
    </w:p>
    <w:p w14:paraId="67092D5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注：监狱企业和残疾人福利性单位等同于小微企业。</w:t>
      </w:r>
    </w:p>
    <w:p w14:paraId="661C3D3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供应商为监狱企业的，提供省级以上监狱管理局、戒毒管理局（含新疆生产建设兵团）出具的属于监狱企业的证明文件原件的扫描件。</w:t>
      </w:r>
    </w:p>
    <w:p w14:paraId="64662B9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具体以《财政部 司法部关于政府采购支持监狱企业发展有关问题的通知》（财库〔2014〕68号）的规定为准。</w:t>
      </w:r>
    </w:p>
    <w:p w14:paraId="3EA254C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供应商为享受政府采购支持政策的残疾人福利性单位的，提供《残疾人福利性单位声明函》</w:t>
      </w:r>
      <w:r>
        <w:rPr>
          <w:rFonts w:hint="eastAsia" w:ascii="宋体" w:hAnsi="宋体" w:cs="宋体"/>
          <w:b/>
          <w:color w:val="auto"/>
          <w:sz w:val="24"/>
          <w:highlight w:val="none"/>
        </w:rPr>
        <w:t>（加盖电子签章，格式见《磋商文件》附件）</w:t>
      </w:r>
      <w:r>
        <w:rPr>
          <w:rFonts w:hint="eastAsia" w:ascii="宋体" w:hAnsi="宋体" w:cs="宋体"/>
          <w:bCs/>
          <w:color w:val="auto"/>
          <w:sz w:val="24"/>
          <w:highlight w:val="none"/>
        </w:rPr>
        <w:t>。</w:t>
      </w:r>
    </w:p>
    <w:p w14:paraId="749B673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享受政府采购支持政策的残疾人福利性单位应当同时满足以下条件：</w:t>
      </w:r>
    </w:p>
    <w:p w14:paraId="08D31AF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①安置的残疾人占本单位在职职工人数的比例不低于25%（含25%），并且安置的残疾人人数不少于10人（含10人）；</w:t>
      </w:r>
    </w:p>
    <w:p w14:paraId="25BE774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②依法与安置的每位残疾人签订了一年以上（含一年）的劳动合同或服务协议；</w:t>
      </w:r>
    </w:p>
    <w:p w14:paraId="16F2E12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③为安置的每位残疾人按月足额缴纳了基本养老保险、基本医疗保险、失业保险、工伤保险和生育保险等社会保险费；</w:t>
      </w:r>
    </w:p>
    <w:p w14:paraId="7EB50A8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④通过银行等金融机构向安置的每位残疾人，按月支付了不低于单位所在区县适用的经省级人民政府批准的月最低工资标准的工资；</w:t>
      </w:r>
    </w:p>
    <w:p w14:paraId="0262E4E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⑤提供本单位制造的货物、承担的工程或者服务（以下简称产品），或者提供其他残疾人福利性单位制造的货物（不包括使用非残疾人福利性单位注册商标的货物）。</w:t>
      </w:r>
    </w:p>
    <w:p w14:paraId="26F4E49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BF31B5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具体以《三部门联合发布关于促进残疾人就业政府采购政策的通知》（财库〔2017〕141号）规定为准。</w:t>
      </w:r>
    </w:p>
    <w:p w14:paraId="586C2A26">
      <w:pPr>
        <w:spacing w:line="360" w:lineRule="auto"/>
        <w:ind w:firstLine="480"/>
        <w:rPr>
          <w:rFonts w:hint="eastAsia" w:ascii="宋体" w:hAnsi="宋体" w:cs="宋体"/>
          <w:color w:val="auto"/>
          <w:sz w:val="24"/>
          <w:highlight w:val="none"/>
        </w:rPr>
      </w:pPr>
      <w:r>
        <w:rPr>
          <w:rFonts w:hint="eastAsia" w:ascii="宋体" w:hAnsi="宋体" w:cs="宋体"/>
          <w:bCs/>
          <w:color w:val="auto"/>
          <w:sz w:val="24"/>
          <w:highlight w:val="none"/>
        </w:rPr>
        <w:t>7.供应商信用信息（要求见第四章“（三）”中内容）。</w:t>
      </w:r>
    </w:p>
    <w:p w14:paraId="4899DC54">
      <w:pPr>
        <w:pStyle w:val="22"/>
        <w:widowControl/>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（三）符合条件（必须提供，否则在符合性审查时按照响应无效处理。）</w:t>
      </w:r>
    </w:p>
    <w:p w14:paraId="51A66B44">
      <w:pPr>
        <w:pStyle w:val="22"/>
        <w:widowControl/>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1、《承诺书》（加盖电子签章，格式见《磋商文件》附件。）；</w:t>
      </w:r>
    </w:p>
    <w:p w14:paraId="786DE6FE">
      <w:pPr>
        <w:pStyle w:val="22"/>
        <w:widowControl/>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2、《授权委托书》（加盖电子签章，格式见《磋商文件》附件。如为法定代表人参加磋商活动，则提供《法定代表人身份证明书》。）；</w:t>
      </w:r>
    </w:p>
    <w:p w14:paraId="2B438F91">
      <w:pPr>
        <w:pStyle w:val="22"/>
        <w:widowControl/>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3、《偏离表》（加盖电子签章，格式见《磋商文件》附件。）；</w:t>
      </w:r>
    </w:p>
    <w:p w14:paraId="59E779BA">
      <w:pPr>
        <w:pStyle w:val="22"/>
        <w:widowControl/>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4、《分项价格表》（加盖电子签章，格式见《磋商文件》附件。）。</w:t>
      </w:r>
    </w:p>
    <w:p w14:paraId="2035BC6C">
      <w:pPr>
        <w:pStyle w:val="22"/>
        <w:widowControl/>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（四）综合评审评分项</w:t>
      </w:r>
    </w:p>
    <w:p w14:paraId="488A4BA2">
      <w:pPr>
        <w:pStyle w:val="22"/>
        <w:widowControl/>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1、技术部分（要求见《磋商文件》附件1、《评分细则》及附件：2、《项目要求（采购需求）》）；</w:t>
      </w:r>
    </w:p>
    <w:p w14:paraId="7C845BDE">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2、商务部分（要求见《磋商文件》附件1、《评分细则》及附件：2、《项目要求（采购需求）》）；</w:t>
      </w:r>
    </w:p>
    <w:p w14:paraId="7CC54191">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（五）价格折扣文件格式</w:t>
      </w:r>
    </w:p>
    <w:p w14:paraId="36714380">
      <w:pPr>
        <w:spacing w:line="360" w:lineRule="auto"/>
        <w:ind w:firstLine="482"/>
        <w:jc w:val="left"/>
        <w:outlineLvl w:val="1"/>
        <w:rPr>
          <w:rFonts w:hint="eastAsia" w:ascii="宋体" w:hAnsi="宋体" w:cs="宋体"/>
          <w:b/>
          <w:bCs/>
          <w:color w:val="auto"/>
          <w:sz w:val="24"/>
          <w:highlight w:val="none"/>
        </w:rPr>
      </w:pPr>
      <w:r>
        <w:rPr>
          <w:rFonts w:hint="eastAsia" w:ascii="宋体" w:hAnsi="宋体" w:cs="宋体"/>
          <w:b/>
          <w:bCs/>
          <w:color w:val="auto"/>
          <w:sz w:val="24"/>
          <w:highlight w:val="none"/>
        </w:rPr>
        <w:t>1、企业报价折扣证明：无</w:t>
      </w:r>
    </w:p>
    <w:p w14:paraId="323747A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（六）提交的首次响应文件的密封、签署、盖章要求：</w:t>
      </w:r>
    </w:p>
    <w:p w14:paraId="0DC5072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1.密封（加密）要求：</w:t>
      </w:r>
    </w:p>
    <w:p w14:paraId="5AAFEDB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供应商应当按照《磋商文件》和“苏采云”系统的要求编制并加密响应文件。本项目供应商须通过“苏采云”系统提供的政府采购客户端工具（使用“CA数字证书”）对其数据电文形式的响应文件加密。</w:t>
      </w:r>
    </w:p>
    <w:p w14:paraId="2A40103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2.签署要求：见《磋商文件》第九章附件中相关格式要求（特别提醒：竞争性磋商文件中如需“被授权代表签字或盖章”，供应商可打印成文档，签字或盖章后再扫描上传，最后再电子签章）。</w:t>
      </w:r>
    </w:p>
    <w:p w14:paraId="76BB4D1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3.盖章要求：见《磋商文件》第九章附件中相关格式要求。供应商须通过“苏采云”系统提供的政府采购客户端工具（使用“CA数字证书”）加盖电子签章。</w:t>
      </w:r>
    </w:p>
    <w:p w14:paraId="0A8A861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（七）通过“苏采云”系统提交政府采购客户端工具导出加密的响应文件（后缀名为zip）。响应文件不得超过150M！ </w:t>
      </w:r>
    </w:p>
    <w:p w14:paraId="7F47D714">
      <w:pPr>
        <w:spacing w:line="360" w:lineRule="auto"/>
        <w:ind w:firstLine="480"/>
        <w:rPr>
          <w:rFonts w:hint="eastAsia" w:ascii="宋体" w:hAnsi="宋体" w:cs="宋体"/>
          <w:color w:val="auto"/>
          <w:highlight w:val="none"/>
        </w:rPr>
      </w:pPr>
      <w:r>
        <w:rPr>
          <w:rFonts w:hint="eastAsia" w:ascii="宋体" w:hAnsi="宋体" w:cs="宋体"/>
          <w:color w:val="auto"/>
          <w:sz w:val="24"/>
          <w:highlight w:val="none"/>
        </w:rPr>
        <w:t>注：供应商应当按照《磋商文件》的要求编制响应文件，并对其提交的响应文件的真实性、合法性承担法律责任。</w:t>
      </w:r>
    </w:p>
    <w:p w14:paraId="02132496">
      <w:pPr>
        <w:spacing w:line="360" w:lineRule="auto"/>
        <w:ind w:firstLine="480"/>
        <w:jc w:val="center"/>
        <w:outlineLvl w:val="0"/>
        <w:rPr>
          <w:rFonts w:hint="eastAsia" w:ascii="宋体" w:hAnsi="宋体" w:cs="宋体"/>
          <w:color w:val="auto"/>
          <w:sz w:val="24"/>
          <w:highlight w:val="none"/>
        </w:rPr>
      </w:pPr>
      <w:r>
        <w:rPr>
          <w:rFonts w:hint="eastAsia" w:ascii="宋体" w:hAnsi="宋体" w:cs="宋体"/>
          <w:color w:val="auto"/>
          <w:sz w:val="24"/>
          <w:highlight w:val="none"/>
        </w:rPr>
        <w:t>第四章 磋商相关说明</w:t>
      </w:r>
    </w:p>
    <w:p w14:paraId="336F4D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十四、磋商相关说明</w:t>
      </w:r>
    </w:p>
    <w:p w14:paraId="500E841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(一)磋商要求</w:t>
      </w:r>
    </w:p>
    <w:p w14:paraId="57EDB61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1.被邀请参与磋商的供应商需按本竞争性磋商文件要求的截止时间、方式（地点）提交首次响应文件，同时由法人或法人授权代表通过“苏采云”系统（开标大厅）等待磋商。</w:t>
      </w:r>
    </w:p>
    <w:p w14:paraId="556FDE2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2.供应商可通过CA数字证书，在首次响应文件开启时间后，使用CA数字证书在规定时间内解密各自响应文件。</w:t>
      </w:r>
    </w:p>
    <w:p w14:paraId="3FAB89A4">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3.供应商的授权代表或法定代表人须全程守候在“苏采云”系统开标大厅，并确保视频设备正常使用。授权代表或法定代表人须携带授权委托书原件（法人身份证明原件）及身份证原件，经磋商小组核查后参与磋商活动。</w:t>
      </w:r>
    </w:p>
    <w:p w14:paraId="32CC26E1">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4.磋商顺序按照电子标书解密先后时间进行，解密时间相同的，不分先后顺序。</w:t>
      </w:r>
    </w:p>
    <w:p w14:paraId="5CFC5875">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sz w:val="24"/>
          <w:highlight w:val="none"/>
        </w:rPr>
        <w:t>（所有邀请等待时间2分钟，2分钟内所邀请供应商无响应，视同放弃磋商的权利，由解密顺序下一家进行磋商，不再后补）。</w:t>
      </w:r>
    </w:p>
    <w:p w14:paraId="57DA6E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6.未在规定时间内进行答疑澄清的，视同放弃澄清。</w:t>
      </w:r>
    </w:p>
    <w:p w14:paraId="71D6907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7.未在规定时间内进行报价的，视为响应无效。</w:t>
      </w:r>
    </w:p>
    <w:p w14:paraId="4F70F63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8.被邀请参与磋商的供应商如未按上述磋商要求执行，视同放弃磋商的权利。</w:t>
      </w:r>
    </w:p>
    <w:p w14:paraId="3BA2F68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（二）评审程序</w:t>
      </w:r>
    </w:p>
    <w:p w14:paraId="75D92CC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经磋商确定最终采购需求和提交最后报价的供应商后，由磋商小组采用综合评分法对提交最后报价的供应商的响应文件和最后报价进行综合评分。</w:t>
      </w:r>
    </w:p>
    <w:p w14:paraId="2797B8EB">
      <w:pPr>
        <w:spacing w:line="360" w:lineRule="auto"/>
        <w:ind w:firstLine="480"/>
        <w:rPr>
          <w:rFonts w:hint="eastAsia" w:ascii="宋体" w:hAnsi="宋体" w:cs="宋体"/>
          <w:b/>
          <w:bCs/>
          <w:color w:val="auto"/>
          <w:sz w:val="24"/>
          <w:highlight w:val="none"/>
        </w:rPr>
      </w:pPr>
      <w:r>
        <w:rPr>
          <w:rFonts w:hint="eastAsia" w:ascii="宋体" w:hAnsi="宋体" w:cs="宋体"/>
          <w:color w:val="auto"/>
          <w:sz w:val="24"/>
          <w:highlight w:val="none"/>
        </w:rPr>
        <w:t>磋商小组应当根据综合评分情况，按照评审得分由高到低顺序推荐成交候选供应商，并编写评审报告。评审得分相同的，按照最后报价由低到高的顺序推荐。评审得分且最后报价相同的，按照服务方案得分顺序推荐。</w:t>
      </w:r>
    </w:p>
    <w:p w14:paraId="029DD52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p>
    <w:p w14:paraId="7C0630F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相关内容和要求见：《中华人民共和国政府采购法》、《中华人民共和国政府采购法实施条例》及《政府采购竞争性磋商采购方式管理暂行办法》。</w:t>
      </w:r>
    </w:p>
    <w:p w14:paraId="1490AB9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（三）查询及使用供应商信用记录</w:t>
      </w:r>
    </w:p>
    <w:p w14:paraId="0D131A52">
      <w:pPr>
        <w:pStyle w:val="47"/>
        <w:spacing w:before="0" w:beforeAutospacing="0" w:after="0" w:afterAutospacing="0" w:line="360" w:lineRule="auto"/>
        <w:ind w:firstLine="480"/>
        <w:rPr>
          <w:rFonts w:hint="eastAsia"/>
          <w:color w:val="auto"/>
          <w:highlight w:val="none"/>
        </w:rPr>
      </w:pPr>
      <w:r>
        <w:rPr>
          <w:rFonts w:hint="eastAsia"/>
          <w:color w:val="auto"/>
          <w:highlight w:val="none"/>
        </w:rPr>
        <w:t>1.由采购人查询信用信息。</w:t>
      </w:r>
    </w:p>
    <w:p w14:paraId="30E56F31">
      <w:pPr>
        <w:pStyle w:val="47"/>
        <w:spacing w:before="0" w:beforeAutospacing="0" w:after="0" w:afterAutospacing="0" w:line="360" w:lineRule="auto"/>
        <w:ind w:firstLine="480"/>
        <w:rPr>
          <w:rFonts w:hint="eastAsia"/>
          <w:color w:val="auto"/>
          <w:highlight w:val="none"/>
        </w:rPr>
      </w:pPr>
      <w:r>
        <w:rPr>
          <w:rFonts w:hint="eastAsia"/>
          <w:color w:val="auto"/>
          <w:highlight w:val="none"/>
        </w:rPr>
        <w:t>2.查询渠道包括：</w:t>
      </w:r>
    </w:p>
    <w:p w14:paraId="6CE77580">
      <w:pPr>
        <w:pStyle w:val="47"/>
        <w:spacing w:before="0" w:beforeAutospacing="0" w:after="0" w:afterAutospacing="0" w:line="360" w:lineRule="auto"/>
        <w:ind w:firstLine="480"/>
        <w:rPr>
          <w:rFonts w:hint="eastAsia"/>
          <w:color w:val="auto"/>
          <w:highlight w:val="none"/>
        </w:rPr>
      </w:pPr>
      <w:r>
        <w:rPr>
          <w:rFonts w:hint="eastAsia"/>
          <w:color w:val="auto"/>
          <w:highlight w:val="none"/>
        </w:rPr>
        <w:t>①“信用中国”网（www.creditchina.gov.cn）；</w:t>
      </w:r>
    </w:p>
    <w:p w14:paraId="0693B361">
      <w:pPr>
        <w:pStyle w:val="47"/>
        <w:spacing w:before="0" w:beforeAutospacing="0" w:after="0" w:afterAutospacing="0" w:line="360" w:lineRule="auto"/>
        <w:ind w:firstLine="480"/>
        <w:rPr>
          <w:rFonts w:hint="eastAsia"/>
          <w:color w:val="auto"/>
          <w:highlight w:val="none"/>
        </w:rPr>
      </w:pPr>
      <w:r>
        <w:rPr>
          <w:rFonts w:hint="eastAsia"/>
          <w:color w:val="auto"/>
          <w:highlight w:val="none"/>
        </w:rPr>
        <w:t>②中国政府采购网（www.ccgp.gov.cn）；</w:t>
      </w:r>
    </w:p>
    <w:p w14:paraId="6B5537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③“信用江苏”网（http://www.jscredit.gov.cn/）；</w:t>
      </w:r>
    </w:p>
    <w:p w14:paraId="3F47A9D8">
      <w:pPr>
        <w:pStyle w:val="47"/>
        <w:spacing w:before="0" w:beforeAutospacing="0" w:after="0" w:afterAutospacing="0" w:line="360" w:lineRule="auto"/>
        <w:ind w:firstLine="480"/>
        <w:rPr>
          <w:rFonts w:hint="eastAsia"/>
          <w:color w:val="auto"/>
          <w:highlight w:val="none"/>
        </w:rPr>
      </w:pPr>
      <w:r>
        <w:rPr>
          <w:rFonts w:hint="eastAsia"/>
          <w:color w:val="auto"/>
          <w:highlight w:val="none"/>
        </w:rPr>
        <w:t>④“信用徐州”网（</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color w:val="auto"/>
          <w:highlight w:val="none"/>
        </w:rPr>
        <w:t>http://www.xuzhoucredit.gov.cn）。</w:t>
      </w:r>
      <w:r>
        <w:rPr>
          <w:rFonts w:hint="eastAsia"/>
          <w:color w:val="auto"/>
          <w:highlight w:val="none"/>
        </w:rPr>
        <w:fldChar w:fldCharType="end"/>
      </w:r>
    </w:p>
    <w:p w14:paraId="3B4BA434">
      <w:pPr>
        <w:pStyle w:val="47"/>
        <w:spacing w:before="0" w:beforeAutospacing="0" w:after="0" w:afterAutospacing="0" w:line="360" w:lineRule="auto"/>
        <w:ind w:firstLine="480"/>
        <w:rPr>
          <w:rFonts w:hint="eastAsia"/>
          <w:color w:val="auto"/>
          <w:highlight w:val="none"/>
        </w:rPr>
      </w:pPr>
      <w:r>
        <w:rPr>
          <w:rFonts w:hint="eastAsia"/>
          <w:color w:val="auto"/>
          <w:highlight w:val="none"/>
        </w:rPr>
        <w:t>3.截止时点（查询环节）：首次响应文件开启后资格审查结束前。</w:t>
      </w:r>
    </w:p>
    <w:p w14:paraId="5FE72579">
      <w:pPr>
        <w:pStyle w:val="47"/>
        <w:spacing w:before="0" w:beforeAutospacing="0" w:after="0" w:afterAutospacing="0" w:line="360" w:lineRule="auto"/>
        <w:ind w:firstLine="480"/>
        <w:rPr>
          <w:rFonts w:hint="eastAsia"/>
          <w:color w:val="auto"/>
          <w:highlight w:val="none"/>
        </w:rPr>
      </w:pPr>
      <w:r>
        <w:rPr>
          <w:rFonts w:hint="eastAsia"/>
          <w:color w:val="auto"/>
          <w:highlight w:val="none"/>
        </w:rPr>
        <w:t>4.信用信息查询记录和证据留存的具体方式：</w:t>
      </w:r>
    </w:p>
    <w:p w14:paraId="419570D8">
      <w:pPr>
        <w:pStyle w:val="47"/>
        <w:spacing w:before="0" w:beforeAutospacing="0" w:after="0" w:afterAutospacing="0" w:line="360" w:lineRule="auto"/>
        <w:ind w:firstLine="480"/>
        <w:rPr>
          <w:rFonts w:hint="eastAsia"/>
          <w:color w:val="auto"/>
          <w:highlight w:val="none"/>
        </w:rPr>
      </w:pPr>
      <w:r>
        <w:rPr>
          <w:rFonts w:hint="eastAsia"/>
          <w:color w:val="auto"/>
          <w:highlight w:val="none"/>
        </w:rPr>
        <w:t>网页截屏打印，与其他采购文件一并保存。</w:t>
      </w:r>
    </w:p>
    <w:p w14:paraId="1D16D8CD">
      <w:pPr>
        <w:pStyle w:val="47"/>
        <w:spacing w:before="0" w:beforeAutospacing="0" w:after="0" w:afterAutospacing="0" w:line="360" w:lineRule="auto"/>
        <w:ind w:firstLine="480"/>
        <w:rPr>
          <w:rFonts w:hint="eastAsia"/>
          <w:color w:val="auto"/>
          <w:highlight w:val="none"/>
        </w:rPr>
      </w:pPr>
      <w:r>
        <w:rPr>
          <w:rFonts w:hint="eastAsia"/>
          <w:color w:val="auto"/>
          <w:highlight w:val="none"/>
        </w:rPr>
        <w:t>5.信用信息的使用规则：</w:t>
      </w:r>
    </w:p>
    <w:p w14:paraId="1087EB25">
      <w:pPr>
        <w:pStyle w:val="47"/>
        <w:spacing w:before="0" w:beforeAutospacing="0" w:after="0" w:afterAutospacing="0" w:line="360" w:lineRule="auto"/>
        <w:ind w:firstLine="480"/>
        <w:rPr>
          <w:rFonts w:hint="eastAsia"/>
          <w:color w:val="auto"/>
          <w:highlight w:val="none"/>
        </w:rPr>
      </w:pPr>
      <w:r>
        <w:rPr>
          <w:rFonts w:hint="eastAsia"/>
          <w:color w:val="auto"/>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4954A68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十五、评审方法和评审标准</w:t>
      </w:r>
    </w:p>
    <w:p w14:paraId="4F85A32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1、评审方法：综合评分法</w:t>
      </w:r>
    </w:p>
    <w:p w14:paraId="54D19AD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2、评审标准：详见《磋商文件》附件1、《评分细则》</w:t>
      </w:r>
    </w:p>
    <w:p w14:paraId="082CF08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十六、磋商过程中可能实质性变动的内容：在磋商过程中，磋商小组可以根据《磋商文件》和磋商情况实质性变动采购需求中的技术、服务要求以及合同草案条款。</w:t>
      </w:r>
    </w:p>
    <w:p w14:paraId="3F1387F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十七、采购人有权对供应商的响应文件的真实性进行核实，如供应商不能在采购人规定的时间内向采购人提供有效的证明文件，将被采购人视为放弃中标（成交）资格。</w:t>
      </w:r>
    </w:p>
    <w:p w14:paraId="6B54C9CD">
      <w:pPr>
        <w:spacing w:line="360" w:lineRule="auto"/>
        <w:ind w:firstLine="480"/>
        <w:jc w:val="center"/>
        <w:outlineLvl w:val="0"/>
        <w:rPr>
          <w:rFonts w:hint="eastAsia" w:ascii="宋体" w:hAnsi="宋体" w:cs="宋体"/>
          <w:color w:val="auto"/>
          <w:sz w:val="24"/>
          <w:highlight w:val="none"/>
        </w:rPr>
      </w:pPr>
      <w:r>
        <w:rPr>
          <w:rFonts w:hint="eastAsia" w:ascii="宋体" w:hAnsi="宋体" w:cs="宋体"/>
          <w:color w:val="auto"/>
          <w:sz w:val="24"/>
          <w:highlight w:val="none"/>
        </w:rPr>
        <w:t>第五章 确定成交供应商及合同签订等</w:t>
      </w:r>
    </w:p>
    <w:p w14:paraId="2ECEB5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p>
    <w:p w14:paraId="4B2754D7">
      <w:pPr>
        <w:widowControl/>
        <w:numPr>
          <w:ilvl w:val="0"/>
          <w:numId w:val="5"/>
        </w:numPr>
        <w:spacing w:line="360" w:lineRule="auto"/>
        <w:ind w:firstLine="480"/>
        <w:jc w:val="left"/>
        <w:rPr>
          <w:rFonts w:hint="eastAsia" w:ascii="宋体" w:hAnsi="宋体" w:cs="宋体"/>
          <w:color w:val="auto"/>
          <w:highlight w:val="none"/>
        </w:rPr>
      </w:pPr>
      <w:r>
        <w:rPr>
          <w:rFonts w:hint="eastAsia" w:ascii="宋体" w:hAnsi="宋体" w:cs="宋体"/>
          <w:color w:val="auto"/>
          <w:sz w:val="24"/>
          <w:highlight w:val="none"/>
        </w:rPr>
        <w:t>采购人与成交供应商应当在成交通知书发出之日起30日内，按照《磋商文件》确定的合同文本以及采购标的、规格型号、采购金额、采购数量、技术和服务要求等事项签订政府采购合同。</w:t>
      </w:r>
    </w:p>
    <w:p w14:paraId="3EEE97F8">
      <w:pPr>
        <w:widowControl/>
        <w:spacing w:line="360" w:lineRule="auto"/>
        <w:ind w:firstLine="480"/>
        <w:jc w:val="left"/>
        <w:rPr>
          <w:rFonts w:hint="eastAsia" w:ascii="宋体" w:hAnsi="宋体" w:cs="宋体"/>
          <w:color w:val="auto"/>
          <w:highlight w:val="none"/>
        </w:rPr>
      </w:pPr>
      <w:r>
        <w:rPr>
          <w:rFonts w:hint="eastAsia" w:ascii="宋体" w:hAnsi="宋体" w:cs="宋体"/>
          <w:color w:val="auto"/>
          <w:sz w:val="24"/>
          <w:highlight w:val="none"/>
        </w:rPr>
        <w:t>特别说明： 按照《政府采购法》及其实施条例以及相关规定，中标或者成交后无正当理由拒不与采购人签订政府采购合同的, 在一至三年内禁止参加政府采购活动，列入政府采购严重违法失信行为记录名单。</w:t>
      </w:r>
    </w:p>
    <w:p w14:paraId="6248D318">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成交供应商在收到成交通知书时，须向江苏振兴工程项目管理有限公司提交《磋商报价表》（首次响应文件）、《分项价格表》（首次响应文件）的数据文件（WORD格式）及与电子响应文件（首次）一致的纸质响应文件正、副本各一套，正本逐页加盖公章，副本可以是正本的复印件。</w:t>
      </w:r>
    </w:p>
    <w:p w14:paraId="1ED71CEF">
      <w:pPr>
        <w:spacing w:line="360" w:lineRule="auto"/>
        <w:ind w:firstLine="480"/>
        <w:jc w:val="left"/>
        <w:rPr>
          <w:rFonts w:hint="eastAsia" w:ascii="宋体" w:hAnsi="宋体" w:cs="宋体"/>
          <w:color w:val="auto"/>
          <w:highlight w:val="none"/>
        </w:rPr>
      </w:pPr>
      <w:r>
        <w:rPr>
          <w:rFonts w:hint="eastAsia" w:ascii="宋体" w:hAnsi="宋体" w:cs="宋体"/>
          <w:color w:val="auto"/>
          <w:sz w:val="24"/>
          <w:highlight w:val="none"/>
        </w:rPr>
        <w:t>二十一、签订合同前，成交供应商必须向采购人提交其响应文件中所有扫描件的原件，采购人核查无误后，签订合同。如成交供应商不能在采购人规定的时间内向采购人提供原件，将被采购人视为放弃成交资格。</w:t>
      </w:r>
    </w:p>
    <w:p w14:paraId="3D7DAECD">
      <w:pPr>
        <w:widowControl/>
        <w:spacing w:line="360" w:lineRule="auto"/>
        <w:ind w:firstLine="480"/>
        <w:jc w:val="left"/>
        <w:rPr>
          <w:rFonts w:hint="eastAsia" w:ascii="宋体" w:hAnsi="宋体" w:cs="宋体"/>
          <w:color w:val="auto"/>
          <w:sz w:val="24"/>
          <w:highlight w:val="none"/>
        </w:rPr>
      </w:pPr>
    </w:p>
    <w:p w14:paraId="19A7CE3C">
      <w:pPr>
        <w:widowControl/>
        <w:spacing w:line="360" w:lineRule="auto"/>
        <w:ind w:firstLine="480"/>
        <w:jc w:val="center"/>
        <w:outlineLvl w:val="0"/>
        <w:rPr>
          <w:rFonts w:hint="eastAsia" w:ascii="宋体" w:hAnsi="宋体" w:cs="宋体"/>
          <w:color w:val="auto"/>
          <w:sz w:val="24"/>
          <w:highlight w:val="none"/>
        </w:rPr>
      </w:pPr>
      <w:r>
        <w:rPr>
          <w:rFonts w:hint="eastAsia" w:ascii="宋体" w:hAnsi="宋体" w:cs="宋体"/>
          <w:color w:val="auto"/>
          <w:sz w:val="24"/>
          <w:highlight w:val="none"/>
        </w:rPr>
        <w:t>第六章 磋商文件的澄清或者修改</w:t>
      </w:r>
    </w:p>
    <w:p w14:paraId="559F8C84">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二十二、《磋商文件》的澄清或者修改</w:t>
      </w:r>
    </w:p>
    <w:p w14:paraId="64DE910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p>
    <w:p w14:paraId="496F652E">
      <w:pPr>
        <w:widowControl/>
        <w:spacing w:line="360" w:lineRule="auto"/>
        <w:ind w:firstLine="480"/>
        <w:jc w:val="center"/>
        <w:outlineLvl w:val="0"/>
        <w:rPr>
          <w:rFonts w:hint="eastAsia" w:ascii="宋体" w:hAnsi="宋体" w:cs="宋体"/>
          <w:color w:val="auto"/>
          <w:sz w:val="24"/>
          <w:highlight w:val="none"/>
        </w:rPr>
      </w:pPr>
      <w:r>
        <w:rPr>
          <w:rFonts w:hint="eastAsia" w:ascii="宋体" w:hAnsi="宋体" w:cs="宋体"/>
          <w:color w:val="auto"/>
          <w:sz w:val="24"/>
          <w:highlight w:val="none"/>
        </w:rPr>
        <w:t>第七章 询问和质疑</w:t>
      </w:r>
    </w:p>
    <w:p w14:paraId="51897E29">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二十三、询问和质疑</w:t>
      </w:r>
    </w:p>
    <w:p w14:paraId="22B9CCAE">
      <w:pPr>
        <w:widowControl/>
        <w:numPr>
          <w:ilvl w:val="0"/>
          <w:numId w:val="6"/>
        </w:num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供应商对政府采购活动事项有疑问的，向采购代理机构提出询问；供应商认为采购文件、采购过程、中标或成交结果使自己的权益受到损害的，可以在知道或者应知其权益受到损害之日起七个工作日内，以书面形式向采购代理机构提出质疑，由采购代理机构依法处理。询问和质疑由采购代理机构依法处理。</w:t>
      </w:r>
    </w:p>
    <w:p w14:paraId="4CEDE442">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2、供应商对同一采购程序环节的质疑应在法定质疑期内一次性提出。</w:t>
      </w:r>
    </w:p>
    <w:p w14:paraId="5D5AA8E4">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质疑接收人：刘工      联系电话：15261315330</w:t>
      </w:r>
    </w:p>
    <w:p w14:paraId="7A0E28C3">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地址：连云港市海州区凤祥铭居小区商业S1二层商铺</w:t>
      </w:r>
    </w:p>
    <w:p w14:paraId="0C3EBD4D">
      <w:pPr>
        <w:spacing w:line="360" w:lineRule="auto"/>
        <w:ind w:firstLine="480"/>
        <w:jc w:val="center"/>
        <w:outlineLvl w:val="0"/>
        <w:rPr>
          <w:rFonts w:hint="eastAsia" w:ascii="宋体" w:hAnsi="宋体" w:cs="宋体"/>
          <w:color w:val="auto"/>
          <w:sz w:val="24"/>
          <w:highlight w:val="none"/>
        </w:rPr>
      </w:pPr>
      <w:r>
        <w:rPr>
          <w:rFonts w:hint="eastAsia" w:ascii="宋体" w:hAnsi="宋体" w:cs="宋体"/>
          <w:color w:val="auto"/>
          <w:sz w:val="24"/>
          <w:highlight w:val="none"/>
        </w:rPr>
        <w:t>第八章 其他</w:t>
      </w:r>
    </w:p>
    <w:p w14:paraId="5DF0DB3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二十四、代理服务费</w:t>
      </w:r>
    </w:p>
    <w:p w14:paraId="7C166ED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成交供应商在领取中标（成交）通知书的同时，向江苏振兴工程项目管理有限公司缴纳招标代理服务费，本次磋商的招标代理服务费按10000元收取，供应商在投标报价时应综合考虑以上费用，不得单列。</w:t>
      </w:r>
    </w:p>
    <w:p w14:paraId="03A75892">
      <w:pPr>
        <w:spacing w:line="360" w:lineRule="auto"/>
        <w:ind w:firstLine="480"/>
        <w:jc w:val="center"/>
        <w:outlineLvl w:val="0"/>
        <w:rPr>
          <w:rFonts w:hint="eastAsia" w:ascii="宋体" w:hAnsi="宋体" w:cs="宋体"/>
          <w:color w:val="auto"/>
          <w:sz w:val="24"/>
          <w:highlight w:val="none"/>
        </w:rPr>
      </w:pPr>
      <w:r>
        <w:rPr>
          <w:rFonts w:hint="eastAsia" w:ascii="宋体" w:hAnsi="宋体" w:cs="宋体"/>
          <w:color w:val="auto"/>
          <w:sz w:val="24"/>
          <w:highlight w:val="none"/>
        </w:rPr>
        <w:t>第九章 附件</w:t>
      </w:r>
    </w:p>
    <w:p w14:paraId="45FD9582">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二十五、附件：附后。</w:t>
      </w:r>
    </w:p>
    <w:p w14:paraId="2C5D661B">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1、《评分细则》</w:t>
      </w:r>
    </w:p>
    <w:p w14:paraId="1622F766">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2、《项目要求》（采购需求）</w:t>
      </w:r>
    </w:p>
    <w:p w14:paraId="5679B282">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3、《磋商报价表》</w:t>
      </w:r>
    </w:p>
    <w:p w14:paraId="15C216BF">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4、《分项价格表》</w:t>
      </w:r>
    </w:p>
    <w:p w14:paraId="51EF57FB">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5、《偏离表》</w:t>
      </w:r>
    </w:p>
    <w:p w14:paraId="660F13AB">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6、《合同草案条款》</w:t>
      </w:r>
    </w:p>
    <w:p w14:paraId="6B727F01">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7、《承诺书》</w:t>
      </w:r>
    </w:p>
    <w:p w14:paraId="227F3B2E">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8、《授权委托书及法定代表人身份证明书》</w:t>
      </w:r>
    </w:p>
    <w:p w14:paraId="060E2A42">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9、《中小企业声明函》</w:t>
      </w:r>
    </w:p>
    <w:p w14:paraId="6877D195">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10、《供应商参加政府采购活动前3年内在经营活动中没有重大违法记录的书面声明》</w:t>
      </w:r>
    </w:p>
    <w:p w14:paraId="57B03664">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11、《残疾人福利性单位声明函》</w:t>
      </w:r>
    </w:p>
    <w:p w14:paraId="1E237E6F">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12、《具备履行合同所必需的设备和专业技术能力的书面声明》</w:t>
      </w:r>
    </w:p>
    <w:p w14:paraId="52B63593">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13、《供应商业绩一览表》</w:t>
      </w:r>
    </w:p>
    <w:p w14:paraId="33322CA8">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14、《代理服务收费标准》</w:t>
      </w:r>
    </w:p>
    <w:p w14:paraId="26E80439">
      <w:pPr>
        <w:spacing w:line="420" w:lineRule="exact"/>
        <w:ind w:firstLine="480"/>
        <w:rPr>
          <w:rFonts w:hint="eastAsia" w:ascii="宋体" w:hAnsi="宋体" w:cs="宋体"/>
          <w:color w:val="auto"/>
          <w:sz w:val="24"/>
          <w:highlight w:val="none"/>
        </w:rPr>
      </w:pPr>
      <w:r>
        <w:rPr>
          <w:rFonts w:hint="eastAsia" w:ascii="宋体" w:hAnsi="宋体" w:cs="宋体"/>
          <w:color w:val="auto"/>
          <w:sz w:val="24"/>
          <w:highlight w:val="none"/>
        </w:rPr>
        <w:t>15、《预付款保函支付条款模板》</w:t>
      </w:r>
    </w:p>
    <w:p w14:paraId="2DF6B45B">
      <w:pPr>
        <w:rPr>
          <w:rFonts w:hint="eastAsia" w:ascii="宋体" w:hAnsi="宋体" w:cs="宋体"/>
          <w:color w:val="auto"/>
          <w:sz w:val="24"/>
          <w:highlight w:val="none"/>
        </w:rPr>
      </w:pPr>
    </w:p>
    <w:p w14:paraId="6C71E2FE">
      <w:pPr>
        <w:pStyle w:val="31"/>
        <w:rPr>
          <w:rFonts w:ascii="宋体" w:hAnsi="宋体" w:eastAsia="宋体" w:cs="宋体"/>
          <w:color w:val="auto"/>
          <w:highlight w:val="none"/>
        </w:rPr>
      </w:pPr>
    </w:p>
    <w:p w14:paraId="681E259A">
      <w:pPr>
        <w:rPr>
          <w:rFonts w:hint="eastAsia" w:ascii="宋体" w:hAnsi="宋体" w:cs="宋体"/>
          <w:color w:val="auto"/>
          <w:highlight w:val="none"/>
        </w:rPr>
      </w:pPr>
      <w:r>
        <w:rPr>
          <w:rFonts w:hint="eastAsia" w:ascii="宋体" w:hAnsi="宋体" w:cs="宋体"/>
          <w:color w:val="auto"/>
          <w:highlight w:val="none"/>
        </w:rPr>
        <w:br w:type="page" w:clear="all"/>
      </w:r>
    </w:p>
    <w:p w14:paraId="6795848C">
      <w:pPr>
        <w:numPr>
          <w:ilvl w:val="0"/>
          <w:numId w:val="7"/>
        </w:numPr>
        <w:spacing w:line="0" w:lineRule="atLeast"/>
        <w:jc w:val="center"/>
        <w:outlineLvl w:val="0"/>
        <w:rPr>
          <w:rFonts w:hint="eastAsia" w:ascii="宋体" w:hAnsi="宋体" w:cs="宋体"/>
          <w:b/>
          <w:color w:val="auto"/>
          <w:sz w:val="36"/>
          <w:szCs w:val="36"/>
          <w:highlight w:val="none"/>
        </w:rPr>
      </w:pPr>
      <w:r>
        <w:rPr>
          <w:rFonts w:hint="eastAsia" w:ascii="宋体" w:hAnsi="宋体" w:cs="宋体"/>
          <w:b/>
          <w:color w:val="auto"/>
          <w:sz w:val="36"/>
          <w:szCs w:val="36"/>
          <w:highlight w:val="none"/>
        </w:rPr>
        <w:t>评分细则</w:t>
      </w:r>
      <w:bookmarkStart w:id="0" w:name="评分细则"/>
      <w:bookmarkEnd w:id="0"/>
    </w:p>
    <w:tbl>
      <w:tblPr>
        <w:tblStyle w:val="52"/>
        <w:tblW w:w="9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09"/>
        <w:gridCol w:w="1785"/>
        <w:gridCol w:w="6511"/>
      </w:tblGrid>
      <w:tr w14:paraId="180E0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94" w:type="dxa"/>
            <w:gridSpan w:val="2"/>
            <w:vAlign w:val="center"/>
          </w:tcPr>
          <w:p w14:paraId="6E0AD582">
            <w:pPr>
              <w:jc w:val="center"/>
              <w:rPr>
                <w:rFonts w:hint="eastAsia" w:ascii="宋体" w:hAnsi="宋体" w:cs="宋体"/>
                <w:color w:val="auto"/>
                <w:szCs w:val="21"/>
                <w:highlight w:val="none"/>
              </w:rPr>
            </w:pPr>
            <w:r>
              <w:rPr>
                <w:rFonts w:hint="eastAsia" w:ascii="宋体" w:hAnsi="宋体" w:cs="宋体"/>
                <w:color w:val="auto"/>
                <w:szCs w:val="21"/>
                <w:highlight w:val="none"/>
              </w:rPr>
              <w:t>评审因素</w:t>
            </w:r>
          </w:p>
        </w:tc>
        <w:tc>
          <w:tcPr>
            <w:tcW w:w="6511" w:type="dxa"/>
            <w:vAlign w:val="center"/>
          </w:tcPr>
          <w:p w14:paraId="30ADD696">
            <w:pPr>
              <w:jc w:val="center"/>
              <w:rPr>
                <w:rFonts w:hint="eastAsia" w:ascii="宋体" w:hAnsi="宋体" w:cs="宋体"/>
                <w:color w:val="auto"/>
                <w:szCs w:val="21"/>
                <w:highlight w:val="none"/>
              </w:rPr>
            </w:pPr>
            <w:r>
              <w:rPr>
                <w:rFonts w:hint="eastAsia" w:ascii="宋体" w:hAnsi="宋体" w:cs="宋体"/>
                <w:color w:val="auto"/>
                <w:szCs w:val="21"/>
                <w:highlight w:val="none"/>
              </w:rPr>
              <w:t>评审因素细化和量化</w:t>
            </w:r>
          </w:p>
        </w:tc>
      </w:tr>
      <w:tr w14:paraId="73D39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09" w:type="dxa"/>
            <w:vAlign w:val="center"/>
          </w:tcPr>
          <w:p w14:paraId="6CB471A3">
            <w:pPr>
              <w:jc w:val="center"/>
              <w:rPr>
                <w:rFonts w:hint="eastAsia" w:ascii="宋体" w:hAnsi="宋体" w:cs="宋体"/>
                <w:color w:val="auto"/>
                <w:szCs w:val="21"/>
                <w:highlight w:val="none"/>
              </w:rPr>
            </w:pPr>
            <w:r>
              <w:rPr>
                <w:rFonts w:hint="eastAsia" w:ascii="宋体" w:hAnsi="宋体" w:cs="宋体"/>
                <w:color w:val="auto"/>
                <w:szCs w:val="21"/>
                <w:highlight w:val="none"/>
              </w:rPr>
              <w:t>价格部分</w:t>
            </w:r>
          </w:p>
          <w:p w14:paraId="617873D2">
            <w:pPr>
              <w:jc w:val="center"/>
              <w:rPr>
                <w:rFonts w:hint="eastAsia" w:ascii="宋体" w:hAnsi="宋体" w:cs="宋体"/>
                <w:color w:val="auto"/>
                <w:szCs w:val="21"/>
                <w:highlight w:val="none"/>
              </w:rPr>
            </w:pPr>
            <w:r>
              <w:rPr>
                <w:rFonts w:hint="eastAsia" w:ascii="宋体" w:hAnsi="宋体" w:cs="宋体"/>
                <w:color w:val="auto"/>
                <w:szCs w:val="21"/>
                <w:highlight w:val="none"/>
              </w:rPr>
              <w:t>（15分）</w:t>
            </w:r>
          </w:p>
        </w:tc>
        <w:tc>
          <w:tcPr>
            <w:tcW w:w="1785" w:type="dxa"/>
            <w:vAlign w:val="center"/>
          </w:tcPr>
          <w:p w14:paraId="650037FF">
            <w:pPr>
              <w:jc w:val="center"/>
              <w:rPr>
                <w:rFonts w:hint="eastAsia" w:ascii="宋体" w:hAnsi="宋体" w:cs="宋体"/>
                <w:color w:val="auto"/>
                <w:szCs w:val="21"/>
                <w:highlight w:val="none"/>
              </w:rPr>
            </w:pPr>
            <w:r>
              <w:rPr>
                <w:rFonts w:hint="eastAsia" w:ascii="宋体" w:hAnsi="宋体" w:cs="宋体"/>
                <w:color w:val="auto"/>
                <w:szCs w:val="21"/>
                <w:highlight w:val="none"/>
              </w:rPr>
              <w:t>价格</w:t>
            </w:r>
          </w:p>
          <w:p w14:paraId="54712360">
            <w:pPr>
              <w:jc w:val="center"/>
              <w:rPr>
                <w:rFonts w:hint="eastAsia" w:ascii="宋体" w:hAnsi="宋体" w:cs="宋体"/>
                <w:color w:val="auto"/>
                <w:szCs w:val="21"/>
                <w:highlight w:val="none"/>
              </w:rPr>
            </w:pPr>
            <w:r>
              <w:rPr>
                <w:rFonts w:hint="eastAsia" w:ascii="宋体" w:hAnsi="宋体" w:cs="宋体"/>
                <w:color w:val="auto"/>
                <w:szCs w:val="21"/>
                <w:highlight w:val="none"/>
              </w:rPr>
              <w:t>（15分）</w:t>
            </w:r>
          </w:p>
        </w:tc>
        <w:tc>
          <w:tcPr>
            <w:tcW w:w="6511" w:type="dxa"/>
            <w:vAlign w:val="center"/>
          </w:tcPr>
          <w:p w14:paraId="13670FBE">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采用低价优先法计算，即满足磋商文件要求且最后报价最低的供应商的价格为磋商基准价，其价格分为满分。其他供应商的价格分统一按照下列公式计算：磋商报价得分=（磋商基准价/最后磋商报价）×15，得分四舍五入保留小数点后2位。</w:t>
            </w:r>
          </w:p>
        </w:tc>
      </w:tr>
      <w:tr w14:paraId="74F79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jc w:val="center"/>
        </w:trPr>
        <w:tc>
          <w:tcPr>
            <w:tcW w:w="1209" w:type="dxa"/>
            <w:vMerge w:val="restart"/>
            <w:vAlign w:val="center"/>
          </w:tcPr>
          <w:p w14:paraId="16FFB5AB">
            <w:pPr>
              <w:jc w:val="center"/>
              <w:rPr>
                <w:rFonts w:hint="eastAsia" w:ascii="宋体" w:hAnsi="宋体" w:cs="宋体"/>
                <w:color w:val="auto"/>
                <w:szCs w:val="21"/>
                <w:highlight w:val="none"/>
              </w:rPr>
            </w:pPr>
            <w:r>
              <w:rPr>
                <w:color w:val="auto"/>
                <w:highlight w:val="none"/>
              </w:rPr>
              <w:t>运维服务方案（</w:t>
            </w:r>
            <w:r>
              <w:rPr>
                <w:rFonts w:hint="eastAsia"/>
                <w:color w:val="auto"/>
                <w:highlight w:val="none"/>
              </w:rPr>
              <w:t>60</w:t>
            </w:r>
            <w:r>
              <w:rPr>
                <w:color w:val="auto"/>
                <w:highlight w:val="none"/>
              </w:rPr>
              <w:t>分）</w:t>
            </w:r>
          </w:p>
          <w:p w14:paraId="6AE92215">
            <w:pPr>
              <w:jc w:val="center"/>
              <w:rPr>
                <w:rFonts w:hint="eastAsia" w:ascii="宋体" w:hAnsi="宋体" w:cs="宋体"/>
                <w:color w:val="auto"/>
                <w:szCs w:val="21"/>
                <w:highlight w:val="none"/>
              </w:rPr>
            </w:pPr>
          </w:p>
        </w:tc>
        <w:tc>
          <w:tcPr>
            <w:tcW w:w="1785" w:type="dxa"/>
            <w:tcBorders>
              <w:bottom w:val="single" w:color="auto" w:sz="4" w:space="0"/>
            </w:tcBorders>
            <w:vAlign w:val="center"/>
          </w:tcPr>
          <w:p w14:paraId="0CCD6BFB">
            <w:pPr>
              <w:jc w:val="center"/>
              <w:rPr>
                <w:rFonts w:hint="eastAsia" w:ascii="宋体" w:hAnsi="宋体" w:cs="宋体"/>
                <w:color w:val="auto"/>
                <w:szCs w:val="21"/>
                <w:highlight w:val="none"/>
              </w:rPr>
            </w:pPr>
            <w:r>
              <w:rPr>
                <w:rFonts w:hint="eastAsia" w:ascii="宋体" w:hAnsi="宋体" w:cs="宋体"/>
                <w:color w:val="auto"/>
                <w:szCs w:val="21"/>
                <w:highlight w:val="none"/>
              </w:rPr>
              <w:t>运维实施</w:t>
            </w:r>
          </w:p>
          <w:p w14:paraId="3FB42279">
            <w:pPr>
              <w:jc w:val="center"/>
              <w:rPr>
                <w:rFonts w:hint="eastAsia" w:ascii="宋体" w:hAnsi="宋体" w:cs="宋体"/>
                <w:color w:val="auto"/>
                <w:szCs w:val="21"/>
                <w:highlight w:val="none"/>
              </w:rPr>
            </w:pPr>
            <w:r>
              <w:rPr>
                <w:rFonts w:hint="eastAsia" w:ascii="宋体" w:hAnsi="宋体" w:cs="宋体"/>
                <w:color w:val="auto"/>
                <w:szCs w:val="21"/>
                <w:highlight w:val="none"/>
              </w:rPr>
              <w:t>方案</w:t>
            </w:r>
          </w:p>
          <w:p w14:paraId="7C9B4ED3">
            <w:pPr>
              <w:jc w:val="center"/>
              <w:rPr>
                <w:rFonts w:hint="eastAsia" w:ascii="宋体" w:hAnsi="宋体" w:cs="宋体"/>
                <w:color w:val="auto"/>
                <w:szCs w:val="21"/>
                <w:highlight w:val="none"/>
              </w:rPr>
            </w:pPr>
            <w:r>
              <w:rPr>
                <w:rFonts w:hint="eastAsia" w:ascii="宋体" w:hAnsi="宋体" w:cs="宋体"/>
                <w:color w:val="auto"/>
                <w:szCs w:val="21"/>
                <w:highlight w:val="none"/>
              </w:rPr>
              <w:t>（15分）</w:t>
            </w:r>
          </w:p>
        </w:tc>
        <w:tc>
          <w:tcPr>
            <w:tcW w:w="6511" w:type="dxa"/>
            <w:tcBorders>
              <w:bottom w:val="single" w:color="auto" w:sz="4" w:space="0"/>
            </w:tcBorders>
            <w:vAlign w:val="center"/>
          </w:tcPr>
          <w:p w14:paraId="6D2BF0CE">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供应商根据本项目情况编制的运维实施方案的完整性、科学性、可行性评分内容进行评审：</w:t>
            </w:r>
          </w:p>
          <w:p w14:paraId="49C20E4A">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(1)以上内容不存在瑕疵:15分;</w:t>
            </w:r>
          </w:p>
          <w:p w14:paraId="34AB05AD">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(2)以上内容存在1处瑕疵:12分;</w:t>
            </w:r>
          </w:p>
          <w:p w14:paraId="20057AB1">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(3)以上内容存在2处瑕疵:9分;</w:t>
            </w:r>
          </w:p>
          <w:p w14:paraId="0D409EA9">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(4)以上内容存在3处瑕疵:6分;</w:t>
            </w:r>
          </w:p>
          <w:p w14:paraId="03138261">
            <w:pPr>
              <w:spacing w:after="40"/>
              <w:rPr>
                <w:color w:val="auto"/>
                <w:sz w:val="18"/>
                <w:highlight w:val="none"/>
              </w:rPr>
            </w:pPr>
            <w:r>
              <w:rPr>
                <w:rFonts w:hint="eastAsia" w:ascii="宋体" w:hAnsi="宋体" w:cs="宋体"/>
                <w:color w:val="auto"/>
                <w:szCs w:val="21"/>
                <w:highlight w:val="none"/>
                <w:lang w:bidi="hi-IN"/>
              </w:rPr>
              <w:t>(5)以上内容存在4处瑕疵:3分</w:t>
            </w:r>
          </w:p>
          <w:p w14:paraId="1E7D7392">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(6)未提供方案或不满足运维要求或内容存在5处及以上瑕疵:0分。</w:t>
            </w:r>
          </w:p>
          <w:p w14:paraId="4DC76196">
            <w:pPr>
              <w:spacing w:after="40"/>
              <w:ind w:firstLine="422"/>
              <w:rPr>
                <w:color w:val="auto"/>
                <w:sz w:val="18"/>
                <w:highlight w:val="none"/>
              </w:rPr>
            </w:pPr>
            <w:r>
              <w:rPr>
                <w:rFonts w:hint="eastAsia" w:ascii="宋体" w:hAnsi="宋体" w:cs="宋体"/>
                <w:b/>
                <w:bCs/>
                <w:color w:val="auto"/>
                <w:szCs w:val="21"/>
                <w:highlight w:val="none"/>
                <w:lang w:bidi="hi-IN"/>
              </w:rPr>
              <w:t>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76F5E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7" w:hRule="atLeast"/>
          <w:jc w:val="center"/>
        </w:trPr>
        <w:tc>
          <w:tcPr>
            <w:tcW w:w="1209" w:type="dxa"/>
            <w:vMerge w:val="continue"/>
            <w:vAlign w:val="center"/>
          </w:tcPr>
          <w:p w14:paraId="5921D4F4">
            <w:pPr>
              <w:jc w:val="center"/>
              <w:rPr>
                <w:rFonts w:hint="eastAsia" w:ascii="宋体" w:hAnsi="宋体" w:cs="宋体"/>
                <w:color w:val="auto"/>
                <w:szCs w:val="21"/>
                <w:highlight w:val="none"/>
              </w:rPr>
            </w:pPr>
          </w:p>
        </w:tc>
        <w:tc>
          <w:tcPr>
            <w:tcW w:w="1785" w:type="dxa"/>
            <w:tcBorders>
              <w:top w:val="single" w:color="auto" w:sz="4" w:space="0"/>
              <w:bottom w:val="single" w:color="auto" w:sz="4" w:space="0"/>
            </w:tcBorders>
            <w:vAlign w:val="center"/>
          </w:tcPr>
          <w:p w14:paraId="01F3821D">
            <w:pPr>
              <w:jc w:val="center"/>
              <w:rPr>
                <w:rFonts w:hint="eastAsia" w:ascii="宋体" w:hAnsi="宋体" w:cs="宋体"/>
                <w:color w:val="auto"/>
                <w:szCs w:val="21"/>
                <w:highlight w:val="none"/>
              </w:rPr>
            </w:pPr>
            <w:r>
              <w:rPr>
                <w:color w:val="auto"/>
                <w:highlight w:val="none"/>
              </w:rPr>
              <w:t>交接方案</w:t>
            </w:r>
            <w:r>
              <w:rPr>
                <w:rFonts w:hint="eastAsia" w:ascii="宋体" w:hAnsi="宋体" w:cs="宋体"/>
                <w:color w:val="auto"/>
                <w:szCs w:val="21"/>
                <w:highlight w:val="none"/>
              </w:rPr>
              <w:t>（15分）</w:t>
            </w:r>
          </w:p>
        </w:tc>
        <w:tc>
          <w:tcPr>
            <w:tcW w:w="6511" w:type="dxa"/>
            <w:tcBorders>
              <w:top w:val="single" w:color="auto" w:sz="4" w:space="0"/>
              <w:bottom w:val="single" w:color="auto" w:sz="4" w:space="0"/>
            </w:tcBorders>
            <w:vAlign w:val="center"/>
          </w:tcPr>
          <w:p w14:paraId="75D35478">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根据供应商为本项目编制的</w:t>
            </w:r>
            <w:r>
              <w:rPr>
                <w:color w:val="auto"/>
                <w:highlight w:val="none"/>
              </w:rPr>
              <w:t>交接方案</w:t>
            </w:r>
            <w:r>
              <w:rPr>
                <w:rFonts w:hint="eastAsia" w:ascii="宋体" w:hAnsi="宋体" w:cs="宋体"/>
                <w:color w:val="auto"/>
                <w:szCs w:val="21"/>
                <w:highlight w:val="none"/>
                <w:lang w:bidi="hi-IN"/>
              </w:rPr>
              <w:t>的完整性、科学性、可行性评分内容进行评审：</w:t>
            </w:r>
          </w:p>
          <w:p w14:paraId="475C79CE">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(1)以上内容不存在瑕疵:15分;</w:t>
            </w:r>
          </w:p>
          <w:p w14:paraId="41B9A821">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(2)以上内容存在1处瑕疵:12分;</w:t>
            </w:r>
          </w:p>
          <w:p w14:paraId="0A73E118">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(3)以上内容存在2处瑕疵:9分;</w:t>
            </w:r>
          </w:p>
          <w:p w14:paraId="1A8F06CD">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(4)以上内容存在3处瑕疵:6分;</w:t>
            </w:r>
          </w:p>
          <w:p w14:paraId="7C0498F9">
            <w:pPr>
              <w:spacing w:after="40"/>
              <w:rPr>
                <w:color w:val="auto"/>
                <w:sz w:val="18"/>
                <w:highlight w:val="none"/>
              </w:rPr>
            </w:pPr>
            <w:r>
              <w:rPr>
                <w:rFonts w:hint="eastAsia" w:ascii="宋体" w:hAnsi="宋体" w:cs="宋体"/>
                <w:color w:val="auto"/>
                <w:szCs w:val="21"/>
                <w:highlight w:val="none"/>
                <w:lang w:bidi="hi-IN"/>
              </w:rPr>
              <w:t>(5)以上内容存在4处瑕疵:3分</w:t>
            </w:r>
          </w:p>
          <w:p w14:paraId="576D72A1">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(6)未提供方案或不满足运维要求或内容存在5处及以上瑕疵:0分。</w:t>
            </w:r>
          </w:p>
          <w:p w14:paraId="1CD3732A">
            <w:pPr>
              <w:spacing w:after="40"/>
              <w:ind w:firstLine="422"/>
              <w:rPr>
                <w:color w:val="auto"/>
                <w:sz w:val="18"/>
                <w:highlight w:val="none"/>
              </w:rPr>
            </w:pPr>
            <w:r>
              <w:rPr>
                <w:rFonts w:hint="eastAsia" w:ascii="宋体" w:hAnsi="宋体" w:cs="宋体"/>
                <w:b/>
                <w:bCs/>
                <w:color w:val="auto"/>
                <w:szCs w:val="21"/>
                <w:highlight w:val="none"/>
                <w:lang w:bidi="hi-IN"/>
              </w:rPr>
              <w:t>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07A5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7" w:hRule="atLeast"/>
          <w:jc w:val="center"/>
        </w:trPr>
        <w:tc>
          <w:tcPr>
            <w:tcW w:w="1209" w:type="dxa"/>
            <w:vMerge w:val="continue"/>
            <w:vAlign w:val="center"/>
          </w:tcPr>
          <w:p w14:paraId="52023D2D">
            <w:pPr>
              <w:jc w:val="center"/>
              <w:rPr>
                <w:rFonts w:hint="eastAsia" w:ascii="宋体" w:hAnsi="宋体" w:cs="宋体"/>
                <w:color w:val="auto"/>
                <w:szCs w:val="21"/>
                <w:highlight w:val="none"/>
              </w:rPr>
            </w:pPr>
          </w:p>
        </w:tc>
        <w:tc>
          <w:tcPr>
            <w:tcW w:w="1785" w:type="dxa"/>
            <w:tcBorders>
              <w:top w:val="single" w:color="auto" w:sz="4" w:space="0"/>
              <w:bottom w:val="single" w:color="auto" w:sz="4" w:space="0"/>
            </w:tcBorders>
            <w:vAlign w:val="center"/>
          </w:tcPr>
          <w:p w14:paraId="3AF1D977">
            <w:pPr>
              <w:jc w:val="center"/>
              <w:rPr>
                <w:rFonts w:hint="eastAsia" w:ascii="宋体" w:hAnsi="宋体" w:cs="宋体"/>
                <w:color w:val="auto"/>
                <w:szCs w:val="21"/>
                <w:highlight w:val="none"/>
              </w:rPr>
            </w:pPr>
            <w:r>
              <w:rPr>
                <w:rFonts w:hint="eastAsia" w:ascii="宋体" w:hAnsi="宋体" w:cs="宋体"/>
                <w:color w:val="auto"/>
                <w:szCs w:val="21"/>
                <w:highlight w:val="none"/>
              </w:rPr>
              <w:t>质量控制</w:t>
            </w:r>
          </w:p>
          <w:p w14:paraId="6B307635">
            <w:pPr>
              <w:jc w:val="center"/>
              <w:rPr>
                <w:rFonts w:hint="eastAsia" w:ascii="宋体" w:hAnsi="宋体" w:cs="宋体"/>
                <w:color w:val="auto"/>
                <w:szCs w:val="21"/>
                <w:highlight w:val="none"/>
              </w:rPr>
            </w:pPr>
            <w:r>
              <w:rPr>
                <w:rFonts w:hint="eastAsia" w:ascii="宋体" w:hAnsi="宋体" w:cs="宋体"/>
                <w:color w:val="auto"/>
                <w:szCs w:val="21"/>
                <w:highlight w:val="none"/>
              </w:rPr>
              <w:t>服务方案</w:t>
            </w:r>
          </w:p>
          <w:p w14:paraId="3D33B023">
            <w:pPr>
              <w:jc w:val="center"/>
              <w:rPr>
                <w:rFonts w:hint="eastAsia" w:ascii="宋体" w:hAnsi="宋体" w:cs="宋体"/>
                <w:color w:val="auto"/>
                <w:szCs w:val="21"/>
                <w:highlight w:val="none"/>
              </w:rPr>
            </w:pPr>
            <w:r>
              <w:rPr>
                <w:rFonts w:hint="eastAsia" w:ascii="宋体" w:hAnsi="宋体" w:cs="宋体"/>
                <w:color w:val="auto"/>
                <w:szCs w:val="21"/>
                <w:highlight w:val="none"/>
              </w:rPr>
              <w:t>（15分）</w:t>
            </w:r>
          </w:p>
        </w:tc>
        <w:tc>
          <w:tcPr>
            <w:tcW w:w="6511" w:type="dxa"/>
            <w:tcBorders>
              <w:top w:val="single" w:color="auto" w:sz="4" w:space="0"/>
              <w:bottom w:val="single" w:color="auto" w:sz="4" w:space="0"/>
            </w:tcBorders>
            <w:vAlign w:val="center"/>
          </w:tcPr>
          <w:p w14:paraId="02F90350">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根据供应商为本项目编制的质量控制服务方案的科学性及可行性等内容进行综合评审：</w:t>
            </w:r>
          </w:p>
          <w:p w14:paraId="2600CA50">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(1)以上内容不存在瑕疵:15分;</w:t>
            </w:r>
          </w:p>
          <w:p w14:paraId="075E2607">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(2)以上内容存在1处瑕疵:12分;</w:t>
            </w:r>
          </w:p>
          <w:p w14:paraId="41E57F2F">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(3)以上内容存在2处瑕疵:9分;</w:t>
            </w:r>
          </w:p>
          <w:p w14:paraId="1C4D0119">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(4)以上内容存在3处瑕疵:6分;</w:t>
            </w:r>
          </w:p>
          <w:p w14:paraId="512FD973">
            <w:pPr>
              <w:spacing w:after="40"/>
              <w:rPr>
                <w:color w:val="auto"/>
                <w:sz w:val="18"/>
                <w:highlight w:val="none"/>
              </w:rPr>
            </w:pPr>
            <w:r>
              <w:rPr>
                <w:rFonts w:hint="eastAsia" w:ascii="宋体" w:hAnsi="宋体" w:cs="宋体"/>
                <w:color w:val="auto"/>
                <w:szCs w:val="21"/>
                <w:highlight w:val="none"/>
                <w:lang w:bidi="hi-IN"/>
              </w:rPr>
              <w:t>(5)以上内容存在4处瑕疵:3分</w:t>
            </w:r>
          </w:p>
          <w:p w14:paraId="33B5E18D">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(6)未提供方案或不满足运维要求或内容存在5处及以上瑕疵:0分。</w:t>
            </w:r>
          </w:p>
          <w:p w14:paraId="639AB0B8">
            <w:pPr>
              <w:spacing w:after="40"/>
              <w:ind w:firstLine="422"/>
              <w:rPr>
                <w:color w:val="auto"/>
                <w:sz w:val="18"/>
                <w:highlight w:val="none"/>
              </w:rPr>
            </w:pPr>
            <w:r>
              <w:rPr>
                <w:rFonts w:hint="eastAsia" w:ascii="宋体" w:hAnsi="宋体" w:cs="宋体"/>
                <w:b/>
                <w:bCs/>
                <w:color w:val="auto"/>
                <w:szCs w:val="21"/>
                <w:highlight w:val="none"/>
                <w:lang w:bidi="hi-IN"/>
              </w:rPr>
              <w:t>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1E22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2" w:hRule="atLeast"/>
          <w:jc w:val="center"/>
        </w:trPr>
        <w:tc>
          <w:tcPr>
            <w:tcW w:w="1209" w:type="dxa"/>
            <w:vMerge w:val="continue"/>
            <w:vAlign w:val="center"/>
          </w:tcPr>
          <w:p w14:paraId="312E5827">
            <w:pPr>
              <w:jc w:val="center"/>
              <w:rPr>
                <w:rFonts w:hint="eastAsia" w:ascii="宋体" w:hAnsi="宋体" w:cs="宋体"/>
                <w:color w:val="auto"/>
                <w:szCs w:val="21"/>
                <w:highlight w:val="none"/>
              </w:rPr>
            </w:pPr>
          </w:p>
        </w:tc>
        <w:tc>
          <w:tcPr>
            <w:tcW w:w="1785" w:type="dxa"/>
            <w:tcBorders>
              <w:top w:val="single" w:color="auto" w:sz="4" w:space="0"/>
              <w:bottom w:val="single" w:color="auto" w:sz="4" w:space="0"/>
            </w:tcBorders>
            <w:vAlign w:val="center"/>
          </w:tcPr>
          <w:p w14:paraId="59F8A00A">
            <w:pPr>
              <w:jc w:val="center"/>
              <w:rPr>
                <w:rFonts w:hint="eastAsia" w:ascii="宋体" w:hAnsi="宋体" w:cs="宋体"/>
                <w:color w:val="auto"/>
                <w:szCs w:val="21"/>
                <w:highlight w:val="none"/>
              </w:rPr>
            </w:pPr>
            <w:r>
              <w:rPr>
                <w:color w:val="auto"/>
                <w:highlight w:val="none"/>
              </w:rPr>
              <w:t>服务保障方案</w:t>
            </w:r>
            <w:r>
              <w:rPr>
                <w:rFonts w:hint="eastAsia" w:ascii="宋体" w:hAnsi="宋体" w:cs="宋体"/>
                <w:color w:val="auto"/>
                <w:szCs w:val="21"/>
                <w:highlight w:val="none"/>
              </w:rPr>
              <w:t>（15分）</w:t>
            </w:r>
          </w:p>
        </w:tc>
        <w:tc>
          <w:tcPr>
            <w:tcW w:w="6511" w:type="dxa"/>
            <w:tcBorders>
              <w:top w:val="single" w:color="auto" w:sz="4" w:space="0"/>
              <w:bottom w:val="single" w:color="auto" w:sz="4" w:space="0"/>
            </w:tcBorders>
            <w:vAlign w:val="center"/>
          </w:tcPr>
          <w:p w14:paraId="3220919A">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根据供应商为本项目编制的服务保障方案（</w:t>
            </w:r>
            <w:r>
              <w:rPr>
                <w:rFonts w:hint="eastAsia"/>
                <w:color w:val="auto"/>
                <w:highlight w:val="none"/>
              </w:rPr>
              <w:t>包含供应商</w:t>
            </w:r>
            <w:r>
              <w:rPr>
                <w:color w:val="auto"/>
                <w:highlight w:val="none"/>
              </w:rPr>
              <w:t>协助采购方做好大气站固定资产管理、应急监测等工作，做好数据安全管理、档案等措施及承诺情况</w:t>
            </w:r>
            <w:r>
              <w:rPr>
                <w:rFonts w:hint="eastAsia"/>
                <w:color w:val="auto"/>
                <w:highlight w:val="none"/>
              </w:rPr>
              <w:t>等内容</w:t>
            </w:r>
            <w:r>
              <w:rPr>
                <w:rFonts w:hint="eastAsia" w:ascii="宋体" w:hAnsi="宋体" w:cs="宋体"/>
                <w:color w:val="auto"/>
                <w:szCs w:val="21"/>
                <w:highlight w:val="none"/>
                <w:lang w:bidi="hi-IN"/>
              </w:rPr>
              <w:t>）的科学性及可行性等内容进行综合评审：</w:t>
            </w:r>
          </w:p>
          <w:p w14:paraId="267E7EFD">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(1)以上内容不存在瑕疵:15分;</w:t>
            </w:r>
            <w:bookmarkStart w:id="1" w:name="计分标准"/>
            <w:bookmarkEnd w:id="1"/>
          </w:p>
          <w:p w14:paraId="5DDA72AB">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(2)以上内容存在1处瑕疵:12分;</w:t>
            </w:r>
          </w:p>
          <w:p w14:paraId="206E0442">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(3)以上内容存在2处瑕疵：9分;</w:t>
            </w:r>
          </w:p>
          <w:p w14:paraId="37A60E4D">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(4)以上内容存在3处瑕疵:6分;</w:t>
            </w:r>
          </w:p>
          <w:p w14:paraId="787F6DE5">
            <w:pPr>
              <w:spacing w:after="40"/>
              <w:rPr>
                <w:color w:val="auto"/>
                <w:sz w:val="18"/>
                <w:highlight w:val="none"/>
              </w:rPr>
            </w:pPr>
            <w:r>
              <w:rPr>
                <w:rFonts w:hint="eastAsia" w:ascii="宋体" w:hAnsi="宋体" w:cs="宋体"/>
                <w:color w:val="auto"/>
                <w:szCs w:val="21"/>
                <w:highlight w:val="none"/>
                <w:lang w:bidi="hi-IN"/>
              </w:rPr>
              <w:t>(5)以上内容存在4处瑕疵:3分</w:t>
            </w:r>
          </w:p>
          <w:p w14:paraId="4BA7E6CC">
            <w:pPr>
              <w:spacing w:line="264" w:lineRule="auto"/>
              <w:jc w:val="left"/>
              <w:rPr>
                <w:rFonts w:hint="eastAsia" w:ascii="宋体" w:hAnsi="宋体" w:cs="宋体"/>
                <w:color w:val="auto"/>
                <w:szCs w:val="21"/>
                <w:highlight w:val="none"/>
                <w:lang w:bidi="hi-IN"/>
              </w:rPr>
            </w:pPr>
            <w:r>
              <w:rPr>
                <w:rFonts w:hint="eastAsia" w:ascii="宋体" w:hAnsi="宋体" w:cs="宋体"/>
                <w:color w:val="auto"/>
                <w:szCs w:val="21"/>
                <w:highlight w:val="none"/>
                <w:lang w:bidi="hi-IN"/>
              </w:rPr>
              <w:t>(6)未提供方案或不满足运维要求或内容存在5处及以上瑕疵:0分。</w:t>
            </w:r>
          </w:p>
          <w:p w14:paraId="034DFCA6">
            <w:pPr>
              <w:spacing w:after="40"/>
              <w:ind w:firstLine="422"/>
              <w:rPr>
                <w:color w:val="auto"/>
                <w:sz w:val="18"/>
                <w:highlight w:val="none"/>
              </w:rPr>
            </w:pPr>
            <w:r>
              <w:rPr>
                <w:rFonts w:hint="eastAsia" w:ascii="宋体" w:hAnsi="宋体" w:cs="宋体"/>
                <w:b/>
                <w:bCs/>
                <w:color w:val="auto"/>
                <w:szCs w:val="21"/>
                <w:highlight w:val="none"/>
                <w:lang w:bidi="hi-IN"/>
              </w:rPr>
              <w:t>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0B15D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0" w:hRule="atLeast"/>
          <w:jc w:val="center"/>
        </w:trPr>
        <w:tc>
          <w:tcPr>
            <w:tcW w:w="1209" w:type="dxa"/>
            <w:vMerge w:val="restart"/>
            <w:vAlign w:val="center"/>
          </w:tcPr>
          <w:p w14:paraId="3CCA17BC">
            <w:pPr>
              <w:jc w:val="center"/>
              <w:rPr>
                <w:rFonts w:hint="eastAsia" w:ascii="宋体" w:hAnsi="宋体" w:cs="宋体"/>
                <w:color w:val="auto"/>
                <w:szCs w:val="21"/>
                <w:highlight w:val="none"/>
              </w:rPr>
            </w:pPr>
            <w:r>
              <w:rPr>
                <w:rFonts w:hint="eastAsia" w:ascii="宋体" w:hAnsi="宋体" w:cs="宋体"/>
                <w:color w:val="auto"/>
                <w:szCs w:val="21"/>
                <w:highlight w:val="none"/>
              </w:rPr>
              <w:t>商务</w:t>
            </w:r>
          </w:p>
          <w:p w14:paraId="2FFD53A6">
            <w:pPr>
              <w:jc w:val="center"/>
              <w:rPr>
                <w:rFonts w:hint="eastAsia" w:ascii="宋体" w:hAnsi="宋体" w:cs="宋体"/>
                <w:color w:val="auto"/>
                <w:szCs w:val="21"/>
                <w:highlight w:val="none"/>
              </w:rPr>
            </w:pPr>
            <w:r>
              <w:rPr>
                <w:rFonts w:hint="eastAsia" w:ascii="宋体" w:hAnsi="宋体" w:cs="宋体"/>
                <w:color w:val="auto"/>
                <w:szCs w:val="21"/>
                <w:highlight w:val="none"/>
              </w:rPr>
              <w:t>部分</w:t>
            </w:r>
          </w:p>
          <w:p w14:paraId="247EE4AB">
            <w:pPr>
              <w:jc w:val="center"/>
              <w:rPr>
                <w:rFonts w:hint="eastAsia" w:ascii="宋体" w:hAnsi="宋体" w:cs="宋体"/>
                <w:color w:val="auto"/>
                <w:szCs w:val="21"/>
                <w:highlight w:val="none"/>
              </w:rPr>
            </w:pPr>
            <w:r>
              <w:rPr>
                <w:rFonts w:hint="eastAsia" w:ascii="宋体" w:hAnsi="宋体" w:cs="宋体"/>
                <w:color w:val="auto"/>
                <w:szCs w:val="21"/>
                <w:highlight w:val="none"/>
              </w:rPr>
              <w:t>（25分）</w:t>
            </w:r>
          </w:p>
        </w:tc>
        <w:tc>
          <w:tcPr>
            <w:tcW w:w="1785" w:type="dxa"/>
            <w:tcBorders>
              <w:top w:val="single" w:color="auto" w:sz="4" w:space="0"/>
              <w:bottom w:val="single" w:color="auto" w:sz="4" w:space="0"/>
            </w:tcBorders>
            <w:vAlign w:val="center"/>
          </w:tcPr>
          <w:p w14:paraId="33173409">
            <w:pPr>
              <w:jc w:val="center"/>
              <w:rPr>
                <w:color w:val="auto"/>
                <w:highlight w:val="none"/>
              </w:rPr>
            </w:pPr>
            <w:r>
              <w:rPr>
                <w:rFonts w:hint="eastAsia"/>
                <w:color w:val="auto"/>
                <w:highlight w:val="none"/>
              </w:rPr>
              <w:t>仪器配备</w:t>
            </w:r>
          </w:p>
          <w:p w14:paraId="1C3414CA">
            <w:pPr>
              <w:jc w:val="center"/>
              <w:rPr>
                <w:color w:val="auto"/>
                <w:highlight w:val="none"/>
              </w:rPr>
            </w:pPr>
            <w:r>
              <w:rPr>
                <w:rFonts w:hint="eastAsia"/>
                <w:color w:val="auto"/>
                <w:highlight w:val="none"/>
              </w:rPr>
              <w:t>（</w:t>
            </w:r>
            <w:r>
              <w:rPr>
                <w:rFonts w:hint="eastAsia"/>
                <w:color w:val="auto"/>
                <w:highlight w:val="none"/>
                <w:lang w:val="en-US" w:eastAsia="zh-CN"/>
              </w:rPr>
              <w:t>12</w:t>
            </w:r>
            <w:r>
              <w:rPr>
                <w:rFonts w:hint="eastAsia"/>
                <w:color w:val="auto"/>
                <w:highlight w:val="none"/>
              </w:rPr>
              <w:t>分）</w:t>
            </w:r>
          </w:p>
        </w:tc>
        <w:tc>
          <w:tcPr>
            <w:tcW w:w="6511" w:type="dxa"/>
            <w:tcBorders>
              <w:top w:val="single" w:color="auto" w:sz="4" w:space="0"/>
              <w:bottom w:val="single" w:color="auto" w:sz="4" w:space="0"/>
            </w:tcBorders>
            <w:vAlign w:val="center"/>
          </w:tcPr>
          <w:p w14:paraId="150E42DB">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rPr>
              <w:t>供应商须配备三套六参数分析仪备机（SO2、NO2（NOX、NO）、CO、O3、PM10、PM2.5）及气象五参数备机（备机监测原理须与原机匹配），须提供备机配置情况清单（包括但不限于备机种类、数量、品牌、型号、价格、来源、原理等），指标均符合采购文件要求得</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分，否则不得分。</w:t>
            </w:r>
          </w:p>
          <w:p w14:paraId="5F278B3F">
            <w:pPr>
              <w:widowControl/>
              <w:spacing w:line="264" w:lineRule="auto"/>
              <w:rPr>
                <w:color w:val="auto"/>
                <w:highlight w:val="none"/>
              </w:rPr>
            </w:pPr>
            <w:r>
              <w:rPr>
                <w:rFonts w:hint="eastAsia" w:ascii="宋体" w:hAnsi="宋体" w:cs="宋体"/>
                <w:b/>
                <w:bCs/>
                <w:color w:val="auto"/>
                <w:szCs w:val="21"/>
                <w:highlight w:val="none"/>
              </w:rPr>
              <w:t>注：供应商需提供采购合同或承诺书原件扫描件并加盖电子签章，否则不得分。</w:t>
            </w:r>
          </w:p>
        </w:tc>
      </w:tr>
      <w:tr w14:paraId="18DC7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209" w:type="dxa"/>
            <w:vMerge w:val="continue"/>
            <w:vAlign w:val="center"/>
          </w:tcPr>
          <w:p w14:paraId="602D5C1E">
            <w:pPr>
              <w:jc w:val="center"/>
              <w:rPr>
                <w:rFonts w:hint="eastAsia" w:ascii="宋体" w:hAnsi="宋体" w:cs="宋体"/>
                <w:color w:val="auto"/>
                <w:szCs w:val="21"/>
                <w:highlight w:val="none"/>
              </w:rPr>
            </w:pPr>
          </w:p>
        </w:tc>
        <w:tc>
          <w:tcPr>
            <w:tcW w:w="1785" w:type="dxa"/>
            <w:tcBorders>
              <w:top w:val="single" w:color="auto" w:sz="4" w:space="0"/>
              <w:left w:val="single" w:color="000000" w:sz="4" w:space="0"/>
              <w:bottom w:val="single" w:color="auto" w:sz="4" w:space="0"/>
              <w:right w:val="single" w:color="000000" w:sz="4" w:space="0"/>
            </w:tcBorders>
            <w:vAlign w:val="center"/>
          </w:tcPr>
          <w:p w14:paraId="4733CFD4">
            <w:pPr>
              <w:jc w:val="center"/>
              <w:rPr>
                <w:rFonts w:hint="eastAsia" w:ascii="宋体" w:hAnsi="宋体" w:cs="宋体"/>
                <w:color w:val="auto"/>
                <w:szCs w:val="21"/>
                <w:highlight w:val="none"/>
              </w:rPr>
            </w:pPr>
            <w:r>
              <w:rPr>
                <w:rFonts w:hint="eastAsia" w:ascii="宋体" w:hAnsi="宋体" w:cs="宋体"/>
                <w:color w:val="auto"/>
                <w:szCs w:val="21"/>
                <w:highlight w:val="none"/>
              </w:rPr>
              <w:t>车辆配置</w:t>
            </w:r>
          </w:p>
          <w:p w14:paraId="29B8C532">
            <w:pPr>
              <w:jc w:val="center"/>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tc>
        <w:tc>
          <w:tcPr>
            <w:tcW w:w="6511" w:type="dxa"/>
            <w:tcBorders>
              <w:top w:val="single" w:color="auto" w:sz="4" w:space="0"/>
              <w:left w:val="single" w:color="000000" w:sz="4" w:space="0"/>
              <w:bottom w:val="single" w:color="auto" w:sz="4" w:space="0"/>
              <w:right w:val="single" w:color="000000" w:sz="4" w:space="0"/>
            </w:tcBorders>
            <w:vAlign w:val="center"/>
          </w:tcPr>
          <w:p w14:paraId="3071C616">
            <w:pPr>
              <w:pBdr>
                <w:top w:val="none" w:color="000000" w:sz="0" w:space="0"/>
                <w:left w:val="none" w:color="000000" w:sz="0" w:space="0"/>
                <w:bottom w:val="none" w:color="000000" w:sz="0" w:space="0"/>
                <w:right w:val="none" w:color="000000" w:sz="0" w:space="0"/>
              </w:pBdr>
              <w:rPr>
                <w:rFonts w:hint="eastAsia" w:ascii="宋体" w:hAnsi="宋体" w:cs="宋体"/>
                <w:color w:val="auto"/>
                <w:szCs w:val="21"/>
                <w:highlight w:val="none"/>
              </w:rPr>
            </w:pPr>
            <w:r>
              <w:rPr>
                <w:rFonts w:hint="eastAsia" w:ascii="宋体" w:hAnsi="宋体" w:cs="宋体"/>
                <w:color w:val="auto"/>
                <w:szCs w:val="21"/>
                <w:highlight w:val="none"/>
              </w:rPr>
              <w:t>供应商拟为本项目提供至少1辆自动监测站运维专用车辆的得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17C9194E">
            <w:pPr>
              <w:spacing w:line="264" w:lineRule="auto"/>
              <w:rPr>
                <w:rFonts w:hint="eastAsia" w:ascii="宋体" w:hAnsi="宋体" w:cs="宋体"/>
                <w:color w:val="auto"/>
                <w:szCs w:val="21"/>
                <w:highlight w:val="none"/>
              </w:rPr>
            </w:pPr>
            <w:r>
              <w:rPr>
                <w:rFonts w:hint="eastAsia" w:ascii="宋体" w:hAnsi="宋体" w:cs="宋体"/>
                <w:b/>
                <w:bCs/>
                <w:color w:val="auto"/>
                <w:szCs w:val="21"/>
                <w:highlight w:val="none"/>
              </w:rPr>
              <w:t>注：车辆须为供应商自有或租赁，若为租赁车辆租赁合同周期需至少覆盖2026年6月-2027年6月</w:t>
            </w:r>
            <w:r>
              <w:rPr>
                <w:rFonts w:hint="eastAsia"/>
                <w:color w:val="auto"/>
                <w:highlight w:val="none"/>
              </w:rPr>
              <w:t>。</w:t>
            </w:r>
            <w:r>
              <w:rPr>
                <w:rFonts w:hint="eastAsia" w:ascii="宋体" w:hAnsi="宋体" w:cs="宋体"/>
                <w:b/>
                <w:bCs/>
                <w:color w:val="auto"/>
                <w:szCs w:val="21"/>
                <w:highlight w:val="none"/>
              </w:rPr>
              <w:t>提供行驶证、车辆采购或租赁等证明材料原件扫描件并加盖电子签章，否则不得分。</w:t>
            </w:r>
          </w:p>
        </w:tc>
      </w:tr>
      <w:tr w14:paraId="4985D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73" w:hRule="atLeast"/>
          <w:jc w:val="center"/>
        </w:trPr>
        <w:tc>
          <w:tcPr>
            <w:tcW w:w="1209" w:type="dxa"/>
            <w:vMerge w:val="continue"/>
            <w:vAlign w:val="center"/>
          </w:tcPr>
          <w:p w14:paraId="5D589221">
            <w:pPr>
              <w:jc w:val="center"/>
              <w:rPr>
                <w:rFonts w:hint="eastAsia" w:ascii="宋体" w:hAnsi="宋体" w:cs="宋体"/>
                <w:color w:val="auto"/>
                <w:szCs w:val="21"/>
                <w:highlight w:val="none"/>
              </w:rPr>
            </w:pPr>
          </w:p>
        </w:tc>
        <w:tc>
          <w:tcPr>
            <w:tcW w:w="1785" w:type="dxa"/>
            <w:tcBorders>
              <w:top w:val="single" w:color="auto" w:sz="4" w:space="0"/>
              <w:left w:val="single" w:color="000000" w:sz="4" w:space="0"/>
              <w:bottom w:val="single" w:color="auto" w:sz="4" w:space="0"/>
              <w:right w:val="single" w:color="000000" w:sz="4" w:space="0"/>
            </w:tcBorders>
            <w:vAlign w:val="center"/>
          </w:tcPr>
          <w:p w14:paraId="29EAE590">
            <w:pPr>
              <w:jc w:val="center"/>
              <w:rPr>
                <w:rFonts w:hint="eastAsia" w:ascii="宋体" w:hAnsi="宋体" w:cs="宋体"/>
                <w:color w:val="auto"/>
                <w:szCs w:val="21"/>
                <w:highlight w:val="none"/>
              </w:rPr>
            </w:pPr>
            <w:r>
              <w:rPr>
                <w:rFonts w:hint="eastAsia" w:ascii="宋体" w:hAnsi="宋体" w:cs="宋体"/>
                <w:color w:val="auto"/>
                <w:szCs w:val="21"/>
                <w:highlight w:val="none"/>
              </w:rPr>
              <w:t>类似业绩</w:t>
            </w:r>
          </w:p>
          <w:p w14:paraId="33759C88">
            <w:pPr>
              <w:jc w:val="center"/>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tc>
        <w:tc>
          <w:tcPr>
            <w:tcW w:w="6511" w:type="dxa"/>
            <w:tcBorders>
              <w:top w:val="single" w:color="auto" w:sz="4" w:space="0"/>
              <w:left w:val="single" w:color="000000" w:sz="4" w:space="0"/>
              <w:bottom w:val="single" w:color="auto" w:sz="4" w:space="0"/>
              <w:right w:val="single" w:color="000000" w:sz="4" w:space="0"/>
            </w:tcBorders>
            <w:vAlign w:val="center"/>
          </w:tcPr>
          <w:p w14:paraId="4202D15E">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rPr>
              <w:t>202</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年1月1日起至今（以合同签订时间为准）承担过类似环境监测项目建设或类似环境监测项目服务的，每提供一份业绩得2分，最高得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0126D353">
            <w:pPr>
              <w:widowControl/>
              <w:spacing w:line="264" w:lineRule="auto"/>
              <w:rPr>
                <w:rFonts w:hint="eastAsia" w:ascii="宋体" w:hAnsi="宋体" w:cs="宋体"/>
                <w:color w:val="auto"/>
                <w:szCs w:val="21"/>
                <w:highlight w:val="none"/>
              </w:rPr>
            </w:pPr>
            <w:r>
              <w:rPr>
                <w:rFonts w:hint="eastAsia" w:ascii="宋体" w:hAnsi="宋体" w:cs="宋体"/>
                <w:b/>
                <w:bCs/>
                <w:color w:val="auto"/>
                <w:szCs w:val="21"/>
                <w:highlight w:val="none"/>
              </w:rPr>
              <w:t>注：提供业绩清单、合同等证明材料原件扫描件并加盖电子签章，否则不得分。</w:t>
            </w:r>
          </w:p>
        </w:tc>
      </w:tr>
      <w:tr w14:paraId="3AC44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209" w:type="dxa"/>
            <w:vMerge w:val="continue"/>
            <w:vAlign w:val="center"/>
          </w:tcPr>
          <w:p w14:paraId="2EC67CA0">
            <w:pPr>
              <w:jc w:val="center"/>
              <w:rPr>
                <w:rFonts w:hint="eastAsia" w:ascii="宋体" w:hAnsi="宋体" w:cs="宋体"/>
                <w:color w:val="auto"/>
                <w:szCs w:val="21"/>
                <w:highlight w:val="none"/>
              </w:rPr>
            </w:pPr>
          </w:p>
        </w:tc>
        <w:tc>
          <w:tcPr>
            <w:tcW w:w="1785" w:type="dxa"/>
            <w:tcBorders>
              <w:top w:val="single" w:color="auto" w:sz="4" w:space="0"/>
              <w:left w:val="single" w:color="000000" w:sz="4" w:space="0"/>
              <w:bottom w:val="single" w:color="auto" w:sz="4" w:space="0"/>
              <w:right w:val="single" w:color="000000" w:sz="4" w:space="0"/>
            </w:tcBorders>
            <w:vAlign w:val="center"/>
          </w:tcPr>
          <w:p w14:paraId="0FA7D5DA">
            <w:pPr>
              <w:jc w:val="center"/>
              <w:rPr>
                <w:rFonts w:hint="eastAsia" w:ascii="宋体" w:hAnsi="宋体" w:cs="宋体"/>
                <w:color w:val="auto"/>
                <w:szCs w:val="21"/>
                <w:highlight w:val="none"/>
              </w:rPr>
            </w:pPr>
            <w:r>
              <w:rPr>
                <w:rFonts w:hint="eastAsia" w:ascii="宋体" w:hAnsi="宋体" w:cs="宋体"/>
                <w:color w:val="auto"/>
                <w:szCs w:val="21"/>
                <w:highlight w:val="none"/>
              </w:rPr>
              <w:t>供应商评价（4分）</w:t>
            </w:r>
          </w:p>
        </w:tc>
        <w:tc>
          <w:tcPr>
            <w:tcW w:w="6511" w:type="dxa"/>
            <w:tcBorders>
              <w:top w:val="single" w:color="auto" w:sz="4" w:space="0"/>
              <w:left w:val="single" w:color="000000" w:sz="4" w:space="0"/>
              <w:bottom w:val="single" w:color="auto" w:sz="4" w:space="0"/>
              <w:right w:val="single" w:color="000000" w:sz="4" w:space="0"/>
            </w:tcBorders>
            <w:vAlign w:val="center"/>
          </w:tcPr>
          <w:p w14:paraId="34C3C9DD">
            <w:pPr>
              <w:widowControl/>
              <w:spacing w:line="264" w:lineRule="auto"/>
              <w:rPr>
                <w:rFonts w:hint="eastAsia" w:ascii="宋体" w:hAnsi="宋体" w:cs="宋体"/>
                <w:color w:val="auto"/>
                <w:highlight w:val="none"/>
              </w:rPr>
            </w:pPr>
            <w:r>
              <w:rPr>
                <w:rFonts w:hint="eastAsia" w:ascii="宋体" w:hAnsi="宋体" w:cs="宋体"/>
                <w:color w:val="auto"/>
                <w:highlight w:val="none"/>
              </w:rPr>
              <w:t>供应商具有有效的质量管理体系认证证书、环境管理体系认证证书、职业健康安全管理体系认证证书、信息安全管理体系认证证书，每提供一个证书的得1分，本项最高得4分，未提供的不得分。</w:t>
            </w:r>
          </w:p>
          <w:p w14:paraId="5623E991">
            <w:pPr>
              <w:widowControl/>
              <w:spacing w:line="264" w:lineRule="auto"/>
              <w:rPr>
                <w:rFonts w:hint="eastAsia" w:ascii="宋体" w:hAnsi="宋体" w:cs="宋体"/>
                <w:b/>
                <w:bCs/>
                <w:color w:val="auto"/>
                <w:szCs w:val="21"/>
                <w:highlight w:val="none"/>
              </w:rPr>
            </w:pPr>
            <w:r>
              <w:rPr>
                <w:rFonts w:hint="eastAsia" w:ascii="宋体" w:hAnsi="宋体" w:cs="宋体"/>
                <w:b/>
                <w:bCs/>
                <w:color w:val="auto"/>
                <w:highlight w:val="none"/>
              </w:rPr>
              <w:t>注：提供证书原件扫描件并加盖电子签章，否则不得分。</w:t>
            </w:r>
          </w:p>
        </w:tc>
      </w:tr>
    </w:tbl>
    <w:p w14:paraId="170CF58A">
      <w:pPr>
        <w:widowControl/>
        <w:spacing w:line="400" w:lineRule="exact"/>
        <w:rPr>
          <w:rFonts w:hint="eastAsia" w:ascii="宋体" w:hAnsi="宋体" w:cs="宋体"/>
          <w:color w:val="auto"/>
          <w:sz w:val="24"/>
          <w:highlight w:val="none"/>
        </w:rPr>
      </w:pPr>
      <w:r>
        <w:rPr>
          <w:rFonts w:hint="eastAsia" w:ascii="宋体" w:hAnsi="宋体" w:cs="宋体"/>
          <w:color w:val="auto"/>
          <w:sz w:val="24"/>
          <w:highlight w:val="none"/>
        </w:rPr>
        <w:t>注：1、本项目采用综合评分法，评分结果精确到小数点后两位。</w:t>
      </w:r>
    </w:p>
    <w:p w14:paraId="6734684D">
      <w:pPr>
        <w:ind w:firstLine="480"/>
        <w:rPr>
          <w:rFonts w:hint="eastAsia" w:ascii="宋体" w:hAnsi="宋体" w:cs="宋体"/>
          <w:color w:val="auto"/>
          <w:sz w:val="24"/>
          <w:highlight w:val="none"/>
        </w:rPr>
      </w:pPr>
      <w:r>
        <w:rPr>
          <w:rFonts w:hint="eastAsia" w:ascii="宋体" w:hAnsi="宋体" w:cs="宋体"/>
          <w:color w:val="auto"/>
          <w:sz w:val="24"/>
          <w:highlight w:val="none"/>
        </w:rPr>
        <w:t>2、供应商所提供资料必须真实无误，扫描件必须清晰并加盖电子签章，并不得以任何形式干扰评分，否则经评委会认定后将作无效处理。</w:t>
      </w:r>
    </w:p>
    <w:p w14:paraId="60924283">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p>
    <w:p w14:paraId="660E950C">
      <w:pPr>
        <w:pStyle w:val="20"/>
        <w:rPr>
          <w:color w:val="auto"/>
          <w:highlight w:val="none"/>
        </w:rPr>
      </w:pPr>
    </w:p>
    <w:p w14:paraId="5878D80E">
      <w:pPr>
        <w:spacing w:line="360" w:lineRule="auto"/>
        <w:jc w:val="center"/>
        <w:outlineLvl w:val="0"/>
        <w:rPr>
          <w:rFonts w:hint="eastAsia" w:ascii="宋体" w:hAnsi="宋体" w:cs="宋体"/>
          <w:b/>
          <w:color w:val="auto"/>
          <w:sz w:val="24"/>
          <w:highlight w:val="none"/>
        </w:rPr>
      </w:pPr>
      <w:r>
        <w:rPr>
          <w:rFonts w:hint="eastAsia" w:ascii="宋体" w:hAnsi="宋体" w:cs="宋体"/>
          <w:b/>
          <w:bCs/>
          <w:color w:val="auto"/>
          <w:sz w:val="36"/>
          <w:szCs w:val="36"/>
          <w:highlight w:val="none"/>
        </w:rPr>
        <w:t>2、项目要求（采购需求）</w:t>
      </w:r>
    </w:p>
    <w:p w14:paraId="2F05841A">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一、项目名称：</w:t>
      </w:r>
      <w:r>
        <w:rPr>
          <w:rFonts w:hint="eastAsia" w:ascii="宋体" w:hAnsi="宋体" w:cs="宋体"/>
          <w:color w:val="auto"/>
          <w:sz w:val="24"/>
          <w:highlight w:val="none"/>
        </w:rPr>
        <w:t xml:space="preserve">2026年新沂市乡镇（街道）网格化空气自动监测站运行维护 </w:t>
      </w:r>
    </w:p>
    <w:p w14:paraId="01A9AC52">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二、项目预算：</w:t>
      </w:r>
      <w:r>
        <w:rPr>
          <w:rFonts w:hint="eastAsia" w:ascii="宋体" w:hAnsi="宋体" w:cs="宋体"/>
          <w:bCs/>
          <w:color w:val="auto"/>
          <w:sz w:val="24"/>
          <w:highlight w:val="none"/>
        </w:rPr>
        <w:t>本项目</w:t>
      </w:r>
      <w:r>
        <w:rPr>
          <w:rFonts w:hint="eastAsia" w:ascii="宋体" w:hAnsi="宋体" w:cs="宋体"/>
          <w:color w:val="auto"/>
          <w:sz w:val="24"/>
          <w:highlight w:val="none"/>
        </w:rPr>
        <w:t>不接受超过</w:t>
      </w:r>
      <w:r>
        <w:rPr>
          <w:rFonts w:hint="eastAsia" w:ascii="宋体" w:hAnsi="宋体" w:cs="宋体"/>
          <w:b/>
          <w:bCs/>
          <w:color w:val="auto"/>
          <w:sz w:val="24"/>
          <w:highlight w:val="none"/>
        </w:rPr>
        <w:t>120</w:t>
      </w:r>
      <w:r>
        <w:rPr>
          <w:rFonts w:hint="eastAsia" w:ascii="宋体" w:hAnsi="宋体" w:cs="宋体"/>
          <w:color w:val="auto"/>
          <w:sz w:val="24"/>
          <w:highlight w:val="none"/>
        </w:rPr>
        <w:t>万元的投标报价</w:t>
      </w:r>
      <w:r>
        <w:rPr>
          <w:rFonts w:hint="eastAsia" w:ascii="宋体" w:hAnsi="宋体" w:cs="宋体"/>
          <w:bCs/>
          <w:color w:val="auto"/>
          <w:sz w:val="24"/>
          <w:highlight w:val="none"/>
        </w:rPr>
        <w:t>。</w:t>
      </w:r>
    </w:p>
    <w:p w14:paraId="65447537">
      <w:pPr>
        <w:widowControl/>
        <w:spacing w:line="360" w:lineRule="auto"/>
        <w:jc w:val="left"/>
        <w:rPr>
          <w:rFonts w:hint="eastAsia" w:ascii="宋体" w:hAnsi="宋体"/>
          <w:b/>
          <w:bCs/>
          <w:color w:val="auto"/>
          <w:sz w:val="24"/>
          <w:highlight w:val="none"/>
        </w:rPr>
      </w:pPr>
      <w:r>
        <w:rPr>
          <w:rFonts w:hint="eastAsia" w:ascii="宋体" w:hAnsi="宋体"/>
          <w:b/>
          <w:bCs/>
          <w:color w:val="auto"/>
          <w:sz w:val="24"/>
          <w:highlight w:val="none"/>
        </w:rPr>
        <w:t>三、服务周期：</w:t>
      </w:r>
      <w:r>
        <w:rPr>
          <w:rFonts w:hint="eastAsia" w:ascii="宋体" w:hAnsi="宋体"/>
          <w:color w:val="auto"/>
          <w:sz w:val="24"/>
          <w:highlight w:val="none"/>
        </w:rPr>
        <w:t xml:space="preserve"> 12</w:t>
      </w:r>
      <w:r>
        <w:rPr>
          <w:rFonts w:hint="eastAsia" w:ascii="宋体" w:hAnsi="宋体"/>
          <w:color w:val="auto"/>
          <w:sz w:val="24"/>
          <w:highlight w:val="none"/>
          <w:lang w:val="en-US" w:eastAsia="zh-CN"/>
        </w:rPr>
        <w:t>个</w:t>
      </w:r>
      <w:r>
        <w:rPr>
          <w:rFonts w:hint="eastAsia" w:ascii="宋体" w:hAnsi="宋体"/>
          <w:color w:val="auto"/>
          <w:sz w:val="24"/>
          <w:highlight w:val="none"/>
        </w:rPr>
        <w:t>月</w:t>
      </w:r>
      <w:r>
        <w:rPr>
          <w:rFonts w:hint="eastAsia" w:ascii="宋体" w:hAnsi="宋体"/>
          <w:b/>
          <w:bCs/>
          <w:color w:val="auto"/>
          <w:sz w:val="24"/>
          <w:highlight w:val="none"/>
        </w:rPr>
        <w:t>。</w:t>
      </w:r>
    </w:p>
    <w:p w14:paraId="0E51BE5D">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四、项目服务要求</w:t>
      </w:r>
    </w:p>
    <w:p w14:paraId="7100ACA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本项目服务内容为：</w:t>
      </w:r>
    </w:p>
    <w:p w14:paraId="41EB9B3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（1）新沂市15个乡镇空气自动监测站点（阿湖镇、窑湾镇、合沟镇、港头镇、瓦窑镇、新店镇、马陵山镇、钟吾街道、邵店镇、双塘镇、草桥镇、棋盘镇、唐店街道、高流镇、时集镇）PM</w:t>
      </w:r>
      <w:r>
        <w:rPr>
          <w:rFonts w:hint="eastAsia" w:ascii="宋体" w:hAnsi="宋体" w:cs="宋体"/>
          <w:color w:val="auto"/>
          <w:sz w:val="24"/>
          <w:highlight w:val="none"/>
          <w:vertAlign w:val="subscript"/>
        </w:rPr>
        <w:t>2.5</w:t>
      </w:r>
      <w:r>
        <w:rPr>
          <w:rFonts w:hint="eastAsia" w:ascii="宋体" w:hAnsi="宋体" w:cs="宋体"/>
          <w:color w:val="auto"/>
          <w:sz w:val="24"/>
          <w:highlight w:val="none"/>
        </w:rPr>
        <w:t>、PM</w:t>
      </w:r>
      <w:r>
        <w:rPr>
          <w:rFonts w:hint="eastAsia" w:ascii="宋体" w:hAnsi="宋体" w:cs="宋体"/>
          <w:color w:val="auto"/>
          <w:sz w:val="24"/>
          <w:highlight w:val="none"/>
          <w:vertAlign w:val="subscript"/>
        </w:rPr>
        <w:t>10</w:t>
      </w:r>
      <w:r>
        <w:rPr>
          <w:rFonts w:hint="eastAsia" w:ascii="宋体" w:hAnsi="宋体" w:cs="宋体"/>
          <w:color w:val="auto"/>
          <w:sz w:val="24"/>
          <w:highlight w:val="none"/>
        </w:rPr>
        <w:t>、SO</w:t>
      </w:r>
      <w:r>
        <w:rPr>
          <w:rFonts w:hint="eastAsia" w:ascii="宋体" w:hAnsi="宋体" w:cs="宋体"/>
          <w:color w:val="auto"/>
          <w:sz w:val="24"/>
          <w:highlight w:val="none"/>
          <w:vertAlign w:val="subscript"/>
        </w:rPr>
        <w:t>2</w:t>
      </w:r>
      <w:r>
        <w:rPr>
          <w:rFonts w:hint="eastAsia" w:ascii="宋体" w:hAnsi="宋体" w:cs="宋体"/>
          <w:color w:val="auto"/>
          <w:sz w:val="24"/>
          <w:highlight w:val="none"/>
        </w:rPr>
        <w:t>、NO</w:t>
      </w:r>
      <w:r>
        <w:rPr>
          <w:rFonts w:hint="eastAsia" w:ascii="宋体" w:hAnsi="宋体" w:cs="宋体"/>
          <w:color w:val="auto"/>
          <w:sz w:val="24"/>
          <w:highlight w:val="none"/>
          <w:vertAlign w:val="subscript"/>
        </w:rPr>
        <w:t>2</w:t>
      </w:r>
      <w:r>
        <w:rPr>
          <w:rFonts w:hint="eastAsia" w:ascii="宋体" w:hAnsi="宋体" w:cs="宋体"/>
          <w:color w:val="auto"/>
          <w:sz w:val="24"/>
          <w:highlight w:val="none"/>
        </w:rPr>
        <w:t>、NO、NO</w:t>
      </w:r>
      <w:r>
        <w:rPr>
          <w:rFonts w:hint="eastAsia" w:ascii="宋体" w:hAnsi="宋体" w:cs="宋体"/>
          <w:color w:val="auto"/>
          <w:sz w:val="24"/>
          <w:highlight w:val="none"/>
          <w:vertAlign w:val="subscript"/>
        </w:rPr>
        <w:t>X</w:t>
      </w:r>
      <w:r>
        <w:rPr>
          <w:rFonts w:hint="eastAsia" w:ascii="宋体" w:hAnsi="宋体" w:cs="宋体"/>
          <w:color w:val="auto"/>
          <w:sz w:val="24"/>
          <w:highlight w:val="none"/>
        </w:rPr>
        <w:t>、CO、O</w:t>
      </w:r>
      <w:r>
        <w:rPr>
          <w:rFonts w:hint="eastAsia" w:ascii="宋体" w:hAnsi="宋体" w:cs="宋体"/>
          <w:color w:val="auto"/>
          <w:sz w:val="24"/>
          <w:highlight w:val="none"/>
          <w:vertAlign w:val="subscript"/>
        </w:rPr>
        <w:t>3</w:t>
      </w:r>
      <w:r>
        <w:rPr>
          <w:rFonts w:hint="eastAsia" w:ascii="宋体" w:hAnsi="宋体" w:cs="宋体"/>
          <w:color w:val="auto"/>
          <w:sz w:val="24"/>
          <w:highlight w:val="none"/>
        </w:rPr>
        <w:t>、气象参数、辅助设施等的运行维护服务，包括且不限于供电、网络等保障仪器正常运行的必要费用。</w:t>
      </w:r>
    </w:p>
    <w:p w14:paraId="06AD86A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ascii="Calibri" w:hAnsi="Calibri"/>
          <w:iCs/>
          <w:color w:val="auto"/>
          <w:kern w:val="2"/>
          <w:sz w:val="24"/>
          <w:highlight w:val="none"/>
        </w:rPr>
        <w:t>中标单位需在合同签订后一周内</w:t>
      </w:r>
      <w:r>
        <w:rPr>
          <w:rFonts w:hint="eastAsia" w:ascii="Calibri" w:hAnsi="Calibri"/>
          <w:iCs/>
          <w:color w:val="auto"/>
          <w:kern w:val="2"/>
          <w:sz w:val="24"/>
          <w:highlight w:val="none"/>
        </w:rPr>
        <w:t>，</w:t>
      </w:r>
      <w:r>
        <w:rPr>
          <w:rFonts w:hint="eastAsia" w:ascii="宋体" w:hAnsi="宋体" w:cs="宋体"/>
          <w:color w:val="auto"/>
          <w:sz w:val="24"/>
          <w:highlight w:val="none"/>
        </w:rPr>
        <w:t>提供1名驻场工作人员，按照采购方要求开展监测相关工作。</w:t>
      </w:r>
    </w:p>
    <w:p w14:paraId="4A12DAE7">
      <w:pPr>
        <w:keepNext/>
        <w:keepLines/>
        <w:numPr>
          <w:ilvl w:val="2"/>
          <w:numId w:val="0"/>
        </w:numPr>
        <w:spacing w:before="260" w:after="260"/>
        <w:ind w:firstLine="482"/>
        <w:outlineLvl w:val="2"/>
        <w:rPr>
          <w:rFonts w:hint="eastAsia" w:ascii="宋体" w:hAnsi="宋体" w:cs="宋体"/>
          <w:b/>
          <w:bCs/>
          <w:color w:val="auto"/>
          <w:sz w:val="24"/>
          <w:highlight w:val="none"/>
        </w:rPr>
      </w:pPr>
      <w:r>
        <w:rPr>
          <w:rFonts w:ascii="宋体" w:hAnsi="宋体" w:cs="宋体"/>
          <w:b/>
          <w:bCs/>
          <w:color w:val="auto"/>
          <w:sz w:val="24"/>
          <w:highlight w:val="none"/>
        </w:rPr>
        <w:t>1．</w:t>
      </w:r>
      <w:r>
        <w:rPr>
          <w:rFonts w:hint="eastAsia" w:ascii="宋体" w:hAnsi="宋体" w:cs="宋体"/>
          <w:b/>
          <w:bCs/>
          <w:color w:val="auto"/>
          <w:sz w:val="24"/>
          <w:highlight w:val="none"/>
        </w:rPr>
        <w:t>机构、人员、车辆、设备配备要求</w:t>
      </w:r>
    </w:p>
    <w:p w14:paraId="5064B8E4">
      <w:pPr>
        <w:numPr>
          <w:ilvl w:val="1"/>
          <w:numId w:val="0"/>
        </w:numPr>
        <w:spacing w:line="360" w:lineRule="auto"/>
        <w:ind w:firstLine="480"/>
        <w:rPr>
          <w:iCs/>
          <w:color w:val="auto"/>
          <w:sz w:val="24"/>
          <w:highlight w:val="none"/>
        </w:rPr>
      </w:pPr>
      <w:r>
        <w:rPr>
          <w:iCs/>
          <w:color w:val="auto"/>
          <w:sz w:val="24"/>
          <w:highlight w:val="none"/>
        </w:rPr>
        <w:t>1.1.</w:t>
      </w:r>
      <w:r>
        <w:rPr>
          <w:color w:val="auto"/>
          <w:sz w:val="24"/>
          <w:highlight w:val="none"/>
        </w:rPr>
        <w:t>投标单位应在</w:t>
      </w:r>
      <w:r>
        <w:rPr>
          <w:rFonts w:hint="eastAsia"/>
          <w:color w:val="auto"/>
          <w:sz w:val="24"/>
          <w:highlight w:val="none"/>
        </w:rPr>
        <w:t>中标后为</w:t>
      </w:r>
      <w:r>
        <w:rPr>
          <w:color w:val="auto"/>
          <w:sz w:val="24"/>
          <w:highlight w:val="none"/>
        </w:rPr>
        <w:t>本项目涉及站点2小时车程范围内均设有技术服务网点</w:t>
      </w:r>
      <w:bookmarkStart w:id="2" w:name="_Hlk83475588"/>
      <w:r>
        <w:rPr>
          <w:iCs/>
          <w:color w:val="auto"/>
          <w:sz w:val="24"/>
          <w:highlight w:val="none"/>
        </w:rPr>
        <w:t>，并提供本地化服务方案。</w:t>
      </w:r>
      <w:bookmarkEnd w:id="2"/>
      <w:r>
        <w:rPr>
          <w:iCs/>
          <w:color w:val="auto"/>
          <w:sz w:val="24"/>
          <w:highlight w:val="none"/>
        </w:rPr>
        <w:t>每3个站点至少配备1名经验丰富运维人员常年驻守，同时确保所投分包地区范围内每个设区市范围内配备专车用于日常巡检，</w:t>
      </w:r>
      <w:r>
        <w:rPr>
          <w:rFonts w:hint="eastAsia"/>
          <w:iCs/>
          <w:color w:val="auto"/>
          <w:sz w:val="24"/>
          <w:highlight w:val="none"/>
        </w:rPr>
        <w:t>应保证配备不少于一辆的</w:t>
      </w:r>
      <w:r>
        <w:rPr>
          <w:iCs/>
          <w:color w:val="auto"/>
          <w:sz w:val="24"/>
          <w:highlight w:val="none"/>
        </w:rPr>
        <w:t>自动监测站运维</w:t>
      </w:r>
      <w:r>
        <w:rPr>
          <w:rFonts w:hint="eastAsia"/>
          <w:iCs/>
          <w:color w:val="auto"/>
          <w:sz w:val="24"/>
          <w:highlight w:val="none"/>
        </w:rPr>
        <w:t>车辆数量（提供行驶证、车辆采购或租赁等证明材料原件扫描件并加盖电子签章）</w:t>
      </w:r>
      <w:r>
        <w:rPr>
          <w:iCs/>
          <w:color w:val="auto"/>
          <w:sz w:val="24"/>
          <w:highlight w:val="none"/>
        </w:rPr>
        <w:t>。投标单位需在合同签订后一周内，在</w:t>
      </w:r>
      <w:r>
        <w:rPr>
          <w:rFonts w:hint="eastAsia"/>
          <w:iCs/>
          <w:color w:val="auto"/>
          <w:sz w:val="24"/>
          <w:highlight w:val="none"/>
        </w:rPr>
        <w:t>徐州市新沂生态环境局</w:t>
      </w:r>
      <w:r>
        <w:rPr>
          <w:iCs/>
          <w:color w:val="auto"/>
          <w:sz w:val="24"/>
          <w:highlight w:val="none"/>
        </w:rPr>
        <w:t>配备具有较高素质的常驻工作人员</w:t>
      </w:r>
      <w:r>
        <w:rPr>
          <w:rFonts w:hint="eastAsia"/>
          <w:iCs/>
          <w:color w:val="auto"/>
          <w:sz w:val="24"/>
          <w:highlight w:val="none"/>
        </w:rPr>
        <w:t>1</w:t>
      </w:r>
      <w:r>
        <w:rPr>
          <w:iCs/>
          <w:color w:val="auto"/>
          <w:sz w:val="24"/>
          <w:highlight w:val="none"/>
        </w:rPr>
        <w:t>名（</w:t>
      </w:r>
      <w:bookmarkStart w:id="3" w:name="_Hlk148892428"/>
      <w:r>
        <w:rPr>
          <w:iCs/>
          <w:color w:val="auto"/>
          <w:sz w:val="24"/>
          <w:highlight w:val="none"/>
        </w:rPr>
        <w:t>驻场人员须经</w:t>
      </w:r>
      <w:r>
        <w:rPr>
          <w:rFonts w:hint="eastAsia"/>
          <w:iCs/>
          <w:color w:val="auto"/>
          <w:sz w:val="24"/>
          <w:highlight w:val="none"/>
        </w:rPr>
        <w:t>监测站</w:t>
      </w:r>
      <w:r>
        <w:rPr>
          <w:iCs/>
          <w:color w:val="auto"/>
          <w:sz w:val="24"/>
          <w:highlight w:val="none"/>
        </w:rPr>
        <w:t>认可，并不得与其他项目重复</w:t>
      </w:r>
      <w:bookmarkEnd w:id="3"/>
      <w:r>
        <w:rPr>
          <w:iCs/>
          <w:color w:val="auto"/>
          <w:sz w:val="24"/>
          <w:highlight w:val="none"/>
        </w:rPr>
        <w:t>）。驻场人员需每日实时监控各站点的运维情况、数据审核等并配合</w:t>
      </w:r>
      <w:r>
        <w:rPr>
          <w:rFonts w:hint="eastAsia"/>
          <w:iCs/>
          <w:color w:val="auto"/>
          <w:sz w:val="24"/>
          <w:highlight w:val="none"/>
        </w:rPr>
        <w:t>监测站</w:t>
      </w:r>
      <w:r>
        <w:rPr>
          <w:iCs/>
          <w:color w:val="auto"/>
          <w:sz w:val="24"/>
          <w:highlight w:val="none"/>
        </w:rPr>
        <w:t>开展相关站点的质控检查、数据统计分析及视频监控录像检查等相关工作。</w:t>
      </w:r>
      <w:r>
        <w:rPr>
          <w:rFonts w:hint="eastAsia"/>
          <w:iCs/>
          <w:color w:val="auto"/>
          <w:sz w:val="24"/>
          <w:highlight w:val="none"/>
        </w:rPr>
        <w:t>驻场</w:t>
      </w:r>
      <w:r>
        <w:rPr>
          <w:iCs/>
          <w:color w:val="auto"/>
          <w:sz w:val="24"/>
          <w:highlight w:val="none"/>
        </w:rPr>
        <w:t>人员应接受</w:t>
      </w:r>
      <w:r>
        <w:rPr>
          <w:rFonts w:hint="eastAsia"/>
          <w:iCs/>
          <w:color w:val="auto"/>
          <w:sz w:val="24"/>
          <w:highlight w:val="none"/>
        </w:rPr>
        <w:t>生态环境局</w:t>
      </w:r>
      <w:r>
        <w:rPr>
          <w:iCs/>
          <w:color w:val="auto"/>
          <w:sz w:val="24"/>
          <w:highlight w:val="none"/>
        </w:rPr>
        <w:t>的管理，</w:t>
      </w:r>
      <w:r>
        <w:rPr>
          <w:rFonts w:hint="eastAsia"/>
          <w:iCs/>
          <w:color w:val="auto"/>
          <w:sz w:val="24"/>
          <w:highlight w:val="none"/>
        </w:rPr>
        <w:t>生态环境局</w:t>
      </w:r>
      <w:r>
        <w:rPr>
          <w:iCs/>
          <w:color w:val="auto"/>
          <w:sz w:val="24"/>
          <w:highlight w:val="none"/>
        </w:rPr>
        <w:t>有权要求运维单位撤换不符合运维管理要求的工作人员。</w:t>
      </w:r>
    </w:p>
    <w:p w14:paraId="4315EF06">
      <w:pPr>
        <w:tabs>
          <w:tab w:val="left" w:pos="2280"/>
        </w:tabs>
        <w:ind w:firstLine="480"/>
        <w:contextualSpacing/>
        <w:rPr>
          <w:b/>
          <w:bCs/>
          <w:color w:val="auto"/>
          <w:sz w:val="24"/>
          <w:highlight w:val="none"/>
        </w:rPr>
      </w:pPr>
      <w:r>
        <w:rPr>
          <w:b/>
          <w:bCs/>
          <w:color w:val="auto"/>
          <w:sz w:val="24"/>
          <w:highlight w:val="none"/>
        </w:rPr>
        <w:t>针对上述内容，投标人须按要求提供承诺函并加盖公章（格式自拟）。</w:t>
      </w:r>
    </w:p>
    <w:p w14:paraId="3B7F9E1C">
      <w:pPr>
        <w:rPr>
          <w:rFonts w:ascii="楷体_GB2312" w:hAnsi="Arial" w:eastAsia="楷体_GB2312"/>
          <w:color w:val="auto"/>
          <w:sz w:val="28"/>
          <w:szCs w:val="28"/>
          <w:highlight w:val="none"/>
        </w:rPr>
      </w:pPr>
    </w:p>
    <w:p w14:paraId="29E1655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 运维单位需要配备必要的质量控制设备，标准气体须为生态环境部标样所或中国计量院生产的一级标准样品或物质；需配备流量计（大、小流量）共计4台。</w:t>
      </w:r>
    </w:p>
    <w:p w14:paraId="46F9E4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1.3. 运维单位须承诺中标后1个月内配齐本技术要求中所涉及的仪器设备、耗材和备件。耗材按照不少于半年的消耗量配置，备件按照至少1年使用量配置。必须使用原厂生产的备品备件和耗材，严禁使用未经权威机构检定合格或劣质备品备件和耗材。</w:t>
      </w:r>
    </w:p>
    <w:p w14:paraId="7BC460B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1.4. 运维单位应配备专用仪器维护维修工具。每年10月底前完成运维站点防雷检测，并出具防雷检测报告。</w:t>
      </w:r>
    </w:p>
    <w:p w14:paraId="37BEDB6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1.5. 在空气自动监测系统运维及管理期间，运维单位应严格按照业主制订的操作规范和规章制度，对所管理的系统及仪器设备进行规范操作和精心维护及必要维修，保证系统及仪器设备的正常运行，达到徐州市新沂生态环境局提出的系统及仪器设备考核指标要求。中标运维商必须接受徐州市新沂生态环境局的定期、不定期检查和考核。</w:t>
      </w:r>
    </w:p>
    <w:p w14:paraId="2FF36AD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1.6 运维单位须需保证配备三套六参数分析仪备机（SO2、NO2（NOX、NO）、CO、O3、PM10、PM2.5）及气象五参数备机，（备机监测原理须与原机匹配），须提供备机配置情况清单（包括但不限于备机种类、数量、品牌、型号、价格、来源、原理等）。</w:t>
      </w:r>
    </w:p>
    <w:p w14:paraId="28576A7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1.7 运维单位须至少配置子站数采设备、零气发生器和动态校准仪备机各1套，臭氧标准传递设备1套。须提供相关设备配置情况清单（包括但不限于备机种类、数量、品牌、型号、价格、来源、原理等）。</w:t>
      </w:r>
    </w:p>
    <w:p w14:paraId="3C9C2A5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1.8 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p>
    <w:p w14:paraId="4E109CD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1.9 运维单位应承诺（提供承诺函并盖章）中标后一个月（30日历日）内，向监测站提交已有、采购的证明材料（车辆须为供应商自有或租赁，若为租赁车辆租赁合同周期需至少覆盖2026年6月-2027年6月），否则生态环境局有权以检查单位虚假应标为由解除合同，要求检查单位退还监测站已支付的全部费用，扣除履约保证金，并进一步追究检查单位相关责任。</w:t>
      </w:r>
    </w:p>
    <w:p w14:paraId="6E5E23D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1.10 运维单位应至少给本项目配置的运维人员各配备1套专用仪器维护维修工具。</w:t>
      </w:r>
    </w:p>
    <w:p w14:paraId="2C920EB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1.11 运维单位应至少配备1台手工采样器，1套便携式颗粒物自动监测仪（与站点使用颗粒物仪器分析方法一致且使用前需承诺完成参比测试工作，并承担相关的比对计量经费（如有）），根据工作要求协助开展乡镇站PM10与PM2.5自动或手工比对工作。</w:t>
      </w:r>
    </w:p>
    <w:p w14:paraId="7A4AE55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1.12 中标后，承诺按照徐州市新沂生态环境局要求开展乡镇站运维交接工作，并承担适当的人员进出保障措施所需经费。</w:t>
      </w:r>
    </w:p>
    <w:p w14:paraId="264CD4D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1.13 在采购前中标人应与业主方共同对乡镇站的仪器运行情况，数据采集情况进行实际考察，并且做好运维交接方案和后期运维工作方案。</w:t>
      </w:r>
    </w:p>
    <w:p w14:paraId="6C8DB90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1.14 投标单位具备一定的监测数据分析及报告编制能力，能配合徐州市新沂生态环境局完成各类分析报告的编制工作。</w:t>
      </w:r>
    </w:p>
    <w:p w14:paraId="140056F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1.15 在空气自动监测系统运维及管理期间，投标单位应严格按照业主制订的操作规范和规章制度，对所管理的系统及仪器设备进行规范操作和精心维护及必要维修，保证系统及仪器设备的正常运行，达到徐州市新沂生态环境局提出的系统及仪器设备考核指标要求。中标运维商必须接受徐州市新沂生态环境局的定期、不定期检查和考核。</w:t>
      </w:r>
    </w:p>
    <w:p w14:paraId="6C14899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1.16 投标单位需承诺，中标后按照监测站制定的环境空气自动监测站运行维护细则，做好运维质控管理等工作，如违反原环保部《关于环境监测数据弄虚作假行为判定及处理办法》（环发[2015]175号）中相关内容，将列入不良供应商名单。</w:t>
      </w:r>
    </w:p>
    <w:p w14:paraId="6AEFFDA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1.17 运维单位需具备良好的质量管理体系，满足气站运维的质量要求；同时需保障运维人员身心健康，具备职业健康安全体系的证明文件。 </w:t>
      </w:r>
    </w:p>
    <w:p w14:paraId="13E239A6">
      <w:pPr>
        <w:keepNext/>
        <w:keepLines/>
        <w:numPr>
          <w:ilvl w:val="2"/>
          <w:numId w:val="0"/>
        </w:numPr>
        <w:spacing w:before="260" w:after="260"/>
        <w:ind w:firstLine="482"/>
        <w:outlineLvl w:val="2"/>
        <w:rPr>
          <w:rFonts w:hint="eastAsia" w:ascii="宋体" w:hAnsi="宋体" w:cs="宋体"/>
          <w:b/>
          <w:bCs/>
          <w:color w:val="auto"/>
          <w:sz w:val="24"/>
          <w:szCs w:val="32"/>
          <w:highlight w:val="none"/>
        </w:rPr>
      </w:pPr>
      <w:r>
        <w:rPr>
          <w:rFonts w:ascii="宋体" w:hAnsi="宋体" w:cs="宋体"/>
          <w:b/>
          <w:bCs/>
          <w:color w:val="auto"/>
          <w:sz w:val="24"/>
          <w:szCs w:val="32"/>
          <w:highlight w:val="none"/>
        </w:rPr>
        <w:t>2．</w:t>
      </w:r>
      <w:r>
        <w:rPr>
          <w:rFonts w:hint="eastAsia" w:ascii="宋体" w:hAnsi="宋体" w:cs="宋体"/>
          <w:b/>
          <w:bCs/>
          <w:color w:val="auto"/>
          <w:sz w:val="24"/>
          <w:szCs w:val="32"/>
          <w:highlight w:val="none"/>
        </w:rPr>
        <w:t>运维工作内容</w:t>
      </w:r>
    </w:p>
    <w:p w14:paraId="68CA4A4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运维过程中主要完成以下工作：</w:t>
      </w:r>
    </w:p>
    <w:p w14:paraId="33906FBE">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空气自动监测站的日常运行维护；</w:t>
      </w:r>
    </w:p>
    <w:p w14:paraId="471B9FB8">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空气自动监测站的日常质量管理；</w:t>
      </w:r>
    </w:p>
    <w:p w14:paraId="09CB2B91">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空气自动监测站的日常安全管理；</w:t>
      </w:r>
    </w:p>
    <w:p w14:paraId="5253055C">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空气自动监测站监测数据的日常审核、上报；</w:t>
      </w:r>
    </w:p>
    <w:p w14:paraId="5601704A">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空气自动监测站的仪器设备维护保养及故障维修；</w:t>
      </w:r>
    </w:p>
    <w:p w14:paraId="103DA6DF">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空气自动监测站其他相关辅助设备设施的维护、保养、维修。</w:t>
      </w:r>
    </w:p>
    <w:p w14:paraId="28376047">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空气自动监测站数据采集及传输系统的维护及维修，保证空气自动监测站与省驻市监测中心、徐州市新沂生态环境局通讯正常。</w:t>
      </w:r>
    </w:p>
    <w:p w14:paraId="6F753E29">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根据工作需要开展对空气自动监测站PM</w:t>
      </w:r>
      <w:r>
        <w:rPr>
          <w:rFonts w:hint="eastAsia" w:ascii="宋体" w:hAnsi="宋体" w:cs="宋体"/>
          <w:color w:val="auto"/>
          <w:sz w:val="24"/>
          <w:highlight w:val="none"/>
          <w:vertAlign w:val="subscript"/>
        </w:rPr>
        <w:t>10</w:t>
      </w:r>
      <w:r>
        <w:rPr>
          <w:rFonts w:hint="eastAsia" w:ascii="宋体" w:hAnsi="宋体" w:cs="宋体"/>
          <w:color w:val="auto"/>
          <w:sz w:val="24"/>
          <w:highlight w:val="none"/>
        </w:rPr>
        <w:t>与PM</w:t>
      </w:r>
      <w:r>
        <w:rPr>
          <w:rFonts w:hint="eastAsia" w:ascii="宋体" w:hAnsi="宋体" w:cs="宋体"/>
          <w:color w:val="auto"/>
          <w:sz w:val="24"/>
          <w:highlight w:val="none"/>
          <w:vertAlign w:val="subscript"/>
        </w:rPr>
        <w:t>2.5</w:t>
      </w:r>
      <w:r>
        <w:rPr>
          <w:rFonts w:hint="eastAsia" w:ascii="宋体" w:hAnsi="宋体" w:cs="宋体"/>
          <w:color w:val="auto"/>
          <w:sz w:val="24"/>
          <w:highlight w:val="none"/>
        </w:rPr>
        <w:t>自动监测的手工比对；</w:t>
      </w:r>
    </w:p>
    <w:p w14:paraId="7FDE97D6">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当仪器出现故障不能及时修复时，应在24小时之内使用备机开展监测；</w:t>
      </w:r>
    </w:p>
    <w:p w14:paraId="1973F125">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仪器报废后（包括因洪水、地震、台风、站房外部火灾、爆炸、恐怖袭击、武装冲突、蓄意破坏等不可抗力导致），运维单位须先行及时使用备机开展监测，同时报告驻市监测中心和徐州市新沂生态环境局。</w:t>
      </w:r>
    </w:p>
    <w:p w14:paraId="0FF6CA6C">
      <w:pPr>
        <w:numPr>
          <w:ilvl w:val="0"/>
          <w:numId w:val="8"/>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当点位需要新增、撤销、变更时，由所在地生态环境部门按照点位管理程序向上级生态环境部门报批。涉及站点迁移的，运维单位应做好迁移前后监测仪器设备检查工作并做好相关记录。</w:t>
      </w:r>
    </w:p>
    <w:p w14:paraId="09C04AA2">
      <w:pPr>
        <w:ind w:firstLine="420"/>
        <w:rPr>
          <w:color w:val="auto"/>
          <w:sz w:val="20"/>
          <w:szCs w:val="20"/>
          <w:highlight w:val="none"/>
        </w:rPr>
      </w:pPr>
      <w:r>
        <w:rPr>
          <w:rFonts w:hint="eastAsia"/>
          <w:color w:val="auto"/>
          <w:sz w:val="24"/>
          <w:szCs w:val="20"/>
          <w:highlight w:val="none"/>
        </w:rPr>
        <w:t>（12）按年度提供数据备份一份（移动硬盘)。</w:t>
      </w:r>
    </w:p>
    <w:p w14:paraId="30FBE193">
      <w:pPr>
        <w:ind w:firstLine="420"/>
        <w:rPr>
          <w:color w:val="auto"/>
          <w:sz w:val="20"/>
          <w:szCs w:val="20"/>
          <w:highlight w:val="none"/>
        </w:rPr>
      </w:pPr>
    </w:p>
    <w:p w14:paraId="4A098B22">
      <w:pPr>
        <w:keepNext/>
        <w:keepLines/>
        <w:numPr>
          <w:ilvl w:val="2"/>
          <w:numId w:val="0"/>
        </w:numPr>
        <w:spacing w:before="260" w:after="260"/>
        <w:ind w:firstLine="482"/>
        <w:outlineLvl w:val="2"/>
        <w:rPr>
          <w:rFonts w:hint="eastAsia" w:ascii="宋体" w:hAnsi="宋体" w:cs="宋体"/>
          <w:b/>
          <w:bCs/>
          <w:color w:val="auto"/>
          <w:sz w:val="24"/>
          <w:szCs w:val="32"/>
          <w:highlight w:val="none"/>
        </w:rPr>
      </w:pPr>
      <w:r>
        <w:rPr>
          <w:rFonts w:ascii="宋体" w:hAnsi="宋体" w:cs="宋体"/>
          <w:b/>
          <w:bCs/>
          <w:color w:val="auto"/>
          <w:sz w:val="24"/>
          <w:szCs w:val="32"/>
          <w:highlight w:val="none"/>
        </w:rPr>
        <w:t>3．</w:t>
      </w:r>
      <w:r>
        <w:rPr>
          <w:rFonts w:hint="eastAsia" w:ascii="宋体" w:hAnsi="宋体" w:cs="宋体"/>
          <w:b/>
          <w:bCs/>
          <w:color w:val="auto"/>
          <w:sz w:val="24"/>
          <w:szCs w:val="32"/>
          <w:highlight w:val="none"/>
        </w:rPr>
        <w:t>运维工作目标</w:t>
      </w:r>
    </w:p>
    <w:p w14:paraId="6B2B832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运维单位必须建立完善的运行维护工作规范与质量管理体系，确保提供及时、准确、有效的监测数据，子站的运行质量应达到以下指标：</w:t>
      </w:r>
    </w:p>
    <w:p w14:paraId="7F54176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3.1所获取的有效监测数据必须满足</w:t>
      </w:r>
      <w:bookmarkStart w:id="4" w:name="OLE_LINK24"/>
      <w:bookmarkStart w:id="5" w:name="OLE_LINK23"/>
      <w:r>
        <w:rPr>
          <w:rFonts w:hint="eastAsia" w:ascii="宋体" w:hAnsi="宋体" w:cs="宋体"/>
          <w:color w:val="auto"/>
          <w:sz w:val="24"/>
          <w:highlight w:val="none"/>
        </w:rPr>
        <w:t>国家《环境空气质量标准》（GB 3095-2012）中规定的污染物浓度数据有效性最低要求</w:t>
      </w:r>
      <w:bookmarkEnd w:id="4"/>
      <w:bookmarkEnd w:id="5"/>
      <w:r>
        <w:rPr>
          <w:rFonts w:hint="eastAsia" w:ascii="宋体" w:hAnsi="宋体" w:cs="宋体"/>
          <w:color w:val="auto"/>
          <w:sz w:val="24"/>
          <w:highlight w:val="none"/>
        </w:rPr>
        <w:t>。</w:t>
      </w:r>
    </w:p>
    <w:p w14:paraId="5813DF4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3.2单站设备运行率必须高于90%(含)，有效率必须高于85%(含)。</w:t>
      </w:r>
    </w:p>
    <w:p w14:paraId="0D68AA0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3.3异常情况处理率100%。</w:t>
      </w:r>
    </w:p>
    <w:p w14:paraId="03500AE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设备运行率是指已上传数据量与应上传数据量之比，数据有效率是指有效数据量与应上传数据量之比。</w:t>
      </w:r>
    </w:p>
    <w:p w14:paraId="30BF7F36">
      <w:pPr>
        <w:keepNext/>
        <w:keepLines/>
        <w:numPr>
          <w:ilvl w:val="2"/>
          <w:numId w:val="0"/>
        </w:numPr>
        <w:spacing w:before="260" w:after="260" w:line="360" w:lineRule="auto"/>
        <w:ind w:firstLine="482"/>
        <w:outlineLvl w:val="2"/>
        <w:rPr>
          <w:rFonts w:hint="eastAsia" w:ascii="宋体" w:hAnsi="宋体" w:cs="宋体"/>
          <w:b/>
          <w:bCs/>
          <w:color w:val="auto"/>
          <w:sz w:val="24"/>
          <w:szCs w:val="32"/>
          <w:highlight w:val="none"/>
        </w:rPr>
      </w:pPr>
      <w:r>
        <w:rPr>
          <w:rFonts w:ascii="宋体" w:hAnsi="宋体" w:cs="宋体"/>
          <w:b/>
          <w:bCs/>
          <w:color w:val="auto"/>
          <w:sz w:val="24"/>
          <w:szCs w:val="32"/>
          <w:highlight w:val="none"/>
        </w:rPr>
        <w:t>4．</w:t>
      </w:r>
      <w:r>
        <w:rPr>
          <w:rFonts w:hint="eastAsia" w:ascii="宋体" w:hAnsi="宋体" w:cs="宋体"/>
          <w:b/>
          <w:bCs/>
          <w:color w:val="auto"/>
          <w:sz w:val="24"/>
          <w:szCs w:val="32"/>
          <w:highlight w:val="none"/>
        </w:rPr>
        <w:t>运维工作要求</w:t>
      </w:r>
    </w:p>
    <w:p w14:paraId="3D800A0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运维单位应遵守省国家、省关于空气自动站运行管理的各项规定，如运维期间出台新的运行管理规定，则运维工作按最新规定执行。</w:t>
      </w:r>
    </w:p>
    <w:p w14:paraId="740E27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4.1运维工作一般要求如下：</w:t>
      </w:r>
    </w:p>
    <w:p w14:paraId="5E00F73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(1)保持站房内部环境清洁，布置整齐，各仪器设备干净清洁，设备标识清楚；</w:t>
      </w:r>
    </w:p>
    <w:p w14:paraId="66197A3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(2)保持站房外20m以内的环境清洁；</w:t>
      </w:r>
    </w:p>
    <w:p w14:paraId="7A72330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(3)检查供电和网络通讯情况，保证系统的正常运行;</w:t>
      </w:r>
    </w:p>
    <w:p w14:paraId="0A1D2D8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(4)保证空调正常工作，站房内温度25±5℃，相对湿度保持在80%RH以下；</w:t>
      </w:r>
    </w:p>
    <w:p w14:paraId="1C674EC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(5)指派专人维护，设备固定牢固，门窗关闭良好，人走关门，非工作人员未经许可不得入内；</w:t>
      </w:r>
    </w:p>
    <w:p w14:paraId="4245385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(6)定期检查消防和安全设施；</w:t>
      </w:r>
    </w:p>
    <w:p w14:paraId="748FA04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(7)每次维护后做好系统运行维护记录；</w:t>
      </w:r>
    </w:p>
    <w:p w14:paraId="450568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(8)进行维护时，应规范操作，注意安全，防止意外发生。</w:t>
      </w:r>
    </w:p>
    <w:p w14:paraId="7B74243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4.2每日工作内容如下：</w:t>
      </w:r>
    </w:p>
    <w:p w14:paraId="319E25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每天上午和下午两次远程查看空气自动监测站数据并形成记录，分析监测数据，对站点运行情况进行远程诊断和运行管理，内容包括：</w:t>
      </w:r>
    </w:p>
    <w:p w14:paraId="1B1B13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(1)判断系统数据采集与传输情况；</w:t>
      </w:r>
    </w:p>
    <w:p w14:paraId="78CB3D5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(2)根据电源电压、站房温度、湿度数据判断站房内部情况；</w:t>
      </w:r>
    </w:p>
    <w:p w14:paraId="27FD9A1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发现监测数据异常，应立即通知徐州市新沂生态环境局，在每日5时～23时出现的异常，应在2小时之内响应，应在4小时内解决（通信线路、电力线路故障除外，但应及时与相关部门联系积极解决），每日0～5时出现的异常，应在次日上午10时前解决；</w:t>
      </w:r>
    </w:p>
    <w:p w14:paraId="470C0EB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(4)发生重污染天气等特殊情况后，应在4小时内开展相应的运维工作；</w:t>
      </w:r>
    </w:p>
    <w:p w14:paraId="349E219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(5)根据数据分析结果、设备状态参数和仪器故障报警信号，判断仪器运行情况和现场状况；</w:t>
      </w:r>
    </w:p>
    <w:p w14:paraId="317C12F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(6)每日检查数据是否及时上传并正常发布，发现数据断网及时恢复。</w:t>
      </w:r>
    </w:p>
    <w:p w14:paraId="7FEFAD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4.3每周工作内容如下：</w:t>
      </w:r>
    </w:p>
    <w:p w14:paraId="28DAFF1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每周至少巡检空气自动监测站1次（最大间隔期不得超过8天，且14天内必须完成2次维护），并做好巡查记录，巡检时需要完成的工作包括：</w:t>
      </w:r>
    </w:p>
    <w:p w14:paraId="7478C6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(1)查看空气自动监测站设备是否齐备，无丢失和损坏；检查接地线路是否可靠，排风排气装置工作是否正常，标准气钢瓶阀门是否漏气，标准气的消耗情况；</w:t>
      </w:r>
    </w:p>
    <w:p w14:paraId="585BA97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(2)检查采样和排气管路是否有漏气或堵塞现象，各监测仪器采样流量是否正常。</w:t>
      </w:r>
    </w:p>
    <w:p w14:paraId="4F806C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(3)检查各监测仪器的运行状况和工作参数，判断是否正常，如有异常情况及时处理，保证仪器运行正常。</w:t>
      </w:r>
    </w:p>
    <w:p w14:paraId="0CDBE8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(4)检查PM</w:t>
      </w:r>
      <w:r>
        <w:rPr>
          <w:rFonts w:hint="eastAsia" w:ascii="宋体" w:hAnsi="宋体" w:cs="宋体"/>
          <w:color w:val="auto"/>
          <w:sz w:val="24"/>
          <w:highlight w:val="none"/>
          <w:vertAlign w:val="subscript"/>
        </w:rPr>
        <w:t>10</w:t>
      </w:r>
      <w:r>
        <w:rPr>
          <w:rFonts w:hint="eastAsia" w:ascii="宋体" w:hAnsi="宋体" w:cs="宋体"/>
          <w:color w:val="auto"/>
          <w:sz w:val="24"/>
          <w:highlight w:val="none"/>
        </w:rPr>
        <w:t>和PM</w:t>
      </w:r>
      <w:r>
        <w:rPr>
          <w:rFonts w:hint="eastAsia" w:ascii="宋体" w:hAnsi="宋体" w:cs="宋体"/>
          <w:color w:val="auto"/>
          <w:sz w:val="24"/>
          <w:highlight w:val="none"/>
          <w:vertAlign w:val="subscript"/>
        </w:rPr>
        <w:t>2.5</w:t>
      </w:r>
      <w:r>
        <w:rPr>
          <w:rFonts w:hint="eastAsia" w:ascii="宋体" w:hAnsi="宋体" w:cs="宋体"/>
          <w:color w:val="auto"/>
          <w:sz w:val="24"/>
          <w:highlight w:val="none"/>
        </w:rPr>
        <w:t>监测仪动态加热装置及采样总管加热装置是否正常工作；</w:t>
      </w:r>
    </w:p>
    <w:p w14:paraId="6B815D0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(5)对二氧化硫、一氧化碳、臭氧、氮氧化物监测仪进行零点、跨度检查，如果漂移超过国家相关规范要求，需要进行校准或维修。</w:t>
      </w:r>
    </w:p>
    <w:p w14:paraId="5CDB6B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(6)按照仪器说明书要求，对零气发生器进行维护。</w:t>
      </w:r>
    </w:p>
    <w:p w14:paraId="68B32FC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(7)检查外部环境是否正常，有没有对测定结果或运行环境存在明显影响的污染源；</w:t>
      </w:r>
    </w:p>
    <w:p w14:paraId="3D3D6A7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(8)检查电路系统和通讯系统，保证系统供电正常，电压稳定；</w:t>
      </w:r>
    </w:p>
    <w:p w14:paraId="782B454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(9)检查空气自动监测站的通讯系统，保证空气自动监测站与相关数据监控平台的连接正常，数据传输正常；确保无远程控制软件。</w:t>
      </w:r>
    </w:p>
    <w:p w14:paraId="2F0CB4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(10)对仪器显示数据、时间与数据采集仪之间的一致性进行检查和校准。</w:t>
      </w:r>
    </w:p>
    <w:p w14:paraId="157606F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(11)检查监测仪器的采样入口与采样支路管线结合部之间安装的过滤膜的污染情况，每周更换滤膜并检查监测仪器散热风扇污染情况，及时清洗。</w:t>
      </w:r>
    </w:p>
    <w:p w14:paraId="6BF70C5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(12)在冬、夏季节应注意空气自动监测站站房室内外温差，若温差较大，应及时改变站房温度或对采样总管采取适当的控制措施，防止冷凝现象。</w:t>
      </w:r>
    </w:p>
    <w:p w14:paraId="7FA196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(13)应及时清除空气自动监测站站房周围的杂草和积水，当周围树木生长超过规范规定的控制限时，应及时剪除对采样或监测光束有影响的树枝。</w:t>
      </w:r>
    </w:p>
    <w:p w14:paraId="7517F3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(14)应经常检查避雷设施是否可靠，空气自动监测站房屋是否有漏雨现象，天线是否被刮坏，站房外围的其它设施是否有损坏或被水淹，如遇到以上问题应及时处理，保证系统安全运行。</w:t>
      </w:r>
    </w:p>
    <w:p w14:paraId="32F40C4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(15)检查站房的安全设施，做好防火防盗工作。</w:t>
      </w:r>
    </w:p>
    <w:p w14:paraId="5787DE4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(16)每周对颗粒物的采样纸带或滤膜进行检查，如纸带即将用尽或滤膜负载超过规定要求，及时进行更换。</w:t>
      </w:r>
    </w:p>
    <w:p w14:paraId="126725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(17)每周检查视频监控系统，并做好视频系统的日常维护。若发现人为干扰干预环境空气质量监测的行为，及时向徐州市新沂生态环境局汇报。</w:t>
      </w:r>
    </w:p>
    <w:p w14:paraId="1A16AC4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(18)每周对站房内外环境卫生进行检查，及时保洁。</w:t>
      </w:r>
    </w:p>
    <w:p w14:paraId="72DC7855">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4.4每月工作内容如下：</w:t>
      </w:r>
    </w:p>
    <w:p w14:paraId="0F0152D6">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(1)清洗PM</w:t>
      </w:r>
      <w:r>
        <w:rPr>
          <w:rFonts w:hint="eastAsia" w:ascii="宋体" w:hAnsi="宋体" w:cs="宋体"/>
          <w:color w:val="auto"/>
          <w:sz w:val="24"/>
          <w:highlight w:val="none"/>
          <w:vertAlign w:val="subscript"/>
        </w:rPr>
        <w:t>10</w:t>
      </w:r>
      <w:r>
        <w:rPr>
          <w:rFonts w:hint="eastAsia" w:ascii="宋体" w:hAnsi="宋体" w:cs="宋体"/>
          <w:color w:val="auto"/>
          <w:sz w:val="24"/>
          <w:highlight w:val="none"/>
        </w:rPr>
        <w:t>及PM</w:t>
      </w:r>
      <w:r>
        <w:rPr>
          <w:rFonts w:hint="eastAsia" w:ascii="宋体" w:hAnsi="宋体" w:cs="宋体"/>
          <w:color w:val="auto"/>
          <w:sz w:val="24"/>
          <w:highlight w:val="none"/>
          <w:vertAlign w:val="subscript"/>
        </w:rPr>
        <w:t>2.5</w:t>
      </w:r>
      <w:r>
        <w:rPr>
          <w:rFonts w:hint="eastAsia" w:ascii="宋体" w:hAnsi="宋体" w:cs="宋体"/>
          <w:color w:val="auto"/>
          <w:sz w:val="24"/>
          <w:highlight w:val="none"/>
        </w:rPr>
        <w:t>采样头（若遇重污染天气，则每周清洗一次），检查β法颗粒物监测仪仪器喷嘴、压环、密封圈等部件。</w:t>
      </w:r>
    </w:p>
    <w:p w14:paraId="40D39C4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(2)检查PM</w:t>
      </w:r>
      <w:r>
        <w:rPr>
          <w:rFonts w:hint="eastAsia" w:ascii="宋体" w:hAnsi="宋体" w:cs="宋体"/>
          <w:color w:val="auto"/>
          <w:sz w:val="24"/>
          <w:highlight w:val="none"/>
          <w:vertAlign w:val="subscript"/>
        </w:rPr>
        <w:t>10</w:t>
      </w:r>
      <w:r>
        <w:rPr>
          <w:rFonts w:hint="eastAsia" w:ascii="宋体" w:hAnsi="宋体" w:cs="宋体"/>
          <w:color w:val="auto"/>
          <w:sz w:val="24"/>
          <w:highlight w:val="none"/>
        </w:rPr>
        <w:t>及PM</w:t>
      </w:r>
      <w:r>
        <w:rPr>
          <w:rFonts w:hint="eastAsia" w:ascii="宋体" w:hAnsi="宋体" w:cs="宋体"/>
          <w:color w:val="auto"/>
          <w:sz w:val="24"/>
          <w:highlight w:val="none"/>
          <w:vertAlign w:val="subscript"/>
        </w:rPr>
        <w:t>2.5</w:t>
      </w:r>
      <w:r>
        <w:rPr>
          <w:rFonts w:hint="eastAsia" w:ascii="宋体" w:hAnsi="宋体" w:cs="宋体"/>
          <w:color w:val="auto"/>
          <w:sz w:val="24"/>
          <w:highlight w:val="none"/>
        </w:rPr>
        <w:t>监测仪、气态监测仪、动态校准仪流量，超过国家相关规范要求时应进行校准。</w:t>
      </w:r>
    </w:p>
    <w:p w14:paraId="111E52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(3)每月对数据和运维记录进行备份。</w:t>
      </w:r>
    </w:p>
    <w:p w14:paraId="535050D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(4)检查和校准PM</w:t>
      </w:r>
      <w:r>
        <w:rPr>
          <w:rFonts w:hint="eastAsia" w:ascii="宋体" w:hAnsi="宋体" w:cs="宋体"/>
          <w:color w:val="auto"/>
          <w:sz w:val="24"/>
          <w:highlight w:val="none"/>
          <w:vertAlign w:val="subscript"/>
        </w:rPr>
        <w:t>2.5</w:t>
      </w:r>
      <w:r>
        <w:rPr>
          <w:rFonts w:hint="eastAsia" w:ascii="宋体" w:hAnsi="宋体" w:cs="宋体"/>
          <w:color w:val="auto"/>
          <w:sz w:val="24"/>
          <w:highlight w:val="none"/>
        </w:rPr>
        <w:t>、PM</w:t>
      </w:r>
      <w:r>
        <w:rPr>
          <w:rFonts w:hint="eastAsia" w:ascii="宋体" w:hAnsi="宋体" w:cs="宋体"/>
          <w:color w:val="auto"/>
          <w:sz w:val="24"/>
          <w:highlight w:val="none"/>
          <w:vertAlign w:val="subscript"/>
        </w:rPr>
        <w:t>10</w:t>
      </w:r>
      <w:r>
        <w:rPr>
          <w:rFonts w:hint="eastAsia" w:ascii="宋体" w:hAnsi="宋体" w:cs="宋体"/>
          <w:color w:val="auto"/>
          <w:sz w:val="24"/>
          <w:highlight w:val="none"/>
        </w:rPr>
        <w:t>监测仪相对湿度、温度传感器和压力传感器。</w:t>
      </w:r>
    </w:p>
    <w:p w14:paraId="4B394AF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4.5每季度工作内容如下：</w:t>
      </w:r>
    </w:p>
    <w:p w14:paraId="6FFE259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(1)采样总管及采样风机每季度至少清洗一次；</w:t>
      </w:r>
    </w:p>
    <w:p w14:paraId="03F6259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(2)对PM</w:t>
      </w:r>
      <w:r>
        <w:rPr>
          <w:rFonts w:hint="eastAsia" w:ascii="宋体" w:hAnsi="宋体" w:cs="宋体"/>
          <w:color w:val="auto"/>
          <w:sz w:val="24"/>
          <w:highlight w:val="none"/>
          <w:vertAlign w:val="subscript"/>
        </w:rPr>
        <w:t>10</w:t>
      </w:r>
      <w:r>
        <w:rPr>
          <w:rFonts w:hint="eastAsia" w:ascii="宋体" w:hAnsi="宋体" w:cs="宋体"/>
          <w:color w:val="auto"/>
          <w:sz w:val="24"/>
          <w:highlight w:val="none"/>
        </w:rPr>
        <w:t>和PM</w:t>
      </w:r>
      <w:r>
        <w:rPr>
          <w:rFonts w:hint="eastAsia" w:ascii="宋体" w:hAnsi="宋体" w:cs="宋体"/>
          <w:color w:val="auto"/>
          <w:sz w:val="24"/>
          <w:highlight w:val="none"/>
          <w:vertAlign w:val="subscript"/>
        </w:rPr>
        <w:t>2.5</w:t>
      </w:r>
      <w:r>
        <w:rPr>
          <w:rFonts w:hint="eastAsia" w:ascii="宋体" w:hAnsi="宋体" w:cs="宋体"/>
          <w:color w:val="auto"/>
          <w:sz w:val="24"/>
          <w:highlight w:val="none"/>
        </w:rPr>
        <w:t>监测仪器进行标准膜检查或K0值检查，超过国家相关规范要求时，及时进行校准或维修；</w:t>
      </w:r>
    </w:p>
    <w:p w14:paraId="150C1F9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(3)采用臭氧传递标准对空气自动监测站臭氧工作标准进行标准传递；</w:t>
      </w:r>
    </w:p>
    <w:p w14:paraId="0D24BD9F">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4.6每半年工作内容如下：</w:t>
      </w:r>
    </w:p>
    <w:p w14:paraId="558B4777">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(1)对气态污染物监测仪进行多点校准，绘制校准曲线，检验相关系数、斜率和截距；</w:t>
      </w:r>
    </w:p>
    <w:p w14:paraId="5B417DBD">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(2)振荡天平法颗粒物仪器每半年更换一次主路过滤器滤芯、旁路过滤器滤芯和气水分离器滤芯，污染较重时应及时更换滤芯；</w:t>
      </w:r>
    </w:p>
    <w:p w14:paraId="7A81AFDF">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(3)更换零气源净化剂和氧化剂，对零气性能进行检查；</w:t>
      </w:r>
    </w:p>
    <w:p w14:paraId="5C44F3A6">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(4)对氮氧化物监测仪钼炉转化率进行检查。</w:t>
      </w:r>
    </w:p>
    <w:p w14:paraId="5C440809">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4.7每年工作内容如下：</w:t>
      </w:r>
    </w:p>
    <w:p w14:paraId="38F52E37">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（1）按照仪器说明书对动态校准仪流量进行多点检查。</w:t>
      </w:r>
    </w:p>
    <w:p w14:paraId="30FAD1DE">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（2）对所有的仪器（包括采样泵）进行预防性维护，按说明书的要求更换备件。</w:t>
      </w:r>
    </w:p>
    <w:p w14:paraId="2151FBFB">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4.8日常运维其他相关要求如下：</w:t>
      </w:r>
    </w:p>
    <w:p w14:paraId="613C86DA">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(1)每周更换的气态污染物监测仪器所用滤膜，必须为聚四氟乙烯材质；</w:t>
      </w:r>
    </w:p>
    <w:p w14:paraId="6A0E3BA6">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(2)应及时制定每月工作计划并将进出空气自动监测站的具体日期上报徐州市新沂生态环境局备案，并严格按计划执行，若有变更或临时突发情况处理等应及时上报徐州市新沂生态环境局备案。</w:t>
      </w:r>
    </w:p>
    <w:p w14:paraId="3F134312">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运维单位保证满足生态环境部门对空气自动监测站仪器设备故障的响应时间要求，当仪器设备每日5时～23时出现故障，应在2小时之内响应，4小时内到达现场解决（通信线路、电力线路故障除外，但应及时与相关部门联系积极解决）。若仪器故障无法排除，运维单位必须在24小时内提供并更换相应的备机，保证自动站正常运行。</w:t>
      </w:r>
    </w:p>
    <w:p w14:paraId="6100D55D">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(4)当仪器损坏不能修复时，应在24小时之内使用备机开展监测，并同时报告徐州市新沂生态环境局，徐州市新沂生态环境局组织确认仪器损坏情况及原因，酌情处理。</w:t>
      </w:r>
    </w:p>
    <w:p w14:paraId="78064A17">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仪器报废后（包括使用超过8年导致，或因洪水、地震、台风、站房外部火灾、爆炸、恐怖袭击、武装冲突、蓄意破坏等不可抗力导致），运维单位须先行及时使用备机开展监测，同时报告徐州市新沂生态环境局。</w:t>
      </w:r>
    </w:p>
    <w:p w14:paraId="2455577B">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(6)严禁擅自改变采样管路连接方式和更改仪器参数设置。</w:t>
      </w:r>
    </w:p>
    <w:p w14:paraId="7909DEB9">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4.9质量控制要求</w:t>
      </w:r>
    </w:p>
    <w:p w14:paraId="0AB265A2">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运维单位需认真落实质量管理制度，建立完善的运行维护工作质量管理体系，安排专职质量控制管理人员。</w:t>
      </w:r>
    </w:p>
    <w:p w14:paraId="78F1A63B">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（1）量值溯源要求</w:t>
      </w:r>
    </w:p>
    <w:p w14:paraId="69830FFB">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p>
    <w:p w14:paraId="6408F569">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运维单位应每年将空气自动监测站运维所用的流量计、温度计、气压计、湿度计等质控设备送检，并取得计量部门颁发的合格证书，并根据业主要求定期开展核查工作。每年将空气自动监测站所用的臭氧标准为徐州市新沂生态环境局提供的标准设备进行溯源，性能指标均应符合要求。</w:t>
      </w:r>
    </w:p>
    <w:p w14:paraId="46BBA632">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（2）日常质量控制要求</w:t>
      </w:r>
    </w:p>
    <w:p w14:paraId="27E398F8">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监测仪在以下情况下需进行校准：</w:t>
      </w:r>
    </w:p>
    <w:p w14:paraId="61701C89">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①安装时</w:t>
      </w:r>
    </w:p>
    <w:p w14:paraId="2503A7B0">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②移动位置时</w:t>
      </w:r>
    </w:p>
    <w:p w14:paraId="1844BE57">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③进行可能影响校准结果的维修或维护后</w:t>
      </w:r>
    </w:p>
    <w:p w14:paraId="2046DA50">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④监测仪暂停工作一段时间后</w:t>
      </w:r>
    </w:p>
    <w:p w14:paraId="5931E635">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⑤有迹象表明监测仪工作不正常或校准结果出现变化</w:t>
      </w:r>
    </w:p>
    <w:p w14:paraId="6A597377">
      <w:pPr>
        <w:tabs>
          <w:tab w:val="left" w:pos="99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⑥超过国家规范或本招标文件要求的校准周期或校准要求的。</w:t>
      </w:r>
    </w:p>
    <w:p w14:paraId="04AF91DF">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（3）质量检查</w:t>
      </w:r>
    </w:p>
    <w:p w14:paraId="5E7BD23B">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运维单位必须接受徐州市新沂生态环境局及其委托单位和人员的质量检查。</w:t>
      </w:r>
    </w:p>
    <w:p w14:paraId="4F3D0071">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4.10系统设备维修要求</w:t>
      </w:r>
    </w:p>
    <w:p w14:paraId="7246D52D">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（1）维修更换工作要求</w:t>
      </w:r>
    </w:p>
    <w:p w14:paraId="226D0F4B">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运维单位负责系统所有设备和仪器的维护、维修和部件更换（包括空调设备等附属设施），并将维修费用计算在运维报价中。本服务内容同样包括由于外部原因意外丢失和损坏设备的更换或维修。</w:t>
      </w:r>
    </w:p>
    <w:p w14:paraId="4CF0721C">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（2）设备维修质量控制要求</w:t>
      </w:r>
    </w:p>
    <w:p w14:paraId="3F56690C">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监测仪器修复后，当其监测性能受到影响时，采用关键参数检查、标气测定、颗粒物流量测定、标准膜测试、标准样品测试或手工比对等方法进行测试。</w:t>
      </w:r>
    </w:p>
    <w:p w14:paraId="7108D922">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仪器大修后，气态污染监测设备应按顺序开展零点漂移和量程漂移测试、精密度及准确度测试、多点线性测试；颗粒物监测设备应开展手工比对测试，测试应严格按照《环境空气颗粒物（PM</w:t>
      </w:r>
      <w:r>
        <w:rPr>
          <w:rFonts w:hint="eastAsia" w:ascii="宋体" w:hAnsi="宋体" w:cs="宋体"/>
          <w:color w:val="auto"/>
          <w:sz w:val="24"/>
          <w:highlight w:val="none"/>
          <w:vertAlign w:val="subscript"/>
        </w:rPr>
        <w:t>10</w:t>
      </w:r>
      <w:r>
        <w:rPr>
          <w:rFonts w:hint="eastAsia" w:ascii="宋体" w:hAnsi="宋体" w:cs="宋体"/>
          <w:color w:val="auto"/>
          <w:sz w:val="24"/>
          <w:highlight w:val="none"/>
        </w:rPr>
        <w:t>和PM</w:t>
      </w:r>
      <w:r>
        <w:rPr>
          <w:rFonts w:hint="eastAsia" w:ascii="宋体" w:hAnsi="宋体" w:cs="宋体"/>
          <w:color w:val="auto"/>
          <w:sz w:val="24"/>
          <w:highlight w:val="none"/>
          <w:vertAlign w:val="subscript"/>
        </w:rPr>
        <w:t>2.5</w:t>
      </w:r>
      <w:r>
        <w:rPr>
          <w:rFonts w:hint="eastAsia" w:ascii="宋体" w:hAnsi="宋体" w:cs="宋体"/>
          <w:color w:val="auto"/>
          <w:sz w:val="24"/>
          <w:highlight w:val="none"/>
        </w:rPr>
        <w:t>）连续自动监测系统运行和质控技术规范》(HJ 817-2018）中准确度审核要求实施，并遵守《环境空气颗粒物(PM</w:t>
      </w:r>
      <w:r>
        <w:rPr>
          <w:rFonts w:hint="eastAsia" w:ascii="宋体" w:hAnsi="宋体" w:cs="宋体"/>
          <w:color w:val="auto"/>
          <w:sz w:val="24"/>
          <w:highlight w:val="none"/>
          <w:vertAlign w:val="subscript"/>
        </w:rPr>
        <w:t>2.5</w:t>
      </w:r>
      <w:r>
        <w:rPr>
          <w:rFonts w:hint="eastAsia" w:ascii="宋体" w:hAnsi="宋体" w:cs="宋体"/>
          <w:color w:val="auto"/>
          <w:sz w:val="24"/>
          <w:highlight w:val="none"/>
        </w:rPr>
        <w:t>)手工监测方法(重量法)技术规范》（HJ 656-2013）、《环境空气中PM</w:t>
      </w:r>
      <w:r>
        <w:rPr>
          <w:rFonts w:hint="eastAsia" w:ascii="宋体" w:hAnsi="宋体" w:cs="宋体"/>
          <w:color w:val="auto"/>
          <w:sz w:val="24"/>
          <w:highlight w:val="none"/>
          <w:vertAlign w:val="subscript"/>
        </w:rPr>
        <w:t>10</w:t>
      </w:r>
      <w:r>
        <w:rPr>
          <w:rFonts w:hint="eastAsia" w:ascii="宋体" w:hAnsi="宋体" w:cs="宋体"/>
          <w:color w:val="auto"/>
          <w:sz w:val="24"/>
          <w:highlight w:val="none"/>
        </w:rPr>
        <w:t>和PM</w:t>
      </w:r>
      <w:r>
        <w:rPr>
          <w:rFonts w:hint="eastAsia" w:ascii="宋体" w:hAnsi="宋体" w:cs="宋体"/>
          <w:color w:val="auto"/>
          <w:sz w:val="24"/>
          <w:highlight w:val="none"/>
          <w:vertAlign w:val="subscript"/>
        </w:rPr>
        <w:t>2.5</w:t>
      </w:r>
      <w:r>
        <w:rPr>
          <w:rFonts w:hint="eastAsia" w:ascii="宋体" w:hAnsi="宋体" w:cs="宋体"/>
          <w:color w:val="auto"/>
          <w:sz w:val="24"/>
          <w:highlight w:val="none"/>
        </w:rPr>
        <w:t>的测定 重量法》（HJ 618-2011）和《环境空气质量手工监测技术规范》（HJ 194-2017）等相关规范要求，同时提交相应报告。</w:t>
      </w:r>
    </w:p>
    <w:p w14:paraId="7B7EDD24">
      <w:pPr>
        <w:keepNext/>
        <w:keepLines/>
        <w:spacing w:before="280" w:after="290"/>
        <w:ind w:firstLine="480"/>
        <w:outlineLvl w:val="3"/>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5.监督管理</w:t>
      </w:r>
    </w:p>
    <w:p w14:paraId="4CF6AE94">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（1）数据必须真实有效，投标人近3年内，在环境监测服务活动中必须没有弄虚作假行为</w:t>
      </w:r>
      <w:r>
        <w:rPr>
          <w:rFonts w:hint="eastAsia" w:ascii="宋体" w:hAnsi="宋体" w:cs="宋体"/>
          <w:b/>
          <w:bCs/>
          <w:color w:val="auto"/>
          <w:sz w:val="24"/>
          <w:highlight w:val="none"/>
        </w:rPr>
        <w:t>（请投标人根据本单位实际情况咨询承诺，若有不实，按提供虚假资料处理，投标及中标无效，且不予退还投标保证金并承担相关法律责任）</w:t>
      </w:r>
    </w:p>
    <w:p w14:paraId="2E945163">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（2）投标人应承担监测数据的保密责任，不得利用本项目的数据、档案或有关资料对外开展技术交流、业务联系、数据交换等。否则，徐州市新沂生态环境局有权终止合同。</w:t>
      </w:r>
    </w:p>
    <w:p w14:paraId="0B0312D8">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（3）运维期间出现调整数据、修改参数、改动设备、质控结果与平台采集结果不一致、弄虚作假等违规行为的，一经查实徐州市新沂生态环境局有权终止运维合同。</w:t>
      </w:r>
    </w:p>
    <w:p w14:paraId="0FF68DB6">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（4）徐州市新沂生态环境局不定期组织开展对</w:t>
      </w:r>
      <w:r>
        <w:rPr>
          <w:rFonts w:ascii="宋体" w:hAnsi="宋体" w:cs="宋体"/>
          <w:color w:val="auto"/>
          <w:sz w:val="24"/>
          <w:highlight w:val="none"/>
        </w:rPr>
        <w:t>仪器设备</w:t>
      </w:r>
      <w:r>
        <w:rPr>
          <w:rFonts w:hint="eastAsia" w:ascii="宋体" w:hAnsi="宋体" w:cs="宋体"/>
          <w:color w:val="auto"/>
          <w:sz w:val="24"/>
          <w:highlight w:val="none"/>
        </w:rPr>
        <w:t>运行和故障</w:t>
      </w:r>
      <w:r>
        <w:rPr>
          <w:rFonts w:ascii="宋体" w:hAnsi="宋体" w:cs="宋体"/>
          <w:color w:val="auto"/>
          <w:sz w:val="24"/>
          <w:highlight w:val="none"/>
        </w:rPr>
        <w:t>情况处置情况等开展核查，</w:t>
      </w:r>
      <w:r>
        <w:rPr>
          <w:rFonts w:hint="eastAsia" w:ascii="宋体" w:hAnsi="宋体" w:cs="宋体"/>
          <w:color w:val="auto"/>
          <w:sz w:val="24"/>
          <w:highlight w:val="none"/>
        </w:rPr>
        <w:t>核查发现运维</w:t>
      </w:r>
      <w:r>
        <w:rPr>
          <w:rFonts w:ascii="宋体" w:hAnsi="宋体" w:cs="宋体"/>
          <w:color w:val="auto"/>
          <w:sz w:val="24"/>
          <w:highlight w:val="none"/>
        </w:rPr>
        <w:t>单位</w:t>
      </w:r>
      <w:r>
        <w:rPr>
          <w:rFonts w:hint="eastAsia" w:ascii="宋体" w:hAnsi="宋体" w:cs="宋体"/>
          <w:color w:val="auto"/>
          <w:sz w:val="24"/>
          <w:highlight w:val="none"/>
        </w:rPr>
        <w:t>多次出现设备长期故障不运行情况，</w:t>
      </w:r>
      <w:r>
        <w:rPr>
          <w:rFonts w:ascii="宋体" w:hAnsi="宋体" w:cs="宋体"/>
          <w:color w:val="auto"/>
          <w:sz w:val="24"/>
          <w:highlight w:val="none"/>
        </w:rPr>
        <w:t>采购人有权单方取消合同</w:t>
      </w:r>
      <w:r>
        <w:rPr>
          <w:rFonts w:hint="eastAsia" w:ascii="宋体" w:hAnsi="宋体" w:cs="宋体"/>
          <w:color w:val="auto"/>
          <w:sz w:val="24"/>
          <w:highlight w:val="none"/>
        </w:rPr>
        <w:t>。</w:t>
      </w:r>
    </w:p>
    <w:p w14:paraId="00A73D29">
      <w:pPr>
        <w:tabs>
          <w:tab w:val="left" w:pos="22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（5）运维期间如有发现违反江苏省空气自动站管理办法等违规行为的，一经查实，徐州市新沂生态环境局有权终止运维合同。</w:t>
      </w:r>
    </w:p>
    <w:p w14:paraId="2AE210A8">
      <w:pPr>
        <w:tabs>
          <w:tab w:val="left" w:pos="2280"/>
        </w:tabs>
        <w:spacing w:line="360" w:lineRule="auto"/>
        <w:ind w:firstLine="480"/>
        <w:rPr>
          <w:rFonts w:hint="eastAsia" w:ascii="宋体" w:hAnsi="宋体" w:cs="宋体"/>
          <w:color w:val="auto"/>
          <w:kern w:val="2"/>
          <w:sz w:val="24"/>
          <w:highlight w:val="none"/>
        </w:rPr>
      </w:pPr>
      <w:r>
        <w:rPr>
          <w:rFonts w:hint="eastAsia" w:ascii="宋体" w:hAnsi="宋体" w:cs="宋体"/>
          <w:color w:val="auto"/>
          <w:sz w:val="24"/>
          <w:highlight w:val="none"/>
        </w:rPr>
        <w:t>（6）项目服务结束后15日内，运维单位需向徐州市新沂生态环境局提供预验收报告一份，徐州市新沂生态环境局成立验收小组对运维单位履约情况进行验收。</w:t>
      </w:r>
    </w:p>
    <w:p w14:paraId="3DA5D0CD">
      <w:pPr>
        <w:tabs>
          <w:tab w:val="left" w:pos="2280"/>
        </w:tabs>
        <w:spacing w:line="360" w:lineRule="auto"/>
        <w:rPr>
          <w:rFonts w:hint="eastAsia" w:ascii="宋体" w:hAnsi="宋体" w:cs="宋体"/>
          <w:b/>
          <w:bCs/>
          <w:color w:val="auto"/>
          <w:sz w:val="24"/>
          <w:highlight w:val="none"/>
          <w:lang w:val="zh-CN"/>
        </w:rPr>
      </w:pPr>
      <w:bookmarkStart w:id="6" w:name="_Toc455153194"/>
      <w:bookmarkStart w:id="7" w:name="_Toc150187123"/>
      <w:r>
        <w:rPr>
          <w:rFonts w:hint="eastAsia" w:ascii="宋体" w:hAnsi="宋体" w:cs="宋体"/>
          <w:b/>
          <w:bCs/>
          <w:color w:val="auto"/>
          <w:sz w:val="24"/>
          <w:highlight w:val="none"/>
        </w:rPr>
        <w:t>五、</w:t>
      </w:r>
      <w:bookmarkEnd w:id="6"/>
      <w:bookmarkEnd w:id="7"/>
      <w:r>
        <w:rPr>
          <w:rFonts w:hint="eastAsia" w:ascii="宋体" w:hAnsi="宋体" w:cs="宋体"/>
          <w:b/>
          <w:bCs/>
          <w:color w:val="auto"/>
          <w:sz w:val="24"/>
          <w:highlight w:val="none"/>
          <w:lang w:val="zh-CN"/>
        </w:rPr>
        <w:t>其他要求:</w:t>
      </w:r>
    </w:p>
    <w:p w14:paraId="1D4830AA">
      <w:pPr>
        <w:jc w:val="left"/>
        <w:rPr>
          <w:rFonts w:hint="eastAsia" w:ascii="宋体" w:hAnsi="宋体" w:cs="宋体"/>
          <w:color w:val="auto"/>
          <w:sz w:val="24"/>
          <w:highlight w:val="none"/>
          <w:lang w:val="zh-CN"/>
        </w:rPr>
      </w:pPr>
    </w:p>
    <w:p w14:paraId="757FA001">
      <w:pPr>
        <w:spacing w:line="360" w:lineRule="auto"/>
        <w:ind w:firstLine="482"/>
        <w:jc w:val="left"/>
        <w:rPr>
          <w:rFonts w:hint="eastAsia" w:ascii="宋体" w:hAnsi="宋体" w:cs="宋体"/>
          <w:b/>
          <w:color w:val="auto"/>
          <w:sz w:val="24"/>
          <w:highlight w:val="none"/>
        </w:rPr>
      </w:pPr>
      <w:r>
        <w:rPr>
          <w:rFonts w:hint="eastAsia" w:ascii="宋体" w:hAnsi="宋体" w:cs="宋体"/>
          <w:color w:val="auto"/>
          <w:sz w:val="24"/>
          <w:highlight w:val="none"/>
          <w:lang w:val="zh-CN"/>
        </w:rPr>
        <w:t>见</w:t>
      </w:r>
      <w:r>
        <w:rPr>
          <w:rFonts w:hint="eastAsia" w:ascii="宋体" w:hAnsi="宋体" w:cs="宋体"/>
          <w:color w:val="auto"/>
          <w:sz w:val="24"/>
          <w:highlight w:val="none"/>
        </w:rPr>
        <w:t>磋商</w:t>
      </w:r>
      <w:r>
        <w:rPr>
          <w:rFonts w:hint="eastAsia" w:ascii="宋体" w:hAnsi="宋体" w:cs="宋体"/>
          <w:color w:val="auto"/>
          <w:sz w:val="24"/>
          <w:highlight w:val="none"/>
          <w:lang w:val="zh-CN"/>
        </w:rPr>
        <w:t>文件《拟签订的合同文本》。</w:t>
      </w:r>
    </w:p>
    <w:p w14:paraId="3C2A33AF">
      <w:pPr>
        <w:spacing w:line="360" w:lineRule="auto"/>
        <w:ind w:firstLine="482"/>
        <w:jc w:val="left"/>
        <w:rPr>
          <w:rFonts w:hint="eastAsia" w:ascii="宋体" w:hAnsi="宋体" w:cs="宋体"/>
          <w:b/>
          <w:color w:val="auto"/>
          <w:sz w:val="24"/>
          <w:highlight w:val="none"/>
        </w:rPr>
      </w:pPr>
    </w:p>
    <w:p w14:paraId="3A0D9B03">
      <w:pPr>
        <w:spacing w:line="360" w:lineRule="auto"/>
        <w:ind w:firstLine="482"/>
        <w:jc w:val="left"/>
        <w:rPr>
          <w:rFonts w:hint="eastAsia" w:ascii="宋体" w:hAnsi="宋体" w:cs="宋体"/>
          <w:b/>
          <w:color w:val="auto"/>
          <w:sz w:val="24"/>
          <w:highlight w:val="none"/>
        </w:rPr>
      </w:pPr>
    </w:p>
    <w:p w14:paraId="3700A525">
      <w:pPr>
        <w:spacing w:line="360" w:lineRule="auto"/>
        <w:ind w:firstLine="482"/>
        <w:jc w:val="left"/>
        <w:rPr>
          <w:rFonts w:hint="eastAsia" w:ascii="宋体" w:hAnsi="宋体" w:cs="宋体"/>
          <w:b/>
          <w:color w:val="auto"/>
          <w:sz w:val="24"/>
          <w:highlight w:val="none"/>
        </w:rPr>
      </w:pPr>
    </w:p>
    <w:p w14:paraId="2ECC5B3A">
      <w:pPr>
        <w:spacing w:line="360" w:lineRule="auto"/>
        <w:ind w:firstLine="482"/>
        <w:jc w:val="left"/>
        <w:rPr>
          <w:rFonts w:hint="eastAsia" w:ascii="宋体" w:hAnsi="宋体" w:cs="宋体"/>
          <w:b/>
          <w:color w:val="auto"/>
          <w:sz w:val="24"/>
          <w:highlight w:val="none"/>
        </w:rPr>
      </w:pPr>
    </w:p>
    <w:p w14:paraId="70D4914A">
      <w:pPr>
        <w:spacing w:line="360" w:lineRule="auto"/>
        <w:ind w:firstLine="482"/>
        <w:jc w:val="left"/>
        <w:rPr>
          <w:rFonts w:hint="eastAsia" w:ascii="宋体" w:hAnsi="宋体" w:cs="宋体"/>
          <w:b/>
          <w:color w:val="auto"/>
          <w:sz w:val="24"/>
          <w:highlight w:val="none"/>
        </w:rPr>
      </w:pPr>
    </w:p>
    <w:p w14:paraId="25D6C031">
      <w:pPr>
        <w:spacing w:line="360" w:lineRule="auto"/>
        <w:ind w:firstLine="482"/>
        <w:jc w:val="left"/>
        <w:rPr>
          <w:rFonts w:hint="eastAsia" w:ascii="宋体" w:hAnsi="宋体" w:cs="宋体"/>
          <w:b/>
          <w:color w:val="auto"/>
          <w:sz w:val="24"/>
          <w:highlight w:val="none"/>
        </w:rPr>
      </w:pPr>
    </w:p>
    <w:p w14:paraId="3A97D877">
      <w:pPr>
        <w:spacing w:line="360" w:lineRule="auto"/>
        <w:jc w:val="center"/>
        <w:rPr>
          <w:rFonts w:hint="eastAsia" w:ascii="宋体" w:hAnsi="宋体" w:cs="宋体"/>
          <w:b/>
          <w:color w:val="auto"/>
          <w:sz w:val="36"/>
          <w:highlight w:val="none"/>
        </w:rPr>
      </w:pPr>
    </w:p>
    <w:p w14:paraId="6E581DB3">
      <w:pPr>
        <w:spacing w:line="360" w:lineRule="auto"/>
        <w:jc w:val="center"/>
        <w:rPr>
          <w:rFonts w:hint="eastAsia" w:ascii="宋体" w:hAnsi="宋体" w:cs="宋体"/>
          <w:b/>
          <w:color w:val="auto"/>
          <w:sz w:val="36"/>
          <w:highlight w:val="none"/>
        </w:rPr>
      </w:pPr>
    </w:p>
    <w:p w14:paraId="45785F60">
      <w:pPr>
        <w:spacing w:line="360" w:lineRule="auto"/>
        <w:rPr>
          <w:rFonts w:hint="eastAsia" w:ascii="宋体" w:hAnsi="宋体" w:cs="宋体"/>
          <w:b/>
          <w:color w:val="auto"/>
          <w:sz w:val="36"/>
          <w:highlight w:val="none"/>
        </w:rPr>
      </w:pPr>
    </w:p>
    <w:p w14:paraId="35EFCFC0">
      <w:pPr>
        <w:spacing w:line="360" w:lineRule="auto"/>
        <w:jc w:val="center"/>
        <w:rPr>
          <w:rFonts w:hint="eastAsia" w:ascii="宋体" w:hAnsi="宋体" w:cs="宋体"/>
          <w:b/>
          <w:color w:val="auto"/>
          <w:sz w:val="36"/>
          <w:highlight w:val="none"/>
        </w:rPr>
      </w:pPr>
    </w:p>
    <w:p w14:paraId="4C01C57A">
      <w:pPr>
        <w:spacing w:line="360" w:lineRule="auto"/>
        <w:jc w:val="center"/>
        <w:rPr>
          <w:rFonts w:hint="eastAsia" w:ascii="宋体" w:hAnsi="宋体" w:cs="宋体"/>
          <w:b/>
          <w:color w:val="auto"/>
          <w:sz w:val="36"/>
          <w:highlight w:val="none"/>
        </w:rPr>
      </w:pPr>
    </w:p>
    <w:p w14:paraId="7B01B328">
      <w:pPr>
        <w:rPr>
          <w:rFonts w:hint="eastAsia" w:ascii="宋体" w:hAnsi="宋体" w:cs="宋体"/>
          <w:b/>
          <w:color w:val="auto"/>
          <w:sz w:val="36"/>
          <w:highlight w:val="none"/>
        </w:rPr>
      </w:pPr>
      <w:r>
        <w:rPr>
          <w:rFonts w:hint="eastAsia" w:ascii="宋体" w:hAnsi="宋体" w:cs="宋体"/>
          <w:b/>
          <w:color w:val="auto"/>
          <w:sz w:val="36"/>
          <w:highlight w:val="none"/>
        </w:rPr>
        <w:br w:type="page"/>
      </w:r>
    </w:p>
    <w:p w14:paraId="0B42FD92">
      <w:pPr>
        <w:spacing w:line="360" w:lineRule="auto"/>
        <w:jc w:val="center"/>
        <w:rPr>
          <w:rFonts w:hint="eastAsia" w:ascii="宋体" w:hAnsi="宋体" w:cs="宋体"/>
          <w:b/>
          <w:bCs/>
          <w:color w:val="auto"/>
          <w:sz w:val="36"/>
          <w:highlight w:val="none"/>
        </w:rPr>
      </w:pPr>
      <w:r>
        <w:rPr>
          <w:rFonts w:hint="eastAsia" w:ascii="宋体" w:hAnsi="宋体" w:cs="宋体"/>
          <w:b/>
          <w:color w:val="auto"/>
          <w:sz w:val="36"/>
          <w:highlight w:val="none"/>
        </w:rPr>
        <w:t>3、磋商</w:t>
      </w:r>
      <w:r>
        <w:rPr>
          <w:rFonts w:hint="eastAsia" w:ascii="宋体" w:hAnsi="宋体" w:cs="宋体"/>
          <w:b/>
          <w:bCs/>
          <w:color w:val="auto"/>
          <w:sz w:val="36"/>
          <w:highlight w:val="none"/>
        </w:rPr>
        <w:t>报价表</w:t>
      </w:r>
    </w:p>
    <w:p w14:paraId="24067D38">
      <w:pPr>
        <w:spacing w:line="360" w:lineRule="auto"/>
        <w:rPr>
          <w:rFonts w:hint="eastAsia" w:ascii="宋体" w:hAnsi="宋体" w:cs="宋体"/>
          <w:color w:val="auto"/>
          <w:sz w:val="24"/>
          <w:highlight w:val="none"/>
        </w:rPr>
      </w:pPr>
      <w:r>
        <w:rPr>
          <w:rFonts w:hint="eastAsia" w:ascii="宋体" w:hAnsi="宋体" w:cs="宋体"/>
          <w:color w:val="auto"/>
          <w:sz w:val="24"/>
          <w:highlight w:val="none"/>
        </w:rPr>
        <w:t>项目名称：2026年新沂市乡镇（街道）网格化空气自动监测站运行维护</w:t>
      </w:r>
    </w:p>
    <w:p w14:paraId="27FE8325">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JSZC-320381-ZXGL-C2026-0004</w:t>
      </w:r>
    </w:p>
    <w:p w14:paraId="69F9E5F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本次为首次报价</w:t>
      </w:r>
    </w:p>
    <w:p w14:paraId="32F78E5E">
      <w:pPr>
        <w:spacing w:line="360" w:lineRule="auto"/>
        <w:ind w:firstLine="3360"/>
        <w:jc w:val="right"/>
        <w:rPr>
          <w:rFonts w:hint="eastAsia" w:ascii="宋体" w:hAnsi="宋体" w:cs="宋体"/>
          <w:color w:val="auto"/>
          <w:sz w:val="24"/>
          <w:highlight w:val="none"/>
        </w:rPr>
      </w:pPr>
      <w:r>
        <w:rPr>
          <w:rFonts w:hint="eastAsia" w:ascii="宋体" w:hAnsi="宋体" w:cs="宋体"/>
          <w:color w:val="auto"/>
          <w:sz w:val="24"/>
          <w:highlight w:val="none"/>
        </w:rPr>
        <w:t>货币单位：人民币元</w:t>
      </w:r>
    </w:p>
    <w:tbl>
      <w:tblPr>
        <w:tblStyle w:val="52"/>
        <w:tblW w:w="9334"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
      <w:tblGrid>
        <w:gridCol w:w="3641"/>
        <w:gridCol w:w="2700"/>
        <w:gridCol w:w="2993"/>
      </w:tblGrid>
      <w:tr w14:paraId="08F5818C">
        <w:tblPrEx>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CellMar>
            <w:top w:w="0" w:type="dxa"/>
            <w:left w:w="108" w:type="dxa"/>
            <w:bottom w:w="0" w:type="dxa"/>
            <w:right w:w="108" w:type="dxa"/>
          </w:tblCellMar>
        </w:tblPrEx>
        <w:trPr>
          <w:cantSplit/>
          <w:trHeight w:val="752" w:hRule="atLeast"/>
          <w:jc w:val="center"/>
        </w:trPr>
        <w:tc>
          <w:tcPr>
            <w:tcW w:w="3641" w:type="dxa"/>
            <w:tcBorders>
              <w:top w:val="single" w:color="000000" w:sz="6" w:space="0"/>
              <w:left w:val="single" w:color="000000" w:sz="6" w:space="0"/>
              <w:bottom w:val="single" w:color="000000" w:sz="2" w:space="0"/>
              <w:right w:val="single" w:color="000000" w:sz="2" w:space="0"/>
            </w:tcBorders>
            <w:vAlign w:val="center"/>
          </w:tcPr>
          <w:p w14:paraId="5E1D85FC">
            <w:pPr>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2700" w:type="dxa"/>
            <w:tcBorders>
              <w:top w:val="single" w:color="000000" w:sz="6" w:space="0"/>
              <w:left w:val="single" w:color="000000" w:sz="2" w:space="0"/>
              <w:bottom w:val="single" w:color="000000" w:sz="2" w:space="0"/>
              <w:right w:val="single" w:color="000000" w:sz="2" w:space="0"/>
            </w:tcBorders>
            <w:vAlign w:val="center"/>
          </w:tcPr>
          <w:p w14:paraId="2DAA0C95">
            <w:pPr>
              <w:jc w:val="center"/>
              <w:rPr>
                <w:rFonts w:hint="eastAsia" w:ascii="宋体" w:hAnsi="宋体" w:cs="宋体"/>
                <w:color w:val="auto"/>
                <w:sz w:val="24"/>
                <w:highlight w:val="none"/>
              </w:rPr>
            </w:pPr>
            <w:r>
              <w:rPr>
                <w:rFonts w:hint="eastAsia" w:ascii="宋体" w:hAnsi="宋体" w:cs="宋体"/>
                <w:color w:val="auto"/>
                <w:sz w:val="24"/>
                <w:highlight w:val="none"/>
              </w:rPr>
              <w:t>项目内容</w:t>
            </w:r>
          </w:p>
        </w:tc>
        <w:tc>
          <w:tcPr>
            <w:tcW w:w="2993" w:type="dxa"/>
            <w:tcBorders>
              <w:top w:val="single" w:color="000000" w:sz="6" w:space="0"/>
              <w:left w:val="single" w:color="000000" w:sz="2" w:space="0"/>
              <w:bottom w:val="single" w:color="000000" w:sz="2" w:space="0"/>
              <w:right w:val="single" w:color="000000" w:sz="2" w:space="0"/>
            </w:tcBorders>
            <w:vAlign w:val="center"/>
          </w:tcPr>
          <w:p w14:paraId="6FB18984">
            <w:pPr>
              <w:jc w:val="center"/>
              <w:rPr>
                <w:rFonts w:hint="eastAsia" w:ascii="宋体" w:hAnsi="宋体" w:cs="宋体"/>
                <w:color w:val="auto"/>
                <w:sz w:val="24"/>
                <w:highlight w:val="none"/>
              </w:rPr>
            </w:pPr>
            <w:r>
              <w:rPr>
                <w:rFonts w:hint="eastAsia" w:ascii="宋体" w:hAnsi="宋体" w:cs="宋体"/>
                <w:color w:val="auto"/>
                <w:sz w:val="24"/>
                <w:highlight w:val="none"/>
              </w:rPr>
              <w:t>总价（小写）</w:t>
            </w:r>
          </w:p>
        </w:tc>
      </w:tr>
      <w:tr w14:paraId="32353E3C">
        <w:tblPrEx>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CellMar>
            <w:top w:w="0" w:type="dxa"/>
            <w:left w:w="108" w:type="dxa"/>
            <w:bottom w:w="0" w:type="dxa"/>
            <w:right w:w="108" w:type="dxa"/>
          </w:tblCellMar>
        </w:tblPrEx>
        <w:trPr>
          <w:cantSplit/>
          <w:trHeight w:val="899" w:hRule="atLeast"/>
          <w:jc w:val="center"/>
        </w:trPr>
        <w:tc>
          <w:tcPr>
            <w:tcW w:w="3641" w:type="dxa"/>
            <w:tcBorders>
              <w:top w:val="single" w:color="000000" w:sz="2" w:space="0"/>
              <w:left w:val="single" w:color="000000" w:sz="6" w:space="0"/>
              <w:right w:val="single" w:color="000000" w:sz="2" w:space="0"/>
            </w:tcBorders>
            <w:vAlign w:val="center"/>
          </w:tcPr>
          <w:p w14:paraId="4D777D40">
            <w:pPr>
              <w:jc w:val="center"/>
              <w:rPr>
                <w:rFonts w:hint="eastAsia" w:ascii="宋体" w:hAnsi="宋体" w:cs="宋体"/>
                <w:color w:val="auto"/>
                <w:sz w:val="24"/>
                <w:highlight w:val="none"/>
              </w:rPr>
            </w:pPr>
            <w:r>
              <w:rPr>
                <w:rFonts w:hint="eastAsia" w:ascii="宋体" w:hAnsi="宋体" w:cs="宋体"/>
                <w:color w:val="auto"/>
                <w:sz w:val="24"/>
                <w:highlight w:val="none"/>
              </w:rPr>
              <w:t>2026年新沂市乡镇（街道）网格化空气自动监测站运行维护</w:t>
            </w:r>
          </w:p>
        </w:tc>
        <w:tc>
          <w:tcPr>
            <w:tcW w:w="2700" w:type="dxa"/>
            <w:tcBorders>
              <w:top w:val="single" w:color="000000" w:sz="2" w:space="0"/>
              <w:left w:val="single" w:color="000000" w:sz="2" w:space="0"/>
              <w:right w:val="single" w:color="000000" w:sz="2" w:space="0"/>
            </w:tcBorders>
            <w:vAlign w:val="center"/>
          </w:tcPr>
          <w:p w14:paraId="7C0CCC39">
            <w:pPr>
              <w:jc w:val="center"/>
              <w:rPr>
                <w:rFonts w:hint="eastAsia" w:ascii="宋体" w:hAnsi="宋体" w:cs="宋体"/>
                <w:color w:val="auto"/>
                <w:sz w:val="24"/>
                <w:highlight w:val="none"/>
              </w:rPr>
            </w:pPr>
            <w:r>
              <w:rPr>
                <w:rFonts w:hint="eastAsia" w:ascii="宋体" w:hAnsi="宋体" w:cs="宋体"/>
                <w:color w:val="auto"/>
                <w:sz w:val="24"/>
                <w:highlight w:val="none"/>
              </w:rPr>
              <w:t>详见</w:t>
            </w:r>
            <w:r>
              <w:rPr>
                <w:rFonts w:hint="eastAsia" w:ascii="宋体" w:hAnsi="宋体" w:cs="宋体"/>
                <w:bCs/>
                <w:color w:val="auto"/>
                <w:sz w:val="24"/>
                <w:highlight w:val="none"/>
              </w:rPr>
              <w:t>响应文件</w:t>
            </w:r>
          </w:p>
        </w:tc>
        <w:tc>
          <w:tcPr>
            <w:tcW w:w="2993" w:type="dxa"/>
            <w:tcBorders>
              <w:top w:val="single" w:color="000000" w:sz="2" w:space="0"/>
              <w:left w:val="single" w:color="000000" w:sz="2" w:space="0"/>
              <w:right w:val="single" w:color="000000" w:sz="2" w:space="0"/>
            </w:tcBorders>
            <w:vAlign w:val="center"/>
          </w:tcPr>
          <w:p w14:paraId="1203ADF5">
            <w:pPr>
              <w:jc w:val="center"/>
              <w:rPr>
                <w:rFonts w:hint="eastAsia" w:ascii="宋体" w:hAnsi="宋体" w:cs="宋体"/>
                <w:color w:val="auto"/>
                <w:sz w:val="24"/>
                <w:highlight w:val="none"/>
              </w:rPr>
            </w:pPr>
          </w:p>
        </w:tc>
      </w:tr>
      <w:tr w14:paraId="6972B6CE">
        <w:tblPrEx>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CellMar>
            <w:top w:w="0" w:type="dxa"/>
            <w:left w:w="108" w:type="dxa"/>
            <w:bottom w:w="0" w:type="dxa"/>
            <w:right w:w="108" w:type="dxa"/>
          </w:tblCellMar>
        </w:tblPrEx>
        <w:trPr>
          <w:cantSplit/>
          <w:trHeight w:val="912" w:hRule="atLeast"/>
          <w:jc w:val="center"/>
        </w:trPr>
        <w:tc>
          <w:tcPr>
            <w:tcW w:w="3641" w:type="dxa"/>
            <w:tcBorders>
              <w:top w:val="single" w:color="000000" w:sz="2" w:space="0"/>
              <w:left w:val="single" w:color="000000" w:sz="6" w:space="0"/>
              <w:bottom w:val="single" w:color="000000" w:sz="2" w:space="0"/>
              <w:right w:val="single" w:color="000000" w:sz="2" w:space="0"/>
            </w:tcBorders>
            <w:vAlign w:val="center"/>
          </w:tcPr>
          <w:p w14:paraId="3FA16069">
            <w:pPr>
              <w:jc w:val="center"/>
              <w:rPr>
                <w:rFonts w:hint="eastAsia" w:ascii="宋体" w:hAnsi="宋体" w:cs="宋体"/>
                <w:color w:val="auto"/>
                <w:sz w:val="24"/>
                <w:highlight w:val="none"/>
              </w:rPr>
            </w:pPr>
            <w:r>
              <w:rPr>
                <w:rFonts w:hint="eastAsia" w:ascii="宋体" w:hAnsi="宋体" w:cs="宋体"/>
                <w:color w:val="auto"/>
                <w:sz w:val="24"/>
                <w:highlight w:val="none"/>
              </w:rPr>
              <w:t>总价（大写）：</w:t>
            </w:r>
          </w:p>
        </w:tc>
        <w:tc>
          <w:tcPr>
            <w:tcW w:w="5693" w:type="dxa"/>
            <w:gridSpan w:val="2"/>
            <w:tcBorders>
              <w:top w:val="single" w:color="000000" w:sz="2" w:space="0"/>
              <w:left w:val="single" w:color="000000" w:sz="2" w:space="0"/>
              <w:bottom w:val="single" w:color="000000" w:sz="2" w:space="0"/>
              <w:right w:val="single" w:color="000000" w:sz="2" w:space="0"/>
            </w:tcBorders>
            <w:vAlign w:val="center"/>
          </w:tcPr>
          <w:p w14:paraId="2CFC631A">
            <w:pPr>
              <w:jc w:val="center"/>
              <w:rPr>
                <w:rFonts w:hint="eastAsia" w:ascii="宋体" w:hAnsi="宋体" w:cs="宋体"/>
                <w:color w:val="auto"/>
                <w:sz w:val="24"/>
                <w:highlight w:val="none"/>
              </w:rPr>
            </w:pPr>
          </w:p>
        </w:tc>
      </w:tr>
    </w:tbl>
    <w:p w14:paraId="70DBFF49">
      <w:pPr>
        <w:spacing w:line="520" w:lineRule="exact"/>
        <w:ind w:right="-340"/>
        <w:rPr>
          <w:rFonts w:hint="eastAsia" w:ascii="宋体" w:hAnsi="宋体" w:cs="宋体"/>
          <w:color w:val="auto"/>
          <w:sz w:val="24"/>
          <w:highlight w:val="none"/>
        </w:rPr>
      </w:pPr>
      <w:r>
        <w:rPr>
          <w:rFonts w:hint="eastAsia" w:ascii="宋体" w:hAnsi="宋体" w:cs="宋体"/>
          <w:color w:val="auto"/>
          <w:sz w:val="24"/>
          <w:highlight w:val="none"/>
        </w:rPr>
        <w:t>供应商承诺：本项目由供应商本企业提供服务。</w:t>
      </w:r>
    </w:p>
    <w:p w14:paraId="42DD766D">
      <w:pPr>
        <w:spacing w:line="360" w:lineRule="auto"/>
        <w:rPr>
          <w:rFonts w:hint="eastAsia" w:ascii="宋体" w:hAnsi="宋体" w:cs="宋体"/>
          <w:color w:val="auto"/>
          <w:sz w:val="24"/>
          <w:highlight w:val="none"/>
        </w:rPr>
      </w:pPr>
    </w:p>
    <w:p w14:paraId="45150472">
      <w:pPr>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供应商报价说明：</w:t>
      </w:r>
    </w:p>
    <w:p w14:paraId="525862E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1、报价包括完成项目的所有费用。采购人不再支付报价以外的任何费用。</w:t>
      </w:r>
    </w:p>
    <w:p w14:paraId="23D626E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2、偏离说明：详见《偏离表》。</w:t>
      </w:r>
    </w:p>
    <w:p w14:paraId="69A0667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3、报价大小写不一致以大写为准。</w:t>
      </w:r>
    </w:p>
    <w:p w14:paraId="498762D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4、如最后报价未列明单价，则最后所报各项单价计算方法为：（最后总价/最初总价）* 各项最初报价的单价。</w:t>
      </w:r>
    </w:p>
    <w:p w14:paraId="69E848EB">
      <w:pPr>
        <w:ind w:firstLine="480"/>
        <w:rPr>
          <w:rFonts w:hint="eastAsia" w:ascii="宋体" w:hAnsi="宋体" w:cs="宋体"/>
          <w:color w:val="auto"/>
          <w:sz w:val="24"/>
          <w:highlight w:val="none"/>
        </w:rPr>
      </w:pPr>
    </w:p>
    <w:p w14:paraId="0F4245A7">
      <w:pPr>
        <w:ind w:firstLine="480"/>
        <w:rPr>
          <w:rFonts w:hint="eastAsia" w:ascii="宋体" w:hAnsi="宋体" w:cs="宋体"/>
          <w:color w:val="auto"/>
          <w:sz w:val="24"/>
          <w:highlight w:val="none"/>
        </w:rPr>
      </w:pPr>
    </w:p>
    <w:p w14:paraId="7C76C8D1">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7403001F">
      <w:pPr>
        <w:spacing w:line="360" w:lineRule="auto"/>
        <w:ind w:right="29"/>
        <w:rPr>
          <w:rFonts w:hint="eastAsia" w:ascii="宋体" w:hAnsi="宋体" w:cs="宋体"/>
          <w:color w:val="auto"/>
          <w:highlight w:val="none"/>
        </w:rPr>
      </w:pPr>
      <w:r>
        <w:rPr>
          <w:rFonts w:hint="eastAsia" w:ascii="宋体" w:hAnsi="宋体" w:cs="宋体"/>
          <w:color w:val="auto"/>
          <w:sz w:val="24"/>
          <w:highlight w:val="none"/>
        </w:rPr>
        <w:t xml:space="preserve">                           日期：</w:t>
      </w:r>
    </w:p>
    <w:p w14:paraId="32288B64">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p>
    <w:p w14:paraId="587844FB">
      <w:pPr>
        <w:spacing w:line="360" w:lineRule="auto"/>
        <w:jc w:val="center"/>
        <w:rPr>
          <w:rFonts w:hint="eastAsia" w:ascii="宋体" w:hAnsi="宋体" w:cs="宋体"/>
          <w:b/>
          <w:bCs/>
          <w:color w:val="auto"/>
          <w:sz w:val="36"/>
          <w:highlight w:val="none"/>
        </w:rPr>
      </w:pPr>
      <w:r>
        <w:rPr>
          <w:rFonts w:hint="eastAsia" w:ascii="宋体" w:hAnsi="宋体" w:cs="宋体"/>
          <w:b/>
          <w:bCs/>
          <w:color w:val="auto"/>
          <w:sz w:val="36"/>
          <w:highlight w:val="none"/>
        </w:rPr>
        <w:t>4、分项价格表</w:t>
      </w:r>
    </w:p>
    <w:p w14:paraId="18FB403B">
      <w:pPr>
        <w:spacing w:line="360" w:lineRule="auto"/>
        <w:outlineLvl w:val="0"/>
        <w:rPr>
          <w:rFonts w:hint="eastAsia" w:ascii="宋体" w:hAnsi="宋体" w:cs="宋体"/>
          <w:color w:val="auto"/>
          <w:sz w:val="24"/>
          <w:highlight w:val="none"/>
        </w:rPr>
      </w:pPr>
      <w:r>
        <w:rPr>
          <w:rFonts w:hint="eastAsia" w:ascii="宋体" w:hAnsi="宋体" w:cs="宋体"/>
          <w:color w:val="auto"/>
          <w:sz w:val="24"/>
          <w:highlight w:val="none"/>
        </w:rPr>
        <w:t>项目名称：2026年新沂市乡镇（街道）网格化空气自动监测站运行维护</w:t>
      </w:r>
    </w:p>
    <w:p w14:paraId="79DBD240">
      <w:pPr>
        <w:spacing w:line="360" w:lineRule="auto"/>
        <w:outlineLvl w:val="0"/>
        <w:rPr>
          <w:rFonts w:hint="eastAsia" w:ascii="宋体" w:hAnsi="宋体" w:cs="宋体"/>
          <w:color w:val="auto"/>
          <w:sz w:val="24"/>
          <w:highlight w:val="none"/>
          <w:u w:val="single"/>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JSZC-320381-ZXGL-C2026-0004</w:t>
      </w:r>
      <w:r>
        <w:rPr>
          <w:rFonts w:hint="eastAsia" w:ascii="宋体" w:hAnsi="宋体" w:cs="宋体"/>
          <w:color w:val="auto"/>
          <w:sz w:val="24"/>
          <w:highlight w:val="none"/>
        </w:rPr>
        <w:t xml:space="preserve">       </w:t>
      </w:r>
    </w:p>
    <w:p w14:paraId="011DD1A6">
      <w:pPr>
        <w:spacing w:line="360" w:lineRule="auto"/>
        <w:rPr>
          <w:rFonts w:hint="eastAsia" w:ascii="宋体" w:hAnsi="宋体" w:cs="宋体"/>
          <w:color w:val="auto"/>
          <w:sz w:val="24"/>
          <w:highlight w:val="none"/>
        </w:rPr>
      </w:pPr>
      <w:r>
        <w:rPr>
          <w:rFonts w:hint="eastAsia" w:ascii="宋体" w:hAnsi="宋体" w:cs="宋体"/>
          <w:color w:val="auto"/>
          <w:sz w:val="24"/>
          <w:highlight w:val="none"/>
        </w:rPr>
        <w:t>本次为首次报价</w:t>
      </w:r>
    </w:p>
    <w:p w14:paraId="70006C19">
      <w:pPr>
        <w:spacing w:line="360" w:lineRule="auto"/>
        <w:ind w:firstLine="6000"/>
        <w:outlineLvl w:val="0"/>
        <w:rPr>
          <w:rFonts w:hint="eastAsia" w:ascii="宋体" w:hAnsi="宋体" w:cs="宋体"/>
          <w:color w:val="auto"/>
          <w:sz w:val="24"/>
          <w:highlight w:val="none"/>
        </w:rPr>
      </w:pPr>
      <w:r>
        <w:rPr>
          <w:rFonts w:hint="eastAsia" w:ascii="宋体" w:hAnsi="宋体" w:cs="宋体"/>
          <w:color w:val="auto"/>
          <w:sz w:val="24"/>
          <w:highlight w:val="none"/>
        </w:rPr>
        <w:t>货币单位：人民币元</w:t>
      </w:r>
    </w:p>
    <w:p w14:paraId="5B3FEE06">
      <w:pPr>
        <w:spacing w:line="360" w:lineRule="auto"/>
        <w:ind w:right="29"/>
        <w:jc w:val="center"/>
        <w:rPr>
          <w:rFonts w:hint="eastAsia" w:ascii="宋体" w:hAnsi="宋体" w:cs="宋体"/>
          <w:color w:val="auto"/>
          <w:sz w:val="24"/>
          <w:highlight w:val="none"/>
        </w:rPr>
      </w:pPr>
      <w:r>
        <w:rPr>
          <w:rFonts w:hint="eastAsia" w:ascii="宋体" w:hAnsi="宋体" w:cs="宋体"/>
          <w:color w:val="auto"/>
          <w:sz w:val="24"/>
          <w:highlight w:val="none"/>
        </w:rPr>
        <w:t>格式自拟</w:t>
      </w:r>
    </w:p>
    <w:p w14:paraId="3E9B339F">
      <w:pPr>
        <w:spacing w:line="360" w:lineRule="auto"/>
        <w:ind w:right="29" w:firstLine="3120"/>
        <w:rPr>
          <w:rFonts w:hint="eastAsia" w:ascii="宋体" w:hAnsi="宋体" w:cs="宋体"/>
          <w:color w:val="auto"/>
          <w:sz w:val="24"/>
          <w:highlight w:val="none"/>
        </w:rPr>
      </w:pPr>
    </w:p>
    <w:p w14:paraId="631833A0">
      <w:pPr>
        <w:spacing w:line="360" w:lineRule="auto"/>
        <w:ind w:right="29" w:firstLine="3120"/>
        <w:rPr>
          <w:rFonts w:hint="eastAsia" w:ascii="宋体" w:hAnsi="宋体" w:cs="宋体"/>
          <w:color w:val="auto"/>
          <w:sz w:val="24"/>
          <w:highlight w:val="none"/>
        </w:rPr>
      </w:pPr>
    </w:p>
    <w:p w14:paraId="32816B4D">
      <w:pPr>
        <w:spacing w:line="360" w:lineRule="auto"/>
        <w:ind w:right="29" w:firstLine="3120"/>
        <w:rPr>
          <w:rFonts w:hint="eastAsia" w:ascii="宋体" w:hAnsi="宋体" w:cs="宋体"/>
          <w:color w:val="auto"/>
          <w:sz w:val="24"/>
          <w:highlight w:val="none"/>
        </w:rPr>
      </w:pPr>
    </w:p>
    <w:p w14:paraId="29FE2B36">
      <w:pPr>
        <w:spacing w:line="360" w:lineRule="auto"/>
        <w:ind w:right="29" w:firstLine="4284"/>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16CC7FFA">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3E5646A1">
      <w:pPr>
        <w:pStyle w:val="47"/>
        <w:spacing w:before="0" w:beforeAutospacing="0" w:after="0" w:afterAutospacing="0" w:line="360" w:lineRule="auto"/>
        <w:jc w:val="both"/>
        <w:rPr>
          <w:rFonts w:hint="eastAsia"/>
          <w:color w:val="auto"/>
          <w:highlight w:val="none"/>
        </w:rPr>
      </w:pPr>
    </w:p>
    <w:p w14:paraId="0EE059CB">
      <w:pPr>
        <w:pStyle w:val="47"/>
        <w:spacing w:before="0" w:beforeAutospacing="0" w:after="0" w:afterAutospacing="0" w:line="360" w:lineRule="auto"/>
        <w:jc w:val="both"/>
        <w:rPr>
          <w:rFonts w:hint="eastAsia"/>
          <w:color w:val="auto"/>
          <w:highlight w:val="none"/>
        </w:rPr>
      </w:pPr>
    </w:p>
    <w:p w14:paraId="4FE18947">
      <w:pPr>
        <w:pStyle w:val="47"/>
        <w:spacing w:before="0" w:beforeAutospacing="0" w:after="0" w:afterAutospacing="0" w:line="360" w:lineRule="auto"/>
        <w:jc w:val="both"/>
        <w:rPr>
          <w:rFonts w:hint="eastAsia"/>
          <w:color w:val="auto"/>
          <w:highlight w:val="none"/>
        </w:rPr>
      </w:pPr>
      <w:r>
        <w:rPr>
          <w:rFonts w:hint="eastAsia"/>
          <w:color w:val="auto"/>
          <w:highlight w:val="none"/>
        </w:rPr>
        <w:t>说明:1.中小微企业的划分具体以《政府采购促进中小企业发展管理办法》（财库（ 2020) 46号）和《工业和信息化部、国家统计局、国家发展和改革委员会、财政部关于印发中小企业划型标准规定的通知》（工信部联企业[2011]300号）的规定为准。</w:t>
      </w:r>
    </w:p>
    <w:p w14:paraId="1A5C3C0A">
      <w:pPr>
        <w:pStyle w:val="47"/>
        <w:spacing w:before="0" w:beforeAutospacing="0" w:after="0" w:afterAutospacing="0" w:line="360" w:lineRule="auto"/>
        <w:jc w:val="both"/>
        <w:rPr>
          <w:rFonts w:hint="eastAsia"/>
          <w:color w:val="auto"/>
          <w:highlight w:val="none"/>
        </w:rPr>
      </w:pPr>
      <w:r>
        <w:rPr>
          <w:rFonts w:hint="eastAsia"/>
          <w:color w:val="auto"/>
          <w:highlight w:val="none"/>
        </w:rPr>
        <w:t>2.享受政府采购支持政策的残疾人福利性单位应满足的条件以《关于促进残疾人就业政府采购政策的通知》（财库〔2017〕141号）的规定为准。</w:t>
      </w:r>
    </w:p>
    <w:p w14:paraId="5F781DE7">
      <w:pPr>
        <w:pStyle w:val="47"/>
        <w:widowControl w:val="0"/>
        <w:spacing w:before="0" w:beforeAutospacing="0" w:after="0" w:afterAutospacing="0" w:line="360" w:lineRule="auto"/>
        <w:jc w:val="both"/>
        <w:rPr>
          <w:rFonts w:hint="eastAsia"/>
          <w:color w:val="auto"/>
          <w:highlight w:val="none"/>
        </w:rPr>
      </w:pPr>
      <w:r>
        <w:rPr>
          <w:rFonts w:hint="eastAsia"/>
          <w:color w:val="auto"/>
          <w:highlight w:val="none"/>
        </w:rPr>
        <w:t>3．供应商为“小型”或“微型”或“监狱企业”、“残疾人福利性单位”的，须算出“小型和微型和监狱企业和残疾人福利性单位” 总价合计”。</w:t>
      </w:r>
    </w:p>
    <w:p w14:paraId="1E2011B1">
      <w:pPr>
        <w:pStyle w:val="47"/>
        <w:spacing w:before="0" w:beforeAutospacing="0" w:after="160" w:afterAutospacing="0" w:line="360" w:lineRule="auto"/>
        <w:rPr>
          <w:rFonts w:hint="eastAsia"/>
          <w:color w:val="auto"/>
          <w:highlight w:val="none"/>
        </w:rPr>
      </w:pPr>
      <w:r>
        <w:rPr>
          <w:rFonts w:hint="eastAsia"/>
          <w:color w:val="auto"/>
          <w:highlight w:val="none"/>
        </w:rPr>
        <w:t>注：1.如果不提供《分项价格表》将视为没有实质性响应。</w:t>
      </w:r>
    </w:p>
    <w:p w14:paraId="4F5386EC">
      <w:pPr>
        <w:pStyle w:val="47"/>
        <w:spacing w:before="0" w:beforeAutospacing="0" w:after="160" w:afterAutospacing="0" w:line="360" w:lineRule="auto"/>
        <w:ind w:firstLine="480"/>
        <w:rPr>
          <w:rFonts w:hint="eastAsia"/>
          <w:color w:val="auto"/>
          <w:highlight w:val="none"/>
        </w:rPr>
      </w:pPr>
      <w:r>
        <w:rPr>
          <w:rFonts w:hint="eastAsia"/>
          <w:color w:val="auto"/>
          <w:highlight w:val="none"/>
        </w:rPr>
        <w:t>2.供应商对以上数据的真实性负责。</w:t>
      </w:r>
    </w:p>
    <w:p w14:paraId="526BDA7C">
      <w:pPr>
        <w:spacing w:line="360" w:lineRule="auto"/>
        <w:ind w:firstLine="480"/>
        <w:rPr>
          <w:rFonts w:hint="eastAsia" w:ascii="宋体" w:hAnsi="宋体" w:cs="宋体"/>
          <w:color w:val="auto"/>
          <w:sz w:val="24"/>
          <w:highlight w:val="none"/>
        </w:rPr>
      </w:pPr>
    </w:p>
    <w:p w14:paraId="0EA99D38">
      <w:pPr>
        <w:spacing w:line="360" w:lineRule="auto"/>
        <w:jc w:val="center"/>
        <w:rPr>
          <w:rFonts w:hint="eastAsia" w:ascii="宋体" w:hAnsi="宋体" w:cs="宋体"/>
          <w:b/>
          <w:iCs/>
          <w:color w:val="auto"/>
          <w:sz w:val="24"/>
          <w:highlight w:val="none"/>
          <w:u w:val="single"/>
        </w:rPr>
      </w:pPr>
      <w:r>
        <w:rPr>
          <w:rFonts w:hint="eastAsia" w:ascii="宋体" w:hAnsi="宋体" w:cs="宋体"/>
          <w:b/>
          <w:iCs/>
          <w:color w:val="auto"/>
          <w:sz w:val="24"/>
          <w:highlight w:val="none"/>
          <w:u w:val="single"/>
        </w:rPr>
        <w:t>江苏振兴工程项目管理有限公司有权将以上内容进行公示。</w:t>
      </w:r>
    </w:p>
    <w:p w14:paraId="1C011C7A">
      <w:pPr>
        <w:rPr>
          <w:rFonts w:hint="eastAsia" w:ascii="宋体" w:hAnsi="宋体" w:cs="宋体"/>
          <w:b/>
          <w:iCs/>
          <w:color w:val="auto"/>
          <w:sz w:val="24"/>
          <w:highlight w:val="none"/>
          <w:u w:val="single"/>
        </w:rPr>
      </w:pPr>
      <w:r>
        <w:rPr>
          <w:rFonts w:hint="eastAsia" w:ascii="宋体" w:hAnsi="宋体" w:cs="宋体"/>
          <w:b/>
          <w:iCs/>
          <w:color w:val="auto"/>
          <w:sz w:val="24"/>
          <w:highlight w:val="none"/>
          <w:u w:val="single"/>
        </w:rPr>
        <w:br w:type="page" w:clear="all"/>
      </w:r>
    </w:p>
    <w:p w14:paraId="71AE3176">
      <w:pPr>
        <w:spacing w:line="360" w:lineRule="auto"/>
        <w:jc w:val="center"/>
        <w:rPr>
          <w:rFonts w:hint="eastAsia" w:ascii="宋体" w:hAnsi="宋体" w:cs="宋体"/>
          <w:b/>
          <w:bCs/>
          <w:color w:val="auto"/>
          <w:sz w:val="36"/>
          <w:highlight w:val="none"/>
        </w:rPr>
      </w:pPr>
      <w:r>
        <w:rPr>
          <w:rFonts w:hint="eastAsia" w:ascii="宋体" w:hAnsi="宋体" w:cs="宋体"/>
          <w:b/>
          <w:bCs/>
          <w:color w:val="auto"/>
          <w:sz w:val="36"/>
          <w:highlight w:val="none"/>
        </w:rPr>
        <w:t>5、偏离表</w:t>
      </w:r>
    </w:p>
    <w:p w14:paraId="69A2C404">
      <w:pPr>
        <w:spacing w:line="360" w:lineRule="auto"/>
        <w:rPr>
          <w:rFonts w:hint="eastAsia" w:ascii="宋体" w:hAnsi="宋体" w:cs="宋体"/>
          <w:color w:val="auto"/>
          <w:sz w:val="24"/>
          <w:highlight w:val="none"/>
        </w:rPr>
      </w:pPr>
      <w:bookmarkStart w:id="11" w:name="_GoBack"/>
      <w:bookmarkEnd w:id="11"/>
      <w:r>
        <w:rPr>
          <w:rFonts w:hint="eastAsia" w:ascii="宋体" w:hAnsi="宋体" w:cs="宋体"/>
          <w:color w:val="auto"/>
          <w:sz w:val="24"/>
          <w:highlight w:val="none"/>
        </w:rPr>
        <w:t>项目名称：2026年新沂市乡镇（街道）网格化空气自动监测站运行维护</w:t>
      </w:r>
    </w:p>
    <w:p w14:paraId="2446AC9D">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JSZC-320381-ZXGL-C2026-0004</w:t>
      </w:r>
      <w:r>
        <w:rPr>
          <w:rFonts w:hint="eastAsia" w:ascii="宋体" w:hAnsi="宋体" w:cs="宋体"/>
          <w:color w:val="auto"/>
          <w:sz w:val="24"/>
          <w:highlight w:val="none"/>
        </w:rPr>
        <w:t xml:space="preserve"> </w:t>
      </w:r>
    </w:p>
    <w:p w14:paraId="4658D0BC">
      <w:pPr>
        <w:spacing w:line="0" w:lineRule="atLeast"/>
        <w:jc w:val="left"/>
        <w:rPr>
          <w:rFonts w:hint="eastAsia" w:ascii="宋体" w:hAnsi="宋体" w:cs="宋体"/>
          <w:color w:val="auto"/>
          <w:sz w:val="24"/>
          <w:highlight w:val="none"/>
        </w:rPr>
      </w:pPr>
    </w:p>
    <w:tbl>
      <w:tblPr>
        <w:tblStyle w:val="52"/>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828"/>
        <w:gridCol w:w="900"/>
        <w:gridCol w:w="2491"/>
        <w:gridCol w:w="1469"/>
        <w:gridCol w:w="1260"/>
        <w:gridCol w:w="1980"/>
      </w:tblGrid>
      <w:tr w14:paraId="5B77FE5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14" w:hRule="atLeast"/>
        </w:trPr>
        <w:tc>
          <w:tcPr>
            <w:tcW w:w="828" w:type="dxa"/>
            <w:tcBorders>
              <w:top w:val="single" w:color="000000" w:sz="6" w:space="0"/>
              <w:left w:val="single" w:color="000000" w:sz="6" w:space="0"/>
              <w:bottom w:val="single" w:color="000000" w:sz="6" w:space="0"/>
              <w:right w:val="single" w:color="000000" w:sz="6" w:space="0"/>
            </w:tcBorders>
          </w:tcPr>
          <w:p w14:paraId="584CA3FF">
            <w:pPr>
              <w:jc w:val="center"/>
              <w:rPr>
                <w:rFonts w:hint="eastAsia" w:ascii="宋体" w:hAnsi="宋体" w:cs="宋体"/>
                <w:caps/>
                <w:color w:val="auto"/>
                <w:sz w:val="24"/>
                <w:highlight w:val="none"/>
              </w:rPr>
            </w:pPr>
            <w:r>
              <w:rPr>
                <w:rFonts w:hint="eastAsia" w:ascii="宋体" w:hAnsi="宋体" w:cs="宋体"/>
                <w:caps/>
                <w:color w:val="auto"/>
                <w:sz w:val="24"/>
                <w:highlight w:val="none"/>
              </w:rPr>
              <w:t>序号</w:t>
            </w:r>
          </w:p>
        </w:tc>
        <w:tc>
          <w:tcPr>
            <w:tcW w:w="900" w:type="dxa"/>
            <w:tcBorders>
              <w:top w:val="single" w:color="000000" w:sz="6" w:space="0"/>
              <w:left w:val="single" w:color="000000" w:sz="6" w:space="0"/>
              <w:bottom w:val="single" w:color="000000" w:sz="6" w:space="0"/>
              <w:right w:val="single" w:color="000000" w:sz="6" w:space="0"/>
            </w:tcBorders>
          </w:tcPr>
          <w:p w14:paraId="0F3C5677">
            <w:pPr>
              <w:jc w:val="center"/>
              <w:rPr>
                <w:rFonts w:hint="eastAsia" w:ascii="宋体" w:hAnsi="宋体" w:cs="宋体"/>
                <w:caps/>
                <w:color w:val="auto"/>
                <w:sz w:val="24"/>
                <w:highlight w:val="none"/>
              </w:rPr>
            </w:pPr>
            <w:r>
              <w:rPr>
                <w:rFonts w:hint="eastAsia" w:ascii="宋体" w:hAnsi="宋体" w:cs="宋体"/>
                <w:caps/>
                <w:color w:val="auto"/>
                <w:sz w:val="24"/>
                <w:highlight w:val="none"/>
              </w:rPr>
              <w:t>偏离内容</w:t>
            </w:r>
          </w:p>
        </w:tc>
        <w:tc>
          <w:tcPr>
            <w:tcW w:w="2491" w:type="dxa"/>
            <w:tcBorders>
              <w:top w:val="single" w:color="000000" w:sz="6" w:space="0"/>
              <w:left w:val="single" w:color="000000" w:sz="6" w:space="0"/>
              <w:bottom w:val="single" w:color="000000" w:sz="6" w:space="0"/>
              <w:right w:val="single" w:color="000000" w:sz="6" w:space="0"/>
            </w:tcBorders>
          </w:tcPr>
          <w:p w14:paraId="18CDCB21">
            <w:pPr>
              <w:jc w:val="center"/>
              <w:rPr>
                <w:rFonts w:hint="eastAsia" w:ascii="宋体" w:hAnsi="宋体" w:cs="宋体"/>
                <w:caps/>
                <w:color w:val="auto"/>
                <w:sz w:val="24"/>
                <w:highlight w:val="none"/>
              </w:rPr>
            </w:pPr>
            <w:r>
              <w:rPr>
                <w:rFonts w:hint="eastAsia" w:ascii="宋体" w:hAnsi="宋体" w:cs="宋体"/>
                <w:color w:val="auto"/>
                <w:sz w:val="24"/>
                <w:highlight w:val="none"/>
              </w:rPr>
              <w:t>竞争性磋商文件（含竞争性磋商文件的澄清或者修改）的要求</w:t>
            </w:r>
          </w:p>
        </w:tc>
        <w:tc>
          <w:tcPr>
            <w:tcW w:w="1469" w:type="dxa"/>
            <w:tcBorders>
              <w:top w:val="single" w:color="000000" w:sz="6" w:space="0"/>
              <w:left w:val="single" w:color="000000" w:sz="6" w:space="0"/>
              <w:bottom w:val="single" w:color="000000" w:sz="6" w:space="0"/>
              <w:right w:val="single" w:color="000000" w:sz="6" w:space="0"/>
            </w:tcBorders>
          </w:tcPr>
          <w:p w14:paraId="29F677CC">
            <w:pPr>
              <w:jc w:val="center"/>
              <w:rPr>
                <w:rFonts w:hint="eastAsia" w:ascii="宋体" w:hAnsi="宋体" w:cs="宋体"/>
                <w:caps/>
                <w:color w:val="auto"/>
                <w:sz w:val="24"/>
                <w:highlight w:val="none"/>
              </w:rPr>
            </w:pPr>
            <w:r>
              <w:rPr>
                <w:rFonts w:hint="eastAsia" w:ascii="宋体" w:hAnsi="宋体" w:cs="宋体"/>
                <w:color w:val="auto"/>
                <w:sz w:val="24"/>
                <w:highlight w:val="none"/>
              </w:rPr>
              <w:t>首次响应文件中的内容</w:t>
            </w:r>
          </w:p>
        </w:tc>
        <w:tc>
          <w:tcPr>
            <w:tcW w:w="1260" w:type="dxa"/>
            <w:tcBorders>
              <w:top w:val="single" w:color="000000" w:sz="6" w:space="0"/>
              <w:left w:val="single" w:color="000000" w:sz="6" w:space="0"/>
              <w:bottom w:val="single" w:color="000000" w:sz="6" w:space="0"/>
              <w:right w:val="single" w:color="000000" w:sz="6" w:space="0"/>
            </w:tcBorders>
          </w:tcPr>
          <w:p w14:paraId="6F5E9989">
            <w:pPr>
              <w:rPr>
                <w:rFonts w:hint="eastAsia" w:ascii="宋体" w:hAnsi="宋体" w:cs="宋体"/>
                <w:caps/>
                <w:color w:val="auto"/>
                <w:sz w:val="24"/>
                <w:highlight w:val="none"/>
              </w:rPr>
            </w:pPr>
            <w:r>
              <w:rPr>
                <w:rFonts w:hint="eastAsia" w:ascii="宋体" w:hAnsi="宋体" w:cs="宋体"/>
                <w:caps/>
                <w:color w:val="auto"/>
                <w:sz w:val="24"/>
                <w:highlight w:val="none"/>
              </w:rPr>
              <w:t>（正/负/无）偏离</w:t>
            </w:r>
          </w:p>
        </w:tc>
        <w:tc>
          <w:tcPr>
            <w:tcW w:w="1980" w:type="dxa"/>
            <w:tcBorders>
              <w:top w:val="single" w:color="000000" w:sz="6" w:space="0"/>
              <w:left w:val="single" w:color="000000" w:sz="6" w:space="0"/>
              <w:bottom w:val="single" w:color="000000" w:sz="6" w:space="0"/>
              <w:right w:val="single" w:color="000000" w:sz="6" w:space="0"/>
            </w:tcBorders>
          </w:tcPr>
          <w:p w14:paraId="1B35011A">
            <w:pPr>
              <w:jc w:val="center"/>
              <w:rPr>
                <w:rFonts w:hint="eastAsia" w:ascii="宋体" w:hAnsi="宋体" w:cs="宋体"/>
                <w:caps/>
                <w:color w:val="auto"/>
                <w:sz w:val="24"/>
                <w:highlight w:val="none"/>
              </w:rPr>
            </w:pPr>
            <w:r>
              <w:rPr>
                <w:rFonts w:hint="eastAsia" w:ascii="宋体" w:hAnsi="宋体" w:cs="宋体"/>
                <w:caps/>
                <w:color w:val="auto"/>
                <w:sz w:val="24"/>
                <w:highlight w:val="none"/>
              </w:rPr>
              <w:t>说明</w:t>
            </w:r>
          </w:p>
        </w:tc>
      </w:tr>
      <w:tr w14:paraId="7886D52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vAlign w:val="center"/>
          </w:tcPr>
          <w:p w14:paraId="256421EC">
            <w:pPr>
              <w:jc w:val="center"/>
              <w:rPr>
                <w:rFonts w:hint="eastAsia" w:ascii="宋体" w:hAnsi="宋体" w:cs="宋体"/>
                <w:caps/>
                <w:color w:val="auto"/>
                <w:sz w:val="24"/>
                <w:highlight w:val="none"/>
              </w:rPr>
            </w:pPr>
          </w:p>
        </w:tc>
        <w:tc>
          <w:tcPr>
            <w:tcW w:w="900" w:type="dxa"/>
            <w:tcBorders>
              <w:top w:val="single" w:color="000000" w:sz="6" w:space="0"/>
              <w:left w:val="single" w:color="000000" w:sz="6" w:space="0"/>
              <w:bottom w:val="single" w:color="000000" w:sz="6" w:space="0"/>
              <w:right w:val="single" w:color="000000" w:sz="6" w:space="0"/>
            </w:tcBorders>
            <w:vAlign w:val="center"/>
          </w:tcPr>
          <w:p w14:paraId="0D7632EE">
            <w:pPr>
              <w:jc w:val="center"/>
              <w:rPr>
                <w:rFonts w:hint="eastAsia" w:ascii="宋体" w:hAnsi="宋体" w:cs="宋体"/>
                <w:caps/>
                <w:color w:val="auto"/>
                <w:sz w:val="24"/>
                <w:highlight w:val="none"/>
              </w:rPr>
            </w:pPr>
          </w:p>
        </w:tc>
        <w:tc>
          <w:tcPr>
            <w:tcW w:w="2491" w:type="dxa"/>
            <w:tcBorders>
              <w:top w:val="single" w:color="000000" w:sz="6" w:space="0"/>
              <w:left w:val="single" w:color="000000" w:sz="6" w:space="0"/>
              <w:bottom w:val="single" w:color="000000" w:sz="6" w:space="0"/>
              <w:right w:val="single" w:color="000000" w:sz="6" w:space="0"/>
            </w:tcBorders>
            <w:vAlign w:val="center"/>
          </w:tcPr>
          <w:p w14:paraId="0A8C7FEC">
            <w:pPr>
              <w:jc w:val="center"/>
              <w:rPr>
                <w:rFonts w:hint="eastAsia" w:ascii="宋体" w:hAnsi="宋体" w:cs="宋体"/>
                <w:caps/>
                <w:color w:val="auto"/>
                <w:sz w:val="24"/>
                <w:highlight w:val="none"/>
              </w:rPr>
            </w:pPr>
          </w:p>
        </w:tc>
        <w:tc>
          <w:tcPr>
            <w:tcW w:w="1469" w:type="dxa"/>
            <w:tcBorders>
              <w:top w:val="single" w:color="000000" w:sz="6" w:space="0"/>
              <w:left w:val="single" w:color="000000" w:sz="6" w:space="0"/>
              <w:bottom w:val="single" w:color="000000" w:sz="6" w:space="0"/>
              <w:right w:val="single" w:color="000000" w:sz="6" w:space="0"/>
            </w:tcBorders>
            <w:vAlign w:val="center"/>
          </w:tcPr>
          <w:p w14:paraId="4B1441B2">
            <w:pPr>
              <w:jc w:val="center"/>
              <w:rPr>
                <w:rFonts w:hint="eastAsia" w:ascii="宋体" w:hAnsi="宋体" w:cs="宋体"/>
                <w:caps/>
                <w:color w:val="auto"/>
                <w:sz w:val="24"/>
                <w:highlight w:val="none"/>
              </w:rPr>
            </w:pPr>
          </w:p>
        </w:tc>
        <w:tc>
          <w:tcPr>
            <w:tcW w:w="1260" w:type="dxa"/>
            <w:tcBorders>
              <w:top w:val="single" w:color="000000" w:sz="6" w:space="0"/>
              <w:left w:val="single" w:color="000000" w:sz="6" w:space="0"/>
              <w:bottom w:val="single" w:color="000000" w:sz="6" w:space="0"/>
              <w:right w:val="single" w:color="000000" w:sz="6" w:space="0"/>
            </w:tcBorders>
            <w:vAlign w:val="center"/>
          </w:tcPr>
          <w:p w14:paraId="63293602">
            <w:pPr>
              <w:jc w:val="center"/>
              <w:rPr>
                <w:rFonts w:hint="eastAsia" w:ascii="宋体" w:hAnsi="宋体" w:cs="宋体"/>
                <w:caps/>
                <w:color w:val="auto"/>
                <w:sz w:val="24"/>
                <w:highlight w:val="none"/>
              </w:rPr>
            </w:pPr>
          </w:p>
        </w:tc>
        <w:tc>
          <w:tcPr>
            <w:tcW w:w="1980" w:type="dxa"/>
            <w:tcBorders>
              <w:top w:val="single" w:color="000000" w:sz="6" w:space="0"/>
              <w:left w:val="single" w:color="000000" w:sz="6" w:space="0"/>
              <w:bottom w:val="single" w:color="000000" w:sz="6" w:space="0"/>
              <w:right w:val="single" w:color="000000" w:sz="6" w:space="0"/>
            </w:tcBorders>
            <w:vAlign w:val="center"/>
          </w:tcPr>
          <w:p w14:paraId="3F09DD98">
            <w:pPr>
              <w:jc w:val="center"/>
              <w:rPr>
                <w:rFonts w:hint="eastAsia" w:ascii="宋体" w:hAnsi="宋体" w:cs="宋体"/>
                <w:caps/>
                <w:color w:val="auto"/>
                <w:sz w:val="24"/>
                <w:highlight w:val="none"/>
              </w:rPr>
            </w:pPr>
          </w:p>
        </w:tc>
      </w:tr>
      <w:tr w14:paraId="480CCEF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14:paraId="67AC1733">
            <w:pPr>
              <w:rPr>
                <w:rFonts w:hint="eastAsia" w:ascii="宋体" w:hAnsi="宋体" w:cs="宋体"/>
                <w:color w:val="auto"/>
                <w:sz w:val="24"/>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5002FE3B">
            <w:pPr>
              <w:rPr>
                <w:rFonts w:hint="eastAsia" w:ascii="宋体" w:hAnsi="宋体" w:cs="宋体"/>
                <w:color w:val="auto"/>
                <w:sz w:val="24"/>
                <w:highlight w:val="none"/>
              </w:rPr>
            </w:pPr>
          </w:p>
        </w:tc>
        <w:tc>
          <w:tcPr>
            <w:tcW w:w="2491" w:type="dxa"/>
            <w:tcBorders>
              <w:top w:val="single" w:color="000000" w:sz="6" w:space="0"/>
              <w:left w:val="single" w:color="000000" w:sz="6" w:space="0"/>
              <w:bottom w:val="single" w:color="000000" w:sz="6" w:space="0"/>
              <w:right w:val="single" w:color="000000" w:sz="6" w:space="0"/>
            </w:tcBorders>
          </w:tcPr>
          <w:p w14:paraId="1DDFFD32">
            <w:pPr>
              <w:rPr>
                <w:rFonts w:hint="eastAsia" w:ascii="宋体" w:hAnsi="宋体" w:cs="宋体"/>
                <w:color w:val="auto"/>
                <w:sz w:val="24"/>
                <w:highlight w:val="none"/>
              </w:rPr>
            </w:pPr>
          </w:p>
        </w:tc>
        <w:tc>
          <w:tcPr>
            <w:tcW w:w="1469" w:type="dxa"/>
            <w:tcBorders>
              <w:top w:val="single" w:color="000000" w:sz="6" w:space="0"/>
              <w:left w:val="single" w:color="000000" w:sz="6" w:space="0"/>
              <w:bottom w:val="single" w:color="000000" w:sz="6" w:space="0"/>
              <w:right w:val="single" w:color="000000" w:sz="6" w:space="0"/>
            </w:tcBorders>
          </w:tcPr>
          <w:p w14:paraId="35011FE3">
            <w:pPr>
              <w:rPr>
                <w:rFonts w:hint="eastAsia" w:ascii="宋体" w:hAnsi="宋体" w:cs="宋体"/>
                <w:color w:val="auto"/>
                <w:sz w:val="24"/>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07310E33">
            <w:pPr>
              <w:rPr>
                <w:rFonts w:hint="eastAsia" w:ascii="宋体" w:hAnsi="宋体" w:cs="宋体"/>
                <w:color w:val="auto"/>
                <w:sz w:val="24"/>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7FFA7FFB">
            <w:pPr>
              <w:rPr>
                <w:rFonts w:hint="eastAsia" w:ascii="宋体" w:hAnsi="宋体" w:cs="宋体"/>
                <w:color w:val="auto"/>
                <w:sz w:val="24"/>
                <w:highlight w:val="none"/>
              </w:rPr>
            </w:pPr>
          </w:p>
        </w:tc>
      </w:tr>
      <w:tr w14:paraId="61F4BAD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14:paraId="2E6DEE92">
            <w:pPr>
              <w:rPr>
                <w:rFonts w:hint="eastAsia" w:ascii="宋体" w:hAnsi="宋体" w:cs="宋体"/>
                <w:color w:val="auto"/>
                <w:sz w:val="24"/>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4A661A06">
            <w:pPr>
              <w:rPr>
                <w:rFonts w:hint="eastAsia" w:ascii="宋体" w:hAnsi="宋体" w:cs="宋体"/>
                <w:color w:val="auto"/>
                <w:sz w:val="24"/>
                <w:highlight w:val="none"/>
              </w:rPr>
            </w:pPr>
          </w:p>
        </w:tc>
        <w:tc>
          <w:tcPr>
            <w:tcW w:w="2491" w:type="dxa"/>
            <w:tcBorders>
              <w:top w:val="single" w:color="000000" w:sz="6" w:space="0"/>
              <w:left w:val="single" w:color="000000" w:sz="6" w:space="0"/>
              <w:bottom w:val="single" w:color="000000" w:sz="6" w:space="0"/>
              <w:right w:val="single" w:color="000000" w:sz="6" w:space="0"/>
            </w:tcBorders>
          </w:tcPr>
          <w:p w14:paraId="4A0140DB">
            <w:pPr>
              <w:rPr>
                <w:rFonts w:hint="eastAsia" w:ascii="宋体" w:hAnsi="宋体" w:cs="宋体"/>
                <w:color w:val="auto"/>
                <w:sz w:val="24"/>
                <w:highlight w:val="none"/>
              </w:rPr>
            </w:pPr>
          </w:p>
        </w:tc>
        <w:tc>
          <w:tcPr>
            <w:tcW w:w="1469" w:type="dxa"/>
            <w:tcBorders>
              <w:top w:val="single" w:color="000000" w:sz="6" w:space="0"/>
              <w:left w:val="single" w:color="000000" w:sz="6" w:space="0"/>
              <w:bottom w:val="single" w:color="000000" w:sz="6" w:space="0"/>
              <w:right w:val="single" w:color="000000" w:sz="6" w:space="0"/>
            </w:tcBorders>
          </w:tcPr>
          <w:p w14:paraId="2D21E1E2">
            <w:pPr>
              <w:rPr>
                <w:rFonts w:hint="eastAsia" w:ascii="宋体" w:hAnsi="宋体" w:cs="宋体"/>
                <w:color w:val="auto"/>
                <w:sz w:val="24"/>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07E36A28">
            <w:pPr>
              <w:rPr>
                <w:rFonts w:hint="eastAsia" w:ascii="宋体" w:hAnsi="宋体" w:cs="宋体"/>
                <w:color w:val="auto"/>
                <w:sz w:val="24"/>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3A6C25D9">
            <w:pPr>
              <w:rPr>
                <w:rFonts w:hint="eastAsia" w:ascii="宋体" w:hAnsi="宋体" w:cs="宋体"/>
                <w:color w:val="auto"/>
                <w:sz w:val="24"/>
                <w:highlight w:val="none"/>
              </w:rPr>
            </w:pPr>
          </w:p>
        </w:tc>
      </w:tr>
      <w:tr w14:paraId="4E1581E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14:paraId="04B0AF1D">
            <w:pPr>
              <w:rPr>
                <w:rFonts w:hint="eastAsia" w:ascii="宋体" w:hAnsi="宋体" w:cs="宋体"/>
                <w:color w:val="auto"/>
                <w:sz w:val="24"/>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093A9952">
            <w:pPr>
              <w:rPr>
                <w:rFonts w:hint="eastAsia" w:ascii="宋体" w:hAnsi="宋体" w:cs="宋体"/>
                <w:color w:val="auto"/>
                <w:sz w:val="24"/>
                <w:highlight w:val="none"/>
              </w:rPr>
            </w:pPr>
          </w:p>
        </w:tc>
        <w:tc>
          <w:tcPr>
            <w:tcW w:w="2491" w:type="dxa"/>
            <w:tcBorders>
              <w:top w:val="single" w:color="000000" w:sz="6" w:space="0"/>
              <w:left w:val="single" w:color="000000" w:sz="6" w:space="0"/>
              <w:bottom w:val="single" w:color="000000" w:sz="6" w:space="0"/>
              <w:right w:val="single" w:color="000000" w:sz="6" w:space="0"/>
            </w:tcBorders>
          </w:tcPr>
          <w:p w14:paraId="28189198">
            <w:pPr>
              <w:rPr>
                <w:rFonts w:hint="eastAsia" w:ascii="宋体" w:hAnsi="宋体" w:cs="宋体"/>
                <w:color w:val="auto"/>
                <w:sz w:val="24"/>
                <w:highlight w:val="none"/>
              </w:rPr>
            </w:pPr>
          </w:p>
        </w:tc>
        <w:tc>
          <w:tcPr>
            <w:tcW w:w="1469" w:type="dxa"/>
            <w:tcBorders>
              <w:top w:val="single" w:color="000000" w:sz="6" w:space="0"/>
              <w:left w:val="single" w:color="000000" w:sz="6" w:space="0"/>
              <w:bottom w:val="single" w:color="000000" w:sz="6" w:space="0"/>
              <w:right w:val="single" w:color="000000" w:sz="6" w:space="0"/>
            </w:tcBorders>
          </w:tcPr>
          <w:p w14:paraId="51962D8A">
            <w:pPr>
              <w:rPr>
                <w:rFonts w:hint="eastAsia" w:ascii="宋体" w:hAnsi="宋体" w:cs="宋体"/>
                <w:color w:val="auto"/>
                <w:sz w:val="24"/>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095DDF41">
            <w:pPr>
              <w:rPr>
                <w:rFonts w:hint="eastAsia" w:ascii="宋体" w:hAnsi="宋体" w:cs="宋体"/>
                <w:color w:val="auto"/>
                <w:sz w:val="24"/>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714A651A">
            <w:pPr>
              <w:rPr>
                <w:rFonts w:hint="eastAsia" w:ascii="宋体" w:hAnsi="宋体" w:cs="宋体"/>
                <w:color w:val="auto"/>
                <w:sz w:val="24"/>
                <w:highlight w:val="none"/>
              </w:rPr>
            </w:pPr>
          </w:p>
        </w:tc>
      </w:tr>
      <w:tr w14:paraId="126627A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14:paraId="2A24F3F4">
            <w:pPr>
              <w:rPr>
                <w:rFonts w:hint="eastAsia" w:ascii="宋体" w:hAnsi="宋体" w:cs="宋体"/>
                <w:color w:val="auto"/>
                <w:sz w:val="24"/>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66AF8F3C">
            <w:pPr>
              <w:rPr>
                <w:rFonts w:hint="eastAsia" w:ascii="宋体" w:hAnsi="宋体" w:cs="宋体"/>
                <w:color w:val="auto"/>
                <w:sz w:val="24"/>
                <w:highlight w:val="none"/>
              </w:rPr>
            </w:pPr>
          </w:p>
        </w:tc>
        <w:tc>
          <w:tcPr>
            <w:tcW w:w="2491" w:type="dxa"/>
            <w:tcBorders>
              <w:top w:val="single" w:color="000000" w:sz="6" w:space="0"/>
              <w:left w:val="single" w:color="000000" w:sz="6" w:space="0"/>
              <w:bottom w:val="single" w:color="000000" w:sz="6" w:space="0"/>
              <w:right w:val="single" w:color="000000" w:sz="6" w:space="0"/>
            </w:tcBorders>
          </w:tcPr>
          <w:p w14:paraId="7816E874">
            <w:pPr>
              <w:rPr>
                <w:rFonts w:hint="eastAsia" w:ascii="宋体" w:hAnsi="宋体" w:cs="宋体"/>
                <w:color w:val="auto"/>
                <w:sz w:val="24"/>
                <w:highlight w:val="none"/>
              </w:rPr>
            </w:pPr>
          </w:p>
        </w:tc>
        <w:tc>
          <w:tcPr>
            <w:tcW w:w="1469" w:type="dxa"/>
            <w:tcBorders>
              <w:top w:val="single" w:color="000000" w:sz="6" w:space="0"/>
              <w:left w:val="single" w:color="000000" w:sz="6" w:space="0"/>
              <w:bottom w:val="single" w:color="000000" w:sz="6" w:space="0"/>
              <w:right w:val="single" w:color="000000" w:sz="6" w:space="0"/>
            </w:tcBorders>
          </w:tcPr>
          <w:p w14:paraId="21E0AD6B">
            <w:pPr>
              <w:rPr>
                <w:rFonts w:hint="eastAsia" w:ascii="宋体" w:hAnsi="宋体" w:cs="宋体"/>
                <w:color w:val="auto"/>
                <w:sz w:val="24"/>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43699E57">
            <w:pPr>
              <w:rPr>
                <w:rFonts w:hint="eastAsia" w:ascii="宋体" w:hAnsi="宋体" w:cs="宋体"/>
                <w:color w:val="auto"/>
                <w:sz w:val="24"/>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45EC397C">
            <w:pPr>
              <w:rPr>
                <w:rFonts w:hint="eastAsia" w:ascii="宋体" w:hAnsi="宋体" w:cs="宋体"/>
                <w:color w:val="auto"/>
                <w:sz w:val="24"/>
                <w:highlight w:val="none"/>
              </w:rPr>
            </w:pPr>
          </w:p>
        </w:tc>
      </w:tr>
      <w:tr w14:paraId="60E119C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14:paraId="740B46AB">
            <w:pPr>
              <w:rPr>
                <w:rFonts w:hint="eastAsia" w:ascii="宋体" w:hAnsi="宋体" w:cs="宋体"/>
                <w:color w:val="auto"/>
                <w:sz w:val="24"/>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6FA2FFA3">
            <w:pPr>
              <w:rPr>
                <w:rFonts w:hint="eastAsia" w:ascii="宋体" w:hAnsi="宋体" w:cs="宋体"/>
                <w:color w:val="auto"/>
                <w:sz w:val="24"/>
                <w:highlight w:val="none"/>
              </w:rPr>
            </w:pPr>
          </w:p>
        </w:tc>
        <w:tc>
          <w:tcPr>
            <w:tcW w:w="2491" w:type="dxa"/>
            <w:tcBorders>
              <w:top w:val="single" w:color="000000" w:sz="6" w:space="0"/>
              <w:left w:val="single" w:color="000000" w:sz="6" w:space="0"/>
              <w:bottom w:val="single" w:color="000000" w:sz="6" w:space="0"/>
              <w:right w:val="single" w:color="000000" w:sz="6" w:space="0"/>
            </w:tcBorders>
          </w:tcPr>
          <w:p w14:paraId="5B35F13F">
            <w:pPr>
              <w:rPr>
                <w:rFonts w:hint="eastAsia" w:ascii="宋体" w:hAnsi="宋体" w:cs="宋体"/>
                <w:color w:val="auto"/>
                <w:sz w:val="24"/>
                <w:highlight w:val="none"/>
              </w:rPr>
            </w:pPr>
          </w:p>
        </w:tc>
        <w:tc>
          <w:tcPr>
            <w:tcW w:w="1469" w:type="dxa"/>
            <w:tcBorders>
              <w:top w:val="single" w:color="000000" w:sz="6" w:space="0"/>
              <w:left w:val="single" w:color="000000" w:sz="6" w:space="0"/>
              <w:bottom w:val="single" w:color="000000" w:sz="6" w:space="0"/>
              <w:right w:val="single" w:color="000000" w:sz="6" w:space="0"/>
            </w:tcBorders>
          </w:tcPr>
          <w:p w14:paraId="3F74E06B">
            <w:pPr>
              <w:rPr>
                <w:rFonts w:hint="eastAsia" w:ascii="宋体" w:hAnsi="宋体" w:cs="宋体"/>
                <w:color w:val="auto"/>
                <w:sz w:val="24"/>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01D23D3F">
            <w:pPr>
              <w:rPr>
                <w:rFonts w:hint="eastAsia" w:ascii="宋体" w:hAnsi="宋体" w:cs="宋体"/>
                <w:color w:val="auto"/>
                <w:sz w:val="24"/>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79843B3A">
            <w:pPr>
              <w:rPr>
                <w:rFonts w:hint="eastAsia" w:ascii="宋体" w:hAnsi="宋体" w:cs="宋体"/>
                <w:color w:val="auto"/>
                <w:sz w:val="24"/>
                <w:highlight w:val="none"/>
              </w:rPr>
            </w:pPr>
          </w:p>
        </w:tc>
      </w:tr>
      <w:tr w14:paraId="3100D89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14:paraId="36A5F16F">
            <w:pPr>
              <w:rPr>
                <w:rFonts w:hint="eastAsia" w:ascii="宋体" w:hAnsi="宋体" w:cs="宋体"/>
                <w:color w:val="auto"/>
                <w:sz w:val="24"/>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172BED84">
            <w:pPr>
              <w:rPr>
                <w:rFonts w:hint="eastAsia" w:ascii="宋体" w:hAnsi="宋体" w:cs="宋体"/>
                <w:color w:val="auto"/>
                <w:sz w:val="24"/>
                <w:highlight w:val="none"/>
              </w:rPr>
            </w:pPr>
          </w:p>
        </w:tc>
        <w:tc>
          <w:tcPr>
            <w:tcW w:w="2491" w:type="dxa"/>
            <w:tcBorders>
              <w:top w:val="single" w:color="000000" w:sz="6" w:space="0"/>
              <w:left w:val="single" w:color="000000" w:sz="6" w:space="0"/>
              <w:bottom w:val="single" w:color="000000" w:sz="6" w:space="0"/>
              <w:right w:val="single" w:color="000000" w:sz="6" w:space="0"/>
            </w:tcBorders>
          </w:tcPr>
          <w:p w14:paraId="0B43B1A8">
            <w:pPr>
              <w:rPr>
                <w:rFonts w:hint="eastAsia" w:ascii="宋体" w:hAnsi="宋体" w:cs="宋体"/>
                <w:color w:val="auto"/>
                <w:sz w:val="24"/>
                <w:highlight w:val="none"/>
              </w:rPr>
            </w:pPr>
          </w:p>
        </w:tc>
        <w:tc>
          <w:tcPr>
            <w:tcW w:w="1469" w:type="dxa"/>
            <w:tcBorders>
              <w:top w:val="single" w:color="000000" w:sz="6" w:space="0"/>
              <w:left w:val="single" w:color="000000" w:sz="6" w:space="0"/>
              <w:bottom w:val="single" w:color="000000" w:sz="6" w:space="0"/>
              <w:right w:val="single" w:color="000000" w:sz="6" w:space="0"/>
            </w:tcBorders>
          </w:tcPr>
          <w:p w14:paraId="3F031F32">
            <w:pPr>
              <w:rPr>
                <w:rFonts w:hint="eastAsia" w:ascii="宋体" w:hAnsi="宋体" w:cs="宋体"/>
                <w:color w:val="auto"/>
                <w:sz w:val="24"/>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75D09E99">
            <w:pPr>
              <w:rPr>
                <w:rFonts w:hint="eastAsia" w:ascii="宋体" w:hAnsi="宋体" w:cs="宋体"/>
                <w:color w:val="auto"/>
                <w:sz w:val="24"/>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5F6140D3">
            <w:pPr>
              <w:rPr>
                <w:rFonts w:hint="eastAsia" w:ascii="宋体" w:hAnsi="宋体" w:cs="宋体"/>
                <w:color w:val="auto"/>
                <w:sz w:val="24"/>
                <w:highlight w:val="none"/>
              </w:rPr>
            </w:pPr>
          </w:p>
        </w:tc>
      </w:tr>
      <w:tr w14:paraId="03234CD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14:paraId="0880D419">
            <w:pPr>
              <w:rPr>
                <w:rFonts w:hint="eastAsia" w:ascii="宋体" w:hAnsi="宋体" w:cs="宋体"/>
                <w:color w:val="auto"/>
                <w:sz w:val="24"/>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51557702">
            <w:pPr>
              <w:rPr>
                <w:rFonts w:hint="eastAsia" w:ascii="宋体" w:hAnsi="宋体" w:cs="宋体"/>
                <w:color w:val="auto"/>
                <w:sz w:val="24"/>
                <w:highlight w:val="none"/>
              </w:rPr>
            </w:pPr>
          </w:p>
        </w:tc>
        <w:tc>
          <w:tcPr>
            <w:tcW w:w="2491" w:type="dxa"/>
            <w:tcBorders>
              <w:top w:val="single" w:color="000000" w:sz="6" w:space="0"/>
              <w:left w:val="single" w:color="000000" w:sz="6" w:space="0"/>
              <w:bottom w:val="single" w:color="000000" w:sz="6" w:space="0"/>
              <w:right w:val="single" w:color="000000" w:sz="6" w:space="0"/>
            </w:tcBorders>
          </w:tcPr>
          <w:p w14:paraId="56C35CD8">
            <w:pPr>
              <w:rPr>
                <w:rFonts w:hint="eastAsia" w:ascii="宋体" w:hAnsi="宋体" w:cs="宋体"/>
                <w:color w:val="auto"/>
                <w:sz w:val="24"/>
                <w:highlight w:val="none"/>
              </w:rPr>
            </w:pPr>
          </w:p>
        </w:tc>
        <w:tc>
          <w:tcPr>
            <w:tcW w:w="1469" w:type="dxa"/>
            <w:tcBorders>
              <w:top w:val="single" w:color="000000" w:sz="6" w:space="0"/>
              <w:left w:val="single" w:color="000000" w:sz="6" w:space="0"/>
              <w:bottom w:val="single" w:color="000000" w:sz="6" w:space="0"/>
              <w:right w:val="single" w:color="000000" w:sz="6" w:space="0"/>
            </w:tcBorders>
          </w:tcPr>
          <w:p w14:paraId="1FCDB17F">
            <w:pPr>
              <w:rPr>
                <w:rFonts w:hint="eastAsia" w:ascii="宋体" w:hAnsi="宋体" w:cs="宋体"/>
                <w:color w:val="auto"/>
                <w:sz w:val="24"/>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311F259C">
            <w:pPr>
              <w:rPr>
                <w:rFonts w:hint="eastAsia" w:ascii="宋体" w:hAnsi="宋体" w:cs="宋体"/>
                <w:color w:val="auto"/>
                <w:sz w:val="24"/>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12F2AEA9">
            <w:pPr>
              <w:rPr>
                <w:rFonts w:hint="eastAsia" w:ascii="宋体" w:hAnsi="宋体" w:cs="宋体"/>
                <w:color w:val="auto"/>
                <w:sz w:val="24"/>
                <w:highlight w:val="none"/>
              </w:rPr>
            </w:pPr>
          </w:p>
        </w:tc>
      </w:tr>
      <w:tr w14:paraId="0FAAFAF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14:paraId="7C474D22">
            <w:pPr>
              <w:rPr>
                <w:rFonts w:hint="eastAsia" w:ascii="宋体" w:hAnsi="宋体" w:cs="宋体"/>
                <w:color w:val="auto"/>
                <w:sz w:val="24"/>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566715AD">
            <w:pPr>
              <w:rPr>
                <w:rFonts w:hint="eastAsia" w:ascii="宋体" w:hAnsi="宋体" w:cs="宋体"/>
                <w:color w:val="auto"/>
                <w:sz w:val="24"/>
                <w:highlight w:val="none"/>
              </w:rPr>
            </w:pPr>
          </w:p>
        </w:tc>
        <w:tc>
          <w:tcPr>
            <w:tcW w:w="2491" w:type="dxa"/>
            <w:tcBorders>
              <w:top w:val="single" w:color="000000" w:sz="6" w:space="0"/>
              <w:left w:val="single" w:color="000000" w:sz="6" w:space="0"/>
              <w:bottom w:val="single" w:color="000000" w:sz="6" w:space="0"/>
              <w:right w:val="single" w:color="000000" w:sz="6" w:space="0"/>
            </w:tcBorders>
          </w:tcPr>
          <w:p w14:paraId="4BB77639">
            <w:pPr>
              <w:rPr>
                <w:rFonts w:hint="eastAsia" w:ascii="宋体" w:hAnsi="宋体" w:cs="宋体"/>
                <w:color w:val="auto"/>
                <w:sz w:val="24"/>
                <w:highlight w:val="none"/>
              </w:rPr>
            </w:pPr>
          </w:p>
        </w:tc>
        <w:tc>
          <w:tcPr>
            <w:tcW w:w="1469" w:type="dxa"/>
            <w:tcBorders>
              <w:top w:val="single" w:color="000000" w:sz="6" w:space="0"/>
              <w:left w:val="single" w:color="000000" w:sz="6" w:space="0"/>
              <w:bottom w:val="single" w:color="000000" w:sz="6" w:space="0"/>
              <w:right w:val="single" w:color="000000" w:sz="6" w:space="0"/>
            </w:tcBorders>
          </w:tcPr>
          <w:p w14:paraId="583F4385">
            <w:pPr>
              <w:rPr>
                <w:rFonts w:hint="eastAsia" w:ascii="宋体" w:hAnsi="宋体" w:cs="宋体"/>
                <w:color w:val="auto"/>
                <w:sz w:val="24"/>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0E0E24DA">
            <w:pPr>
              <w:rPr>
                <w:rFonts w:hint="eastAsia" w:ascii="宋体" w:hAnsi="宋体" w:cs="宋体"/>
                <w:color w:val="auto"/>
                <w:sz w:val="24"/>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4FA88960">
            <w:pPr>
              <w:rPr>
                <w:rFonts w:hint="eastAsia" w:ascii="宋体" w:hAnsi="宋体" w:cs="宋体"/>
                <w:color w:val="auto"/>
                <w:sz w:val="24"/>
                <w:highlight w:val="none"/>
              </w:rPr>
            </w:pPr>
          </w:p>
        </w:tc>
      </w:tr>
    </w:tbl>
    <w:p w14:paraId="2D6AE6CB">
      <w:pPr>
        <w:rPr>
          <w:rFonts w:hint="eastAsia" w:ascii="宋体" w:hAnsi="宋体" w:cs="宋体"/>
          <w:color w:val="auto"/>
          <w:sz w:val="24"/>
          <w:highlight w:val="none"/>
          <w:u w:val="single"/>
        </w:rPr>
      </w:pPr>
    </w:p>
    <w:p w14:paraId="7924C66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u w:val="single"/>
        </w:rPr>
        <w:t>注：供应商的首次响应文件中的内容与竞争性磋商文件（含竞争性磋商文件的澄清或者修改，下同）的要求不同时，逐条列在偏离表中，否则将认为供应商接受竞争性磋商文件的要求。</w:t>
      </w:r>
    </w:p>
    <w:p w14:paraId="12DC09EE">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1E759F0B">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21632996">
      <w:pPr>
        <w:pStyle w:val="2"/>
        <w:rPr>
          <w:color w:val="auto"/>
          <w:highlight w:val="none"/>
        </w:rPr>
      </w:pPr>
    </w:p>
    <w:p w14:paraId="743F28FE">
      <w:pPr>
        <w:numPr>
          <w:ilvl w:val="0"/>
          <w:numId w:val="9"/>
        </w:numPr>
        <w:spacing w:line="360" w:lineRule="auto"/>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合同草案条款</w:t>
      </w:r>
    </w:p>
    <w:p w14:paraId="36149FBF">
      <w:pPr>
        <w:pStyle w:val="278"/>
        <w:rPr>
          <w:color w:val="auto"/>
          <w:highlight w:val="none"/>
        </w:rPr>
      </w:pPr>
      <w:bookmarkStart w:id="8" w:name="_Toc14780"/>
      <w:r>
        <w:rPr>
          <w:color w:val="auto"/>
          <w:highlight w:val="none"/>
        </w:rPr>
        <w:t>拟签订的合同文本</w:t>
      </w:r>
      <w:bookmarkEnd w:id="8"/>
    </w:p>
    <w:p w14:paraId="50412572">
      <w:pPr>
        <w:spacing w:after="120"/>
        <w:rPr>
          <w:rFonts w:hint="eastAsia" w:ascii="宋体" w:hAnsi="宋体" w:cs="宋体"/>
          <w:color w:val="auto"/>
          <w:sz w:val="28"/>
          <w:szCs w:val="28"/>
          <w:highlight w:val="none"/>
        </w:rPr>
      </w:pPr>
      <w:r>
        <w:rPr>
          <w:rFonts w:hint="eastAsia" w:ascii="宋体" w:hAnsi="宋体" w:cs="宋体"/>
          <w:color w:val="auto"/>
          <w:sz w:val="28"/>
          <w:szCs w:val="28"/>
          <w:highlight w:val="none"/>
        </w:rPr>
        <w:t>项目名称：</w:t>
      </w:r>
      <w:r>
        <w:rPr>
          <w:rFonts w:hint="eastAsia" w:ascii="宋体" w:hAnsi="宋体" w:cs="宋体"/>
          <w:color w:val="auto"/>
          <w:sz w:val="32"/>
          <w:szCs w:val="21"/>
          <w:highlight w:val="none"/>
        </w:rPr>
        <w:t>2026年新沂市乡镇（街道）网格化空气自动监测站运行维护</w:t>
      </w:r>
    </w:p>
    <w:p w14:paraId="6E46760E">
      <w:pPr>
        <w:spacing w:after="12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项目编号：</w:t>
      </w:r>
      <w:r>
        <w:rPr>
          <w:rFonts w:hint="eastAsia" w:ascii="宋体" w:hAnsi="宋体" w:cs="宋体"/>
          <w:color w:val="auto"/>
          <w:sz w:val="32"/>
          <w:szCs w:val="21"/>
          <w:highlight w:val="none"/>
          <w:lang w:eastAsia="zh-CN"/>
        </w:rPr>
        <w:t>JSZC-320381-ZXGL-C2026-0004</w:t>
      </w:r>
    </w:p>
    <w:p w14:paraId="202BE9A7">
      <w:pPr>
        <w:spacing w:after="12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政</w:t>
      </w:r>
    </w:p>
    <w:p w14:paraId="4FAF7B2B">
      <w:pPr>
        <w:spacing w:after="12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府</w:t>
      </w:r>
    </w:p>
    <w:p w14:paraId="1A14EFBF">
      <w:pPr>
        <w:spacing w:after="12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采</w:t>
      </w:r>
    </w:p>
    <w:p w14:paraId="303E4509">
      <w:pPr>
        <w:spacing w:after="12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购</w:t>
      </w:r>
    </w:p>
    <w:p w14:paraId="5FEB2B28">
      <w:pPr>
        <w:spacing w:after="12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合</w:t>
      </w:r>
    </w:p>
    <w:p w14:paraId="5BE382E8">
      <w:pPr>
        <w:spacing w:after="12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同</w:t>
      </w:r>
    </w:p>
    <w:p w14:paraId="4221F544">
      <w:pPr>
        <w:spacing w:after="120"/>
        <w:rPr>
          <w:rFonts w:hint="eastAsia" w:ascii="宋体" w:hAnsi="宋体" w:cs="宋体"/>
          <w:color w:val="auto"/>
          <w:szCs w:val="21"/>
          <w:highlight w:val="none"/>
        </w:rPr>
      </w:pPr>
    </w:p>
    <w:p w14:paraId="2BCB1CA1">
      <w:pPr>
        <w:spacing w:after="12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采购人：</w:t>
      </w:r>
    </w:p>
    <w:p w14:paraId="2A1607AF">
      <w:pPr>
        <w:spacing w:after="12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中标人：</w:t>
      </w:r>
    </w:p>
    <w:p w14:paraId="2A318B15">
      <w:pPr>
        <w:spacing w:after="12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合同签订日期：   年   月   日</w:t>
      </w:r>
    </w:p>
    <w:p w14:paraId="49B17B8C">
      <w:pPr>
        <w:spacing w:line="3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友情提醒：采购人与中标或成交供应商应当在中标或成交通知书发出之日起三十日内，按照采购文件确定的事项签订政府采购合同。</w:t>
      </w:r>
    </w:p>
    <w:p w14:paraId="38DD784F">
      <w:pPr>
        <w:spacing w:line="3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采购人应当自政府采购合同签订之日起2个工作日内，将政府采购合同在省级以上人民政府财政部门指定的媒体上公告，但政府采购合同中涉及国家秘密、商业秘密的内容除外。</w:t>
      </w:r>
    </w:p>
    <w:p w14:paraId="235D4F5C">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4DBA3C09">
      <w:pPr>
        <w:widowControl/>
        <w:tabs>
          <w:tab w:val="left" w:pos="720"/>
        </w:tabs>
        <w:spacing w:line="336" w:lineRule="auto"/>
        <w:ind w:firstLine="480"/>
        <w:rPr>
          <w:rFonts w:hint="eastAsia" w:ascii="宋体" w:hAnsi="宋体"/>
          <w:color w:val="auto"/>
          <w:sz w:val="24"/>
          <w:highlight w:val="none"/>
          <w:u w:val="single"/>
        </w:rPr>
      </w:pPr>
      <w:r>
        <w:rPr>
          <w:rFonts w:hint="eastAsia" w:ascii="宋体" w:hAnsi="宋体"/>
          <w:color w:val="auto"/>
          <w:sz w:val="24"/>
          <w:highlight w:val="none"/>
        </w:rPr>
        <w:t>委托人（甲方）：</w:t>
      </w:r>
      <w:r>
        <w:rPr>
          <w:rFonts w:hint="eastAsia" w:ascii="宋体" w:hAnsi="宋体"/>
          <w:color w:val="auto"/>
          <w:sz w:val="24"/>
          <w:highlight w:val="none"/>
          <w:u w:val="single"/>
        </w:rPr>
        <w:t xml:space="preserve">                    </w:t>
      </w:r>
    </w:p>
    <w:p w14:paraId="7C9E0746">
      <w:pPr>
        <w:widowControl/>
        <w:tabs>
          <w:tab w:val="left" w:pos="720"/>
        </w:tabs>
        <w:spacing w:line="336" w:lineRule="auto"/>
        <w:ind w:firstLine="480"/>
        <w:rPr>
          <w:rFonts w:hint="eastAsia" w:ascii="宋体" w:hAnsi="宋体"/>
          <w:color w:val="auto"/>
          <w:sz w:val="24"/>
          <w:highlight w:val="none"/>
        </w:rPr>
      </w:pPr>
      <w:r>
        <w:rPr>
          <w:rFonts w:hint="eastAsia" w:ascii="宋体" w:hAnsi="宋体"/>
          <w:color w:val="auto"/>
          <w:sz w:val="24"/>
          <w:highlight w:val="none"/>
        </w:rPr>
        <w:t>服务人（乙方）：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5589F8BF">
      <w:pPr>
        <w:widowControl/>
        <w:tabs>
          <w:tab w:val="left" w:pos="720"/>
        </w:tabs>
        <w:spacing w:line="336" w:lineRule="auto"/>
        <w:ind w:firstLine="480"/>
        <w:rPr>
          <w:rFonts w:hint="eastAsia" w:ascii="宋体" w:hAnsi="宋体"/>
          <w:color w:val="auto"/>
          <w:sz w:val="24"/>
          <w:highlight w:val="none"/>
        </w:rPr>
      </w:pPr>
      <w:r>
        <w:rPr>
          <w:rFonts w:hint="eastAsia" w:ascii="宋体" w:hAnsi="宋体"/>
          <w:color w:val="auto"/>
          <w:sz w:val="24"/>
          <w:highlight w:val="none"/>
        </w:rPr>
        <w:t>根据《中华人民共和国政府采购法》、《中华人民共和国民法典》等法律法规，经甲乙双方协商，本着平等互利和诚实信用的原则，双方一致同意，签订本合同.</w:t>
      </w:r>
    </w:p>
    <w:p w14:paraId="29189C04">
      <w:pPr>
        <w:widowControl/>
        <w:spacing w:line="336" w:lineRule="auto"/>
        <w:ind w:left="1436" w:hanging="885"/>
        <w:rPr>
          <w:rFonts w:hint="eastAsia" w:ascii="宋体" w:hAnsi="宋体"/>
          <w:b/>
          <w:color w:val="auto"/>
          <w:sz w:val="24"/>
          <w:highlight w:val="none"/>
        </w:rPr>
      </w:pPr>
      <w:r>
        <w:rPr>
          <w:rFonts w:hint="eastAsia" w:ascii="宋体" w:hAnsi="宋体"/>
          <w:b/>
          <w:color w:val="auto"/>
          <w:sz w:val="24"/>
          <w:highlight w:val="none"/>
        </w:rPr>
        <w:t>第一条 服务内容及期限</w:t>
      </w:r>
    </w:p>
    <w:p w14:paraId="30261D1F">
      <w:pPr>
        <w:widowControl/>
        <w:spacing w:line="336" w:lineRule="auto"/>
        <w:ind w:firstLine="555"/>
        <w:rPr>
          <w:rFonts w:hint="eastAsia" w:ascii="宋体" w:hAnsi="宋体"/>
          <w:color w:val="auto"/>
          <w:sz w:val="24"/>
          <w:highlight w:val="none"/>
        </w:rPr>
      </w:pPr>
      <w:r>
        <w:rPr>
          <w:rFonts w:hint="eastAsia" w:ascii="宋体" w:hAnsi="宋体"/>
          <w:color w:val="auto"/>
          <w:sz w:val="24"/>
          <w:highlight w:val="none"/>
        </w:rPr>
        <w:t>1、项目名称：</w:t>
      </w:r>
      <w:r>
        <w:rPr>
          <w:rFonts w:hint="eastAsia" w:ascii="宋体" w:hAnsi="宋体" w:cs="宋体"/>
          <w:color w:val="auto"/>
          <w:sz w:val="24"/>
          <w:highlight w:val="none"/>
          <w:u w:val="single"/>
          <w:shd w:val="clear" w:color="auto" w:fill="FFFFFF"/>
        </w:rPr>
        <w:t xml:space="preserve">       </w:t>
      </w:r>
    </w:p>
    <w:p w14:paraId="4137F5AB">
      <w:pPr>
        <w:widowControl/>
        <w:spacing w:line="336" w:lineRule="auto"/>
        <w:ind w:firstLine="555"/>
        <w:rPr>
          <w:rFonts w:hint="eastAsia" w:ascii="宋体" w:hAnsi="宋体"/>
          <w:color w:val="auto"/>
          <w:sz w:val="24"/>
          <w:highlight w:val="none"/>
        </w:rPr>
      </w:pPr>
      <w:r>
        <w:rPr>
          <w:rFonts w:hint="eastAsia" w:ascii="宋体" w:hAnsi="宋体"/>
          <w:color w:val="auto"/>
          <w:sz w:val="24"/>
          <w:highlight w:val="none"/>
        </w:rPr>
        <w:t>2、服务内容：</w:t>
      </w:r>
      <w:r>
        <w:rPr>
          <w:rFonts w:hint="eastAsia" w:ascii="宋体" w:hAnsi="宋体"/>
          <w:color w:val="auto"/>
          <w:sz w:val="24"/>
          <w:highlight w:val="none"/>
          <w:u w:val="single"/>
        </w:rPr>
        <w:t xml:space="preserve"> </w:t>
      </w:r>
    </w:p>
    <w:p w14:paraId="1AD87EEF">
      <w:pPr>
        <w:widowControl/>
        <w:spacing w:line="336" w:lineRule="auto"/>
        <w:ind w:firstLine="570"/>
        <w:rPr>
          <w:rFonts w:hint="eastAsia" w:ascii="宋体" w:hAnsi="宋体"/>
          <w:color w:val="auto"/>
          <w:sz w:val="24"/>
          <w:highlight w:val="none"/>
        </w:rPr>
      </w:pPr>
      <w:r>
        <w:rPr>
          <w:rFonts w:hint="eastAsia" w:ascii="宋体" w:hAnsi="宋体"/>
          <w:color w:val="auto"/>
          <w:sz w:val="24"/>
          <w:highlight w:val="none"/>
        </w:rPr>
        <w:t>3、服务期限：自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日至自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7E8A5A2E">
      <w:pPr>
        <w:widowControl/>
        <w:spacing w:line="336" w:lineRule="auto"/>
        <w:ind w:firstLine="570"/>
        <w:rPr>
          <w:rFonts w:hint="eastAsia" w:ascii="宋体" w:hAnsi="宋体"/>
          <w:color w:val="auto"/>
          <w:sz w:val="24"/>
          <w:highlight w:val="none"/>
          <w:u w:val="single"/>
        </w:rPr>
      </w:pPr>
      <w:r>
        <w:rPr>
          <w:rFonts w:hint="eastAsia" w:ascii="宋体" w:hAnsi="宋体"/>
          <w:color w:val="auto"/>
          <w:sz w:val="24"/>
          <w:highlight w:val="none"/>
        </w:rPr>
        <w:t>4、服务地点：</w:t>
      </w:r>
      <w:r>
        <w:rPr>
          <w:rFonts w:hint="eastAsia" w:ascii="宋体" w:hAnsi="宋体"/>
          <w:color w:val="auto"/>
          <w:sz w:val="24"/>
          <w:highlight w:val="none"/>
          <w:u w:val="single"/>
        </w:rPr>
        <w:t xml:space="preserve"> </w:t>
      </w:r>
    </w:p>
    <w:p w14:paraId="1CB2A23B">
      <w:pPr>
        <w:widowControl/>
        <w:spacing w:line="336" w:lineRule="auto"/>
        <w:ind w:left="1436" w:hanging="885"/>
        <w:rPr>
          <w:rFonts w:hint="eastAsia" w:ascii="宋体" w:hAnsi="宋体"/>
          <w:b/>
          <w:color w:val="auto"/>
          <w:sz w:val="24"/>
          <w:highlight w:val="none"/>
        </w:rPr>
      </w:pPr>
      <w:r>
        <w:rPr>
          <w:rFonts w:hint="eastAsia" w:ascii="宋体" w:hAnsi="宋体"/>
          <w:b/>
          <w:color w:val="auto"/>
          <w:sz w:val="24"/>
          <w:highlight w:val="none"/>
        </w:rPr>
        <w:t>第二条  服务质量标准</w:t>
      </w:r>
    </w:p>
    <w:p w14:paraId="0C066D4E">
      <w:pPr>
        <w:widowControl/>
        <w:spacing w:line="336" w:lineRule="auto"/>
        <w:ind w:firstLine="480"/>
        <w:rPr>
          <w:rFonts w:hint="eastAsia" w:ascii="宋体" w:hAnsi="宋体"/>
          <w:color w:val="auto"/>
          <w:sz w:val="24"/>
          <w:highlight w:val="none"/>
          <w:u w:val="single"/>
        </w:rPr>
      </w:pPr>
      <w:r>
        <w:rPr>
          <w:rFonts w:hint="eastAsia" w:ascii="宋体" w:hAnsi="宋体"/>
          <w:color w:val="auto"/>
          <w:sz w:val="24"/>
          <w:highlight w:val="none"/>
        </w:rPr>
        <w:t>1、服务具体要求：</w:t>
      </w:r>
      <w:r>
        <w:rPr>
          <w:rFonts w:hint="eastAsia" w:ascii="宋体" w:hAnsi="宋体"/>
          <w:color w:val="auto"/>
          <w:sz w:val="24"/>
          <w:highlight w:val="none"/>
          <w:u w:val="single"/>
        </w:rPr>
        <w:t xml:space="preserve"> </w:t>
      </w:r>
    </w:p>
    <w:p w14:paraId="6D9C01D4">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2、服务进度要求：</w:t>
      </w:r>
      <w:r>
        <w:rPr>
          <w:rFonts w:hint="eastAsia" w:ascii="宋体" w:hAnsi="宋体"/>
          <w:color w:val="auto"/>
          <w:sz w:val="24"/>
          <w:highlight w:val="none"/>
          <w:u w:val="single"/>
        </w:rPr>
        <w:t xml:space="preserve"> </w:t>
      </w:r>
    </w:p>
    <w:p w14:paraId="14FF2093">
      <w:pPr>
        <w:widowControl/>
        <w:spacing w:line="336" w:lineRule="auto"/>
        <w:ind w:firstLine="472"/>
        <w:rPr>
          <w:rFonts w:hint="eastAsia" w:ascii="宋体" w:hAnsi="宋体"/>
          <w:b/>
          <w:color w:val="auto"/>
          <w:sz w:val="24"/>
          <w:highlight w:val="none"/>
        </w:rPr>
      </w:pPr>
      <w:r>
        <w:rPr>
          <w:rFonts w:hint="eastAsia" w:ascii="宋体" w:hAnsi="宋体"/>
          <w:b/>
          <w:color w:val="auto"/>
          <w:sz w:val="24"/>
          <w:highlight w:val="none"/>
        </w:rPr>
        <w:t>第三条  合同金额</w:t>
      </w:r>
    </w:p>
    <w:p w14:paraId="1A9152F0">
      <w:pPr>
        <w:spacing w:before="120" w:after="120" w:line="336" w:lineRule="auto"/>
        <w:ind w:firstLine="480"/>
        <w:rPr>
          <w:rFonts w:hint="eastAsia" w:ascii="宋体" w:hAnsi="宋体"/>
          <w:color w:val="auto"/>
          <w:sz w:val="24"/>
          <w:szCs w:val="20"/>
          <w:highlight w:val="none"/>
        </w:rPr>
      </w:pPr>
      <w:r>
        <w:rPr>
          <w:rFonts w:hint="eastAsia" w:ascii="宋体" w:hAnsi="宋体"/>
          <w:color w:val="auto"/>
          <w:sz w:val="24"/>
          <w:szCs w:val="20"/>
          <w:highlight w:val="none"/>
        </w:rPr>
        <w:t>1、本合同价格形式为：</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w:t>
      </w:r>
    </w:p>
    <w:p w14:paraId="5427891E">
      <w:pPr>
        <w:spacing w:before="120" w:after="120" w:line="336" w:lineRule="auto"/>
        <w:ind w:firstLine="480"/>
        <w:rPr>
          <w:rFonts w:hint="eastAsia" w:ascii="宋体" w:hAnsi="宋体"/>
          <w:color w:val="auto"/>
          <w:sz w:val="24"/>
          <w:szCs w:val="20"/>
          <w:highlight w:val="none"/>
        </w:rPr>
      </w:pPr>
      <w:r>
        <w:rPr>
          <w:rFonts w:hint="eastAsia" w:ascii="宋体" w:hAnsi="宋体"/>
          <w:color w:val="auto"/>
          <w:sz w:val="24"/>
          <w:szCs w:val="20"/>
          <w:highlight w:val="none"/>
        </w:rPr>
        <w:t>2、本合同服务费总金额为人民币（大写）：</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元（￥</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元）。</w:t>
      </w:r>
    </w:p>
    <w:p w14:paraId="0BC42C21">
      <w:pPr>
        <w:widowControl/>
        <w:spacing w:line="336" w:lineRule="auto"/>
        <w:ind w:firstLine="570"/>
        <w:rPr>
          <w:rFonts w:hint="eastAsia" w:ascii="宋体" w:hAnsi="宋体"/>
          <w:b/>
          <w:color w:val="auto"/>
          <w:sz w:val="24"/>
          <w:highlight w:val="none"/>
        </w:rPr>
      </w:pPr>
      <w:r>
        <w:rPr>
          <w:rFonts w:hint="eastAsia" w:ascii="宋体" w:hAnsi="宋体"/>
          <w:b/>
          <w:color w:val="auto"/>
          <w:sz w:val="24"/>
          <w:highlight w:val="none"/>
        </w:rPr>
        <w:t>第四条  甲方权利和义务</w:t>
      </w:r>
    </w:p>
    <w:p w14:paraId="7FDD947F">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1、甲方项目负责人（联系人）：</w:t>
      </w:r>
      <w:r>
        <w:rPr>
          <w:rFonts w:hint="eastAsia" w:ascii="宋体" w:hAnsi="宋体"/>
          <w:color w:val="auto"/>
          <w:sz w:val="24"/>
          <w:highlight w:val="none"/>
          <w:u w:val="single"/>
        </w:rPr>
        <w:t xml:space="preserve">           </w:t>
      </w:r>
      <w:r>
        <w:rPr>
          <w:rFonts w:hint="eastAsia" w:ascii="宋体" w:hAnsi="宋体"/>
          <w:color w:val="auto"/>
          <w:sz w:val="24"/>
          <w:highlight w:val="none"/>
        </w:rPr>
        <w:t>联系电话：</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296DA46">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2、甲方有权对乙方的服务过程进行监督，提出改进意见，对不符合甲方要求的服务人员及设备提出调整，乙方需进行配合。</w:t>
      </w:r>
    </w:p>
    <w:p w14:paraId="20409F4D">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3、甲方有权对乙方的服务成果进行考核，对考核不合格部分有权拒绝支付费用，并要求乙方进行整改，直至满足甲方考核要求后，方可支付费用。</w:t>
      </w:r>
    </w:p>
    <w:p w14:paraId="6A2C07CA">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4、甲方应为乙方提供的技术资料：</w:t>
      </w:r>
      <w:r>
        <w:rPr>
          <w:rFonts w:hint="eastAsia" w:ascii="宋体" w:hAnsi="宋体"/>
          <w:color w:val="auto"/>
          <w:sz w:val="24"/>
          <w:highlight w:val="none"/>
          <w:u w:val="single"/>
        </w:rPr>
        <w:t xml:space="preserve">        </w:t>
      </w:r>
      <w:r>
        <w:rPr>
          <w:rFonts w:hint="eastAsia" w:ascii="宋体" w:hAnsi="宋体"/>
          <w:color w:val="auto"/>
          <w:sz w:val="24"/>
          <w:highlight w:val="none"/>
        </w:rPr>
        <w:t>，甲方应保证。所提供相关资料真实、有效。</w:t>
      </w:r>
    </w:p>
    <w:p w14:paraId="3633C0C7">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5、甲方应协助乙方协调相关方的关系，协助解决相关方产生的矛盾，避免影响工作的顺利进行；</w:t>
      </w:r>
    </w:p>
    <w:p w14:paraId="7A775773">
      <w:pPr>
        <w:widowControl/>
        <w:spacing w:line="336" w:lineRule="auto"/>
        <w:ind w:firstLine="570"/>
        <w:rPr>
          <w:rFonts w:hint="eastAsia" w:ascii="宋体" w:hAnsi="宋体"/>
          <w:b/>
          <w:color w:val="auto"/>
          <w:sz w:val="24"/>
          <w:highlight w:val="none"/>
        </w:rPr>
      </w:pPr>
      <w:r>
        <w:rPr>
          <w:rFonts w:hint="eastAsia" w:ascii="宋体" w:hAnsi="宋体"/>
          <w:b/>
          <w:color w:val="auto"/>
          <w:sz w:val="24"/>
          <w:highlight w:val="none"/>
        </w:rPr>
        <w:t>第五条  乙方权利和义务</w:t>
      </w:r>
    </w:p>
    <w:p w14:paraId="4F62C9B7">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1、乙方项目负责人（联系人）：</w:t>
      </w:r>
      <w:r>
        <w:rPr>
          <w:rFonts w:hint="eastAsia" w:ascii="宋体" w:hAnsi="宋体"/>
          <w:color w:val="auto"/>
          <w:sz w:val="24"/>
          <w:highlight w:val="none"/>
          <w:u w:val="single"/>
        </w:rPr>
        <w:t xml:space="preserve">           </w:t>
      </w:r>
      <w:r>
        <w:rPr>
          <w:rFonts w:hint="eastAsia" w:ascii="宋体" w:hAnsi="宋体"/>
          <w:color w:val="auto"/>
          <w:sz w:val="24"/>
          <w:highlight w:val="none"/>
        </w:rPr>
        <w:t>联系电话：</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BE163E6">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2、乙方应按期完成甲方的委托，按期完成约定的相关工作；</w:t>
      </w:r>
    </w:p>
    <w:p w14:paraId="30C2300B">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3、乙方应依照法律法规、行业技术标准及合同约定内容，开展服务。</w:t>
      </w:r>
    </w:p>
    <w:p w14:paraId="24B9E665">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4、乙方应当及时向甲方报告项目的进展情况。</w:t>
      </w:r>
    </w:p>
    <w:p w14:paraId="0AC886B6">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5、乙方应提供的人员、设备：</w:t>
      </w:r>
      <w:r>
        <w:rPr>
          <w:rFonts w:hint="eastAsia" w:ascii="宋体" w:hAnsi="宋体"/>
          <w:color w:val="auto"/>
          <w:sz w:val="24"/>
          <w:highlight w:val="none"/>
          <w:u w:val="single"/>
        </w:rPr>
        <w:t xml:space="preserve">                      </w:t>
      </w:r>
    </w:p>
    <w:p w14:paraId="49E4BBAC">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6、乙方应当接受甲方对服务活动的监督和考核，有权对考核结果提出异议。</w:t>
      </w:r>
    </w:p>
    <w:p w14:paraId="6700A13B">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7、乙方不得将委托事项转委托给第三方；</w:t>
      </w:r>
    </w:p>
    <w:p w14:paraId="1E3635EB">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8、甲方安排的服务内容和因工作需要聘请的专业技术人员，乙方应积极支持配合，不得转包，中途更换人员需经甲方书面同意，不得推诿；</w:t>
      </w:r>
    </w:p>
    <w:p w14:paraId="20BF37EA">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9、乙方在执行项目业务过程中，对有争议或有分歧的问题，应及时向甲方提出书面报告，共同研究解决，不得擅自处理；</w:t>
      </w:r>
    </w:p>
    <w:p w14:paraId="62D0C0AE">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10、乙方及其工作人员应遵守国家的有关保密规定，不得泄露国家机密和甲方的机密。如有泄密造成损失，乙方应当赔偿损失，损失难以确定的，乙方支付甲方合同价款10%违约金；</w:t>
      </w:r>
    </w:p>
    <w:p w14:paraId="7D7CC7A5">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11、项目组人员必须固定，如有变动需经甲方书面同意，否则视为乙方违约。</w:t>
      </w:r>
    </w:p>
    <w:p w14:paraId="37040F7C">
      <w:pPr>
        <w:widowControl/>
        <w:tabs>
          <w:tab w:val="left" w:pos="630"/>
        </w:tabs>
        <w:spacing w:line="336" w:lineRule="auto"/>
        <w:ind w:firstLine="472"/>
        <w:rPr>
          <w:rFonts w:hint="eastAsia" w:ascii="宋体" w:hAnsi="宋体"/>
          <w:b/>
          <w:color w:val="auto"/>
          <w:sz w:val="24"/>
          <w:highlight w:val="none"/>
        </w:rPr>
      </w:pPr>
      <w:r>
        <w:rPr>
          <w:rFonts w:hint="eastAsia" w:ascii="宋体" w:hAnsi="宋体"/>
          <w:b/>
          <w:color w:val="auto"/>
          <w:sz w:val="24"/>
          <w:highlight w:val="none"/>
        </w:rPr>
        <w:t>第六条  付款方式</w:t>
      </w:r>
    </w:p>
    <w:p w14:paraId="31D2DC58">
      <w:pPr>
        <w:spacing w:line="336" w:lineRule="auto"/>
        <w:ind w:firstLine="560"/>
        <w:rPr>
          <w:rFonts w:hint="eastAsia" w:ascii="宋体" w:hAnsi="宋体"/>
          <w:color w:val="auto"/>
          <w:sz w:val="24"/>
          <w:szCs w:val="20"/>
          <w:highlight w:val="none"/>
        </w:rPr>
      </w:pPr>
      <w:r>
        <w:rPr>
          <w:rFonts w:hint="eastAsia" w:ascii="宋体" w:hAnsi="宋体"/>
          <w:color w:val="auto"/>
          <w:sz w:val="24"/>
          <w:szCs w:val="20"/>
          <w:highlight w:val="none"/>
        </w:rPr>
        <w:t>1、本合同金额为人民币大写金额</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元（小写：</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元），经双方协商一致，选择以下第</w:t>
      </w:r>
      <w:r>
        <w:rPr>
          <w:rFonts w:hint="eastAsia" w:ascii="宋体" w:hAnsi="宋体"/>
          <w:color w:val="auto"/>
          <w:sz w:val="24"/>
          <w:szCs w:val="20"/>
          <w:highlight w:val="none"/>
          <w:u w:val="single"/>
        </w:rPr>
        <w:t xml:space="preserve">   （2）  </w:t>
      </w:r>
      <w:r>
        <w:rPr>
          <w:rFonts w:hint="eastAsia" w:ascii="宋体" w:hAnsi="宋体"/>
          <w:color w:val="auto"/>
          <w:sz w:val="24"/>
          <w:szCs w:val="20"/>
          <w:highlight w:val="none"/>
        </w:rPr>
        <w:t>种付款方式：</w:t>
      </w:r>
    </w:p>
    <w:p w14:paraId="015BDCB6">
      <w:pPr>
        <w:spacing w:line="336" w:lineRule="auto"/>
        <w:ind w:firstLine="560"/>
        <w:outlineLvl w:val="1"/>
        <w:rPr>
          <w:rFonts w:hint="eastAsia" w:ascii="宋体" w:hAnsi="宋体"/>
          <w:color w:val="auto"/>
          <w:sz w:val="24"/>
          <w:highlight w:val="none"/>
        </w:rPr>
      </w:pPr>
      <w:r>
        <w:rPr>
          <w:rFonts w:hint="eastAsia" w:ascii="宋体" w:hAnsi="宋体"/>
          <w:color w:val="auto"/>
          <w:sz w:val="24"/>
          <w:highlight w:val="none"/>
        </w:rPr>
        <w:t>（1）提交预付款保函的</w:t>
      </w:r>
    </w:p>
    <w:p w14:paraId="3C2EE332">
      <w:pPr>
        <w:spacing w:line="336" w:lineRule="auto"/>
        <w:ind w:firstLine="560"/>
        <w:outlineLvl w:val="1"/>
        <w:rPr>
          <w:rFonts w:hint="eastAsia" w:ascii="宋体" w:hAnsi="宋体"/>
          <w:color w:val="auto"/>
          <w:sz w:val="24"/>
          <w:highlight w:val="none"/>
        </w:rPr>
      </w:pPr>
      <w:r>
        <w:rPr>
          <w:rFonts w:hint="eastAsia" w:ascii="宋体" w:hAnsi="宋体"/>
          <w:color w:val="auto"/>
          <w:sz w:val="24"/>
          <w:highlight w:val="none"/>
        </w:rPr>
        <w:t>合同金额的百分之四十（40%）作为预付款，小写￥</w:t>
      </w:r>
      <w:r>
        <w:rPr>
          <w:rFonts w:hint="eastAsia" w:ascii="宋体" w:hAnsi="宋体"/>
          <w:color w:val="auto"/>
          <w:sz w:val="24"/>
          <w:highlight w:val="none"/>
          <w:u w:val="single"/>
        </w:rPr>
        <w:t xml:space="preserve">       </w:t>
      </w:r>
      <w:r>
        <w:rPr>
          <w:rFonts w:hint="eastAsia" w:ascii="宋体" w:hAnsi="宋体"/>
          <w:color w:val="auto"/>
          <w:sz w:val="24"/>
          <w:highlight w:val="none"/>
        </w:rPr>
        <w:t>大写：人民币大写金额</w:t>
      </w:r>
      <w:r>
        <w:rPr>
          <w:rFonts w:hint="eastAsia" w:ascii="宋体" w:hAnsi="宋体"/>
          <w:color w:val="auto"/>
          <w:sz w:val="24"/>
          <w:highlight w:val="none"/>
          <w:u w:val="single"/>
        </w:rPr>
        <w:t xml:space="preserve">         。</w:t>
      </w:r>
      <w:r>
        <w:rPr>
          <w:rFonts w:hint="eastAsia" w:ascii="宋体" w:hAnsi="宋体"/>
          <w:color w:val="auto"/>
          <w:sz w:val="24"/>
          <w:highlight w:val="none"/>
        </w:rPr>
        <w:t>在双方签订合同，乙方向甲方出具等额预付款保函且乙方提供对应金额的增值税发票后15日内，由甲方办理政府采购资金结算手续支付给乙方。</w:t>
      </w:r>
    </w:p>
    <w:p w14:paraId="6DCECE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合同总价的百分之六十(60%)即￥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，大写：人民币</w:t>
      </w:r>
      <w:r>
        <w:rPr>
          <w:rFonts w:hint="eastAsia" w:ascii="宋体" w:hAnsi="宋体" w:cs="宋体"/>
          <w:color w:val="auto"/>
          <w:sz w:val="24"/>
          <w:highlight w:val="none"/>
          <w:u w:val="single"/>
        </w:rPr>
        <w:t>      </w:t>
      </w:r>
      <w:r>
        <w:rPr>
          <w:rFonts w:hint="eastAsia" w:ascii="宋体" w:hAnsi="宋体" w:cs="宋体"/>
          <w:color w:val="auto"/>
          <w:sz w:val="24"/>
          <w:highlight w:val="none"/>
        </w:rPr>
        <w:t xml:space="preserve">元，在乙方完成每月度规定的服务内容后，甲方根据考核结果据实结算，在下一个月起始10个工作日支付乙方上月度服务费，由甲方经审核后办理政府采购资金结算手续结算。        </w:t>
      </w:r>
    </w:p>
    <w:p w14:paraId="31C2D82E">
      <w:pPr>
        <w:spacing w:line="336" w:lineRule="auto"/>
        <w:ind w:firstLine="560"/>
        <w:outlineLvl w:val="1"/>
        <w:rPr>
          <w:rFonts w:hint="eastAsia" w:ascii="宋体" w:hAnsi="宋体"/>
          <w:color w:val="auto"/>
          <w:sz w:val="24"/>
          <w:highlight w:val="none"/>
        </w:rPr>
      </w:pPr>
      <w:r>
        <w:rPr>
          <w:rFonts w:hint="eastAsia" w:ascii="宋体" w:hAnsi="宋体"/>
          <w:color w:val="auto"/>
          <w:sz w:val="24"/>
          <w:highlight w:val="none"/>
        </w:rPr>
        <w:t>（2）不提交预付款保函的</w:t>
      </w:r>
    </w:p>
    <w:p w14:paraId="1AEC3D72">
      <w:pPr>
        <w:spacing w:line="336" w:lineRule="auto"/>
        <w:ind w:firstLine="560"/>
        <w:outlineLvl w:val="1"/>
        <w:rPr>
          <w:rFonts w:hint="eastAsia" w:ascii="宋体" w:hAnsi="宋体"/>
          <w:color w:val="auto"/>
          <w:sz w:val="24"/>
          <w:highlight w:val="none"/>
        </w:rPr>
      </w:pPr>
      <w:r>
        <w:rPr>
          <w:rFonts w:hint="eastAsia" w:ascii="宋体" w:hAnsi="宋体"/>
          <w:color w:val="auto"/>
          <w:sz w:val="24"/>
          <w:highlight w:val="none"/>
        </w:rPr>
        <w:t>合同签订后15日内，甲方应支付合同金额的百分之二十（20%）作为预付款，小写￥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大写：人民币</w:t>
      </w:r>
      <w:r>
        <w:rPr>
          <w:rFonts w:hint="eastAsia" w:ascii="宋体" w:hAnsi="宋体"/>
          <w:color w:val="auto"/>
          <w:sz w:val="24"/>
          <w:highlight w:val="none"/>
          <w:u w:val="single"/>
        </w:rPr>
        <w:t xml:space="preserve">             </w:t>
      </w:r>
      <w:r>
        <w:rPr>
          <w:rFonts w:hint="eastAsia" w:ascii="宋体" w:hAnsi="宋体"/>
          <w:color w:val="auto"/>
          <w:sz w:val="24"/>
          <w:highlight w:val="none"/>
        </w:rPr>
        <w:t>。由甲方办理政府采购资金结算手续支付给乙方。</w:t>
      </w:r>
    </w:p>
    <w:p w14:paraId="73FE04FE">
      <w:pPr>
        <w:spacing w:after="120" w:line="336" w:lineRule="auto"/>
        <w:ind w:firstLine="560"/>
        <w:rPr>
          <w:rFonts w:hint="eastAsia" w:ascii="宋体" w:hAnsi="宋体"/>
          <w:color w:val="auto"/>
          <w:sz w:val="24"/>
          <w:highlight w:val="none"/>
        </w:rPr>
      </w:pPr>
      <w:r>
        <w:rPr>
          <w:rFonts w:hint="eastAsia" w:ascii="宋体"/>
          <w:color w:val="auto"/>
          <w:sz w:val="24"/>
          <w:highlight w:val="none"/>
        </w:rPr>
        <w:t>合同总价的百分之八十(80%)（按季度付款）即￥</w:t>
      </w:r>
      <w:r>
        <w:rPr>
          <w:rFonts w:hint="eastAsia" w:ascii="宋体"/>
          <w:color w:val="auto"/>
          <w:sz w:val="24"/>
          <w:highlight w:val="none"/>
          <w:u w:val="single"/>
        </w:rPr>
        <w:t xml:space="preserve">     </w:t>
      </w:r>
      <w:r>
        <w:rPr>
          <w:rFonts w:hint="eastAsia" w:ascii="宋体"/>
          <w:color w:val="auto"/>
          <w:sz w:val="24"/>
          <w:highlight w:val="none"/>
        </w:rPr>
        <w:t>，大写：人民币</w:t>
      </w:r>
      <w:r>
        <w:rPr>
          <w:rFonts w:hint="eastAsia" w:ascii="宋体"/>
          <w:color w:val="auto"/>
          <w:sz w:val="24"/>
          <w:highlight w:val="none"/>
          <w:u w:val="single"/>
        </w:rPr>
        <w:t>      </w:t>
      </w:r>
      <w:r>
        <w:rPr>
          <w:rFonts w:hint="eastAsia" w:ascii="宋体"/>
          <w:color w:val="auto"/>
          <w:sz w:val="24"/>
          <w:highlight w:val="none"/>
        </w:rPr>
        <w:t>元，在乙方完成每季度规定的服务内容后，甲方根据考核结果据实结算，在下一个季度起始10个工作日支付乙方上季度服务费，由甲方经审核后办理政府采购资金结算手续结算。</w:t>
      </w:r>
      <w:r>
        <w:rPr>
          <w:rFonts w:hint="eastAsia" w:ascii="宋体" w:hAnsi="宋体"/>
          <w:color w:val="auto"/>
          <w:sz w:val="24"/>
          <w:highlight w:val="none"/>
        </w:rPr>
        <w:t xml:space="preserve"> </w:t>
      </w:r>
    </w:p>
    <w:p w14:paraId="73128885">
      <w:pPr>
        <w:spacing w:after="120" w:line="336" w:lineRule="auto"/>
        <w:ind w:firstLine="560"/>
        <w:rPr>
          <w:rFonts w:hint="eastAsia" w:ascii="宋体" w:hAnsi="宋体"/>
          <w:color w:val="auto"/>
          <w:sz w:val="24"/>
          <w:highlight w:val="none"/>
        </w:rPr>
      </w:pPr>
      <w:r>
        <w:rPr>
          <w:rFonts w:hint="eastAsia" w:ascii="宋体" w:hAnsi="宋体"/>
          <w:color w:val="auto"/>
          <w:sz w:val="24"/>
          <w:highlight w:val="none"/>
        </w:rPr>
        <w:t>（每次支付时，乙方应提前7日向甲方提供合法有效的经甲方财务部门认可的发票，甲方收到发票后按照上述约定期限付款。乙方向甲方提供发票为本合同乙方主要义务，本条款为合同主要条款。乙方逾期提供发票的，甲方不承担逾期付款责任。）</w:t>
      </w:r>
    </w:p>
    <w:p w14:paraId="290C4716">
      <w:pPr>
        <w:widowControl/>
        <w:tabs>
          <w:tab w:val="left" w:pos="900"/>
        </w:tabs>
        <w:spacing w:line="336" w:lineRule="auto"/>
        <w:ind w:firstLine="602"/>
        <w:rPr>
          <w:rFonts w:hint="eastAsia" w:ascii="宋体" w:hAnsi="宋体"/>
          <w:b/>
          <w:color w:val="auto"/>
          <w:sz w:val="24"/>
          <w:highlight w:val="none"/>
        </w:rPr>
      </w:pPr>
      <w:r>
        <w:rPr>
          <w:rFonts w:hint="eastAsia" w:ascii="宋体" w:hAnsi="宋体"/>
          <w:b/>
          <w:color w:val="auto"/>
          <w:sz w:val="24"/>
          <w:highlight w:val="none"/>
        </w:rPr>
        <w:t>第七条  违约责任</w:t>
      </w:r>
    </w:p>
    <w:p w14:paraId="570FD8B4">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1、甲方无正当理由拒绝接受服务的，甲方向乙方偿付合同款项百分之五作为违约金。</w:t>
      </w:r>
    </w:p>
    <w:p w14:paraId="15F956B2">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2、甲方无故逾期验收和办理款项支付手续的,甲方应按逾期付款总额每日万分之一向乙方支付违约金。</w:t>
      </w:r>
    </w:p>
    <w:p w14:paraId="197FB452">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 xml:space="preserve">3、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 </w:t>
      </w:r>
    </w:p>
    <w:p w14:paraId="53357678">
      <w:pPr>
        <w:widowControl/>
        <w:spacing w:line="336" w:lineRule="auto"/>
        <w:ind w:firstLine="482"/>
        <w:rPr>
          <w:rFonts w:hint="eastAsia" w:ascii="宋体" w:hAnsi="宋体"/>
          <w:b/>
          <w:color w:val="auto"/>
          <w:sz w:val="24"/>
          <w:highlight w:val="none"/>
        </w:rPr>
      </w:pPr>
      <w:r>
        <w:rPr>
          <w:rFonts w:hint="eastAsia" w:ascii="宋体" w:hAnsi="宋体"/>
          <w:b/>
          <w:color w:val="auto"/>
          <w:sz w:val="24"/>
          <w:highlight w:val="none"/>
        </w:rPr>
        <w:t>第九条  知识产权归属</w:t>
      </w:r>
    </w:p>
    <w:p w14:paraId="450EBAC7">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1、本项目的技术成果、知识产权归甲方所有。</w:t>
      </w:r>
    </w:p>
    <w:p w14:paraId="61202E52">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2、本项目所形成数据成果归甲方所有，乙方在本项目完成时应全部向甲方移交，乙方不享有使用权、处置权。</w:t>
      </w:r>
    </w:p>
    <w:p w14:paraId="2A9DEB50">
      <w:pPr>
        <w:widowControl/>
        <w:spacing w:line="336" w:lineRule="auto"/>
        <w:ind w:firstLine="480"/>
        <w:rPr>
          <w:rFonts w:hint="eastAsia" w:ascii="宋体" w:hAnsi="宋体"/>
          <w:b/>
          <w:color w:val="auto"/>
          <w:sz w:val="24"/>
          <w:highlight w:val="none"/>
        </w:rPr>
      </w:pPr>
      <w:r>
        <w:rPr>
          <w:rFonts w:hint="eastAsia" w:ascii="宋体" w:hAnsi="宋体"/>
          <w:color w:val="auto"/>
          <w:sz w:val="24"/>
          <w:highlight w:val="none"/>
        </w:rPr>
        <w:t>3、乙方应保证提供服务过程中不会侵犯任何第三方的知识产权。</w:t>
      </w:r>
    </w:p>
    <w:p w14:paraId="075928A5">
      <w:pPr>
        <w:widowControl/>
        <w:tabs>
          <w:tab w:val="left" w:pos="900"/>
        </w:tabs>
        <w:spacing w:line="336" w:lineRule="auto"/>
        <w:ind w:firstLine="482"/>
        <w:rPr>
          <w:rFonts w:hint="eastAsia" w:ascii="宋体" w:hAnsi="宋体"/>
          <w:b/>
          <w:color w:val="auto"/>
          <w:sz w:val="24"/>
          <w:highlight w:val="none"/>
        </w:rPr>
      </w:pPr>
      <w:r>
        <w:rPr>
          <w:rFonts w:hint="eastAsia" w:ascii="宋体" w:hAnsi="宋体"/>
          <w:b/>
          <w:color w:val="auto"/>
          <w:sz w:val="24"/>
          <w:highlight w:val="none"/>
        </w:rPr>
        <w:t>第十条  保密条款</w:t>
      </w:r>
    </w:p>
    <w:p w14:paraId="0278E77C">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乙方对甲方提供的资料负有保密义务，未经甲方同意，不得向项目无关单位和个人提供有关资料及信息。如发生以上情况，甲方有权索赔。</w:t>
      </w:r>
    </w:p>
    <w:p w14:paraId="73553398">
      <w:pPr>
        <w:widowControl/>
        <w:spacing w:line="336" w:lineRule="auto"/>
        <w:ind w:firstLine="472"/>
        <w:rPr>
          <w:rFonts w:hint="eastAsia" w:ascii="宋体" w:hAnsi="宋体"/>
          <w:b/>
          <w:color w:val="auto"/>
          <w:sz w:val="24"/>
          <w:highlight w:val="none"/>
        </w:rPr>
      </w:pPr>
      <w:r>
        <w:rPr>
          <w:rFonts w:hint="eastAsia" w:ascii="宋体" w:hAnsi="宋体"/>
          <w:b/>
          <w:color w:val="auto"/>
          <w:sz w:val="24"/>
          <w:highlight w:val="none"/>
        </w:rPr>
        <w:t>第十一条  争议的解决</w:t>
      </w:r>
    </w:p>
    <w:p w14:paraId="26A94D3A">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1、本合同执行过程中发生的任何争议，如双方不能通过友好协商解决，由合同签订地法院处理。</w:t>
      </w:r>
    </w:p>
    <w:p w14:paraId="48046FFA">
      <w:pPr>
        <w:spacing w:line="336" w:lineRule="auto"/>
        <w:ind w:firstLine="560"/>
        <w:rPr>
          <w:rFonts w:hint="eastAsia" w:ascii="宋体" w:hAnsi="宋体"/>
          <w:color w:val="auto"/>
          <w:sz w:val="24"/>
          <w:highlight w:val="none"/>
        </w:rPr>
      </w:pPr>
      <w:r>
        <w:rPr>
          <w:rFonts w:hint="eastAsia" w:ascii="宋体" w:hAnsi="宋体"/>
          <w:color w:val="auto"/>
          <w:sz w:val="24"/>
          <w:highlight w:val="none"/>
        </w:rPr>
        <w:t>2、本合同所载明的联系人、地址、电话等均为有效送达地址或送达渠道，仲裁时作为法律文书送达地址，任何一方如变更联系人、地址、联系电话等信息，均应以书面形式至少提前5个工作日通知对方或仲裁机构，否则按原送达地址或送达渠道进行送达的均视为有效送达。</w:t>
      </w:r>
    </w:p>
    <w:p w14:paraId="6D48B5B7">
      <w:pPr>
        <w:widowControl/>
        <w:tabs>
          <w:tab w:val="left" w:pos="630"/>
        </w:tabs>
        <w:spacing w:line="336" w:lineRule="auto"/>
        <w:ind w:firstLine="472"/>
        <w:rPr>
          <w:rFonts w:hint="eastAsia" w:ascii="宋体" w:hAnsi="宋体"/>
          <w:b/>
          <w:color w:val="auto"/>
          <w:sz w:val="24"/>
          <w:highlight w:val="none"/>
        </w:rPr>
      </w:pPr>
      <w:r>
        <w:rPr>
          <w:rFonts w:hint="eastAsia" w:ascii="宋体" w:hAnsi="宋体"/>
          <w:b/>
          <w:color w:val="auto"/>
          <w:sz w:val="24"/>
          <w:highlight w:val="none"/>
        </w:rPr>
        <w:t>第十二条  合同的终止</w:t>
      </w:r>
    </w:p>
    <w:p w14:paraId="19701CE7">
      <w:pPr>
        <w:widowControl/>
        <w:tabs>
          <w:tab w:val="left" w:pos="630"/>
        </w:tabs>
        <w:spacing w:line="336" w:lineRule="auto"/>
        <w:ind w:firstLine="470"/>
        <w:rPr>
          <w:rFonts w:hint="eastAsia" w:ascii="宋体" w:hAnsi="宋体"/>
          <w:color w:val="auto"/>
          <w:sz w:val="24"/>
          <w:highlight w:val="none"/>
        </w:rPr>
      </w:pPr>
      <w:r>
        <w:rPr>
          <w:rFonts w:hint="eastAsia" w:ascii="宋体" w:hAnsi="宋体"/>
          <w:color w:val="auto"/>
          <w:sz w:val="24"/>
          <w:highlight w:val="none"/>
        </w:rPr>
        <w:t>1、合同期满，双方未续签的。</w:t>
      </w:r>
    </w:p>
    <w:p w14:paraId="7D118149">
      <w:pPr>
        <w:widowControl/>
        <w:tabs>
          <w:tab w:val="left" w:pos="630"/>
        </w:tabs>
        <w:spacing w:line="336" w:lineRule="auto"/>
        <w:ind w:firstLine="480"/>
        <w:rPr>
          <w:rFonts w:hint="eastAsia" w:ascii="宋体" w:hAnsi="宋体"/>
          <w:color w:val="auto"/>
          <w:sz w:val="24"/>
          <w:highlight w:val="none"/>
        </w:rPr>
      </w:pPr>
      <w:r>
        <w:rPr>
          <w:rFonts w:hint="eastAsia" w:ascii="宋体" w:hAnsi="宋体"/>
          <w:color w:val="auto"/>
          <w:sz w:val="24"/>
          <w:highlight w:val="none"/>
        </w:rPr>
        <w:t>2、乙方服务能力丧失，致使服务无法正常进行的，甲方有权解除合同，并追究乙方的违约责任。</w:t>
      </w:r>
    </w:p>
    <w:p w14:paraId="2399D6A4">
      <w:pPr>
        <w:widowControl/>
        <w:tabs>
          <w:tab w:val="left" w:pos="630"/>
        </w:tabs>
        <w:spacing w:line="336" w:lineRule="auto"/>
        <w:ind w:firstLine="480"/>
        <w:rPr>
          <w:rFonts w:hint="eastAsia" w:ascii="宋体" w:hAnsi="宋体"/>
          <w:color w:val="auto"/>
          <w:sz w:val="24"/>
          <w:highlight w:val="none"/>
        </w:rPr>
      </w:pPr>
      <w:r>
        <w:rPr>
          <w:rFonts w:hint="eastAsia" w:ascii="宋体" w:hAnsi="宋体"/>
          <w:color w:val="auto"/>
          <w:sz w:val="24"/>
          <w:highlight w:val="none"/>
        </w:rPr>
        <w:t>3、乙方服务成果经甲方考核不合格，经整改仍不合格，甲方有权解除合同，并追究乙方违约责任。</w:t>
      </w:r>
    </w:p>
    <w:p w14:paraId="5FCC14A3">
      <w:pPr>
        <w:widowControl/>
        <w:tabs>
          <w:tab w:val="left" w:pos="630"/>
        </w:tabs>
        <w:spacing w:line="336" w:lineRule="auto"/>
        <w:ind w:firstLine="480"/>
        <w:rPr>
          <w:rFonts w:hint="eastAsia" w:ascii="宋体" w:hAnsi="宋体"/>
          <w:color w:val="auto"/>
          <w:sz w:val="24"/>
          <w:highlight w:val="none"/>
        </w:rPr>
      </w:pPr>
      <w:r>
        <w:rPr>
          <w:rFonts w:hint="eastAsia" w:ascii="宋体" w:hAnsi="宋体"/>
          <w:color w:val="auto"/>
          <w:sz w:val="24"/>
          <w:highlight w:val="none"/>
        </w:rPr>
        <w:t>4、因不可抗力导致合同无法继续履行的，双方可以解除本合同，互不承担责任。</w:t>
      </w:r>
    </w:p>
    <w:p w14:paraId="3340A0DC">
      <w:pPr>
        <w:widowControl/>
        <w:spacing w:line="336" w:lineRule="auto"/>
        <w:ind w:firstLine="472"/>
        <w:rPr>
          <w:rFonts w:hint="eastAsia" w:ascii="宋体" w:hAnsi="宋体"/>
          <w:b/>
          <w:color w:val="auto"/>
          <w:sz w:val="24"/>
          <w:highlight w:val="none"/>
        </w:rPr>
      </w:pPr>
      <w:r>
        <w:rPr>
          <w:rFonts w:hint="eastAsia" w:ascii="宋体" w:hAnsi="宋体"/>
          <w:b/>
          <w:color w:val="auto"/>
          <w:sz w:val="24"/>
          <w:highlight w:val="none"/>
        </w:rPr>
        <w:t>第十三条  其它</w:t>
      </w:r>
    </w:p>
    <w:p w14:paraId="5167E420">
      <w:pPr>
        <w:widowControl/>
        <w:spacing w:line="336" w:lineRule="auto"/>
        <w:ind w:firstLine="480"/>
        <w:rPr>
          <w:rFonts w:hint="eastAsia" w:ascii="宋体" w:hAnsi="宋体"/>
          <w:b/>
          <w:color w:val="auto"/>
          <w:sz w:val="24"/>
          <w:highlight w:val="none"/>
        </w:rPr>
      </w:pPr>
      <w:r>
        <w:rPr>
          <w:rFonts w:hint="eastAsia" w:ascii="宋体" w:hAnsi="宋体"/>
          <w:color w:val="auto"/>
          <w:sz w:val="24"/>
          <w:highlight w:val="none"/>
        </w:rPr>
        <w:t>1、本合同所有附件及磋商文件均为合同的有效组成部分，与本合同具有同等法律效力。</w:t>
      </w:r>
    </w:p>
    <w:p w14:paraId="19A76F0D">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2、在执行本合同的过程中，所有经双方签署确认的文件（包括会议纪要、补充协议、往来信函）即成为本合同的有效组成部分。</w:t>
      </w:r>
    </w:p>
    <w:p w14:paraId="475C0DE1">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 xml:space="preserve">3、如一方地址、电话、传真号码有变更，应在变更当日内书面通知对方，否则，应承担相应责任。 </w:t>
      </w:r>
    </w:p>
    <w:p w14:paraId="318D4782">
      <w:pPr>
        <w:widowControl/>
        <w:spacing w:line="336" w:lineRule="auto"/>
        <w:ind w:firstLine="482"/>
        <w:rPr>
          <w:rFonts w:hint="eastAsia" w:ascii="宋体" w:hAnsi="宋体"/>
          <w:b/>
          <w:color w:val="auto"/>
          <w:sz w:val="24"/>
          <w:highlight w:val="none"/>
        </w:rPr>
      </w:pPr>
      <w:r>
        <w:rPr>
          <w:rFonts w:hint="eastAsia" w:ascii="宋体" w:hAnsi="宋体"/>
          <w:b/>
          <w:color w:val="auto"/>
          <w:sz w:val="24"/>
          <w:highlight w:val="none"/>
        </w:rPr>
        <w:t>第十四条  合同生效</w:t>
      </w:r>
    </w:p>
    <w:p w14:paraId="13FD06BE">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1、合同经双方法定代表人或授权委托代理人签字并加盖单位公章后生效。</w:t>
      </w:r>
    </w:p>
    <w:p w14:paraId="6CF8698F">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2、合同执行中涉及采购资金和采购内容修改或补充的，须经新沂市财政部门审批，并签书面补充协议报政府采购监督管理部门备案，方可作为主合同不可分割的一部分。</w:t>
      </w:r>
    </w:p>
    <w:p w14:paraId="10F6782E">
      <w:pPr>
        <w:widowControl/>
        <w:spacing w:line="336" w:lineRule="auto"/>
        <w:ind w:firstLine="480"/>
        <w:rPr>
          <w:rFonts w:hint="eastAsia" w:ascii="宋体" w:hAnsi="宋体"/>
          <w:color w:val="auto"/>
          <w:sz w:val="24"/>
          <w:highlight w:val="none"/>
        </w:rPr>
      </w:pPr>
      <w:r>
        <w:rPr>
          <w:rFonts w:hint="eastAsia" w:ascii="宋体" w:hAnsi="宋体"/>
          <w:color w:val="auto"/>
          <w:sz w:val="24"/>
          <w:highlight w:val="none"/>
        </w:rPr>
        <w:t>3、本合同未尽事宜，遵照《中华人民共和国民法典》有关条文执行。</w:t>
      </w:r>
    </w:p>
    <w:p w14:paraId="5A6D3F79">
      <w:pPr>
        <w:widowControl/>
        <w:spacing w:line="336" w:lineRule="auto"/>
        <w:ind w:firstLine="480"/>
        <w:rPr>
          <w:rFonts w:hint="eastAsia" w:ascii="宋体" w:hAnsi="宋体"/>
          <w:b/>
          <w:color w:val="auto"/>
          <w:sz w:val="24"/>
          <w:highlight w:val="none"/>
        </w:rPr>
      </w:pPr>
      <w:r>
        <w:rPr>
          <w:rFonts w:hint="eastAsia" w:ascii="宋体" w:hAnsi="宋体"/>
          <w:color w:val="auto"/>
          <w:sz w:val="24"/>
          <w:highlight w:val="none"/>
        </w:rPr>
        <w:t>4、本合同正本一式两份，具有同等法律效力，甲乙双方各执一份；副本两份，一份用于政府采购监管部门备案，一份留采购代理机构备查。</w:t>
      </w:r>
    </w:p>
    <w:p w14:paraId="2C28D8BA">
      <w:pPr>
        <w:widowControl/>
        <w:spacing w:line="336" w:lineRule="auto"/>
        <w:rPr>
          <w:rFonts w:hint="eastAsia" w:ascii="宋体" w:hAnsi="宋体"/>
          <w:b/>
          <w:color w:val="auto"/>
          <w:sz w:val="24"/>
          <w:highlight w:val="none"/>
        </w:rPr>
      </w:pPr>
    </w:p>
    <w:p w14:paraId="360F3442">
      <w:pPr>
        <w:widowControl/>
        <w:spacing w:line="336" w:lineRule="auto"/>
        <w:rPr>
          <w:rFonts w:hint="eastAsia" w:ascii="宋体" w:hAnsi="宋体"/>
          <w:color w:val="auto"/>
          <w:sz w:val="24"/>
          <w:highlight w:val="none"/>
        </w:rPr>
      </w:pPr>
      <w:r>
        <w:rPr>
          <w:rFonts w:hint="eastAsia" w:ascii="宋体" w:hAnsi="宋体"/>
          <w:b/>
          <w:color w:val="auto"/>
          <w:sz w:val="24"/>
          <w:highlight w:val="none"/>
        </w:rPr>
        <w:t>甲方（盖章）：                          乙方（盖章）：</w:t>
      </w:r>
    </w:p>
    <w:p w14:paraId="005495E8">
      <w:pPr>
        <w:widowControl/>
        <w:spacing w:line="336" w:lineRule="auto"/>
        <w:rPr>
          <w:rFonts w:hint="eastAsia" w:ascii="宋体" w:hAnsi="宋体"/>
          <w:color w:val="auto"/>
          <w:sz w:val="24"/>
          <w:highlight w:val="none"/>
        </w:rPr>
      </w:pPr>
      <w:r>
        <w:rPr>
          <w:rFonts w:hint="eastAsia" w:ascii="宋体" w:hAnsi="宋体"/>
          <w:color w:val="auto"/>
          <w:sz w:val="24"/>
          <w:highlight w:val="none"/>
        </w:rPr>
        <w:t>法定代表人（盖章或签字）：              法定代表人（盖章或签字）：</w:t>
      </w:r>
    </w:p>
    <w:p w14:paraId="48079529">
      <w:pPr>
        <w:widowControl/>
        <w:tabs>
          <w:tab w:val="left" w:pos="525"/>
          <w:tab w:val="left" w:pos="1155"/>
        </w:tabs>
        <w:spacing w:line="336" w:lineRule="auto"/>
        <w:rPr>
          <w:rFonts w:hint="eastAsia" w:ascii="宋体" w:hAnsi="宋体"/>
          <w:color w:val="auto"/>
          <w:sz w:val="24"/>
          <w:highlight w:val="none"/>
        </w:rPr>
      </w:pPr>
      <w:r>
        <w:rPr>
          <w:rFonts w:hint="eastAsia" w:ascii="宋体" w:hAnsi="宋体"/>
          <w:color w:val="auto"/>
          <w:sz w:val="24"/>
          <w:highlight w:val="none"/>
        </w:rPr>
        <w:t>委托代理人（签字）：                    委托代理人（签字）：</w:t>
      </w:r>
    </w:p>
    <w:p w14:paraId="65F2225B">
      <w:pPr>
        <w:widowControl/>
        <w:tabs>
          <w:tab w:val="left" w:pos="525"/>
          <w:tab w:val="left" w:pos="1155"/>
        </w:tabs>
        <w:spacing w:line="336" w:lineRule="auto"/>
        <w:rPr>
          <w:rFonts w:hint="eastAsia" w:ascii="宋体" w:hAnsi="宋体"/>
          <w:color w:val="auto"/>
          <w:sz w:val="24"/>
          <w:highlight w:val="none"/>
        </w:rPr>
      </w:pPr>
      <w:r>
        <w:rPr>
          <w:rFonts w:hint="eastAsia" w:ascii="宋体" w:hAnsi="宋体"/>
          <w:color w:val="auto"/>
          <w:sz w:val="24"/>
          <w:highlight w:val="none"/>
        </w:rPr>
        <w:t>地  址：                                地  址：</w:t>
      </w:r>
    </w:p>
    <w:p w14:paraId="151CEAD5">
      <w:pPr>
        <w:widowControl/>
        <w:tabs>
          <w:tab w:val="left" w:pos="525"/>
          <w:tab w:val="left" w:pos="1155"/>
        </w:tabs>
        <w:spacing w:line="336" w:lineRule="auto"/>
        <w:rPr>
          <w:rFonts w:hint="eastAsia" w:ascii="宋体" w:hAnsi="宋体"/>
          <w:color w:val="auto"/>
          <w:sz w:val="24"/>
          <w:highlight w:val="none"/>
        </w:rPr>
      </w:pPr>
      <w:r>
        <w:rPr>
          <w:rFonts w:hint="eastAsia" w:ascii="宋体" w:hAnsi="宋体"/>
          <w:color w:val="auto"/>
          <w:sz w:val="24"/>
          <w:highlight w:val="none"/>
        </w:rPr>
        <w:t>电  话：                                电  话：</w:t>
      </w:r>
    </w:p>
    <w:p w14:paraId="1169A4D4">
      <w:pPr>
        <w:widowControl/>
        <w:tabs>
          <w:tab w:val="left" w:pos="525"/>
          <w:tab w:val="left" w:pos="1155"/>
        </w:tabs>
        <w:spacing w:line="336" w:lineRule="auto"/>
        <w:rPr>
          <w:rFonts w:hint="eastAsia" w:ascii="宋体" w:hAnsi="宋体"/>
          <w:color w:val="auto"/>
          <w:sz w:val="24"/>
          <w:highlight w:val="none"/>
        </w:rPr>
      </w:pPr>
      <w:r>
        <w:rPr>
          <w:rFonts w:hint="eastAsia" w:ascii="宋体" w:hAnsi="宋体"/>
          <w:color w:val="auto"/>
          <w:sz w:val="24"/>
          <w:highlight w:val="none"/>
        </w:rPr>
        <w:t>传  真：                                传  真：</w:t>
      </w:r>
    </w:p>
    <w:p w14:paraId="1CE51C61">
      <w:pPr>
        <w:pStyle w:val="71"/>
        <w:rPr>
          <w:color w:val="auto"/>
          <w:highlight w:val="none"/>
        </w:rPr>
      </w:pPr>
      <w:r>
        <w:rPr>
          <w:rFonts w:hint="eastAsia" w:ascii="宋体" w:hAnsi="宋体"/>
          <w:color w:val="auto"/>
          <w:sz w:val="24"/>
          <w:highlight w:val="none"/>
        </w:rPr>
        <w:t xml:space="preserve">日  期：   年 　月　 日              　 日    期：    年   月   日 </w:t>
      </w:r>
      <w:r>
        <w:rPr>
          <w:rFonts w:eastAsia="仿宋" w:cs="Calibri"/>
          <w:color w:val="auto"/>
          <w:sz w:val="30"/>
          <w:szCs w:val="30"/>
          <w:highlight w:val="none"/>
        </w:rPr>
        <w:t>  </w:t>
      </w:r>
    </w:p>
    <w:p w14:paraId="1C7E7408">
      <w:pPr>
        <w:widowControl/>
        <w:spacing w:line="256" w:lineRule="auto"/>
        <w:jc w:val="left"/>
        <w:rPr>
          <w:color w:val="auto"/>
          <w:sz w:val="22"/>
          <w:szCs w:val="22"/>
          <w:highlight w:val="none"/>
        </w:rPr>
        <w:sectPr>
          <w:headerReference r:id="rId7" w:type="default"/>
          <w:footerReference r:id="rId8" w:type="default"/>
          <w:pgSz w:w="11906" w:h="16838"/>
          <w:pgMar w:top="1440" w:right="1800" w:bottom="1440" w:left="1800" w:header="851" w:footer="992" w:gutter="0"/>
          <w:cols w:space="720" w:num="1"/>
          <w:docGrid w:linePitch="360" w:charSpace="0"/>
        </w:sectPr>
      </w:pPr>
    </w:p>
    <w:p w14:paraId="3A3612A0">
      <w:pPr>
        <w:jc w:val="center"/>
        <w:rPr>
          <w:rFonts w:hint="eastAsia" w:ascii="宋体" w:hAnsi="宋体" w:cs="宋体"/>
          <w:color w:val="auto"/>
          <w:sz w:val="24"/>
          <w:highlight w:val="none"/>
        </w:rPr>
      </w:pPr>
      <w:r>
        <w:rPr>
          <w:rFonts w:hint="eastAsia" w:ascii="宋体" w:hAnsi="宋体" w:cs="宋体"/>
          <w:b/>
          <w:color w:val="auto"/>
          <w:sz w:val="36"/>
          <w:highlight w:val="none"/>
        </w:rPr>
        <w:t>7、承诺书</w:t>
      </w:r>
    </w:p>
    <w:p w14:paraId="4775550C">
      <w:pPr>
        <w:spacing w:line="360" w:lineRule="exact"/>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7B4C8DCA">
      <w:pPr>
        <w:spacing w:line="360" w:lineRule="exact"/>
        <w:ind w:firstLine="480"/>
        <w:rPr>
          <w:rFonts w:hint="eastAsia" w:ascii="宋体" w:hAnsi="宋体" w:cs="宋体"/>
          <w:color w:val="auto"/>
          <w:sz w:val="24"/>
          <w:highlight w:val="none"/>
        </w:rPr>
      </w:pPr>
    </w:p>
    <w:p w14:paraId="42E875D2">
      <w:pPr>
        <w:pStyle w:val="38"/>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根据贵方《</w:t>
      </w:r>
      <w:r>
        <w:rPr>
          <w:rFonts w:hint="eastAsia" w:ascii="宋体" w:hAnsi="宋体" w:cs="宋体"/>
          <w:bCs/>
          <w:color w:val="auto"/>
          <w:sz w:val="24"/>
          <w:highlight w:val="none"/>
        </w:rPr>
        <w:t>磋商文件</w:t>
      </w:r>
      <w:r>
        <w:rPr>
          <w:rFonts w:hint="eastAsia" w:ascii="宋体" w:hAnsi="宋体" w:cs="宋体"/>
          <w:color w:val="auto"/>
          <w:sz w:val="24"/>
          <w:highlight w:val="none"/>
        </w:rPr>
        <w:t>》（项目编号：</w:t>
      </w:r>
      <w:r>
        <w:rPr>
          <w:rFonts w:hint="eastAsia" w:ascii="宋体" w:hAnsi="宋体" w:cs="宋体"/>
          <w:color w:val="auto"/>
          <w:sz w:val="24"/>
          <w:szCs w:val="21"/>
          <w:highlight w:val="none"/>
          <w:lang w:eastAsia="zh-CN"/>
        </w:rPr>
        <w:t>JSZC-320381-ZXGL-C2026-0004</w:t>
      </w:r>
      <w:r>
        <w:rPr>
          <w:rFonts w:hint="eastAsia" w:ascii="宋体" w:hAnsi="宋体" w:cs="宋体"/>
          <w:color w:val="auto"/>
          <w:sz w:val="24"/>
          <w:highlight w:val="none"/>
        </w:rPr>
        <w:t>）要求，本供应商正式提交以下首次响应文件。</w:t>
      </w:r>
    </w:p>
    <w:p w14:paraId="6AFCC171">
      <w:pPr>
        <w:pStyle w:val="38"/>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mc:AlternateContent>
          <mc:Choice Requires="wps">
            <w:drawing>
              <wp:anchor distT="0" distB="0" distL="0" distR="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4" name="直线 30"/>
                <wp:cNvGraphicFramePr/>
                <a:graphic xmlns:a="http://schemas.openxmlformats.org/drawingml/2006/main">
                  <a:graphicData uri="http://schemas.microsoft.com/office/word/2010/wordprocessingShape">
                    <wps:wsp>
                      <wps:cNvCn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线 30" o:spid="_x0000_s1026" o:spt="20" style="position:absolute;left:0pt;flip:y;margin-left:147pt;margin-top:1.3pt;height:1.3pt;width:0.05pt;z-index:251659264;mso-width-relative:page;mso-height-relative:page;" filled="f"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HZ+/LjVAAAABwEAAA8AAAAAAAAAAQAgAAAAIgAAAGRycy9kb3ducmV2LnhtbFBLAQIU&#10;ABQAAAAIAIdO4kCTPxeN9gEAAPIDAAAOAAAAAAAAAAEAIAAAACQBAABkcnMvZTJvRG9jLnhtbFBL&#10;BQYAAAAABgAGAFkBAACMBQAAAAA=&#10;">
                <v:fill on="f" focussize="0,0"/>
                <v:stroke color="#000000" joinstyle="round"/>
                <v:imagedata o:title=""/>
                <o:lock v:ext="edit" aspectratio="f"/>
              </v:line>
            </w:pict>
          </mc:Fallback>
        </mc:AlternateContent>
      </w:r>
      <w:r>
        <w:rPr>
          <w:rFonts w:hint="eastAsia" w:ascii="宋体" w:hAnsi="宋体" w:cs="宋体"/>
          <w:color w:val="auto"/>
          <w:sz w:val="24"/>
          <w:highlight w:val="none"/>
        </w:rPr>
        <w:t xml:space="preserve">（1）承诺书； </w:t>
      </w:r>
    </w:p>
    <w:p w14:paraId="7D96092D">
      <w:pPr>
        <w:pStyle w:val="38"/>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（2）磋商报价表； </w:t>
      </w:r>
    </w:p>
    <w:p w14:paraId="7FEB10BC">
      <w:pPr>
        <w:pStyle w:val="38"/>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（3）偏离表；</w:t>
      </w:r>
    </w:p>
    <w:p w14:paraId="77EDF334">
      <w:pPr>
        <w:pStyle w:val="38"/>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（4）磋商</w:t>
      </w:r>
      <w:r>
        <w:rPr>
          <w:rFonts w:hint="eastAsia" w:ascii="宋体" w:hAnsi="宋体" w:cs="宋体"/>
          <w:bCs/>
          <w:color w:val="auto"/>
          <w:sz w:val="24"/>
          <w:highlight w:val="none"/>
        </w:rPr>
        <w:t>文件</w:t>
      </w:r>
      <w:r>
        <w:rPr>
          <w:rFonts w:hint="eastAsia" w:ascii="宋体" w:hAnsi="宋体" w:cs="宋体"/>
          <w:color w:val="auto"/>
          <w:sz w:val="24"/>
          <w:highlight w:val="none"/>
        </w:rPr>
        <w:t>要求提供的其他响应文件。</w:t>
      </w:r>
    </w:p>
    <w:p w14:paraId="7E981C48">
      <w:pPr>
        <w:pStyle w:val="38"/>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我单位符合《中华人民共和国政府采购法》第二十二条的规定，符合本项目供应商资格要求。</w:t>
      </w:r>
    </w:p>
    <w:p w14:paraId="2C81E2E1">
      <w:pPr>
        <w:pStyle w:val="38"/>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我单位按照磋商文件的要求编制响应文件，并对其提交的响应文件的真实性、合法性承担法律责任。</w:t>
      </w:r>
    </w:p>
    <w:p w14:paraId="0DE99ACC">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p>
    <w:p w14:paraId="55E43B68">
      <w:pPr>
        <w:pStyle w:val="38"/>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mc:AlternateContent>
          <mc:Choice Requires="wps">
            <w:drawing>
              <wp:anchor distT="0" distB="0" distL="0" distR="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线 31" o:spid="_x0000_s1026" o:spt="20" style="position:absolute;left:0pt;margin-left:246.75pt;margin-top:23.4pt;height:0pt;width:0.05pt;z-index:251660288;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Fgt6DzV&#10;AAAACQEAAA8AAAAAAAAAAQAgAAAAIgAAAGRycy9kb3ducmV2LnhtbFBLAQIUABQAAAAIAIdO4kCc&#10;nTkK6gEAAOQDAAAOAAAAAAAAAAEAIAAAACQBAABkcnMvZTJvRG9jLnhtbFBLBQYAAAAABgAGAFkB&#10;AACABQAAAAA=&#10;">
                <v:fill on="f" focussize="0,0"/>
                <v:stroke color="#000000" joinstyle="round"/>
                <v:imagedata o:title=""/>
                <o:lock v:ext="edit" aspectratio="f"/>
              </v:line>
            </w:pict>
          </mc:Fallback>
        </mc:AlternateContent>
      </w:r>
      <w:r>
        <w:rPr>
          <w:rFonts w:hint="eastAsia" w:ascii="宋体" w:hAnsi="宋体" w:cs="宋体"/>
          <w:color w:val="auto"/>
          <w:sz w:val="24"/>
          <w:highlight w:val="none"/>
        </w:rPr>
        <mc:AlternateContent>
          <mc:Choice Requires="wps">
            <w:drawing>
              <wp:anchor distT="0" distB="0" distL="0" distR="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线 32" o:spid="_x0000_s1026" o:spt="20" style="position:absolute;left:0pt;margin-left:220.5pt;margin-top:46.8pt;height:0pt;width:0.05pt;z-index:251661312;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k/a6&#10;W9YAAAAJAQAADwAAAAAAAAABACAAAAAiAAAAZHJzL2Rvd25yZXYueG1sUEsBAhQAFAAAAAgAh07i&#10;QCftS2DrAQAA5AMAAA4AAAAAAAAAAQAgAAAAJQEAAGRycy9lMm9Eb2MueG1sUEsFBgAAAAAGAAYA&#10;WQEAAIIFAAAAAA==&#10;">
                <v:fill on="f" focussize="0,0"/>
                <v:stroke color="#000000" joinstyle="round"/>
                <v:imagedata o:title=""/>
                <o:lock v:ext="edit" aspectratio="f"/>
              </v:line>
            </w:pict>
          </mc:Fallback>
        </mc:AlternateContent>
      </w:r>
      <w:r>
        <w:rPr>
          <w:rFonts w:hint="eastAsia" w:ascii="宋体" w:hAnsi="宋体" w:cs="宋体"/>
          <w:color w:val="auto"/>
          <w:sz w:val="24"/>
          <w:highlight w:val="none"/>
        </w:rPr>
        <w:t>一、完全承担根据《磋商文件》规定完成合同的责任和义务（如有偏离，将全部填写在偏离表中）。</w:t>
      </w:r>
    </w:p>
    <w:p w14:paraId="2FC7E092">
      <w:pPr>
        <w:pStyle w:val="38"/>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mc:AlternateContent>
          <mc:Choice Requires="wps">
            <w:drawing>
              <wp:anchor distT="0" distB="0" distL="0" distR="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线 33" o:spid="_x0000_s1026" o:spt="20" style="position:absolute;left:0pt;margin-left:210pt;margin-top:19.5pt;height:0pt;width:0.05pt;z-index:251661312;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4ejUA&#10;1QAAAAkBAAAPAAAAAAAAAAEAIAAAACIAAABkcnMvZG93bnJldi54bWxQSwECFAAUAAAACACHTuJA&#10;cT+18OsBAADkAwAADgAAAAAAAAABACAAAAAkAQAAZHJzL2Uyb0RvYy54bWxQSwUGAAAAAAYABgBZ&#10;AQAAgQUAAAAA&#10;">
                <v:fill on="f" focussize="0,0"/>
                <v:stroke color="#000000" joinstyle="round"/>
                <v:imagedata o:title=""/>
                <o:lock v:ext="edit" aspectratio="f"/>
              </v:line>
            </w:pict>
          </mc:Fallback>
        </mc:AlternateContent>
      </w:r>
      <w:r>
        <w:rPr>
          <w:rFonts w:hint="eastAsia" w:ascii="宋体" w:hAnsi="宋体" w:cs="宋体"/>
          <w:color w:val="auto"/>
          <w:sz w:val="24"/>
          <w:highlight w:val="none"/>
        </w:rPr>
        <mc:AlternateContent>
          <mc:Choice Requires="wps">
            <w:drawing>
              <wp:anchor distT="0" distB="0" distL="0" distR="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4"/>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线 34" o:spid="_x0000_s1026" o:spt="20" style="position:absolute;left:0pt;margin-left:210pt;margin-top:19.5pt;height:0pt;width:0.05pt;z-index:251662336;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4ejUA&#10;1QAAAAkBAAAPAAAAAAAAAAEAIAAAACIAAABkcnMvZG93bnJldi54bWxQSwECFAAUAAAACACHTuJA&#10;q1OkgOsBAADkAwAADgAAAAAAAAABACAAAAAkAQAAZHJzL2Uyb0RvYy54bWxQSwUGAAAAAAYABgBZ&#10;AQAAgQUAAAAA&#10;">
                <v:fill on="f" focussize="0,0"/>
                <v:stroke color="#000000" joinstyle="round"/>
                <v:imagedata o:title=""/>
                <o:lock v:ext="edit" aspectratio="f"/>
              </v:line>
            </w:pict>
          </mc:Fallback>
        </mc:AlternateContent>
      </w:r>
      <w:r>
        <w:rPr>
          <w:rFonts w:hint="eastAsia" w:ascii="宋体" w:hAnsi="宋体" w:cs="宋体"/>
          <w:color w:val="auto"/>
          <w:sz w:val="24"/>
          <w:highlight w:val="none"/>
        </w:rPr>
        <w:t>二、保证所提供的响应文件及所有材料的真实、合法、有效，并对其负责。</w:t>
      </w:r>
    </w:p>
    <w:p w14:paraId="21FF0813">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三、已详细审核竞争性磋商文件（含竞争性磋商文件的澄清或者修改），本供应商完全理解并同意放弃对这方面不明及误解的权利。</w:t>
      </w:r>
    </w:p>
    <w:p w14:paraId="4FE57BDF">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四、所供货物保证符合国家有关产品质量、性能和安全标准，无权利瑕疵。</w:t>
      </w:r>
    </w:p>
    <w:p w14:paraId="31CDF1FB">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五、报价有效期为30个工作日。</w:t>
      </w:r>
    </w:p>
    <w:p w14:paraId="44C8E71A">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六、同意向贵方提供贵方可能要求的与本次磋商采购有关的任何证据或资料。</w:t>
      </w:r>
    </w:p>
    <w:p w14:paraId="6A569DC5">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七、完全理解贵方不一定要接受最低的报价或收到的任何报价。</w:t>
      </w:r>
    </w:p>
    <w:p w14:paraId="17EF79CB">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八、江苏振兴工程项目管理有限公司有权将我单位本项目的《磋商报价表》和《分项价格表》予以公示，公示的方式由江苏振兴工程项目管理有限公司确定。</w:t>
      </w:r>
    </w:p>
    <w:p w14:paraId="59201173">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3E4A452A">
      <w:pPr>
        <w:spacing w:line="360" w:lineRule="exact"/>
        <w:rPr>
          <w:rFonts w:hint="eastAsia" w:ascii="宋体" w:hAnsi="宋体" w:cs="宋体"/>
          <w:color w:val="auto"/>
          <w:sz w:val="24"/>
          <w:highlight w:val="none"/>
        </w:rPr>
      </w:pPr>
    </w:p>
    <w:p w14:paraId="424C34AC">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  </w:t>
      </w:r>
    </w:p>
    <w:p w14:paraId="008D9137">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联系电话：</w:t>
      </w:r>
    </w:p>
    <w:p w14:paraId="52089F94">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移动电话：</w:t>
      </w:r>
    </w:p>
    <w:p w14:paraId="2FDEDE3D">
      <w:pPr>
        <w:spacing w:line="3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14009790">
      <w:pPr>
        <w:spacing w:line="360" w:lineRule="auto"/>
        <w:ind w:firstLine="562"/>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8、授权委托书及法定代表人身份证明书</w:t>
      </w:r>
    </w:p>
    <w:p w14:paraId="75C33B23">
      <w:pPr>
        <w:spacing w:line="360" w:lineRule="auto"/>
        <w:jc w:val="center"/>
        <w:rPr>
          <w:rFonts w:hint="eastAsia" w:ascii="宋体" w:hAnsi="宋体" w:cs="宋体"/>
          <w:color w:val="auto"/>
          <w:sz w:val="32"/>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授权委托书</w:t>
      </w:r>
    </w:p>
    <w:p w14:paraId="5DC0A706">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委托人（全称）：</w:t>
      </w:r>
    </w:p>
    <w:p w14:paraId="42D46E04">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地  址：</w:t>
      </w:r>
    </w:p>
    <w:p w14:paraId="6A8D6B50">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p>
    <w:p w14:paraId="4E5AD06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统一社会信用代码：</w:t>
      </w:r>
    </w:p>
    <w:p w14:paraId="0CFAC2D0">
      <w:pPr>
        <w:spacing w:line="500" w:lineRule="exact"/>
        <w:rPr>
          <w:rFonts w:hint="eastAsia" w:ascii="宋体" w:hAnsi="宋体" w:cs="宋体"/>
          <w:color w:val="auto"/>
          <w:sz w:val="24"/>
          <w:highlight w:val="none"/>
        </w:rPr>
      </w:pPr>
    </w:p>
    <w:p w14:paraId="0B10578B">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受托人：                  先生（女士）</w:t>
      </w:r>
    </w:p>
    <w:p w14:paraId="0CFB28E5">
      <w:pPr>
        <w:spacing w:line="500" w:lineRule="exact"/>
        <w:rPr>
          <w:rFonts w:hint="eastAsia" w:ascii="宋体" w:hAnsi="宋体" w:cs="宋体"/>
          <w:color w:val="auto"/>
          <w:sz w:val="24"/>
          <w:highlight w:val="none"/>
        </w:rPr>
      </w:pPr>
      <w:r>
        <w:rPr>
          <w:rFonts w:hint="eastAsia" w:ascii="宋体" w:hAnsi="宋体" w:cs="宋体"/>
          <w:color w:val="auto"/>
          <w:sz w:val="24"/>
          <w:highlight w:val="none"/>
        </w:rPr>
        <w:t>身份证号：</w:t>
      </w:r>
    </w:p>
    <w:p w14:paraId="1A5C91EA">
      <w:pPr>
        <w:spacing w:line="0" w:lineRule="atLeast"/>
        <w:jc w:val="center"/>
        <w:rPr>
          <w:rFonts w:hint="eastAsia" w:ascii="宋体" w:hAnsi="宋体" w:cs="宋体"/>
          <w:color w:val="auto"/>
          <w:sz w:val="24"/>
          <w:highlight w:val="none"/>
        </w:rPr>
      </w:pPr>
    </w:p>
    <w:p w14:paraId="6C5684BD">
      <w:pPr>
        <w:spacing w:line="500" w:lineRule="exact"/>
        <w:rPr>
          <w:rFonts w:hint="eastAsia" w:ascii="宋体" w:hAnsi="宋体" w:cs="宋体"/>
          <w:color w:val="auto"/>
          <w:sz w:val="24"/>
          <w:highlight w:val="none"/>
        </w:rPr>
      </w:pPr>
    </w:p>
    <w:p w14:paraId="4E2F327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兹委托（       ）全权代表我企业（公司）参与</w:t>
      </w:r>
      <w:r>
        <w:rPr>
          <w:rFonts w:hint="eastAsia" w:ascii="宋体" w:hAnsi="宋体" w:cs="宋体"/>
          <w:color w:val="auto"/>
          <w:sz w:val="24"/>
          <w:highlight w:val="none"/>
          <w:u w:val="single"/>
        </w:rPr>
        <w:t xml:space="preserve">2026年新沂市乡镇（街道）网格化空气自动监测站运行维护 </w:t>
      </w:r>
      <w:r>
        <w:rPr>
          <w:rFonts w:hint="eastAsia" w:ascii="宋体" w:hAnsi="宋体" w:cs="宋体"/>
          <w:color w:val="auto"/>
          <w:sz w:val="24"/>
          <w:highlight w:val="none"/>
        </w:rPr>
        <w:t>项目[项目编号：</w:t>
      </w:r>
      <w:r>
        <w:rPr>
          <w:rFonts w:hint="eastAsia" w:ascii="宋体" w:hAnsi="宋体" w:cs="宋体"/>
          <w:color w:val="auto"/>
          <w:sz w:val="24"/>
          <w:highlight w:val="none"/>
          <w:u w:val="single"/>
          <w:lang w:eastAsia="zh-CN"/>
        </w:rPr>
        <w:t>JSZC-320381-ZXGL-C2026-0004</w:t>
      </w:r>
      <w:r>
        <w:rPr>
          <w:rFonts w:hint="eastAsia" w:ascii="宋体" w:hAnsi="宋体" w:cs="宋体"/>
          <w:color w:val="auto"/>
          <w:sz w:val="24"/>
          <w:highlight w:val="none"/>
        </w:rPr>
        <w:t>]的磋商活动及签订合同。（</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  ）以我企业（公司）名义所为的行为及签署的文件，我企业（公司）均予以认可。有关法律责任均由我企业（公司）承担。（         ）无转委托权。委托期限自    年  月   日起至    年   月    日止。</w:t>
      </w:r>
    </w:p>
    <w:p w14:paraId="03B08136">
      <w:pPr>
        <w:spacing w:line="500" w:lineRule="exact"/>
        <w:rPr>
          <w:rFonts w:hint="eastAsia" w:ascii="宋体" w:hAnsi="宋体" w:cs="宋体"/>
          <w:color w:val="auto"/>
          <w:sz w:val="24"/>
          <w:highlight w:val="none"/>
        </w:rPr>
      </w:pPr>
    </w:p>
    <w:p w14:paraId="2559B701">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委托人（电子签章）：</w:t>
      </w:r>
    </w:p>
    <w:p w14:paraId="7DCE78A7">
      <w:pPr>
        <w:spacing w:line="500" w:lineRule="exact"/>
        <w:rPr>
          <w:rFonts w:hint="eastAsia" w:ascii="宋体" w:hAnsi="宋体" w:cs="宋体"/>
          <w:color w:val="auto"/>
          <w:sz w:val="24"/>
          <w:highlight w:val="none"/>
        </w:rPr>
      </w:pPr>
    </w:p>
    <w:p w14:paraId="74F78FF5">
      <w:pPr>
        <w:spacing w:line="500" w:lineRule="exact"/>
        <w:rPr>
          <w:rFonts w:hint="eastAsia" w:ascii="宋体" w:hAnsi="宋体" w:cs="宋体"/>
          <w:color w:val="auto"/>
          <w:sz w:val="24"/>
          <w:highlight w:val="none"/>
        </w:rPr>
      </w:pPr>
      <w:r>
        <w:rPr>
          <w:rFonts w:hint="eastAsia" w:ascii="宋体" w:hAnsi="宋体" w:cs="宋体"/>
          <w:color w:val="auto"/>
          <w:sz w:val="24"/>
          <w:highlight w:val="none"/>
        </w:rPr>
        <w:t>法定代表人（签字或签章）：</w:t>
      </w:r>
    </w:p>
    <w:p w14:paraId="585A9C6B">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272F9CCC">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受托人（签字）：</w:t>
      </w:r>
    </w:p>
    <w:p w14:paraId="689F1579">
      <w:pPr>
        <w:spacing w:line="500" w:lineRule="exact"/>
        <w:ind w:firstLine="6240"/>
        <w:rPr>
          <w:rFonts w:hint="eastAsia" w:ascii="宋体" w:hAnsi="宋体" w:cs="宋体"/>
          <w:color w:val="auto"/>
          <w:sz w:val="24"/>
          <w:highlight w:val="none"/>
        </w:rPr>
      </w:pPr>
      <w:r>
        <w:rPr>
          <w:rFonts w:hint="eastAsia" w:ascii="宋体" w:hAnsi="宋体" w:cs="宋体"/>
          <w:color w:val="auto"/>
          <w:sz w:val="24"/>
          <w:highlight w:val="none"/>
        </w:rPr>
        <w:t>年   月   日</w:t>
      </w:r>
    </w:p>
    <w:p w14:paraId="3A07BB38">
      <w:pPr>
        <w:rPr>
          <w:rFonts w:hint="eastAsia" w:ascii="宋体" w:hAnsi="宋体" w:cs="宋体"/>
          <w:color w:val="auto"/>
          <w:sz w:val="24"/>
          <w:highlight w:val="none"/>
        </w:rPr>
      </w:pPr>
      <w:r>
        <w:rPr>
          <w:rFonts w:hint="eastAsia" w:ascii="宋体" w:hAnsi="宋体" w:cs="宋体"/>
          <w:color w:val="auto"/>
          <w:sz w:val="24"/>
          <w:highlight w:val="none"/>
        </w:rPr>
        <w:t>(受托人身份证扫描件附后)</w:t>
      </w:r>
    </w:p>
    <w:p w14:paraId="55A61B46">
      <w:pPr>
        <w:rPr>
          <w:rFonts w:hint="eastAsia" w:ascii="宋体" w:hAnsi="宋体" w:cs="宋体"/>
          <w:color w:val="auto"/>
          <w:sz w:val="24"/>
          <w:highlight w:val="none"/>
        </w:rPr>
      </w:pPr>
    </w:p>
    <w:p w14:paraId="607134A7">
      <w:pPr>
        <w:pStyle w:val="50"/>
        <w:rPr>
          <w:rFonts w:hint="eastAsia" w:ascii="宋体" w:hAnsi="宋体" w:cs="宋体"/>
          <w:color w:val="auto"/>
          <w:highlight w:val="none"/>
        </w:rPr>
      </w:pPr>
    </w:p>
    <w:p w14:paraId="71FDDDE8">
      <w:pPr>
        <w:rPr>
          <w:rFonts w:hint="eastAsia" w:ascii="宋体" w:hAnsi="宋体" w:cs="宋体"/>
          <w:color w:val="auto"/>
          <w:sz w:val="24"/>
          <w:highlight w:val="none"/>
        </w:rPr>
      </w:pPr>
    </w:p>
    <w:p w14:paraId="3336F50F">
      <w:pPr>
        <w:pStyle w:val="50"/>
        <w:rPr>
          <w:rFonts w:hint="eastAsia" w:ascii="宋体" w:hAnsi="宋体" w:cs="宋体"/>
          <w:color w:val="auto"/>
          <w:highlight w:val="none"/>
        </w:rPr>
      </w:pPr>
    </w:p>
    <w:p w14:paraId="5E6409F4">
      <w:pPr>
        <w:rPr>
          <w:rFonts w:hint="eastAsia" w:ascii="宋体" w:hAnsi="宋体" w:cs="宋体"/>
          <w:color w:val="auto"/>
          <w:highlight w:val="none"/>
        </w:rPr>
      </w:pPr>
    </w:p>
    <w:p w14:paraId="3EDEB6C0">
      <w:pPr>
        <w:pStyle w:val="51"/>
        <w:ind w:left="0" w:firstLine="0"/>
        <w:rPr>
          <w:rFonts w:hint="eastAsia" w:ascii="宋体" w:hAnsi="宋体" w:cs="宋体"/>
          <w:color w:val="auto"/>
          <w:highlight w:val="none"/>
        </w:rPr>
      </w:pPr>
    </w:p>
    <w:p w14:paraId="0115A6D1">
      <w:pPr>
        <w:spacing w:line="360" w:lineRule="auto"/>
        <w:jc w:val="center"/>
        <w:rPr>
          <w:rFonts w:hint="eastAsia" w:ascii="宋体" w:hAnsi="宋体" w:cs="宋体"/>
          <w:color w:val="auto"/>
          <w:sz w:val="28"/>
          <w:szCs w:val="28"/>
          <w:highlight w:val="none"/>
        </w:rPr>
      </w:pPr>
      <w:r>
        <w:rPr>
          <w:rFonts w:hint="eastAsia" w:ascii="宋体" w:hAnsi="宋体" w:cs="宋体"/>
          <w:bCs/>
          <w:color w:val="auto"/>
          <w:sz w:val="28"/>
          <w:szCs w:val="28"/>
          <w:highlight w:val="none"/>
        </w:rPr>
        <w:t>（2）</w:t>
      </w:r>
      <w:r>
        <w:rPr>
          <w:rFonts w:hint="eastAsia" w:ascii="宋体" w:hAnsi="宋体" w:cs="宋体"/>
          <w:color w:val="auto"/>
          <w:sz w:val="28"/>
          <w:szCs w:val="28"/>
          <w:highlight w:val="none"/>
        </w:rPr>
        <w:t>法定代表人身份证明书</w:t>
      </w:r>
    </w:p>
    <w:p w14:paraId="36AD42D8">
      <w:pPr>
        <w:tabs>
          <w:tab w:val="left" w:pos="720"/>
          <w:tab w:val="left" w:pos="900"/>
        </w:tabs>
        <w:spacing w:line="360" w:lineRule="auto"/>
        <w:ind w:firstLine="480"/>
        <w:rPr>
          <w:rFonts w:hint="eastAsia" w:ascii="宋体" w:hAnsi="宋体" w:cs="宋体"/>
          <w:color w:val="auto"/>
          <w:sz w:val="24"/>
          <w:highlight w:val="none"/>
        </w:rPr>
      </w:pPr>
    </w:p>
    <w:p w14:paraId="2FEA24AC">
      <w:pPr>
        <w:tabs>
          <w:tab w:val="left" w:pos="720"/>
          <w:tab w:val="left" w:pos="90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单位名称：</w:t>
      </w:r>
    </w:p>
    <w:p w14:paraId="448DB55F">
      <w:pPr>
        <w:tabs>
          <w:tab w:val="left" w:pos="720"/>
          <w:tab w:val="left" w:pos="90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地址：</w:t>
      </w:r>
    </w:p>
    <w:p w14:paraId="0B73E404">
      <w:pPr>
        <w:tabs>
          <w:tab w:val="left" w:pos="720"/>
          <w:tab w:val="left" w:pos="90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姓名：                  性别：    </w:t>
      </w:r>
    </w:p>
    <w:p w14:paraId="77FF3382">
      <w:pPr>
        <w:tabs>
          <w:tab w:val="left" w:pos="720"/>
          <w:tab w:val="left" w:pos="90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身份证号：               职务：</w:t>
      </w:r>
    </w:p>
    <w:p w14:paraId="1467FC10">
      <w:pPr>
        <w:tabs>
          <w:tab w:val="left" w:pos="720"/>
          <w:tab w:val="left" w:pos="90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）系我司的法定代表人。为签署（项目编号：</w:t>
      </w:r>
      <w:r>
        <w:rPr>
          <w:rFonts w:hint="eastAsia" w:ascii="宋体" w:hAnsi="宋体" w:cs="宋体"/>
          <w:color w:val="auto"/>
          <w:sz w:val="24"/>
          <w:highlight w:val="none"/>
          <w:u w:val="single"/>
          <w:lang w:eastAsia="zh-CN"/>
        </w:rPr>
        <w:t>JSZC-320381-ZXGL-C2026-0004</w:t>
      </w: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2026年新沂市乡镇（街道）网格化空气自动监测站运行维护 </w:t>
      </w:r>
      <w:r>
        <w:rPr>
          <w:rFonts w:hint="eastAsia" w:ascii="宋体" w:hAnsi="宋体" w:cs="宋体"/>
          <w:color w:val="auto"/>
          <w:sz w:val="24"/>
          <w:highlight w:val="none"/>
        </w:rPr>
        <w:t>）项目响应文件、进行合同谈判、签署合同和处理与之有关的一切事务。</w:t>
      </w:r>
    </w:p>
    <w:p w14:paraId="743DB2C6">
      <w:pPr>
        <w:tabs>
          <w:tab w:val="left" w:pos="720"/>
          <w:tab w:val="left" w:pos="900"/>
        </w:tabs>
        <w:spacing w:line="500" w:lineRule="exact"/>
        <w:rPr>
          <w:rFonts w:hint="eastAsia" w:ascii="宋体" w:hAnsi="宋体" w:cs="宋体"/>
          <w:color w:val="auto"/>
          <w:sz w:val="24"/>
          <w:highlight w:val="none"/>
        </w:rPr>
      </w:pPr>
    </w:p>
    <w:p w14:paraId="7E004246">
      <w:pPr>
        <w:tabs>
          <w:tab w:val="left" w:pos="720"/>
          <w:tab w:val="left" w:pos="900"/>
        </w:tabs>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特此证明。</w:t>
      </w:r>
    </w:p>
    <w:p w14:paraId="6AFB6A71">
      <w:pPr>
        <w:tabs>
          <w:tab w:val="left" w:pos="720"/>
          <w:tab w:val="left" w:pos="900"/>
        </w:tabs>
        <w:spacing w:line="500" w:lineRule="exact"/>
        <w:ind w:firstLine="480"/>
        <w:rPr>
          <w:rFonts w:hint="eastAsia" w:ascii="宋体" w:hAnsi="宋体" w:cs="宋体"/>
          <w:color w:val="auto"/>
          <w:sz w:val="24"/>
          <w:highlight w:val="none"/>
        </w:rPr>
      </w:pPr>
    </w:p>
    <w:p w14:paraId="4A2F6A5C">
      <w:pPr>
        <w:tabs>
          <w:tab w:val="left" w:pos="720"/>
          <w:tab w:val="left" w:pos="900"/>
        </w:tabs>
        <w:spacing w:line="360" w:lineRule="auto"/>
        <w:jc w:val="right"/>
        <w:rPr>
          <w:rFonts w:hint="eastAsia" w:ascii="宋体" w:hAnsi="宋体" w:cs="宋体"/>
          <w:color w:val="auto"/>
          <w:sz w:val="24"/>
          <w:highlight w:val="none"/>
        </w:rPr>
      </w:pPr>
    </w:p>
    <w:p w14:paraId="18102843">
      <w:pPr>
        <w:pStyle w:val="50"/>
        <w:ind w:firstLine="210"/>
        <w:rPr>
          <w:rFonts w:hint="eastAsia" w:ascii="宋体" w:hAnsi="宋体" w:cs="宋体"/>
          <w:color w:val="auto"/>
          <w:highlight w:val="none"/>
        </w:rPr>
      </w:pPr>
    </w:p>
    <w:p w14:paraId="3EE547D7">
      <w:pPr>
        <w:spacing w:line="360" w:lineRule="auto"/>
        <w:ind w:right="29"/>
        <w:rPr>
          <w:rFonts w:hint="eastAsia" w:ascii="宋体" w:hAnsi="宋体" w:cs="宋体"/>
          <w:color w:val="auto"/>
          <w:sz w:val="24"/>
          <w:highlight w:val="none"/>
        </w:rPr>
      </w:pPr>
    </w:p>
    <w:p w14:paraId="7D01D11A">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49BFD605">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F825628">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26301C4B">
      <w:pPr>
        <w:spacing w:line="360" w:lineRule="auto"/>
        <w:rPr>
          <w:rFonts w:hint="eastAsia" w:ascii="宋体" w:hAnsi="宋体" w:cs="宋体"/>
          <w:color w:val="auto"/>
          <w:highlight w:val="none"/>
        </w:rPr>
      </w:pPr>
    </w:p>
    <w:p w14:paraId="1EBA21F8">
      <w:pPr>
        <w:tabs>
          <w:tab w:val="left" w:pos="720"/>
          <w:tab w:val="left" w:pos="900"/>
        </w:tabs>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(法定代表人身份证扫描件附后）</w:t>
      </w:r>
    </w:p>
    <w:p w14:paraId="65B5EDD3">
      <w:pPr>
        <w:spacing w:line="360" w:lineRule="auto"/>
        <w:rPr>
          <w:rFonts w:hint="eastAsia" w:ascii="宋体" w:hAnsi="宋体" w:cs="宋体"/>
          <w:bCs/>
          <w:color w:val="auto"/>
          <w:sz w:val="24"/>
          <w:highlight w:val="none"/>
        </w:rPr>
      </w:pPr>
    </w:p>
    <w:p w14:paraId="0F71A37A">
      <w:pPr>
        <w:pStyle w:val="50"/>
        <w:ind w:firstLine="240"/>
        <w:rPr>
          <w:rFonts w:hint="eastAsia" w:ascii="宋体" w:hAnsi="宋体" w:cs="宋体"/>
          <w:bCs/>
          <w:color w:val="auto"/>
          <w:sz w:val="24"/>
          <w:highlight w:val="none"/>
        </w:rPr>
      </w:pPr>
    </w:p>
    <w:p w14:paraId="15994169">
      <w:pPr>
        <w:pStyle w:val="51"/>
        <w:ind w:firstLine="480"/>
        <w:rPr>
          <w:rFonts w:hint="eastAsia" w:ascii="宋体" w:hAnsi="宋体" w:cs="宋体"/>
          <w:bCs/>
          <w:color w:val="auto"/>
          <w:sz w:val="24"/>
          <w:highlight w:val="none"/>
        </w:rPr>
      </w:pPr>
    </w:p>
    <w:p w14:paraId="336F1490">
      <w:pPr>
        <w:rPr>
          <w:rFonts w:hint="eastAsia" w:ascii="宋体" w:hAnsi="宋体" w:cs="宋体"/>
          <w:color w:val="auto"/>
          <w:sz w:val="24"/>
          <w:highlight w:val="none"/>
        </w:rPr>
      </w:pPr>
    </w:p>
    <w:p w14:paraId="4774B3BA">
      <w:pPr>
        <w:rPr>
          <w:rFonts w:hint="eastAsia" w:ascii="宋体" w:hAnsi="宋体" w:cs="宋体"/>
          <w:color w:val="auto"/>
          <w:sz w:val="24"/>
          <w:highlight w:val="none"/>
        </w:rPr>
      </w:pPr>
    </w:p>
    <w:p w14:paraId="631FB11F">
      <w:pPr>
        <w:pStyle w:val="50"/>
        <w:rPr>
          <w:rFonts w:hint="eastAsia" w:ascii="宋体" w:hAnsi="宋体" w:cs="宋体"/>
          <w:color w:val="auto"/>
          <w:sz w:val="24"/>
          <w:highlight w:val="none"/>
        </w:rPr>
      </w:pPr>
    </w:p>
    <w:p w14:paraId="51DAE833">
      <w:pPr>
        <w:pStyle w:val="51"/>
        <w:rPr>
          <w:rFonts w:hint="eastAsia" w:ascii="宋体" w:hAnsi="宋体" w:cs="宋体"/>
          <w:color w:val="auto"/>
          <w:sz w:val="24"/>
          <w:highlight w:val="none"/>
        </w:rPr>
      </w:pPr>
    </w:p>
    <w:p w14:paraId="560AC29E">
      <w:pPr>
        <w:widowControl/>
        <w:spacing w:before="100" w:beforeAutospacing="1" w:after="100" w:afterAutospacing="1" w:line="450" w:lineRule="atLeast"/>
        <w:rPr>
          <w:rFonts w:hint="eastAsia" w:ascii="宋体" w:hAnsi="宋体" w:cs="宋体"/>
          <w:b/>
          <w:color w:val="auto"/>
          <w:sz w:val="36"/>
          <w:szCs w:val="36"/>
          <w:highlight w:val="none"/>
        </w:rPr>
      </w:pPr>
    </w:p>
    <w:p w14:paraId="75D91C49">
      <w:pPr>
        <w:pStyle w:val="2"/>
        <w:rPr>
          <w:rFonts w:hint="eastAsia" w:ascii="宋体" w:hAnsi="宋体" w:cs="宋体"/>
          <w:color w:val="auto"/>
          <w:highlight w:val="none"/>
        </w:rPr>
      </w:pPr>
    </w:p>
    <w:p w14:paraId="251F0426">
      <w:pPr>
        <w:widowControl/>
        <w:spacing w:before="100" w:beforeAutospacing="1" w:after="100" w:afterAutospacing="1" w:line="450" w:lineRule="atLeast"/>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9、中小企业声明函</w:t>
      </w:r>
    </w:p>
    <w:p w14:paraId="31EEE160">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项目名称：2026年新沂市乡镇（街道）网格化空气自动监测站运行维护</w:t>
      </w:r>
    </w:p>
    <w:p w14:paraId="3448E2DD">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JSZC-320381-ZXGL-C2026-0004</w:t>
      </w:r>
    </w:p>
    <w:p w14:paraId="6B33FA98">
      <w:pPr>
        <w:spacing w:line="360" w:lineRule="auto"/>
        <w:ind w:firstLine="480"/>
        <w:jc w:val="left"/>
        <w:rPr>
          <w:rFonts w:hint="eastAsia" w:ascii="宋体" w:hAnsi="宋体" w:cs="宋体"/>
          <w:color w:val="auto"/>
          <w:sz w:val="24"/>
          <w:highlight w:val="none"/>
        </w:rPr>
      </w:pPr>
    </w:p>
    <w:p w14:paraId="44218FE8">
      <w:pPr>
        <w:widowControl/>
        <w:spacing w:line="360" w:lineRule="auto"/>
        <w:ind w:firstLine="560"/>
        <w:rPr>
          <w:rFonts w:hint="eastAsia" w:ascii="宋体" w:hAnsi="宋体"/>
          <w:color w:val="auto"/>
          <w:sz w:val="24"/>
          <w:highlight w:val="none"/>
        </w:rPr>
      </w:pPr>
      <w:r>
        <w:rPr>
          <w:rFonts w:ascii="宋体" w:hAnsi="宋体"/>
          <w:color w:val="auto"/>
          <w:sz w:val="24"/>
          <w:highlight w:val="none"/>
        </w:rPr>
        <w:t>本公司郑重声明，根据《政府采购促进中小企业发展管理办法》（财库﹝2020﹞46 号）的规定，本公司参加</w:t>
      </w:r>
      <w:r>
        <w:rPr>
          <w:rFonts w:ascii="宋体" w:hAnsi="宋体"/>
          <w:color w:val="auto"/>
          <w:sz w:val="24"/>
          <w:highlight w:val="none"/>
          <w:u w:val="single"/>
        </w:rPr>
        <w:t>（</w:t>
      </w:r>
      <w:r>
        <w:rPr>
          <w:rFonts w:hint="eastAsia" w:ascii="宋体" w:hAnsi="宋体"/>
          <w:color w:val="auto"/>
          <w:sz w:val="24"/>
          <w:highlight w:val="none"/>
          <w:u w:val="single"/>
        </w:rPr>
        <w:t>徐州市新沂生态环境局</w:t>
      </w:r>
      <w:r>
        <w:rPr>
          <w:rFonts w:ascii="宋体" w:hAnsi="宋体"/>
          <w:color w:val="auto"/>
          <w:sz w:val="24"/>
          <w:highlight w:val="none"/>
          <w:u w:val="single"/>
        </w:rPr>
        <w:t>）</w:t>
      </w:r>
      <w:r>
        <w:rPr>
          <w:rFonts w:ascii="宋体" w:hAnsi="宋体"/>
          <w:color w:val="auto"/>
          <w:sz w:val="24"/>
          <w:highlight w:val="none"/>
        </w:rPr>
        <w:t>的</w:t>
      </w:r>
      <w:r>
        <w:rPr>
          <w:rFonts w:ascii="宋体" w:hAnsi="宋体"/>
          <w:color w:val="auto"/>
          <w:sz w:val="24"/>
          <w:highlight w:val="none"/>
          <w:u w:val="single"/>
        </w:rPr>
        <w:t>（</w:t>
      </w:r>
      <w:r>
        <w:rPr>
          <w:rFonts w:hint="eastAsia" w:ascii="宋体" w:hAnsi="宋体"/>
          <w:color w:val="auto"/>
          <w:sz w:val="24"/>
          <w:highlight w:val="none"/>
          <w:u w:val="single"/>
        </w:rPr>
        <w:t>2026年新沂市乡镇（街道）网格化空气自动监测站运行维护）</w:t>
      </w:r>
      <w:r>
        <w:rPr>
          <w:rFonts w:ascii="宋体" w:hAnsi="宋体"/>
          <w:color w:val="auto"/>
          <w:sz w:val="24"/>
          <w:highlight w:val="none"/>
        </w:rPr>
        <w:t>采购活动，服务全部由符合政策要求的中小企业承接。相关企业的具体情况如下：</w:t>
      </w:r>
    </w:p>
    <w:p w14:paraId="569A8654">
      <w:pPr>
        <w:widowControl/>
        <w:spacing w:line="360" w:lineRule="auto"/>
        <w:ind w:firstLine="560"/>
        <w:rPr>
          <w:rFonts w:hint="eastAsia" w:ascii="宋体" w:hAnsi="宋体"/>
          <w:b/>
          <w:color w:val="auto"/>
          <w:spacing w:val="6"/>
          <w:sz w:val="24"/>
          <w:highlight w:val="none"/>
        </w:rPr>
      </w:pPr>
      <w:r>
        <w:rPr>
          <w:rFonts w:ascii="宋体" w:hAnsi="宋体"/>
          <w:color w:val="auto"/>
          <w:sz w:val="24"/>
          <w:highlight w:val="none"/>
          <w:u w:val="single"/>
        </w:rPr>
        <w:t>（</w:t>
      </w:r>
      <w:r>
        <w:rPr>
          <w:rFonts w:hint="eastAsia" w:ascii="宋体" w:hAnsi="宋体"/>
          <w:color w:val="auto"/>
          <w:sz w:val="24"/>
          <w:highlight w:val="none"/>
          <w:u w:val="single"/>
        </w:rPr>
        <w:t>2026年新沂市乡镇（街道）网格化空气自动监测站运行维护</w:t>
      </w:r>
      <w:r>
        <w:rPr>
          <w:rFonts w:ascii="宋体" w:hAnsi="宋体"/>
          <w:color w:val="auto"/>
          <w:sz w:val="24"/>
          <w:highlight w:val="none"/>
          <w:u w:val="single"/>
        </w:rPr>
        <w:t>）</w:t>
      </w:r>
      <w:r>
        <w:rPr>
          <w:rFonts w:ascii="宋体" w:hAnsi="宋体"/>
          <w:color w:val="auto"/>
          <w:sz w:val="24"/>
          <w:highlight w:val="none"/>
        </w:rPr>
        <w:t>，属于</w:t>
      </w:r>
      <w:r>
        <w:rPr>
          <w:rFonts w:ascii="宋体" w:hAnsi="宋体"/>
          <w:color w:val="auto"/>
          <w:sz w:val="24"/>
          <w:highlight w:val="none"/>
          <w:u w:val="single"/>
        </w:rPr>
        <w:t>（</w:t>
      </w:r>
      <w:r>
        <w:rPr>
          <w:rFonts w:hint="eastAsia" w:ascii="宋体" w:hAnsi="宋体" w:cs="宋体"/>
          <w:b/>
          <w:bCs/>
          <w:color w:val="auto"/>
          <w:sz w:val="24"/>
          <w:highlight w:val="none"/>
          <w:u w:val="single"/>
        </w:rPr>
        <w:t>其他未列明行业</w:t>
      </w:r>
      <w:r>
        <w:rPr>
          <w:rFonts w:ascii="宋体" w:hAnsi="宋体"/>
          <w:color w:val="auto"/>
          <w:sz w:val="24"/>
          <w:highlight w:val="none"/>
          <w:u w:val="single"/>
        </w:rPr>
        <w:t>）</w:t>
      </w:r>
      <w:r>
        <w:rPr>
          <w:rFonts w:ascii="宋体" w:hAnsi="宋体"/>
          <w:color w:val="auto"/>
          <w:sz w:val="24"/>
          <w:highlight w:val="none"/>
        </w:rPr>
        <w:t>； 承建（承接）企业为</w:t>
      </w:r>
      <w:r>
        <w:rPr>
          <w:rFonts w:ascii="宋体" w:hAnsi="宋体"/>
          <w:color w:val="auto"/>
          <w:sz w:val="24"/>
          <w:highlight w:val="none"/>
          <w:u w:val="single"/>
        </w:rPr>
        <w:t>（企业名称）</w:t>
      </w:r>
      <w:r>
        <w:rPr>
          <w:rFonts w:ascii="宋体" w:hAnsi="宋体"/>
          <w:color w:val="auto"/>
          <w:sz w:val="24"/>
          <w:highlight w:val="none"/>
        </w:rPr>
        <w:t>，从业人员</w:t>
      </w:r>
      <w:r>
        <w:rPr>
          <w:rFonts w:ascii="宋体" w:hAnsi="宋体"/>
          <w:color w:val="auto"/>
          <w:sz w:val="24"/>
          <w:highlight w:val="none"/>
          <w:u w:val="single"/>
        </w:rPr>
        <w:t xml:space="preserve">   </w:t>
      </w:r>
      <w:r>
        <w:rPr>
          <w:rFonts w:ascii="宋体" w:hAnsi="宋体"/>
          <w:color w:val="auto"/>
          <w:sz w:val="24"/>
          <w:highlight w:val="none"/>
        </w:rPr>
        <w:t>人，营业收入为</w:t>
      </w:r>
      <w:r>
        <w:rPr>
          <w:rFonts w:ascii="宋体" w:hAnsi="宋体"/>
          <w:color w:val="auto"/>
          <w:sz w:val="24"/>
          <w:highlight w:val="none"/>
          <w:u w:val="single"/>
        </w:rPr>
        <w:t xml:space="preserve">    </w:t>
      </w:r>
      <w:r>
        <w:rPr>
          <w:rFonts w:ascii="宋体" w:hAnsi="宋体"/>
          <w:color w:val="auto"/>
          <w:sz w:val="24"/>
          <w:highlight w:val="none"/>
        </w:rPr>
        <w:t>万元，资产总额为</w:t>
      </w:r>
      <w:r>
        <w:rPr>
          <w:rFonts w:ascii="宋体" w:hAnsi="宋体"/>
          <w:color w:val="auto"/>
          <w:sz w:val="24"/>
          <w:highlight w:val="none"/>
          <w:u w:val="single"/>
        </w:rPr>
        <w:t xml:space="preserve">    </w:t>
      </w:r>
      <w:r>
        <w:rPr>
          <w:rFonts w:ascii="宋体" w:hAnsi="宋体"/>
          <w:color w:val="auto"/>
          <w:sz w:val="24"/>
          <w:highlight w:val="none"/>
        </w:rPr>
        <w:t>万元，</w:t>
      </w:r>
      <w:r>
        <w:rPr>
          <w:rFonts w:ascii="宋体" w:hAnsi="宋体"/>
          <w:b/>
          <w:color w:val="auto"/>
          <w:sz w:val="24"/>
          <w:highlight w:val="none"/>
        </w:rPr>
        <w:t>属于（□中型企业、□小型企业、□微型企业，请勾选！）；</w:t>
      </w:r>
    </w:p>
    <w:p w14:paraId="01203690">
      <w:pPr>
        <w:widowControl/>
        <w:spacing w:line="360" w:lineRule="auto"/>
        <w:ind w:firstLine="560"/>
        <w:rPr>
          <w:rFonts w:hint="eastAsia" w:ascii="宋体" w:hAnsi="宋体"/>
          <w:color w:val="auto"/>
          <w:spacing w:val="6"/>
          <w:sz w:val="24"/>
          <w:highlight w:val="none"/>
        </w:rPr>
      </w:pPr>
      <w:r>
        <w:rPr>
          <w:rFonts w:ascii="宋体" w:hAnsi="宋体"/>
          <w:color w:val="auto"/>
          <w:sz w:val="24"/>
          <w:highlight w:val="none"/>
        </w:rPr>
        <w:t>以上企业，不属于大企业的分支机构，不存在控股股东为大企业的情形，也不存在与大企业的负责人为同一人的情形。</w:t>
      </w:r>
    </w:p>
    <w:p w14:paraId="4BD9D0F5">
      <w:pPr>
        <w:widowControl/>
        <w:spacing w:line="360" w:lineRule="auto"/>
        <w:ind w:firstLine="560"/>
        <w:rPr>
          <w:rFonts w:hint="eastAsia" w:ascii="宋体" w:hAnsi="宋体"/>
          <w:color w:val="auto"/>
          <w:sz w:val="24"/>
          <w:highlight w:val="none"/>
        </w:rPr>
      </w:pPr>
      <w:r>
        <w:rPr>
          <w:rFonts w:ascii="宋体" w:hAnsi="宋体"/>
          <w:color w:val="auto"/>
          <w:sz w:val="24"/>
          <w:highlight w:val="none"/>
        </w:rPr>
        <w:t>本企业对上述声明内容的真实性负责。如有虚假，将依法承担相应责任。</w:t>
      </w:r>
    </w:p>
    <w:p w14:paraId="7E322C01">
      <w:pPr>
        <w:widowControl/>
        <w:spacing w:line="360" w:lineRule="auto"/>
        <w:rPr>
          <w:rFonts w:hint="eastAsia" w:ascii="宋体" w:hAnsi="宋体" w:cs="宋体"/>
          <w:b/>
          <w:bCs/>
          <w:color w:val="auto"/>
          <w:sz w:val="24"/>
          <w:highlight w:val="none"/>
        </w:rPr>
      </w:pPr>
      <w:r>
        <w:rPr>
          <w:rFonts w:ascii="宋体" w:hAnsi="宋体" w:cs="宋体"/>
          <w:b/>
          <w:bCs/>
          <w:color w:val="auto"/>
          <w:sz w:val="24"/>
          <w:highlight w:val="none"/>
        </w:rPr>
        <w:t>注：本项目采购的服务属于</w:t>
      </w:r>
      <w:r>
        <w:rPr>
          <w:rFonts w:hint="eastAsia" w:ascii="宋体" w:hAnsi="宋体" w:cs="宋体"/>
          <w:b/>
          <w:bCs/>
          <w:color w:val="auto"/>
          <w:sz w:val="24"/>
          <w:highlight w:val="none"/>
          <w:u w:val="single"/>
        </w:rPr>
        <w:t>其他未列明行业</w:t>
      </w:r>
      <w:r>
        <w:rPr>
          <w:rFonts w:ascii="宋体" w:hAnsi="宋体" w:cs="宋体"/>
          <w:b/>
          <w:bCs/>
          <w:color w:val="auto"/>
          <w:sz w:val="24"/>
          <w:highlight w:val="none"/>
        </w:rPr>
        <w:t>。</w:t>
      </w:r>
    </w:p>
    <w:p w14:paraId="65CF2855">
      <w:pPr>
        <w:widowControl/>
        <w:spacing w:line="360" w:lineRule="auto"/>
        <w:ind w:firstLine="600"/>
        <w:jc w:val="lef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                         </w:t>
      </w:r>
    </w:p>
    <w:p w14:paraId="574B3C63">
      <w:pPr>
        <w:widowControl/>
        <w:spacing w:line="360" w:lineRule="auto"/>
        <w:ind w:firstLine="4320"/>
        <w:jc w:val="left"/>
        <w:rPr>
          <w:rFonts w:hint="eastAsia" w:ascii="宋体" w:hAnsi="宋体" w:cs="宋体"/>
          <w:color w:val="auto"/>
          <w:sz w:val="24"/>
          <w:highlight w:val="none"/>
        </w:rPr>
      </w:pPr>
      <w:r>
        <w:rPr>
          <w:rFonts w:hint="eastAsia" w:ascii="宋体" w:hAnsi="宋体" w:cs="宋体"/>
          <w:color w:val="auto"/>
          <w:sz w:val="24"/>
          <w:highlight w:val="none"/>
        </w:rPr>
        <w:t>企业名称（电子签章）：</w:t>
      </w:r>
    </w:p>
    <w:p w14:paraId="7C58974D">
      <w:pPr>
        <w:widowControl/>
        <w:spacing w:line="360" w:lineRule="auto"/>
        <w:ind w:firstLine="480"/>
        <w:jc w:val="left"/>
        <w:rPr>
          <w:rFonts w:hint="eastAsia" w:ascii="宋体" w:hAnsi="宋体" w:cs="宋体"/>
          <w:color w:val="auto"/>
          <w:sz w:val="30"/>
          <w:szCs w:val="30"/>
          <w:highlight w:val="none"/>
        </w:rPr>
      </w:pPr>
      <w:r>
        <w:rPr>
          <w:rFonts w:hint="eastAsia" w:ascii="宋体" w:hAnsi="宋体" w:cs="宋体"/>
          <w:color w:val="auto"/>
          <w:sz w:val="24"/>
          <w:highlight w:val="none"/>
        </w:rPr>
        <w:t xml:space="preserve">                                日期：</w:t>
      </w:r>
    </w:p>
    <w:p w14:paraId="6DB1500B">
      <w:pPr>
        <w:pStyle w:val="50"/>
        <w:rPr>
          <w:color w:val="auto"/>
          <w:highlight w:val="none"/>
        </w:rPr>
      </w:pPr>
    </w:p>
    <w:p w14:paraId="4658A590">
      <w:pPr>
        <w:pStyle w:val="51"/>
        <w:rPr>
          <w:rFonts w:hint="eastAsia" w:ascii="宋体" w:hAnsi="宋体" w:cs="宋体"/>
          <w:color w:val="auto"/>
          <w:highlight w:val="none"/>
        </w:rPr>
      </w:pPr>
    </w:p>
    <w:p w14:paraId="51D470FC">
      <w:pPr>
        <w:widowControl/>
        <w:spacing w:line="360" w:lineRule="auto"/>
        <w:rPr>
          <w:rFonts w:hint="eastAsia" w:ascii="宋体" w:hAnsi="宋体"/>
          <w:b/>
          <w:color w:val="auto"/>
          <w:sz w:val="24"/>
          <w:highlight w:val="none"/>
        </w:rPr>
      </w:pPr>
      <w:r>
        <w:rPr>
          <w:rFonts w:ascii="宋体" w:hAnsi="宋体"/>
          <w:b/>
          <w:color w:val="auto"/>
          <w:sz w:val="24"/>
          <w:highlight w:val="none"/>
        </w:rPr>
        <w:t>备注：从业人员、营业收入、资产总额填报上一年度数据，无上一年度数据的新成立企业可不填报。</w:t>
      </w:r>
    </w:p>
    <w:p w14:paraId="5DFF4E0F">
      <w:pPr>
        <w:spacing w:after="120"/>
        <w:rPr>
          <w:rFonts w:hint="eastAsia" w:ascii="宋体" w:hAnsi="宋体"/>
          <w:b/>
          <w:color w:val="auto"/>
          <w:sz w:val="24"/>
          <w:highlight w:val="none"/>
        </w:rPr>
      </w:pPr>
      <w:r>
        <w:rPr>
          <w:rFonts w:hint="eastAsia" w:ascii="宋体" w:hAnsi="宋体"/>
          <w:b/>
          <w:color w:val="auto"/>
          <w:sz w:val="24"/>
          <w:highlight w:val="none"/>
        </w:rPr>
        <w:t>说明：</w:t>
      </w:r>
    </w:p>
    <w:p w14:paraId="26627F7A">
      <w:pPr>
        <w:widowControl/>
        <w:spacing w:line="360" w:lineRule="auto"/>
        <w:rPr>
          <w:rFonts w:hint="eastAsia" w:ascii="宋体" w:hAnsi="宋体"/>
          <w:b/>
          <w:color w:val="auto"/>
          <w:sz w:val="24"/>
          <w:highlight w:val="none"/>
        </w:rPr>
      </w:pPr>
      <w:r>
        <w:rPr>
          <w:rFonts w:hint="eastAsia" w:ascii="宋体" w:hAnsi="宋体"/>
          <w:b/>
          <w:color w:val="auto"/>
          <w:sz w:val="24"/>
          <w:highlight w:val="none"/>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2BC11F9F">
      <w:pPr>
        <w:widowControl/>
        <w:spacing w:line="360" w:lineRule="auto"/>
        <w:rPr>
          <w:rFonts w:hint="eastAsia" w:ascii="宋体" w:hAnsi="宋体"/>
          <w:b/>
          <w:color w:val="auto"/>
          <w:sz w:val="24"/>
          <w:highlight w:val="none"/>
        </w:rPr>
      </w:pPr>
      <w:r>
        <w:rPr>
          <w:rFonts w:hint="eastAsia" w:ascii="宋体" w:hAnsi="宋体"/>
          <w:b/>
          <w:color w:val="auto"/>
          <w:sz w:val="24"/>
          <w:highlight w:val="none"/>
        </w:rPr>
        <w:t>2、从业人员、营业收入、资产总额填报供应商上一年度数据，无上一年度数据的新成立企业可不填报。</w:t>
      </w:r>
    </w:p>
    <w:p w14:paraId="2AE6E85C">
      <w:pPr>
        <w:widowControl/>
        <w:spacing w:line="360" w:lineRule="auto"/>
        <w:rPr>
          <w:rFonts w:hint="eastAsia" w:ascii="宋体" w:hAnsi="宋体"/>
          <w:b/>
          <w:color w:val="auto"/>
          <w:sz w:val="24"/>
          <w:highlight w:val="none"/>
        </w:rPr>
      </w:pPr>
      <w:r>
        <w:rPr>
          <w:rFonts w:hint="eastAsia" w:ascii="宋体" w:hAnsi="宋体"/>
          <w:b/>
          <w:color w:val="auto"/>
          <w:sz w:val="24"/>
          <w:highlight w:val="none"/>
        </w:rPr>
        <w:t>3、中标、成交供应商为小型、微型企业的，采购人或者其委托的采购代理机构有权随中标、成交结果同时公告其《中小企业声明函》，接受社会监督。</w:t>
      </w:r>
    </w:p>
    <w:p w14:paraId="776CE3D7">
      <w:pPr>
        <w:widowControl/>
        <w:spacing w:line="360" w:lineRule="auto"/>
        <w:rPr>
          <w:rFonts w:hint="eastAsia" w:ascii="宋体" w:hAnsi="宋体"/>
          <w:b/>
          <w:color w:val="auto"/>
          <w:sz w:val="24"/>
          <w:highlight w:val="none"/>
        </w:rPr>
      </w:pPr>
      <w:r>
        <w:rPr>
          <w:rFonts w:hint="eastAsia" w:ascii="宋体" w:hAnsi="宋体"/>
          <w:b/>
          <w:color w:val="auto"/>
          <w:sz w:val="24"/>
          <w:highlight w:val="none"/>
        </w:rPr>
        <w:t>4、供应商提供的《中小企业声明函》与事实不符的，依照《政府采购法》第七十七条第一款的规定追究法律责任。</w:t>
      </w:r>
    </w:p>
    <w:p w14:paraId="276DA7D1">
      <w:pPr>
        <w:spacing w:line="480" w:lineRule="exact"/>
        <w:ind w:firstLine="482"/>
        <w:jc w:val="left"/>
        <w:rPr>
          <w:rFonts w:hint="eastAsia" w:ascii="宋体" w:hAnsi="宋体" w:cs="宋体"/>
          <w:b/>
          <w:color w:val="auto"/>
          <w:sz w:val="24"/>
          <w:highlight w:val="none"/>
        </w:rPr>
      </w:pPr>
      <w:r>
        <w:rPr>
          <w:rFonts w:hint="eastAsia" w:ascii="宋体" w:hAnsi="宋体" w:cs="宋体"/>
          <w:color w:val="auto"/>
          <w:sz w:val="24"/>
          <w:highlight w:val="none"/>
        </w:rPr>
        <w:t>“中小企业声明涵” 查询渠道用微信搜索“中小企业规模类型自测小程序”。看下列截图。</w:t>
      </w:r>
    </w:p>
    <w:p w14:paraId="34CBC861">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p>
    <w:p w14:paraId="08D307B6">
      <w:pPr>
        <w:spacing w:line="360" w:lineRule="auto"/>
        <w:jc w:val="center"/>
        <w:rPr>
          <w:rFonts w:hint="eastAsia" w:ascii="宋体" w:hAnsi="宋体" w:cs="宋体"/>
          <w:b/>
          <w:color w:val="auto"/>
          <w:sz w:val="36"/>
          <w:szCs w:val="36"/>
          <w:highlight w:val="none"/>
        </w:rPr>
      </w:pPr>
      <w:r>
        <w:rPr>
          <w:rFonts w:hint="eastAsia" w:ascii="宋体" w:hAnsi="宋体" w:cs="宋体"/>
          <w:b/>
          <w:bCs/>
          <w:color w:val="auto"/>
          <w:sz w:val="36"/>
          <w:szCs w:val="36"/>
          <w:highlight w:val="none"/>
        </w:rPr>
        <w:t>10</w:t>
      </w:r>
      <w:r>
        <w:rPr>
          <w:rFonts w:hint="eastAsia" w:ascii="宋体" w:hAnsi="宋体" w:cs="宋体"/>
          <w:color w:val="auto"/>
          <w:sz w:val="36"/>
          <w:szCs w:val="36"/>
          <w:highlight w:val="none"/>
        </w:rPr>
        <w:t>、</w:t>
      </w:r>
      <w:r>
        <w:rPr>
          <w:rFonts w:hint="eastAsia" w:ascii="宋体" w:hAnsi="宋体" w:cs="宋体"/>
          <w:b/>
          <w:color w:val="auto"/>
          <w:sz w:val="36"/>
          <w:szCs w:val="36"/>
          <w:highlight w:val="none"/>
        </w:rPr>
        <w:t>供应商参加政府采购活动前3年内在经营活动中没有重大违法记录的书面声明</w:t>
      </w:r>
    </w:p>
    <w:p w14:paraId="22DB75C2">
      <w:pPr>
        <w:rPr>
          <w:rFonts w:hint="eastAsia" w:ascii="宋体" w:hAnsi="宋体" w:cs="宋体"/>
          <w:color w:val="auto"/>
          <w:sz w:val="24"/>
          <w:highlight w:val="none"/>
        </w:rPr>
      </w:pPr>
    </w:p>
    <w:p w14:paraId="5841667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我单位在参加</w:t>
      </w:r>
      <w:r>
        <w:rPr>
          <w:rFonts w:hint="eastAsia" w:ascii="宋体" w:hAnsi="宋体" w:cs="宋体"/>
          <w:color w:val="auto"/>
          <w:sz w:val="24"/>
          <w:highlight w:val="none"/>
          <w:u w:val="single"/>
        </w:rPr>
        <w:t>2026年新沂市乡镇（街道）网格化空气自动监测站运行维护</w:t>
      </w:r>
      <w:r>
        <w:rPr>
          <w:rFonts w:hint="eastAsia" w:ascii="宋体" w:hAnsi="宋体" w:cs="宋体"/>
          <w:color w:val="auto"/>
          <w:sz w:val="24"/>
          <w:highlight w:val="none"/>
        </w:rPr>
        <w:t>（项目编号：</w:t>
      </w:r>
      <w:r>
        <w:rPr>
          <w:rFonts w:hint="eastAsia" w:ascii="宋体" w:hAnsi="宋体" w:cs="宋体"/>
          <w:color w:val="auto"/>
          <w:sz w:val="24"/>
          <w:szCs w:val="21"/>
          <w:highlight w:val="none"/>
          <w:u w:val="single"/>
          <w:lang w:eastAsia="zh-CN"/>
        </w:rPr>
        <w:t>JSZC-320381-ZXGL-C2026-0004</w:t>
      </w:r>
      <w:r>
        <w:rPr>
          <w:rFonts w:hint="eastAsia" w:ascii="宋体" w:hAnsi="宋体" w:cs="宋体"/>
          <w:color w:val="auto"/>
          <w:sz w:val="24"/>
          <w:highlight w:val="none"/>
        </w:rPr>
        <w:t>）政府采购活动前3年内在经营活动中没有重大违法记录。重大违法记录是指因违法经营受到刑事处罚或者责令停产停业、吊销许可证或者执照、较大数额罚款等行政处罚。</w:t>
      </w:r>
    </w:p>
    <w:p w14:paraId="6005F9DD">
      <w:pPr>
        <w:widowControl/>
        <w:spacing w:before="100" w:beforeAutospacing="1" w:after="100" w:afterAutospacing="1"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我单位对上述声明的真实性负责。如有虚假，将依法承担相应责任。</w:t>
      </w:r>
    </w:p>
    <w:p w14:paraId="604F8A6B">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667E23BA">
      <w:pPr>
        <w:spacing w:line="360" w:lineRule="auto"/>
        <w:ind w:right="29"/>
        <w:rPr>
          <w:rFonts w:hint="eastAsia" w:ascii="宋体" w:hAnsi="宋体" w:cs="宋体"/>
          <w:color w:val="auto"/>
          <w:sz w:val="24"/>
          <w:highlight w:val="none"/>
        </w:rPr>
      </w:pPr>
    </w:p>
    <w:p w14:paraId="102D9640">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3FE9DC82">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09BD371B">
      <w:pPr>
        <w:pStyle w:val="47"/>
        <w:ind w:left="239" w:firstLine="2640"/>
        <w:rPr>
          <w:rFonts w:hint="eastAsia"/>
          <w:color w:val="auto"/>
          <w:highlight w:val="none"/>
        </w:rPr>
      </w:pPr>
    </w:p>
    <w:p w14:paraId="3AF7AC0C">
      <w:pPr>
        <w:rPr>
          <w:rFonts w:hint="eastAsia" w:ascii="宋体" w:hAnsi="宋体" w:cs="宋体"/>
          <w:b/>
          <w:color w:val="auto"/>
          <w:sz w:val="36"/>
          <w:szCs w:val="36"/>
          <w:highlight w:val="none"/>
        </w:rPr>
      </w:pPr>
      <w:bookmarkStart w:id="9" w:name="OLE_LINK14"/>
      <w:bookmarkStart w:id="10" w:name="OLE_LINK13"/>
      <w:r>
        <w:rPr>
          <w:rFonts w:hint="eastAsia" w:ascii="宋体" w:hAnsi="宋体" w:cs="宋体"/>
          <w:b/>
          <w:color w:val="auto"/>
          <w:sz w:val="36"/>
          <w:szCs w:val="36"/>
          <w:highlight w:val="none"/>
        </w:rPr>
        <w:br w:type="page" w:clear="all"/>
      </w:r>
    </w:p>
    <w:p w14:paraId="4A902CC3">
      <w:pPr>
        <w:spacing w:line="360" w:lineRule="auto"/>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11、残疾人福利性单位声明函</w:t>
      </w:r>
      <w:bookmarkEnd w:id="9"/>
      <w:bookmarkEnd w:id="10"/>
    </w:p>
    <w:p w14:paraId="18121DF8">
      <w:pPr>
        <w:spacing w:line="360" w:lineRule="auto"/>
        <w:rPr>
          <w:rFonts w:hint="eastAsia" w:ascii="宋体" w:hAnsi="宋体" w:cs="宋体"/>
          <w:color w:val="auto"/>
          <w:sz w:val="24"/>
          <w:highlight w:val="none"/>
        </w:rPr>
      </w:pPr>
      <w:r>
        <w:rPr>
          <w:rFonts w:hint="eastAsia" w:ascii="宋体" w:hAnsi="宋体" w:cs="宋体"/>
          <w:color w:val="auto"/>
          <w:sz w:val="24"/>
          <w:highlight w:val="none"/>
        </w:rPr>
        <w:t>项目名称：2026年新沂市乡镇（街道）网格化空气自动监测站运行维护</w:t>
      </w:r>
    </w:p>
    <w:p w14:paraId="0A146081">
      <w:pPr>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szCs w:val="21"/>
          <w:highlight w:val="none"/>
          <w:lang w:eastAsia="zh-CN"/>
        </w:rPr>
        <w:t>JSZC-320381-ZXGL-C2026-0004</w:t>
      </w:r>
    </w:p>
    <w:p w14:paraId="4AC6EB30">
      <w:pPr>
        <w:spacing w:line="360" w:lineRule="auto"/>
        <w:ind w:firstLine="504"/>
        <w:rPr>
          <w:rFonts w:hint="eastAsia" w:ascii="宋体" w:hAnsi="宋体" w:cs="宋体"/>
          <w:color w:val="auto"/>
          <w:spacing w:val="6"/>
          <w:sz w:val="24"/>
          <w:highlight w:val="none"/>
        </w:rPr>
      </w:pPr>
    </w:p>
    <w:p w14:paraId="4C395E5D">
      <w:pPr>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E5EC07">
      <w:pPr>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429CA501">
      <w:pPr>
        <w:spacing w:line="360" w:lineRule="auto"/>
        <w:ind w:firstLine="504"/>
        <w:rPr>
          <w:rFonts w:hint="eastAsia" w:ascii="宋体" w:hAnsi="宋体" w:cs="宋体"/>
          <w:color w:val="auto"/>
          <w:spacing w:val="6"/>
          <w:sz w:val="24"/>
          <w:highlight w:val="none"/>
        </w:rPr>
      </w:pPr>
    </w:p>
    <w:p w14:paraId="0E72F6C0">
      <w:pPr>
        <w:spacing w:line="360" w:lineRule="auto"/>
        <w:ind w:firstLine="504"/>
        <w:rPr>
          <w:rFonts w:hint="eastAsia" w:ascii="宋体" w:hAnsi="宋体" w:cs="宋体"/>
          <w:color w:val="auto"/>
          <w:spacing w:val="6"/>
          <w:sz w:val="24"/>
          <w:highlight w:val="none"/>
        </w:rPr>
      </w:pPr>
    </w:p>
    <w:p w14:paraId="6B70DFFD">
      <w:pPr>
        <w:tabs>
          <w:tab w:val="left" w:pos="4860"/>
        </w:tabs>
        <w:spacing w:line="360" w:lineRule="auto"/>
        <w:ind w:right="1560" w:firstLine="504"/>
        <w:jc w:val="center"/>
        <w:outlineLvl w:val="0"/>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单位名称（电子签章）：</w:t>
      </w:r>
    </w:p>
    <w:p w14:paraId="644DEE9C">
      <w:pPr>
        <w:tabs>
          <w:tab w:val="left" w:pos="4860"/>
        </w:tabs>
        <w:spacing w:line="360" w:lineRule="auto"/>
        <w:ind w:right="1560" w:firstLine="504"/>
        <w:jc w:val="center"/>
        <w:outlineLvl w:val="0"/>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p>
    <w:p w14:paraId="1CC7C0B3">
      <w:pPr>
        <w:spacing w:line="360" w:lineRule="auto"/>
        <w:rPr>
          <w:rFonts w:hint="eastAsia" w:ascii="宋体" w:hAnsi="宋体" w:cs="宋体"/>
          <w:color w:val="auto"/>
          <w:sz w:val="24"/>
          <w:highlight w:val="none"/>
        </w:rPr>
      </w:pPr>
    </w:p>
    <w:p w14:paraId="36384754">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说明：</w:t>
      </w:r>
    </w:p>
    <w:p w14:paraId="2815331D">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中标、成交供应商为残疾人福利性单位的，采购人或者其委托的采购代理机构应当随中标、成交结果同时公告其《残疾人福利性单位声明函》，接受社会监督。</w:t>
      </w:r>
    </w:p>
    <w:p w14:paraId="5056B1F5">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供应商提供的《残疾人福利性单位声明函》与事实不符的，依照《政府采购法》第七十七条第一款的规定追究法律责任。</w:t>
      </w:r>
    </w:p>
    <w:p w14:paraId="28F5D65A">
      <w:pPr>
        <w:widowControl/>
        <w:spacing w:line="360" w:lineRule="auto"/>
        <w:ind w:firstLine="480"/>
        <w:jc w:val="left"/>
        <w:rPr>
          <w:rFonts w:hint="eastAsia" w:ascii="宋体" w:hAnsi="宋体" w:cs="宋体"/>
          <w:color w:val="auto"/>
          <w:sz w:val="24"/>
          <w:highlight w:val="none"/>
        </w:rPr>
      </w:pPr>
    </w:p>
    <w:p w14:paraId="7A2D0612">
      <w:pPr>
        <w:rPr>
          <w:rFonts w:hint="eastAsia" w:ascii="宋体" w:hAnsi="宋体" w:cs="宋体"/>
          <w:b/>
          <w:color w:val="auto"/>
          <w:sz w:val="36"/>
          <w:highlight w:val="none"/>
        </w:rPr>
      </w:pPr>
    </w:p>
    <w:p w14:paraId="2C4ED667">
      <w:pPr>
        <w:pStyle w:val="252"/>
        <w:rPr>
          <w:rFonts w:hint="eastAsia" w:hAnsi="宋体"/>
          <w:color w:val="auto"/>
          <w:highlight w:val="none"/>
        </w:rPr>
      </w:pPr>
    </w:p>
    <w:p w14:paraId="6783FC9D">
      <w:pPr>
        <w:rPr>
          <w:rFonts w:hint="eastAsia" w:ascii="宋体" w:hAnsi="宋体" w:cs="宋体"/>
          <w:b/>
          <w:color w:val="auto"/>
          <w:spacing w:val="6"/>
          <w:sz w:val="36"/>
          <w:szCs w:val="36"/>
          <w:highlight w:val="none"/>
        </w:rPr>
      </w:pPr>
      <w:r>
        <w:rPr>
          <w:rFonts w:hint="eastAsia" w:ascii="宋体" w:hAnsi="宋体" w:cs="宋体"/>
          <w:b/>
          <w:color w:val="auto"/>
          <w:spacing w:val="6"/>
          <w:sz w:val="36"/>
          <w:szCs w:val="36"/>
          <w:highlight w:val="none"/>
        </w:rPr>
        <w:br w:type="page" w:clear="all"/>
      </w:r>
    </w:p>
    <w:p w14:paraId="4D7F1303">
      <w:pPr>
        <w:spacing w:line="588" w:lineRule="exact"/>
        <w:jc w:val="center"/>
        <w:rPr>
          <w:rFonts w:hint="eastAsia" w:ascii="宋体" w:hAnsi="宋体" w:cs="宋体"/>
          <w:b/>
          <w:color w:val="auto"/>
          <w:spacing w:val="6"/>
          <w:sz w:val="36"/>
          <w:szCs w:val="36"/>
          <w:highlight w:val="none"/>
        </w:rPr>
      </w:pPr>
      <w:r>
        <w:rPr>
          <w:rFonts w:hint="eastAsia" w:ascii="宋体" w:hAnsi="宋体" w:cs="宋体"/>
          <w:b/>
          <w:color w:val="auto"/>
          <w:spacing w:val="6"/>
          <w:sz w:val="36"/>
          <w:szCs w:val="36"/>
          <w:highlight w:val="none"/>
        </w:rPr>
        <w:t>12、具备履行合同所必需的设备和专业技术能力的书面声明</w:t>
      </w:r>
    </w:p>
    <w:p w14:paraId="1F093D39">
      <w:pPr>
        <w:rPr>
          <w:rFonts w:hint="eastAsia" w:ascii="宋体" w:hAnsi="宋体" w:cs="宋体"/>
          <w:color w:val="auto"/>
          <w:sz w:val="24"/>
          <w:highlight w:val="none"/>
        </w:rPr>
      </w:pPr>
    </w:p>
    <w:p w14:paraId="407E7319">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项目名称：2026年新沂市乡镇（街道）网格化空气自动监测站运行维护</w:t>
      </w:r>
    </w:p>
    <w:p w14:paraId="4E12532F">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szCs w:val="21"/>
          <w:highlight w:val="none"/>
          <w:lang w:eastAsia="zh-CN"/>
        </w:rPr>
        <w:t>JSZC-320381-ZXGL-C2026-0004</w:t>
      </w:r>
    </w:p>
    <w:p w14:paraId="300E0865">
      <w:pPr>
        <w:spacing w:line="360" w:lineRule="auto"/>
        <w:ind w:firstLine="480"/>
        <w:rPr>
          <w:rFonts w:hint="eastAsia" w:ascii="宋体" w:hAnsi="宋体" w:cs="宋体"/>
          <w:color w:val="auto"/>
          <w:sz w:val="24"/>
          <w:highlight w:val="none"/>
        </w:rPr>
      </w:pPr>
    </w:p>
    <w:p w14:paraId="2564C7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我单位郑重声明：我单位具备履行合同（项目名称：</w:t>
      </w:r>
      <w:r>
        <w:rPr>
          <w:rFonts w:hint="eastAsia" w:ascii="宋体" w:hAnsi="宋体" w:cs="宋体"/>
          <w:color w:val="auto"/>
          <w:sz w:val="24"/>
          <w:highlight w:val="none"/>
          <w:u w:val="single"/>
        </w:rPr>
        <w:t xml:space="preserve">2026年新沂市乡镇（街道）网格化空气自动监测站运行维护 </w:t>
      </w:r>
      <w:r>
        <w:rPr>
          <w:rFonts w:hint="eastAsia" w:ascii="宋体" w:hAnsi="宋体" w:cs="宋体"/>
          <w:color w:val="auto"/>
          <w:sz w:val="24"/>
          <w:highlight w:val="none"/>
        </w:rPr>
        <w:t>，项目编号：</w:t>
      </w:r>
      <w:r>
        <w:rPr>
          <w:rFonts w:hint="eastAsia" w:ascii="宋体" w:hAnsi="宋体" w:cs="宋体"/>
          <w:color w:val="auto"/>
          <w:sz w:val="24"/>
          <w:szCs w:val="21"/>
          <w:highlight w:val="none"/>
          <w:u w:val="single"/>
          <w:lang w:eastAsia="zh-CN"/>
        </w:rPr>
        <w:t>JSZC-320381-ZXGL-C2026-0004</w:t>
      </w:r>
      <w:r>
        <w:rPr>
          <w:rFonts w:hint="eastAsia" w:ascii="宋体" w:hAnsi="宋体" w:cs="宋体"/>
          <w:color w:val="auto"/>
          <w:sz w:val="24"/>
          <w:highlight w:val="none"/>
        </w:rPr>
        <w:t>）所必需的设备和专业技术能力。</w:t>
      </w:r>
    </w:p>
    <w:p w14:paraId="265038BE">
      <w:pPr>
        <w:spacing w:line="360" w:lineRule="auto"/>
        <w:rPr>
          <w:rFonts w:hint="eastAsia" w:ascii="宋体" w:hAnsi="宋体" w:cs="宋体"/>
          <w:color w:val="auto"/>
          <w:sz w:val="24"/>
          <w:highlight w:val="none"/>
        </w:rPr>
      </w:pPr>
    </w:p>
    <w:p w14:paraId="6E9D8DA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特此声明。</w:t>
      </w:r>
    </w:p>
    <w:p w14:paraId="2D4FA46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我单位对上述声明的真实性负责。如有虚假，将依法承担相应责任。</w:t>
      </w:r>
    </w:p>
    <w:p w14:paraId="63628C08">
      <w:pPr>
        <w:spacing w:line="360" w:lineRule="auto"/>
        <w:rPr>
          <w:rFonts w:hint="eastAsia" w:ascii="宋体" w:hAnsi="宋体" w:cs="宋体"/>
          <w:color w:val="auto"/>
          <w:sz w:val="24"/>
          <w:highlight w:val="none"/>
        </w:rPr>
      </w:pPr>
    </w:p>
    <w:p w14:paraId="56A30AD6">
      <w:pPr>
        <w:spacing w:line="360" w:lineRule="auto"/>
        <w:rPr>
          <w:rFonts w:hint="eastAsia" w:ascii="宋体" w:hAnsi="宋体" w:cs="宋体"/>
          <w:color w:val="auto"/>
          <w:sz w:val="24"/>
          <w:highlight w:val="none"/>
        </w:rPr>
      </w:pPr>
    </w:p>
    <w:p w14:paraId="47E39E37">
      <w:pPr>
        <w:widowControl/>
        <w:spacing w:line="360" w:lineRule="auto"/>
        <w:ind w:firstLine="480"/>
        <w:jc w:val="left"/>
        <w:rPr>
          <w:rFonts w:hint="eastAsia" w:ascii="宋体" w:hAnsi="宋体" w:cs="宋体"/>
          <w:color w:val="auto"/>
          <w:sz w:val="24"/>
          <w:highlight w:val="none"/>
        </w:rPr>
      </w:pPr>
    </w:p>
    <w:p w14:paraId="02398218">
      <w:pPr>
        <w:spacing w:line="360" w:lineRule="auto"/>
        <w:ind w:firstLine="675"/>
        <w:jc w:val="center"/>
        <w:rPr>
          <w:rFonts w:hint="eastAsia" w:ascii="宋体" w:hAnsi="宋体" w:cs="宋体"/>
          <w:bCs/>
          <w:color w:val="auto"/>
          <w:sz w:val="30"/>
          <w:szCs w:val="30"/>
          <w:highlight w:val="none"/>
        </w:rPr>
      </w:pPr>
    </w:p>
    <w:p w14:paraId="73408B96">
      <w:pPr>
        <w:spacing w:line="360" w:lineRule="auto"/>
        <w:ind w:right="29" w:firstLine="3960"/>
        <w:rPr>
          <w:rFonts w:hint="eastAsia" w:ascii="宋体" w:hAnsi="宋体" w:cs="宋体"/>
          <w:color w:val="auto"/>
          <w:sz w:val="24"/>
          <w:highlight w:val="none"/>
        </w:rPr>
      </w:pPr>
      <w:r>
        <w:rPr>
          <w:rFonts w:hint="eastAsia" w:ascii="宋体" w:hAnsi="宋体" w:cs="宋体"/>
          <w:color w:val="auto"/>
          <w:sz w:val="24"/>
          <w:highlight w:val="none"/>
        </w:rPr>
        <w:t xml:space="preserve">供应商（电子签章）： </w:t>
      </w:r>
    </w:p>
    <w:p w14:paraId="0E37F488">
      <w:pPr>
        <w:spacing w:line="360" w:lineRule="auto"/>
        <w:ind w:right="29" w:firstLine="3960"/>
        <w:rPr>
          <w:rFonts w:hint="eastAsia" w:ascii="宋体" w:hAnsi="宋体" w:cs="宋体"/>
          <w:b/>
          <w:color w:val="auto"/>
          <w:sz w:val="36"/>
          <w:szCs w:val="36"/>
          <w:highlight w:val="none"/>
        </w:rPr>
      </w:pPr>
      <w:r>
        <w:rPr>
          <w:rFonts w:hint="eastAsia" w:ascii="宋体" w:hAnsi="宋体" w:cs="宋体"/>
          <w:color w:val="auto"/>
          <w:sz w:val="24"/>
          <w:highlight w:val="none"/>
        </w:rPr>
        <w:t>日期：</w:t>
      </w:r>
    </w:p>
    <w:p w14:paraId="13ACB357">
      <w:pPr>
        <w:spacing w:line="588" w:lineRule="exact"/>
        <w:rPr>
          <w:rFonts w:hint="eastAsia" w:ascii="宋体" w:hAnsi="宋体" w:cs="宋体"/>
          <w:b/>
          <w:color w:val="auto"/>
          <w:spacing w:val="6"/>
          <w:sz w:val="36"/>
          <w:szCs w:val="36"/>
          <w:highlight w:val="none"/>
        </w:rPr>
      </w:pPr>
    </w:p>
    <w:p w14:paraId="6368D157">
      <w:pPr>
        <w:rPr>
          <w:rFonts w:hint="eastAsia" w:ascii="宋体" w:hAnsi="宋体" w:cs="宋体"/>
          <w:b/>
          <w:color w:val="auto"/>
          <w:spacing w:val="6"/>
          <w:sz w:val="36"/>
          <w:szCs w:val="36"/>
          <w:highlight w:val="none"/>
        </w:rPr>
      </w:pPr>
      <w:r>
        <w:rPr>
          <w:rFonts w:hint="eastAsia" w:ascii="宋体" w:hAnsi="宋体" w:cs="宋体"/>
          <w:b/>
          <w:color w:val="auto"/>
          <w:spacing w:val="6"/>
          <w:sz w:val="36"/>
          <w:szCs w:val="36"/>
          <w:highlight w:val="none"/>
        </w:rPr>
        <w:br w:type="page" w:clear="all"/>
      </w:r>
    </w:p>
    <w:p w14:paraId="4733F469">
      <w:pPr>
        <w:spacing w:line="360" w:lineRule="auto"/>
        <w:jc w:val="center"/>
        <w:rPr>
          <w:rFonts w:hint="eastAsia" w:ascii="宋体" w:hAnsi="宋体" w:cs="宋体"/>
          <w:b/>
          <w:color w:val="auto"/>
          <w:spacing w:val="6"/>
          <w:sz w:val="36"/>
          <w:szCs w:val="36"/>
          <w:highlight w:val="none"/>
        </w:rPr>
      </w:pPr>
      <w:r>
        <w:rPr>
          <w:rFonts w:hint="eastAsia" w:ascii="宋体" w:hAnsi="宋体" w:cs="宋体"/>
          <w:b/>
          <w:color w:val="auto"/>
          <w:spacing w:val="6"/>
          <w:sz w:val="36"/>
          <w:szCs w:val="36"/>
          <w:highlight w:val="none"/>
        </w:rPr>
        <w:t>13、供应商业绩一览表</w:t>
      </w:r>
    </w:p>
    <w:p w14:paraId="2F343903">
      <w:pPr>
        <w:pStyle w:val="3"/>
        <w:spacing w:line="360" w:lineRule="auto"/>
        <w:ind w:left="0"/>
        <w:rPr>
          <w:rFonts w:hint="eastAsia" w:ascii="宋体" w:hAnsi="宋体" w:cs="宋体"/>
          <w:color w:val="auto"/>
          <w:sz w:val="24"/>
          <w:highlight w:val="none"/>
        </w:rPr>
      </w:pPr>
      <w:r>
        <w:rPr>
          <w:rFonts w:hint="eastAsia" w:ascii="宋体" w:hAnsi="宋体" w:cs="宋体"/>
          <w:color w:val="auto"/>
          <w:sz w:val="24"/>
          <w:highlight w:val="none"/>
        </w:rPr>
        <w:t>项目名称：2026年新沂市乡镇（街道）网格化空气自动监测站运行维护</w:t>
      </w:r>
    </w:p>
    <w:p w14:paraId="017BEBE7">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JSZC-320381-ZXGL-C2026-0004</w:t>
      </w:r>
    </w:p>
    <w:tbl>
      <w:tblPr>
        <w:tblStyle w:val="52"/>
        <w:tblW w:w="1059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748"/>
        <w:gridCol w:w="1400"/>
        <w:gridCol w:w="2088"/>
        <w:gridCol w:w="1332"/>
        <w:gridCol w:w="2016"/>
        <w:gridCol w:w="1704"/>
        <w:gridCol w:w="1308"/>
      </w:tblGrid>
      <w:tr w14:paraId="6E586C5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748" w:type="dxa"/>
            <w:tcBorders>
              <w:top w:val="single" w:color="000000" w:sz="6" w:space="0"/>
              <w:left w:val="single" w:color="000000" w:sz="6" w:space="0"/>
              <w:bottom w:val="single" w:color="000000" w:sz="6" w:space="0"/>
              <w:right w:val="single" w:color="000000" w:sz="6" w:space="0"/>
            </w:tcBorders>
            <w:vAlign w:val="center"/>
          </w:tcPr>
          <w:p w14:paraId="0A15BF28">
            <w:pPr>
              <w:jc w:val="center"/>
              <w:rPr>
                <w:rFonts w:hint="eastAsia" w:ascii="宋体" w:hAnsi="宋体" w:cs="宋体"/>
                <w:caps/>
                <w:color w:val="auto"/>
                <w:sz w:val="24"/>
                <w:highlight w:val="none"/>
              </w:rPr>
            </w:pPr>
            <w:r>
              <w:rPr>
                <w:rFonts w:hint="eastAsia" w:ascii="宋体" w:hAnsi="宋体" w:cs="宋体"/>
                <w:caps/>
                <w:color w:val="auto"/>
                <w:sz w:val="24"/>
                <w:highlight w:val="none"/>
              </w:rPr>
              <w:t>序号</w:t>
            </w:r>
          </w:p>
        </w:tc>
        <w:tc>
          <w:tcPr>
            <w:tcW w:w="1400" w:type="dxa"/>
            <w:tcBorders>
              <w:top w:val="single" w:color="000000" w:sz="6" w:space="0"/>
              <w:left w:val="single" w:color="000000" w:sz="6" w:space="0"/>
              <w:bottom w:val="single" w:color="000000" w:sz="6" w:space="0"/>
              <w:right w:val="single" w:color="000000" w:sz="6" w:space="0"/>
            </w:tcBorders>
            <w:vAlign w:val="center"/>
          </w:tcPr>
          <w:p w14:paraId="7F532AE2">
            <w:pPr>
              <w:jc w:val="center"/>
              <w:rPr>
                <w:rFonts w:hint="eastAsia" w:ascii="宋体" w:hAnsi="宋体" w:cs="宋体"/>
                <w:caps/>
                <w:color w:val="auto"/>
                <w:sz w:val="24"/>
                <w:highlight w:val="none"/>
              </w:rPr>
            </w:pPr>
            <w:r>
              <w:rPr>
                <w:rFonts w:hint="eastAsia" w:ascii="宋体" w:hAnsi="宋体" w:cs="宋体"/>
                <w:caps/>
                <w:color w:val="auto"/>
                <w:sz w:val="24"/>
                <w:highlight w:val="none"/>
              </w:rPr>
              <w:t>合同签订日期</w:t>
            </w:r>
          </w:p>
        </w:tc>
        <w:tc>
          <w:tcPr>
            <w:tcW w:w="2088" w:type="dxa"/>
            <w:tcBorders>
              <w:top w:val="single" w:color="000000" w:sz="6" w:space="0"/>
              <w:left w:val="single" w:color="000000" w:sz="6" w:space="0"/>
              <w:bottom w:val="single" w:color="000000" w:sz="6" w:space="0"/>
              <w:right w:val="single" w:color="000000" w:sz="6" w:space="0"/>
            </w:tcBorders>
            <w:vAlign w:val="center"/>
          </w:tcPr>
          <w:p w14:paraId="34A12523">
            <w:pPr>
              <w:jc w:val="center"/>
              <w:rPr>
                <w:rFonts w:hint="eastAsia" w:ascii="宋体" w:hAnsi="宋体" w:cs="宋体"/>
                <w:caps/>
                <w:color w:val="auto"/>
                <w:sz w:val="24"/>
                <w:highlight w:val="none"/>
              </w:rPr>
            </w:pPr>
            <w:r>
              <w:rPr>
                <w:rFonts w:hint="eastAsia" w:ascii="宋体" w:hAnsi="宋体" w:cs="宋体"/>
                <w:caps/>
                <w:color w:val="auto"/>
                <w:sz w:val="24"/>
                <w:highlight w:val="none"/>
              </w:rPr>
              <w:t>项目名称</w:t>
            </w:r>
          </w:p>
        </w:tc>
        <w:tc>
          <w:tcPr>
            <w:tcW w:w="1332" w:type="dxa"/>
            <w:tcBorders>
              <w:top w:val="single" w:color="000000" w:sz="6" w:space="0"/>
              <w:left w:val="single" w:color="000000" w:sz="6" w:space="0"/>
              <w:bottom w:val="single" w:color="000000" w:sz="6" w:space="0"/>
              <w:right w:val="single" w:color="000000" w:sz="6" w:space="0"/>
            </w:tcBorders>
            <w:vAlign w:val="center"/>
          </w:tcPr>
          <w:p w14:paraId="251A89B5">
            <w:pPr>
              <w:jc w:val="center"/>
              <w:rPr>
                <w:rFonts w:hint="eastAsia" w:ascii="宋体" w:hAnsi="宋体" w:cs="宋体"/>
                <w:caps/>
                <w:color w:val="auto"/>
                <w:sz w:val="24"/>
                <w:highlight w:val="none"/>
              </w:rPr>
            </w:pPr>
            <w:r>
              <w:rPr>
                <w:rFonts w:hint="eastAsia" w:ascii="宋体" w:hAnsi="宋体" w:cs="宋体"/>
                <w:caps/>
                <w:color w:val="auto"/>
                <w:sz w:val="24"/>
                <w:highlight w:val="none"/>
              </w:rPr>
              <w:t>合同金额（元）</w:t>
            </w:r>
          </w:p>
        </w:tc>
        <w:tc>
          <w:tcPr>
            <w:tcW w:w="2016" w:type="dxa"/>
            <w:tcBorders>
              <w:top w:val="single" w:color="000000" w:sz="6" w:space="0"/>
              <w:left w:val="single" w:color="000000" w:sz="6" w:space="0"/>
              <w:bottom w:val="single" w:color="000000" w:sz="6" w:space="0"/>
              <w:right w:val="single" w:color="000000" w:sz="6" w:space="0"/>
            </w:tcBorders>
            <w:vAlign w:val="center"/>
          </w:tcPr>
          <w:p w14:paraId="06219E01">
            <w:pPr>
              <w:jc w:val="center"/>
              <w:rPr>
                <w:rFonts w:hint="eastAsia" w:ascii="宋体" w:hAnsi="宋体" w:cs="宋体"/>
                <w:caps/>
                <w:color w:val="auto"/>
                <w:sz w:val="24"/>
                <w:highlight w:val="none"/>
              </w:rPr>
            </w:pPr>
            <w:r>
              <w:rPr>
                <w:rFonts w:hint="eastAsia" w:ascii="宋体" w:hAnsi="宋体" w:cs="宋体"/>
                <w:caps/>
                <w:color w:val="auto"/>
                <w:sz w:val="24"/>
                <w:highlight w:val="none"/>
              </w:rPr>
              <w:t>合同甲方</w:t>
            </w:r>
          </w:p>
        </w:tc>
        <w:tc>
          <w:tcPr>
            <w:tcW w:w="1704" w:type="dxa"/>
            <w:tcBorders>
              <w:top w:val="single" w:color="000000" w:sz="6" w:space="0"/>
              <w:left w:val="single" w:color="000000" w:sz="6" w:space="0"/>
              <w:bottom w:val="single" w:color="000000" w:sz="6" w:space="0"/>
              <w:right w:val="single" w:color="000000" w:sz="6" w:space="0"/>
            </w:tcBorders>
            <w:vAlign w:val="center"/>
          </w:tcPr>
          <w:p w14:paraId="52B73726">
            <w:pPr>
              <w:jc w:val="center"/>
              <w:rPr>
                <w:rFonts w:hint="eastAsia" w:ascii="宋体" w:hAnsi="宋体" w:cs="宋体"/>
                <w:caps/>
                <w:color w:val="auto"/>
                <w:sz w:val="24"/>
                <w:highlight w:val="none"/>
              </w:rPr>
            </w:pPr>
            <w:r>
              <w:rPr>
                <w:rFonts w:hint="eastAsia" w:ascii="宋体" w:hAnsi="宋体" w:cs="宋体"/>
                <w:caps/>
                <w:color w:val="auto"/>
                <w:sz w:val="24"/>
                <w:highlight w:val="none"/>
              </w:rPr>
              <w:t>甲方联系人及电话</w:t>
            </w:r>
          </w:p>
        </w:tc>
        <w:tc>
          <w:tcPr>
            <w:tcW w:w="1308" w:type="dxa"/>
            <w:tcBorders>
              <w:top w:val="single" w:color="000000" w:sz="6" w:space="0"/>
              <w:left w:val="single" w:color="000000" w:sz="6" w:space="0"/>
              <w:bottom w:val="single" w:color="000000" w:sz="6" w:space="0"/>
              <w:right w:val="single" w:color="000000" w:sz="6" w:space="0"/>
            </w:tcBorders>
            <w:vAlign w:val="center"/>
          </w:tcPr>
          <w:p w14:paraId="59CB7BC7">
            <w:pPr>
              <w:jc w:val="center"/>
              <w:rPr>
                <w:rFonts w:hint="eastAsia" w:ascii="宋体" w:hAnsi="宋体" w:cs="宋体"/>
                <w:caps/>
                <w:color w:val="auto"/>
                <w:sz w:val="24"/>
                <w:highlight w:val="none"/>
              </w:rPr>
            </w:pPr>
            <w:r>
              <w:rPr>
                <w:rFonts w:hint="eastAsia" w:ascii="宋体" w:hAnsi="宋体" w:cs="宋体"/>
                <w:caps/>
                <w:color w:val="auto"/>
                <w:sz w:val="24"/>
                <w:highlight w:val="none"/>
              </w:rPr>
              <w:t>备注</w:t>
            </w:r>
          </w:p>
        </w:tc>
      </w:tr>
      <w:tr w14:paraId="1E0AE90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798" w:hRule="atLeast"/>
          <w:jc w:val="center"/>
        </w:trPr>
        <w:tc>
          <w:tcPr>
            <w:tcW w:w="748" w:type="dxa"/>
            <w:tcBorders>
              <w:top w:val="single" w:color="000000" w:sz="6" w:space="0"/>
              <w:left w:val="single" w:color="000000" w:sz="6" w:space="0"/>
              <w:bottom w:val="single" w:color="000000" w:sz="6" w:space="0"/>
              <w:right w:val="single" w:color="000000" w:sz="6" w:space="0"/>
            </w:tcBorders>
            <w:vAlign w:val="center"/>
          </w:tcPr>
          <w:p w14:paraId="51421B47">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400" w:type="dxa"/>
            <w:tcBorders>
              <w:top w:val="single" w:color="000000" w:sz="6" w:space="0"/>
              <w:left w:val="single" w:color="000000" w:sz="6" w:space="0"/>
              <w:bottom w:val="single" w:color="000000" w:sz="6" w:space="0"/>
              <w:right w:val="single" w:color="000000" w:sz="6" w:space="0"/>
            </w:tcBorders>
          </w:tcPr>
          <w:p w14:paraId="701D576B">
            <w:pPr>
              <w:spacing w:line="360" w:lineRule="auto"/>
              <w:rPr>
                <w:rFonts w:hint="eastAsia" w:ascii="宋体" w:hAnsi="宋体" w:cs="宋体"/>
                <w:color w:val="auto"/>
                <w:szCs w:val="21"/>
                <w:highlight w:val="none"/>
              </w:rPr>
            </w:pPr>
          </w:p>
        </w:tc>
        <w:tc>
          <w:tcPr>
            <w:tcW w:w="2088" w:type="dxa"/>
            <w:tcBorders>
              <w:top w:val="single" w:color="000000" w:sz="6" w:space="0"/>
              <w:left w:val="single" w:color="000000" w:sz="6" w:space="0"/>
              <w:bottom w:val="single" w:color="000000" w:sz="6" w:space="0"/>
              <w:right w:val="single" w:color="000000" w:sz="6" w:space="0"/>
            </w:tcBorders>
          </w:tcPr>
          <w:p w14:paraId="30AFA1E7">
            <w:pPr>
              <w:spacing w:line="360" w:lineRule="auto"/>
              <w:rPr>
                <w:rFonts w:hint="eastAsia" w:ascii="宋体" w:hAnsi="宋体" w:cs="宋体"/>
                <w:color w:val="auto"/>
                <w:szCs w:val="21"/>
                <w:highlight w:val="none"/>
              </w:rPr>
            </w:pPr>
          </w:p>
        </w:tc>
        <w:tc>
          <w:tcPr>
            <w:tcW w:w="1332" w:type="dxa"/>
            <w:tcBorders>
              <w:top w:val="single" w:color="000000" w:sz="6" w:space="0"/>
              <w:left w:val="single" w:color="000000" w:sz="6" w:space="0"/>
              <w:bottom w:val="single" w:color="000000" w:sz="6" w:space="0"/>
              <w:right w:val="single" w:color="000000" w:sz="6" w:space="0"/>
            </w:tcBorders>
          </w:tcPr>
          <w:p w14:paraId="5CE2E279">
            <w:pPr>
              <w:spacing w:line="360" w:lineRule="auto"/>
              <w:rPr>
                <w:rFonts w:hint="eastAsia" w:ascii="宋体" w:hAnsi="宋体" w:cs="宋体"/>
                <w:color w:val="auto"/>
                <w:szCs w:val="21"/>
                <w:highlight w:val="none"/>
              </w:rPr>
            </w:pPr>
          </w:p>
        </w:tc>
        <w:tc>
          <w:tcPr>
            <w:tcW w:w="2016" w:type="dxa"/>
            <w:tcBorders>
              <w:top w:val="single" w:color="000000" w:sz="6" w:space="0"/>
              <w:left w:val="single" w:color="000000" w:sz="6" w:space="0"/>
              <w:bottom w:val="single" w:color="000000" w:sz="6" w:space="0"/>
              <w:right w:val="single" w:color="000000" w:sz="6" w:space="0"/>
            </w:tcBorders>
          </w:tcPr>
          <w:p w14:paraId="071727B5">
            <w:pPr>
              <w:spacing w:line="360" w:lineRule="auto"/>
              <w:rPr>
                <w:rFonts w:hint="eastAsia" w:ascii="宋体" w:hAnsi="宋体" w:cs="宋体"/>
                <w:color w:val="auto"/>
                <w:szCs w:val="21"/>
                <w:highlight w:val="none"/>
              </w:rPr>
            </w:pPr>
          </w:p>
        </w:tc>
        <w:tc>
          <w:tcPr>
            <w:tcW w:w="1704" w:type="dxa"/>
            <w:tcBorders>
              <w:top w:val="single" w:color="000000" w:sz="6" w:space="0"/>
              <w:left w:val="single" w:color="000000" w:sz="6" w:space="0"/>
              <w:bottom w:val="single" w:color="000000" w:sz="6" w:space="0"/>
              <w:right w:val="single" w:color="000000" w:sz="6" w:space="0"/>
            </w:tcBorders>
          </w:tcPr>
          <w:p w14:paraId="1E5B05E0">
            <w:pPr>
              <w:spacing w:line="360" w:lineRule="auto"/>
              <w:rPr>
                <w:rFonts w:hint="eastAsia" w:ascii="宋体" w:hAnsi="宋体" w:cs="宋体"/>
                <w:color w:val="auto"/>
                <w:szCs w:val="21"/>
                <w:highlight w:val="none"/>
              </w:rPr>
            </w:pPr>
          </w:p>
        </w:tc>
        <w:tc>
          <w:tcPr>
            <w:tcW w:w="1308" w:type="dxa"/>
            <w:tcBorders>
              <w:top w:val="single" w:color="000000" w:sz="6" w:space="0"/>
              <w:left w:val="single" w:color="000000" w:sz="6" w:space="0"/>
              <w:bottom w:val="single" w:color="000000" w:sz="6" w:space="0"/>
              <w:right w:val="single" w:color="000000" w:sz="6" w:space="0"/>
            </w:tcBorders>
          </w:tcPr>
          <w:p w14:paraId="24FD21EB">
            <w:pPr>
              <w:spacing w:line="360" w:lineRule="auto"/>
              <w:rPr>
                <w:rFonts w:hint="eastAsia" w:ascii="宋体" w:hAnsi="宋体" w:cs="宋体"/>
                <w:color w:val="auto"/>
                <w:szCs w:val="21"/>
                <w:highlight w:val="none"/>
              </w:rPr>
            </w:pPr>
          </w:p>
        </w:tc>
      </w:tr>
      <w:tr w14:paraId="6DC508A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798" w:hRule="atLeast"/>
          <w:jc w:val="center"/>
        </w:trPr>
        <w:tc>
          <w:tcPr>
            <w:tcW w:w="748" w:type="dxa"/>
            <w:tcBorders>
              <w:top w:val="single" w:color="000000" w:sz="6" w:space="0"/>
              <w:left w:val="single" w:color="000000" w:sz="6" w:space="0"/>
              <w:bottom w:val="single" w:color="000000" w:sz="6" w:space="0"/>
              <w:right w:val="single" w:color="000000" w:sz="6" w:space="0"/>
            </w:tcBorders>
            <w:vAlign w:val="center"/>
          </w:tcPr>
          <w:p w14:paraId="239B3F70">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400" w:type="dxa"/>
            <w:tcBorders>
              <w:top w:val="single" w:color="000000" w:sz="6" w:space="0"/>
              <w:left w:val="single" w:color="000000" w:sz="6" w:space="0"/>
              <w:bottom w:val="single" w:color="000000" w:sz="6" w:space="0"/>
              <w:right w:val="single" w:color="000000" w:sz="6" w:space="0"/>
            </w:tcBorders>
          </w:tcPr>
          <w:p w14:paraId="15DD6982">
            <w:pPr>
              <w:spacing w:line="360" w:lineRule="auto"/>
              <w:rPr>
                <w:rFonts w:hint="eastAsia" w:ascii="宋体" w:hAnsi="宋体" w:cs="宋体"/>
                <w:color w:val="auto"/>
                <w:szCs w:val="21"/>
                <w:highlight w:val="none"/>
              </w:rPr>
            </w:pPr>
          </w:p>
        </w:tc>
        <w:tc>
          <w:tcPr>
            <w:tcW w:w="2088" w:type="dxa"/>
            <w:tcBorders>
              <w:top w:val="single" w:color="000000" w:sz="6" w:space="0"/>
              <w:left w:val="single" w:color="000000" w:sz="6" w:space="0"/>
              <w:bottom w:val="single" w:color="000000" w:sz="6" w:space="0"/>
              <w:right w:val="single" w:color="000000" w:sz="6" w:space="0"/>
            </w:tcBorders>
          </w:tcPr>
          <w:p w14:paraId="6A254E15">
            <w:pPr>
              <w:spacing w:line="360" w:lineRule="auto"/>
              <w:rPr>
                <w:rFonts w:hint="eastAsia" w:ascii="宋体" w:hAnsi="宋体" w:cs="宋体"/>
                <w:color w:val="auto"/>
                <w:szCs w:val="21"/>
                <w:highlight w:val="none"/>
              </w:rPr>
            </w:pPr>
          </w:p>
        </w:tc>
        <w:tc>
          <w:tcPr>
            <w:tcW w:w="1332" w:type="dxa"/>
            <w:tcBorders>
              <w:top w:val="single" w:color="000000" w:sz="6" w:space="0"/>
              <w:left w:val="single" w:color="000000" w:sz="6" w:space="0"/>
              <w:bottom w:val="single" w:color="000000" w:sz="6" w:space="0"/>
              <w:right w:val="single" w:color="000000" w:sz="6" w:space="0"/>
            </w:tcBorders>
          </w:tcPr>
          <w:p w14:paraId="34315BC3">
            <w:pPr>
              <w:spacing w:line="360" w:lineRule="auto"/>
              <w:rPr>
                <w:rFonts w:hint="eastAsia" w:ascii="宋体" w:hAnsi="宋体" w:cs="宋体"/>
                <w:color w:val="auto"/>
                <w:szCs w:val="21"/>
                <w:highlight w:val="none"/>
              </w:rPr>
            </w:pPr>
          </w:p>
        </w:tc>
        <w:tc>
          <w:tcPr>
            <w:tcW w:w="2016" w:type="dxa"/>
            <w:tcBorders>
              <w:top w:val="single" w:color="000000" w:sz="6" w:space="0"/>
              <w:left w:val="single" w:color="000000" w:sz="6" w:space="0"/>
              <w:bottom w:val="single" w:color="000000" w:sz="6" w:space="0"/>
              <w:right w:val="single" w:color="000000" w:sz="6" w:space="0"/>
            </w:tcBorders>
          </w:tcPr>
          <w:p w14:paraId="649A2366">
            <w:pPr>
              <w:spacing w:line="360" w:lineRule="auto"/>
              <w:rPr>
                <w:rFonts w:hint="eastAsia" w:ascii="宋体" w:hAnsi="宋体" w:cs="宋体"/>
                <w:color w:val="auto"/>
                <w:szCs w:val="21"/>
                <w:highlight w:val="none"/>
              </w:rPr>
            </w:pPr>
          </w:p>
        </w:tc>
        <w:tc>
          <w:tcPr>
            <w:tcW w:w="1704" w:type="dxa"/>
            <w:tcBorders>
              <w:top w:val="single" w:color="000000" w:sz="6" w:space="0"/>
              <w:left w:val="single" w:color="000000" w:sz="6" w:space="0"/>
              <w:bottom w:val="single" w:color="000000" w:sz="6" w:space="0"/>
              <w:right w:val="single" w:color="000000" w:sz="6" w:space="0"/>
            </w:tcBorders>
          </w:tcPr>
          <w:p w14:paraId="084CFEE9">
            <w:pPr>
              <w:spacing w:line="360" w:lineRule="auto"/>
              <w:rPr>
                <w:rFonts w:hint="eastAsia" w:ascii="宋体" w:hAnsi="宋体" w:cs="宋体"/>
                <w:color w:val="auto"/>
                <w:szCs w:val="21"/>
                <w:highlight w:val="none"/>
              </w:rPr>
            </w:pPr>
          </w:p>
        </w:tc>
        <w:tc>
          <w:tcPr>
            <w:tcW w:w="1308" w:type="dxa"/>
            <w:tcBorders>
              <w:top w:val="single" w:color="000000" w:sz="6" w:space="0"/>
              <w:left w:val="single" w:color="000000" w:sz="6" w:space="0"/>
              <w:bottom w:val="single" w:color="000000" w:sz="6" w:space="0"/>
              <w:right w:val="single" w:color="000000" w:sz="6" w:space="0"/>
            </w:tcBorders>
          </w:tcPr>
          <w:p w14:paraId="0CDBF7FB">
            <w:pPr>
              <w:spacing w:line="360" w:lineRule="auto"/>
              <w:rPr>
                <w:rFonts w:hint="eastAsia" w:ascii="宋体" w:hAnsi="宋体" w:cs="宋体"/>
                <w:color w:val="auto"/>
                <w:szCs w:val="21"/>
                <w:highlight w:val="none"/>
              </w:rPr>
            </w:pPr>
          </w:p>
        </w:tc>
      </w:tr>
      <w:tr w14:paraId="56C7043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798" w:hRule="atLeast"/>
          <w:jc w:val="center"/>
        </w:trPr>
        <w:tc>
          <w:tcPr>
            <w:tcW w:w="748" w:type="dxa"/>
            <w:tcBorders>
              <w:top w:val="single" w:color="000000" w:sz="6" w:space="0"/>
              <w:left w:val="single" w:color="000000" w:sz="6" w:space="0"/>
              <w:bottom w:val="single" w:color="000000" w:sz="6" w:space="0"/>
              <w:right w:val="single" w:color="000000" w:sz="6" w:space="0"/>
            </w:tcBorders>
            <w:vAlign w:val="center"/>
          </w:tcPr>
          <w:p w14:paraId="3AEA293D">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400" w:type="dxa"/>
            <w:tcBorders>
              <w:top w:val="single" w:color="000000" w:sz="6" w:space="0"/>
              <w:left w:val="single" w:color="000000" w:sz="6" w:space="0"/>
              <w:bottom w:val="single" w:color="000000" w:sz="6" w:space="0"/>
              <w:right w:val="single" w:color="000000" w:sz="6" w:space="0"/>
            </w:tcBorders>
          </w:tcPr>
          <w:p w14:paraId="443CEE17">
            <w:pPr>
              <w:spacing w:line="360" w:lineRule="auto"/>
              <w:rPr>
                <w:rFonts w:hint="eastAsia" w:ascii="宋体" w:hAnsi="宋体" w:cs="宋体"/>
                <w:color w:val="auto"/>
                <w:szCs w:val="21"/>
                <w:highlight w:val="none"/>
              </w:rPr>
            </w:pPr>
          </w:p>
        </w:tc>
        <w:tc>
          <w:tcPr>
            <w:tcW w:w="2088" w:type="dxa"/>
            <w:tcBorders>
              <w:top w:val="single" w:color="000000" w:sz="6" w:space="0"/>
              <w:left w:val="single" w:color="000000" w:sz="6" w:space="0"/>
              <w:bottom w:val="single" w:color="000000" w:sz="6" w:space="0"/>
              <w:right w:val="single" w:color="000000" w:sz="6" w:space="0"/>
            </w:tcBorders>
          </w:tcPr>
          <w:p w14:paraId="7086B587">
            <w:pPr>
              <w:spacing w:line="360" w:lineRule="auto"/>
              <w:rPr>
                <w:rFonts w:hint="eastAsia" w:ascii="宋体" w:hAnsi="宋体" w:cs="宋体"/>
                <w:color w:val="auto"/>
                <w:szCs w:val="21"/>
                <w:highlight w:val="none"/>
              </w:rPr>
            </w:pPr>
          </w:p>
        </w:tc>
        <w:tc>
          <w:tcPr>
            <w:tcW w:w="1332" w:type="dxa"/>
            <w:tcBorders>
              <w:top w:val="single" w:color="000000" w:sz="6" w:space="0"/>
              <w:left w:val="single" w:color="000000" w:sz="6" w:space="0"/>
              <w:bottom w:val="single" w:color="000000" w:sz="6" w:space="0"/>
              <w:right w:val="single" w:color="000000" w:sz="6" w:space="0"/>
            </w:tcBorders>
          </w:tcPr>
          <w:p w14:paraId="7AEEFFB0">
            <w:pPr>
              <w:spacing w:line="360" w:lineRule="auto"/>
              <w:rPr>
                <w:rFonts w:hint="eastAsia" w:ascii="宋体" w:hAnsi="宋体" w:cs="宋体"/>
                <w:color w:val="auto"/>
                <w:szCs w:val="21"/>
                <w:highlight w:val="none"/>
              </w:rPr>
            </w:pPr>
          </w:p>
        </w:tc>
        <w:tc>
          <w:tcPr>
            <w:tcW w:w="2016" w:type="dxa"/>
            <w:tcBorders>
              <w:top w:val="single" w:color="000000" w:sz="6" w:space="0"/>
              <w:left w:val="single" w:color="000000" w:sz="6" w:space="0"/>
              <w:bottom w:val="single" w:color="000000" w:sz="6" w:space="0"/>
              <w:right w:val="single" w:color="000000" w:sz="6" w:space="0"/>
            </w:tcBorders>
          </w:tcPr>
          <w:p w14:paraId="3DD408AF">
            <w:pPr>
              <w:spacing w:line="360" w:lineRule="auto"/>
              <w:rPr>
                <w:rFonts w:hint="eastAsia" w:ascii="宋体" w:hAnsi="宋体" w:cs="宋体"/>
                <w:color w:val="auto"/>
                <w:szCs w:val="21"/>
                <w:highlight w:val="none"/>
              </w:rPr>
            </w:pPr>
          </w:p>
        </w:tc>
        <w:tc>
          <w:tcPr>
            <w:tcW w:w="1704" w:type="dxa"/>
            <w:tcBorders>
              <w:top w:val="single" w:color="000000" w:sz="6" w:space="0"/>
              <w:left w:val="single" w:color="000000" w:sz="6" w:space="0"/>
              <w:bottom w:val="single" w:color="000000" w:sz="6" w:space="0"/>
              <w:right w:val="single" w:color="000000" w:sz="6" w:space="0"/>
            </w:tcBorders>
          </w:tcPr>
          <w:p w14:paraId="0A5E0442">
            <w:pPr>
              <w:spacing w:line="360" w:lineRule="auto"/>
              <w:rPr>
                <w:rFonts w:hint="eastAsia" w:ascii="宋体" w:hAnsi="宋体" w:cs="宋体"/>
                <w:color w:val="auto"/>
                <w:szCs w:val="21"/>
                <w:highlight w:val="none"/>
              </w:rPr>
            </w:pPr>
          </w:p>
        </w:tc>
        <w:tc>
          <w:tcPr>
            <w:tcW w:w="1308" w:type="dxa"/>
            <w:tcBorders>
              <w:top w:val="single" w:color="000000" w:sz="6" w:space="0"/>
              <w:left w:val="single" w:color="000000" w:sz="6" w:space="0"/>
              <w:bottom w:val="single" w:color="000000" w:sz="6" w:space="0"/>
              <w:right w:val="single" w:color="000000" w:sz="6" w:space="0"/>
            </w:tcBorders>
          </w:tcPr>
          <w:p w14:paraId="53D613EB">
            <w:pPr>
              <w:spacing w:line="360" w:lineRule="auto"/>
              <w:rPr>
                <w:rFonts w:hint="eastAsia" w:ascii="宋体" w:hAnsi="宋体" w:cs="宋体"/>
                <w:color w:val="auto"/>
                <w:szCs w:val="21"/>
                <w:highlight w:val="none"/>
              </w:rPr>
            </w:pPr>
          </w:p>
        </w:tc>
      </w:tr>
      <w:tr w14:paraId="7172EDE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798" w:hRule="atLeast"/>
          <w:jc w:val="center"/>
        </w:trPr>
        <w:tc>
          <w:tcPr>
            <w:tcW w:w="748" w:type="dxa"/>
            <w:tcBorders>
              <w:top w:val="single" w:color="000000" w:sz="6" w:space="0"/>
              <w:left w:val="single" w:color="000000" w:sz="6" w:space="0"/>
              <w:bottom w:val="single" w:color="000000" w:sz="6" w:space="0"/>
              <w:right w:val="single" w:color="000000" w:sz="6" w:space="0"/>
            </w:tcBorders>
            <w:vAlign w:val="center"/>
          </w:tcPr>
          <w:p w14:paraId="2BF8EC99">
            <w:pPr>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400" w:type="dxa"/>
            <w:tcBorders>
              <w:top w:val="single" w:color="000000" w:sz="6" w:space="0"/>
              <w:left w:val="single" w:color="000000" w:sz="6" w:space="0"/>
              <w:bottom w:val="single" w:color="000000" w:sz="6" w:space="0"/>
              <w:right w:val="single" w:color="000000" w:sz="6" w:space="0"/>
            </w:tcBorders>
          </w:tcPr>
          <w:p w14:paraId="07997BC8">
            <w:pPr>
              <w:spacing w:line="360" w:lineRule="auto"/>
              <w:rPr>
                <w:rFonts w:hint="eastAsia" w:ascii="宋体" w:hAnsi="宋体" w:cs="宋体"/>
                <w:color w:val="auto"/>
                <w:szCs w:val="21"/>
                <w:highlight w:val="none"/>
              </w:rPr>
            </w:pPr>
          </w:p>
        </w:tc>
        <w:tc>
          <w:tcPr>
            <w:tcW w:w="2088" w:type="dxa"/>
            <w:tcBorders>
              <w:top w:val="single" w:color="000000" w:sz="6" w:space="0"/>
              <w:left w:val="single" w:color="000000" w:sz="6" w:space="0"/>
              <w:bottom w:val="single" w:color="000000" w:sz="6" w:space="0"/>
              <w:right w:val="single" w:color="000000" w:sz="6" w:space="0"/>
            </w:tcBorders>
          </w:tcPr>
          <w:p w14:paraId="262E6519">
            <w:pPr>
              <w:spacing w:line="360" w:lineRule="auto"/>
              <w:rPr>
                <w:rFonts w:hint="eastAsia" w:ascii="宋体" w:hAnsi="宋体" w:cs="宋体"/>
                <w:color w:val="auto"/>
                <w:szCs w:val="21"/>
                <w:highlight w:val="none"/>
              </w:rPr>
            </w:pPr>
          </w:p>
        </w:tc>
        <w:tc>
          <w:tcPr>
            <w:tcW w:w="1332" w:type="dxa"/>
            <w:tcBorders>
              <w:top w:val="single" w:color="000000" w:sz="6" w:space="0"/>
              <w:left w:val="single" w:color="000000" w:sz="6" w:space="0"/>
              <w:bottom w:val="single" w:color="000000" w:sz="6" w:space="0"/>
              <w:right w:val="single" w:color="000000" w:sz="6" w:space="0"/>
            </w:tcBorders>
          </w:tcPr>
          <w:p w14:paraId="5CE947D2">
            <w:pPr>
              <w:spacing w:line="360" w:lineRule="auto"/>
              <w:rPr>
                <w:rFonts w:hint="eastAsia" w:ascii="宋体" w:hAnsi="宋体" w:cs="宋体"/>
                <w:color w:val="auto"/>
                <w:szCs w:val="21"/>
                <w:highlight w:val="none"/>
              </w:rPr>
            </w:pPr>
          </w:p>
        </w:tc>
        <w:tc>
          <w:tcPr>
            <w:tcW w:w="2016" w:type="dxa"/>
            <w:tcBorders>
              <w:top w:val="single" w:color="000000" w:sz="6" w:space="0"/>
              <w:left w:val="single" w:color="000000" w:sz="6" w:space="0"/>
              <w:bottom w:val="single" w:color="000000" w:sz="6" w:space="0"/>
              <w:right w:val="single" w:color="000000" w:sz="6" w:space="0"/>
            </w:tcBorders>
          </w:tcPr>
          <w:p w14:paraId="7C753806">
            <w:pPr>
              <w:spacing w:line="360" w:lineRule="auto"/>
              <w:rPr>
                <w:rFonts w:hint="eastAsia" w:ascii="宋体" w:hAnsi="宋体" w:cs="宋体"/>
                <w:color w:val="auto"/>
                <w:szCs w:val="21"/>
                <w:highlight w:val="none"/>
              </w:rPr>
            </w:pPr>
          </w:p>
        </w:tc>
        <w:tc>
          <w:tcPr>
            <w:tcW w:w="1704" w:type="dxa"/>
            <w:tcBorders>
              <w:top w:val="single" w:color="000000" w:sz="6" w:space="0"/>
              <w:left w:val="single" w:color="000000" w:sz="6" w:space="0"/>
              <w:bottom w:val="single" w:color="000000" w:sz="6" w:space="0"/>
              <w:right w:val="single" w:color="000000" w:sz="6" w:space="0"/>
            </w:tcBorders>
          </w:tcPr>
          <w:p w14:paraId="37F33E3C">
            <w:pPr>
              <w:spacing w:line="360" w:lineRule="auto"/>
              <w:rPr>
                <w:rFonts w:hint="eastAsia" w:ascii="宋体" w:hAnsi="宋体" w:cs="宋体"/>
                <w:color w:val="auto"/>
                <w:szCs w:val="21"/>
                <w:highlight w:val="none"/>
              </w:rPr>
            </w:pPr>
          </w:p>
        </w:tc>
        <w:tc>
          <w:tcPr>
            <w:tcW w:w="1308" w:type="dxa"/>
            <w:tcBorders>
              <w:top w:val="single" w:color="000000" w:sz="6" w:space="0"/>
              <w:left w:val="single" w:color="000000" w:sz="6" w:space="0"/>
              <w:bottom w:val="single" w:color="000000" w:sz="6" w:space="0"/>
              <w:right w:val="single" w:color="000000" w:sz="6" w:space="0"/>
            </w:tcBorders>
          </w:tcPr>
          <w:p w14:paraId="09A7479C">
            <w:pPr>
              <w:spacing w:line="360" w:lineRule="auto"/>
              <w:rPr>
                <w:rFonts w:hint="eastAsia" w:ascii="宋体" w:hAnsi="宋体" w:cs="宋体"/>
                <w:color w:val="auto"/>
                <w:szCs w:val="21"/>
                <w:highlight w:val="none"/>
              </w:rPr>
            </w:pPr>
          </w:p>
        </w:tc>
      </w:tr>
      <w:tr w14:paraId="1C58C1A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798" w:hRule="atLeast"/>
          <w:jc w:val="center"/>
        </w:trPr>
        <w:tc>
          <w:tcPr>
            <w:tcW w:w="748" w:type="dxa"/>
            <w:tcBorders>
              <w:top w:val="single" w:color="000000" w:sz="6" w:space="0"/>
              <w:left w:val="single" w:color="000000" w:sz="6" w:space="0"/>
              <w:bottom w:val="single" w:color="000000" w:sz="6" w:space="0"/>
              <w:right w:val="single" w:color="000000" w:sz="6" w:space="0"/>
            </w:tcBorders>
            <w:vAlign w:val="center"/>
          </w:tcPr>
          <w:p w14:paraId="611DCCFF">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400" w:type="dxa"/>
            <w:tcBorders>
              <w:top w:val="single" w:color="000000" w:sz="6" w:space="0"/>
              <w:left w:val="single" w:color="000000" w:sz="6" w:space="0"/>
              <w:bottom w:val="single" w:color="000000" w:sz="6" w:space="0"/>
              <w:right w:val="single" w:color="000000" w:sz="6" w:space="0"/>
            </w:tcBorders>
          </w:tcPr>
          <w:p w14:paraId="4F4E4C3F">
            <w:pPr>
              <w:spacing w:line="360" w:lineRule="auto"/>
              <w:rPr>
                <w:rFonts w:hint="eastAsia" w:ascii="宋体" w:hAnsi="宋体" w:cs="宋体"/>
                <w:color w:val="auto"/>
                <w:szCs w:val="21"/>
                <w:highlight w:val="none"/>
              </w:rPr>
            </w:pPr>
          </w:p>
        </w:tc>
        <w:tc>
          <w:tcPr>
            <w:tcW w:w="2088" w:type="dxa"/>
            <w:tcBorders>
              <w:top w:val="single" w:color="000000" w:sz="6" w:space="0"/>
              <w:left w:val="single" w:color="000000" w:sz="6" w:space="0"/>
              <w:bottom w:val="single" w:color="000000" w:sz="6" w:space="0"/>
              <w:right w:val="single" w:color="000000" w:sz="6" w:space="0"/>
            </w:tcBorders>
          </w:tcPr>
          <w:p w14:paraId="09CFDF29">
            <w:pPr>
              <w:spacing w:line="360" w:lineRule="auto"/>
              <w:rPr>
                <w:rFonts w:hint="eastAsia" w:ascii="宋体" w:hAnsi="宋体" w:cs="宋体"/>
                <w:color w:val="auto"/>
                <w:szCs w:val="21"/>
                <w:highlight w:val="none"/>
              </w:rPr>
            </w:pPr>
          </w:p>
        </w:tc>
        <w:tc>
          <w:tcPr>
            <w:tcW w:w="1332" w:type="dxa"/>
            <w:tcBorders>
              <w:top w:val="single" w:color="000000" w:sz="6" w:space="0"/>
              <w:left w:val="single" w:color="000000" w:sz="6" w:space="0"/>
              <w:bottom w:val="single" w:color="000000" w:sz="6" w:space="0"/>
              <w:right w:val="single" w:color="000000" w:sz="6" w:space="0"/>
            </w:tcBorders>
          </w:tcPr>
          <w:p w14:paraId="06B0EC4F">
            <w:pPr>
              <w:spacing w:line="360" w:lineRule="auto"/>
              <w:rPr>
                <w:rFonts w:hint="eastAsia" w:ascii="宋体" w:hAnsi="宋体" w:cs="宋体"/>
                <w:color w:val="auto"/>
                <w:szCs w:val="21"/>
                <w:highlight w:val="none"/>
              </w:rPr>
            </w:pPr>
          </w:p>
        </w:tc>
        <w:tc>
          <w:tcPr>
            <w:tcW w:w="2016" w:type="dxa"/>
            <w:tcBorders>
              <w:top w:val="single" w:color="000000" w:sz="6" w:space="0"/>
              <w:left w:val="single" w:color="000000" w:sz="6" w:space="0"/>
              <w:bottom w:val="single" w:color="000000" w:sz="6" w:space="0"/>
              <w:right w:val="single" w:color="000000" w:sz="6" w:space="0"/>
            </w:tcBorders>
          </w:tcPr>
          <w:p w14:paraId="4C663FF5">
            <w:pPr>
              <w:spacing w:line="360" w:lineRule="auto"/>
              <w:rPr>
                <w:rFonts w:hint="eastAsia" w:ascii="宋体" w:hAnsi="宋体" w:cs="宋体"/>
                <w:color w:val="auto"/>
                <w:szCs w:val="21"/>
                <w:highlight w:val="none"/>
              </w:rPr>
            </w:pPr>
          </w:p>
        </w:tc>
        <w:tc>
          <w:tcPr>
            <w:tcW w:w="1704" w:type="dxa"/>
            <w:tcBorders>
              <w:top w:val="single" w:color="000000" w:sz="6" w:space="0"/>
              <w:left w:val="single" w:color="000000" w:sz="6" w:space="0"/>
              <w:bottom w:val="single" w:color="000000" w:sz="6" w:space="0"/>
              <w:right w:val="single" w:color="000000" w:sz="6" w:space="0"/>
            </w:tcBorders>
          </w:tcPr>
          <w:p w14:paraId="09B068C2">
            <w:pPr>
              <w:spacing w:line="360" w:lineRule="auto"/>
              <w:rPr>
                <w:rFonts w:hint="eastAsia" w:ascii="宋体" w:hAnsi="宋体" w:cs="宋体"/>
                <w:color w:val="auto"/>
                <w:szCs w:val="21"/>
                <w:highlight w:val="none"/>
              </w:rPr>
            </w:pPr>
          </w:p>
        </w:tc>
        <w:tc>
          <w:tcPr>
            <w:tcW w:w="1308" w:type="dxa"/>
            <w:tcBorders>
              <w:top w:val="single" w:color="000000" w:sz="6" w:space="0"/>
              <w:left w:val="single" w:color="000000" w:sz="6" w:space="0"/>
              <w:bottom w:val="single" w:color="000000" w:sz="6" w:space="0"/>
              <w:right w:val="single" w:color="000000" w:sz="6" w:space="0"/>
            </w:tcBorders>
          </w:tcPr>
          <w:p w14:paraId="4FAF8A48">
            <w:pPr>
              <w:spacing w:line="360" w:lineRule="auto"/>
              <w:rPr>
                <w:rFonts w:hint="eastAsia" w:ascii="宋体" w:hAnsi="宋体" w:cs="宋体"/>
                <w:color w:val="auto"/>
                <w:szCs w:val="21"/>
                <w:highlight w:val="none"/>
              </w:rPr>
            </w:pPr>
          </w:p>
        </w:tc>
      </w:tr>
      <w:tr w14:paraId="5A89618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843" w:hRule="atLeast"/>
          <w:jc w:val="center"/>
        </w:trPr>
        <w:tc>
          <w:tcPr>
            <w:tcW w:w="748" w:type="dxa"/>
            <w:tcBorders>
              <w:top w:val="single" w:color="000000" w:sz="6" w:space="0"/>
              <w:left w:val="single" w:color="000000" w:sz="6" w:space="0"/>
              <w:bottom w:val="single" w:color="000000" w:sz="6" w:space="0"/>
              <w:right w:val="single" w:color="000000" w:sz="6" w:space="0"/>
            </w:tcBorders>
            <w:vAlign w:val="center"/>
          </w:tcPr>
          <w:p w14:paraId="1409E0D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400" w:type="dxa"/>
            <w:tcBorders>
              <w:top w:val="single" w:color="000000" w:sz="6" w:space="0"/>
              <w:left w:val="single" w:color="000000" w:sz="6" w:space="0"/>
              <w:bottom w:val="single" w:color="000000" w:sz="6" w:space="0"/>
              <w:right w:val="single" w:color="000000" w:sz="6" w:space="0"/>
            </w:tcBorders>
          </w:tcPr>
          <w:p w14:paraId="5A02476E">
            <w:pPr>
              <w:spacing w:line="360" w:lineRule="auto"/>
              <w:rPr>
                <w:rFonts w:hint="eastAsia" w:ascii="宋体" w:hAnsi="宋体" w:cs="宋体"/>
                <w:color w:val="auto"/>
                <w:szCs w:val="21"/>
                <w:highlight w:val="none"/>
              </w:rPr>
            </w:pPr>
          </w:p>
        </w:tc>
        <w:tc>
          <w:tcPr>
            <w:tcW w:w="2088" w:type="dxa"/>
            <w:tcBorders>
              <w:top w:val="single" w:color="000000" w:sz="6" w:space="0"/>
              <w:left w:val="single" w:color="000000" w:sz="6" w:space="0"/>
              <w:bottom w:val="single" w:color="000000" w:sz="6" w:space="0"/>
              <w:right w:val="single" w:color="000000" w:sz="6" w:space="0"/>
            </w:tcBorders>
          </w:tcPr>
          <w:p w14:paraId="247B25D2">
            <w:pPr>
              <w:spacing w:line="360" w:lineRule="auto"/>
              <w:rPr>
                <w:rFonts w:hint="eastAsia" w:ascii="宋体" w:hAnsi="宋体" w:cs="宋体"/>
                <w:color w:val="auto"/>
                <w:szCs w:val="21"/>
                <w:highlight w:val="none"/>
              </w:rPr>
            </w:pPr>
          </w:p>
        </w:tc>
        <w:tc>
          <w:tcPr>
            <w:tcW w:w="1332" w:type="dxa"/>
            <w:tcBorders>
              <w:top w:val="single" w:color="000000" w:sz="6" w:space="0"/>
              <w:left w:val="single" w:color="000000" w:sz="6" w:space="0"/>
              <w:bottom w:val="single" w:color="000000" w:sz="6" w:space="0"/>
              <w:right w:val="single" w:color="000000" w:sz="6" w:space="0"/>
            </w:tcBorders>
          </w:tcPr>
          <w:p w14:paraId="2366C17B">
            <w:pPr>
              <w:spacing w:line="360" w:lineRule="auto"/>
              <w:rPr>
                <w:rFonts w:hint="eastAsia" w:ascii="宋体" w:hAnsi="宋体" w:cs="宋体"/>
                <w:color w:val="auto"/>
                <w:szCs w:val="21"/>
                <w:highlight w:val="none"/>
              </w:rPr>
            </w:pPr>
          </w:p>
        </w:tc>
        <w:tc>
          <w:tcPr>
            <w:tcW w:w="2016" w:type="dxa"/>
            <w:tcBorders>
              <w:top w:val="single" w:color="000000" w:sz="6" w:space="0"/>
              <w:left w:val="single" w:color="000000" w:sz="6" w:space="0"/>
              <w:bottom w:val="single" w:color="000000" w:sz="6" w:space="0"/>
              <w:right w:val="single" w:color="000000" w:sz="6" w:space="0"/>
            </w:tcBorders>
          </w:tcPr>
          <w:p w14:paraId="38195D82">
            <w:pPr>
              <w:spacing w:line="360" w:lineRule="auto"/>
              <w:rPr>
                <w:rFonts w:hint="eastAsia" w:ascii="宋体" w:hAnsi="宋体" w:cs="宋体"/>
                <w:color w:val="auto"/>
                <w:szCs w:val="21"/>
                <w:highlight w:val="none"/>
              </w:rPr>
            </w:pPr>
          </w:p>
        </w:tc>
        <w:tc>
          <w:tcPr>
            <w:tcW w:w="1704" w:type="dxa"/>
            <w:tcBorders>
              <w:top w:val="single" w:color="000000" w:sz="6" w:space="0"/>
              <w:left w:val="single" w:color="000000" w:sz="6" w:space="0"/>
              <w:bottom w:val="single" w:color="000000" w:sz="6" w:space="0"/>
              <w:right w:val="single" w:color="000000" w:sz="6" w:space="0"/>
            </w:tcBorders>
          </w:tcPr>
          <w:p w14:paraId="40250531">
            <w:pPr>
              <w:spacing w:line="360" w:lineRule="auto"/>
              <w:rPr>
                <w:rFonts w:hint="eastAsia" w:ascii="宋体" w:hAnsi="宋体" w:cs="宋体"/>
                <w:color w:val="auto"/>
                <w:szCs w:val="21"/>
                <w:highlight w:val="none"/>
              </w:rPr>
            </w:pPr>
          </w:p>
        </w:tc>
        <w:tc>
          <w:tcPr>
            <w:tcW w:w="1308" w:type="dxa"/>
            <w:tcBorders>
              <w:top w:val="single" w:color="000000" w:sz="6" w:space="0"/>
              <w:left w:val="single" w:color="000000" w:sz="6" w:space="0"/>
              <w:bottom w:val="single" w:color="000000" w:sz="6" w:space="0"/>
              <w:right w:val="single" w:color="000000" w:sz="6" w:space="0"/>
            </w:tcBorders>
          </w:tcPr>
          <w:p w14:paraId="6744EEC8">
            <w:pPr>
              <w:spacing w:line="360" w:lineRule="auto"/>
              <w:rPr>
                <w:rFonts w:hint="eastAsia" w:ascii="宋体" w:hAnsi="宋体" w:cs="宋体"/>
                <w:color w:val="auto"/>
                <w:szCs w:val="21"/>
                <w:highlight w:val="none"/>
              </w:rPr>
            </w:pPr>
          </w:p>
        </w:tc>
      </w:tr>
    </w:tbl>
    <w:p w14:paraId="636F169D">
      <w:pPr>
        <w:spacing w:line="360" w:lineRule="auto"/>
        <w:rPr>
          <w:rFonts w:hint="eastAsia" w:ascii="宋体" w:hAnsi="宋体" w:cs="宋体"/>
          <w:color w:val="auto"/>
          <w:sz w:val="24"/>
          <w:highlight w:val="none"/>
        </w:rPr>
      </w:pPr>
    </w:p>
    <w:p w14:paraId="37C3631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注：1.此表仅提供了表格样式，各供应商可参照上述格式自制表格，但应至少包含上述表格内条目。</w:t>
      </w:r>
    </w:p>
    <w:p w14:paraId="5DBC81C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2.供应商应如实填写业绩情况表，并按《评分细则》中要求附相关证明材料。</w:t>
      </w:r>
    </w:p>
    <w:p w14:paraId="23CC94A1">
      <w:pPr>
        <w:spacing w:line="360" w:lineRule="auto"/>
        <w:ind w:right="29" w:firstLine="3960"/>
        <w:rPr>
          <w:rFonts w:hint="eastAsia" w:ascii="宋体" w:hAnsi="宋体" w:cs="宋体"/>
          <w:color w:val="auto"/>
          <w:sz w:val="24"/>
          <w:highlight w:val="none"/>
        </w:rPr>
      </w:pPr>
    </w:p>
    <w:p w14:paraId="7A6EA154">
      <w:pPr>
        <w:spacing w:line="360" w:lineRule="auto"/>
        <w:ind w:right="29" w:firstLine="3960"/>
        <w:rPr>
          <w:rFonts w:hint="eastAsia" w:ascii="宋体" w:hAnsi="宋体" w:cs="宋体"/>
          <w:color w:val="auto"/>
          <w:sz w:val="24"/>
          <w:highlight w:val="none"/>
        </w:rPr>
      </w:pPr>
      <w:r>
        <w:rPr>
          <w:rFonts w:hint="eastAsia" w:ascii="宋体" w:hAnsi="宋体" w:cs="宋体"/>
          <w:color w:val="auto"/>
          <w:sz w:val="24"/>
          <w:highlight w:val="none"/>
        </w:rPr>
        <w:t>供应商（电子签章）：</w:t>
      </w:r>
    </w:p>
    <w:p w14:paraId="0130003E">
      <w:pPr>
        <w:spacing w:line="360" w:lineRule="auto"/>
        <w:ind w:right="29" w:firstLine="3960"/>
        <w:rPr>
          <w:rFonts w:hint="eastAsia" w:ascii="宋体" w:hAnsi="宋体" w:cs="宋体"/>
          <w:color w:val="auto"/>
          <w:sz w:val="24"/>
          <w:highlight w:val="none"/>
        </w:rPr>
      </w:pPr>
      <w:r>
        <w:rPr>
          <w:rFonts w:hint="eastAsia" w:ascii="宋体" w:hAnsi="宋体" w:cs="宋体"/>
          <w:color w:val="auto"/>
          <w:sz w:val="24"/>
          <w:highlight w:val="none"/>
        </w:rPr>
        <w:t>日期：</w:t>
      </w:r>
    </w:p>
    <w:p w14:paraId="2985ED38">
      <w:pPr>
        <w:pStyle w:val="50"/>
        <w:rPr>
          <w:rFonts w:hint="eastAsia" w:ascii="宋体" w:hAnsi="宋体" w:cs="宋体"/>
          <w:color w:val="auto"/>
          <w:highlight w:val="none"/>
        </w:rPr>
      </w:pPr>
    </w:p>
    <w:p w14:paraId="11EA34A5">
      <w:pPr>
        <w:pStyle w:val="51"/>
        <w:rPr>
          <w:rFonts w:hint="eastAsia" w:ascii="宋体" w:hAnsi="宋体" w:cs="宋体"/>
          <w:color w:val="auto"/>
          <w:highlight w:val="none"/>
        </w:rPr>
      </w:pPr>
    </w:p>
    <w:p w14:paraId="60F25EDD">
      <w:pPr>
        <w:rPr>
          <w:rFonts w:hint="eastAsia" w:ascii="宋体" w:hAnsi="宋体" w:cs="宋体"/>
          <w:b/>
          <w:color w:val="auto"/>
          <w:spacing w:val="6"/>
          <w:sz w:val="36"/>
          <w:szCs w:val="36"/>
          <w:highlight w:val="none"/>
        </w:rPr>
      </w:pPr>
      <w:r>
        <w:rPr>
          <w:rFonts w:hint="eastAsia" w:ascii="宋体" w:hAnsi="宋体" w:cs="宋体"/>
          <w:b/>
          <w:color w:val="auto"/>
          <w:spacing w:val="6"/>
          <w:sz w:val="36"/>
          <w:szCs w:val="36"/>
          <w:highlight w:val="none"/>
        </w:rPr>
        <w:br w:type="page" w:clear="all"/>
      </w:r>
    </w:p>
    <w:p w14:paraId="4D2E4054">
      <w:pPr>
        <w:pStyle w:val="47"/>
        <w:widowControl w:val="0"/>
        <w:spacing w:before="0" w:beforeAutospacing="0" w:after="0" w:afterAutospacing="0"/>
        <w:jc w:val="center"/>
        <w:rPr>
          <w:rFonts w:hint="eastAsia"/>
          <w:b/>
          <w:bCs/>
          <w:color w:val="auto"/>
          <w:sz w:val="36"/>
          <w:szCs w:val="36"/>
          <w:highlight w:val="none"/>
        </w:rPr>
      </w:pPr>
      <w:r>
        <w:rPr>
          <w:rFonts w:hint="eastAsia"/>
          <w:b/>
          <w:color w:val="auto"/>
          <w:sz w:val="48"/>
          <w:szCs w:val="48"/>
          <w:highlight w:val="none"/>
        </w:rPr>
        <w:t>14、</w:t>
      </w:r>
      <w:r>
        <w:rPr>
          <w:rFonts w:hint="eastAsia" w:ascii="仿宋" w:hAnsi="仿宋" w:eastAsia="仿宋" w:cs="仿宋"/>
          <w:b/>
          <w:bCs/>
          <w:color w:val="auto"/>
          <w:sz w:val="40"/>
          <w:szCs w:val="40"/>
          <w:highlight w:val="none"/>
        </w:rPr>
        <w:t>招标代理服务收费标准</w:t>
      </w:r>
    </w:p>
    <w:p w14:paraId="0266B83A">
      <w:pPr>
        <w:pStyle w:val="47"/>
        <w:spacing w:before="0" w:beforeAutospacing="0" w:after="0" w:afterAutospacing="0"/>
        <w:jc w:val="center"/>
        <w:rPr>
          <w:rFonts w:hint="eastAsia"/>
          <w:color w:val="auto"/>
          <w:highlight w:val="none"/>
        </w:rPr>
      </w:pPr>
      <w:r>
        <w:rPr>
          <w:color w:val="auto"/>
          <w:highlight w:val="none"/>
        </w:rPr>
        <w:t> </w:t>
      </w:r>
      <w:r>
        <w:rPr>
          <w:rFonts w:hint="eastAsia"/>
          <w:color w:val="auto"/>
          <w:sz w:val="28"/>
          <w:szCs w:val="28"/>
          <w:highlight w:val="none"/>
        </w:rPr>
        <w:t>江苏省政府采购代理常规服务收费指导价（苏政采协【2024】20号）</w:t>
      </w:r>
    </w:p>
    <w:p w14:paraId="39B63727">
      <w:pPr>
        <w:pStyle w:val="47"/>
        <w:widowControl w:val="0"/>
        <w:spacing w:before="0" w:beforeAutospacing="0" w:after="0" w:afterAutospacing="0"/>
        <w:jc w:val="both"/>
        <w:rPr>
          <w:rFonts w:hint="eastAsia"/>
          <w:color w:val="auto"/>
          <w:highlight w:val="none"/>
        </w:rPr>
      </w:pPr>
    </w:p>
    <w:tbl>
      <w:tblPr>
        <w:tblStyle w:val="52"/>
        <w:tblW w:w="0" w:type="auto"/>
        <w:tblCellSpacing w:w="0" w:type="dxa"/>
        <w:tblInd w:w="101"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37"/>
        <w:gridCol w:w="2853"/>
      </w:tblGrid>
      <w:tr w14:paraId="6369B408">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atLeast"/>
          <w:tblCellSpacing w:w="0" w:type="dxa"/>
        </w:trPr>
        <w:tc>
          <w:tcPr>
            <w:tcW w:w="6237" w:type="dxa"/>
            <w:tcBorders>
              <w:top w:val="single" w:color="000000" w:sz="4" w:space="0"/>
              <w:left w:val="single" w:color="000000" w:sz="4" w:space="0"/>
              <w:bottom w:val="single" w:color="000000" w:sz="4" w:space="0"/>
              <w:right w:val="single" w:color="000000" w:sz="4" w:space="0"/>
            </w:tcBorders>
            <w:vAlign w:val="center"/>
          </w:tcPr>
          <w:p w14:paraId="1E6EA1D9">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中标或成交金额</w:t>
            </w:r>
          </w:p>
        </w:tc>
        <w:tc>
          <w:tcPr>
            <w:tcW w:w="2853" w:type="dxa"/>
            <w:tcBorders>
              <w:top w:val="single" w:color="000000" w:sz="4" w:space="0"/>
              <w:left w:val="single" w:color="000000" w:sz="4" w:space="0"/>
              <w:bottom w:val="single" w:color="000000" w:sz="4" w:space="0"/>
              <w:right w:val="single" w:color="000000" w:sz="4" w:space="0"/>
            </w:tcBorders>
            <w:vAlign w:val="center"/>
          </w:tcPr>
          <w:p w14:paraId="1543C1AD">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费率</w:t>
            </w:r>
          </w:p>
        </w:tc>
      </w:tr>
      <w:tr w14:paraId="3998ED14">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blCellSpacing w:w="0" w:type="dxa"/>
        </w:trPr>
        <w:tc>
          <w:tcPr>
            <w:tcW w:w="6237" w:type="dxa"/>
            <w:tcBorders>
              <w:top w:val="single" w:color="000000" w:sz="4" w:space="0"/>
              <w:left w:val="single" w:color="000000" w:sz="4" w:space="0"/>
              <w:bottom w:val="single" w:color="000000" w:sz="4" w:space="0"/>
              <w:right w:val="single" w:color="000000" w:sz="4" w:space="0"/>
            </w:tcBorders>
            <w:vAlign w:val="center"/>
          </w:tcPr>
          <w:p w14:paraId="692C7ADC">
            <w:pPr>
              <w:pStyle w:val="47"/>
              <w:spacing w:before="0" w:beforeAutospacing="0" w:after="0" w:afterAutospacing="0"/>
              <w:rPr>
                <w:rFonts w:hint="eastAsia"/>
                <w:color w:val="auto"/>
                <w:highlight w:val="none"/>
              </w:rPr>
            </w:pPr>
            <w:r>
              <w:rPr>
                <w:rFonts w:hint="eastAsia" w:ascii="仿宋" w:hAnsi="仿宋" w:eastAsia="仿宋" w:cs="仿宋"/>
                <w:color w:val="auto"/>
                <w:sz w:val="32"/>
                <w:szCs w:val="32"/>
                <w:highlight w:val="none"/>
              </w:rPr>
              <w:t>最低收费金额(每个委托项目)</w:t>
            </w:r>
          </w:p>
        </w:tc>
        <w:tc>
          <w:tcPr>
            <w:tcW w:w="2853" w:type="dxa"/>
            <w:tcBorders>
              <w:top w:val="single" w:color="000000" w:sz="4" w:space="0"/>
              <w:left w:val="single" w:color="000000" w:sz="4" w:space="0"/>
              <w:bottom w:val="single" w:color="000000" w:sz="4" w:space="0"/>
              <w:right w:val="single" w:color="000000" w:sz="4" w:space="0"/>
            </w:tcBorders>
            <w:vAlign w:val="center"/>
          </w:tcPr>
          <w:p w14:paraId="6A722F99">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5000元</w:t>
            </w:r>
          </w:p>
        </w:tc>
      </w:tr>
      <w:tr w14:paraId="2D0BE233">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tblCellSpacing w:w="0" w:type="dxa"/>
        </w:trPr>
        <w:tc>
          <w:tcPr>
            <w:tcW w:w="6237" w:type="dxa"/>
            <w:tcBorders>
              <w:top w:val="single" w:color="000000" w:sz="4" w:space="0"/>
              <w:left w:val="single" w:color="000000" w:sz="4" w:space="0"/>
              <w:bottom w:val="single" w:color="000000" w:sz="4" w:space="0"/>
              <w:right w:val="single" w:color="000000" w:sz="4" w:space="0"/>
            </w:tcBorders>
            <w:vAlign w:val="center"/>
          </w:tcPr>
          <w:p w14:paraId="3ACBF2B4">
            <w:pPr>
              <w:pStyle w:val="47"/>
              <w:spacing w:before="0" w:beforeAutospacing="0" w:after="0" w:afterAutospacing="0"/>
              <w:rPr>
                <w:rFonts w:hint="eastAsia"/>
                <w:color w:val="auto"/>
                <w:highlight w:val="none"/>
              </w:rPr>
            </w:pPr>
            <w:r>
              <w:rPr>
                <w:rFonts w:hint="eastAsia" w:ascii="仿宋" w:hAnsi="仿宋" w:eastAsia="仿宋" w:cs="仿宋"/>
                <w:color w:val="auto"/>
                <w:sz w:val="32"/>
                <w:szCs w:val="32"/>
                <w:highlight w:val="none"/>
              </w:rPr>
              <w:t>50万元以下（含50万元）</w:t>
            </w:r>
          </w:p>
        </w:tc>
        <w:tc>
          <w:tcPr>
            <w:tcW w:w="2853" w:type="dxa"/>
            <w:tcBorders>
              <w:top w:val="single" w:color="000000" w:sz="4" w:space="0"/>
              <w:left w:val="single" w:color="000000" w:sz="4" w:space="0"/>
              <w:bottom w:val="single" w:color="000000" w:sz="4" w:space="0"/>
              <w:right w:val="single" w:color="000000" w:sz="4" w:space="0"/>
            </w:tcBorders>
            <w:vAlign w:val="center"/>
          </w:tcPr>
          <w:p w14:paraId="3D2AC672">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1.60%</w:t>
            </w:r>
          </w:p>
        </w:tc>
      </w:tr>
      <w:tr w14:paraId="3E830341">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blCellSpacing w:w="0" w:type="dxa"/>
        </w:trPr>
        <w:tc>
          <w:tcPr>
            <w:tcW w:w="6237" w:type="dxa"/>
            <w:tcBorders>
              <w:top w:val="single" w:color="000000" w:sz="4" w:space="0"/>
              <w:left w:val="single" w:color="000000" w:sz="4" w:space="0"/>
              <w:bottom w:val="single" w:color="000000" w:sz="4" w:space="0"/>
              <w:right w:val="single" w:color="000000" w:sz="4" w:space="0"/>
            </w:tcBorders>
            <w:vAlign w:val="center"/>
          </w:tcPr>
          <w:p w14:paraId="3BF18FC0">
            <w:pPr>
              <w:pStyle w:val="47"/>
              <w:spacing w:before="0" w:beforeAutospacing="0" w:after="0" w:afterAutospacing="0"/>
              <w:rPr>
                <w:rFonts w:hint="eastAsia"/>
                <w:color w:val="auto"/>
                <w:highlight w:val="none"/>
              </w:rPr>
            </w:pPr>
            <w:r>
              <w:rPr>
                <w:rFonts w:hint="eastAsia" w:ascii="仿宋" w:hAnsi="仿宋" w:eastAsia="仿宋" w:cs="仿宋"/>
                <w:color w:val="auto"/>
                <w:sz w:val="32"/>
                <w:szCs w:val="32"/>
                <w:highlight w:val="none"/>
              </w:rPr>
              <w:t>50-400万元以上（含400万元）</w:t>
            </w:r>
          </w:p>
        </w:tc>
        <w:tc>
          <w:tcPr>
            <w:tcW w:w="2853" w:type="dxa"/>
            <w:tcBorders>
              <w:top w:val="single" w:color="000000" w:sz="4" w:space="0"/>
              <w:left w:val="single" w:color="000000" w:sz="4" w:space="0"/>
              <w:bottom w:val="single" w:color="000000" w:sz="4" w:space="0"/>
              <w:right w:val="single" w:color="000000" w:sz="4" w:space="0"/>
            </w:tcBorders>
            <w:vAlign w:val="center"/>
          </w:tcPr>
          <w:p w14:paraId="3D248EB1">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1.50%</w:t>
            </w:r>
          </w:p>
        </w:tc>
      </w:tr>
      <w:tr w14:paraId="2FDEFDCA">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blCellSpacing w:w="0" w:type="dxa"/>
        </w:trPr>
        <w:tc>
          <w:tcPr>
            <w:tcW w:w="6237" w:type="dxa"/>
            <w:tcBorders>
              <w:top w:val="single" w:color="000000" w:sz="4" w:space="0"/>
              <w:left w:val="single" w:color="000000" w:sz="4" w:space="0"/>
              <w:bottom w:val="single" w:color="000000" w:sz="4" w:space="0"/>
              <w:right w:val="single" w:color="000000" w:sz="4" w:space="0"/>
            </w:tcBorders>
            <w:vAlign w:val="center"/>
          </w:tcPr>
          <w:p w14:paraId="43209E1E">
            <w:pPr>
              <w:pStyle w:val="47"/>
              <w:spacing w:before="0" w:beforeAutospacing="0" w:after="0" w:afterAutospacing="0"/>
              <w:rPr>
                <w:rFonts w:hint="eastAsia"/>
                <w:color w:val="auto"/>
                <w:highlight w:val="none"/>
              </w:rPr>
            </w:pPr>
            <w:r>
              <w:rPr>
                <w:rFonts w:hint="eastAsia" w:ascii="仿宋" w:hAnsi="仿宋" w:eastAsia="仿宋" w:cs="仿宋"/>
                <w:color w:val="auto"/>
                <w:sz w:val="32"/>
                <w:szCs w:val="32"/>
                <w:highlight w:val="none"/>
              </w:rPr>
              <w:t>400-1000万元以上（含1000万元）</w:t>
            </w:r>
          </w:p>
        </w:tc>
        <w:tc>
          <w:tcPr>
            <w:tcW w:w="2853" w:type="dxa"/>
            <w:tcBorders>
              <w:top w:val="single" w:color="000000" w:sz="4" w:space="0"/>
              <w:left w:val="single" w:color="000000" w:sz="4" w:space="0"/>
              <w:bottom w:val="single" w:color="000000" w:sz="4" w:space="0"/>
              <w:right w:val="single" w:color="000000" w:sz="4" w:space="0"/>
            </w:tcBorders>
            <w:vAlign w:val="center"/>
          </w:tcPr>
          <w:p w14:paraId="555EC601">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1.10%</w:t>
            </w:r>
          </w:p>
        </w:tc>
      </w:tr>
      <w:tr w14:paraId="627DACCA">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blCellSpacing w:w="0" w:type="dxa"/>
        </w:trPr>
        <w:tc>
          <w:tcPr>
            <w:tcW w:w="6237" w:type="dxa"/>
            <w:tcBorders>
              <w:top w:val="single" w:color="000000" w:sz="4" w:space="0"/>
              <w:left w:val="single" w:color="000000" w:sz="4" w:space="0"/>
              <w:bottom w:val="single" w:color="000000" w:sz="4" w:space="0"/>
              <w:right w:val="single" w:color="000000" w:sz="4" w:space="0"/>
            </w:tcBorders>
            <w:vAlign w:val="center"/>
          </w:tcPr>
          <w:p w14:paraId="18BAF7AA">
            <w:pPr>
              <w:pStyle w:val="47"/>
              <w:spacing w:before="0" w:beforeAutospacing="0" w:after="0" w:afterAutospacing="0"/>
              <w:rPr>
                <w:rFonts w:hint="eastAsia"/>
                <w:color w:val="auto"/>
                <w:highlight w:val="none"/>
              </w:rPr>
            </w:pPr>
            <w:r>
              <w:rPr>
                <w:rFonts w:hint="eastAsia" w:ascii="仿宋" w:hAnsi="仿宋" w:eastAsia="仿宋" w:cs="仿宋"/>
                <w:color w:val="auto"/>
                <w:sz w:val="32"/>
                <w:szCs w:val="32"/>
                <w:highlight w:val="none"/>
              </w:rPr>
              <w:t>1000-5000万元以上（含5000万元）</w:t>
            </w:r>
          </w:p>
        </w:tc>
        <w:tc>
          <w:tcPr>
            <w:tcW w:w="2853" w:type="dxa"/>
            <w:tcBorders>
              <w:top w:val="single" w:color="000000" w:sz="4" w:space="0"/>
              <w:left w:val="single" w:color="000000" w:sz="4" w:space="0"/>
              <w:bottom w:val="single" w:color="000000" w:sz="4" w:space="0"/>
              <w:right w:val="single" w:color="000000" w:sz="4" w:space="0"/>
            </w:tcBorders>
            <w:vAlign w:val="center"/>
          </w:tcPr>
          <w:p w14:paraId="57BC00F5">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0.80%</w:t>
            </w:r>
          </w:p>
        </w:tc>
      </w:tr>
      <w:tr w14:paraId="2C02AB74">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tblCellSpacing w:w="0" w:type="dxa"/>
        </w:trPr>
        <w:tc>
          <w:tcPr>
            <w:tcW w:w="6237" w:type="dxa"/>
            <w:tcBorders>
              <w:top w:val="single" w:color="000000" w:sz="4" w:space="0"/>
              <w:left w:val="single" w:color="000000" w:sz="4" w:space="0"/>
              <w:bottom w:val="single" w:color="000000" w:sz="4" w:space="0"/>
              <w:right w:val="single" w:color="000000" w:sz="4" w:space="0"/>
            </w:tcBorders>
            <w:vAlign w:val="center"/>
          </w:tcPr>
          <w:p w14:paraId="0A5AAFE8">
            <w:pPr>
              <w:pStyle w:val="47"/>
              <w:spacing w:before="0" w:beforeAutospacing="0" w:after="0" w:afterAutospacing="0"/>
              <w:rPr>
                <w:rFonts w:hint="eastAsia"/>
                <w:color w:val="auto"/>
                <w:highlight w:val="none"/>
              </w:rPr>
            </w:pPr>
            <w:r>
              <w:rPr>
                <w:rFonts w:hint="eastAsia" w:ascii="仿宋" w:hAnsi="仿宋" w:eastAsia="仿宋" w:cs="仿宋"/>
                <w:color w:val="auto"/>
                <w:sz w:val="32"/>
                <w:szCs w:val="32"/>
                <w:highlight w:val="none"/>
              </w:rPr>
              <w:t>5000-1亿元以上（含1亿元）</w:t>
            </w:r>
          </w:p>
        </w:tc>
        <w:tc>
          <w:tcPr>
            <w:tcW w:w="2853" w:type="dxa"/>
            <w:tcBorders>
              <w:top w:val="single" w:color="000000" w:sz="4" w:space="0"/>
              <w:left w:val="single" w:color="000000" w:sz="4" w:space="0"/>
              <w:bottom w:val="single" w:color="000000" w:sz="4" w:space="0"/>
              <w:right w:val="single" w:color="000000" w:sz="4" w:space="0"/>
            </w:tcBorders>
            <w:vAlign w:val="center"/>
          </w:tcPr>
          <w:p w14:paraId="541B07AF">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0.25%</w:t>
            </w:r>
          </w:p>
        </w:tc>
      </w:tr>
      <w:tr w14:paraId="0539A708">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blCellSpacing w:w="0" w:type="dxa"/>
        </w:trPr>
        <w:tc>
          <w:tcPr>
            <w:tcW w:w="6237" w:type="dxa"/>
            <w:tcBorders>
              <w:top w:val="single" w:color="000000" w:sz="4" w:space="0"/>
              <w:left w:val="single" w:color="000000" w:sz="4" w:space="0"/>
              <w:bottom w:val="single" w:color="000000" w:sz="4" w:space="0"/>
              <w:right w:val="single" w:color="000000" w:sz="4" w:space="0"/>
            </w:tcBorders>
            <w:vAlign w:val="center"/>
          </w:tcPr>
          <w:p w14:paraId="7D7843AC">
            <w:pPr>
              <w:pStyle w:val="47"/>
              <w:spacing w:before="0" w:beforeAutospacing="0" w:after="0" w:afterAutospacing="0"/>
              <w:rPr>
                <w:rFonts w:hint="eastAsia"/>
                <w:color w:val="auto"/>
                <w:highlight w:val="none"/>
              </w:rPr>
            </w:pPr>
            <w:r>
              <w:rPr>
                <w:rFonts w:hint="eastAsia" w:ascii="仿宋" w:hAnsi="仿宋" w:eastAsia="仿宋" w:cs="仿宋"/>
                <w:color w:val="auto"/>
                <w:sz w:val="32"/>
                <w:szCs w:val="32"/>
                <w:highlight w:val="none"/>
              </w:rPr>
              <w:t>1-10亿以上（含10亿元）</w:t>
            </w:r>
          </w:p>
        </w:tc>
        <w:tc>
          <w:tcPr>
            <w:tcW w:w="2853" w:type="dxa"/>
            <w:tcBorders>
              <w:top w:val="single" w:color="000000" w:sz="4" w:space="0"/>
              <w:left w:val="single" w:color="000000" w:sz="4" w:space="0"/>
              <w:bottom w:val="single" w:color="000000" w:sz="4" w:space="0"/>
              <w:right w:val="single" w:color="000000" w:sz="4" w:space="0"/>
            </w:tcBorders>
            <w:vAlign w:val="center"/>
          </w:tcPr>
          <w:p w14:paraId="09C92914">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0.05%</w:t>
            </w:r>
          </w:p>
        </w:tc>
      </w:tr>
      <w:tr w14:paraId="09438BAE">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blCellSpacing w:w="0" w:type="dxa"/>
        </w:trPr>
        <w:tc>
          <w:tcPr>
            <w:tcW w:w="6237" w:type="dxa"/>
            <w:tcBorders>
              <w:top w:val="single" w:color="000000" w:sz="4" w:space="0"/>
              <w:left w:val="single" w:color="000000" w:sz="4" w:space="0"/>
              <w:bottom w:val="single" w:color="000000" w:sz="4" w:space="0"/>
              <w:right w:val="single" w:color="000000" w:sz="4" w:space="0"/>
            </w:tcBorders>
            <w:vAlign w:val="center"/>
          </w:tcPr>
          <w:p w14:paraId="0FC98B51">
            <w:pPr>
              <w:pStyle w:val="47"/>
              <w:spacing w:before="0" w:beforeAutospacing="0" w:after="0" w:afterAutospacing="0"/>
              <w:rPr>
                <w:rFonts w:hint="eastAsia"/>
                <w:color w:val="auto"/>
                <w:highlight w:val="none"/>
              </w:rPr>
            </w:pPr>
            <w:r>
              <w:rPr>
                <w:rFonts w:hint="eastAsia" w:ascii="仿宋" w:hAnsi="仿宋" w:eastAsia="仿宋" w:cs="仿宋"/>
                <w:color w:val="auto"/>
                <w:sz w:val="32"/>
                <w:szCs w:val="32"/>
                <w:highlight w:val="none"/>
              </w:rPr>
              <w:t>10-50亿元以上（含50亿元）</w:t>
            </w:r>
          </w:p>
        </w:tc>
        <w:tc>
          <w:tcPr>
            <w:tcW w:w="2853" w:type="dxa"/>
            <w:tcBorders>
              <w:top w:val="single" w:color="000000" w:sz="4" w:space="0"/>
              <w:left w:val="single" w:color="000000" w:sz="4" w:space="0"/>
              <w:bottom w:val="single" w:color="000000" w:sz="4" w:space="0"/>
              <w:right w:val="single" w:color="000000" w:sz="4" w:space="0"/>
            </w:tcBorders>
            <w:vAlign w:val="center"/>
          </w:tcPr>
          <w:p w14:paraId="41F258C0">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0.01%</w:t>
            </w:r>
          </w:p>
        </w:tc>
      </w:tr>
      <w:tr w14:paraId="4BFC5975">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blCellSpacing w:w="0" w:type="dxa"/>
        </w:trPr>
        <w:tc>
          <w:tcPr>
            <w:tcW w:w="6237" w:type="dxa"/>
            <w:tcBorders>
              <w:top w:val="single" w:color="000000" w:sz="4" w:space="0"/>
              <w:left w:val="single" w:color="000000" w:sz="4" w:space="0"/>
              <w:bottom w:val="single" w:color="000000" w:sz="4" w:space="0"/>
              <w:right w:val="single" w:color="000000" w:sz="4" w:space="0"/>
            </w:tcBorders>
            <w:vAlign w:val="center"/>
          </w:tcPr>
          <w:p w14:paraId="7F524216">
            <w:pPr>
              <w:pStyle w:val="47"/>
              <w:spacing w:before="0" w:beforeAutospacing="0" w:after="0" w:afterAutospacing="0"/>
              <w:rPr>
                <w:rFonts w:hint="eastAsia"/>
                <w:color w:val="auto"/>
                <w:highlight w:val="none"/>
              </w:rPr>
            </w:pPr>
            <w:r>
              <w:rPr>
                <w:rFonts w:hint="eastAsia" w:ascii="仿宋" w:hAnsi="仿宋" w:eastAsia="仿宋" w:cs="仿宋"/>
                <w:color w:val="auto"/>
                <w:sz w:val="32"/>
                <w:szCs w:val="32"/>
                <w:highlight w:val="none"/>
              </w:rPr>
              <w:t>50亿元以上</w:t>
            </w:r>
          </w:p>
        </w:tc>
        <w:tc>
          <w:tcPr>
            <w:tcW w:w="2853" w:type="dxa"/>
            <w:tcBorders>
              <w:top w:val="single" w:color="000000" w:sz="4" w:space="0"/>
              <w:left w:val="single" w:color="000000" w:sz="4" w:space="0"/>
              <w:bottom w:val="single" w:color="000000" w:sz="4" w:space="0"/>
              <w:right w:val="single" w:color="000000" w:sz="4" w:space="0"/>
            </w:tcBorders>
            <w:vAlign w:val="center"/>
          </w:tcPr>
          <w:p w14:paraId="11BE48D2">
            <w:pPr>
              <w:pStyle w:val="47"/>
              <w:spacing w:before="0" w:beforeAutospacing="0" w:after="0" w:afterAutospacing="0"/>
              <w:jc w:val="center"/>
              <w:rPr>
                <w:rFonts w:hint="eastAsia"/>
                <w:color w:val="auto"/>
                <w:highlight w:val="none"/>
              </w:rPr>
            </w:pPr>
            <w:r>
              <w:rPr>
                <w:rFonts w:hint="eastAsia" w:ascii="仿宋" w:hAnsi="仿宋" w:eastAsia="仿宋" w:cs="仿宋"/>
                <w:color w:val="auto"/>
                <w:sz w:val="32"/>
                <w:szCs w:val="32"/>
                <w:highlight w:val="none"/>
              </w:rPr>
              <w:t>0.01%</w:t>
            </w:r>
          </w:p>
        </w:tc>
      </w:tr>
    </w:tbl>
    <w:p w14:paraId="2B00CE0C">
      <w:pPr>
        <w:pStyle w:val="47"/>
        <w:spacing w:before="0" w:beforeAutospacing="0" w:after="0" w:afterAutospacing="0" w:line="360" w:lineRule="auto"/>
        <w:ind w:firstLine="280"/>
        <w:rPr>
          <w:rFonts w:hint="eastAsia"/>
          <w:color w:val="auto"/>
          <w:highlight w:val="none"/>
        </w:rPr>
      </w:pPr>
      <w:r>
        <w:rPr>
          <w:rFonts w:hint="eastAsia" w:ascii="仿宋" w:hAnsi="仿宋" w:eastAsia="仿宋" w:cs="仿宋"/>
          <w:color w:val="auto"/>
          <w:sz w:val="28"/>
          <w:szCs w:val="28"/>
          <w:highlight w:val="none"/>
        </w:rPr>
        <w:t>说明：</w:t>
      </w:r>
    </w:p>
    <w:p w14:paraId="58ED7574">
      <w:pPr>
        <w:pStyle w:val="47"/>
        <w:spacing w:before="0" w:beforeAutospacing="0" w:after="0" w:afterAutospacing="0"/>
        <w:ind w:firstLine="560"/>
        <w:rPr>
          <w:rFonts w:hint="eastAsia"/>
          <w:color w:val="auto"/>
          <w:highlight w:val="none"/>
        </w:rPr>
      </w:pPr>
      <w:r>
        <w:rPr>
          <w:rFonts w:hint="eastAsia" w:ascii="仿宋" w:hAnsi="仿宋" w:eastAsia="仿宋" w:cs="仿宋"/>
          <w:color w:val="auto"/>
          <w:sz w:val="28"/>
          <w:szCs w:val="28"/>
          <w:highlight w:val="none"/>
        </w:rPr>
        <w:t>1.按上表计算的收费为代理服务全过程的收费金额。各社会代理机构不另外收取采购文件制作售卖费用。</w:t>
      </w:r>
    </w:p>
    <w:p w14:paraId="28BFCDD7">
      <w:pPr>
        <w:pStyle w:val="47"/>
        <w:spacing w:before="0" w:beforeAutospacing="0" w:after="0" w:afterAutospacing="0"/>
        <w:ind w:firstLine="480"/>
        <w:rPr>
          <w:rFonts w:hint="eastAsia"/>
          <w:color w:val="auto"/>
          <w:highlight w:val="none"/>
        </w:rPr>
      </w:pPr>
      <w:r>
        <w:rPr>
          <w:rFonts w:hint="eastAsia" w:ascii="仿宋" w:hAnsi="仿宋" w:eastAsia="仿宋" w:cs="仿宋"/>
          <w:color w:val="auto"/>
          <w:sz w:val="28"/>
          <w:szCs w:val="28"/>
          <w:highlight w:val="none"/>
        </w:rPr>
        <w:t>2.代理服务费按差额定率累进法计算。</w:t>
      </w:r>
    </w:p>
    <w:p w14:paraId="61487DC1">
      <w:pPr>
        <w:pStyle w:val="47"/>
        <w:spacing w:before="0" w:beforeAutospacing="0" w:after="0" w:afterAutospacing="0"/>
        <w:ind w:firstLine="480"/>
        <w:rPr>
          <w:rFonts w:hint="eastAsia"/>
          <w:color w:val="auto"/>
          <w:highlight w:val="none"/>
        </w:rPr>
      </w:pPr>
      <w:r>
        <w:rPr>
          <w:rFonts w:hint="eastAsia" w:ascii="仿宋" w:hAnsi="仿宋" w:eastAsia="仿宋" w:cs="仿宋"/>
          <w:color w:val="auto"/>
          <w:sz w:val="28"/>
          <w:szCs w:val="28"/>
          <w:highlight w:val="none"/>
        </w:rPr>
        <w:t>3.代理服务费基准金额（按差额定率累进法计算的）=中标金额（按差额定率累进法计算的）* 费率（%）</w:t>
      </w:r>
    </w:p>
    <w:p w14:paraId="350D4E59">
      <w:pPr>
        <w:pStyle w:val="47"/>
        <w:spacing w:before="0" w:beforeAutospacing="0" w:after="0" w:afterAutospacing="0"/>
        <w:ind w:firstLine="480"/>
        <w:rPr>
          <w:rFonts w:hint="eastAsia"/>
          <w:color w:val="auto"/>
          <w:highlight w:val="none"/>
        </w:rPr>
      </w:pPr>
      <w:r>
        <w:rPr>
          <w:rFonts w:hint="eastAsia" w:ascii="仿宋" w:hAnsi="仿宋" w:eastAsia="仿宋" w:cs="仿宋"/>
          <w:color w:val="auto"/>
          <w:sz w:val="28"/>
          <w:szCs w:val="28"/>
          <w:highlight w:val="none"/>
        </w:rPr>
        <w:t>4.代理服务费应收取金额=代理服务费基准金额（按差额定率累进法计算的）的合计数。</w:t>
      </w:r>
    </w:p>
    <w:p w14:paraId="5A838220">
      <w:pPr>
        <w:pStyle w:val="47"/>
        <w:spacing w:before="0" w:beforeAutospacing="0" w:after="0" w:afterAutospacing="0"/>
        <w:ind w:firstLine="480"/>
        <w:rPr>
          <w:rFonts w:hint="eastAsia"/>
          <w:color w:val="auto"/>
          <w:highlight w:val="none"/>
        </w:rPr>
      </w:pPr>
      <w:r>
        <w:rPr>
          <w:rFonts w:hint="eastAsia" w:ascii="仿宋" w:hAnsi="仿宋" w:eastAsia="仿宋" w:cs="仿宋"/>
          <w:color w:val="auto"/>
          <w:sz w:val="28"/>
          <w:szCs w:val="28"/>
          <w:highlight w:val="none"/>
        </w:rPr>
        <w:t>5.计算出的代理服务费应收取金额如低于5千元，按5千元收取；</w:t>
      </w:r>
    </w:p>
    <w:p w14:paraId="0223DEA5">
      <w:pPr>
        <w:pStyle w:val="47"/>
        <w:spacing w:before="0" w:beforeAutospacing="0" w:after="0" w:afterAutospacing="0"/>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6.定点类等无金额或事先不能计算出价格总额的项目，按中标（成交）金额100万元计算服务费。</w:t>
      </w:r>
    </w:p>
    <w:p w14:paraId="35210B53">
      <w:pPr>
        <w:pStyle w:val="47"/>
        <w:spacing w:before="0" w:beforeAutospacing="0" w:after="0" w:afterAutospacing="0"/>
        <w:ind w:firstLine="480"/>
        <w:rPr>
          <w:rFonts w:hint="eastAsia" w:ascii="仿宋" w:hAnsi="仿宋" w:eastAsia="仿宋" w:cs="仿宋"/>
          <w:color w:val="auto"/>
          <w:sz w:val="28"/>
          <w:szCs w:val="28"/>
          <w:highlight w:val="none"/>
        </w:rPr>
      </w:pPr>
    </w:p>
    <w:p w14:paraId="4FBC4F83">
      <w:pPr>
        <w:rPr>
          <w:rFonts w:hint="eastAsia" w:ascii="宋体" w:hAnsi="宋体" w:cs="宋体"/>
          <w:color w:val="auto"/>
          <w:highlight w:val="none"/>
        </w:rPr>
      </w:pPr>
      <w:r>
        <w:rPr>
          <w:rFonts w:hint="eastAsia" w:ascii="宋体" w:hAnsi="宋体" w:cs="宋体"/>
          <w:color w:val="auto"/>
          <w:highlight w:val="none"/>
        </w:rPr>
        <w:br w:type="page" w:clear="all"/>
      </w:r>
    </w:p>
    <w:p w14:paraId="064335B3">
      <w:pPr>
        <w:spacing w:line="0" w:lineRule="atLeast"/>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15、预付款保函支付条款模板</w:t>
      </w:r>
    </w:p>
    <w:p w14:paraId="5B6FD716">
      <w:pPr>
        <w:pStyle w:val="22"/>
        <w:spacing w:line="480" w:lineRule="exact"/>
        <w:ind w:firstLine="605"/>
        <w:rPr>
          <w:rFonts w:hint="eastAsia" w:ascii="宋体" w:hAnsi="宋体" w:cs="宋体"/>
          <w:b/>
          <w:color w:val="auto"/>
          <w:sz w:val="24"/>
          <w:szCs w:val="24"/>
          <w:highlight w:val="none"/>
        </w:rPr>
      </w:pPr>
      <w:r>
        <w:rPr>
          <w:rFonts w:hint="eastAsia" w:ascii="宋体" w:hAnsi="宋体" w:cs="宋体"/>
          <w:b/>
          <w:color w:val="auto"/>
          <w:sz w:val="24"/>
          <w:szCs w:val="24"/>
          <w:highlight w:val="none"/>
        </w:rPr>
        <w:t>符合条件一：提交预付款保函的</w:t>
      </w:r>
    </w:p>
    <w:p w14:paraId="6C9B56A2">
      <w:pPr>
        <w:pStyle w:val="22"/>
        <w:spacing w:line="480" w:lineRule="exact"/>
        <w:ind w:firstLine="602"/>
        <w:rPr>
          <w:rFonts w:hint="eastAsia" w:ascii="宋体" w:hAnsi="宋体" w:cs="宋体"/>
          <w:color w:val="auto"/>
          <w:sz w:val="24"/>
          <w:szCs w:val="24"/>
          <w:highlight w:val="none"/>
        </w:rPr>
      </w:pPr>
      <w:r>
        <w:rPr>
          <w:rFonts w:hint="eastAsia" w:ascii="宋体" w:hAnsi="宋体" w:cs="宋体"/>
          <w:color w:val="auto"/>
          <w:sz w:val="24"/>
          <w:szCs w:val="24"/>
          <w:highlight w:val="none"/>
        </w:rPr>
        <w:t>（1）合同签订且乙方向甲方出具预付款保函后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个工作日内，甲方应支付合同价款的百分之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个工作日内，甲方应支付合同价款的百分之</w:t>
      </w:r>
      <w:r>
        <w:rPr>
          <w:rFonts w:hint="eastAsia" w:ascii="宋体" w:hAnsi="宋体" w:cs="宋体"/>
          <w:color w:val="auto"/>
          <w:sz w:val="24"/>
          <w:szCs w:val="24"/>
          <w:highlight w:val="none"/>
          <w:u w:val="single"/>
        </w:rPr>
        <w:t>XX（    XX%），</w:t>
      </w: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E57776B">
      <w:pPr>
        <w:pStyle w:val="22"/>
        <w:spacing w:line="480" w:lineRule="exact"/>
        <w:ind w:firstLine="605"/>
        <w:rPr>
          <w:rFonts w:hint="eastAsia" w:ascii="宋体" w:hAnsi="宋体" w:cs="宋体"/>
          <w:b/>
          <w:color w:val="auto"/>
          <w:sz w:val="24"/>
          <w:szCs w:val="24"/>
          <w:highlight w:val="none"/>
        </w:rPr>
      </w:pPr>
      <w:r>
        <w:rPr>
          <w:rFonts w:hint="eastAsia" w:ascii="宋体" w:hAnsi="宋体" w:cs="宋体"/>
          <w:b/>
          <w:color w:val="auto"/>
          <w:sz w:val="24"/>
          <w:szCs w:val="24"/>
          <w:highlight w:val="none"/>
        </w:rPr>
        <w:t>……</w:t>
      </w:r>
    </w:p>
    <w:p w14:paraId="1C8D135F">
      <w:pPr>
        <w:pStyle w:val="22"/>
        <w:spacing w:line="480" w:lineRule="exact"/>
        <w:ind w:firstLine="605"/>
        <w:rPr>
          <w:rFonts w:hint="eastAsia" w:ascii="宋体" w:hAnsi="宋体" w:cs="宋体"/>
          <w:b/>
          <w:color w:val="auto"/>
          <w:sz w:val="24"/>
          <w:szCs w:val="24"/>
          <w:highlight w:val="none"/>
        </w:rPr>
      </w:pPr>
      <w:r>
        <w:rPr>
          <w:rFonts w:hint="eastAsia" w:ascii="宋体" w:hAnsi="宋体" w:cs="宋体"/>
          <w:b/>
          <w:color w:val="auto"/>
          <w:sz w:val="24"/>
          <w:szCs w:val="24"/>
          <w:highlight w:val="none"/>
        </w:rPr>
        <w:t>符合条件二：不提交预付款保函的</w:t>
      </w:r>
    </w:p>
    <w:p w14:paraId="6B2CF2A2">
      <w:pPr>
        <w:pStyle w:val="22"/>
        <w:spacing w:line="480" w:lineRule="exact"/>
        <w:ind w:firstLine="602"/>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个工作日内，甲方应支付合同价款的百分之</w:t>
      </w:r>
      <w:r>
        <w:rPr>
          <w:rFonts w:hint="eastAsia" w:ascii="宋体" w:hAnsi="宋体" w:cs="宋体"/>
          <w:color w:val="auto"/>
          <w:sz w:val="24"/>
          <w:szCs w:val="24"/>
          <w:highlight w:val="none"/>
          <w:u w:val="single"/>
        </w:rPr>
        <w:t>XX（    XX%），</w:t>
      </w: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66529DD">
      <w:pPr>
        <w:pStyle w:val="22"/>
        <w:spacing w:line="480" w:lineRule="exact"/>
        <w:ind w:left="140" w:firstLine="602"/>
        <w:rPr>
          <w:rFonts w:hint="eastAsia" w:ascii="宋体" w:hAnsi="宋体" w:cs="宋体"/>
          <w:color w:val="auto"/>
          <w:sz w:val="24"/>
          <w:szCs w:val="24"/>
          <w:highlight w:val="none"/>
        </w:rPr>
      </w:pPr>
      <w:r>
        <w:rPr>
          <w:rFonts w:hint="eastAsia" w:ascii="宋体" w:hAnsi="宋体" w:cs="宋体"/>
          <w:color w:val="auto"/>
          <w:sz w:val="24"/>
          <w:szCs w:val="24"/>
          <w:highlight w:val="none"/>
        </w:rPr>
        <w:t>（2）验收合格后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个工作日内，甲方应支付合同价款的百分之</w:t>
      </w:r>
      <w:r>
        <w:rPr>
          <w:rFonts w:hint="eastAsia" w:ascii="宋体" w:hAnsi="宋体" w:cs="宋体"/>
          <w:color w:val="auto"/>
          <w:sz w:val="24"/>
          <w:szCs w:val="24"/>
          <w:highlight w:val="none"/>
          <w:u w:val="single"/>
        </w:rPr>
        <w:t>XX（    XX%），</w:t>
      </w: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203C43F">
      <w:pPr>
        <w:pStyle w:val="22"/>
        <w:spacing w:line="480" w:lineRule="exact"/>
        <w:ind w:firstLine="605"/>
        <w:rPr>
          <w:rFonts w:hint="eastAsia" w:ascii="宋体" w:hAnsi="宋体" w:cs="宋体"/>
          <w:b/>
          <w:color w:val="auto"/>
          <w:sz w:val="24"/>
          <w:szCs w:val="24"/>
          <w:highlight w:val="none"/>
        </w:rPr>
      </w:pPr>
      <w:r>
        <w:rPr>
          <w:rFonts w:hint="eastAsia" w:ascii="宋体" w:hAnsi="宋体" w:cs="宋体"/>
          <w:b/>
          <w:color w:val="auto"/>
          <w:sz w:val="24"/>
          <w:szCs w:val="24"/>
          <w:highlight w:val="none"/>
        </w:rPr>
        <w:t>……</w:t>
      </w:r>
    </w:p>
    <w:p w14:paraId="458C913C">
      <w:pPr>
        <w:pStyle w:val="22"/>
        <w:spacing w:line="480" w:lineRule="exact"/>
        <w:ind w:left="140" w:firstLine="605"/>
        <w:rPr>
          <w:rFonts w:hint="eastAsia" w:ascii="宋体" w:hAnsi="宋体" w:cs="宋体"/>
          <w:b/>
          <w:color w:val="auto"/>
          <w:sz w:val="24"/>
          <w:szCs w:val="24"/>
          <w:highlight w:val="none"/>
        </w:rPr>
      </w:pPr>
      <w:r>
        <w:rPr>
          <w:rFonts w:hint="eastAsia" w:ascii="宋体" w:hAnsi="宋体" w:cs="宋体"/>
          <w:b/>
          <w:color w:val="auto"/>
          <w:sz w:val="24"/>
          <w:szCs w:val="24"/>
          <w:highlight w:val="none"/>
        </w:rPr>
        <w:t>注:</w:t>
      </w:r>
    </w:p>
    <w:p w14:paraId="3CAC774D">
      <w:pPr>
        <w:pStyle w:val="22"/>
        <w:spacing w:line="480" w:lineRule="exact"/>
        <w:ind w:left="140" w:firstLine="602"/>
        <w:rPr>
          <w:rFonts w:hint="eastAsia" w:ascii="宋体" w:hAnsi="宋体" w:cs="宋体"/>
          <w:color w:val="auto"/>
          <w:sz w:val="24"/>
          <w:szCs w:val="24"/>
          <w:highlight w:val="none"/>
        </w:rPr>
      </w:pPr>
      <w:r>
        <w:rPr>
          <w:rFonts w:hint="eastAsia" w:ascii="宋体" w:hAnsi="宋体" w:cs="宋体"/>
          <w:color w:val="auto"/>
          <w:sz w:val="24"/>
          <w:szCs w:val="24"/>
          <w:highlight w:val="none"/>
        </w:rPr>
        <w:t>1、付款条件一中，出具预付款保函后支付的合同款应当与保函金额一致。</w:t>
      </w:r>
    </w:p>
    <w:p w14:paraId="3F6989E8">
      <w:pPr>
        <w:pStyle w:val="2"/>
        <w:rPr>
          <w:color w:val="auto"/>
          <w:highlight w:val="none"/>
        </w:rPr>
      </w:pPr>
      <w:r>
        <w:rPr>
          <w:rFonts w:hint="eastAsia" w:ascii="宋体" w:hAnsi="宋体" w:cs="宋体"/>
          <w:color w:val="auto"/>
          <w:sz w:val="24"/>
          <w:highlight w:val="none"/>
        </w:rPr>
        <w:t>2、付款条件二中，预付款比例设定应符合《关于做好政府采购支持企业发展有关事项的通知》(苏财购〔2020〕52号)要求。</w:t>
      </w:r>
    </w:p>
    <w:sectPr>
      <w:footerReference r:id="rId10" w:type="first"/>
      <w:footerReference r:id="rId9" w:type="default"/>
      <w:pgSz w:w="11906" w:h="16838"/>
      <w:pgMar w:top="1440" w:right="1440" w:bottom="1440" w:left="144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仿宋_GBK">
    <w:altName w:val="微软雅黑"/>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BE593">
    <w:pPr>
      <w:pStyle w:val="38"/>
      <w:framePr w:wrap="around" w:vAnchor="text" w:hAnchor="margin" w:xAlign="center" w:y="1"/>
      <w:rPr>
        <w:rStyle w:val="57"/>
      </w:rPr>
    </w:pPr>
    <w:r>
      <w:fldChar w:fldCharType="begin"/>
    </w:r>
    <w:r>
      <w:rPr>
        <w:rStyle w:val="57"/>
      </w:rPr>
      <w:instrText xml:space="preserve">PAGE  </w:instrText>
    </w:r>
    <w:r>
      <w:fldChar w:fldCharType="end"/>
    </w:r>
  </w:p>
  <w:p w14:paraId="69E3245F">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5D5AE">
    <w:pPr>
      <w:tabs>
        <w:tab w:val="left" w:pos="4912"/>
        <w:tab w:val="right" w:pos="8306"/>
      </w:tabs>
      <w:rPr>
        <w:szCs w:val="21"/>
      </w:rPr>
    </w:pPr>
    <w:r>
      <w:rPr>
        <w:szCs w:val="21"/>
      </w:rPr>
      <mc:AlternateContent>
        <mc:Choice Requires="wps">
          <w:drawing>
            <wp:anchor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257175" cy="147955"/>
                      </a:xfrm>
                      <a:prstGeom prst="rect">
                        <a:avLst/>
                      </a:prstGeom>
                      <a:noFill/>
                      <a:ln>
                        <a:noFill/>
                      </a:ln>
                      <a:effectLst/>
                    </wps:spPr>
                    <wps:txbx>
                      <w:txbxContent>
                        <w:p w14:paraId="27BE5394">
                          <w:pPr>
                            <w:tabs>
                              <w:tab w:val="center" w:pos="4153"/>
                              <w:tab w:val="right" w:pos="8306"/>
                            </w:tabs>
                            <w:rPr>
                              <w:szCs w:val="21"/>
                            </w:rPr>
                          </w:pPr>
                          <w:r>
                            <w:rPr>
                              <w:szCs w:val="21"/>
                            </w:rPr>
                            <w:fldChar w:fldCharType="begin"/>
                          </w:r>
                          <w:r>
                            <w:rPr>
                              <w:szCs w:val="21"/>
                            </w:rPr>
                            <w:instrText xml:space="preserve"> PAGE  \* MERGEFORMAT </w:instrText>
                          </w:r>
                          <w:r>
                            <w:rPr>
                              <w:szCs w:val="21"/>
                            </w:rPr>
                            <w:fldChar w:fldCharType="separate"/>
                          </w:r>
                          <w:r>
                            <w:rPr>
                              <w:szCs w:val="21"/>
                            </w:rPr>
                            <w:t>39</w:t>
                          </w:r>
                          <w:r>
                            <w:rPr>
                              <w:szCs w:val="21"/>
                            </w:rPr>
                            <w:fldChar w:fldCharType="end"/>
                          </w:r>
                        </w:p>
                      </w:txbxContent>
                    </wps:txbx>
                    <wps:bodyPr wrap="square" lIns="0" tIns="0" rIns="0" bIns="0" upright="1"/>
                  </wps:wsp>
                </a:graphicData>
              </a:graphic>
            </wp:anchor>
          </w:drawing>
        </mc:Choice>
        <mc:Fallback>
          <w:pict>
            <v:shape id="文本框 2" o:spid="_x0000_s1026" o:spt="202" type="#_x0000_t202" style="position:absolute;left:0pt;margin-left:197.35pt;margin-top:0pt;height:11.65pt;width:20.25pt;mso-position-horizontal-relative:margin;z-index:251661312;mso-width-relative:page;mso-height-relative:page;" filled="f" stroked="f" coordsize="21600,21600" o:gfxdata="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esLe1dcAAAAHAQAADwAAAAAAAAABACAAAAAi&#10;AAAAZHJzL2Rvd25yZXYueG1sUEsBAhQAFAAAAAgAh07iQE3wUNrSAQAAmwMAAA4AAAAAAAAAAQAg&#10;AAAAJgEAAGRycy9lMm9Eb2MueG1sUEsFBgAAAAAGAAYAWQEAAGoFAAAAAA==&#10;">
              <v:fill on="f" focussize="0,0"/>
              <v:stroke on="f"/>
              <v:imagedata o:title=""/>
              <o:lock v:ext="edit" aspectratio="f"/>
              <v:textbox inset="0mm,0mm,0mm,0mm">
                <w:txbxContent>
                  <w:p w14:paraId="27BE5394">
                    <w:pPr>
                      <w:tabs>
                        <w:tab w:val="center" w:pos="4153"/>
                        <w:tab w:val="right" w:pos="8306"/>
                      </w:tabs>
                      <w:rPr>
                        <w:szCs w:val="21"/>
                      </w:rPr>
                    </w:pPr>
                    <w:r>
                      <w:rPr>
                        <w:szCs w:val="21"/>
                      </w:rPr>
                      <w:fldChar w:fldCharType="begin"/>
                    </w:r>
                    <w:r>
                      <w:rPr>
                        <w:szCs w:val="21"/>
                      </w:rPr>
                      <w:instrText xml:space="preserve"> PAGE  \* MERGEFORMAT </w:instrText>
                    </w:r>
                    <w:r>
                      <w:rPr>
                        <w:szCs w:val="21"/>
                      </w:rPr>
                      <w:fldChar w:fldCharType="separate"/>
                    </w:r>
                    <w:r>
                      <w:rPr>
                        <w:szCs w:val="21"/>
                      </w:rPr>
                      <w:t>39</w:t>
                    </w:r>
                    <w:r>
                      <w:rPr>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CC87D">
    <w:pPr>
      <w:pStyle w:val="3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BD0166">
                          <w:pPr>
                            <w:pStyle w:val="3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hDyfCNwIAAGQEAAAOAAAAAAAAAAEAIAAAAB8BAABkcnMvZTJvRG9jLnht&#10;bFBLBQYAAAAABgAGAFkBAADIBQAAAAA=&#10;">
              <v:fill on="f" focussize="0,0"/>
              <v:stroke on="f" weight="0.5pt"/>
              <v:imagedata o:title=""/>
              <o:lock v:ext="edit" aspectratio="f"/>
              <v:textbox inset="0mm,0mm,0mm,0mm" style="mso-fit-shape-to-text:t;">
                <w:txbxContent>
                  <w:p w14:paraId="62BD0166">
                    <w:pPr>
                      <w:pStyle w:val="3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0C3C2">
    <w:pPr>
      <w:pStyle w:val="3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7351F6">
                          <w:pPr>
                            <w:pStyle w:val="3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r5mXYNwIAAGQEAAAOAAAAAAAAAAEAIAAAAB8BAABkcnMvZTJvRG9jLnht&#10;bFBLBQYAAAAABgAGAFkBAADIBQAAAAA=&#10;">
              <v:fill on="f" focussize="0,0"/>
              <v:stroke on="f" weight="0.5pt"/>
              <v:imagedata o:title=""/>
              <o:lock v:ext="edit" aspectratio="f"/>
              <v:textbox inset="0mm,0mm,0mm,0mm" style="mso-fit-shape-to-text:t;">
                <w:txbxContent>
                  <w:p w14:paraId="4A7351F6">
                    <w:pPr>
                      <w:pStyle w:val="3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E50F6">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90516">
    <w:pPr>
      <w:pStyle w:val="3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7BF18">
    <w:pPr>
      <w:pStyle w:val="3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8BC9C">
    <w:pPr>
      <w:pStyle w:val="3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pStyle w:val="24"/>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8F537B"/>
    <w:multiLevelType w:val="multilevel"/>
    <w:tmpl w:val="2A8F537B"/>
    <w:lvl w:ilvl="0" w:tentative="0">
      <w:start w:val="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6A1C3F"/>
    <w:multiLevelType w:val="multilevel"/>
    <w:tmpl w:val="726A1C3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54"/>
    <w:rsid w:val="0008648E"/>
    <w:rsid w:val="001A1D05"/>
    <w:rsid w:val="003450BE"/>
    <w:rsid w:val="003C65F1"/>
    <w:rsid w:val="0049528B"/>
    <w:rsid w:val="007861E3"/>
    <w:rsid w:val="008D5C54"/>
    <w:rsid w:val="008E7FDB"/>
    <w:rsid w:val="00952261"/>
    <w:rsid w:val="00961E60"/>
    <w:rsid w:val="00963921"/>
    <w:rsid w:val="00B2675A"/>
    <w:rsid w:val="00B34FC8"/>
    <w:rsid w:val="013712F7"/>
    <w:rsid w:val="02377801"/>
    <w:rsid w:val="02C80459"/>
    <w:rsid w:val="02E541FA"/>
    <w:rsid w:val="03FE7EAB"/>
    <w:rsid w:val="04651CD8"/>
    <w:rsid w:val="050140F6"/>
    <w:rsid w:val="050F6813"/>
    <w:rsid w:val="08062039"/>
    <w:rsid w:val="08314CF2"/>
    <w:rsid w:val="0ADE6740"/>
    <w:rsid w:val="0B504E1E"/>
    <w:rsid w:val="0B9D61FB"/>
    <w:rsid w:val="0C087B18"/>
    <w:rsid w:val="0CE10616"/>
    <w:rsid w:val="0DCD726B"/>
    <w:rsid w:val="0ECD61DB"/>
    <w:rsid w:val="0F39623B"/>
    <w:rsid w:val="0F786D63"/>
    <w:rsid w:val="0FB73D2F"/>
    <w:rsid w:val="120174E4"/>
    <w:rsid w:val="125A6693"/>
    <w:rsid w:val="12D70244"/>
    <w:rsid w:val="13B80076"/>
    <w:rsid w:val="17367C2F"/>
    <w:rsid w:val="17831FED"/>
    <w:rsid w:val="19E82D37"/>
    <w:rsid w:val="1E756B69"/>
    <w:rsid w:val="1EC36F69"/>
    <w:rsid w:val="1FA85442"/>
    <w:rsid w:val="1FDA1374"/>
    <w:rsid w:val="201B5C14"/>
    <w:rsid w:val="20601879"/>
    <w:rsid w:val="20D61B3B"/>
    <w:rsid w:val="222F1E4B"/>
    <w:rsid w:val="22F15352"/>
    <w:rsid w:val="233A2855"/>
    <w:rsid w:val="23ED1676"/>
    <w:rsid w:val="248A3369"/>
    <w:rsid w:val="26751DF6"/>
    <w:rsid w:val="278E13C2"/>
    <w:rsid w:val="299D3B3E"/>
    <w:rsid w:val="29BF5862"/>
    <w:rsid w:val="2AE5754B"/>
    <w:rsid w:val="2BA271EA"/>
    <w:rsid w:val="2C6E17C2"/>
    <w:rsid w:val="2CC500C4"/>
    <w:rsid w:val="2EDD678B"/>
    <w:rsid w:val="30004E27"/>
    <w:rsid w:val="308415B4"/>
    <w:rsid w:val="31592A40"/>
    <w:rsid w:val="327B2543"/>
    <w:rsid w:val="32870EE7"/>
    <w:rsid w:val="32DA195F"/>
    <w:rsid w:val="3330157F"/>
    <w:rsid w:val="33C06DA7"/>
    <w:rsid w:val="33ED7470"/>
    <w:rsid w:val="35777939"/>
    <w:rsid w:val="35BE2E72"/>
    <w:rsid w:val="35C80195"/>
    <w:rsid w:val="3628478F"/>
    <w:rsid w:val="36432D79"/>
    <w:rsid w:val="3676374D"/>
    <w:rsid w:val="368A369C"/>
    <w:rsid w:val="37386C54"/>
    <w:rsid w:val="385F21CA"/>
    <w:rsid w:val="38AA5930"/>
    <w:rsid w:val="3B762441"/>
    <w:rsid w:val="3CA37D25"/>
    <w:rsid w:val="3EE53B65"/>
    <w:rsid w:val="3FA255B3"/>
    <w:rsid w:val="40077B0C"/>
    <w:rsid w:val="414D77A0"/>
    <w:rsid w:val="42DD6902"/>
    <w:rsid w:val="430A3B9B"/>
    <w:rsid w:val="440525B4"/>
    <w:rsid w:val="44327737"/>
    <w:rsid w:val="44CD30D2"/>
    <w:rsid w:val="44F00B6E"/>
    <w:rsid w:val="44FA379B"/>
    <w:rsid w:val="45181E73"/>
    <w:rsid w:val="47C36A0E"/>
    <w:rsid w:val="4820176A"/>
    <w:rsid w:val="48226FB1"/>
    <w:rsid w:val="495711BC"/>
    <w:rsid w:val="496F0BFB"/>
    <w:rsid w:val="49DB676B"/>
    <w:rsid w:val="4AEE5B50"/>
    <w:rsid w:val="4C3E2B07"/>
    <w:rsid w:val="4D4D1254"/>
    <w:rsid w:val="4D662315"/>
    <w:rsid w:val="4DC46494"/>
    <w:rsid w:val="4F1B2C8C"/>
    <w:rsid w:val="50146059"/>
    <w:rsid w:val="515F688E"/>
    <w:rsid w:val="51DF476E"/>
    <w:rsid w:val="52F7756C"/>
    <w:rsid w:val="55481606"/>
    <w:rsid w:val="5632548A"/>
    <w:rsid w:val="56A812A9"/>
    <w:rsid w:val="57B21216"/>
    <w:rsid w:val="58136BF6"/>
    <w:rsid w:val="583A0626"/>
    <w:rsid w:val="58900246"/>
    <w:rsid w:val="5A307F33"/>
    <w:rsid w:val="5A76346C"/>
    <w:rsid w:val="5B8B1199"/>
    <w:rsid w:val="5D3C4B92"/>
    <w:rsid w:val="5DCC5294"/>
    <w:rsid w:val="5E224999"/>
    <w:rsid w:val="5F8B1768"/>
    <w:rsid w:val="5FD546F3"/>
    <w:rsid w:val="60956D42"/>
    <w:rsid w:val="61D75138"/>
    <w:rsid w:val="629D0130"/>
    <w:rsid w:val="644B7717"/>
    <w:rsid w:val="64861B73"/>
    <w:rsid w:val="648844C8"/>
    <w:rsid w:val="670D0E9E"/>
    <w:rsid w:val="67862CCA"/>
    <w:rsid w:val="67E73BFB"/>
    <w:rsid w:val="681C5653"/>
    <w:rsid w:val="688431F8"/>
    <w:rsid w:val="68914293"/>
    <w:rsid w:val="69117181"/>
    <w:rsid w:val="69AF7DE7"/>
    <w:rsid w:val="6BE141D1"/>
    <w:rsid w:val="6E970129"/>
    <w:rsid w:val="6EA60B27"/>
    <w:rsid w:val="6F3F1434"/>
    <w:rsid w:val="70202EDE"/>
    <w:rsid w:val="704E4817"/>
    <w:rsid w:val="70761FC0"/>
    <w:rsid w:val="71030438"/>
    <w:rsid w:val="721428AE"/>
    <w:rsid w:val="72B559A0"/>
    <w:rsid w:val="73487C44"/>
    <w:rsid w:val="746E36DA"/>
    <w:rsid w:val="747348C6"/>
    <w:rsid w:val="748A6AD8"/>
    <w:rsid w:val="75BA64AB"/>
    <w:rsid w:val="75DC4673"/>
    <w:rsid w:val="7630676D"/>
    <w:rsid w:val="77585F7B"/>
    <w:rsid w:val="790740FD"/>
    <w:rsid w:val="79607369"/>
    <w:rsid w:val="79A454A8"/>
    <w:rsid w:val="79F301DD"/>
    <w:rsid w:val="7AC676A0"/>
    <w:rsid w:val="7AD324E9"/>
    <w:rsid w:val="7C2A25DC"/>
    <w:rsid w:val="7D3F59E2"/>
    <w:rsid w:val="7E132BFC"/>
    <w:rsid w:val="7F082923"/>
    <w:rsid w:val="7FDD5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99" w:semiHidden="0"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qFormat/>
    <w:uiPriority w:val="0"/>
    <w:pPr>
      <w:spacing w:line="580" w:lineRule="exact"/>
      <w:ind w:firstLine="640"/>
      <w:outlineLvl w:val="0"/>
    </w:pPr>
    <w:rPr>
      <w:rFonts w:ascii="方正黑体_GBK" w:eastAsia="方正黑体_GBK"/>
    </w:rPr>
  </w:style>
  <w:style w:type="paragraph" w:styleId="5">
    <w:name w:val="heading 2"/>
    <w:basedOn w:val="1"/>
    <w:next w:val="1"/>
    <w:qFormat/>
    <w:uiPriority w:val="0"/>
    <w:pPr>
      <w:keepNext/>
      <w:keepLines/>
      <w:spacing w:before="260" w:after="260" w:line="412" w:lineRule="auto"/>
      <w:outlineLvl w:val="1"/>
    </w:pPr>
    <w:rPr>
      <w:rFonts w:ascii="Arial" w:hAnsi="Arial" w:eastAsia="黑体"/>
      <w:sz w:val="32"/>
      <w:szCs w:val="32"/>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link w:val="99"/>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100"/>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101"/>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102"/>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103"/>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104"/>
    <w:qFormat/>
    <w:uiPriority w:val="9"/>
    <w:pPr>
      <w:keepNext/>
      <w:keepLines/>
      <w:spacing w:before="320" w:after="200"/>
      <w:outlineLvl w:val="8"/>
    </w:pPr>
    <w:rPr>
      <w:rFonts w:ascii="Arial" w:hAnsi="Arial" w:eastAsia="Arial" w:cs="Arial"/>
      <w:i/>
      <w:iCs/>
      <w:szCs w:val="21"/>
    </w:rPr>
  </w:style>
  <w:style w:type="character" w:default="1" w:styleId="54">
    <w:name w:val="Default Paragraph Font"/>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link w:val="240"/>
    <w:qFormat/>
    <w:uiPriority w:val="99"/>
    <w:pPr>
      <w:spacing w:after="40"/>
    </w:pPr>
    <w:rPr>
      <w:sz w:val="18"/>
    </w:rPr>
  </w:style>
  <w:style w:type="paragraph" w:styleId="3">
    <w:name w:val="index 5"/>
    <w:basedOn w:val="1"/>
    <w:next w:val="1"/>
    <w:qFormat/>
    <w:uiPriority w:val="0"/>
    <w:pPr>
      <w:ind w:left="798"/>
      <w:jc w:val="left"/>
    </w:pPr>
    <w:rPr>
      <w:rFonts w:ascii="Calibri" w:hAnsi="Calibri"/>
    </w:rPr>
  </w:style>
  <w:style w:type="paragraph" w:styleId="13">
    <w:name w:val="toc 7"/>
    <w:basedOn w:val="1"/>
    <w:next w:val="1"/>
    <w:qFormat/>
    <w:uiPriority w:val="39"/>
    <w:pPr>
      <w:spacing w:after="57"/>
      <w:ind w:left="1701"/>
    </w:pPr>
  </w:style>
  <w:style w:type="paragraph" w:styleId="14">
    <w:name w:val="caption"/>
    <w:basedOn w:val="1"/>
    <w:next w:val="1"/>
    <w:qFormat/>
    <w:uiPriority w:val="35"/>
    <w:pPr>
      <w:spacing w:line="276" w:lineRule="auto"/>
    </w:pPr>
    <w:rPr>
      <w:b/>
      <w:bCs/>
      <w:color w:val="4F81BD"/>
      <w:sz w:val="18"/>
      <w:szCs w:val="18"/>
    </w:rPr>
  </w:style>
  <w:style w:type="paragraph" w:styleId="15">
    <w:name w:val="Document Map"/>
    <w:basedOn w:val="1"/>
    <w:link w:val="243"/>
    <w:qFormat/>
    <w:uiPriority w:val="0"/>
    <w:rPr>
      <w:rFonts w:ascii="宋体"/>
      <w:sz w:val="18"/>
      <w:szCs w:val="18"/>
    </w:rPr>
  </w:style>
  <w:style w:type="paragraph" w:styleId="16">
    <w:name w:val="annotation text"/>
    <w:basedOn w:val="1"/>
    <w:link w:val="244"/>
    <w:qFormat/>
    <w:uiPriority w:val="0"/>
    <w:pPr>
      <w:jc w:val="left"/>
    </w:pPr>
  </w:style>
  <w:style w:type="paragraph" w:styleId="17">
    <w:name w:val="Body Text"/>
    <w:basedOn w:val="1"/>
    <w:next w:val="18"/>
    <w:qFormat/>
    <w:uiPriority w:val="0"/>
    <w:pPr>
      <w:spacing w:after="120"/>
    </w:pPr>
  </w:style>
  <w:style w:type="paragraph" w:customStyle="1" w:styleId="18">
    <w:name w:val="一级条标题"/>
    <w:basedOn w:val="19"/>
    <w:next w:val="28"/>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19">
    <w:name w:val="章标题"/>
    <w:basedOn w:val="20"/>
    <w:next w:val="22"/>
    <w:qFormat/>
    <w:uiPriority w:val="0"/>
    <w:pPr>
      <w:tabs>
        <w:tab w:val="left" w:pos="810"/>
        <w:tab w:val="left" w:pos="1265"/>
      </w:tabs>
      <w:spacing w:before="50" w:after="50"/>
      <w:ind w:left="810" w:hanging="810"/>
      <w:outlineLvl w:val="1"/>
    </w:pPr>
    <w:rPr>
      <w:rFonts w:ascii="黑体" w:hAnsi="Calibri" w:eastAsia="黑体"/>
      <w:szCs w:val="22"/>
    </w:rPr>
  </w:style>
  <w:style w:type="paragraph" w:customStyle="1" w:styleId="20">
    <w:name w:val="正文112"/>
    <w:next w:val="2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1">
    <w:name w:val="标题 41"/>
    <w:basedOn w:val="22"/>
    <w:next w:val="20"/>
    <w:qFormat/>
    <w:uiPriority w:val="0"/>
    <w:pPr>
      <w:keepNext/>
      <w:keepLines/>
      <w:spacing w:before="280" w:after="290" w:line="376" w:lineRule="auto"/>
      <w:outlineLvl w:val="3"/>
    </w:pPr>
    <w:rPr>
      <w:rFonts w:ascii="Cambria" w:hAnsi="Cambria"/>
      <w:b/>
      <w:bCs/>
      <w:sz w:val="28"/>
      <w:szCs w:val="28"/>
    </w:rPr>
  </w:style>
  <w:style w:type="paragraph" w:customStyle="1" w:styleId="22">
    <w:name w:val="正文1"/>
    <w:basedOn w:val="23"/>
    <w:next w:val="25"/>
    <w:qFormat/>
    <w:uiPriority w:val="0"/>
    <w:pPr>
      <w:widowControl w:val="0"/>
    </w:pPr>
    <w:rPr>
      <w:sz w:val="21"/>
      <w:szCs w:val="21"/>
    </w:rPr>
  </w:style>
  <w:style w:type="paragraph" w:customStyle="1" w:styleId="23">
    <w:name w:val="正文11"/>
    <w:next w:val="24"/>
    <w:qFormat/>
    <w:uiPriority w:val="0"/>
    <w:pPr>
      <w:jc w:val="both"/>
    </w:pPr>
    <w:rPr>
      <w:rFonts w:ascii="Times New Roman" w:hAnsi="Times New Roman" w:eastAsia="宋体" w:cs="Times New Roman"/>
      <w:lang w:val="en-US" w:eastAsia="zh-CN" w:bidi="ar-SA"/>
    </w:rPr>
  </w:style>
  <w:style w:type="paragraph" w:customStyle="1" w:styleId="24">
    <w:name w:val="标题 21"/>
    <w:basedOn w:val="22"/>
    <w:next w:val="23"/>
    <w:qFormat/>
    <w:uiPriority w:val="0"/>
    <w:pPr>
      <w:keepNext/>
      <w:keepLines/>
      <w:numPr>
        <w:ilvl w:val="0"/>
        <w:numId w:val="1"/>
      </w:numPr>
      <w:spacing w:before="260" w:after="260" w:line="416" w:lineRule="auto"/>
      <w:outlineLvl w:val="1"/>
    </w:pPr>
    <w:rPr>
      <w:rFonts w:ascii="Cambria" w:hAnsi="Cambria"/>
      <w:b/>
      <w:bCs/>
      <w:sz w:val="28"/>
      <w:szCs w:val="32"/>
    </w:rPr>
  </w:style>
  <w:style w:type="paragraph" w:customStyle="1" w:styleId="25">
    <w:name w:val="脚注文本1"/>
    <w:basedOn w:val="26"/>
    <w:next w:val="27"/>
    <w:qFormat/>
    <w:uiPriority w:val="0"/>
    <w:rPr>
      <w:sz w:val="18"/>
      <w:szCs w:val="18"/>
    </w:rPr>
  </w:style>
  <w:style w:type="paragraph" w:customStyle="1" w:styleId="26">
    <w:name w:val="正文12"/>
    <w:next w:val="1"/>
    <w:qFormat/>
    <w:uiPriority w:val="0"/>
    <w:rPr>
      <w:rFonts w:ascii="Times New Roman" w:hAnsi="Times New Roman" w:eastAsia="宋体" w:cs="Times New Roman"/>
      <w:lang w:val="en-US" w:eastAsia="zh-CN" w:bidi="ar-SA"/>
    </w:rPr>
  </w:style>
  <w:style w:type="paragraph" w:customStyle="1" w:styleId="27">
    <w:name w:val="索引 51"/>
    <w:basedOn w:val="26"/>
    <w:next w:val="22"/>
    <w:qFormat/>
    <w:uiPriority w:val="0"/>
    <w:pPr>
      <w:ind w:left="798"/>
    </w:pPr>
  </w:style>
  <w:style w:type="paragraph" w:customStyle="1" w:styleId="28">
    <w:name w:val="段"/>
    <w:basedOn w:val="22"/>
    <w:next w:val="1"/>
    <w:qFormat/>
    <w:uiPriority w:val="0"/>
    <w:pPr>
      <w:widowControl/>
      <w:ind w:firstLine="200"/>
    </w:pPr>
    <w:rPr>
      <w:rFonts w:hint="eastAsia" w:ascii="宋体"/>
      <w:sz w:val="20"/>
      <w:szCs w:val="20"/>
    </w:rPr>
  </w:style>
  <w:style w:type="paragraph" w:styleId="29">
    <w:name w:val="Body Text Indent"/>
    <w:basedOn w:val="1"/>
    <w:next w:val="30"/>
    <w:qFormat/>
    <w:uiPriority w:val="0"/>
    <w:pPr>
      <w:spacing w:after="120"/>
      <w:ind w:left="420"/>
    </w:pPr>
  </w:style>
  <w:style w:type="paragraph" w:styleId="30">
    <w:name w:val="envelope return"/>
    <w:basedOn w:val="1"/>
    <w:qFormat/>
    <w:uiPriority w:val="99"/>
    <w:rPr>
      <w:rFonts w:ascii="Arial" w:hAnsi="Arial"/>
    </w:rPr>
  </w:style>
  <w:style w:type="paragraph" w:styleId="31">
    <w:name w:val="Block Text"/>
    <w:basedOn w:val="1"/>
    <w:qFormat/>
    <w:uiPriority w:val="0"/>
    <w:pPr>
      <w:spacing w:line="360" w:lineRule="auto"/>
      <w:ind w:left="630" w:right="-609" w:firstLine="420"/>
    </w:pPr>
    <w:rPr>
      <w:rFonts w:hint="eastAsia" w:ascii="仿宋_GB2312" w:eastAsia="仿宋_GB2312"/>
      <w:sz w:val="24"/>
    </w:rPr>
  </w:style>
  <w:style w:type="paragraph" w:styleId="32">
    <w:name w:val="toc 5"/>
    <w:basedOn w:val="1"/>
    <w:next w:val="1"/>
    <w:qFormat/>
    <w:uiPriority w:val="39"/>
    <w:pPr>
      <w:spacing w:after="57"/>
      <w:ind w:left="1134"/>
    </w:pPr>
  </w:style>
  <w:style w:type="paragraph" w:styleId="33">
    <w:name w:val="toc 3"/>
    <w:basedOn w:val="1"/>
    <w:next w:val="1"/>
    <w:qFormat/>
    <w:uiPriority w:val="39"/>
    <w:pPr>
      <w:spacing w:after="57"/>
      <w:ind w:left="567"/>
    </w:pPr>
  </w:style>
  <w:style w:type="paragraph" w:styleId="34">
    <w:name w:val="Plain Text"/>
    <w:basedOn w:val="1"/>
    <w:link w:val="245"/>
    <w:qFormat/>
    <w:uiPriority w:val="0"/>
    <w:rPr>
      <w:rFonts w:ascii="宋体" w:hAnsi="Courier New"/>
      <w:szCs w:val="21"/>
    </w:rPr>
  </w:style>
  <w:style w:type="paragraph" w:styleId="35">
    <w:name w:val="toc 8"/>
    <w:basedOn w:val="1"/>
    <w:next w:val="1"/>
    <w:qFormat/>
    <w:uiPriority w:val="39"/>
    <w:pPr>
      <w:spacing w:after="57"/>
      <w:ind w:left="1984"/>
    </w:pPr>
  </w:style>
  <w:style w:type="paragraph" w:styleId="36">
    <w:name w:val="endnote text"/>
    <w:basedOn w:val="1"/>
    <w:link w:val="241"/>
    <w:qFormat/>
    <w:uiPriority w:val="99"/>
    <w:rPr>
      <w:sz w:val="20"/>
    </w:rPr>
  </w:style>
  <w:style w:type="paragraph" w:styleId="37">
    <w:name w:val="Balloon Text"/>
    <w:basedOn w:val="1"/>
    <w:link w:val="246"/>
    <w:qFormat/>
    <w:uiPriority w:val="0"/>
    <w:rPr>
      <w:sz w:val="18"/>
      <w:szCs w:val="18"/>
    </w:rPr>
  </w:style>
  <w:style w:type="paragraph" w:styleId="38">
    <w:name w:val="footer"/>
    <w:basedOn w:val="1"/>
    <w:qFormat/>
    <w:uiPriority w:val="0"/>
    <w:pPr>
      <w:tabs>
        <w:tab w:val="center" w:pos="4153"/>
        <w:tab w:val="right" w:pos="8306"/>
      </w:tabs>
      <w:jc w:val="left"/>
    </w:pPr>
    <w:rPr>
      <w:sz w:val="18"/>
      <w:szCs w:val="18"/>
    </w:rPr>
  </w:style>
  <w:style w:type="paragraph" w:styleId="39">
    <w:name w:val="header"/>
    <w:basedOn w:val="1"/>
    <w:qFormat/>
    <w:uiPriority w:val="0"/>
    <w:pPr>
      <w:pBdr>
        <w:bottom w:val="single" w:color="auto" w:sz="6" w:space="1"/>
      </w:pBdr>
      <w:tabs>
        <w:tab w:val="center" w:pos="4153"/>
        <w:tab w:val="right" w:pos="8306"/>
      </w:tabs>
      <w:jc w:val="center"/>
    </w:pPr>
    <w:rPr>
      <w:sz w:val="18"/>
      <w:szCs w:val="18"/>
    </w:rPr>
  </w:style>
  <w:style w:type="paragraph" w:styleId="40">
    <w:name w:val="toc 1"/>
    <w:basedOn w:val="1"/>
    <w:next w:val="1"/>
    <w:qFormat/>
    <w:uiPriority w:val="39"/>
    <w:pPr>
      <w:spacing w:after="57"/>
    </w:pPr>
  </w:style>
  <w:style w:type="paragraph" w:styleId="41">
    <w:name w:val="toc 4"/>
    <w:basedOn w:val="1"/>
    <w:next w:val="1"/>
    <w:qFormat/>
    <w:uiPriority w:val="39"/>
    <w:pPr>
      <w:spacing w:after="57"/>
      <w:ind w:left="850"/>
    </w:pPr>
  </w:style>
  <w:style w:type="paragraph" w:styleId="42">
    <w:name w:val="Subtitle"/>
    <w:basedOn w:val="1"/>
    <w:next w:val="1"/>
    <w:link w:val="107"/>
    <w:qFormat/>
    <w:uiPriority w:val="11"/>
    <w:pPr>
      <w:spacing w:before="200" w:after="200"/>
    </w:pPr>
    <w:rPr>
      <w:sz w:val="24"/>
    </w:rPr>
  </w:style>
  <w:style w:type="paragraph" w:styleId="43">
    <w:name w:val="toc 6"/>
    <w:basedOn w:val="1"/>
    <w:next w:val="1"/>
    <w:qFormat/>
    <w:uiPriority w:val="39"/>
    <w:pPr>
      <w:spacing w:after="57"/>
      <w:ind w:left="1417"/>
    </w:pPr>
  </w:style>
  <w:style w:type="paragraph" w:styleId="44">
    <w:name w:val="table of figures"/>
    <w:basedOn w:val="1"/>
    <w:next w:val="1"/>
    <w:qFormat/>
    <w:uiPriority w:val="99"/>
  </w:style>
  <w:style w:type="paragraph" w:styleId="45">
    <w:name w:val="toc 2"/>
    <w:basedOn w:val="1"/>
    <w:next w:val="1"/>
    <w:qFormat/>
    <w:uiPriority w:val="39"/>
    <w:pPr>
      <w:spacing w:after="57"/>
      <w:ind w:left="283"/>
    </w:pPr>
  </w:style>
  <w:style w:type="paragraph" w:styleId="46">
    <w:name w:val="toc 9"/>
    <w:basedOn w:val="1"/>
    <w:next w:val="1"/>
    <w:qFormat/>
    <w:uiPriority w:val="39"/>
    <w:pPr>
      <w:spacing w:after="57"/>
      <w:ind w:left="2268"/>
    </w:pPr>
  </w:style>
  <w:style w:type="paragraph" w:styleId="47">
    <w:name w:val="Normal (Web)"/>
    <w:basedOn w:val="1"/>
    <w:qFormat/>
    <w:uiPriority w:val="0"/>
    <w:pPr>
      <w:widowControl/>
      <w:spacing w:before="100" w:beforeAutospacing="1" w:after="100" w:afterAutospacing="1"/>
      <w:jc w:val="left"/>
    </w:pPr>
    <w:rPr>
      <w:rFonts w:ascii="宋体" w:hAnsi="宋体" w:cs="宋体"/>
      <w:sz w:val="24"/>
    </w:rPr>
  </w:style>
  <w:style w:type="paragraph" w:styleId="48">
    <w:name w:val="Title"/>
    <w:basedOn w:val="1"/>
    <w:next w:val="1"/>
    <w:link w:val="106"/>
    <w:qFormat/>
    <w:uiPriority w:val="10"/>
    <w:pPr>
      <w:spacing w:before="300" w:after="200"/>
      <w:contextualSpacing/>
    </w:pPr>
    <w:rPr>
      <w:sz w:val="48"/>
      <w:szCs w:val="48"/>
    </w:rPr>
  </w:style>
  <w:style w:type="paragraph" w:styleId="49">
    <w:name w:val="annotation subject"/>
    <w:basedOn w:val="16"/>
    <w:next w:val="16"/>
    <w:link w:val="247"/>
    <w:qFormat/>
    <w:uiPriority w:val="0"/>
    <w:rPr>
      <w:b/>
      <w:bCs/>
    </w:rPr>
  </w:style>
  <w:style w:type="paragraph" w:styleId="50">
    <w:name w:val="Body Text First Indent"/>
    <w:basedOn w:val="17"/>
    <w:next w:val="43"/>
    <w:qFormat/>
    <w:uiPriority w:val="0"/>
    <w:pPr>
      <w:ind w:firstLine="420"/>
    </w:pPr>
  </w:style>
  <w:style w:type="paragraph" w:styleId="51">
    <w:name w:val="Body Text First Indent 2"/>
    <w:basedOn w:val="29"/>
    <w:next w:val="1"/>
    <w:qFormat/>
    <w:uiPriority w:val="0"/>
    <w:pPr>
      <w:ind w:firstLine="420"/>
    </w:pPr>
  </w:style>
  <w:style w:type="table" w:styleId="53">
    <w:name w:val="Table Grid"/>
    <w:basedOn w:val="5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basedOn w:val="54"/>
    <w:qFormat/>
    <w:uiPriority w:val="99"/>
    <w:rPr>
      <w:vertAlign w:val="superscript"/>
    </w:rPr>
  </w:style>
  <w:style w:type="character" w:styleId="57">
    <w:name w:val="page number"/>
    <w:qFormat/>
    <w:uiPriority w:val="0"/>
    <w:rPr>
      <w:rFonts w:ascii="Times New Roman" w:hAnsi="Times New Roman" w:eastAsia="宋体" w:cs="Times New Roman"/>
    </w:rPr>
  </w:style>
  <w:style w:type="character" w:styleId="58">
    <w:name w:val="FollowedHyperlink"/>
    <w:basedOn w:val="54"/>
    <w:qFormat/>
    <w:uiPriority w:val="0"/>
    <w:rPr>
      <w:color w:val="333333"/>
      <w:u w:val="none"/>
    </w:rPr>
  </w:style>
  <w:style w:type="character" w:styleId="59">
    <w:name w:val="Hyperlink"/>
    <w:basedOn w:val="54"/>
    <w:qFormat/>
    <w:uiPriority w:val="0"/>
    <w:rPr>
      <w:color w:val="333333"/>
      <w:u w:val="none"/>
    </w:rPr>
  </w:style>
  <w:style w:type="character" w:styleId="60">
    <w:name w:val="annotation reference"/>
    <w:qFormat/>
    <w:uiPriority w:val="0"/>
    <w:rPr>
      <w:rFonts w:ascii="Times New Roman" w:hAnsi="Times New Roman" w:eastAsia="宋体" w:cs="Times New Roman"/>
      <w:sz w:val="21"/>
      <w:szCs w:val="21"/>
    </w:rPr>
  </w:style>
  <w:style w:type="character" w:styleId="61">
    <w:name w:val="footnote reference"/>
    <w:basedOn w:val="54"/>
    <w:qFormat/>
    <w:uiPriority w:val="99"/>
    <w:rPr>
      <w:vertAlign w:val="superscript"/>
    </w:rPr>
  </w:style>
  <w:style w:type="paragraph" w:customStyle="1" w:styleId="62">
    <w:name w:val="文本块11"/>
    <w:basedOn w:val="26"/>
    <w:unhideWhenUsed/>
    <w:qFormat/>
    <w:uiPriority w:val="6"/>
    <w:pPr>
      <w:spacing w:after="120"/>
      <w:ind w:left="1440" w:right="1440"/>
    </w:pPr>
  </w:style>
  <w:style w:type="paragraph" w:customStyle="1" w:styleId="63">
    <w:name w:val="正文111"/>
    <w:next w:val="64"/>
    <w:link w:val="26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4">
    <w:name w:val="正文文本1"/>
    <w:basedOn w:val="65"/>
    <w:next w:val="18"/>
    <w:qFormat/>
    <w:uiPriority w:val="0"/>
    <w:pPr>
      <w:spacing w:after="120"/>
    </w:pPr>
    <w:rPr>
      <w:lang w:eastAsia="en-US"/>
    </w:rPr>
  </w:style>
  <w:style w:type="paragraph" w:customStyle="1" w:styleId="65">
    <w:name w:val="正文13"/>
    <w:next w:val="6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6">
    <w:name w:val="正文首行缩进1"/>
    <w:basedOn w:val="67"/>
    <w:next w:val="68"/>
    <w:qFormat/>
    <w:uiPriority w:val="0"/>
    <w:pPr>
      <w:ind w:firstLine="420"/>
    </w:pPr>
    <w:rPr>
      <w:rFonts w:ascii="仿宋_GB2312" w:eastAsia="仿宋_GB2312"/>
      <w:sz w:val="30"/>
      <w:szCs w:val="30"/>
    </w:rPr>
  </w:style>
  <w:style w:type="paragraph" w:customStyle="1" w:styleId="67">
    <w:name w:val="正文文本11"/>
    <w:basedOn w:val="1"/>
    <w:next w:val="1"/>
    <w:qFormat/>
    <w:uiPriority w:val="0"/>
    <w:pPr>
      <w:spacing w:after="120"/>
    </w:pPr>
  </w:style>
  <w:style w:type="paragraph" w:customStyle="1" w:styleId="68">
    <w:name w:val="正文首行缩进 211"/>
    <w:basedOn w:val="69"/>
    <w:next w:val="20"/>
    <w:qFormat/>
    <w:uiPriority w:val="0"/>
    <w:pPr>
      <w:ind w:firstLine="420"/>
    </w:pPr>
    <w:rPr>
      <w:sz w:val="24"/>
    </w:rPr>
  </w:style>
  <w:style w:type="paragraph" w:customStyle="1" w:styleId="69">
    <w:name w:val="正文文本缩进11"/>
    <w:basedOn w:val="20"/>
    <w:next w:val="70"/>
    <w:qFormat/>
    <w:uiPriority w:val="0"/>
    <w:pPr>
      <w:ind w:firstLine="538"/>
    </w:pPr>
    <w:rPr>
      <w:sz w:val="28"/>
    </w:rPr>
  </w:style>
  <w:style w:type="paragraph" w:customStyle="1" w:styleId="70">
    <w:name w:val="样式 正文文本缩进 + 首行缩进:  2 字符 行距: 1.5 倍行距"/>
    <w:basedOn w:val="69"/>
    <w:qFormat/>
    <w:uiPriority w:val="0"/>
    <w:pPr>
      <w:spacing w:before="156" w:after="120"/>
      <w:ind w:firstLine="645"/>
    </w:pPr>
    <w:rPr>
      <w:rFonts w:ascii="Calibri" w:hAnsi="Calibri"/>
    </w:rPr>
  </w:style>
  <w:style w:type="paragraph" w:customStyle="1" w:styleId="71">
    <w:name w:val="目录 11"/>
    <w:basedOn w:val="23"/>
    <w:next w:val="1"/>
    <w:qFormat/>
    <w:uiPriority w:val="0"/>
  </w:style>
  <w:style w:type="paragraph" w:customStyle="1" w:styleId="72">
    <w:name w:val="脚注文本11"/>
    <w:basedOn w:val="26"/>
    <w:next w:val="73"/>
    <w:qFormat/>
    <w:uiPriority w:val="0"/>
    <w:pPr>
      <w:spacing w:after="40"/>
    </w:pPr>
    <w:rPr>
      <w:sz w:val="18"/>
    </w:rPr>
  </w:style>
  <w:style w:type="paragraph" w:customStyle="1" w:styleId="73">
    <w:name w:val="索引 511"/>
    <w:basedOn w:val="26"/>
    <w:next w:val="23"/>
    <w:qFormat/>
    <w:uiPriority w:val="0"/>
    <w:pPr>
      <w:ind w:left="798"/>
    </w:pPr>
    <w:rPr>
      <w:rFonts w:ascii="Calibri" w:hAnsi="Calibri"/>
    </w:rPr>
  </w:style>
  <w:style w:type="paragraph" w:customStyle="1" w:styleId="74">
    <w:name w:val="正文缩进1"/>
    <w:basedOn w:val="1"/>
    <w:qFormat/>
    <w:uiPriority w:val="0"/>
    <w:pPr>
      <w:ind w:firstLine="420"/>
    </w:pPr>
  </w:style>
  <w:style w:type="paragraph" w:customStyle="1" w:styleId="75">
    <w:name w:val="无间隔1"/>
    <w:qFormat/>
    <w:uiPriority w:val="0"/>
    <w:rPr>
      <w:rFonts w:ascii="Calibri" w:hAnsi="Calibri" w:eastAsia="宋体" w:cs="Times New Roman"/>
      <w:sz w:val="22"/>
      <w:lang w:val="en-US" w:eastAsia="zh-CN" w:bidi="ar-SA"/>
    </w:rPr>
  </w:style>
  <w:style w:type="character" w:customStyle="1" w:styleId="76">
    <w:name w:val="Heading 1 Char"/>
    <w:basedOn w:val="54"/>
    <w:qFormat/>
    <w:uiPriority w:val="9"/>
    <w:rPr>
      <w:rFonts w:ascii="Arial" w:hAnsi="Arial" w:eastAsia="Arial" w:cs="Arial"/>
      <w:sz w:val="40"/>
      <w:szCs w:val="40"/>
    </w:rPr>
  </w:style>
  <w:style w:type="character" w:customStyle="1" w:styleId="77">
    <w:name w:val="Heading 2 Char"/>
    <w:basedOn w:val="54"/>
    <w:qFormat/>
    <w:uiPriority w:val="9"/>
    <w:rPr>
      <w:rFonts w:ascii="Arial" w:hAnsi="Arial" w:eastAsia="Arial" w:cs="Arial"/>
      <w:sz w:val="34"/>
    </w:rPr>
  </w:style>
  <w:style w:type="character" w:customStyle="1" w:styleId="78">
    <w:name w:val="Heading 3 Char"/>
    <w:basedOn w:val="54"/>
    <w:qFormat/>
    <w:uiPriority w:val="9"/>
    <w:rPr>
      <w:rFonts w:ascii="Arial" w:hAnsi="Arial" w:eastAsia="Arial" w:cs="Arial"/>
      <w:sz w:val="30"/>
      <w:szCs w:val="30"/>
    </w:rPr>
  </w:style>
  <w:style w:type="character" w:customStyle="1" w:styleId="79">
    <w:name w:val="Heading 4 Char"/>
    <w:basedOn w:val="54"/>
    <w:qFormat/>
    <w:uiPriority w:val="9"/>
    <w:rPr>
      <w:rFonts w:ascii="Arial" w:hAnsi="Arial" w:eastAsia="Arial" w:cs="Arial"/>
      <w:b/>
      <w:bCs/>
      <w:sz w:val="26"/>
      <w:szCs w:val="26"/>
    </w:rPr>
  </w:style>
  <w:style w:type="character" w:customStyle="1" w:styleId="80">
    <w:name w:val="Heading 5 Char"/>
    <w:basedOn w:val="54"/>
    <w:qFormat/>
    <w:uiPriority w:val="9"/>
    <w:rPr>
      <w:rFonts w:ascii="Arial" w:hAnsi="Arial" w:eastAsia="Arial" w:cs="Arial"/>
      <w:b/>
      <w:bCs/>
      <w:sz w:val="24"/>
      <w:szCs w:val="24"/>
    </w:rPr>
  </w:style>
  <w:style w:type="character" w:customStyle="1" w:styleId="81">
    <w:name w:val="Heading 6 Char"/>
    <w:basedOn w:val="54"/>
    <w:qFormat/>
    <w:uiPriority w:val="9"/>
    <w:rPr>
      <w:rFonts w:ascii="Arial" w:hAnsi="Arial" w:eastAsia="Arial" w:cs="Arial"/>
      <w:b/>
      <w:bCs/>
      <w:sz w:val="22"/>
      <w:szCs w:val="22"/>
    </w:rPr>
  </w:style>
  <w:style w:type="character" w:customStyle="1" w:styleId="82">
    <w:name w:val="Heading 7 Char"/>
    <w:basedOn w:val="54"/>
    <w:qFormat/>
    <w:uiPriority w:val="9"/>
    <w:rPr>
      <w:rFonts w:ascii="Arial" w:hAnsi="Arial" w:eastAsia="Arial" w:cs="Arial"/>
      <w:b/>
      <w:bCs/>
      <w:i/>
      <w:iCs/>
      <w:sz w:val="22"/>
      <w:szCs w:val="22"/>
    </w:rPr>
  </w:style>
  <w:style w:type="character" w:customStyle="1" w:styleId="83">
    <w:name w:val="Heading 8 Char"/>
    <w:basedOn w:val="54"/>
    <w:qFormat/>
    <w:uiPriority w:val="9"/>
    <w:rPr>
      <w:rFonts w:ascii="Arial" w:hAnsi="Arial" w:eastAsia="Arial" w:cs="Arial"/>
      <w:i/>
      <w:iCs/>
      <w:sz w:val="22"/>
      <w:szCs w:val="22"/>
    </w:rPr>
  </w:style>
  <w:style w:type="character" w:customStyle="1" w:styleId="84">
    <w:name w:val="Heading 9 Char"/>
    <w:basedOn w:val="54"/>
    <w:qFormat/>
    <w:uiPriority w:val="9"/>
    <w:rPr>
      <w:rFonts w:ascii="Arial" w:hAnsi="Arial" w:eastAsia="Arial" w:cs="Arial"/>
      <w:i/>
      <w:iCs/>
      <w:sz w:val="21"/>
      <w:szCs w:val="21"/>
    </w:rPr>
  </w:style>
  <w:style w:type="character" w:customStyle="1" w:styleId="85">
    <w:name w:val="Title Char"/>
    <w:basedOn w:val="54"/>
    <w:qFormat/>
    <w:uiPriority w:val="10"/>
    <w:rPr>
      <w:sz w:val="48"/>
      <w:szCs w:val="48"/>
    </w:rPr>
  </w:style>
  <w:style w:type="character" w:customStyle="1" w:styleId="86">
    <w:name w:val="Quote Char"/>
    <w:qFormat/>
    <w:uiPriority w:val="29"/>
    <w:rPr>
      <w:i/>
    </w:rPr>
  </w:style>
  <w:style w:type="character" w:customStyle="1" w:styleId="87">
    <w:name w:val="Intense Quote Char"/>
    <w:qFormat/>
    <w:uiPriority w:val="30"/>
    <w:rPr>
      <w:i/>
    </w:rPr>
  </w:style>
  <w:style w:type="character" w:customStyle="1" w:styleId="88">
    <w:name w:val="Header Char"/>
    <w:basedOn w:val="54"/>
    <w:qFormat/>
    <w:uiPriority w:val="99"/>
  </w:style>
  <w:style w:type="character" w:customStyle="1" w:styleId="89">
    <w:name w:val="Footer Char"/>
    <w:basedOn w:val="54"/>
    <w:qFormat/>
    <w:uiPriority w:val="99"/>
  </w:style>
  <w:style w:type="paragraph" w:customStyle="1" w:styleId="90">
    <w:name w:val="TOC 标题1"/>
    <w:unhideWhenUsed/>
    <w:qFormat/>
    <w:uiPriority w:val="39"/>
    <w:rPr>
      <w:rFonts w:ascii="Times New Roman" w:hAnsi="Times New Roman" w:eastAsia="宋体" w:cs="Times New Roman"/>
      <w:lang w:val="en-US" w:eastAsia="zh-CN" w:bidi="ar-SA"/>
    </w:rPr>
  </w:style>
  <w:style w:type="paragraph" w:customStyle="1" w:styleId="91">
    <w:name w:val="文本块1"/>
    <w:basedOn w:val="63"/>
    <w:next w:val="21"/>
    <w:qFormat/>
    <w:uiPriority w:val="0"/>
    <w:pPr>
      <w:ind w:left="256" w:right="6" w:firstLine="624"/>
    </w:pPr>
    <w:rPr>
      <w:rFonts w:eastAsia="仿宋_GB2312"/>
      <w:sz w:val="28"/>
      <w:szCs w:val="20"/>
    </w:rPr>
  </w:style>
  <w:style w:type="paragraph" w:customStyle="1" w:styleId="92">
    <w:name w:val="正文首行缩进 21"/>
    <w:basedOn w:val="93"/>
    <w:qFormat/>
    <w:uiPriority w:val="0"/>
    <w:pPr>
      <w:ind w:firstLine="420"/>
    </w:pPr>
    <w:rPr>
      <w:rFonts w:ascii="Times New Roman" w:hAnsi="Times New Roman"/>
    </w:rPr>
  </w:style>
  <w:style w:type="paragraph" w:customStyle="1" w:styleId="93">
    <w:name w:val="正文文本缩进1"/>
    <w:basedOn w:val="22"/>
    <w:next w:val="94"/>
    <w:qFormat/>
    <w:uiPriority w:val="0"/>
    <w:pPr>
      <w:spacing w:after="120"/>
      <w:ind w:left="420"/>
    </w:pPr>
    <w:rPr>
      <w:rFonts w:ascii="Calibri" w:hAnsi="Calibri"/>
    </w:rPr>
  </w:style>
  <w:style w:type="paragraph" w:customStyle="1" w:styleId="94">
    <w:name w:val="寄信人地址1"/>
    <w:basedOn w:val="23"/>
    <w:qFormat/>
    <w:uiPriority w:val="0"/>
    <w:rPr>
      <w:rFonts w:ascii="Arial" w:hAnsi="Arial"/>
    </w:rPr>
  </w:style>
  <w:style w:type="paragraph" w:customStyle="1" w:styleId="95">
    <w:name w:val="正文49"/>
    <w:qFormat/>
    <w:uiPriority w:val="0"/>
    <w:pPr>
      <w:widowControl w:val="0"/>
      <w:jc w:val="both"/>
    </w:pPr>
    <w:rPr>
      <w:rFonts w:ascii="Calibri" w:hAnsi="Calibri" w:eastAsia="宋体" w:cs="Times New Roman"/>
      <w:sz w:val="21"/>
      <w:szCs w:val="22"/>
      <w:lang w:val="en-US" w:eastAsia="zh-CN" w:bidi="ar-SA"/>
    </w:rPr>
  </w:style>
  <w:style w:type="character" w:customStyle="1" w:styleId="96">
    <w:name w:val="Heading 1 Char_2cc960bb-4246-45ed-a94c-0e32d2f2514e"/>
    <w:basedOn w:val="54"/>
    <w:qFormat/>
    <w:uiPriority w:val="9"/>
    <w:rPr>
      <w:rFonts w:ascii="Arial" w:hAnsi="Arial" w:eastAsia="Arial" w:cs="Arial"/>
      <w:sz w:val="40"/>
      <w:szCs w:val="40"/>
    </w:rPr>
  </w:style>
  <w:style w:type="character" w:customStyle="1" w:styleId="97">
    <w:name w:val="Heading 2 Char_38fef2e9-3c31-49f2-9ca0-295fa4faa18c"/>
    <w:basedOn w:val="54"/>
    <w:qFormat/>
    <w:uiPriority w:val="9"/>
    <w:rPr>
      <w:rFonts w:ascii="Arial" w:hAnsi="Arial" w:eastAsia="Arial" w:cs="Arial"/>
      <w:sz w:val="34"/>
    </w:rPr>
  </w:style>
  <w:style w:type="character" w:customStyle="1" w:styleId="98">
    <w:name w:val="Heading 3 Char_becd3328-995b-4bf8-92ee-1ce6a7f6c293"/>
    <w:basedOn w:val="54"/>
    <w:qFormat/>
    <w:uiPriority w:val="9"/>
    <w:rPr>
      <w:rFonts w:ascii="Arial" w:hAnsi="Arial" w:eastAsia="Arial" w:cs="Arial"/>
      <w:sz w:val="30"/>
      <w:szCs w:val="30"/>
    </w:rPr>
  </w:style>
  <w:style w:type="character" w:customStyle="1" w:styleId="99">
    <w:name w:val="标题 4 字符"/>
    <w:basedOn w:val="54"/>
    <w:link w:val="7"/>
    <w:qFormat/>
    <w:uiPriority w:val="9"/>
    <w:rPr>
      <w:rFonts w:ascii="Arial" w:hAnsi="Arial" w:eastAsia="Arial" w:cs="Arial"/>
      <w:b/>
      <w:bCs/>
      <w:sz w:val="26"/>
      <w:szCs w:val="26"/>
    </w:rPr>
  </w:style>
  <w:style w:type="character" w:customStyle="1" w:styleId="100">
    <w:name w:val="标题 5 字符"/>
    <w:basedOn w:val="54"/>
    <w:link w:val="8"/>
    <w:qFormat/>
    <w:uiPriority w:val="9"/>
    <w:rPr>
      <w:rFonts w:ascii="Arial" w:hAnsi="Arial" w:eastAsia="Arial" w:cs="Arial"/>
      <w:b/>
      <w:bCs/>
      <w:sz w:val="24"/>
      <w:szCs w:val="24"/>
    </w:rPr>
  </w:style>
  <w:style w:type="character" w:customStyle="1" w:styleId="101">
    <w:name w:val="标题 6 字符"/>
    <w:basedOn w:val="54"/>
    <w:link w:val="9"/>
    <w:qFormat/>
    <w:uiPriority w:val="9"/>
    <w:rPr>
      <w:rFonts w:ascii="Arial" w:hAnsi="Arial" w:eastAsia="Arial" w:cs="Arial"/>
      <w:b/>
      <w:bCs/>
      <w:sz w:val="22"/>
      <w:szCs w:val="22"/>
    </w:rPr>
  </w:style>
  <w:style w:type="character" w:customStyle="1" w:styleId="102">
    <w:name w:val="标题 7 字符"/>
    <w:basedOn w:val="54"/>
    <w:link w:val="10"/>
    <w:qFormat/>
    <w:uiPriority w:val="9"/>
    <w:rPr>
      <w:rFonts w:ascii="Arial" w:hAnsi="Arial" w:eastAsia="Arial" w:cs="Arial"/>
      <w:b/>
      <w:bCs/>
      <w:i/>
      <w:iCs/>
      <w:sz w:val="22"/>
      <w:szCs w:val="22"/>
    </w:rPr>
  </w:style>
  <w:style w:type="character" w:customStyle="1" w:styleId="103">
    <w:name w:val="标题 8 字符"/>
    <w:basedOn w:val="54"/>
    <w:link w:val="11"/>
    <w:qFormat/>
    <w:uiPriority w:val="9"/>
    <w:rPr>
      <w:rFonts w:ascii="Arial" w:hAnsi="Arial" w:eastAsia="Arial" w:cs="Arial"/>
      <w:i/>
      <w:iCs/>
      <w:sz w:val="22"/>
      <w:szCs w:val="22"/>
    </w:rPr>
  </w:style>
  <w:style w:type="character" w:customStyle="1" w:styleId="104">
    <w:name w:val="标题 9 字符"/>
    <w:basedOn w:val="54"/>
    <w:link w:val="12"/>
    <w:qFormat/>
    <w:uiPriority w:val="9"/>
    <w:rPr>
      <w:rFonts w:ascii="Arial" w:hAnsi="Arial" w:eastAsia="Arial" w:cs="Arial"/>
      <w:i/>
      <w:iCs/>
      <w:sz w:val="21"/>
      <w:szCs w:val="21"/>
    </w:rPr>
  </w:style>
  <w:style w:type="paragraph" w:styleId="105">
    <w:name w:val="No Spacing"/>
    <w:qFormat/>
    <w:uiPriority w:val="1"/>
    <w:rPr>
      <w:rFonts w:ascii="Times New Roman" w:hAnsi="Times New Roman" w:eastAsia="宋体" w:cs="Times New Roman"/>
      <w:lang w:val="en-US" w:eastAsia="zh-CN" w:bidi="ar-SA"/>
    </w:rPr>
  </w:style>
  <w:style w:type="character" w:customStyle="1" w:styleId="106">
    <w:name w:val="标题 字符"/>
    <w:basedOn w:val="54"/>
    <w:link w:val="48"/>
    <w:qFormat/>
    <w:uiPriority w:val="10"/>
    <w:rPr>
      <w:sz w:val="48"/>
      <w:szCs w:val="48"/>
    </w:rPr>
  </w:style>
  <w:style w:type="character" w:customStyle="1" w:styleId="107">
    <w:name w:val="副标题 字符"/>
    <w:basedOn w:val="54"/>
    <w:link w:val="42"/>
    <w:qFormat/>
    <w:uiPriority w:val="11"/>
    <w:rPr>
      <w:sz w:val="24"/>
      <w:szCs w:val="24"/>
    </w:rPr>
  </w:style>
  <w:style w:type="paragraph" w:styleId="108">
    <w:name w:val="Quote"/>
    <w:basedOn w:val="1"/>
    <w:next w:val="1"/>
    <w:link w:val="109"/>
    <w:qFormat/>
    <w:uiPriority w:val="29"/>
    <w:pPr>
      <w:ind w:left="720" w:right="720"/>
    </w:pPr>
    <w:rPr>
      <w:i/>
    </w:rPr>
  </w:style>
  <w:style w:type="character" w:customStyle="1" w:styleId="109">
    <w:name w:val="引用 字符"/>
    <w:link w:val="108"/>
    <w:qFormat/>
    <w:uiPriority w:val="29"/>
    <w:rPr>
      <w:i/>
    </w:rPr>
  </w:style>
  <w:style w:type="paragraph" w:styleId="110">
    <w:name w:val="Intense Quote"/>
    <w:basedOn w:val="1"/>
    <w:next w:val="1"/>
    <w:link w:val="11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1">
    <w:name w:val="明显引用 字符"/>
    <w:link w:val="110"/>
    <w:qFormat/>
    <w:uiPriority w:val="30"/>
    <w:rPr>
      <w:i/>
    </w:rPr>
  </w:style>
  <w:style w:type="character" w:customStyle="1" w:styleId="112">
    <w:name w:val="Header Char_8bc04af5-c914-47c0-bf46-a4ac030704e7"/>
    <w:basedOn w:val="54"/>
    <w:qFormat/>
    <w:uiPriority w:val="99"/>
  </w:style>
  <w:style w:type="character" w:customStyle="1" w:styleId="113">
    <w:name w:val="Footer Char_ffd19a12-b62f-4d0b-a7fa-b747baca89ba"/>
    <w:basedOn w:val="54"/>
    <w:qFormat/>
    <w:uiPriority w:val="99"/>
  </w:style>
  <w:style w:type="character" w:customStyle="1" w:styleId="114">
    <w:name w:val="Caption Char"/>
    <w:qFormat/>
    <w:uiPriority w:val="99"/>
  </w:style>
  <w:style w:type="table" w:customStyle="1" w:styleId="115">
    <w:name w:val="Table Grid Light"/>
    <w:basedOn w:val="52"/>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6">
    <w:name w:val="无格式表格 11"/>
    <w:basedOn w:val="52"/>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7">
    <w:name w:val="无格式表格 21"/>
    <w:basedOn w:val="52"/>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18">
    <w:name w:val="无格式表格 31"/>
    <w:basedOn w:val="5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9">
    <w:name w:val="无格式表格 41"/>
    <w:basedOn w:val="5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20">
    <w:name w:val="无格式表格 51"/>
    <w:basedOn w:val="5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21">
    <w:name w:val="网格表 1 浅色1"/>
    <w:basedOn w:val="52"/>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22">
    <w:name w:val="Grid Table 1 Light - Accent 1"/>
    <w:basedOn w:val="52"/>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23">
    <w:name w:val="Grid Table 1 Light - Accent 2"/>
    <w:basedOn w:val="5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24">
    <w:name w:val="Grid Table 1 Light - Accent 3"/>
    <w:basedOn w:val="52"/>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25">
    <w:name w:val="Grid Table 1 Light - Accent 4"/>
    <w:basedOn w:val="52"/>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26">
    <w:name w:val="Grid Table 1 Light - Accent 5"/>
    <w:basedOn w:val="52"/>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27">
    <w:name w:val="Grid Table 1 Light - Accent 6"/>
    <w:basedOn w:val="52"/>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28">
    <w:name w:val="网格表 21"/>
    <w:basedOn w:val="52"/>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9">
    <w:name w:val="Grid Table 2 - Accent 1"/>
    <w:basedOn w:val="52"/>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30">
    <w:name w:val="Grid Table 2 - Accent 2"/>
    <w:basedOn w:val="52"/>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1">
    <w:name w:val="Grid Table 2 - Accent 3"/>
    <w:basedOn w:val="52"/>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2">
    <w:name w:val="Grid Table 2 - Accent 4"/>
    <w:basedOn w:val="52"/>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3">
    <w:name w:val="Grid Table 2 - Accent 5"/>
    <w:basedOn w:val="52"/>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4">
    <w:name w:val="Grid Table 2 - Accent 6"/>
    <w:basedOn w:val="52"/>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5">
    <w:name w:val="网格表 31"/>
    <w:basedOn w:val="52"/>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6">
    <w:name w:val="Grid Table 3 - Accent 1"/>
    <w:basedOn w:val="52"/>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37">
    <w:name w:val="Grid Table 3 - Accent 2"/>
    <w:basedOn w:val="52"/>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8">
    <w:name w:val="Grid Table 3 - Accent 3"/>
    <w:basedOn w:val="52"/>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9">
    <w:name w:val="Grid Table 3 - Accent 4"/>
    <w:basedOn w:val="52"/>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40">
    <w:name w:val="Grid Table 3 - Accent 5"/>
    <w:basedOn w:val="52"/>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41">
    <w:name w:val="Grid Table 3 - Accent 6"/>
    <w:basedOn w:val="52"/>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42">
    <w:name w:val="网格表 41"/>
    <w:basedOn w:val="52"/>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43">
    <w:name w:val="Grid Table 4 - Accent 1"/>
    <w:basedOn w:val="52"/>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44">
    <w:name w:val="Grid Table 4 - Accent 2"/>
    <w:basedOn w:val="5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45">
    <w:name w:val="Grid Table 4 - Accent 3"/>
    <w:basedOn w:val="52"/>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46">
    <w:name w:val="Grid Table 4 - Accent 4"/>
    <w:basedOn w:val="52"/>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47">
    <w:name w:val="Grid Table 4 - Accent 5"/>
    <w:basedOn w:val="52"/>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48">
    <w:name w:val="Grid Table 4 - Accent 6"/>
    <w:basedOn w:val="52"/>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49">
    <w:name w:val="网格表 5 深色1"/>
    <w:basedOn w:val="52"/>
    <w:qFormat/>
    <w:uiPriority w:val="99"/>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CCE8C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50">
    <w:name w:val="Grid Table 5 Dark- Accent 1"/>
    <w:basedOn w:val="52"/>
    <w:qFormat/>
    <w:uiPriority w:val="99"/>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CCE8C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51">
    <w:name w:val="Grid Table 5 Dark - Accent 2"/>
    <w:basedOn w:val="52"/>
    <w:qFormat/>
    <w:uiPriority w:val="99"/>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CCE8C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52">
    <w:name w:val="Grid Table 5 Dark - Accent 3"/>
    <w:basedOn w:val="52"/>
    <w:qFormat/>
    <w:uiPriority w:val="99"/>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CCE8C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53">
    <w:name w:val="Grid Table 5 Dark- Accent 4"/>
    <w:basedOn w:val="52"/>
    <w:qFormat/>
    <w:uiPriority w:val="99"/>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CCE8C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54">
    <w:name w:val="Grid Table 5 Dark - Accent 5"/>
    <w:basedOn w:val="52"/>
    <w:qFormat/>
    <w:uiPriority w:val="99"/>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CCE8C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55">
    <w:name w:val="Grid Table 5 Dark - Accent 6"/>
    <w:basedOn w:val="52"/>
    <w:qFormat/>
    <w:uiPriority w:val="99"/>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CCE8C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56">
    <w:name w:val="网格表 6 彩色1"/>
    <w:basedOn w:val="52"/>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57">
    <w:name w:val="Grid Table 6 Colorful - Accent 1"/>
    <w:basedOn w:val="52"/>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58">
    <w:name w:val="Grid Table 6 Colorful - Accent 2"/>
    <w:basedOn w:val="5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9">
    <w:name w:val="Grid Table 6 Colorful - Accent 3"/>
    <w:basedOn w:val="52"/>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60">
    <w:name w:val="Grid Table 6 Colorful - Accent 4"/>
    <w:basedOn w:val="52"/>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61">
    <w:name w:val="Grid Table 6 Colorful - Accent 5"/>
    <w:basedOn w:val="52"/>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62">
    <w:name w:val="Grid Table 6 Colorful - Accent 6"/>
    <w:basedOn w:val="52"/>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63">
    <w:name w:val="网格表 7 彩色1"/>
    <w:basedOn w:val="52"/>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F7F7F"/>
        <w:sz w:val="22"/>
      </w:rPr>
      <w:tcPr>
        <w:tcBorders>
          <w:top w:val="nil"/>
          <w:left w:val="nil"/>
          <w:bottom w:val="single" w:color="7E7E7E" w:sz="4" w:space="0"/>
          <w:right w:val="nil"/>
        </w:tcBorders>
        <w:shd w:val="clear" w:color="CCE8CF" w:fill="CCE8CF"/>
      </w:tcPr>
    </w:tblStylePr>
    <w:tblStylePr w:type="lastRow">
      <w:rPr>
        <w:rFonts w:ascii="Arial" w:hAnsi="Arial"/>
        <w:b/>
        <w:color w:val="7F7F7F"/>
        <w:sz w:val="22"/>
      </w:rPr>
      <w:tcPr>
        <w:tcBorders>
          <w:top w:val="single" w:color="7E7E7E" w:sz="4" w:space="0"/>
          <w:left w:val="nil"/>
          <w:bottom w:val="nil"/>
          <w:right w:val="nil"/>
        </w:tcBorders>
        <w:shd w:val="clear" w:color="CCE8CF" w:fill="CCE8C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64">
    <w:name w:val="Grid Table 7 Colorful - Accent 1"/>
    <w:basedOn w:val="52"/>
    <w:qFormat/>
    <w:uiPriority w:val="99"/>
    <w:tblPr>
      <w:tblBorders>
        <w:bottom w:val="single" w:color="A6BFDD" w:sz="4" w:space="0"/>
        <w:right w:val="single" w:color="A6BFDD" w:sz="4" w:space="0"/>
        <w:insideH w:val="single" w:color="A6BFDD" w:sz="4" w:space="0"/>
        <w:insideV w:val="single" w:color="A6BFDD" w:sz="4" w:space="0"/>
      </w:tblBorders>
    </w:tblPr>
    <w:tblStylePr w:type="firstRow">
      <w:rPr>
        <w:rFonts w:ascii="Arial" w:hAnsi="Arial"/>
        <w:b/>
        <w:color w:val="A7C0DE"/>
        <w:sz w:val="22"/>
      </w:rPr>
      <w:tcPr>
        <w:tcBorders>
          <w:top w:val="nil"/>
          <w:left w:val="nil"/>
          <w:bottom w:val="single" w:color="A6BFDD" w:sz="4" w:space="0"/>
          <w:right w:val="nil"/>
        </w:tcBorders>
        <w:shd w:val="clear" w:color="CCE8CF" w:fill="CCE8CF"/>
      </w:tcPr>
    </w:tblStylePr>
    <w:tblStylePr w:type="lastRow">
      <w:rPr>
        <w:rFonts w:ascii="Arial" w:hAnsi="Arial"/>
        <w:b/>
        <w:color w:val="A7C0DE"/>
        <w:sz w:val="22"/>
      </w:rPr>
      <w:tcPr>
        <w:tcBorders>
          <w:top w:val="single" w:color="A6BFDD" w:sz="4" w:space="0"/>
          <w:left w:val="nil"/>
          <w:bottom w:val="nil"/>
          <w:right w:val="nil"/>
        </w:tcBorders>
        <w:shd w:val="clear" w:color="CCE8CF" w:fill="CCE8C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65">
    <w:name w:val="Grid Table 7 Colorful - Accent 2"/>
    <w:basedOn w:val="52"/>
    <w:qFormat/>
    <w:uiPriority w:val="99"/>
    <w:tblPr>
      <w:tblBorders>
        <w:bottom w:val="single" w:color="D99795" w:sz="4" w:space="0"/>
        <w:right w:val="single" w:color="D99795" w:sz="4" w:space="0"/>
        <w:insideH w:val="single" w:color="D99795" w:sz="4" w:space="0"/>
        <w:insideV w:val="single" w:color="D99795" w:sz="4" w:space="0"/>
      </w:tblBorders>
    </w:tblPr>
    <w:tblStylePr w:type="firstRow">
      <w:rPr>
        <w:rFonts w:ascii="Arial" w:hAnsi="Arial"/>
        <w:b/>
        <w:color w:val="D99795"/>
        <w:sz w:val="22"/>
      </w:rPr>
      <w:tcPr>
        <w:tcBorders>
          <w:top w:val="nil"/>
          <w:left w:val="nil"/>
          <w:bottom w:val="single" w:color="D99795" w:sz="4" w:space="0"/>
          <w:right w:val="nil"/>
        </w:tcBorders>
        <w:shd w:val="clear" w:color="CCE8CF" w:fill="CCE8CF"/>
      </w:tcPr>
    </w:tblStylePr>
    <w:tblStylePr w:type="lastRow">
      <w:rPr>
        <w:rFonts w:ascii="Arial" w:hAnsi="Arial"/>
        <w:b/>
        <w:color w:val="D99795"/>
        <w:sz w:val="22"/>
      </w:rPr>
      <w:tcPr>
        <w:tcBorders>
          <w:top w:val="single" w:color="D99795" w:sz="4" w:space="0"/>
          <w:left w:val="nil"/>
          <w:bottom w:val="nil"/>
          <w:right w:val="nil"/>
        </w:tcBorders>
        <w:shd w:val="clear" w:color="CCE8CF" w:fill="CCE8C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66">
    <w:name w:val="Grid Table 7 Colorful - Accent 3"/>
    <w:basedOn w:val="52"/>
    <w:qFormat/>
    <w:uiPriority w:val="99"/>
    <w:tblPr>
      <w:tblBorders>
        <w:bottom w:val="single" w:color="9BBB59" w:sz="4" w:space="0"/>
        <w:right w:val="single" w:color="9BBB59" w:sz="4" w:space="0"/>
        <w:insideH w:val="single" w:color="9BBB59" w:sz="4" w:space="0"/>
        <w:insideV w:val="single" w:color="9BBB59" w:sz="4" w:space="0"/>
      </w:tblBorders>
    </w:tblPr>
    <w:tblStylePr w:type="firstRow">
      <w:rPr>
        <w:rFonts w:ascii="Arial" w:hAnsi="Arial"/>
        <w:b/>
        <w:color w:val="9BBB59"/>
        <w:sz w:val="22"/>
      </w:rPr>
      <w:tcPr>
        <w:tcBorders>
          <w:top w:val="nil"/>
          <w:left w:val="nil"/>
          <w:bottom w:val="single" w:color="9BBB59" w:sz="4" w:space="0"/>
          <w:right w:val="nil"/>
        </w:tcBorders>
        <w:shd w:val="clear" w:color="CCE8CF" w:fill="CCE8CF"/>
      </w:tcPr>
    </w:tblStylePr>
    <w:tblStylePr w:type="lastRow">
      <w:rPr>
        <w:rFonts w:ascii="Arial" w:hAnsi="Arial"/>
        <w:b/>
        <w:color w:val="9BBB59"/>
        <w:sz w:val="22"/>
      </w:rPr>
      <w:tcPr>
        <w:tcBorders>
          <w:top w:val="single" w:color="9BBB59" w:sz="4" w:space="0"/>
          <w:left w:val="nil"/>
          <w:bottom w:val="nil"/>
          <w:right w:val="nil"/>
        </w:tcBorders>
        <w:shd w:val="clear" w:color="CCE8CF" w:fill="CCE8C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67">
    <w:name w:val="Grid Table 7 Colorful - Accent 4"/>
    <w:basedOn w:val="52"/>
    <w:qFormat/>
    <w:uiPriority w:val="99"/>
    <w:tblPr>
      <w:tblBorders>
        <w:bottom w:val="single" w:color="B2A1C6" w:sz="4" w:space="0"/>
        <w:right w:val="single" w:color="B2A1C6" w:sz="4" w:space="0"/>
        <w:insideH w:val="single" w:color="B2A1C6" w:sz="4" w:space="0"/>
        <w:insideV w:val="single" w:color="B2A1C6" w:sz="4" w:space="0"/>
      </w:tblBorders>
    </w:tblPr>
    <w:tblStylePr w:type="firstRow">
      <w:rPr>
        <w:rFonts w:ascii="Arial" w:hAnsi="Arial"/>
        <w:b/>
        <w:color w:val="B2A1C7"/>
        <w:sz w:val="22"/>
      </w:rPr>
      <w:tcPr>
        <w:tcBorders>
          <w:top w:val="nil"/>
          <w:left w:val="nil"/>
          <w:bottom w:val="single" w:color="B2A1C6" w:sz="4" w:space="0"/>
          <w:right w:val="nil"/>
        </w:tcBorders>
        <w:shd w:val="clear" w:color="CCE8CF" w:fill="CCE8CF"/>
      </w:tcPr>
    </w:tblStylePr>
    <w:tblStylePr w:type="lastRow">
      <w:rPr>
        <w:rFonts w:ascii="Arial" w:hAnsi="Arial"/>
        <w:b/>
        <w:color w:val="B2A1C7"/>
        <w:sz w:val="22"/>
      </w:rPr>
      <w:tcPr>
        <w:tcBorders>
          <w:top w:val="single" w:color="B2A1C6" w:sz="4" w:space="0"/>
          <w:left w:val="nil"/>
          <w:bottom w:val="nil"/>
          <w:right w:val="nil"/>
        </w:tcBorders>
        <w:shd w:val="clear" w:color="CCE8CF" w:fill="CCE8C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68">
    <w:name w:val="Grid Table 7 Colorful - Accent 5"/>
    <w:basedOn w:val="52"/>
    <w:qFormat/>
    <w:uiPriority w:val="99"/>
    <w:tblPr>
      <w:tblBorders>
        <w:bottom w:val="single" w:color="99D0DE" w:sz="4" w:space="0"/>
        <w:right w:val="single" w:color="99D0DE" w:sz="4" w:space="0"/>
        <w:insideH w:val="single" w:color="99D0DE" w:sz="4" w:space="0"/>
        <w:insideV w:val="single" w:color="99D0DE" w:sz="4" w:space="0"/>
      </w:tblBorders>
    </w:tblPr>
    <w:tblStylePr w:type="firstRow">
      <w:rPr>
        <w:rFonts w:ascii="Arial" w:hAnsi="Arial"/>
        <w:b/>
        <w:color w:val="266778"/>
        <w:sz w:val="22"/>
      </w:rPr>
      <w:tcPr>
        <w:tcBorders>
          <w:top w:val="nil"/>
          <w:left w:val="nil"/>
          <w:bottom w:val="single" w:color="99D0DE" w:sz="4" w:space="0"/>
          <w:right w:val="nil"/>
        </w:tcBorders>
        <w:shd w:val="clear" w:color="CCE8CF" w:fill="CCE8CF"/>
      </w:tcPr>
    </w:tblStylePr>
    <w:tblStylePr w:type="lastRow">
      <w:rPr>
        <w:rFonts w:ascii="Arial" w:hAnsi="Arial"/>
        <w:b/>
        <w:color w:val="266778"/>
        <w:sz w:val="22"/>
      </w:rPr>
      <w:tcPr>
        <w:tcBorders>
          <w:top w:val="single" w:color="99D0DE" w:sz="4" w:space="0"/>
          <w:left w:val="nil"/>
          <w:bottom w:val="nil"/>
          <w:right w:val="nil"/>
        </w:tcBorders>
        <w:shd w:val="clear" w:color="CCE8CF" w:fill="CCE8C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69">
    <w:name w:val="Grid Table 7 Colorful - Accent 6"/>
    <w:basedOn w:val="52"/>
    <w:qFormat/>
    <w:uiPriority w:val="99"/>
    <w:tblPr>
      <w:tblBorders>
        <w:bottom w:val="single" w:color="FAC396" w:sz="4" w:space="0"/>
        <w:right w:val="single" w:color="FAC396" w:sz="4" w:space="0"/>
        <w:insideH w:val="single" w:color="FAC396" w:sz="4" w:space="0"/>
        <w:insideV w:val="single" w:color="FAC396" w:sz="4" w:space="0"/>
      </w:tblBorders>
    </w:tblPr>
    <w:tblStylePr w:type="firstRow">
      <w:rPr>
        <w:rFonts w:ascii="Arial" w:hAnsi="Arial"/>
        <w:b/>
        <w:color w:val="B05408"/>
        <w:sz w:val="22"/>
      </w:rPr>
      <w:tcPr>
        <w:tcBorders>
          <w:top w:val="nil"/>
          <w:left w:val="nil"/>
          <w:bottom w:val="single" w:color="FAC396" w:sz="4" w:space="0"/>
          <w:right w:val="nil"/>
        </w:tcBorders>
        <w:shd w:val="clear" w:color="CCE8CF" w:fill="CCE8CF"/>
      </w:tcPr>
    </w:tblStylePr>
    <w:tblStylePr w:type="lastRow">
      <w:rPr>
        <w:rFonts w:ascii="Arial" w:hAnsi="Arial"/>
        <w:b/>
        <w:color w:val="B05408"/>
        <w:sz w:val="22"/>
      </w:rPr>
      <w:tcPr>
        <w:tcBorders>
          <w:top w:val="single" w:color="FAC396" w:sz="4" w:space="0"/>
          <w:left w:val="nil"/>
          <w:bottom w:val="nil"/>
          <w:right w:val="nil"/>
        </w:tcBorders>
        <w:shd w:val="clear" w:color="CCE8CF" w:fill="CCE8C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70">
    <w:name w:val="清单表 1 浅色1"/>
    <w:basedOn w:val="52"/>
    <w:qFormat/>
    <w:uiPriority w:val="99"/>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71">
    <w:name w:val="List Table 1 Light - Accent 1"/>
    <w:basedOn w:val="52"/>
    <w:qFormat/>
    <w:uiPriority w:val="99"/>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72">
    <w:name w:val="List Table 1 Light - Accent 2"/>
    <w:basedOn w:val="52"/>
    <w:qFormat/>
    <w:uiPriority w:val="99"/>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73">
    <w:name w:val="List Table 1 Light - Accent 3"/>
    <w:basedOn w:val="52"/>
    <w:qFormat/>
    <w:uiPriority w:val="99"/>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74">
    <w:name w:val="List Table 1 Light - Accent 4"/>
    <w:basedOn w:val="52"/>
    <w:qFormat/>
    <w:uiPriority w:val="99"/>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75">
    <w:name w:val="List Table 1 Light - Accent 5"/>
    <w:basedOn w:val="52"/>
    <w:qFormat/>
    <w:uiPriority w:val="99"/>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76">
    <w:name w:val="List Table 1 Light - Accent 6"/>
    <w:basedOn w:val="52"/>
    <w:qFormat/>
    <w:uiPriority w:val="99"/>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77">
    <w:name w:val="清单表 21"/>
    <w:basedOn w:val="52"/>
    <w:qFormat/>
    <w:uiPriority w:val="99"/>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78">
    <w:name w:val="List Table 2 - Accent 1"/>
    <w:basedOn w:val="52"/>
    <w:qFormat/>
    <w:uiPriority w:val="99"/>
    <w:tblPr>
      <w:tblBorders>
        <w:top w:val="single" w:color="9BB7D9" w:sz="4" w:space="0"/>
        <w:bottom w:val="single" w:color="9BB7D9" w:sz="4" w:space="0"/>
        <w:insideH w:val="single" w:color="9BB7D9" w:sz="4" w:space="0"/>
      </w:tblBorders>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9">
    <w:name w:val="List Table 2 - Accent 2"/>
    <w:basedOn w:val="52"/>
    <w:qFormat/>
    <w:uiPriority w:val="99"/>
    <w:tblPr>
      <w:tblBorders>
        <w:top w:val="single" w:color="DB9C9A" w:sz="4" w:space="0"/>
        <w:bottom w:val="single" w:color="DB9C9A" w:sz="4" w:space="0"/>
        <w:insideH w:val="single" w:color="DB9C9A" w:sz="4" w:space="0"/>
      </w:tblBorders>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80">
    <w:name w:val="List Table 2 - Accent 3"/>
    <w:basedOn w:val="52"/>
    <w:qFormat/>
    <w:uiPriority w:val="99"/>
    <w:tblPr>
      <w:tblBorders>
        <w:top w:val="single" w:color="C6D8A1" w:sz="4" w:space="0"/>
        <w:bottom w:val="single" w:color="C6D8A1" w:sz="4" w:space="0"/>
        <w:insideH w:val="single" w:color="C6D8A1" w:sz="4" w:space="0"/>
      </w:tblBorders>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81">
    <w:name w:val="List Table 2 - Accent 4"/>
    <w:basedOn w:val="52"/>
    <w:qFormat/>
    <w:uiPriority w:val="99"/>
    <w:tblPr>
      <w:tblBorders>
        <w:top w:val="single" w:color="B7A7CA" w:sz="4" w:space="0"/>
        <w:bottom w:val="single" w:color="B7A7CA" w:sz="4" w:space="0"/>
        <w:insideH w:val="single" w:color="B7A7CA" w:sz="4" w:space="0"/>
      </w:tblBorders>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82">
    <w:name w:val="List Table 2 - Accent 5"/>
    <w:basedOn w:val="52"/>
    <w:qFormat/>
    <w:uiPriority w:val="99"/>
    <w:tblPr>
      <w:tblBorders>
        <w:top w:val="single" w:color="99D0DE" w:sz="4" w:space="0"/>
        <w:bottom w:val="single" w:color="99D0DE" w:sz="4" w:space="0"/>
        <w:insideH w:val="single" w:color="99D0DE" w:sz="4" w:space="0"/>
      </w:tblBorders>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83">
    <w:name w:val="List Table 2 - Accent 6"/>
    <w:basedOn w:val="52"/>
    <w:qFormat/>
    <w:uiPriority w:val="99"/>
    <w:tblPr>
      <w:tblBorders>
        <w:top w:val="single" w:color="FAC396" w:sz="4" w:space="0"/>
        <w:bottom w:val="single" w:color="FAC396" w:sz="4" w:space="0"/>
        <w:insideH w:val="single" w:color="FAC396" w:sz="4" w:space="0"/>
      </w:tblBorders>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84">
    <w:name w:val="清单表 31"/>
    <w:basedOn w:val="52"/>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85">
    <w:name w:val="List Table 3 - Accent 1"/>
    <w:basedOn w:val="52"/>
    <w:qFormat/>
    <w:uiPriority w:val="99"/>
    <w:tblPr>
      <w:tblBorders>
        <w:top w:val="single" w:color="4F81BD" w:sz="4" w:space="0"/>
        <w:left w:val="single" w:color="4F81BD" w:sz="4" w:space="0"/>
        <w:bottom w:val="single" w:color="4F81BD" w:sz="4" w:space="0"/>
        <w:right w:val="single" w:color="4F81BD"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86">
    <w:name w:val="List Table 3 - Accent 2"/>
    <w:basedOn w:val="52"/>
    <w:qFormat/>
    <w:uiPriority w:val="99"/>
    <w:tblPr>
      <w:tblBorders>
        <w:top w:val="single" w:color="D99795" w:sz="4" w:space="0"/>
        <w:left w:val="single" w:color="D99795" w:sz="4" w:space="0"/>
        <w:bottom w:val="single" w:color="D99795" w:sz="4" w:space="0"/>
        <w:right w:val="single" w:color="D99795" w:sz="4" w:space="0"/>
      </w:tblBorders>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87">
    <w:name w:val="List Table 3 - Accent 3"/>
    <w:basedOn w:val="52"/>
    <w:qFormat/>
    <w:uiPriority w:val="99"/>
    <w:tblPr>
      <w:tblBorders>
        <w:top w:val="single" w:color="C3D69C" w:sz="4" w:space="0"/>
        <w:left w:val="single" w:color="C3D69C" w:sz="4" w:space="0"/>
        <w:bottom w:val="single" w:color="C3D69C" w:sz="4" w:space="0"/>
        <w:right w:val="single" w:color="C3D69C" w:sz="4" w:space="0"/>
      </w:tblBorders>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88">
    <w:name w:val="List Table 3 - Accent 4"/>
    <w:basedOn w:val="52"/>
    <w:qFormat/>
    <w:uiPriority w:val="99"/>
    <w:tblPr>
      <w:tblBorders>
        <w:top w:val="single" w:color="B2A1C6" w:sz="4" w:space="0"/>
        <w:left w:val="single" w:color="B2A1C6" w:sz="4" w:space="0"/>
        <w:bottom w:val="single" w:color="B2A1C6" w:sz="4" w:space="0"/>
        <w:right w:val="single" w:color="B2A1C6" w:sz="4" w:space="0"/>
      </w:tblBorders>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89">
    <w:name w:val="List Table 3 - Accent 5"/>
    <w:basedOn w:val="52"/>
    <w:qFormat/>
    <w:uiPriority w:val="99"/>
    <w:tblPr>
      <w:tblBorders>
        <w:top w:val="single" w:color="92CCDC" w:sz="4" w:space="0"/>
        <w:left w:val="single" w:color="92CCDC" w:sz="4" w:space="0"/>
        <w:bottom w:val="single" w:color="92CCDC" w:sz="4" w:space="0"/>
        <w:right w:val="single" w:color="92CCDC" w:sz="4" w:space="0"/>
      </w:tblBorders>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90">
    <w:name w:val="List Table 3 - Accent 6"/>
    <w:basedOn w:val="52"/>
    <w:qFormat/>
    <w:uiPriority w:val="99"/>
    <w:tblPr>
      <w:tblBorders>
        <w:top w:val="single" w:color="FAC090" w:sz="4" w:space="0"/>
        <w:left w:val="single" w:color="FAC090" w:sz="4" w:space="0"/>
        <w:bottom w:val="single" w:color="FAC090" w:sz="4" w:space="0"/>
        <w:right w:val="single" w:color="FAC090" w:sz="4" w:space="0"/>
      </w:tblBorders>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91">
    <w:name w:val="清单表 41"/>
    <w:basedOn w:val="52"/>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92">
    <w:name w:val="List Table 4 - Accent 1"/>
    <w:basedOn w:val="52"/>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93">
    <w:name w:val="List Table 4 - Accent 2"/>
    <w:basedOn w:val="5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94">
    <w:name w:val="List Table 4 - Accent 3"/>
    <w:basedOn w:val="52"/>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95">
    <w:name w:val="List Table 4 - Accent 4"/>
    <w:basedOn w:val="52"/>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96">
    <w:name w:val="List Table 4 - Accent 5"/>
    <w:basedOn w:val="52"/>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97">
    <w:name w:val="List Table 4 - Accent 6"/>
    <w:basedOn w:val="52"/>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98">
    <w:name w:val="清单表 5 深色1"/>
    <w:basedOn w:val="52"/>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CCE8CF"/>
        <w:sz w:val="22"/>
      </w:rPr>
      <w:tcPr>
        <w:tcBorders>
          <w:top w:val="single" w:color="7E7E7E" w:sz="32" w:space="0"/>
          <w:bottom w:val="single" w:color="CCE8CF" w:sz="12" w:space="0"/>
        </w:tcBorders>
        <w:shd w:val="clear" w:color="7E7E7E" w:fill="7E7E7E"/>
      </w:tcPr>
    </w:tblStylePr>
    <w:tblStylePr w:type="lastRow">
      <w:rPr>
        <w:rFonts w:ascii="Arial" w:hAnsi="Arial"/>
        <w:b/>
        <w:color w:val="CCE8CF"/>
        <w:sz w:val="22"/>
      </w:rPr>
    </w:tblStylePr>
    <w:tblStylePr w:type="firstCol">
      <w:rPr>
        <w:rFonts w:ascii="Arial" w:hAnsi="Arial"/>
        <w:b/>
        <w:color w:val="CCE8CF"/>
        <w:sz w:val="22"/>
      </w:rPr>
      <w:tcPr>
        <w:tcBorders>
          <w:left w:val="single" w:color="7E7E7E" w:sz="32" w:space="0"/>
          <w:right w:val="single" w:color="CCE8CF" w:sz="4" w:space="0"/>
        </w:tcBorders>
      </w:tcPr>
    </w:tblStylePr>
    <w:tblStylePr w:type="lastCol">
      <w:tcPr>
        <w:tcBorders>
          <w:left w:val="single" w:color="CCE8CF" w:sz="4" w:space="0"/>
          <w:right w:val="single" w:color="7E7E7E" w:sz="32" w:space="0"/>
        </w:tcBorders>
      </w:tcPr>
    </w:tblStylePr>
    <w:tblStylePr w:type="band1Vert">
      <w:tcPr>
        <w:tcBorders>
          <w:left w:val="single" w:color="CCE8CF" w:sz="4" w:space="0"/>
          <w:right w:val="single" w:color="CCE8CF" w:sz="4" w:space="0"/>
        </w:tcBorders>
        <w:shd w:val="clear" w:color="7E7E7E" w:fill="7E7E7E"/>
      </w:tcPr>
    </w:tblStylePr>
    <w:tblStylePr w:type="band2Vert">
      <w:tcPr>
        <w:tcBorders>
          <w:left w:val="single" w:color="CCE8CF" w:sz="4" w:space="0"/>
          <w:right w:val="single" w:color="CCE8CF" w:sz="4" w:space="0"/>
        </w:tcBorders>
      </w:tcPr>
    </w:tblStylePr>
    <w:tblStylePr w:type="band1Horz">
      <w:tcPr>
        <w:tcBorders>
          <w:top w:val="single" w:color="CCE8CF" w:sz="4" w:space="0"/>
          <w:bottom w:val="single" w:color="CCE8CF" w:sz="4" w:space="0"/>
        </w:tcBorders>
        <w:shd w:val="clear" w:color="7E7E7E" w:fill="7E7E7E"/>
      </w:tcPr>
    </w:tblStylePr>
    <w:tblStylePr w:type="band2Horz">
      <w:tcPr>
        <w:tcBorders>
          <w:top w:val="single" w:color="CCE8CF" w:sz="4" w:space="0"/>
          <w:bottom w:val="single" w:color="CCE8CF" w:sz="4" w:space="0"/>
        </w:tcBorders>
        <w:shd w:val="clear" w:color="7E7E7E" w:fill="7E7E7E"/>
      </w:tcPr>
    </w:tblStylePr>
  </w:style>
  <w:style w:type="table" w:customStyle="1" w:styleId="199">
    <w:name w:val="List Table 5 Dark - Accent 1"/>
    <w:basedOn w:val="52"/>
    <w:qFormat/>
    <w:uiPriority w:val="99"/>
    <w:tblPr>
      <w:tblBorders>
        <w:top w:val="single" w:color="4F81BD" w:sz="32" w:space="0"/>
        <w:left w:val="single" w:color="4F81BD" w:sz="32" w:space="0"/>
        <w:bottom w:val="single" w:color="4F81BD" w:sz="32" w:space="0"/>
        <w:right w:val="single" w:color="4F81BD" w:sz="32" w:space="0"/>
      </w:tblBorders>
    </w:tblPr>
    <w:tblStylePr w:type="firstRow">
      <w:rPr>
        <w:rFonts w:ascii="Arial" w:hAnsi="Arial"/>
        <w:b/>
        <w:color w:val="CCE8CF"/>
        <w:sz w:val="22"/>
      </w:rPr>
      <w:tcPr>
        <w:tcBorders>
          <w:top w:val="single" w:color="4F81BD" w:sz="32" w:space="0"/>
          <w:bottom w:val="single" w:color="CCE8CF" w:sz="12" w:space="0"/>
        </w:tcBorders>
        <w:shd w:val="clear" w:color="4F81BD" w:fill="4F81BD"/>
      </w:tcPr>
    </w:tblStylePr>
    <w:tblStylePr w:type="lastRow">
      <w:rPr>
        <w:rFonts w:ascii="Arial" w:hAnsi="Arial"/>
        <w:b/>
        <w:color w:val="CCE8CF"/>
        <w:sz w:val="22"/>
      </w:rPr>
    </w:tblStylePr>
    <w:tblStylePr w:type="firstCol">
      <w:rPr>
        <w:rFonts w:ascii="Arial" w:hAnsi="Arial"/>
        <w:b/>
        <w:color w:val="CCE8CF"/>
        <w:sz w:val="22"/>
      </w:rPr>
      <w:tcPr>
        <w:tcBorders>
          <w:left w:val="single" w:color="4F81BD" w:sz="32" w:space="0"/>
          <w:right w:val="single" w:color="CCE8CF" w:sz="4" w:space="0"/>
        </w:tcBorders>
      </w:tcPr>
    </w:tblStylePr>
    <w:tblStylePr w:type="lastCol">
      <w:tcPr>
        <w:tcBorders>
          <w:left w:val="single" w:color="CCE8CF" w:sz="4" w:space="0"/>
          <w:right w:val="single" w:color="4F81BD" w:sz="32" w:space="0"/>
        </w:tcBorders>
      </w:tcPr>
    </w:tblStylePr>
    <w:tblStylePr w:type="band1Vert">
      <w:tcPr>
        <w:tcBorders>
          <w:left w:val="single" w:color="CCE8CF" w:sz="4" w:space="0"/>
          <w:right w:val="single" w:color="CCE8CF" w:sz="4" w:space="0"/>
        </w:tcBorders>
        <w:shd w:val="clear" w:color="4F81BD" w:fill="4F81BD"/>
      </w:tcPr>
    </w:tblStylePr>
    <w:tblStylePr w:type="band2Vert">
      <w:tcPr>
        <w:tcBorders>
          <w:left w:val="single" w:color="CCE8CF" w:sz="4" w:space="0"/>
          <w:right w:val="single" w:color="CCE8CF" w:sz="4" w:space="0"/>
        </w:tcBorders>
      </w:tcPr>
    </w:tblStylePr>
    <w:tblStylePr w:type="band1Horz">
      <w:tcPr>
        <w:tcBorders>
          <w:top w:val="single" w:color="CCE8CF" w:sz="4" w:space="0"/>
          <w:bottom w:val="single" w:color="CCE8CF" w:sz="4" w:space="0"/>
        </w:tcBorders>
        <w:shd w:val="clear" w:color="4F81BD" w:fill="4F81BD"/>
      </w:tcPr>
    </w:tblStylePr>
    <w:tblStylePr w:type="band2Horz">
      <w:tcPr>
        <w:tcBorders>
          <w:top w:val="single" w:color="CCE8CF" w:sz="4" w:space="0"/>
          <w:bottom w:val="single" w:color="CCE8CF" w:sz="4" w:space="0"/>
        </w:tcBorders>
        <w:shd w:val="clear" w:color="4F81BD" w:fill="4F81BD"/>
      </w:tcPr>
    </w:tblStylePr>
  </w:style>
  <w:style w:type="table" w:customStyle="1" w:styleId="200">
    <w:name w:val="List Table 5 Dark - Accent 2"/>
    <w:basedOn w:val="52"/>
    <w:qFormat/>
    <w:uiPriority w:val="99"/>
    <w:tblPr>
      <w:tblBorders>
        <w:top w:val="single" w:color="D99795" w:sz="32" w:space="0"/>
        <w:left w:val="single" w:color="D99795" w:sz="32" w:space="0"/>
        <w:bottom w:val="single" w:color="D99795" w:sz="32" w:space="0"/>
        <w:right w:val="single" w:color="D99795" w:sz="32" w:space="0"/>
      </w:tblBorders>
    </w:tblPr>
    <w:tblStylePr w:type="firstRow">
      <w:rPr>
        <w:rFonts w:ascii="Arial" w:hAnsi="Arial"/>
        <w:b/>
        <w:color w:val="CCE8CF"/>
        <w:sz w:val="22"/>
      </w:rPr>
      <w:tcPr>
        <w:tcBorders>
          <w:top w:val="single" w:color="D99795" w:sz="32" w:space="0"/>
          <w:bottom w:val="single" w:color="CCE8CF" w:sz="12" w:space="0"/>
        </w:tcBorders>
        <w:shd w:val="clear" w:color="D99795" w:fill="D99795"/>
      </w:tcPr>
    </w:tblStylePr>
    <w:tblStylePr w:type="lastRow">
      <w:rPr>
        <w:rFonts w:ascii="Arial" w:hAnsi="Arial"/>
        <w:b/>
        <w:color w:val="CCE8CF"/>
        <w:sz w:val="22"/>
      </w:rPr>
    </w:tblStylePr>
    <w:tblStylePr w:type="firstCol">
      <w:rPr>
        <w:rFonts w:ascii="Arial" w:hAnsi="Arial"/>
        <w:b/>
        <w:color w:val="CCE8CF"/>
        <w:sz w:val="22"/>
      </w:rPr>
      <w:tcPr>
        <w:tcBorders>
          <w:left w:val="single" w:color="D99795" w:sz="32" w:space="0"/>
          <w:right w:val="single" w:color="CCE8CF" w:sz="4" w:space="0"/>
        </w:tcBorders>
      </w:tcPr>
    </w:tblStylePr>
    <w:tblStylePr w:type="lastCol">
      <w:tcPr>
        <w:tcBorders>
          <w:left w:val="single" w:color="CCE8CF" w:sz="4" w:space="0"/>
          <w:right w:val="single" w:color="D99795" w:sz="32" w:space="0"/>
        </w:tcBorders>
      </w:tcPr>
    </w:tblStylePr>
    <w:tblStylePr w:type="band1Vert">
      <w:tcPr>
        <w:tcBorders>
          <w:left w:val="single" w:color="CCE8CF" w:sz="4" w:space="0"/>
          <w:right w:val="single" w:color="CCE8CF" w:sz="4" w:space="0"/>
        </w:tcBorders>
        <w:shd w:val="clear" w:color="D99795" w:fill="D99795"/>
      </w:tcPr>
    </w:tblStylePr>
    <w:tblStylePr w:type="band2Vert">
      <w:tcPr>
        <w:tcBorders>
          <w:left w:val="single" w:color="CCE8CF" w:sz="4" w:space="0"/>
          <w:right w:val="single" w:color="CCE8CF" w:sz="4" w:space="0"/>
        </w:tcBorders>
      </w:tcPr>
    </w:tblStylePr>
    <w:tblStylePr w:type="band1Horz">
      <w:tcPr>
        <w:tcBorders>
          <w:top w:val="single" w:color="CCE8CF" w:sz="4" w:space="0"/>
          <w:bottom w:val="single" w:color="CCE8CF" w:sz="4" w:space="0"/>
        </w:tcBorders>
        <w:shd w:val="clear" w:color="D99795" w:fill="D99795"/>
      </w:tcPr>
    </w:tblStylePr>
    <w:tblStylePr w:type="band2Horz">
      <w:tcPr>
        <w:tcBorders>
          <w:top w:val="single" w:color="CCE8CF" w:sz="4" w:space="0"/>
          <w:bottom w:val="single" w:color="CCE8CF" w:sz="4" w:space="0"/>
        </w:tcBorders>
        <w:shd w:val="clear" w:color="D99795" w:fill="D99795"/>
      </w:tcPr>
    </w:tblStylePr>
  </w:style>
  <w:style w:type="table" w:customStyle="1" w:styleId="201">
    <w:name w:val="List Table 5 Dark - Accent 3"/>
    <w:basedOn w:val="52"/>
    <w:qFormat/>
    <w:uiPriority w:val="99"/>
    <w:tblPr>
      <w:tblBorders>
        <w:top w:val="single" w:color="C3D69C" w:sz="32" w:space="0"/>
        <w:left w:val="single" w:color="C3D69C" w:sz="32" w:space="0"/>
        <w:bottom w:val="single" w:color="C3D69C" w:sz="32" w:space="0"/>
        <w:right w:val="single" w:color="C3D69C" w:sz="32" w:space="0"/>
      </w:tblBorders>
    </w:tblPr>
    <w:tblStylePr w:type="firstRow">
      <w:rPr>
        <w:rFonts w:ascii="Arial" w:hAnsi="Arial"/>
        <w:b/>
        <w:color w:val="CCE8CF"/>
        <w:sz w:val="22"/>
      </w:rPr>
      <w:tcPr>
        <w:tcBorders>
          <w:top w:val="single" w:color="C3D69C" w:sz="32" w:space="0"/>
          <w:bottom w:val="single" w:color="CCE8CF" w:sz="12" w:space="0"/>
        </w:tcBorders>
        <w:shd w:val="clear" w:color="C3D69C" w:fill="C3D69C"/>
      </w:tcPr>
    </w:tblStylePr>
    <w:tblStylePr w:type="lastRow">
      <w:rPr>
        <w:rFonts w:ascii="Arial" w:hAnsi="Arial"/>
        <w:b/>
        <w:color w:val="CCE8CF"/>
        <w:sz w:val="22"/>
      </w:rPr>
    </w:tblStylePr>
    <w:tblStylePr w:type="firstCol">
      <w:rPr>
        <w:rFonts w:ascii="Arial" w:hAnsi="Arial"/>
        <w:b/>
        <w:color w:val="CCE8CF"/>
        <w:sz w:val="22"/>
      </w:rPr>
      <w:tcPr>
        <w:tcBorders>
          <w:left w:val="single" w:color="C3D69C" w:sz="32" w:space="0"/>
          <w:right w:val="single" w:color="CCE8CF" w:sz="4" w:space="0"/>
        </w:tcBorders>
      </w:tcPr>
    </w:tblStylePr>
    <w:tblStylePr w:type="lastCol">
      <w:tcPr>
        <w:tcBorders>
          <w:left w:val="single" w:color="CCE8CF" w:sz="4" w:space="0"/>
          <w:right w:val="single" w:color="C3D69C" w:sz="32" w:space="0"/>
        </w:tcBorders>
      </w:tcPr>
    </w:tblStylePr>
    <w:tblStylePr w:type="band1Vert">
      <w:tcPr>
        <w:tcBorders>
          <w:left w:val="single" w:color="CCE8CF" w:sz="4" w:space="0"/>
          <w:right w:val="single" w:color="CCE8CF" w:sz="4" w:space="0"/>
        </w:tcBorders>
        <w:shd w:val="clear" w:color="C3D69C" w:fill="C3D69C"/>
      </w:tcPr>
    </w:tblStylePr>
    <w:tblStylePr w:type="band2Vert">
      <w:tcPr>
        <w:tcBorders>
          <w:left w:val="single" w:color="CCE8CF" w:sz="4" w:space="0"/>
          <w:right w:val="single" w:color="CCE8CF" w:sz="4" w:space="0"/>
        </w:tcBorders>
      </w:tcPr>
    </w:tblStylePr>
    <w:tblStylePr w:type="band1Horz">
      <w:tcPr>
        <w:tcBorders>
          <w:top w:val="single" w:color="CCE8CF" w:sz="4" w:space="0"/>
          <w:bottom w:val="single" w:color="CCE8CF" w:sz="4" w:space="0"/>
        </w:tcBorders>
        <w:shd w:val="clear" w:color="C3D69C" w:fill="C3D69C"/>
      </w:tcPr>
    </w:tblStylePr>
    <w:tblStylePr w:type="band2Horz">
      <w:tcPr>
        <w:tcBorders>
          <w:top w:val="single" w:color="CCE8CF" w:sz="4" w:space="0"/>
          <w:bottom w:val="single" w:color="CCE8CF" w:sz="4" w:space="0"/>
        </w:tcBorders>
        <w:shd w:val="clear" w:color="C3D69C" w:fill="C3D69C"/>
      </w:tcPr>
    </w:tblStylePr>
  </w:style>
  <w:style w:type="table" w:customStyle="1" w:styleId="202">
    <w:name w:val="List Table 5 Dark - Accent 4"/>
    <w:basedOn w:val="52"/>
    <w:qFormat/>
    <w:uiPriority w:val="99"/>
    <w:tblPr>
      <w:tblBorders>
        <w:top w:val="single" w:color="B2A1C6" w:sz="32" w:space="0"/>
        <w:left w:val="single" w:color="B2A1C6" w:sz="32" w:space="0"/>
        <w:bottom w:val="single" w:color="B2A1C6" w:sz="32" w:space="0"/>
        <w:right w:val="single" w:color="B2A1C6" w:sz="32" w:space="0"/>
      </w:tblBorders>
    </w:tblPr>
    <w:tblStylePr w:type="firstRow">
      <w:rPr>
        <w:rFonts w:ascii="Arial" w:hAnsi="Arial"/>
        <w:b/>
        <w:color w:val="CCE8CF"/>
        <w:sz w:val="22"/>
      </w:rPr>
      <w:tcPr>
        <w:tcBorders>
          <w:top w:val="single" w:color="B2A1C6" w:sz="32" w:space="0"/>
          <w:bottom w:val="single" w:color="CCE8CF" w:sz="12" w:space="0"/>
        </w:tcBorders>
        <w:shd w:val="clear" w:color="B2A1C6" w:fill="B2A1C6"/>
      </w:tcPr>
    </w:tblStylePr>
    <w:tblStylePr w:type="lastRow">
      <w:rPr>
        <w:rFonts w:ascii="Arial" w:hAnsi="Arial"/>
        <w:b/>
        <w:color w:val="CCE8CF"/>
        <w:sz w:val="22"/>
      </w:rPr>
    </w:tblStylePr>
    <w:tblStylePr w:type="firstCol">
      <w:rPr>
        <w:rFonts w:ascii="Arial" w:hAnsi="Arial"/>
        <w:b/>
        <w:color w:val="CCE8CF"/>
        <w:sz w:val="22"/>
      </w:rPr>
      <w:tcPr>
        <w:tcBorders>
          <w:left w:val="single" w:color="B2A1C6" w:sz="32" w:space="0"/>
          <w:right w:val="single" w:color="CCE8CF" w:sz="4" w:space="0"/>
        </w:tcBorders>
      </w:tcPr>
    </w:tblStylePr>
    <w:tblStylePr w:type="lastCol">
      <w:tcPr>
        <w:tcBorders>
          <w:left w:val="single" w:color="CCE8CF" w:sz="4" w:space="0"/>
          <w:right w:val="single" w:color="B2A1C6" w:sz="32" w:space="0"/>
        </w:tcBorders>
      </w:tcPr>
    </w:tblStylePr>
    <w:tblStylePr w:type="band1Vert">
      <w:tcPr>
        <w:tcBorders>
          <w:left w:val="single" w:color="CCE8CF" w:sz="4" w:space="0"/>
          <w:right w:val="single" w:color="CCE8CF" w:sz="4" w:space="0"/>
        </w:tcBorders>
        <w:shd w:val="clear" w:color="B2A1C6" w:fill="B2A1C6"/>
      </w:tcPr>
    </w:tblStylePr>
    <w:tblStylePr w:type="band2Vert">
      <w:tcPr>
        <w:tcBorders>
          <w:left w:val="single" w:color="CCE8CF" w:sz="4" w:space="0"/>
          <w:right w:val="single" w:color="CCE8CF" w:sz="4" w:space="0"/>
        </w:tcBorders>
      </w:tcPr>
    </w:tblStylePr>
    <w:tblStylePr w:type="band1Horz">
      <w:tcPr>
        <w:tcBorders>
          <w:top w:val="single" w:color="CCE8CF" w:sz="4" w:space="0"/>
          <w:bottom w:val="single" w:color="CCE8CF" w:sz="4" w:space="0"/>
        </w:tcBorders>
        <w:shd w:val="clear" w:color="B2A1C6" w:fill="B2A1C6"/>
      </w:tcPr>
    </w:tblStylePr>
    <w:tblStylePr w:type="band2Horz">
      <w:tcPr>
        <w:tcBorders>
          <w:top w:val="single" w:color="CCE8CF" w:sz="4" w:space="0"/>
          <w:bottom w:val="single" w:color="CCE8CF" w:sz="4" w:space="0"/>
        </w:tcBorders>
        <w:shd w:val="clear" w:color="B2A1C6" w:fill="B2A1C6"/>
      </w:tcPr>
    </w:tblStylePr>
  </w:style>
  <w:style w:type="table" w:customStyle="1" w:styleId="203">
    <w:name w:val="List Table 5 Dark - Accent 5"/>
    <w:basedOn w:val="52"/>
    <w:qFormat/>
    <w:uiPriority w:val="99"/>
    <w:tblPr>
      <w:tblBorders>
        <w:top w:val="single" w:color="92CCDC" w:sz="32" w:space="0"/>
        <w:left w:val="single" w:color="92CCDC" w:sz="32" w:space="0"/>
        <w:bottom w:val="single" w:color="92CCDC" w:sz="32" w:space="0"/>
        <w:right w:val="single" w:color="92CCDC" w:sz="32" w:space="0"/>
      </w:tblBorders>
    </w:tblPr>
    <w:tblStylePr w:type="firstRow">
      <w:rPr>
        <w:rFonts w:ascii="Arial" w:hAnsi="Arial"/>
        <w:b/>
        <w:color w:val="CCE8CF"/>
        <w:sz w:val="22"/>
      </w:rPr>
      <w:tcPr>
        <w:tcBorders>
          <w:top w:val="single" w:color="92CCDC" w:sz="32" w:space="0"/>
          <w:bottom w:val="single" w:color="CCE8CF" w:sz="12" w:space="0"/>
        </w:tcBorders>
        <w:shd w:val="clear" w:color="92CCDC" w:fill="92CCDC"/>
      </w:tcPr>
    </w:tblStylePr>
    <w:tblStylePr w:type="lastRow">
      <w:rPr>
        <w:rFonts w:ascii="Arial" w:hAnsi="Arial"/>
        <w:b/>
        <w:color w:val="CCE8CF"/>
        <w:sz w:val="22"/>
      </w:rPr>
    </w:tblStylePr>
    <w:tblStylePr w:type="firstCol">
      <w:rPr>
        <w:rFonts w:ascii="Arial" w:hAnsi="Arial"/>
        <w:b/>
        <w:color w:val="CCE8CF"/>
        <w:sz w:val="22"/>
      </w:rPr>
      <w:tcPr>
        <w:tcBorders>
          <w:left w:val="single" w:color="92CCDC" w:sz="32" w:space="0"/>
          <w:right w:val="single" w:color="CCE8CF" w:sz="4" w:space="0"/>
        </w:tcBorders>
      </w:tcPr>
    </w:tblStylePr>
    <w:tblStylePr w:type="lastCol">
      <w:tcPr>
        <w:tcBorders>
          <w:left w:val="single" w:color="CCE8CF" w:sz="4" w:space="0"/>
          <w:right w:val="single" w:color="92CCDC" w:sz="32" w:space="0"/>
        </w:tcBorders>
      </w:tcPr>
    </w:tblStylePr>
    <w:tblStylePr w:type="band1Vert">
      <w:tcPr>
        <w:tcBorders>
          <w:left w:val="single" w:color="CCE8CF" w:sz="4" w:space="0"/>
          <w:right w:val="single" w:color="CCE8CF" w:sz="4" w:space="0"/>
        </w:tcBorders>
        <w:shd w:val="clear" w:color="92CCDC" w:fill="92CCDC"/>
      </w:tcPr>
    </w:tblStylePr>
    <w:tblStylePr w:type="band2Vert">
      <w:tcPr>
        <w:tcBorders>
          <w:left w:val="single" w:color="CCE8CF" w:sz="4" w:space="0"/>
          <w:right w:val="single" w:color="CCE8CF" w:sz="4" w:space="0"/>
        </w:tcBorders>
      </w:tcPr>
    </w:tblStylePr>
    <w:tblStylePr w:type="band1Horz">
      <w:tcPr>
        <w:tcBorders>
          <w:top w:val="single" w:color="CCE8CF" w:sz="4" w:space="0"/>
          <w:bottom w:val="single" w:color="CCE8CF" w:sz="4" w:space="0"/>
        </w:tcBorders>
        <w:shd w:val="clear" w:color="92CCDC" w:fill="92CCDC"/>
      </w:tcPr>
    </w:tblStylePr>
    <w:tblStylePr w:type="band2Horz">
      <w:tcPr>
        <w:tcBorders>
          <w:top w:val="single" w:color="CCE8CF" w:sz="4" w:space="0"/>
          <w:bottom w:val="single" w:color="CCE8CF" w:sz="4" w:space="0"/>
        </w:tcBorders>
        <w:shd w:val="clear" w:color="92CCDC" w:fill="92CCDC"/>
      </w:tcPr>
    </w:tblStylePr>
  </w:style>
  <w:style w:type="table" w:customStyle="1" w:styleId="204">
    <w:name w:val="List Table 5 Dark - Accent 6"/>
    <w:basedOn w:val="52"/>
    <w:qFormat/>
    <w:uiPriority w:val="99"/>
    <w:tblPr>
      <w:tblBorders>
        <w:top w:val="single" w:color="FAC090" w:sz="32" w:space="0"/>
        <w:left w:val="single" w:color="FAC090" w:sz="32" w:space="0"/>
        <w:bottom w:val="single" w:color="FAC090" w:sz="32" w:space="0"/>
        <w:right w:val="single" w:color="FAC090" w:sz="32" w:space="0"/>
      </w:tblBorders>
    </w:tblPr>
    <w:tblStylePr w:type="firstRow">
      <w:rPr>
        <w:rFonts w:ascii="Arial" w:hAnsi="Arial"/>
        <w:b/>
        <w:color w:val="CCE8CF"/>
        <w:sz w:val="22"/>
      </w:rPr>
      <w:tcPr>
        <w:tcBorders>
          <w:top w:val="single" w:color="FAC090" w:sz="32" w:space="0"/>
          <w:bottom w:val="single" w:color="CCE8CF" w:sz="12" w:space="0"/>
        </w:tcBorders>
        <w:shd w:val="clear" w:color="FAC090" w:fill="FAC090"/>
      </w:tcPr>
    </w:tblStylePr>
    <w:tblStylePr w:type="lastRow">
      <w:rPr>
        <w:rFonts w:ascii="Arial" w:hAnsi="Arial"/>
        <w:b/>
        <w:color w:val="CCE8CF"/>
        <w:sz w:val="22"/>
      </w:rPr>
    </w:tblStylePr>
    <w:tblStylePr w:type="firstCol">
      <w:rPr>
        <w:rFonts w:ascii="Arial" w:hAnsi="Arial"/>
        <w:b/>
        <w:color w:val="CCE8CF"/>
        <w:sz w:val="22"/>
      </w:rPr>
      <w:tcPr>
        <w:tcBorders>
          <w:left w:val="single" w:color="FAC090" w:sz="32" w:space="0"/>
          <w:right w:val="single" w:color="CCE8CF" w:sz="4" w:space="0"/>
        </w:tcBorders>
      </w:tcPr>
    </w:tblStylePr>
    <w:tblStylePr w:type="lastCol">
      <w:tcPr>
        <w:tcBorders>
          <w:left w:val="single" w:color="CCE8CF" w:sz="4" w:space="0"/>
          <w:right w:val="single" w:color="FAC090" w:sz="32" w:space="0"/>
        </w:tcBorders>
      </w:tcPr>
    </w:tblStylePr>
    <w:tblStylePr w:type="band1Vert">
      <w:tcPr>
        <w:tcBorders>
          <w:left w:val="single" w:color="CCE8CF" w:sz="4" w:space="0"/>
          <w:right w:val="single" w:color="CCE8CF" w:sz="4" w:space="0"/>
        </w:tcBorders>
        <w:shd w:val="clear" w:color="FAC090" w:fill="FAC090"/>
      </w:tcPr>
    </w:tblStylePr>
    <w:tblStylePr w:type="band2Vert">
      <w:tcPr>
        <w:tcBorders>
          <w:left w:val="single" w:color="CCE8CF" w:sz="4" w:space="0"/>
          <w:right w:val="single" w:color="CCE8CF" w:sz="4" w:space="0"/>
        </w:tcBorders>
      </w:tcPr>
    </w:tblStylePr>
    <w:tblStylePr w:type="band1Horz">
      <w:tcPr>
        <w:tcBorders>
          <w:top w:val="single" w:color="CCE8CF" w:sz="4" w:space="0"/>
          <w:bottom w:val="single" w:color="CCE8CF" w:sz="4" w:space="0"/>
        </w:tcBorders>
        <w:shd w:val="clear" w:color="FAC090" w:fill="FAC090"/>
      </w:tcPr>
    </w:tblStylePr>
    <w:tblStylePr w:type="band2Horz">
      <w:tcPr>
        <w:tcBorders>
          <w:top w:val="single" w:color="CCE8CF" w:sz="4" w:space="0"/>
          <w:bottom w:val="single" w:color="CCE8CF" w:sz="4" w:space="0"/>
        </w:tcBorders>
        <w:shd w:val="clear" w:color="FAC090" w:fill="FAC090"/>
      </w:tcPr>
    </w:tblStylePr>
  </w:style>
  <w:style w:type="table" w:customStyle="1" w:styleId="205">
    <w:name w:val="清单表 6 彩色1"/>
    <w:basedOn w:val="52"/>
    <w:qFormat/>
    <w:uiPriority w:val="99"/>
    <w:tblPr>
      <w:tblBorders>
        <w:top w:val="single" w:color="7E7E7E" w:sz="4" w:space="0"/>
        <w:bottom w:val="single" w:color="7E7E7E" w:sz="4" w:space="0"/>
      </w:tblBorders>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206">
    <w:name w:val="List Table 6 Colorful - Accent 1"/>
    <w:basedOn w:val="52"/>
    <w:qFormat/>
    <w:uiPriority w:val="99"/>
    <w:tblPr>
      <w:tblBorders>
        <w:top w:val="single" w:color="4F81BD" w:sz="4" w:space="0"/>
        <w:bottom w:val="single" w:color="4F81BD" w:sz="4" w:space="0"/>
      </w:tblBorders>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7">
    <w:name w:val="List Table 6 Colorful - Accent 2"/>
    <w:basedOn w:val="52"/>
    <w:qFormat/>
    <w:uiPriority w:val="99"/>
    <w:tblPr>
      <w:tblBorders>
        <w:top w:val="single" w:color="D99795" w:sz="4" w:space="0"/>
        <w:bottom w:val="single" w:color="D99795" w:sz="4" w:space="0"/>
      </w:tblBorders>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08">
    <w:name w:val="List Table 6 Colorful - Accent 3"/>
    <w:basedOn w:val="52"/>
    <w:qFormat/>
    <w:uiPriority w:val="99"/>
    <w:tblPr>
      <w:tblBorders>
        <w:top w:val="single" w:color="C3D69C" w:sz="4" w:space="0"/>
        <w:bottom w:val="single" w:color="C3D69C" w:sz="4" w:space="0"/>
      </w:tblBorders>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9">
    <w:name w:val="List Table 6 Colorful - Accent 4"/>
    <w:basedOn w:val="52"/>
    <w:qFormat/>
    <w:uiPriority w:val="99"/>
    <w:tblPr>
      <w:tblBorders>
        <w:top w:val="single" w:color="B2A1C6" w:sz="4" w:space="0"/>
        <w:bottom w:val="single" w:color="B2A1C6" w:sz="4" w:space="0"/>
      </w:tblBorders>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10">
    <w:name w:val="List Table 6 Colorful - Accent 5"/>
    <w:basedOn w:val="52"/>
    <w:qFormat/>
    <w:uiPriority w:val="99"/>
    <w:tblPr>
      <w:tblBorders>
        <w:top w:val="single" w:color="92CCDC" w:sz="4" w:space="0"/>
        <w:bottom w:val="single" w:color="92CCDC" w:sz="4" w:space="0"/>
      </w:tblBorders>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11">
    <w:name w:val="List Table 6 Colorful - Accent 6"/>
    <w:basedOn w:val="52"/>
    <w:qFormat/>
    <w:uiPriority w:val="99"/>
    <w:tblPr>
      <w:tblBorders>
        <w:top w:val="single" w:color="FAC090" w:sz="4" w:space="0"/>
        <w:bottom w:val="single" w:color="FAC090" w:sz="4" w:space="0"/>
      </w:tblBorders>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12">
    <w:name w:val="清单表 7 彩色1"/>
    <w:basedOn w:val="52"/>
    <w:qFormat/>
    <w:uiPriority w:val="99"/>
    <w:tblPr>
      <w:tblBorders>
        <w:right w:val="single" w:color="7E7E7E" w:sz="4" w:space="0"/>
      </w:tblBorders>
    </w:tblPr>
    <w:tblStylePr w:type="firstRow">
      <w:rPr>
        <w:rFonts w:ascii="Arial" w:hAnsi="Arial"/>
        <w:i/>
        <w:color w:val="7F7F7F"/>
        <w:sz w:val="22"/>
      </w:rPr>
      <w:tcPr>
        <w:tcBorders>
          <w:top w:val="nil"/>
          <w:left w:val="nil"/>
          <w:bottom w:val="single" w:color="7E7E7E" w:sz="4" w:space="0"/>
          <w:right w:val="nil"/>
        </w:tcBorders>
        <w:shd w:val="clear" w:color="CCE8CF" w:fill="CCE8CF"/>
      </w:tcPr>
    </w:tblStylePr>
    <w:tblStylePr w:type="lastRow">
      <w:rPr>
        <w:rFonts w:ascii="Arial" w:hAnsi="Arial"/>
        <w:i/>
        <w:color w:val="7F7F7F"/>
        <w:sz w:val="22"/>
      </w:rPr>
      <w:tcPr>
        <w:tcBorders>
          <w:top w:val="single" w:color="7E7E7E" w:sz="4" w:space="0"/>
          <w:left w:val="nil"/>
          <w:bottom w:val="nil"/>
          <w:right w:val="nil"/>
        </w:tcBorders>
        <w:shd w:val="clear" w:color="CCE8CF" w:fill="CCE8C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213">
    <w:name w:val="List Table 7 Colorful - Accent 1"/>
    <w:basedOn w:val="52"/>
    <w:qFormat/>
    <w:uiPriority w:val="99"/>
    <w:tblPr>
      <w:tblBorders>
        <w:right w:val="single" w:color="4F81BD" w:sz="4" w:space="0"/>
      </w:tblBorders>
    </w:tblPr>
    <w:tblStylePr w:type="firstRow">
      <w:rPr>
        <w:rFonts w:ascii="Arial" w:hAnsi="Arial"/>
        <w:i/>
        <w:color w:val="2A4B71"/>
        <w:sz w:val="22"/>
      </w:rPr>
      <w:tcPr>
        <w:tcBorders>
          <w:top w:val="nil"/>
          <w:left w:val="nil"/>
          <w:bottom w:val="single" w:color="4F81BD" w:sz="4" w:space="0"/>
          <w:right w:val="nil"/>
        </w:tcBorders>
        <w:shd w:val="clear" w:color="CCE8CF" w:fill="CCE8CF"/>
      </w:tcPr>
    </w:tblStylePr>
    <w:tblStylePr w:type="lastRow">
      <w:rPr>
        <w:rFonts w:ascii="Arial" w:hAnsi="Arial"/>
        <w:i/>
        <w:color w:val="2A4B71"/>
        <w:sz w:val="22"/>
      </w:rPr>
      <w:tcPr>
        <w:tcBorders>
          <w:top w:val="single" w:color="4F81BD" w:sz="4" w:space="0"/>
          <w:left w:val="nil"/>
          <w:bottom w:val="nil"/>
          <w:right w:val="nil"/>
        </w:tcBorders>
        <w:shd w:val="clear" w:color="CCE8CF" w:fill="CCE8C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14">
    <w:name w:val="List Table 7 Colorful - Accent 2"/>
    <w:basedOn w:val="52"/>
    <w:qFormat/>
    <w:uiPriority w:val="99"/>
    <w:tblPr>
      <w:tblBorders>
        <w:right w:val="single" w:color="D99795" w:sz="4" w:space="0"/>
      </w:tblBorders>
    </w:tblPr>
    <w:tblStylePr w:type="firstRow">
      <w:rPr>
        <w:rFonts w:ascii="Arial" w:hAnsi="Arial"/>
        <w:i/>
        <w:color w:val="D99795"/>
        <w:sz w:val="22"/>
      </w:rPr>
      <w:tcPr>
        <w:tcBorders>
          <w:top w:val="nil"/>
          <w:left w:val="nil"/>
          <w:bottom w:val="single" w:color="D99795" w:sz="4" w:space="0"/>
          <w:right w:val="nil"/>
        </w:tcBorders>
        <w:shd w:val="clear" w:color="CCE8CF" w:fill="CCE8CF"/>
      </w:tcPr>
    </w:tblStylePr>
    <w:tblStylePr w:type="lastRow">
      <w:rPr>
        <w:rFonts w:ascii="Arial" w:hAnsi="Arial"/>
        <w:i/>
        <w:color w:val="D99795"/>
        <w:sz w:val="22"/>
      </w:rPr>
      <w:tcPr>
        <w:tcBorders>
          <w:top w:val="single" w:color="D99795" w:sz="4" w:space="0"/>
          <w:left w:val="nil"/>
          <w:bottom w:val="nil"/>
          <w:right w:val="nil"/>
        </w:tcBorders>
        <w:shd w:val="clear" w:color="CCE8CF" w:fill="CCE8C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15">
    <w:name w:val="List Table 7 Colorful - Accent 3"/>
    <w:basedOn w:val="52"/>
    <w:qFormat/>
    <w:uiPriority w:val="99"/>
    <w:tblPr>
      <w:tblBorders>
        <w:right w:val="single" w:color="C3D69C" w:sz="4" w:space="0"/>
      </w:tblBorders>
    </w:tblPr>
    <w:tblStylePr w:type="firstRow">
      <w:rPr>
        <w:rFonts w:ascii="Arial" w:hAnsi="Arial"/>
        <w:i/>
        <w:color w:val="C3D69B"/>
        <w:sz w:val="22"/>
      </w:rPr>
      <w:tcPr>
        <w:tcBorders>
          <w:top w:val="nil"/>
          <w:left w:val="nil"/>
          <w:bottom w:val="single" w:color="C3D69C" w:sz="4" w:space="0"/>
          <w:right w:val="nil"/>
        </w:tcBorders>
        <w:shd w:val="clear" w:color="CCE8CF" w:fill="CCE8CF"/>
      </w:tcPr>
    </w:tblStylePr>
    <w:tblStylePr w:type="lastRow">
      <w:rPr>
        <w:rFonts w:ascii="Arial" w:hAnsi="Arial"/>
        <w:i/>
        <w:color w:val="C3D69B"/>
        <w:sz w:val="22"/>
      </w:rPr>
      <w:tcPr>
        <w:tcBorders>
          <w:top w:val="single" w:color="C3D69C" w:sz="4" w:space="0"/>
          <w:left w:val="nil"/>
          <w:bottom w:val="nil"/>
          <w:right w:val="nil"/>
        </w:tcBorders>
        <w:shd w:val="clear" w:color="CCE8CF" w:fill="CCE8C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16">
    <w:name w:val="List Table 7 Colorful - Accent 4"/>
    <w:basedOn w:val="52"/>
    <w:qFormat/>
    <w:uiPriority w:val="99"/>
    <w:tblPr>
      <w:tblBorders>
        <w:right w:val="single" w:color="B2A1C6" w:sz="4" w:space="0"/>
      </w:tblBorders>
    </w:tblPr>
    <w:tblStylePr w:type="firstRow">
      <w:rPr>
        <w:rFonts w:ascii="Arial" w:hAnsi="Arial"/>
        <w:i/>
        <w:color w:val="B2A1C7"/>
        <w:sz w:val="22"/>
      </w:rPr>
      <w:tcPr>
        <w:tcBorders>
          <w:top w:val="nil"/>
          <w:left w:val="nil"/>
          <w:bottom w:val="single" w:color="B2A1C6" w:sz="4" w:space="0"/>
          <w:right w:val="nil"/>
        </w:tcBorders>
        <w:shd w:val="clear" w:color="CCE8CF" w:fill="CCE8CF"/>
      </w:tcPr>
    </w:tblStylePr>
    <w:tblStylePr w:type="lastRow">
      <w:rPr>
        <w:rFonts w:ascii="Arial" w:hAnsi="Arial"/>
        <w:i/>
        <w:color w:val="B2A1C7"/>
        <w:sz w:val="22"/>
      </w:rPr>
      <w:tcPr>
        <w:tcBorders>
          <w:top w:val="single" w:color="B2A1C6" w:sz="4" w:space="0"/>
          <w:left w:val="nil"/>
          <w:bottom w:val="nil"/>
          <w:right w:val="nil"/>
        </w:tcBorders>
        <w:shd w:val="clear" w:color="CCE8CF" w:fill="CCE8C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17">
    <w:name w:val="List Table 7 Colorful - Accent 5"/>
    <w:basedOn w:val="52"/>
    <w:qFormat/>
    <w:uiPriority w:val="99"/>
    <w:tblPr>
      <w:tblBorders>
        <w:right w:val="single" w:color="92CCDC" w:sz="4" w:space="0"/>
      </w:tblBorders>
    </w:tblPr>
    <w:tblStylePr w:type="firstRow">
      <w:rPr>
        <w:rFonts w:ascii="Arial" w:hAnsi="Arial"/>
        <w:i/>
        <w:color w:val="93CDDC"/>
        <w:sz w:val="22"/>
      </w:rPr>
      <w:tcPr>
        <w:tcBorders>
          <w:top w:val="nil"/>
          <w:left w:val="nil"/>
          <w:bottom w:val="single" w:color="92CCDC" w:sz="4" w:space="0"/>
          <w:right w:val="nil"/>
        </w:tcBorders>
        <w:shd w:val="clear" w:color="CCE8CF" w:fill="CCE8CF"/>
      </w:tcPr>
    </w:tblStylePr>
    <w:tblStylePr w:type="lastRow">
      <w:rPr>
        <w:rFonts w:ascii="Arial" w:hAnsi="Arial"/>
        <w:i/>
        <w:color w:val="93CDDC"/>
        <w:sz w:val="22"/>
      </w:rPr>
      <w:tcPr>
        <w:tcBorders>
          <w:top w:val="single" w:color="92CCDC" w:sz="4" w:space="0"/>
          <w:left w:val="nil"/>
          <w:bottom w:val="nil"/>
          <w:right w:val="nil"/>
        </w:tcBorders>
        <w:shd w:val="clear" w:color="CCE8CF" w:fill="CCE8C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18">
    <w:name w:val="List Table 7 Colorful - Accent 6"/>
    <w:basedOn w:val="52"/>
    <w:qFormat/>
    <w:uiPriority w:val="99"/>
    <w:tblPr>
      <w:tblBorders>
        <w:right w:val="single" w:color="FAC090" w:sz="4" w:space="0"/>
      </w:tblBorders>
    </w:tblPr>
    <w:tblStylePr w:type="firstRow">
      <w:rPr>
        <w:rFonts w:ascii="Arial" w:hAnsi="Arial"/>
        <w:i/>
        <w:color w:val="FAC090"/>
        <w:sz w:val="22"/>
      </w:rPr>
      <w:tcPr>
        <w:tcBorders>
          <w:top w:val="nil"/>
          <w:left w:val="nil"/>
          <w:bottom w:val="single" w:color="FAC090" w:sz="4" w:space="0"/>
          <w:right w:val="nil"/>
        </w:tcBorders>
        <w:shd w:val="clear" w:color="CCE8CF" w:fill="CCE8CF"/>
      </w:tcPr>
    </w:tblStylePr>
    <w:tblStylePr w:type="lastRow">
      <w:rPr>
        <w:rFonts w:ascii="Arial" w:hAnsi="Arial"/>
        <w:i/>
        <w:color w:val="FAC090"/>
        <w:sz w:val="22"/>
      </w:rPr>
      <w:tcPr>
        <w:tcBorders>
          <w:top w:val="single" w:color="FAC090" w:sz="4" w:space="0"/>
          <w:left w:val="nil"/>
          <w:bottom w:val="nil"/>
          <w:right w:val="nil"/>
        </w:tcBorders>
        <w:shd w:val="clear" w:color="CCE8CF" w:fill="CCE8C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19">
    <w:name w:val="Lined - Accent"/>
    <w:basedOn w:val="52"/>
    <w:qFormat/>
    <w:uiPriority w:val="99"/>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0">
    <w:name w:val="Lined - Accent 1"/>
    <w:basedOn w:val="52"/>
    <w:qFormat/>
    <w:uiPriority w:val="99"/>
    <w:rPr>
      <w:color w:val="404040"/>
    </w:r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21">
    <w:name w:val="Lined - Accent 2"/>
    <w:basedOn w:val="52"/>
    <w:qFormat/>
    <w:uiPriority w:val="99"/>
    <w:rPr>
      <w:color w:val="404040"/>
    </w:r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2">
    <w:name w:val="Lined - Accent 3"/>
    <w:basedOn w:val="52"/>
    <w:qFormat/>
    <w:uiPriority w:val="99"/>
    <w:rPr>
      <w:color w:val="404040"/>
    </w:r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23">
    <w:name w:val="Lined - Accent 4"/>
    <w:basedOn w:val="52"/>
    <w:qFormat/>
    <w:uiPriority w:val="99"/>
    <w:rPr>
      <w:color w:val="404040"/>
    </w:r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4">
    <w:name w:val="Lined - Accent 5"/>
    <w:basedOn w:val="52"/>
    <w:qFormat/>
    <w:uiPriority w:val="99"/>
    <w:rPr>
      <w:color w:val="404040"/>
    </w:r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5">
    <w:name w:val="Lined - Accent 6"/>
    <w:basedOn w:val="52"/>
    <w:qFormat/>
    <w:uiPriority w:val="99"/>
    <w:rPr>
      <w:color w:val="404040"/>
    </w:r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26">
    <w:name w:val="Bordered &amp; Lined - Accent"/>
    <w:basedOn w:val="52"/>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7">
    <w:name w:val="Bordered &amp; Lined - Accent 1"/>
    <w:basedOn w:val="52"/>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28">
    <w:name w:val="Bordered &amp; Lined - Accent 2"/>
    <w:basedOn w:val="5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9">
    <w:name w:val="Bordered &amp; Lined - Accent 3"/>
    <w:basedOn w:val="52"/>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30">
    <w:name w:val="Bordered &amp; Lined - Accent 4"/>
    <w:basedOn w:val="52"/>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31">
    <w:name w:val="Bordered &amp; Lined - Accent 5"/>
    <w:basedOn w:val="52"/>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32">
    <w:name w:val="Bordered &amp; Lined - Accent 6"/>
    <w:basedOn w:val="52"/>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33">
    <w:name w:val="Bordered"/>
    <w:basedOn w:val="52"/>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234">
    <w:name w:val="Bordered - Accent 1"/>
    <w:basedOn w:val="52"/>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235">
    <w:name w:val="Bordered - Accent 2"/>
    <w:basedOn w:val="5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236">
    <w:name w:val="Bordered - Accent 3"/>
    <w:basedOn w:val="52"/>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37">
    <w:name w:val="Bordered - Accent 4"/>
    <w:basedOn w:val="52"/>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38">
    <w:name w:val="Bordered - Accent 5"/>
    <w:basedOn w:val="52"/>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239">
    <w:name w:val="Bordered - Accent 6"/>
    <w:basedOn w:val="52"/>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40">
    <w:name w:val="脚注文本 字符"/>
    <w:link w:val="2"/>
    <w:qFormat/>
    <w:uiPriority w:val="99"/>
    <w:rPr>
      <w:sz w:val="18"/>
    </w:rPr>
  </w:style>
  <w:style w:type="character" w:customStyle="1" w:styleId="241">
    <w:name w:val="尾注文本 字符"/>
    <w:link w:val="36"/>
    <w:qFormat/>
    <w:uiPriority w:val="99"/>
    <w:rPr>
      <w:sz w:val="20"/>
    </w:rPr>
  </w:style>
  <w:style w:type="paragraph" w:customStyle="1" w:styleId="242">
    <w:name w:val="TOC Heading_8feffb13-4ad0-4ab3-bc39-a202b1aec933"/>
    <w:qFormat/>
    <w:uiPriority w:val="39"/>
    <w:rPr>
      <w:rFonts w:ascii="Times New Roman" w:hAnsi="Times New Roman" w:eastAsia="宋体" w:cs="Times New Roman"/>
      <w:lang w:val="en-US" w:eastAsia="zh-CN" w:bidi="ar-SA"/>
    </w:rPr>
  </w:style>
  <w:style w:type="character" w:customStyle="1" w:styleId="243">
    <w:name w:val="文档结构图 字符"/>
    <w:basedOn w:val="54"/>
    <w:link w:val="15"/>
    <w:qFormat/>
    <w:uiPriority w:val="0"/>
    <w:rPr>
      <w:rFonts w:ascii="宋体"/>
      <w:sz w:val="18"/>
      <w:szCs w:val="18"/>
    </w:rPr>
  </w:style>
  <w:style w:type="character" w:customStyle="1" w:styleId="244">
    <w:name w:val="批注文字 字符"/>
    <w:link w:val="16"/>
    <w:qFormat/>
    <w:uiPriority w:val="0"/>
    <w:rPr>
      <w:rFonts w:ascii="Times New Roman" w:hAnsi="Times New Roman" w:eastAsia="宋体" w:cs="Times New Roman"/>
      <w:sz w:val="21"/>
      <w:szCs w:val="24"/>
    </w:rPr>
  </w:style>
  <w:style w:type="character" w:customStyle="1" w:styleId="245">
    <w:name w:val="纯文本 字符"/>
    <w:link w:val="34"/>
    <w:qFormat/>
    <w:uiPriority w:val="0"/>
    <w:rPr>
      <w:rFonts w:ascii="宋体" w:hAnsi="Courier New" w:eastAsia="宋体" w:cs="Times New Roman"/>
      <w:sz w:val="21"/>
      <w:szCs w:val="21"/>
      <w:lang w:bidi="ar-SA"/>
    </w:rPr>
  </w:style>
  <w:style w:type="character" w:customStyle="1" w:styleId="246">
    <w:name w:val="批注框文本 字符"/>
    <w:link w:val="37"/>
    <w:qFormat/>
    <w:uiPriority w:val="0"/>
    <w:rPr>
      <w:rFonts w:ascii="Times New Roman" w:hAnsi="Times New Roman" w:eastAsia="宋体" w:cs="Times New Roman"/>
      <w:sz w:val="18"/>
      <w:szCs w:val="18"/>
    </w:rPr>
  </w:style>
  <w:style w:type="character" w:customStyle="1" w:styleId="247">
    <w:name w:val="批注主题 字符"/>
    <w:link w:val="49"/>
    <w:qFormat/>
    <w:uiPriority w:val="0"/>
    <w:rPr>
      <w:rFonts w:ascii="Times New Roman" w:hAnsi="Times New Roman" w:eastAsia="宋体" w:cs="Times New Roman"/>
      <w:b/>
      <w:bCs/>
      <w:sz w:val="21"/>
      <w:szCs w:val="24"/>
    </w:rPr>
  </w:style>
  <w:style w:type="character" w:customStyle="1" w:styleId="248">
    <w:name w:val="fontstyle01"/>
    <w:qFormat/>
    <w:uiPriority w:val="0"/>
    <w:rPr>
      <w:rFonts w:hint="eastAsia" w:ascii="仿宋" w:hAnsi="仿宋" w:eastAsia="仿宋"/>
      <w:color w:val="000000"/>
      <w:sz w:val="24"/>
      <w:szCs w:val="24"/>
    </w:rPr>
  </w:style>
  <w:style w:type="character" w:customStyle="1" w:styleId="249">
    <w:name w:val="font81"/>
    <w:qFormat/>
    <w:uiPriority w:val="0"/>
    <w:rPr>
      <w:rFonts w:hint="eastAsia" w:ascii="宋体" w:hAnsi="宋体" w:eastAsia="宋体" w:cs="宋体"/>
      <w:color w:val="FF0000"/>
      <w:sz w:val="20"/>
      <w:szCs w:val="20"/>
      <w:u w:val="none"/>
    </w:rPr>
  </w:style>
  <w:style w:type="character" w:customStyle="1" w:styleId="250">
    <w:name w:val="font51"/>
    <w:qFormat/>
    <w:uiPriority w:val="0"/>
    <w:rPr>
      <w:rFonts w:hint="eastAsia" w:ascii="宋体" w:hAnsi="宋体" w:eastAsia="宋体" w:cs="宋体"/>
      <w:color w:val="000000"/>
      <w:sz w:val="20"/>
      <w:szCs w:val="20"/>
      <w:u w:val="none"/>
    </w:rPr>
  </w:style>
  <w:style w:type="character" w:customStyle="1" w:styleId="251">
    <w:name w:val="font21"/>
    <w:basedOn w:val="54"/>
    <w:qFormat/>
    <w:uiPriority w:val="0"/>
    <w:rPr>
      <w:rFonts w:hint="eastAsia" w:ascii="宋体" w:hAnsi="宋体" w:eastAsia="宋体" w:cs="宋体"/>
      <w:color w:val="000000"/>
      <w:sz w:val="20"/>
      <w:szCs w:val="20"/>
      <w:u w:val="none"/>
    </w:rPr>
  </w:style>
  <w:style w:type="paragraph" w:customStyle="1" w:styleId="252">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53">
    <w:name w:val="正文 缩进"/>
    <w:basedOn w:val="1"/>
    <w:qFormat/>
    <w:uiPriority w:val="0"/>
    <w:pPr>
      <w:spacing w:line="580" w:lineRule="exact"/>
      <w:ind w:firstLine="640"/>
    </w:pPr>
  </w:style>
  <w:style w:type="paragraph" w:customStyle="1" w:styleId="254">
    <w:name w:val="默认段落字体 Para Char Char Char Char Char Char Char"/>
    <w:basedOn w:val="1"/>
    <w:qFormat/>
    <w:uiPriority w:val="0"/>
    <w:rPr>
      <w:rFonts w:ascii="Tahoma" w:hAnsi="Tahoma"/>
      <w:sz w:val="24"/>
      <w:szCs w:val="20"/>
    </w:rPr>
  </w:style>
  <w:style w:type="paragraph" w:customStyle="1" w:styleId="255">
    <w:name w:val="Body text|1"/>
    <w:basedOn w:val="1"/>
    <w:qFormat/>
    <w:uiPriority w:val="0"/>
    <w:pPr>
      <w:spacing w:line="415" w:lineRule="auto"/>
      <w:ind w:firstLine="400"/>
      <w:jc w:val="left"/>
    </w:pPr>
    <w:rPr>
      <w:rFonts w:hint="eastAsia" w:ascii="宋体" w:hAnsi="宋体" w:cs="宋体"/>
      <w:color w:val="000000"/>
      <w:sz w:val="30"/>
      <w:szCs w:val="30"/>
    </w:rPr>
  </w:style>
  <w:style w:type="paragraph" w:customStyle="1" w:styleId="256">
    <w:name w:val="_HT_正文"/>
    <w:basedOn w:val="1"/>
    <w:qFormat/>
    <w:uiPriority w:val="0"/>
    <w:pPr>
      <w:spacing w:line="360" w:lineRule="auto"/>
      <w:ind w:firstLine="200"/>
    </w:pPr>
    <w:rPr>
      <w:sz w:val="24"/>
    </w:rPr>
  </w:style>
  <w:style w:type="paragraph" w:styleId="257">
    <w:name w:val="List Paragraph"/>
    <w:basedOn w:val="1"/>
    <w:qFormat/>
    <w:uiPriority w:val="0"/>
    <w:pPr>
      <w:ind w:firstLine="420"/>
    </w:pPr>
  </w:style>
  <w:style w:type="paragraph" w:customStyle="1" w:styleId="258">
    <w:name w:val="Char"/>
    <w:basedOn w:val="1"/>
    <w:qFormat/>
    <w:uiPriority w:val="0"/>
    <w:pPr>
      <w:tabs>
        <w:tab w:val="left" w:pos="360"/>
      </w:tabs>
    </w:pPr>
    <w:rPr>
      <w:sz w:val="24"/>
    </w:rPr>
  </w:style>
  <w:style w:type="paragraph" w:customStyle="1" w:styleId="259">
    <w:name w:val="Body text|3"/>
    <w:basedOn w:val="1"/>
    <w:qFormat/>
    <w:uiPriority w:val="0"/>
    <w:pPr>
      <w:ind w:left="260" w:hanging="260"/>
      <w:jc w:val="left"/>
    </w:pPr>
    <w:rPr>
      <w:color w:val="000000"/>
      <w:sz w:val="26"/>
      <w:szCs w:val="26"/>
    </w:rPr>
  </w:style>
  <w:style w:type="paragraph" w:customStyle="1" w:styleId="260">
    <w:name w:val="NB正文"/>
    <w:qFormat/>
    <w:uiPriority w:val="0"/>
    <w:pPr>
      <w:spacing w:line="560" w:lineRule="exact"/>
      <w:ind w:firstLine="200"/>
    </w:pPr>
    <w:rPr>
      <w:rFonts w:ascii="宋体" w:hAnsi="宋体" w:eastAsia="宋体" w:cs="宋体"/>
      <w:bCs/>
      <w:sz w:val="24"/>
      <w:szCs w:val="52"/>
      <w:lang w:val="en-US" w:eastAsia="zh-CN" w:bidi="ar-SA"/>
    </w:rPr>
  </w:style>
  <w:style w:type="paragraph" w:customStyle="1" w:styleId="261">
    <w:name w:val="表格3"/>
    <w:basedOn w:val="1"/>
    <w:qFormat/>
    <w:uiPriority w:val="0"/>
    <w:pPr>
      <w:jc w:val="center"/>
    </w:pPr>
  </w:style>
  <w:style w:type="character" w:customStyle="1" w:styleId="262">
    <w:name w:val="NormalCharacter"/>
    <w:link w:val="63"/>
    <w:qFormat/>
    <w:uiPriority w:val="0"/>
    <w:rPr>
      <w:rFonts w:hint="default" w:ascii="Times New Roman" w:hAnsi="Times New Roman" w:eastAsia="宋体" w:cs="Times New Roman"/>
      <w:sz w:val="21"/>
      <w:szCs w:val="24"/>
      <w:lang w:val="en-US" w:eastAsia="zh-CN" w:bidi="ar-SA"/>
    </w:rPr>
  </w:style>
  <w:style w:type="paragraph" w:customStyle="1" w:styleId="263">
    <w:name w:val="列表段落1"/>
    <w:basedOn w:val="1"/>
    <w:qFormat/>
    <w:uiPriority w:val="0"/>
    <w:pPr>
      <w:ind w:firstLine="420"/>
    </w:pPr>
  </w:style>
  <w:style w:type="paragraph" w:customStyle="1" w:styleId="264">
    <w:name w:val="段落"/>
    <w:basedOn w:val="1"/>
    <w:qFormat/>
    <w:uiPriority w:val="0"/>
    <w:pPr>
      <w:spacing w:line="590" w:lineRule="exact"/>
      <w:ind w:firstLine="560"/>
    </w:pPr>
    <w:rPr>
      <w:rFonts w:eastAsia="方正仿宋_GBK"/>
      <w:sz w:val="32"/>
      <w:szCs w:val="28"/>
    </w:rPr>
  </w:style>
  <w:style w:type="character" w:customStyle="1" w:styleId="265">
    <w:name w:val="3 字符"/>
    <w:basedOn w:val="54"/>
    <w:link w:val="266"/>
    <w:qFormat/>
    <w:uiPriority w:val="0"/>
    <w:rPr>
      <w:rFonts w:ascii="Times New Roman" w:hAnsi="Times New Roman" w:eastAsia="方正仿宋_GBK" w:cs="Times New Roman"/>
      <w:sz w:val="32"/>
      <w:szCs w:val="36"/>
    </w:rPr>
  </w:style>
  <w:style w:type="paragraph" w:customStyle="1" w:styleId="266">
    <w:name w:val="3"/>
    <w:basedOn w:val="1"/>
    <w:link w:val="265"/>
    <w:qFormat/>
    <w:uiPriority w:val="0"/>
    <w:pPr>
      <w:spacing w:line="588" w:lineRule="exact"/>
      <w:ind w:firstLine="640"/>
    </w:pPr>
    <w:rPr>
      <w:rFonts w:eastAsia="方正仿宋_GBK"/>
      <w:sz w:val="32"/>
      <w:szCs w:val="36"/>
    </w:rPr>
  </w:style>
  <w:style w:type="character" w:customStyle="1" w:styleId="267">
    <w:name w:val="font112"/>
    <w:qFormat/>
    <w:uiPriority w:val="0"/>
    <w:rPr>
      <w:rFonts w:hint="eastAsia" w:ascii="仿宋" w:hAnsi="仿宋" w:eastAsia="仿宋" w:cs="仿宋"/>
      <w:color w:val="FF0000"/>
      <w:sz w:val="20"/>
      <w:szCs w:val="20"/>
      <w:u w:val="none"/>
    </w:rPr>
  </w:style>
  <w:style w:type="character" w:customStyle="1" w:styleId="268">
    <w:name w:val="font71"/>
    <w:basedOn w:val="54"/>
    <w:qFormat/>
    <w:uiPriority w:val="0"/>
    <w:rPr>
      <w:rFonts w:ascii="宋体" w:hAnsi="宋体" w:eastAsia="宋体" w:cs="宋体"/>
      <w:color w:val="000000"/>
      <w:sz w:val="22"/>
      <w:szCs w:val="22"/>
      <w:u w:val="none"/>
    </w:rPr>
  </w:style>
  <w:style w:type="paragraph" w:customStyle="1" w:styleId="269">
    <w:name w:val="纯文本1"/>
    <w:basedOn w:val="1"/>
    <w:qFormat/>
    <w:uiPriority w:val="0"/>
    <w:rPr>
      <w:rFonts w:ascii="宋体" w:hAnsi="Courier New"/>
      <w:szCs w:val="20"/>
    </w:rPr>
  </w:style>
  <w:style w:type="paragraph" w:customStyle="1" w:styleId="270">
    <w:name w:val="表格标题"/>
    <w:basedOn w:val="1"/>
    <w:qFormat/>
    <w:uiPriority w:val="1"/>
    <w:pPr>
      <w:widowControl/>
      <w:spacing w:line="360" w:lineRule="auto"/>
      <w:jc w:val="center"/>
    </w:pPr>
    <w:rPr>
      <w:rFonts w:eastAsia="仿宋_GB2312"/>
      <w:b/>
      <w:sz w:val="24"/>
      <w:szCs w:val="21"/>
    </w:rPr>
  </w:style>
  <w:style w:type="paragraph" w:customStyle="1" w:styleId="271">
    <w:name w:val="表中文字1"/>
    <w:basedOn w:val="1"/>
    <w:qFormat/>
    <w:uiPriority w:val="0"/>
    <w:pPr>
      <w:jc w:val="center"/>
    </w:pPr>
    <w:rPr>
      <w:rFonts w:eastAsia="仿宋_GB2312"/>
    </w:rPr>
  </w:style>
  <w:style w:type="table" w:customStyle="1" w:styleId="272">
    <w:name w:val="网格型1"/>
    <w:basedOn w:val="5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73">
    <w:name w:val="正文1111"/>
    <w:next w:val="27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4">
    <w:name w:val="文本块2"/>
    <w:basedOn w:val="273"/>
    <w:qFormat/>
    <w:uiPriority w:val="0"/>
    <w:pPr>
      <w:ind w:left="420" w:right="33"/>
      <w:jc w:val="left"/>
    </w:pPr>
    <w:rPr>
      <w:sz w:val="24"/>
      <w:szCs w:val="20"/>
    </w:rPr>
  </w:style>
  <w:style w:type="paragraph" w:customStyle="1" w:styleId="275">
    <w:name w:val="T表格中正文"/>
    <w:basedOn w:val="1"/>
    <w:qFormat/>
    <w:uiPriority w:val="0"/>
    <w:pPr>
      <w:widowControl/>
      <w:spacing w:after="120"/>
      <w:jc w:val="center"/>
    </w:pPr>
    <w:rPr>
      <w:sz w:val="20"/>
      <w:szCs w:val="20"/>
    </w:rPr>
  </w:style>
  <w:style w:type="paragraph" w:customStyle="1" w:styleId="276">
    <w:name w:val="正文_16_0_0"/>
    <w:next w:val="277"/>
    <w:qFormat/>
    <w:uiPriority w:val="0"/>
    <w:pPr>
      <w:widowControl w:val="0"/>
      <w:jc w:val="both"/>
    </w:pPr>
    <w:rPr>
      <w:rFonts w:ascii="Calibri" w:hAnsi="Calibri" w:eastAsia="宋体" w:cs="Times New Roman"/>
      <w:sz w:val="21"/>
      <w:szCs w:val="22"/>
      <w:lang w:val="en-US" w:eastAsia="zh-CN" w:bidi="ar-SA"/>
    </w:rPr>
  </w:style>
  <w:style w:type="paragraph" w:customStyle="1" w:styleId="277">
    <w:name w:val="正文缩进_1_0_0"/>
    <w:basedOn w:val="276"/>
    <w:unhideWhenUsed/>
    <w:qFormat/>
    <w:uiPriority w:val="0"/>
    <w:pPr>
      <w:widowControl/>
      <w:ind w:firstLine="420"/>
      <w:jc w:val="left"/>
    </w:pPr>
    <w:rPr>
      <w:rFonts w:ascii="Times New Roman" w:hAnsi="Times New Roman" w:eastAsia="Times New Roman"/>
      <w:sz w:val="20"/>
      <w:szCs w:val="24"/>
    </w:rPr>
  </w:style>
  <w:style w:type="paragraph" w:customStyle="1" w:styleId="278">
    <w:name w:val="标题 11"/>
    <w:basedOn w:val="26"/>
    <w:next w:val="26"/>
    <w:qFormat/>
    <w:uiPriority w:val="0"/>
    <w:pPr>
      <w:keepNext/>
      <w:keepLines/>
      <w:spacing w:line="578" w:lineRule="auto"/>
      <w:jc w:val="center"/>
      <w:outlineLvl w:val="0"/>
    </w:pPr>
    <w:rPr>
      <w:rFonts w:eastAsia="新宋体"/>
      <w:b/>
      <w:bCs/>
      <w:sz w:val="30"/>
      <w:szCs w:val="44"/>
    </w:rPr>
  </w:style>
  <w:style w:type="paragraph" w:customStyle="1" w:styleId="279">
    <w:name w:val="Table Text"/>
    <w:basedOn w:val="1"/>
    <w:semiHidden/>
    <w:qFormat/>
    <w:uiPriority w:val="0"/>
    <w:rPr>
      <w:rFonts w:ascii="宋体" w:hAnsi="宋体" w:cs="宋体"/>
      <w:szCs w:val="21"/>
      <w:lang w:eastAsia="en-US"/>
    </w:rPr>
  </w:style>
  <w:style w:type="table" w:customStyle="1" w:styleId="28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42</Pages>
  <Words>21423</Words>
  <Characters>22921</Characters>
  <Lines>734</Lines>
  <Paragraphs>716</Paragraphs>
  <TotalTime>4</TotalTime>
  <ScaleCrop>false</ScaleCrop>
  <LinksUpToDate>false</LinksUpToDate>
  <CharactersWithSpaces>24184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2026-05-26T02:11:00Z</dcterms:created>
  <dc:creator>xz</dc:creator>
  <cp:lastModifiedBy>- 宁缺毋滥 ≈</cp:lastModifiedBy>
  <dcterms:modified xsi:type="dcterms:W3CDTF">2026-06-11T02:07:32Z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0CD68C7B3CDD4A1F8DD634C87288AB08_13</vt:lpwstr>
  </property>
  <property fmtid="{D5CDD505-2E9C-101B-9397-08002B2CF9AE}" pid="4" name="KSOTemplateDocerSaveRecord">
    <vt:lpwstr>eyJoZGlkIjoiM2EwMGMxYjcyYzUwNTcxNDgzMWY5YTYwNjY2YWQ4YzkiLCJ1c2VySWQiOiIyNTMzMDc5MDcifQ==</vt:lpwstr>
  </property>
</Properties>
</file>