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ind w:left="0" w:firstLine="0"/>
        <w:jc w:val="center"/>
        <w:spacing w:line="240" w:lineRule="auto"/>
        <w:widowControl w:val="off"/>
        <w:rPr>
          <w:rFonts w:hint="eastAsia" w:ascii="宋体" w:hAnsi="宋体" w:eastAsia="宋体" w:cs="宋体"/>
          <w:sz w:val="144"/>
          <w:szCs w:val="144"/>
        </w:rPr>
      </w:pPr>
      <w:r>
        <w:rPr>
          <w:rFonts w:hint="eastAsia" w:ascii="宋体" w:hAnsi="宋体" w:eastAsia="宋体" w:cs="宋体"/>
          <w:b/>
          <w:spacing w:val="76"/>
          <w:sz w:val="144"/>
          <w:szCs w:val="144"/>
        </w:rPr>
        <w:t xml:space="preserve">招标文件</w:t>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600" w:hanging="160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丰县经济开发区污染物排放限值限量运维管理服务项目</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w:t>
      </w:r>
      <w:r>
        <w:rPr>
          <w:rFonts w:hint="eastAsia" w:ascii="宋体" w:hAnsi="宋体" w:cs="宋体"/>
          <w:color w:val="auto"/>
          <w:sz w:val="32"/>
          <w:szCs w:val="32"/>
          <w:highlight w:val="none"/>
          <w:lang w:eastAsia="zh-CN"/>
        </w:rPr>
        <w:t xml:space="preserve">JSZC-320321-ZZXH-G2026-0003</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采 购 </w:t>
      </w:r>
      <w:r>
        <w:rPr>
          <w:rFonts w:hint="eastAsia" w:ascii="宋体" w:hAnsi="宋体" w:eastAsia="宋体" w:cs="宋体"/>
          <w:color w:val="auto"/>
          <w:sz w:val="32"/>
          <w:szCs w:val="32"/>
          <w:highlight w:val="none"/>
        </w:rPr>
        <w:t xml:space="preserve">人：</w:t>
      </w:r>
      <w:r>
        <w:rPr>
          <w:rFonts w:hint="eastAsia" w:ascii="宋体" w:hAnsi="宋体" w:eastAsia="宋体" w:cs="宋体"/>
          <w:color w:val="auto"/>
          <w:sz w:val="32"/>
          <w:szCs w:val="32"/>
          <w:highlight w:val="none"/>
          <w:lang w:eastAsia="zh-CN"/>
        </w:rPr>
        <w:t xml:space="preserve">江苏丰县经济开发区管理委员会</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 代理机构：</w:t>
      </w:r>
      <w:r>
        <w:rPr>
          <w:rFonts w:hint="eastAsia" w:ascii="宋体" w:hAnsi="宋体" w:eastAsia="宋体" w:cs="宋体"/>
          <w:color w:val="auto"/>
          <w:sz w:val="32"/>
          <w:szCs w:val="32"/>
          <w:highlight w:val="none"/>
          <w:lang w:eastAsia="zh-CN"/>
        </w:rPr>
        <w:t xml:space="preserve">中正信合项目管理有限公司</w:t>
      </w:r>
      <w:r/>
    </w:p>
    <w:p>
      <w:pPr>
        <w:ind w:left="0" w:firstLine="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月</w:t>
      </w:r>
      <w:r/>
    </w:p>
    <w:p>
      <w:pPr>
        <w:ind w:left="0" w:firstLine="0"/>
        <w:jc w:val="center"/>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_Toc15932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_Toc22405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_Toc23220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 xml:space="preserve">评</w:t>
      </w:r>
      <w:r>
        <w:rPr>
          <w:rFonts w:hint="eastAsia" w:ascii="宋体" w:hAnsi="宋体" w:eastAsia="宋体" w:cs="宋体"/>
          <w:sz w:val="28"/>
          <w:szCs w:val="28"/>
          <w:highlight w:val="none"/>
          <w:lang w:eastAsia="zh-CN"/>
        </w:rPr>
        <w:t xml:space="preserve">分</w:t>
      </w:r>
      <w:r>
        <w:rPr>
          <w:rFonts w:hint="eastAsia" w:ascii="宋体" w:hAnsi="宋体" w:eastAsia="宋体" w:cs="宋体"/>
          <w:sz w:val="28"/>
          <w:szCs w:val="28"/>
          <w:highlight w:val="none"/>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_Toc21350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_Toc21350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_Toc11199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_Toc16344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_Toc16344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firstLine="0"/>
        <w:keepLines w:val="0"/>
        <w:keepNext w:val="0"/>
        <w:pageBreakBefore w:val="0"/>
        <w:spacing w:line="480" w:lineRule="auto"/>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pStyle w:val="1028"/>
        <w:jc w:val="center"/>
        <w:spacing w:line="520" w:lineRule="exact"/>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pStyle w:val="1028"/>
        <w:ind w:left="0" w:firstLine="0"/>
        <w:jc w:val="both"/>
        <w:spacing w:line="52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江苏丰县经济开发区管理委员会</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丰县经济开发区污染物排放限值限量运维管理服务项目</w:t>
      </w:r>
      <w:r>
        <w:rPr>
          <w:rFonts w:hint="eastAsia" w:ascii="宋体" w:hAnsi="宋体" w:eastAsia="宋体" w:cs="宋体"/>
          <w:b/>
          <w:color w:val="auto"/>
          <w:sz w:val="36"/>
          <w:szCs w:val="36"/>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70"/>
        <w:ind w:left="0" w:firstLine="0"/>
        <w:jc w:val="left"/>
        <w:keepLines/>
        <w:keepNext/>
        <w:pageBreakBefore w:val="0"/>
        <w:spacing w:after="0"/>
        <w:widowControl/>
        <w:rPr>
          <w:rFonts w:hint="eastAsia" w:ascii="宋体" w:hAnsi="宋体" w:eastAsia="宋体" w:cs="宋体"/>
        </w:rPr>
      </w:pPr>
      <w:r/>
      <w:bookmarkStart w:id="0" w:name="_Toc523404695"/>
      <w:r/>
      <w:r/>
    </w:p>
    <w:p>
      <w:pPr>
        <w:pStyle w:val="970"/>
        <w:ind w:left="0" w:firstLine="0"/>
        <w:jc w:val="center"/>
        <w:keepLines/>
        <w:keepNext/>
        <w:pageBreakBefore w:val="0"/>
        <w:spacing w:after="0"/>
        <w:widowControl/>
        <w:rPr>
          <w:rFonts w:hint="eastAsia" w:ascii="宋体" w:hAnsi="宋体" w:eastAsia="宋体" w:cs="宋体"/>
        </w:rPr>
      </w:pPr>
      <w:r/>
      <w:bookmarkStart w:id="1" w:name="_Toc15932"/>
      <w:r>
        <w:rPr>
          <w:rFonts w:hint="eastAsia" w:ascii="宋体" w:hAnsi="宋体" w:eastAsia="宋体" w:cs="宋体"/>
        </w:rPr>
        <w:t xml:space="preserve">第一章 投标邀请</w:t>
      </w:r>
      <w:bookmarkEnd w:id="0"/>
      <w:r/>
      <w:bookmarkEnd w:id="1"/>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江苏丰县经济开发区管理委员会</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(一)项目名称：</w:t>
      </w:r>
      <w:r>
        <w:rPr>
          <w:rFonts w:hint="eastAsia" w:ascii="宋体" w:hAnsi="宋体" w:eastAsia="宋体" w:cs="宋体"/>
          <w:color w:val="auto"/>
          <w:highlight w:val="none"/>
          <w:lang w:eastAsia="zh-CN"/>
        </w:rPr>
        <w:t xml:space="preserve">丰县经济开发区污染物排放限值限量运维管理服务项目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②潜在供应商访问“苏采云”系统的网络地址和方法：“苏采云”系统的网址：</w:t>
      </w:r>
      <w:r>
        <w:rPr>
          <w:rFonts w:hint="eastAsia" w:ascii="宋体" w:hAnsi="宋体" w:eastAsia="宋体" w:cs="宋体"/>
          <w:color w:val="auto"/>
          <w:highlight w:val="none"/>
          <w:lang w:val="en-US" w:eastAsia="zh-CN"/>
        </w:rPr>
        <w:t xml:space="preserve">http://jszfcg.jsczt.cn/</w:t>
      </w:r>
      <w:r>
        <w:rPr>
          <w:rFonts w:hint="eastAsia" w:ascii="宋体" w:hAnsi="宋体" w:eastAsia="宋体" w:cs="宋体"/>
          <w:color w:val="auto"/>
          <w:highlight w:val="none"/>
        </w:rPr>
        <w:t xml:space="preserve">；或进入徐州政府采购网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③“CA数字证书”的获取：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highlight w:val="none"/>
          <w:lang w:val="en-US" w:eastAsia="zh-CN"/>
        </w:rPr>
        <w:t xml:space="preserve">办事指南</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资料下载</w:t>
      </w:r>
      <w:r>
        <w:rPr>
          <w:rFonts w:hint="eastAsia" w:ascii="宋体" w:hAnsi="宋体" w:eastAsia="宋体" w:cs="宋体"/>
          <w:color w:val="auto"/>
          <w:highlight w:val="none"/>
        </w:rPr>
        <w:t xml:space="preserve">”中的《“苏采云”系统政务CA办理材料、操作手册及控件下载》。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22</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22</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keepLines w:val="0"/>
        <w:keepNext w:val="0"/>
        <w:pageBreakBefore w:val="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（三）开标地点：“苏采云”系统“开标大厅”或徐州政府采购网（网址：https://czj.xz.gov.cn/zfcg/）首页，点击“苏采云”登录后，进入系统“开标大厅”。</w:t>
      </w:r>
      <w:r>
        <w:rPr>
          <w:rFonts w:hint="eastAsia" w:ascii="宋体" w:hAnsi="宋体" w:eastAsia="宋体" w:cs="宋体"/>
          <w:color w:val="auto"/>
          <w:highlight w:val="none"/>
          <w:lang w:val="en-US" w:eastAsia="zh-CN"/>
        </w:rPr>
        <w:t xml:space="preserve">  </w:t>
      </w:r>
      <w:r/>
    </w:p>
    <w:p>
      <w:pPr>
        <w:ind w:firstLine="482"/>
        <w:keepLines w:val="0"/>
        <w:keepNext w:val="0"/>
        <w:pageBreakBefore w:val="0"/>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江苏丰县经济开发区管理委员会</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val="en-US" w:eastAsia="zh-CN"/>
        </w:rPr>
        <w:t xml:space="preserve">徐州丰县经济开发区飞龙湖之窗</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（三）联系方式：13655210717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仇艳芳</w:t>
      </w: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徐州市云龙区美的翰城商业综合楼1-2106-2</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（三）联系方法：</w:t>
      </w:r>
      <w:r>
        <w:rPr>
          <w:rFonts w:hint="eastAsia" w:ascii="宋体" w:hAnsi="宋体" w:eastAsia="宋体" w:cs="宋体"/>
          <w:color w:val="auto"/>
          <w:highlight w:val="none"/>
          <w:lang w:eastAsia="zh-CN"/>
        </w:rPr>
        <w:t xml:space="preserve">13626161520</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阚芳</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2" w:name="_Toc22828"/>
      <w:r>
        <w:rPr>
          <w:rFonts w:hint="eastAsia" w:ascii="宋体" w:hAnsi="宋体" w:eastAsia="宋体" w:cs="宋体"/>
        </w:rPr>
        <w:t xml:space="preserve">第二章 投标人须知</w:t>
      </w:r>
      <w:bookmarkEnd w:id="2"/>
      <w:r/>
      <w:r/>
    </w:p>
    <w:p>
      <w:pPr>
        <w:ind w:left="0" w:firstLine="0"/>
        <w:jc w:val="center"/>
        <w:rPr>
          <w:rFonts w:hint="eastAsia" w:ascii="宋体" w:hAnsi="宋体" w:eastAsia="宋体" w:cs="宋体"/>
          <w:b/>
          <w:bCs/>
        </w:rPr>
      </w:pPr>
      <w:r>
        <w:rPr>
          <w:rFonts w:hint="eastAsia" w:ascii="宋体" w:hAnsi="宋体" w:eastAsia="宋体" w:cs="宋体"/>
          <w:b/>
          <w:bCs/>
        </w:rPr>
        <w:t xml:space="preserve">一、总则</w:t>
      </w:r>
      <w:r/>
    </w:p>
    <w:p>
      <w:pPr>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rPr>
          <w:rFonts w:hint="eastAsia" w:ascii="宋体" w:hAnsi="宋体" w:eastAsia="宋体" w:cs="宋体"/>
        </w:rPr>
      </w:pPr>
      <w:r>
        <w:rPr>
          <w:rFonts w:hint="eastAsia" w:ascii="宋体" w:hAnsi="宋体" w:eastAsia="宋体" w:cs="宋体"/>
        </w:rPr>
        <w:t xml:space="preserve">①本项目应当履行促进绿色低碳循环发展，执行国家相关绿色标准，推动环保、节能、节水、循环、低碳、再生、有机等绿色产品和相关绿色服务、绿色基础设施应用的要求。</w:t>
      </w:r>
      <w:r/>
    </w:p>
    <w:p>
      <w:pPr>
        <w:rPr>
          <w:rFonts w:hint="eastAsia" w:ascii="宋体" w:hAnsi="宋体" w:eastAsia="宋体" w:cs="宋体"/>
          <w:highlight w:val="none"/>
        </w:rPr>
      </w:pPr>
      <w:r>
        <w:rPr>
          <w:rFonts w:hint="eastAsia" w:ascii="宋体" w:hAnsi="宋体" w:eastAsia="宋体" w:cs="宋体"/>
          <w:highlight w:val="none"/>
        </w:rPr>
        <w:t xml:space="preserve">②若项目要求提供履约担保的，中标供应商可以以履约保函(保险)形式代替提供履约保证金。供应商可登录江苏政府采购网 (网址:http://www.ccgp-jiangsu.gov.cn/)“资料下载”栏目下载“政府采购电子履约保函(保险)操作手册”</w:t>
      </w:r>
      <w:r/>
    </w:p>
    <w:p>
      <w:pPr>
        <w:rPr>
          <w:rFonts w:hint="eastAsia" w:ascii="宋体" w:hAnsi="宋体" w:eastAsia="宋体" w:cs="宋体"/>
        </w:rPr>
      </w:pPr>
      <w:r>
        <w:rPr>
          <w:rFonts w:hint="eastAsia" w:ascii="宋体" w:hAnsi="宋体" w:eastAsia="宋体" w:cs="宋体"/>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rPr>
          <w:rFonts w:hint="eastAsia" w:ascii="宋体" w:hAnsi="宋体" w:eastAsia="宋体" w:cs="宋体"/>
        </w:rPr>
      </w:pPr>
      <w:r>
        <w:rPr>
          <w:rFonts w:hint="eastAsia" w:ascii="宋体" w:hAnsi="宋体" w:eastAsia="宋体" w:cs="宋体"/>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rPr>
          <w:rFonts w:hint="eastAsia" w:ascii="宋体" w:hAnsi="宋体" w:eastAsia="宋体" w:cs="宋体"/>
        </w:rPr>
      </w:pPr>
      <w:r>
        <w:rPr>
          <w:rFonts w:hint="eastAsia" w:ascii="宋体" w:hAnsi="宋体" w:eastAsia="宋体" w:cs="宋体"/>
        </w:rPr>
        <w:t xml:space="preserve">（六）投标人的资格条件：</w:t>
      </w:r>
      <w:r/>
    </w:p>
    <w:p>
      <w:pPr>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ind w:left="0" w:firstLine="0"/>
        <w:jc w:val="center"/>
        <w:rPr>
          <w:rFonts w:hint="eastAsia" w:ascii="宋体" w:hAnsi="宋体" w:eastAsia="宋体" w:cs="宋体"/>
          <w:b/>
          <w:bCs/>
        </w:rPr>
      </w:pPr>
      <w:r>
        <w:rPr>
          <w:rFonts w:hint="eastAsia" w:ascii="宋体" w:hAnsi="宋体" w:eastAsia="宋体" w:cs="宋体"/>
          <w:b/>
          <w:bCs/>
        </w:rPr>
        <w:t xml:space="preserve">二、招标</w:t>
      </w:r>
      <w:r/>
    </w:p>
    <w:p>
      <w:pPr>
        <w:rPr>
          <w:rFonts w:hint="eastAsia" w:ascii="宋体" w:hAnsi="宋体" w:eastAsia="宋体" w:cs="宋体"/>
        </w:rPr>
      </w:pPr>
      <w:r>
        <w:rPr>
          <w:rFonts w:hint="eastAsia" w:ascii="宋体" w:hAnsi="宋体" w:eastAsia="宋体" w:cs="宋体"/>
        </w:rPr>
        <w:t xml:space="preserve">（八）招标文件应包括以下内容：</w:t>
      </w:r>
      <w:r/>
    </w:p>
    <w:p>
      <w:pPr>
        <w:rPr>
          <w:rFonts w:hint="eastAsia" w:ascii="宋体" w:hAnsi="宋体" w:eastAsia="宋体" w:cs="宋体"/>
        </w:rPr>
      </w:pPr>
      <w:r>
        <w:rPr>
          <w:rFonts w:hint="eastAsia" w:ascii="宋体" w:hAnsi="宋体" w:eastAsia="宋体" w:cs="宋体"/>
        </w:rPr>
        <w:t xml:space="preserve">第一章，投标邀请；</w:t>
      </w:r>
      <w:r/>
    </w:p>
    <w:p>
      <w:pPr>
        <w:rPr>
          <w:rFonts w:hint="eastAsia" w:ascii="宋体" w:hAnsi="宋体" w:eastAsia="宋体" w:cs="宋体"/>
        </w:rPr>
      </w:pPr>
      <w:r>
        <w:rPr>
          <w:rFonts w:hint="eastAsia" w:ascii="宋体" w:hAnsi="宋体" w:eastAsia="宋体" w:cs="宋体"/>
        </w:rPr>
        <w:t xml:space="preserve">第二章，投标人须知；</w:t>
      </w:r>
      <w:r/>
    </w:p>
    <w:p>
      <w:pPr>
        <w:rPr>
          <w:rFonts w:hint="eastAsia" w:ascii="宋体" w:hAnsi="宋体" w:eastAsia="宋体" w:cs="宋体"/>
        </w:rPr>
      </w:pPr>
      <w:r>
        <w:rPr>
          <w:rFonts w:hint="eastAsia" w:ascii="宋体" w:hAnsi="宋体" w:eastAsia="宋体" w:cs="宋体"/>
        </w:rPr>
        <w:t xml:space="preserve">第三章，投标资料表；</w:t>
      </w:r>
      <w:r/>
    </w:p>
    <w:p>
      <w:pPr>
        <w:rPr>
          <w:rFonts w:hint="eastAsia" w:ascii="宋体" w:hAnsi="宋体" w:eastAsia="宋体" w:cs="宋体"/>
        </w:rPr>
      </w:pPr>
      <w:r>
        <w:rPr>
          <w:rFonts w:hint="eastAsia" w:ascii="宋体" w:hAnsi="宋体" w:eastAsia="宋体" w:cs="宋体"/>
        </w:rPr>
        <w:t xml:space="preserve">第四章，评标标准；</w:t>
      </w:r>
      <w:r/>
    </w:p>
    <w:p>
      <w:pPr>
        <w:rPr>
          <w:rFonts w:hint="eastAsia" w:ascii="宋体" w:hAnsi="宋体" w:eastAsia="宋体" w:cs="宋体"/>
        </w:rPr>
      </w:pPr>
      <w:r>
        <w:rPr>
          <w:rFonts w:hint="eastAsia" w:ascii="宋体" w:hAnsi="宋体" w:eastAsia="宋体" w:cs="宋体"/>
        </w:rPr>
        <w:t xml:space="preserve">第五章，拟签订的合同文本；</w:t>
      </w:r>
      <w:r/>
    </w:p>
    <w:p>
      <w:pPr>
        <w:rPr>
          <w:rFonts w:hint="eastAsia" w:ascii="宋体" w:hAnsi="宋体" w:eastAsia="宋体" w:cs="宋体"/>
        </w:rPr>
      </w:pPr>
      <w:r>
        <w:rPr>
          <w:rFonts w:hint="eastAsia" w:ascii="宋体" w:hAnsi="宋体" w:eastAsia="宋体" w:cs="宋体"/>
        </w:rPr>
        <w:t xml:space="preserve">第六章，采购需求；</w:t>
      </w:r>
      <w:r/>
    </w:p>
    <w:p>
      <w:pPr>
        <w:rPr>
          <w:rFonts w:hint="eastAsia" w:ascii="宋体" w:hAnsi="宋体" w:eastAsia="宋体" w:cs="宋体"/>
        </w:rPr>
      </w:pPr>
      <w:r>
        <w:rPr>
          <w:rFonts w:hint="eastAsia" w:ascii="宋体" w:hAnsi="宋体" w:eastAsia="宋体" w:cs="宋体"/>
        </w:rPr>
        <w:t xml:space="preserve">第七章，投标文件相关格式。</w:t>
      </w:r>
      <w:r/>
    </w:p>
    <w:p>
      <w:pPr>
        <w:rPr>
          <w:rFonts w:hint="eastAsia" w:ascii="宋体" w:hAnsi="宋体" w:eastAsia="宋体" w:cs="宋体"/>
        </w:rPr>
      </w:pPr>
      <w:r>
        <w:rPr>
          <w:rFonts w:hint="eastAsia" w:ascii="宋体" w:hAnsi="宋体" w:eastAsia="宋体" w:cs="宋体"/>
        </w:rPr>
        <w:t xml:space="preserve">（九）招标文件澄清或者修改：</w:t>
      </w:r>
      <w:r/>
    </w:p>
    <w:p>
      <w:pPr>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ind w:left="0" w:firstLine="0"/>
        <w:jc w:val="center"/>
        <w:rPr>
          <w:rFonts w:hint="eastAsia" w:ascii="宋体" w:hAnsi="宋体" w:eastAsia="宋体" w:cs="宋体"/>
          <w:b/>
          <w:bCs/>
        </w:rPr>
      </w:pPr>
      <w:r>
        <w:rPr>
          <w:rFonts w:hint="eastAsia" w:ascii="宋体" w:hAnsi="宋体" w:eastAsia="宋体" w:cs="宋体"/>
          <w:b/>
          <w:bCs/>
        </w:rPr>
        <w:t xml:space="preserve">三、投标</w:t>
      </w:r>
      <w:r/>
    </w:p>
    <w:p>
      <w:pPr>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rPr>
          <w:rFonts w:hint="eastAsia" w:ascii="宋体" w:hAnsi="宋体" w:eastAsia="宋体" w:cs="宋体"/>
        </w:rPr>
      </w:pPr>
      <w:r>
        <w:rPr>
          <w:rFonts w:hint="eastAsia" w:ascii="宋体" w:hAnsi="宋体" w:eastAsia="宋体" w:cs="宋体"/>
        </w:rPr>
        <w:t xml:space="preserve">（十二）投标文件的构成：</w:t>
      </w:r>
      <w:r/>
    </w:p>
    <w:p>
      <w:pPr>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rPr>
          <w:rFonts w:hint="eastAsia" w:ascii="宋体" w:hAnsi="宋体" w:eastAsia="宋体" w:cs="宋体"/>
        </w:rPr>
      </w:pPr>
      <w:r>
        <w:rPr>
          <w:rFonts w:hint="eastAsia" w:ascii="宋体" w:hAnsi="宋体" w:eastAsia="宋体" w:cs="宋体"/>
        </w:rPr>
        <w:t xml:space="preserve">（十四）投标报价要求：</w:t>
      </w:r>
      <w:r/>
    </w:p>
    <w:p>
      <w:pPr>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rPr>
          <w:rFonts w:hint="eastAsia" w:ascii="宋体" w:hAnsi="宋体" w:eastAsia="宋体" w:cs="宋体"/>
        </w:rPr>
      </w:pPr>
      <w:r>
        <w:rPr>
          <w:rFonts w:hint="eastAsia" w:ascii="宋体" w:hAnsi="宋体" w:eastAsia="宋体" w:cs="宋体"/>
        </w:rPr>
        <w:t xml:space="preserve">3. 采购人不支付报价以外的任何费用。</w:t>
      </w:r>
      <w:r/>
    </w:p>
    <w:p>
      <w:pPr>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rPr>
          <w:rFonts w:hint="eastAsia" w:ascii="宋体" w:hAnsi="宋体" w:eastAsia="宋体" w:cs="宋体"/>
        </w:rPr>
      </w:pPr>
      <w:r>
        <w:rPr>
          <w:rFonts w:hint="eastAsia" w:ascii="宋体" w:hAnsi="宋体" w:eastAsia="宋体" w:cs="宋体"/>
        </w:rPr>
        <w:t xml:space="preserve">（十六）投标有效期：</w:t>
      </w:r>
      <w:r/>
    </w:p>
    <w:p>
      <w:pPr>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rPr>
          <w:rFonts w:hint="eastAsia" w:ascii="宋体" w:hAnsi="宋体" w:eastAsia="宋体" w:cs="宋体"/>
        </w:rPr>
      </w:pPr>
      <w:r>
        <w:rPr>
          <w:rFonts w:hint="eastAsia" w:ascii="宋体" w:hAnsi="宋体" w:eastAsia="宋体" w:cs="宋体"/>
        </w:rPr>
        <w:t xml:space="preserve">（十七）投标文件的编制要求和签署要求</w:t>
      </w:r>
      <w:r/>
    </w:p>
    <w:p>
      <w:pPr>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rPr>
          <w:rFonts w:hint="eastAsia" w:ascii="宋体" w:hAnsi="宋体" w:eastAsia="宋体" w:cs="宋体"/>
        </w:rPr>
      </w:pPr>
      <w:r>
        <w:rPr>
          <w:rFonts w:hint="eastAsia" w:ascii="宋体" w:hAnsi="宋体" w:eastAsia="宋体" w:cs="宋体"/>
        </w:rPr>
        <w:t xml:space="preserve">（十八）投标文件的盖章要求：</w:t>
      </w:r>
      <w:r/>
    </w:p>
    <w:p>
      <w:pPr>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rPr>
          <w:rFonts w:hint="eastAsia" w:ascii="宋体" w:hAnsi="宋体" w:eastAsia="宋体" w:cs="宋体"/>
        </w:rPr>
      </w:pPr>
      <w:r>
        <w:rPr>
          <w:rFonts w:hint="eastAsia" w:ascii="宋体" w:hAnsi="宋体" w:eastAsia="宋体" w:cs="宋体"/>
        </w:rPr>
        <w:t xml:space="preserve">（二十二）本项目不允许分包。</w:t>
      </w:r>
      <w:r/>
    </w:p>
    <w:p>
      <w:pPr>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rPr>
          <w:rFonts w:hint="eastAsia" w:ascii="宋体" w:hAnsi="宋体" w:eastAsia="宋体" w:cs="宋体"/>
        </w:rPr>
      </w:pPr>
      <w:r>
        <w:rPr>
          <w:rFonts w:hint="eastAsia" w:ascii="宋体" w:hAnsi="宋体" w:eastAsia="宋体" w:cs="宋体"/>
        </w:rPr>
        <w:t xml:space="preserve">（二十四）有下列情形之一的，其投标无效。</w:t>
      </w:r>
      <w:r/>
    </w:p>
    <w:p>
      <w:pPr>
        <w:rPr>
          <w:rFonts w:hint="eastAsia" w:ascii="宋体" w:hAnsi="宋体" w:eastAsia="宋体" w:cs="宋体"/>
        </w:rPr>
      </w:pPr>
      <w:r>
        <w:rPr>
          <w:rFonts w:hint="eastAsia" w:ascii="宋体" w:hAnsi="宋体" w:eastAsia="宋体" w:cs="宋体"/>
        </w:rPr>
        <w:t xml:space="preserve">1. 不同投标人的投标文件，由同一单位或者个人编制；</w:t>
      </w:r>
      <w:r/>
    </w:p>
    <w:p>
      <w:pPr>
        <w:rPr>
          <w:rFonts w:hint="eastAsia" w:ascii="宋体" w:hAnsi="宋体" w:eastAsia="宋体" w:cs="宋体"/>
        </w:rPr>
      </w:pPr>
      <w:r>
        <w:rPr>
          <w:rFonts w:hint="eastAsia" w:ascii="宋体" w:hAnsi="宋体" w:eastAsia="宋体" w:cs="宋体"/>
        </w:rPr>
        <w:t xml:space="preserve">2. 不同投标人委托同一单位或者个人办理投标事宜；</w:t>
      </w:r>
      <w:r/>
    </w:p>
    <w:p>
      <w:pPr>
        <w:rPr>
          <w:rFonts w:hint="eastAsia" w:ascii="宋体" w:hAnsi="宋体" w:eastAsia="宋体" w:cs="宋体"/>
        </w:rPr>
      </w:pPr>
      <w:r>
        <w:rPr>
          <w:rFonts w:hint="eastAsia" w:ascii="宋体" w:hAnsi="宋体" w:eastAsia="宋体" w:cs="宋体"/>
        </w:rPr>
        <w:t xml:space="preserve">3. 不同投标人的投标文件中，所载明的项目管理成员或联系人为同一人；</w:t>
      </w:r>
      <w:r/>
    </w:p>
    <w:p>
      <w:pPr>
        <w:rPr>
          <w:rFonts w:hint="eastAsia" w:ascii="宋体" w:hAnsi="宋体" w:eastAsia="宋体" w:cs="宋体"/>
        </w:rPr>
      </w:pPr>
      <w:r>
        <w:rPr>
          <w:rFonts w:hint="eastAsia" w:ascii="宋体" w:hAnsi="宋体" w:eastAsia="宋体" w:cs="宋体"/>
        </w:rPr>
        <w:t xml:space="preserve">4. 不同投标人的投标文件，异常一致或者投标报价呈规律性差异；</w:t>
      </w:r>
      <w:r/>
    </w:p>
    <w:p>
      <w:pPr>
        <w:rPr>
          <w:rFonts w:hint="eastAsia" w:ascii="宋体" w:hAnsi="宋体" w:eastAsia="宋体" w:cs="宋体"/>
        </w:rPr>
      </w:pPr>
      <w:r>
        <w:rPr>
          <w:rFonts w:hint="eastAsia" w:ascii="宋体" w:hAnsi="宋体" w:eastAsia="宋体" w:cs="宋体"/>
        </w:rPr>
        <w:t xml:space="preserve">5. 不同投标人投标文件内容存在非正常一致、项目组成员出现同一人、投标文件中错误（或异常）一致或雷同、电子文档信息一致或雷同的、投标报价呈规律性差异的；</w:t>
      </w:r>
      <w:r/>
    </w:p>
    <w:p>
      <w:pPr>
        <w:rPr>
          <w:rFonts w:hint="eastAsia" w:ascii="宋体" w:hAnsi="宋体" w:eastAsia="宋体" w:cs="宋体"/>
        </w:rPr>
      </w:pPr>
      <w:r>
        <w:rPr>
          <w:rFonts w:hint="eastAsia" w:ascii="宋体" w:hAnsi="宋体" w:eastAsia="宋体" w:cs="宋体"/>
        </w:rPr>
        <w:t xml:space="preserve">6. 电子投标文件未按规定期限投标的；</w:t>
      </w:r>
      <w:r/>
    </w:p>
    <w:p>
      <w:pPr>
        <w:rPr>
          <w:rFonts w:hint="eastAsia" w:ascii="宋体" w:hAnsi="宋体" w:eastAsia="宋体" w:cs="宋体"/>
        </w:rPr>
      </w:pPr>
      <w:r>
        <w:rPr>
          <w:rFonts w:hint="eastAsia" w:ascii="宋体" w:hAnsi="宋体" w:eastAsia="宋体" w:cs="宋体"/>
        </w:rPr>
        <w:t xml:space="preserve">7. 电子投标文件未按招标文件要求签章的；</w:t>
      </w:r>
      <w:r/>
    </w:p>
    <w:p>
      <w:pPr>
        <w:rPr>
          <w:rFonts w:hint="eastAsia" w:ascii="宋体" w:hAnsi="宋体" w:eastAsia="宋体" w:cs="宋体"/>
        </w:rPr>
      </w:pPr>
      <w:r>
        <w:rPr>
          <w:rFonts w:hint="eastAsia" w:ascii="宋体" w:hAnsi="宋体" w:eastAsia="宋体" w:cs="宋体"/>
        </w:rPr>
        <w:t xml:space="preserve">8. 投标人未在规定时间内解密电子投标文件的；</w:t>
      </w:r>
      <w:r/>
    </w:p>
    <w:p>
      <w:pPr>
        <w:rPr>
          <w:rFonts w:hint="eastAsia" w:ascii="宋体" w:hAnsi="宋体" w:eastAsia="宋体" w:cs="宋体"/>
        </w:rPr>
      </w:pPr>
      <w:r>
        <w:rPr>
          <w:rFonts w:hint="eastAsia" w:ascii="宋体" w:hAnsi="宋体" w:eastAsia="宋体" w:cs="宋体"/>
        </w:rPr>
        <w:t xml:space="preserve">9. 投标文件未按招标文件规定的内容和要求填写的；没有在投标系统指定位置上传对应文件、材料的；</w:t>
      </w:r>
      <w:r/>
    </w:p>
    <w:p>
      <w:pPr>
        <w:rPr>
          <w:rFonts w:hint="eastAsia" w:ascii="宋体" w:hAnsi="宋体" w:eastAsia="宋体" w:cs="宋体"/>
        </w:rPr>
      </w:pPr>
      <w:r>
        <w:rPr>
          <w:rFonts w:hint="eastAsia" w:ascii="宋体" w:hAnsi="宋体" w:eastAsia="宋体" w:cs="宋体"/>
        </w:rPr>
        <w:t xml:space="preserve">10. 不具备招标文件中规定的资格要求的；</w:t>
      </w:r>
      <w:r/>
    </w:p>
    <w:p>
      <w:pPr>
        <w:rPr>
          <w:rFonts w:hint="eastAsia" w:ascii="宋体" w:hAnsi="宋体" w:eastAsia="宋体" w:cs="宋体"/>
        </w:rPr>
      </w:pPr>
      <w:r>
        <w:rPr>
          <w:rFonts w:hint="eastAsia" w:ascii="宋体" w:hAnsi="宋体" w:eastAsia="宋体" w:cs="宋体"/>
        </w:rPr>
        <w:t xml:space="preserve">11. 报价超过招标文件中规定的预算金额或者最高限价的；</w:t>
      </w:r>
      <w:r/>
    </w:p>
    <w:p>
      <w:pPr>
        <w:rPr>
          <w:rFonts w:hint="eastAsia" w:ascii="宋体" w:hAnsi="宋体" w:eastAsia="宋体" w:cs="宋体"/>
        </w:rPr>
      </w:pPr>
      <w:r>
        <w:rPr>
          <w:rFonts w:hint="eastAsia" w:ascii="宋体" w:hAnsi="宋体" w:eastAsia="宋体" w:cs="宋体"/>
        </w:rPr>
        <w:t xml:space="preserve">12. 投标文件含有采购人不能接受的附加条件的；</w:t>
      </w:r>
      <w:r/>
    </w:p>
    <w:p>
      <w:pPr>
        <w:rPr>
          <w:rFonts w:hint="eastAsia" w:ascii="宋体" w:hAnsi="宋体" w:eastAsia="宋体" w:cs="宋体"/>
        </w:rPr>
      </w:pPr>
      <w:r>
        <w:rPr>
          <w:rFonts w:hint="eastAsia" w:ascii="宋体" w:hAnsi="宋体" w:eastAsia="宋体" w:cs="宋体"/>
        </w:rPr>
        <w:t xml:space="preserve">13. 法律、法规和招标文件规定的其他无效情形。</w:t>
      </w:r>
      <w:r/>
    </w:p>
    <w:p>
      <w:pPr>
        <w:ind w:left="0" w:firstLine="0"/>
        <w:jc w:val="center"/>
        <w:rPr>
          <w:rFonts w:hint="eastAsia" w:ascii="宋体" w:hAnsi="宋体" w:eastAsia="宋体" w:cs="宋体"/>
          <w:b/>
          <w:bCs/>
        </w:rPr>
      </w:pPr>
      <w:r>
        <w:rPr>
          <w:rFonts w:hint="eastAsia" w:ascii="宋体" w:hAnsi="宋体" w:eastAsia="宋体" w:cs="宋体"/>
          <w:b/>
          <w:bCs/>
        </w:rPr>
        <w:t xml:space="preserve">四、开标</w:t>
      </w:r>
      <w:r/>
    </w:p>
    <w:p>
      <w:pPr>
        <w:rPr>
          <w:rFonts w:hint="eastAsia" w:ascii="宋体" w:hAnsi="宋体" w:eastAsia="宋体" w:cs="宋体"/>
        </w:rPr>
      </w:pPr>
      <w:r>
        <w:rPr>
          <w:rFonts w:hint="eastAsia" w:ascii="宋体" w:hAnsi="宋体" w:eastAsia="宋体" w:cs="宋体"/>
        </w:rPr>
        <w:t xml:space="preserve">（二十五）开标：</w:t>
      </w:r>
      <w:r/>
    </w:p>
    <w:p>
      <w:pPr>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rPr>
          <w:rFonts w:hint="eastAsia" w:ascii="宋体" w:hAnsi="宋体" w:eastAsia="宋体" w:cs="宋体"/>
        </w:rPr>
      </w:pPr>
      <w:r>
        <w:rPr>
          <w:rFonts w:hint="eastAsia" w:ascii="宋体" w:hAnsi="宋体" w:eastAsia="宋体" w:cs="宋体"/>
        </w:rPr>
        <w:t xml:space="preserve">2. 由电子招标投标交易平台主持，邀请投标人参加。</w:t>
      </w:r>
      <w:r/>
    </w:p>
    <w:p>
      <w:pPr>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left="0" w:firstLine="0"/>
        <w:jc w:val="center"/>
        <w:rPr>
          <w:rFonts w:hint="eastAsia" w:ascii="宋体" w:hAnsi="宋体" w:eastAsia="宋体" w:cs="宋体"/>
          <w:b/>
          <w:bCs/>
        </w:rPr>
      </w:pPr>
      <w:r>
        <w:rPr>
          <w:rFonts w:hint="eastAsia" w:ascii="宋体" w:hAnsi="宋体" w:eastAsia="宋体" w:cs="宋体"/>
          <w:b/>
          <w:bCs/>
        </w:rPr>
        <w:t xml:space="preserve">五、评标</w:t>
      </w:r>
      <w:r/>
    </w:p>
    <w:p>
      <w:pPr>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rPr>
          <w:rFonts w:hint="eastAsia" w:ascii="宋体" w:hAnsi="宋体" w:eastAsia="宋体" w:cs="宋体"/>
        </w:rPr>
      </w:pPr>
      <w:r>
        <w:rPr>
          <w:rFonts w:hint="eastAsia" w:ascii="宋体" w:hAnsi="宋体" w:eastAsia="宋体" w:cs="宋体"/>
        </w:rPr>
        <w:t xml:space="preserve">（2）宣布评标纪律；</w:t>
      </w:r>
      <w:r/>
    </w:p>
    <w:p>
      <w:pPr>
        <w:rPr>
          <w:rFonts w:hint="eastAsia" w:ascii="宋体" w:hAnsi="宋体" w:eastAsia="宋体" w:cs="宋体"/>
        </w:rPr>
      </w:pPr>
      <w:r>
        <w:rPr>
          <w:rFonts w:hint="eastAsia" w:ascii="宋体" w:hAnsi="宋体" w:eastAsia="宋体" w:cs="宋体"/>
        </w:rPr>
        <w:t xml:space="preserve">（3）公布投标人名单，告知评审专家应当回避的情形；</w:t>
      </w:r>
      <w:r/>
    </w:p>
    <w:p>
      <w:pPr>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rPr>
          <w:rFonts w:hint="eastAsia" w:ascii="宋体" w:hAnsi="宋体" w:eastAsia="宋体" w:cs="宋体"/>
        </w:rPr>
      </w:pPr>
      <w:r>
        <w:rPr>
          <w:rFonts w:hint="eastAsia" w:ascii="宋体" w:hAnsi="宋体" w:eastAsia="宋体" w:cs="宋体"/>
        </w:rPr>
        <w:t xml:space="preserve">（10）处理与评标有关的其他事项。</w:t>
      </w:r>
      <w:r/>
    </w:p>
    <w:p>
      <w:pPr>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rPr>
          <w:rFonts w:hint="eastAsia" w:ascii="宋体" w:hAnsi="宋体" w:eastAsia="宋体" w:cs="宋体"/>
        </w:rPr>
      </w:pPr>
      <w:r>
        <w:rPr>
          <w:rFonts w:hint="eastAsia" w:ascii="宋体" w:hAnsi="宋体" w:eastAsia="宋体" w:cs="宋体"/>
        </w:rPr>
        <w:t xml:space="preserve">（3）对投标文件进行比较和评价；</w:t>
      </w:r>
      <w:r/>
    </w:p>
    <w:p>
      <w:pPr>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rPr>
          <w:rFonts w:hint="eastAsia" w:ascii="宋体" w:hAnsi="宋体" w:eastAsia="宋体" w:cs="宋体"/>
        </w:rPr>
      </w:pPr>
      <w:r>
        <w:rPr>
          <w:rFonts w:hint="eastAsia" w:ascii="宋体" w:hAnsi="宋体" w:eastAsia="宋体" w:cs="宋体"/>
        </w:rPr>
        <w:t xml:space="preserve">（二十八）评标</w:t>
      </w:r>
      <w:r/>
    </w:p>
    <w:p>
      <w:pPr>
        <w:rPr>
          <w:rFonts w:hint="eastAsia" w:ascii="宋体" w:hAnsi="宋体" w:eastAsia="宋体" w:cs="宋体"/>
        </w:rPr>
      </w:pPr>
      <w:r>
        <w:rPr>
          <w:rFonts w:hint="eastAsia" w:ascii="宋体" w:hAnsi="宋体" w:eastAsia="宋体" w:cs="宋体"/>
        </w:rPr>
        <w:t xml:space="preserve">1. 评标工作程序：</w:t>
      </w:r>
      <w:r/>
    </w:p>
    <w:p>
      <w:pPr>
        <w:rPr>
          <w:rFonts w:hint="eastAsia" w:ascii="宋体" w:hAnsi="宋体" w:eastAsia="宋体" w:cs="宋体"/>
        </w:rPr>
      </w:pPr>
      <w:r>
        <w:rPr>
          <w:rFonts w:hint="eastAsia" w:ascii="宋体" w:hAnsi="宋体" w:eastAsia="宋体" w:cs="宋体"/>
        </w:rPr>
        <w:t xml:space="preserve">（1）投标文件初审。</w:t>
      </w:r>
      <w:r/>
    </w:p>
    <w:p>
      <w:pPr>
        <w:rPr>
          <w:rFonts w:hint="eastAsia" w:ascii="宋体" w:hAnsi="宋体" w:eastAsia="宋体" w:cs="宋体"/>
        </w:rPr>
      </w:pPr>
      <w:r>
        <w:rPr>
          <w:rFonts w:hint="eastAsia" w:ascii="宋体" w:hAnsi="宋体" w:eastAsia="宋体" w:cs="宋体"/>
        </w:rPr>
        <w:t xml:space="preserve">①资格性审查。</w:t>
      </w:r>
      <w:r/>
    </w:p>
    <w:p>
      <w:pPr>
        <w:rPr>
          <w:rFonts w:hint="eastAsia" w:ascii="宋体" w:hAnsi="宋体" w:eastAsia="宋体" w:cs="宋体"/>
        </w:rPr>
      </w:pPr>
      <w:r>
        <w:rPr>
          <w:rFonts w:hint="eastAsia" w:ascii="宋体" w:hAnsi="宋体" w:eastAsia="宋体" w:cs="宋体"/>
        </w:rPr>
        <w:t xml:space="preserve">②符合性审查。</w:t>
      </w:r>
      <w:r/>
    </w:p>
    <w:p>
      <w:pPr>
        <w:rPr>
          <w:rFonts w:hint="eastAsia" w:ascii="宋体" w:hAnsi="宋体" w:eastAsia="宋体" w:cs="宋体"/>
        </w:rPr>
      </w:pPr>
      <w:r>
        <w:rPr>
          <w:rFonts w:hint="eastAsia" w:ascii="宋体" w:hAnsi="宋体" w:eastAsia="宋体" w:cs="宋体"/>
        </w:rPr>
        <w:t xml:space="preserve">（2）澄清有关问题。</w:t>
      </w:r>
      <w:r/>
    </w:p>
    <w:p>
      <w:pPr>
        <w:rPr>
          <w:rFonts w:hint="eastAsia" w:ascii="宋体" w:hAnsi="宋体" w:eastAsia="宋体" w:cs="宋体"/>
        </w:rPr>
      </w:pPr>
      <w:r>
        <w:rPr>
          <w:rFonts w:hint="eastAsia" w:ascii="宋体" w:hAnsi="宋体" w:eastAsia="宋体" w:cs="宋体"/>
        </w:rPr>
        <w:t xml:space="preserve">（3）比较与评价。</w:t>
      </w:r>
      <w:r/>
    </w:p>
    <w:p>
      <w:pPr>
        <w:rPr>
          <w:rFonts w:hint="eastAsia" w:ascii="宋体" w:hAnsi="宋体" w:eastAsia="宋体" w:cs="宋体"/>
        </w:rPr>
      </w:pPr>
      <w:r>
        <w:rPr>
          <w:rFonts w:hint="eastAsia" w:ascii="宋体" w:hAnsi="宋体" w:eastAsia="宋体" w:cs="宋体"/>
        </w:rPr>
        <w:t xml:space="preserve">（4）推荐中标候选供应商名单。</w:t>
      </w:r>
      <w:r/>
    </w:p>
    <w:p>
      <w:pPr>
        <w:rPr>
          <w:rFonts w:hint="eastAsia" w:ascii="宋体" w:hAnsi="宋体" w:eastAsia="宋体" w:cs="宋体"/>
        </w:rPr>
      </w:pPr>
      <w:r>
        <w:rPr>
          <w:rFonts w:hint="eastAsia" w:ascii="宋体" w:hAnsi="宋体" w:eastAsia="宋体" w:cs="宋体"/>
        </w:rPr>
        <w:t xml:space="preserve">（5）编写评审报告（评标报告）。</w:t>
      </w:r>
      <w:r/>
    </w:p>
    <w:p>
      <w:pPr>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w:t>
      </w:r>
      <w:r/>
    </w:p>
    <w:p>
      <w:pPr>
        <w:rPr>
          <w:rFonts w:hint="eastAsia" w:ascii="宋体" w:hAnsi="宋体" w:eastAsia="宋体" w:cs="宋体"/>
        </w:rPr>
      </w:pPr>
      <w:r>
        <w:rPr>
          <w:rFonts w:hint="eastAsia" w:ascii="宋体" w:hAnsi="宋体" w:eastAsia="宋体" w:cs="宋体"/>
        </w:rPr>
        <w:t xml:space="preserve">投标文件响应性的判定，要基于投标文件本身的内容，而不得寻求外部的证据。</w:t>
      </w:r>
      <w:r/>
    </w:p>
    <w:p>
      <w:pPr>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rPr>
          <w:rFonts w:hint="eastAsia" w:ascii="宋体" w:hAnsi="宋体" w:eastAsia="宋体" w:cs="宋体"/>
        </w:rPr>
      </w:pPr>
      <w:r>
        <w:rPr>
          <w:rFonts w:hint="eastAsia" w:ascii="宋体" w:hAnsi="宋体" w:eastAsia="宋体" w:cs="宋体"/>
        </w:rPr>
        <w:t xml:space="preserve">2. 大写金额和小写金额不一致的，以大写金额为准；</w:t>
      </w:r>
      <w:r/>
    </w:p>
    <w:p>
      <w:pPr>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rPr>
          <w:rFonts w:hint="eastAsia" w:ascii="宋体" w:hAnsi="宋体" w:eastAsia="宋体" w:cs="宋体"/>
        </w:rPr>
      </w:pPr>
      <w:r>
        <w:rPr>
          <w:rFonts w:hint="eastAsia" w:ascii="宋体" w:hAnsi="宋体" w:eastAsia="宋体" w:cs="宋体"/>
        </w:rPr>
        <w:t xml:space="preserve">（三十）异常低价审查</w:t>
      </w:r>
      <w:r/>
    </w:p>
    <w:p>
      <w:pPr>
        <w:rPr>
          <w:rFonts w:hint="eastAsia" w:ascii="宋体" w:hAnsi="宋体" w:eastAsia="宋体" w:cs="宋体"/>
          <w:highlight w:val="none"/>
        </w:rPr>
      </w:pPr>
      <w:r>
        <w:rPr>
          <w:rFonts w:hint="eastAsia" w:ascii="宋体" w:hAnsi="宋体" w:eastAsia="宋体" w:cs="宋体"/>
          <w:highlight w:val="none"/>
        </w:rPr>
        <w:t xml:space="preserve">评标委员会启动异常低价投标审查的情形和具体要求，包括:</w:t>
      </w:r>
      <w:r/>
    </w:p>
    <w:p>
      <w:pPr>
        <w:rPr>
          <w:rFonts w:hint="eastAsia" w:ascii="宋体" w:hAnsi="宋体" w:eastAsia="宋体" w:cs="宋体"/>
          <w:highlight w:val="none"/>
        </w:rPr>
      </w:pPr>
      <w:r>
        <w:rPr>
          <w:rFonts w:hint="eastAsia" w:ascii="宋体" w:hAnsi="宋体" w:eastAsia="宋体" w:cs="宋体"/>
          <w:highlight w:val="none"/>
        </w:rPr>
        <w:t xml:space="preserve">1.评审过程中出现下列情形之一的，评标委员会应当启动异常低价投标审查程序：</w:t>
      </w:r>
      <w:r/>
    </w:p>
    <w:p>
      <w:pPr>
        <w:rPr>
          <w:rFonts w:hint="eastAsia" w:ascii="宋体" w:hAnsi="宋体" w:eastAsia="宋体" w:cs="宋体"/>
          <w:highlight w:val="none"/>
        </w:rPr>
      </w:pPr>
      <w:r>
        <w:rPr>
          <w:rFonts w:hint="eastAsia" w:ascii="宋体" w:hAnsi="宋体" w:eastAsia="宋体" w:cs="宋体"/>
          <w:highlight w:val="none"/>
        </w:rPr>
        <w:t xml:space="preserve">①投标（响应）报价低于全部通过符合性审查供应商投标（响应）报价平均值50%的，即投标（响应）报价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全部通过符合性审查供应商投标（响应）报价平均值×50%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②投标（响应）报价低于通过符合性审查的次低报价供应商投标（响应）报价50%的，即投标（响应）报价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通过符合性审查的次低报价供应商投标（响应）报价×50%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③投标（响应）报价低于采购项目最高限价45%的，即投标（响应）报价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采购项目最高限价×45%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④评标委员会</w:t>
      </w:r>
      <w:r>
        <w:rPr>
          <w:rFonts w:hint="eastAsia" w:ascii="宋体" w:hAnsi="宋体" w:eastAsia="宋体" w:cs="宋体"/>
          <w:highlight w:val="none"/>
          <w:lang w:val="en-US" w:eastAsia="zh-CN"/>
        </w:rPr>
        <w:t xml:space="preserve">基于专业判断，认为</w:t>
      </w:r>
      <w:r>
        <w:rPr>
          <w:rFonts w:hint="eastAsia" w:ascii="宋体" w:hAnsi="宋体" w:eastAsia="宋体" w:cs="宋体"/>
          <w:highlight w:val="none"/>
        </w:rPr>
        <w:t xml:space="preserve">供应商报价过低、有可能影响产品质量或者不能诚信履约的其他情形。</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评审委员会启动异常低价投标（响应）审查后，应当要求相关供应商在评标现场合理的时间内通过“苏采云”系统（使用“CA数字证书”</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加盖电子签章）对投标（响应）价格作出解释</w:t>
      </w:r>
      <w:r>
        <w:rPr>
          <w:rFonts w:hint="eastAsia" w:ascii="宋体" w:hAnsi="宋体" w:eastAsia="宋体" w:cs="宋体"/>
          <w:highlight w:val="none"/>
          <w:lang w:eastAsia="zh-CN"/>
        </w:rPr>
        <w:t xml:space="preserve">，并</w:t>
      </w:r>
      <w:r>
        <w:rPr>
          <w:rFonts w:hint="eastAsia" w:ascii="宋体" w:hAnsi="宋体" w:eastAsia="宋体" w:cs="宋体"/>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3.评审</w:t>
      </w:r>
      <w:r>
        <w:rPr>
          <w:rFonts w:hint="eastAsia" w:ascii="宋体" w:hAnsi="宋体" w:eastAsia="宋体" w:cs="宋体"/>
          <w:highlight w:val="none"/>
        </w:rPr>
        <w:t xml:space="preserve">委员会依据专业经验，参考同类项目中标</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成交</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委员会应当将其作为无效投标（响应）处理。</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异常低价投标（响应）审查的启动原因、审查意见和审查结果应当在</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报告中记录，并随供应商提供的相关书面说明及证明材料，以及</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委员会有关互联网浏览、查询历史一并归档。</w:t>
      </w:r>
      <w:r/>
    </w:p>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rPr>
      </w:pPr>
      <w:r>
        <w:rPr>
          <w:rFonts w:hint="eastAsia" w:ascii="宋体" w:hAnsi="宋体" w:eastAsia="宋体" w:cs="宋体"/>
        </w:rPr>
        <w:t xml:space="preserve">（三十二）废标条款：</w:t>
      </w:r>
      <w:r/>
    </w:p>
    <w:p>
      <w:pPr>
        <w:rPr>
          <w:rFonts w:hint="eastAsia" w:ascii="宋体" w:hAnsi="宋体" w:eastAsia="宋体" w:cs="宋体"/>
        </w:rPr>
      </w:pPr>
      <w:r>
        <w:rPr>
          <w:rFonts w:hint="eastAsia" w:ascii="宋体" w:hAnsi="宋体" w:eastAsia="宋体" w:cs="宋体"/>
        </w:rPr>
        <w:t xml:space="preserve">出现下列情形之一的，应予废标。</w:t>
      </w:r>
      <w:r/>
    </w:p>
    <w:p>
      <w:pPr>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rPr>
          <w:rFonts w:hint="eastAsia" w:ascii="宋体" w:hAnsi="宋体" w:eastAsia="宋体" w:cs="宋体"/>
        </w:rPr>
      </w:pPr>
      <w:r>
        <w:rPr>
          <w:rFonts w:hint="eastAsia" w:ascii="宋体" w:hAnsi="宋体" w:eastAsia="宋体" w:cs="宋体"/>
        </w:rPr>
        <w:t xml:space="preserve">2. 出现影响采购公正的违法、违规行为的；</w:t>
      </w:r>
      <w:r/>
    </w:p>
    <w:p>
      <w:pPr>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rPr>
          <w:rFonts w:hint="eastAsia" w:ascii="宋体" w:hAnsi="宋体" w:eastAsia="宋体" w:cs="宋体"/>
        </w:rPr>
      </w:pPr>
      <w:r>
        <w:rPr>
          <w:rFonts w:hint="eastAsia" w:ascii="宋体" w:hAnsi="宋体" w:eastAsia="宋体" w:cs="宋体"/>
        </w:rPr>
        <w:t xml:space="preserve">4. 因重大变故，采购任务取消的。</w:t>
      </w:r>
      <w:r/>
    </w:p>
    <w:p>
      <w:pPr>
        <w:ind w:left="0" w:firstLine="0"/>
        <w:jc w:val="center"/>
        <w:rPr>
          <w:rFonts w:hint="eastAsia" w:ascii="宋体" w:hAnsi="宋体" w:eastAsia="宋体" w:cs="宋体"/>
          <w:b/>
          <w:bCs/>
        </w:rPr>
      </w:pPr>
      <w:r>
        <w:rPr>
          <w:rFonts w:hint="eastAsia" w:ascii="宋体" w:hAnsi="宋体" w:eastAsia="宋体" w:cs="宋体"/>
          <w:b/>
          <w:bCs/>
        </w:rPr>
        <w:t xml:space="preserve">六、定标</w:t>
      </w:r>
      <w:r/>
    </w:p>
    <w:p>
      <w:pPr>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rPr>
          <w:rFonts w:hint="eastAsia" w:ascii="宋体" w:hAnsi="宋体" w:eastAsia="宋体" w:cs="宋体"/>
        </w:rPr>
      </w:pPr>
      <w:r>
        <w:rPr>
          <w:rFonts w:hint="eastAsia" w:ascii="宋体" w:hAnsi="宋体" w:eastAsia="宋体" w:cs="宋体"/>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0"/>
        <w:jc w:val="center"/>
        <w:rPr>
          <w:rFonts w:hint="eastAsia" w:ascii="宋体" w:hAnsi="宋体" w:eastAsia="宋体" w:cs="宋体"/>
          <w:b/>
          <w:bCs/>
        </w:rPr>
      </w:pPr>
      <w:r>
        <w:rPr>
          <w:rFonts w:hint="eastAsia" w:ascii="宋体" w:hAnsi="宋体" w:eastAsia="宋体" w:cs="宋体"/>
          <w:b/>
          <w:bCs/>
        </w:rPr>
        <w:t xml:space="preserve">七、政府采购合同</w:t>
      </w:r>
      <w:r/>
    </w:p>
    <w:p>
      <w:pPr>
        <w:rPr>
          <w:rFonts w:hint="eastAsia" w:ascii="宋体" w:hAnsi="宋体" w:eastAsia="宋体" w:cs="宋体"/>
        </w:rPr>
      </w:pPr>
      <w:r>
        <w:rPr>
          <w:rFonts w:hint="eastAsia" w:ascii="宋体" w:hAnsi="宋体" w:eastAsia="宋体" w:cs="宋体"/>
        </w:rPr>
        <w:t xml:space="preserve">（三十六）签订政府采购合同（合同签订方式）：</w:t>
      </w:r>
      <w:r/>
    </w:p>
    <w:p>
      <w:pPr>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rPr>
          <w:rFonts w:hint="eastAsia" w:ascii="宋体" w:hAnsi="宋体" w:eastAsia="宋体" w:cs="宋体"/>
        </w:rPr>
      </w:pPr>
      <w:r>
        <w:rPr>
          <w:rFonts w:hint="eastAsia" w:ascii="宋体" w:hAnsi="宋体" w:eastAsia="宋体" w:cs="宋体"/>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三十八）履约保证金：要求详见《第三章  投标资料表》。</w:t>
      </w:r>
      <w:r/>
    </w:p>
    <w:p>
      <w:pPr>
        <w:rPr>
          <w:rFonts w:hint="eastAsia" w:ascii="宋体" w:hAnsi="宋体" w:eastAsia="宋体" w:cs="宋体"/>
        </w:rPr>
      </w:pPr>
      <w:r>
        <w:rPr>
          <w:rFonts w:hint="eastAsia" w:ascii="宋体" w:hAnsi="宋体" w:eastAsia="宋体" w:cs="宋体"/>
        </w:rPr>
        <w:t xml:space="preserve">（三十</w:t>
      </w:r>
      <w:r>
        <w:rPr>
          <w:rFonts w:hint="eastAsia" w:ascii="宋体" w:hAnsi="宋体" w:eastAsia="宋体" w:cs="宋体"/>
          <w:lang w:val="en-US" w:eastAsia="zh-CN"/>
        </w:rPr>
        <w:t xml:space="preserve">九</w:t>
      </w:r>
      <w:r>
        <w:rPr>
          <w:rFonts w:hint="eastAsia" w:ascii="宋体" w:hAnsi="宋体" w:eastAsia="宋体" w:cs="宋体"/>
        </w:rPr>
        <w:t xml:space="preserve">）腐败和欺诈行为：</w:t>
      </w:r>
      <w:r/>
    </w:p>
    <w:p>
      <w:pPr>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rPr>
          <w:rFonts w:hint="eastAsia" w:ascii="宋体" w:hAnsi="宋体" w:eastAsia="宋体" w:cs="宋体"/>
        </w:rPr>
      </w:pPr>
      <w:r>
        <w:rPr>
          <w:rFonts w:hint="eastAsia" w:ascii="宋体" w:hAnsi="宋体" w:eastAsia="宋体" w:cs="宋体"/>
        </w:rPr>
        <w:t xml:space="preserve">（1）腐败和欺诈行为的含义：</w:t>
      </w:r>
      <w:r/>
    </w:p>
    <w:p>
      <w:pPr>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ind w:left="0" w:firstLine="0"/>
        <w:jc w:val="center"/>
        <w:rPr>
          <w:rFonts w:hint="eastAsia" w:ascii="宋体" w:hAnsi="宋体" w:eastAsia="宋体" w:cs="宋体"/>
          <w:b/>
          <w:bCs/>
        </w:rPr>
      </w:pPr>
      <w:r>
        <w:rPr>
          <w:rFonts w:hint="eastAsia" w:ascii="宋体" w:hAnsi="宋体" w:eastAsia="宋体" w:cs="宋体"/>
          <w:b/>
          <w:bCs/>
        </w:rPr>
        <w:t xml:space="preserve">八、询问和质疑</w:t>
      </w:r>
      <w:r/>
    </w:p>
    <w:p>
      <w:pPr>
        <w:rPr>
          <w:rFonts w:hint="eastAsia" w:ascii="宋体" w:hAnsi="宋体" w:eastAsia="宋体" w:cs="宋体"/>
        </w:rPr>
      </w:pPr>
      <w:r>
        <w:rPr>
          <w:rFonts w:hint="eastAsia" w:ascii="宋体" w:hAnsi="宋体" w:eastAsia="宋体" w:cs="宋体"/>
        </w:rPr>
        <w:t xml:space="preserve">（四十）询问和质疑</w:t>
      </w:r>
      <w:r/>
    </w:p>
    <w:p>
      <w:pPr>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rPr>
      </w:pPr>
      <w:r>
        <w:rPr>
          <w:rFonts w:hint="eastAsia" w:ascii="宋体" w:hAnsi="宋体" w:eastAsia="宋体" w:cs="宋体"/>
        </w:rPr>
        <w:t xml:space="preserve">（四十一）质疑和投诉按《政府采购质疑和投诉办法》执行。</w:t>
      </w:r>
      <w:r/>
    </w:p>
    <w:p>
      <w:pPr>
        <w:ind w:left="0" w:firstLine="0"/>
        <w:jc w:val="center"/>
        <w:rPr>
          <w:rFonts w:hint="eastAsia" w:ascii="宋体" w:hAnsi="宋体" w:eastAsia="宋体" w:cs="宋体"/>
          <w:b/>
          <w:bCs/>
        </w:rPr>
      </w:pPr>
      <w:r>
        <w:rPr>
          <w:rFonts w:hint="eastAsia" w:ascii="宋体" w:hAnsi="宋体" w:eastAsia="宋体" w:cs="宋体"/>
          <w:b/>
          <w:bCs/>
        </w:rPr>
        <w:t xml:space="preserve">九、电子招标投标交易平台</w:t>
      </w:r>
      <w:r/>
    </w:p>
    <w:p>
      <w:pPr>
        <w:rPr>
          <w:rFonts w:hint="eastAsia" w:ascii="宋体" w:hAnsi="宋体" w:eastAsia="宋体" w:cs="宋体"/>
        </w:rPr>
      </w:pPr>
      <w:r>
        <w:rPr>
          <w:rFonts w:hint="eastAsia" w:ascii="宋体" w:hAnsi="宋体" w:eastAsia="宋体" w:cs="宋体"/>
        </w:rPr>
        <w:t xml:space="preserve">（四十</w:t>
      </w:r>
      <w:r>
        <w:rPr>
          <w:rFonts w:hint="eastAsia" w:ascii="宋体" w:hAnsi="宋体" w:eastAsia="宋体" w:cs="宋体"/>
          <w:lang w:val="en-US" w:eastAsia="zh-CN"/>
        </w:rPr>
        <w:t xml:space="preserve">二</w:t>
      </w:r>
      <w:r>
        <w:rPr>
          <w:rFonts w:hint="eastAsia" w:ascii="宋体" w:hAnsi="宋体" w:eastAsia="宋体" w:cs="宋体"/>
        </w:rPr>
        <w:t xml:space="preserve">）电子招标投标交易平台（即“苏采云”系统，网址：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rPr>
        <w:t xml:space="preserve">http://jszfcg.jsczt.cn/</w:t>
      </w:r>
      <w:r>
        <w:rPr>
          <w:rFonts w:hint="eastAsia" w:ascii="宋体" w:hAnsi="宋体" w:eastAsia="宋体" w:cs="宋体"/>
        </w:rPr>
        <w:fldChar w:fldCharType="end"/>
      </w:r>
      <w:r>
        <w:rPr>
          <w:rFonts w:hint="eastAsia" w:ascii="宋体" w:hAnsi="宋体" w:eastAsia="宋体" w:cs="宋体"/>
        </w:rPr>
        <w:t xml:space="preserve">）相关要求是本招标文件的组成部分。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3" w:name="_Toc22405"/>
      <w:r>
        <w:rPr>
          <w:rFonts w:hint="eastAsia" w:ascii="宋体" w:hAnsi="宋体" w:eastAsia="宋体" w:cs="宋体"/>
        </w:rPr>
        <w:t xml:space="preserve">第三章 投标资料表</w:t>
      </w:r>
      <w:bookmarkEnd w:id="3"/>
      <w:r/>
      <w:r/>
    </w:p>
    <w:p>
      <w:pPr>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846"/>
      </w:tblGrid>
      <w:tr>
        <w:trPr>
          <w:trHeight w:val="90"/>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江苏丰县经济开发区管理委员会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中正信合项目管理有限公司</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落实政府采购政策需满足的资格要求：</w:t>
            </w:r>
            <w:r>
              <w:rPr>
                <w:rFonts w:hint="eastAsia" w:ascii="宋体" w:hAnsi="宋体" w:eastAsia="宋体" w:cs="宋体"/>
                <w:b/>
                <w:bCs/>
                <w:color w:val="auto"/>
                <w:sz w:val="24"/>
                <w:szCs w:val="24"/>
                <w:highlight w:val="none"/>
              </w:rPr>
              <w:t xml:space="preserve">此项目属于专门面向中小微企业采购的项目，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三、本项目特定资格</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：无</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成交后不得转包或分包</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（http://www.xuzhoucredit.gov.cn）；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(三)截止时点（查询环节）：评标结束前。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w:t>
            </w:r>
            <w:r>
              <w:rPr>
                <w:rFonts w:hint="eastAsia" w:ascii="宋体" w:hAnsi="宋体" w:eastAsia="宋体" w:cs="宋体"/>
                <w:color w:val="auto"/>
                <w:sz w:val="24"/>
                <w:szCs w:val="24"/>
                <w:highlight w:val="none"/>
                <w:lang w:val="en-US" w:eastAsia="zh-CN"/>
              </w:rPr>
              <w:t xml:space="preserve">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江苏省政府采购协会关于印发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江苏省政府采购代理服务收费指导意见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苏政采协[2024)20</w:t>
            </w:r>
            <w:r>
              <w:rPr>
                <w:rFonts w:hint="eastAsia" w:ascii="宋体" w:hAnsi="宋体" w:eastAsia="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见附件）。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1.《开标一览表》（加盖电子签章，政府采购客户端工具输入报价自动生成）。</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二、资格条件（1-6必须提供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否则投标无效）</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sz w:val="24"/>
                <w:highlight w:val="none"/>
              </w:rPr>
              <w:t xml:space="preserve">投标人合法有效的法人或者其他组织的营业执照等证明文件，自然人的身份证明，以上证明文件提供原件的扫描件</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2.财务状况报告：即提供投标人的本项目开标时间前6个月内（不含“投标文件提交的截止时间”当月）任何时间的资产负债表、利润表各一份或提供合法有效的经第三方机构审计的</w:t>
            </w:r>
            <w:r>
              <w:rPr>
                <w:rFonts w:hint="eastAsia" w:ascii="宋体" w:hAnsi="宋体" w:eastAsia="宋体" w:cs="宋体"/>
                <w:b/>
                <w:bCs/>
                <w:color w:val="auto"/>
                <w:sz w:val="24"/>
                <w:szCs w:val="24"/>
                <w:highlight w:val="none"/>
                <w:lang w:val="en-US" w:eastAsia="zh-CN"/>
              </w:rPr>
              <w:t xml:space="preserve">财务</w:t>
            </w:r>
            <w:r>
              <w:rPr>
                <w:rFonts w:hint="eastAsia" w:ascii="宋体" w:hAnsi="宋体" w:eastAsia="宋体" w:cs="宋体"/>
                <w:b/>
                <w:bCs/>
                <w:color w:val="auto"/>
                <w:sz w:val="24"/>
                <w:szCs w:val="24"/>
                <w:highlight w:val="none"/>
              </w:rPr>
              <w:t xml:space="preserve">审计报告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2024年度或2025年度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或投标人的本项目开标时间前6个月内（不含“投标文件提交的截止时间”当月）银行出具的资信证明扫描件；</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w:t>
            </w:r>
            <w:r>
              <w:rPr>
                <w:rFonts w:hint="eastAsia" w:ascii="宋体" w:hAnsi="宋体" w:eastAsia="宋体" w:cs="宋体"/>
                <w:b/>
                <w:bCs/>
                <w:color w:val="auto"/>
                <w:sz w:val="24"/>
                <w:szCs w:val="24"/>
                <w:highlight w:val="none"/>
                <w:lang w:val="en-US" w:eastAsia="zh-CN"/>
              </w:rPr>
              <w:t xml:space="preserve">时间</w:t>
            </w:r>
            <w:r>
              <w:rPr>
                <w:rFonts w:hint="eastAsia" w:ascii="宋体" w:hAnsi="宋体" w:eastAsia="宋体" w:cs="宋体"/>
                <w:b/>
                <w:bCs/>
                <w:color w:val="auto"/>
                <w:sz w:val="24"/>
                <w:szCs w:val="24"/>
                <w:highlight w:val="none"/>
              </w:rPr>
              <w:t xml:space="preserve">（不含“投标文件提交的截止时间”当月）的依法缴纳税收和社会保障资金的相关材料扫描件（依法免税或不需要缴纳社会保障资金的投标人,提供相应文件证明其依法免税或不需要缴纳社会保障资金)；</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6.本项目属于专门面向中小微企业采购的项目，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应为中小微企业、监狱企业、残疾人福利性单位，提供《中小企业声明函》（加盖电子签章，填写完整。格式见招标文件第七章《投标文件相关格式》）。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查询渠道用微信搜索“中小企业规模类型自测小程序。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注：监狱企业和残疾人福利性单位等同于小微企业。</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投标人为监狱企业的，提供省级以上监狱管理局、戒毒管理局（含新疆生产建设兵团）出具的属于监狱企业的证明文件原件的扫描件。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具体以《财政部 司法部关于政府采购支持监狱企业发展有关问题的通知》（财库〔2014〕68号）的规定为准。</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享受政府采购支持政策的残疾人福利性单位应当同时满足以下条件：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①安置的残疾人占本单位在职职工人数的比例不低于25%（含25%），并且安置的残疾人人数不少于10人（含10人）；</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②依法与安置的每位残疾人签订了一年以上（含一年）的劳动合同或服务协议；</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③为安置的每位残疾人按月足额缴纳了基本养老保险、基本医疗保险、失业保险、工伤保险和生育保险等社会保险费；</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(一)报价</w:t>
            </w:r>
            <w:r/>
          </w:p>
          <w:p>
            <w:pPr>
              <w:pStyle w:val="1031"/>
              <w:jc w:val="both"/>
              <w:keepLines w:val="0"/>
              <w:keepNext w:val="0"/>
              <w:pageBreakBefore w:val="0"/>
              <w:spacing w:line="42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hAnsi="宋体" w:eastAsia="宋体" w:cs="宋体"/>
                <w:b/>
                <w:bCs/>
                <w:color w:val="auto"/>
                <w:sz w:val="24"/>
                <w:highlight w:val="none"/>
              </w:rPr>
              <w:t xml:space="preserve">《开标一览表》（加盖电子签章</w:t>
            </w:r>
            <w:r>
              <w:rPr>
                <w:rFonts w:hint="eastAsia" w:hAnsi="宋体" w:eastAsia="宋体" w:cs="宋体"/>
                <w:color w:val="auto"/>
                <w:sz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.《分项价格表》（加盖电子签章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1.《投标函》（加盖电子签章</w:t>
            </w:r>
            <w:r>
              <w:rPr>
                <w:rFonts w:hint="eastAsia" w:ascii="宋体" w:hAnsi="宋体" w:eastAsia="宋体" w:cs="宋体"/>
                <w:color w:val="auto"/>
                <w:sz w:val="24"/>
                <w:szCs w:val="24"/>
                <w:highlight w:val="none"/>
              </w:rPr>
              <w:t xml:space="preserve">，格式见招标文件第七章《投标文件相关格式》）。</w:t>
            </w:r>
            <w:r/>
          </w:p>
          <w:p>
            <w:pPr>
              <w:pStyle w:val="1031"/>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2.《法定代表人授权书》（加盖电子签章</w:t>
            </w:r>
            <w:r>
              <w:rPr>
                <w:rFonts w:hint="eastAsia" w:ascii="宋体" w:hAnsi="宋体" w:eastAsia="宋体" w:cs="宋体"/>
                <w:color w:val="auto"/>
                <w:sz w:val="24"/>
                <w:szCs w:val="24"/>
                <w:highlight w:val="none"/>
              </w:rPr>
              <w:t xml:space="preserve">，格式见招标文件第七章《投标文件相关格式》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p>
          <w:p>
            <w:pPr>
              <w:pStyle w:val="1029"/>
              <w:ind w:left="0" w:firstLine="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3.《承诺书》（加盖电子签章，</w:t>
            </w:r>
            <w:r>
              <w:rPr>
                <w:rFonts w:hint="eastAsia" w:ascii="宋体" w:hAnsi="宋体" w:eastAsia="宋体" w:cs="宋体"/>
                <w:color w:val="auto"/>
                <w:sz w:val="24"/>
                <w:szCs w:val="24"/>
                <w:highlight w:val="none"/>
                <w:lang w:val="en-US" w:eastAsia="zh-CN" w:bidi="ar-SA"/>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（三）技术响应</w:t>
            </w:r>
            <w:r/>
          </w:p>
          <w:p>
            <w:pPr>
              <w:pStyle w:val="1028"/>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1.《偏离表》（加盖电子签章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1028"/>
              <w:numPr>
                <w:ilvl w:val="0"/>
                <w:numId w:val="3"/>
              </w:num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w:t>
            </w:r>
            <w:r/>
          </w:p>
          <w:p>
            <w:pPr>
              <w:pStyle w:val="1105"/>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本项目属于专门面向中小企业采购的项目，评审时不再执行价格评审优惠政策。</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文件第四章《评标标准》中《评分细则》。</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文件第五章 《拟签订的合同文本》及或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文件第六章《采购需求》。</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31"/>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本项目不接受超过</w:t>
            </w:r>
            <w:r>
              <w:rPr>
                <w:rFonts w:hint="eastAsia" w:ascii="宋体" w:hAnsi="宋体" w:eastAsia="宋体" w:cs="宋体"/>
                <w:b/>
                <w:bCs/>
                <w:color w:val="auto"/>
                <w:sz w:val="24"/>
                <w:szCs w:val="24"/>
                <w:highlight w:val="none"/>
                <w:u w:val="single"/>
                <w:lang w:val="en-US" w:eastAsia="zh-CN" w:bidi="ar-SA"/>
              </w:rPr>
              <w:t xml:space="preserve">170</w:t>
            </w:r>
            <w:r>
              <w:rPr>
                <w:rFonts w:hint="eastAsia" w:ascii="宋体" w:hAnsi="宋体" w:eastAsia="宋体" w:cs="宋体"/>
                <w:b/>
                <w:bCs/>
                <w:color w:val="auto"/>
                <w:sz w:val="24"/>
                <w:szCs w:val="24"/>
                <w:highlight w:val="none"/>
                <w:lang w:val="en-US" w:eastAsia="zh-CN" w:bidi="ar-SA"/>
              </w:rPr>
              <w:t xml:space="preserve">万元的投标报价。</w:t>
            </w:r>
            <w:r>
              <w:rPr>
                <w:rFonts w:hint="eastAsia" w:ascii="宋体" w:hAnsi="宋体" w:eastAsia="宋体" w:cs="宋体"/>
                <w:color w:val="auto"/>
                <w:sz w:val="24"/>
                <w:szCs w:val="24"/>
                <w:highlight w:val="none"/>
                <w:lang w:val="en-US" w:eastAsia="zh-CN" w:bidi="ar-SA"/>
              </w:rPr>
              <w:t xml:space="preserve">报价包含项目完成所需全部费用，采购人不再支付报价以外的任何费用。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w:t>
            </w:r>
            <w:r>
              <w:rPr>
                <w:rFonts w:hint="eastAsia" w:ascii="宋体" w:hAnsi="宋体" w:eastAsia="宋体" w:cs="宋体"/>
                <w:color w:val="auto"/>
                <w:sz w:val="24"/>
                <w:szCs w:val="24"/>
                <w:highlight w:val="none"/>
                <w:lang w:val="en-US" w:eastAsia="zh-CN"/>
              </w:rPr>
              <w:t xml:space="preserve">大小不得超过苏采云系统要求</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说明：投标人应在用CA数字证书以及自备的能够登录“苏采云”系统的笔记本电脑，在达到开标时间后，使用CA数字证书解密各自投标文件。</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1.投标文件提交时间：202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22</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0前。</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2.投标截止时间：202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22</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开</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lang w:eastAsia="zh-CN"/>
              </w:rPr>
              <w:t xml:space="preserve">月</w:t>
            </w:r>
            <w:r>
              <w:rPr>
                <w:rFonts w:hint="eastAsia" w:ascii="宋体" w:hAnsi="宋体" w:cs="宋体"/>
                <w:b/>
                <w:bCs/>
                <w:color w:val="ff0000"/>
                <w:sz w:val="24"/>
                <w:szCs w:val="24"/>
                <w:highlight w:val="none"/>
                <w:lang w:val="en-US" w:eastAsia="zh-CN"/>
              </w:rPr>
              <w:t xml:space="preserve">22</w:t>
            </w:r>
            <w:bookmarkStart w:id="23" w:name="_GoBack"/>
            <w:r/>
            <w:bookmarkEnd w:id="23"/>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lang w:eastAsia="zh-CN"/>
              </w:rPr>
              <w:t xml:space="preserve">:30</w:t>
            </w:r>
            <w:r>
              <w:rPr>
                <w:rFonts w:hint="eastAsia" w:ascii="宋体" w:hAnsi="宋体" w:eastAsia="宋体" w:cs="宋体"/>
                <w:b/>
                <w:bCs/>
                <w:color w:val="ff0000"/>
                <w:sz w:val="24"/>
                <w:szCs w:val="24"/>
                <w:highlight w:val="none"/>
              </w:rPr>
              <w:t xml:space="preserve">（北京时间）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2.开标地点：“苏采云”系统（网址：http://jszfcg.jsczt.cn/）“开标大厅”或徐州政府采购网（网址：https://czj.xz.gov.cn/zfcg/）首页，点击“苏采云”登录后，进入系统“开标大厅”。</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138"/>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b/>
                <w:bCs/>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得分由高到低顺序排列。</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b w:val="0"/>
                <w:bCs w:val="0"/>
                <w:color w:val="auto"/>
                <w:sz w:val="24"/>
                <w:szCs w:val="24"/>
                <w:highlight w:val="none"/>
                <w:lang w:eastAsia="zh-CN"/>
              </w:rPr>
              <w:t xml:space="preserve">。</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阚芳</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13626161520</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徐州市云龙区美的翰城商业综合楼1-2106-2</w:t>
            </w:r>
            <w:r/>
          </w:p>
        </w:tc>
      </w:tr>
      <w:tr>
        <w:trPr/>
        <w:tc>
          <w:tcPr>
            <w:tcBorders>
              <w:top w:val="single" w:color="000000" w:sz="4" w:space="0"/>
              <w:left w:val="single" w:color="000000" w:sz="4" w:space="0"/>
              <w:right w:val="single" w:color="000000" w:sz="4" w:space="0"/>
            </w:tcBorders>
            <w:tcW w:w="841" w:type="pct"/>
            <w:vAlign w:val="center"/>
            <w:vMerge w:val="restart"/>
            <w:textDirection w:val="lrTb"/>
            <w:noWrap w:val="false"/>
          </w:tcPr>
          <w:p>
            <w:pPr>
              <w:pStyle w:val="1028"/>
              <w:numPr>
                <w:ilvl w:val="0"/>
                <w:numId w:val="0"/>
              </w:numPr>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color w:val="auto"/>
                <w:sz w:val="24"/>
                <w:szCs w:val="24"/>
                <w:highlight w:val="none"/>
              </w:rPr>
              <w:t xml:space="preserve">中标人在领取中标通知书前，须向采购代理机构提交</w:t>
            </w:r>
            <w:r>
              <w:rPr>
                <w:rFonts w:hint="eastAsia" w:ascii="宋体" w:hAnsi="宋体" w:eastAsia="宋体" w:cs="宋体"/>
                <w:color w:val="auto"/>
                <w:sz w:val="24"/>
                <w:szCs w:val="24"/>
                <w:highlight w:val="none"/>
                <w:lang w:val="en-US" w:eastAsia="zh-CN"/>
              </w:rPr>
              <w:t xml:space="preserve">纸质</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一式三份</w:t>
            </w:r>
            <w:r>
              <w:rPr>
                <w:rFonts w:hint="eastAsia" w:ascii="宋体" w:hAnsi="宋体" w:eastAsia="宋体" w:cs="宋体"/>
                <w:color w:val="auto"/>
                <w:sz w:val="24"/>
                <w:szCs w:val="24"/>
                <w:highlight w:val="none"/>
              </w:rPr>
              <w:t xml:space="preserve">。</w:t>
            </w:r>
            <w:r/>
          </w:p>
        </w:tc>
      </w:tr>
      <w:tr>
        <w:trPr/>
        <w:tc>
          <w:tcPr>
            <w:tcBorders>
              <w:left w:val="single" w:color="000000" w:sz="4" w:space="0"/>
              <w:bottom w:val="single" w:color="000000" w:sz="4" w:space="0"/>
              <w:right w:val="single" w:color="000000" w:sz="4" w:space="0"/>
            </w:tcBorders>
            <w:tcW w:w="841" w:type="pct"/>
            <w:vMerge w:val="continue"/>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9"/>
          <w:footnotePr/>
          <w:endnotePr/>
          <w:type w:val="nextPage"/>
          <w:pgSz w:w="11906" w:h="16838" w:orient="portrait"/>
          <w:pgMar w:top="1440" w:right="1803" w:bottom="1440" w:left="1803" w:header="851" w:footer="992" w:gutter="283"/>
          <w:pgNumType w:start="1"/>
          <w:cols w:num="1" w:sep="0" w:space="0" w:equalWidth="1"/>
          <w:docGrid w:linePitch="360"/>
        </w:sectPr>
      </w:pPr>
      <w:r>
        <w:rPr>
          <w:rFonts w:hint="eastAsia" w:ascii="宋体" w:hAnsi="宋体" w:eastAsia="宋体" w:cs="宋体"/>
          <w:color w:val="auto"/>
          <w:highlight w:val="none"/>
        </w:rPr>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本章附件：</w:t>
      </w:r>
      <w:r>
        <w:rPr>
          <w:rFonts w:hint="eastAsia" w:ascii="宋体" w:hAnsi="宋体" w:eastAsia="宋体" w:cs="宋体"/>
          <w:color w:val="000000"/>
          <w:sz w:val="28"/>
          <w:szCs w:val="28"/>
        </w:rPr>
        <w:t xml:space="preserve">招标代理服务收费标准</w:t>
      </w:r>
      <w:r/>
    </w:p>
    <w:tbl>
      <w:tblPr>
        <w:tblStyle w:val="12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001"/>
      </w:tblGrid>
      <w:tr>
        <w:trPr>
          <w:jc w:val="center"/>
          <w:trHeight w:val="30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349"/>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320"/>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30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348"/>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371"/>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keepLines w:val="0"/>
        <w:keepNext w:val="0"/>
        <w:pageBreakBefore w:val="0"/>
        <w:spacing w:line="320" w:lineRule="exact"/>
        <w:widowControl w:val="off"/>
        <w:rPr>
          <w:rFonts w:hint="eastAsia" w:ascii="宋体" w:hAnsi="宋体" w:eastAsia="宋体" w:cs="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6.有分包(分标段)的以一个项目计算。</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.以上价格为协会指导价，双方可根据项目难易程度和优质优价原则协商确定。</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8.（一）本项目招标代理服务费由中标人支付，按照“江苏省政府采购协会关于印发《江苏省政府采购代理服务收费指导意见》的通知（苏政采协[2024)20号）”的60%收取。</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（二）关于进一步规范政府采购活动相关费用管理的通知（苏财规〔2026〕1号）</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评审活动相关费用：评审专家参加省内政府采购项目评审时应获得的专家评审费按以下规定进行管理。</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②远程异地评标项目专家评审费按评审专家属地规定的标准支付。</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③专家评审费应在项目评审完成后30个工作日内支付专家。因专家原因导致项目废标，则不需要向应当承担责任的专家支付费用。</w:t>
      </w:r>
      <w:r/>
    </w:p>
    <w:p>
      <w:pPr>
        <w:pStyle w:val="995"/>
        <w:rPr>
          <w:rFonts w:hint="default" w:eastAsia="宋体"/>
          <w:lang w:val="en-US" w:eastAsia="zh-CN"/>
        </w:rPr>
      </w:pPr>
      <w:r>
        <w:rPr>
          <w:rFonts w:hint="default" w:eastAsia="宋体"/>
          <w:lang w:val="en-US" w:eastAsia="zh-CN"/>
        </w:rPr>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0"/>
        <w:rPr>
          <w:rFonts w:hint="eastAsia" w:ascii="宋体" w:hAnsi="宋体" w:eastAsia="宋体" w:cs="宋体"/>
          <w:highlight w:val="none"/>
        </w:rPr>
      </w:pPr>
      <w:r/>
      <w:bookmarkStart w:id="4" w:name="_Toc23220"/>
      <w:r>
        <w:rPr>
          <w:rFonts w:hint="eastAsia" w:ascii="宋体" w:hAnsi="宋体" w:eastAsia="宋体" w:cs="宋体"/>
          <w:highlight w:val="none"/>
          <w:lang w:val="en-US" w:eastAsia="zh-CN"/>
        </w:rPr>
        <w:t xml:space="preserve">第四章 </w:t>
      </w:r>
      <w:r>
        <w:rPr>
          <w:rFonts w:hint="eastAsia" w:ascii="宋体" w:hAnsi="宋体" w:eastAsia="宋体" w:cs="宋体"/>
          <w:highlight w:val="none"/>
        </w:rPr>
        <w:t xml:space="preserve">评</w:t>
      </w:r>
      <w:r>
        <w:rPr>
          <w:rFonts w:hint="eastAsia" w:ascii="宋体" w:hAnsi="宋体" w:eastAsia="宋体" w:cs="宋体"/>
          <w:highlight w:val="none"/>
          <w:lang w:eastAsia="zh-CN"/>
        </w:rPr>
        <w:t xml:space="preserve">分</w:t>
      </w:r>
      <w:r>
        <w:rPr>
          <w:rFonts w:hint="eastAsia" w:ascii="宋体" w:hAnsi="宋体" w:eastAsia="宋体" w:cs="宋体"/>
          <w:highlight w:val="none"/>
        </w:rPr>
        <w:t xml:space="preserve">标准</w:t>
      </w:r>
      <w:bookmarkEnd w:id="4"/>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223"/>
        <w:gridCol w:w="5866"/>
      </w:tblGrid>
      <w:tr>
        <w:trPr/>
        <w:tc>
          <w:tcPr>
            <w:gridSpan w:val="2"/>
            <w:tcW w:w="1436" w:type="pct"/>
            <w:vAlign w:val="center"/>
            <w:textDirection w:val="lrTb"/>
            <w:noWrap w:val="false"/>
          </w:tcPr>
          <w:p>
            <w:pPr>
              <w:ind w:firstLine="482"/>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356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评分细则</w:t>
            </w:r>
            <w:r/>
          </w:p>
        </w:tc>
      </w:tr>
      <w:tr>
        <w:trPr/>
        <w:tc>
          <w:tcPr>
            <w:gridSpan w:val="2"/>
            <w:tcW w:w="143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价格分采用低价优先法计算，即满足招标文件要求且投标价格最低的投标报价为评标基准价，其价格分为满分。其他投标人的价格分按照下列公式计算：</w:t>
            </w:r>
            <w:r/>
          </w:p>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商务部分</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2</w:t>
            </w:r>
            <w:r>
              <w:rPr>
                <w:rFonts w:hint="eastAsia" w:ascii="宋体" w:hAnsi="宋体" w:cs="宋体"/>
                <w:color w:val="ff0000"/>
                <w:sz w:val="21"/>
                <w:szCs w:val="21"/>
                <w:lang w:val="en-US" w:eastAsia="zh-CN"/>
              </w:rPr>
              <w:t xml:space="preserve">3</w:t>
            </w:r>
            <w:r>
              <w:rPr>
                <w:rFonts w:hint="eastAsia" w:ascii="宋体" w:hAnsi="宋体" w:eastAsia="宋体" w:cs="宋体"/>
                <w:color w:val="ff0000"/>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自202</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年1月1日（含）至今（以合同签订时间为准），投标人承接过</w:t>
            </w:r>
            <w:r>
              <w:rPr>
                <w:rFonts w:hint="eastAsia" w:ascii="宋体" w:hAnsi="宋体" w:cs="宋体"/>
                <w:b w:val="0"/>
                <w:bCs w:val="0"/>
                <w:sz w:val="21"/>
                <w:szCs w:val="21"/>
                <w:lang w:val="en-US" w:eastAsia="zh-CN"/>
              </w:rPr>
              <w:t xml:space="preserve">与</w:t>
            </w:r>
            <w:r>
              <w:rPr>
                <w:rFonts w:hint="eastAsia" w:ascii="宋体" w:hAnsi="宋体" w:eastAsia="宋体" w:cs="宋体"/>
                <w:b w:val="0"/>
                <w:bCs w:val="0"/>
                <w:sz w:val="21"/>
                <w:szCs w:val="21"/>
              </w:rPr>
              <w:t xml:space="preserve">空气自动监测站运维项目</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VO</w:t>
            </w:r>
            <w:r>
              <w:rPr>
                <w:rFonts w:hint="eastAsia" w:ascii="宋体" w:hAnsi="宋体" w:eastAsia="宋体" w:cs="宋体"/>
                <w:b w:val="0"/>
                <w:bCs w:val="0"/>
                <w:color w:val="auto"/>
                <w:sz w:val="21"/>
                <w:szCs w:val="21"/>
              </w:rPr>
              <w:t xml:space="preserve">Cs自动监测站运维项目</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水质自动监测站运维项目</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空气微站</w:t>
            </w:r>
            <w:r>
              <w:rPr>
                <w:rFonts w:hint="eastAsia" w:ascii="宋体" w:hAnsi="宋体" w:eastAsia="宋体" w:cs="宋体"/>
                <w:b w:val="0"/>
                <w:bCs w:val="0"/>
                <w:color w:val="auto"/>
                <w:sz w:val="21"/>
                <w:szCs w:val="21"/>
              </w:rPr>
              <w:t xml:space="preserve">运维项目</w:t>
            </w:r>
            <w:r>
              <w:rPr>
                <w:rFonts w:hint="eastAsia" w:ascii="宋体" w:hAnsi="宋体" w:cs="宋体"/>
                <w:b w:val="0"/>
                <w:bCs w:val="0"/>
                <w:color w:val="auto"/>
                <w:sz w:val="21"/>
                <w:szCs w:val="21"/>
                <w:lang w:val="en-US" w:eastAsia="zh-CN"/>
              </w:rPr>
              <w:t xml:space="preserve">相关项目的</w:t>
            </w:r>
            <w:r>
              <w:rPr>
                <w:rFonts w:hint="eastAsia" w:ascii="宋体" w:hAnsi="宋体" w:eastAsia="宋体" w:cs="宋体"/>
                <w:b w:val="0"/>
                <w:bCs w:val="0"/>
                <w:color w:val="auto"/>
                <w:sz w:val="21"/>
                <w:szCs w:val="21"/>
              </w:rPr>
              <w:t xml:space="preserve">，每提供一份合同得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分，本项最多得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须提供业绩合同</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。业绩合同中承接方需与投标人名称一致，否则不予计分。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重复合同仅计一次得分。</w:t>
            </w:r>
            <w:r/>
          </w:p>
        </w:tc>
      </w:tr>
      <w:tr>
        <w:trPr>
          <w:trHeight w:val="179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企业实力</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投标人具有有效期内的环境管理体系认证证书、质量管理体系认证证书、职业健康安全管理体系认证证书。每有一项得1分，最高得3分。</w:t>
            </w:r>
            <w:r/>
          </w:p>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b/>
                <w:bCs/>
                <w:sz w:val="21"/>
                <w:szCs w:val="21"/>
                <w:lang w:val="en-US" w:eastAsia="zh-CN"/>
              </w:rPr>
              <w:t xml:space="preserve">注：投标文件中须提供证书扫描件并加盖电子签章，否则不得分。</w:t>
            </w:r>
            <w:r/>
          </w:p>
        </w:tc>
      </w:tr>
      <w:tr>
        <w:trPr>
          <w:trHeight w:val="524"/>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CMA实验室及质控能</w:t>
            </w:r>
            <w:r>
              <w:rPr>
                <w:rFonts w:hint="eastAsia" w:ascii="宋体" w:hAnsi="宋体" w:eastAsia="宋体" w:cs="宋体"/>
                <w:sz w:val="21"/>
                <w:szCs w:val="21"/>
                <w:lang w:val="en-US" w:eastAsia="zh-CN"/>
              </w:rPr>
              <w:t xml:space="preserve">力</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p>
          <w:p>
            <w:pPr>
              <w:pStyle w:val="10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563" w:type="pct"/>
            <w:textDirection w:val="lrTb"/>
            <w:noWrap w:val="false"/>
          </w:tcPr>
          <w:p>
            <w:pPr>
              <w:ind w:left="0" w:firstLine="0"/>
              <w:rPr>
                <w:rFonts w:hint="eastAsia" w:ascii="宋体" w:hAnsi="宋体" w:eastAsia="宋体" w:cs="宋体"/>
                <w:sz w:val="21"/>
                <w:szCs w:val="21"/>
              </w:rPr>
            </w:pPr>
            <w:r>
              <w:rPr>
                <w:rFonts w:hint="eastAsia" w:ascii="宋体" w:hAnsi="宋体" w:eastAsia="宋体" w:cs="宋体"/>
                <w:sz w:val="21"/>
                <w:szCs w:val="21"/>
              </w:rPr>
              <w:t xml:space="preserve">投标人自有用于质量控制的CMA实验室的得6分；投标人自身无实验室，但有委托相关认证实验室（须提供服务期包含本次运维周期的委托协议）的得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分。实验室认证范围需包含：气：SO2、NO</w:t>
            </w:r>
            <w:r>
              <w:rPr>
                <w:rFonts w:hint="eastAsia" w:ascii="宋体" w:hAnsi="宋体" w:eastAsia="宋体" w:cs="宋体"/>
                <w:sz w:val="21"/>
                <w:szCs w:val="21"/>
                <w:highlight w:val="none"/>
              </w:rPr>
              <w:t xml:space="preserve">x、CO、O3、PM2.5、PM10、挥发性有机物；水：五参数</w:t>
            </w:r>
            <w:r>
              <w:rPr>
                <w:rFonts w:hint="eastAsia" w:ascii="宋体" w:hAnsi="宋体" w:eastAsia="宋体" w:cs="宋体"/>
                <w:sz w:val="21"/>
                <w:szCs w:val="21"/>
                <w:highlight w:val="none"/>
                <w:lang w:eastAsia="zh-CN"/>
              </w:rPr>
              <w:t xml:space="preserve">（pH、溶解氧、水温、电导率和浊度）</w:t>
            </w:r>
            <w:r>
              <w:rPr>
                <w:rFonts w:hint="eastAsia" w:ascii="宋体" w:hAnsi="宋体" w:eastAsia="宋体" w:cs="宋体"/>
                <w:sz w:val="21"/>
                <w:szCs w:val="21"/>
                <w:highlight w:val="none"/>
              </w:rPr>
              <w:t xml:space="preserve">、氨氮、总磷、总氮、高锰酸盐指数，</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rPr>
              <w:t xml:space="preserve">缺1项扣1分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扣完为止。</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须提供实验室资质证书及涵盖本项目指标的计量认证</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未提供</w:t>
            </w:r>
            <w:r>
              <w:rPr>
                <w:rFonts w:hint="eastAsia" w:ascii="宋体" w:hAnsi="宋体" w:eastAsia="宋体" w:cs="宋体"/>
                <w:b/>
                <w:bCs/>
                <w:sz w:val="21"/>
                <w:szCs w:val="21"/>
              </w:rPr>
              <w:t xml:space="preserve">不得分。</w:t>
            </w:r>
            <w:r/>
          </w:p>
        </w:tc>
      </w:tr>
      <w:tr>
        <w:trPr>
          <w:trHeight w:val="46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bottom w:val="single" w:color="auto" w:sz="4" w:space="0"/>
            </w:tcBorders>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投标人针对本项目拟投入的运维人员有高级环保设备工程师证书或环保相关专业高级职称的，每有1人得2分，最高得8分。</w:t>
            </w:r>
            <w:r/>
          </w:p>
          <w:p>
            <w:pPr>
              <w:ind w:firstLine="0"/>
              <w:keepLines w:val="0"/>
              <w:keepNext w:val="0"/>
              <w:pageBreakBefore w:val="0"/>
              <w:spacing w:line="360" w:lineRule="exact"/>
              <w:widowControl w:val="off"/>
              <w:rPr>
                <w:rFonts w:hint="eastAsia" w:ascii="宋体" w:hAnsi="宋体" w:eastAsia="宋体" w:cs="宋体"/>
                <w:b/>
                <w:bCs/>
                <w:sz w:val="21"/>
                <w:szCs w:val="21"/>
                <w:lang w:val="zh-CN"/>
              </w:rPr>
            </w:pPr>
            <w:r>
              <w:rPr>
                <w:rFonts w:hint="eastAsia" w:ascii="宋体" w:hAnsi="宋体" w:eastAsia="宋体" w:cs="宋体"/>
                <w:b/>
                <w:bCs/>
                <w:color w:val="auto"/>
                <w:sz w:val="21"/>
                <w:szCs w:val="21"/>
              </w:rPr>
              <w:t xml:space="preserve">注：以上人员均需提供证书原件扫描件及</w:t>
            </w:r>
            <w:r>
              <w:rPr>
                <w:rFonts w:hint="eastAsia" w:ascii="宋体" w:hAnsi="宋体" w:eastAsia="宋体" w:cs="宋体"/>
                <w:b/>
                <w:bCs/>
                <w:color w:val="auto"/>
                <w:sz w:val="21"/>
                <w:szCs w:val="21"/>
                <w:lang w:val="zh-CN"/>
              </w:rPr>
              <w:t xml:space="preserve">及开标前</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val="zh-CN"/>
              </w:rPr>
              <w:t xml:space="preserve">个月内任何一月投标人为其缴纳社保的证明材料</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zh-CN"/>
              </w:rPr>
              <w:t xml:space="preserve">材料不全或未提供不得分。</w:t>
            </w:r>
            <w:r/>
          </w:p>
        </w:tc>
      </w:tr>
      <w:tr>
        <w:trPr>
          <w:trHeight w:val="90"/>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车辆</w:t>
            </w:r>
            <w:r>
              <w:rPr>
                <w:rFonts w:hint="eastAsia" w:ascii="宋体" w:hAnsi="宋体" w:eastAsia="宋体" w:cs="宋体"/>
                <w:sz w:val="21"/>
                <w:szCs w:val="21"/>
              </w:rPr>
              <w:t xml:space="preserve">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根据投标人运维车辆配置计划，车辆配置数量为</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辆得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，2辆</w:t>
            </w:r>
            <w:r>
              <w:rPr>
                <w:rFonts w:hint="eastAsia" w:ascii="宋体" w:hAnsi="宋体" w:eastAsia="宋体" w:cs="宋体"/>
                <w:sz w:val="21"/>
                <w:szCs w:val="21"/>
              </w:rPr>
              <w:t xml:space="preserve">及以上的得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未提供</w:t>
            </w:r>
            <w:r>
              <w:rPr>
                <w:rFonts w:hint="eastAsia" w:ascii="宋体" w:hAnsi="宋体" w:eastAsia="宋体" w:cs="宋体"/>
                <w:sz w:val="21"/>
                <w:szCs w:val="21"/>
              </w:rPr>
              <w:t xml:space="preserve">得0分。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须提供车辆配置清单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车辆牌照、行驶证原件扫描件。</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自有车辆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需提供购置发票原件扫描件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租赁车辆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合同租赁期限需满足本项目需求，提供租赁合同原件扫描件</w:t>
            </w:r>
            <w:r>
              <w:rPr>
                <w:rFonts w:hint="eastAsia" w:ascii="宋体" w:hAnsi="宋体" w:eastAsia="宋体" w:cs="宋体"/>
                <w:sz w:val="21"/>
                <w:szCs w:val="21"/>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3.提供车辆须与项目开展后实际使用车辆信息相符。</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技术部分</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62</w:t>
            </w:r>
            <w:r>
              <w:rPr>
                <w:rFonts w:hint="eastAsia" w:ascii="宋体" w:hAnsi="宋体" w:eastAsia="宋体" w:cs="宋体"/>
                <w:color w:val="ff0000"/>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现状分析</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（1</w:t>
            </w:r>
            <w:r>
              <w:rPr>
                <w:rFonts w:hint="eastAsia" w:ascii="宋体" w:hAnsi="宋体" w:cs="宋体"/>
                <w:color w:val="ff0000"/>
                <w:sz w:val="21"/>
                <w:szCs w:val="21"/>
                <w:lang w:val="en-US" w:eastAsia="zh-CN"/>
              </w:rPr>
              <w:t xml:space="preserve">1</w:t>
            </w:r>
            <w:r>
              <w:rPr>
                <w:rFonts w:hint="eastAsia" w:ascii="宋体" w:hAnsi="宋体" w:eastAsia="宋体" w:cs="宋体"/>
                <w:color w:val="ff0000"/>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对项目实施过程中可能发生的问题和困难进行预判，掌握项目实施区域环境概况、监测监控能力运维现状等方面的内容综合评审。</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（1）内容完整，针对性强，技术方案明晰，可操作性强得</w:t>
            </w:r>
            <w:r>
              <w:rPr>
                <w:rFonts w:hint="eastAsia" w:ascii="宋体" w:hAnsi="宋体" w:eastAsia="宋体" w:cs="宋体"/>
                <w:color w:val="ff0000"/>
                <w:sz w:val="21"/>
                <w:szCs w:val="21"/>
                <w:lang w:val="en-US" w:eastAsia="zh-CN"/>
              </w:rPr>
              <w:t xml:space="preserve">1</w:t>
            </w:r>
            <w:r>
              <w:rPr>
                <w:rFonts w:hint="eastAsia" w:ascii="宋体" w:hAnsi="宋体" w:cs="宋体"/>
                <w:color w:val="ff0000"/>
                <w:sz w:val="21"/>
                <w:szCs w:val="21"/>
                <w:lang w:val="en-US" w:eastAsia="zh-CN"/>
              </w:rPr>
              <w:t xml:space="preserve">1</w:t>
            </w:r>
            <w:r>
              <w:rPr>
                <w:rFonts w:hint="eastAsia" w:ascii="宋体" w:hAnsi="宋体" w:eastAsia="宋体" w:cs="宋体"/>
                <w:color w:val="ff0000"/>
                <w:sz w:val="21"/>
                <w:szCs w:val="21"/>
                <w:lang w:val="en-US" w:eastAsia="zh-CN"/>
              </w:rPr>
              <w:t xml:space="preserve">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（2）内容较完整，针对性较强，技术方案较明晰，可操作性较强得</w:t>
            </w:r>
            <w:r>
              <w:rPr>
                <w:rFonts w:hint="eastAsia" w:ascii="宋体" w:hAnsi="宋体" w:eastAsia="宋体" w:cs="宋体"/>
                <w:color w:val="auto"/>
                <w:sz w:val="21"/>
                <w:szCs w:val="21"/>
                <w:lang w:val="en-US" w:eastAsia="zh-CN"/>
              </w:rPr>
              <w:t xml:space="preserve">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auto"/>
                <w:sz w:val="21"/>
                <w:szCs w:val="21"/>
                <w:lang w:val="en-US" w:eastAsia="zh-CN"/>
              </w:rPr>
              <w:t xml:space="preserve">内容基本完整，</w:t>
            </w:r>
            <w:r>
              <w:rPr>
                <w:rFonts w:hint="eastAsia" w:ascii="宋体" w:hAnsi="宋体" w:eastAsia="宋体" w:cs="宋体"/>
                <w:sz w:val="21"/>
                <w:szCs w:val="21"/>
                <w:lang w:val="en-US" w:eastAsia="zh-CN"/>
              </w:rPr>
              <w:t xml:space="preserve">针对性一般，</w:t>
            </w:r>
            <w:r>
              <w:rPr>
                <w:rFonts w:hint="eastAsia" w:ascii="宋体" w:hAnsi="宋体" w:eastAsia="宋体" w:cs="宋体"/>
                <w:color w:val="auto"/>
                <w:sz w:val="21"/>
                <w:szCs w:val="21"/>
                <w:lang w:val="en-US" w:eastAsia="zh-CN"/>
              </w:rPr>
              <w:t xml:space="preserve">技术方案基本明晰，基本可操作得4分；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（4）内容差，</w:t>
            </w:r>
            <w:r>
              <w:rPr>
                <w:rFonts w:hint="eastAsia" w:ascii="宋体" w:hAnsi="宋体" w:eastAsia="宋体" w:cs="宋体"/>
                <w:sz w:val="21"/>
                <w:szCs w:val="21"/>
                <w:lang w:val="en-US" w:eastAsia="zh-CN"/>
              </w:rPr>
              <w:t xml:space="preserve">无针对性，</w:t>
            </w:r>
            <w:r>
              <w:rPr>
                <w:rFonts w:hint="eastAsia" w:ascii="宋体" w:hAnsi="宋体" w:eastAsia="宋体" w:cs="宋体"/>
                <w:color w:val="auto"/>
                <w:sz w:val="21"/>
                <w:szCs w:val="21"/>
                <w:lang w:val="en-US" w:eastAsia="zh-CN"/>
              </w:rPr>
              <w:t xml:space="preserve">技术方案差，可操作性差得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技术方案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11</w:t>
            </w:r>
            <w:r>
              <w:rPr>
                <w:rFonts w:hint="eastAsia" w:ascii="宋体" w:hAnsi="宋体" w:eastAsia="宋体" w:cs="宋体"/>
                <w:color w:val="ff0000"/>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基于对本项目采购需求的理解和分析，提出相应的技术思路，内容包括但不限于日常运维方案。 </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（1）编制思路清晰、完整，方案合理，关键环节识别准确、可操</w:t>
            </w:r>
            <w:r>
              <w:rPr>
                <w:rFonts w:hint="eastAsia" w:ascii="宋体" w:hAnsi="宋体" w:eastAsia="宋体" w:cs="宋体"/>
                <w:color w:val="auto"/>
                <w:sz w:val="21"/>
                <w:szCs w:val="21"/>
                <w:lang w:val="en-US" w:eastAsia="zh-CN"/>
              </w:rPr>
              <w:t xml:space="preserve">作性强，得</w:t>
            </w:r>
            <w:r>
              <w:rPr>
                <w:rFonts w:hint="eastAsia" w:ascii="宋体" w:hAnsi="宋体" w:cs="宋体"/>
                <w:color w:val="ff0000"/>
                <w:sz w:val="21"/>
                <w:szCs w:val="21"/>
                <w:lang w:val="en-US" w:eastAsia="zh-CN"/>
              </w:rPr>
              <w:t xml:space="preserve">11</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（2）编制思路较为清晰、完整，方案较为合理，关键环节识别基本准确、可操作性较强，得</w:t>
            </w:r>
            <w:r>
              <w:rPr>
                <w:rFonts w:hint="eastAsia" w:ascii="宋体" w:hAnsi="宋体" w:cs="宋体"/>
                <w:color w:val="ff0000"/>
                <w:sz w:val="21"/>
                <w:szCs w:val="21"/>
                <w:lang w:val="en-US" w:eastAsia="zh-CN"/>
              </w:rPr>
              <w:t xml:space="preserve">8</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（3）编制思路基本清晰、完整，方案基本合理，关键环节识别基本准确，有一定可操作性，得4分；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（4）编制思路无逻辑，方案不合理得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应急管控方案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根据投标文件中提供的应急预案的全面性及可操作性进行评分。对运维期间如出现严重影响系统运行和数据质量的重大问题时，是否具备有效的措施。</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（2）内容</w:t>
            </w:r>
            <w:r>
              <w:rPr>
                <w:rFonts w:hint="eastAsia" w:ascii="宋体" w:hAnsi="宋体" w:eastAsia="宋体" w:cs="宋体"/>
                <w:color w:val="auto"/>
                <w:sz w:val="21"/>
                <w:szCs w:val="21"/>
                <w:lang w:val="en-US" w:eastAsia="zh-CN"/>
              </w:rPr>
              <w:t xml:space="preserve">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（4）内容有缺陷，可操作差得1分；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运维管理制度</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根据响应文件中提供的针对本项目的管理制度和措施的全面性、针对性进行评分。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（1）内容符合实际、完整详细，能够针对本项目主要工作内容要求而细化制定方案，语言表述准确清晰，</w:t>
            </w:r>
            <w:r>
              <w:rPr>
                <w:rFonts w:hint="eastAsia" w:ascii="宋体" w:hAnsi="宋体" w:eastAsia="宋体" w:cs="宋体"/>
                <w:color w:val="auto"/>
                <w:sz w:val="21"/>
                <w:szCs w:val="21"/>
                <w:lang w:val="en-US" w:eastAsia="zh-CN"/>
              </w:rPr>
              <w:t xml:space="preserve">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（4）内容有缺陷，表达逻辑混乱的得1分；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质控体系建设</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10</w:t>
            </w:r>
            <w:r>
              <w:rPr>
                <w:rFonts w:hint="eastAsia" w:ascii="宋体" w:hAnsi="宋体" w:eastAsia="宋体" w:cs="宋体"/>
                <w:color w:val="ff0000"/>
                <w:sz w:val="21"/>
                <w:szCs w:val="21"/>
              </w:rPr>
              <w:t xml:space="preserve">分）</w:t>
            </w:r>
            <w:r/>
          </w:p>
        </w:tc>
        <w:tc>
          <w:tcPr>
            <w:tcW w:w="3563" w:type="pct"/>
            <w:vAlign w:val="top"/>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投标人应建立完善的质量保证和质量控制体系，制定相应质控措施。考核投标文件相应内容与项目的适用性。</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（1）质量保证与质量控制体系完善，并对应制定了详实可行的质控措施，高效保证运维质量，提供的标准物质或样品的管理、验收和期间核查等方案详实，科学合理、针对性强，能完全满足本项目采购需求得</w:t>
            </w:r>
            <w:r>
              <w:rPr>
                <w:rFonts w:hint="eastAsia" w:ascii="宋体" w:hAnsi="宋体" w:cs="宋体"/>
                <w:color w:val="ff0000"/>
                <w:sz w:val="21"/>
                <w:szCs w:val="21"/>
                <w:lang w:val="en-US" w:eastAsia="zh-CN"/>
              </w:rPr>
              <w:t xml:space="preserve">10</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（2）基本建立了质量保证与质量控制体系，有一定的质控措施，提供了相关方案，有一定的针对性，基本符合本项目采购需求得</w:t>
            </w:r>
            <w:r>
              <w:rPr>
                <w:rFonts w:hint="eastAsia" w:ascii="宋体" w:hAnsi="宋体" w:cs="宋体"/>
                <w:color w:val="ff0000"/>
                <w:sz w:val="21"/>
                <w:szCs w:val="21"/>
                <w:lang w:val="en-US" w:eastAsia="zh-CN"/>
              </w:rPr>
              <w:t xml:space="preserve">8</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（3）质量保证措施基本合理、科学，管理方案针对性尚可得4分；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（4）方案不合理，内容有缺陷得1分；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设备维护方案</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(10分)</w:t>
            </w:r>
            <w:r/>
          </w:p>
        </w:tc>
        <w:tc>
          <w:tcPr>
            <w:shd w:val="clear" w:color="auto" w:fill="auto"/>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根据投标文件中提供的设备维护方案，包括但不限于仪器备品备件的储备、供应渠道。</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（1）方案具体，完整详细，科学合理、容易操作的得10分；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（3）内容有一定偏差，但不影响实质性内容表达，较全面合理，得4分；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（4）方案不具体，不合理、不全面的得1分；</w:t>
            </w:r>
            <w:r/>
          </w:p>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（5）未提供不得分。</w:t>
            </w:r>
            <w:r/>
          </w:p>
        </w:tc>
      </w:tr>
    </w:tbl>
    <w:p>
      <w:pPr>
        <w:rPr>
          <w:rFonts w:hint="eastAsia" w:ascii="宋体" w:hAnsi="宋体" w:eastAsia="宋体" w:cs="宋体"/>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rPr>
      </w:r>
      <w:r/>
    </w:p>
    <w:p>
      <w:pPr>
        <w:pStyle w:val="970"/>
        <w:ind w:left="0" w:firstLine="0"/>
        <w:jc w:val="center"/>
        <w:rPr>
          <w:rFonts w:hint="eastAsia" w:ascii="宋体" w:hAnsi="宋体" w:eastAsia="宋体" w:cs="宋体"/>
          <w:highlight w:val="none"/>
        </w:rPr>
      </w:pPr>
      <w:r/>
      <w:bookmarkStart w:id="5" w:name="_Toc21350"/>
      <w:r>
        <w:rPr>
          <w:rFonts w:hint="eastAsia" w:ascii="宋体" w:hAnsi="宋体" w:eastAsia="宋体" w:cs="宋体"/>
          <w:highlight w:val="none"/>
        </w:rPr>
        <w:t xml:space="preserve">第五章 拟签订的合同文本</w:t>
      </w:r>
      <w:bookmarkEnd w:id="5"/>
      <w:r/>
      <w:r/>
    </w:p>
    <w:p>
      <w:pPr>
        <w:pStyle w:val="995"/>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95"/>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95"/>
        <w:ind w:right="720"/>
        <w:jc w:val="center"/>
        <w:keepLines w:val="0"/>
        <w:keepNext w:val="0"/>
        <w:pageBreakBefore w:val="0"/>
        <w:widowControl w:val="off"/>
        <w:rPr>
          <w:rFonts w:hint="eastAsia" w:ascii="宋体" w:hAnsi="宋体" w:eastAsia="宋体" w:cs="宋体"/>
          <w:color w:val="auto"/>
          <w:sz w:val="40"/>
          <w:szCs w:val="40"/>
          <w:highlight w:val="none"/>
        </w:rPr>
      </w:pP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政</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府</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采</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购</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合</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同</w:t>
      </w:r>
      <w:r/>
    </w:p>
    <w:p>
      <w:pPr>
        <w:pStyle w:val="995"/>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95"/>
        <w:ind w:firstLine="960"/>
        <w:spacing w:line="48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95"/>
        <w:ind w:left="2235" w:hanging="140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丰县经济开发区污染物排放限值限量运维管理服务项目</w:t>
      </w:r>
      <w:r/>
    </w:p>
    <w:p>
      <w:pPr>
        <w:pStyle w:val="995"/>
        <w:ind w:firstLine="84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JSZC-320321-ZZXH-G2026-0003</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  购  人）：</w:t>
      </w:r>
      <w:r>
        <w:rPr>
          <w:rFonts w:hint="eastAsia" w:ascii="宋体" w:hAnsi="宋体" w:eastAsia="宋体" w:cs="宋体"/>
          <w:color w:val="auto"/>
          <w:sz w:val="28"/>
          <w:szCs w:val="28"/>
          <w:highlight w:val="none"/>
          <w:lang w:eastAsia="zh-CN"/>
        </w:rPr>
        <w:t xml:space="preserve">江苏丰县经济开发区管理委员会</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乙方（中标供应商）：</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103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4"/>
        <w:rPr>
          <w:rFonts w:hint="eastAsia" w:ascii="宋体" w:hAnsi="宋体" w:eastAsia="宋体" w:cs="宋体"/>
        </w:rPr>
      </w:pPr>
      <w:r>
        <w:rPr>
          <w:rFonts w:hint="eastAsia" w:ascii="宋体" w:hAnsi="宋体" w:eastAsia="宋体" w:cs="宋体"/>
        </w:rPr>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友情提醒：采购人与中标、中标供应商应当在中标、中标通知书发出之日起三十日内，按照采购文件确定的事项签订政府采购合同。</w:t>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41"/>
        <w:rPr>
          <w:rFonts w:hint="eastAsia" w:ascii="宋体" w:hAnsi="宋体" w:eastAsia="宋体" w:cs="宋体"/>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lang w:val="en-US" w:eastAsia="zh-CN"/>
        </w:rPr>
        <w:t xml:space="preserve">  江苏丰县经济开发区管理委员会  </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乙方(服务单位)：</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JSZC-320321-ZZXH-G2026-0003</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公开招标的结果，经友好协商，就有关事宜达成一致意见，根据《</w:t>
      </w:r>
      <w:r>
        <w:rPr>
          <w:rFonts w:hint="eastAsia" w:ascii="宋体" w:hAnsi="宋体" w:eastAsia="宋体" w:cs="宋体"/>
          <w:color w:val="auto"/>
          <w:sz w:val="24"/>
          <w:szCs w:val="24"/>
          <w:highlight w:val="none"/>
          <w:lang w:val="en-US" w:eastAsia="zh-CN"/>
        </w:rPr>
        <w:t xml:space="preserve">中华人民共和国民法典</w:t>
      </w:r>
      <w:r>
        <w:rPr>
          <w:rFonts w:hint="eastAsia" w:ascii="宋体" w:hAnsi="宋体" w:eastAsia="宋体" w:cs="宋体"/>
          <w:color w:val="auto"/>
          <w:sz w:val="24"/>
          <w:szCs w:val="24"/>
          <w:highlight w:val="none"/>
        </w:rPr>
        <w:t xml:space="preserve">》、《中华人民共和国政府采购法》及其他相关法律、行政法规，遵循平等、自愿、公平和诚实信用的原则签订本合同。</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 定义</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“合同”系指甲方与乙方签署的、合同格式中载明的甲方与乙方所达成的协议，包括所有的附件、附录和构成合同的所有文件。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“合同价”系指根据合同规定，乙方在正确地完全履行合同义务后甲方应支付给乙方的价格。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“服务”系指根据合同规定技术支持、培训和其他类似的乙方应承担的义务。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”系指购买货物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w:t>
      </w:r>
      <w:r>
        <w:rPr>
          <w:rFonts w:hint="eastAsia" w:ascii="宋体" w:hAnsi="宋体" w:eastAsia="宋体" w:cs="宋体"/>
          <w:color w:val="auto"/>
          <w:sz w:val="24"/>
          <w:szCs w:val="24"/>
          <w:highlight w:val="none"/>
          <w:lang w:val="en-US" w:eastAsia="zh-CN"/>
        </w:rPr>
        <w:t xml:space="preserve">江苏丰县经济开发区管理委员会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”系提供货物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服务的供应商。</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1.本合同及其</w:t>
      </w:r>
      <w:r>
        <w:rPr>
          <w:rFonts w:hint="eastAsia" w:ascii="宋体" w:hAnsi="宋体" w:eastAsia="宋体" w:cs="宋体"/>
          <w:color w:val="auto"/>
          <w:sz w:val="24"/>
          <w:lang w:val="en-US" w:eastAsia="zh-CN"/>
        </w:rPr>
        <w:t xml:space="preserve">附件、</w:t>
      </w:r>
      <w:r>
        <w:rPr>
          <w:rFonts w:hint="eastAsia" w:ascii="宋体" w:hAnsi="宋体" w:eastAsia="宋体" w:cs="宋体"/>
          <w:color w:val="auto"/>
          <w:sz w:val="24"/>
        </w:rPr>
        <w:t xml:space="preserve">补充合同</w:t>
      </w:r>
      <w:r>
        <w:rPr>
          <w:rFonts w:hint="eastAsia" w:ascii="宋体" w:hAnsi="宋体" w:eastAsia="宋体" w:cs="宋体"/>
          <w:color w:val="auto"/>
          <w:sz w:val="24"/>
          <w:lang w:val="en-US" w:eastAsia="zh-CN"/>
        </w:rPr>
        <w:t xml:space="preserve">等</w:t>
      </w:r>
      <w:r>
        <w:rPr>
          <w:rFonts w:hint="eastAsia" w:ascii="宋体" w:hAnsi="宋体" w:eastAsia="宋体" w:cs="宋体"/>
          <w:color w:val="auto"/>
          <w:sz w:val="24"/>
        </w:rPr>
        <w:t xml:space="preserve">；</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通知书；</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.招标</w:t>
      </w:r>
      <w:r>
        <w:rPr>
          <w:rFonts w:hint="eastAsia" w:ascii="宋体" w:hAnsi="宋体" w:eastAsia="宋体" w:cs="宋体"/>
          <w:color w:val="auto"/>
          <w:sz w:val="24"/>
        </w:rPr>
        <w:t xml:space="preserve">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.投标</w:t>
      </w:r>
      <w:r>
        <w:rPr>
          <w:rFonts w:hint="eastAsia" w:ascii="宋体" w:hAnsi="宋体" w:eastAsia="宋体" w:cs="宋体"/>
          <w:color w:val="auto"/>
          <w:sz w:val="24"/>
        </w:rPr>
        <w:t xml:space="preserve">文件；</w:t>
      </w:r>
      <w:r/>
    </w:p>
    <w:p>
      <w:pPr>
        <w:ind w:firstLine="480"/>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其他相关采购文件。</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购买服务规格</w:t>
      </w:r>
      <w:r>
        <w:rPr>
          <w:rFonts w:hint="eastAsia" w:ascii="宋体" w:hAnsi="宋体" w:eastAsia="宋体" w:cs="宋体"/>
          <w:color w:val="auto"/>
          <w:sz w:val="24"/>
          <w:szCs w:val="24"/>
          <w:highlight w:val="none"/>
        </w:rPr>
        <w:tab/>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乙方所提供服务应与招标文件及乙方投标文件规定的服务要求相一致。</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2.项目服务范围：详见招标文件规定的运维服务内容。</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条 专利权</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乙方应保证所提供的服务不受第三方提出侵犯其专利权、商标权和工业设计权的起诉。一旦出现专利侵权，乙方应负全部责任。</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价款及支付方式</w:t>
      </w:r>
      <w:r/>
    </w:p>
    <w:p>
      <w:pPr>
        <w:ind w:firstLine="482"/>
        <w:keepLines w:val="0"/>
        <w:keepNext w:val="0"/>
        <w:pageBreakBefore w:val="0"/>
        <w:spacing w:line="400" w:lineRule="exact"/>
        <w:shd w:val="clear" w:color="auto"/>
        <w:tabs>
          <w:tab w:val="left" w:pos="360" w:leader="none"/>
          <w:tab w:val="left" w:pos="540" w:leader="none"/>
          <w:tab w:val="left" w:pos="7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合同总额：人民币：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val="en-US" w:eastAsia="zh-CN"/>
        </w:rPr>
        <w:t xml:space="preserve">其中运维费</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其他费用</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p>
    <w:p>
      <w:pPr>
        <w:ind w:firstLine="480"/>
        <w:keepLines w:val="0"/>
        <w:keepNext w:val="0"/>
        <w:pageBreakBefore w:val="0"/>
        <w:spacing w:line="40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以上价格包含了为完成工作所发生的一切预见和不可预见费用，包含</w:t>
      </w:r>
      <w:r>
        <w:rPr>
          <w:rFonts w:hint="eastAsia" w:ascii="宋体" w:hAnsi="宋体" w:eastAsia="宋体" w:cs="宋体"/>
          <w:b w:val="0"/>
          <w:bCs/>
          <w:color w:val="auto"/>
          <w:sz w:val="24"/>
          <w:szCs w:val="24"/>
          <w:highlight w:val="none"/>
          <w:lang w:eastAsia="zh-CN"/>
        </w:rPr>
        <w:t xml:space="preserve">（日常运维、平台监管运维、第四方质控、专变维护、电费、限值限量核算服务、</w:t>
      </w:r>
      <w:r>
        <w:rPr>
          <w:rFonts w:hint="eastAsia" w:ascii="宋体" w:hAnsi="宋体" w:eastAsia="宋体" w:cs="宋体"/>
          <w:b w:val="0"/>
          <w:bCs/>
          <w:color w:val="auto"/>
          <w:sz w:val="24"/>
          <w:szCs w:val="24"/>
          <w:highlight w:val="none"/>
          <w:lang w:val="en-US" w:eastAsia="zh-CN"/>
        </w:rPr>
        <w:t xml:space="preserve">代理服务费等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但不限于本项目实施过程中涉及的车旅费、踏勘费、耗材费、人工费及不可预见费和现场踏勘中的设备投入费、快速检测费等所有费用、合理利润、税收等。甲方不再支付合同总价以外的任何费用</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highlight w:val="none"/>
          <w:lang w:val="en-US" w:eastAsia="zh-CN"/>
        </w:rPr>
        <w:t xml:space="preserve">运维内容：</w:t>
      </w:r>
      <w:r>
        <w:rPr>
          <w:rFonts w:hint="eastAsia" w:ascii="宋体" w:hAnsi="宋体" w:eastAsia="宋体" w:cs="宋体"/>
          <w:b w:val="0"/>
          <w:bCs w:val="0"/>
          <w:color w:val="auto"/>
          <w:sz w:val="24"/>
          <w:szCs w:val="24"/>
          <w:highlight w:val="none"/>
        </w:rPr>
        <w:t xml:space="preserve">2套标准空气站、2套VOC</w:t>
      </w:r>
      <w:r>
        <w:rPr>
          <w:rFonts w:hint="eastAsia" w:ascii="宋体" w:hAnsi="宋体" w:eastAsia="宋体" w:cs="宋体"/>
          <w:b w:val="0"/>
          <w:bCs w:val="0"/>
          <w:color w:val="auto"/>
          <w:sz w:val="24"/>
          <w:szCs w:val="24"/>
          <w:highlight w:val="none"/>
          <w:lang w:val="en-US" w:eastAsia="zh-CN"/>
        </w:rPr>
        <w:t xml:space="preserve">s</w:t>
      </w:r>
      <w:r>
        <w:rPr>
          <w:rFonts w:hint="eastAsia" w:ascii="宋体" w:hAnsi="宋体" w:eastAsia="宋体" w:cs="宋体"/>
          <w:b w:val="0"/>
          <w:bCs w:val="0"/>
          <w:color w:val="auto"/>
          <w:sz w:val="24"/>
          <w:szCs w:val="24"/>
          <w:highlight w:val="none"/>
        </w:rPr>
        <w:t xml:space="preserve">(PAMS57)、35套空气微站、2套水质标准站、1套污水监测站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专变及市电、软件平台升级（含平台在线数据汇总）</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具体详见招标文件采购需求。</w:t>
      </w:r>
      <w:r/>
    </w:p>
    <w:p>
      <w:pPr>
        <w:numPr>
          <w:ilvl w:val="0"/>
          <w:numId w:val="0"/>
        </w:numPr>
        <w:ind w:left="480" w:firstLine="0"/>
        <w:keepLines w:val="0"/>
        <w:keepNext w:val="0"/>
        <w:pageBreakBefore w:val="0"/>
        <w:spacing w:line="4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3.运维期限：</w:t>
      </w:r>
      <w:r>
        <w:rPr>
          <w:rFonts w:hint="eastAsia" w:ascii="宋体" w:hAnsi="宋体" w:eastAsia="宋体" w:cs="宋体"/>
          <w:b w:val="0"/>
          <w:bCs w:val="0"/>
          <w:color w:val="auto"/>
          <w:sz w:val="24"/>
          <w:szCs w:val="24"/>
          <w:highlight w:val="none"/>
          <w:lang w:val="en-US" w:eastAsia="zh-CN"/>
        </w:rPr>
        <w:t xml:space="preserve">1年，自2026年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日至2027年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rPr>
        <w:t xml:space="preserve">付款方式：</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yellow"/>
          <w:lang w:val="zh-CN"/>
        </w:rPr>
      </w:pPr>
      <w:r>
        <w:rPr>
          <w:rFonts w:hint="eastAsia" w:ascii="宋体" w:hAnsi="宋体" w:eastAsia="宋体" w:cs="宋体"/>
          <w:b w:val="0"/>
          <w:bCs w:val="0"/>
          <w:color w:val="auto"/>
          <w:sz w:val="24"/>
          <w:szCs w:val="24"/>
          <w:highlight w:val="none"/>
        </w:rPr>
        <w:t xml:space="preserve">运维费用</w:t>
      </w:r>
      <w:r>
        <w:rPr>
          <w:rFonts w:hint="eastAsia" w:ascii="宋体" w:hAnsi="宋体" w:eastAsia="宋体" w:cs="宋体"/>
          <w:b w:val="0"/>
          <w:bCs w:val="0"/>
          <w:color w:val="auto"/>
          <w:sz w:val="24"/>
          <w:szCs w:val="24"/>
          <w:highlight w:val="none"/>
          <w:lang w:val="en-US" w:eastAsia="zh-CN"/>
        </w:rPr>
        <w:t xml:space="preserve">及其他费用</w:t>
      </w:r>
      <w:r>
        <w:rPr>
          <w:rFonts w:hint="eastAsia" w:ascii="宋体" w:hAnsi="宋体" w:eastAsia="宋体" w:cs="宋体"/>
          <w:b w:val="0"/>
          <w:bCs w:val="0"/>
          <w:color w:val="auto"/>
          <w:sz w:val="24"/>
          <w:szCs w:val="24"/>
          <w:highlight w:val="none"/>
        </w:rPr>
        <w:t xml:space="preserve">核算办法</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rPr>
        <w:t xml:space="preserve">每</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组织</w:t>
      </w:r>
      <w:r>
        <w:rPr>
          <w:rFonts w:hint="eastAsia" w:ascii="宋体" w:hAnsi="宋体" w:eastAsia="宋体" w:cs="宋体"/>
          <w:b w:val="0"/>
          <w:bCs w:val="0"/>
          <w:color w:val="auto"/>
          <w:sz w:val="24"/>
          <w:szCs w:val="24"/>
          <w:highlight w:val="none"/>
          <w:lang w:val="en-US" w:eastAsia="zh-CN"/>
        </w:rPr>
        <w:t xml:space="preserve">相关部门验收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验收合格</w:t>
      </w:r>
      <w:r>
        <w:rPr>
          <w:rFonts w:hint="eastAsia" w:ascii="宋体" w:hAnsi="宋体" w:eastAsia="宋体" w:cs="宋体"/>
          <w:b w:val="0"/>
          <w:bCs w:val="0"/>
          <w:color w:val="auto"/>
          <w:sz w:val="24"/>
          <w:szCs w:val="24"/>
          <w:highlight w:val="none"/>
        </w:rPr>
        <w:t xml:space="preserve">后支付该付款周期内的运维款</w:t>
      </w:r>
      <w:r>
        <w:rPr>
          <w:rFonts w:hint="eastAsia" w:ascii="宋体" w:hAnsi="宋体" w:eastAsia="宋体" w:cs="宋体"/>
          <w:b w:val="0"/>
          <w:bCs w:val="0"/>
          <w:color w:val="auto"/>
          <w:sz w:val="24"/>
          <w:szCs w:val="24"/>
          <w:highlight w:val="none"/>
          <w:lang w:val="en-US" w:eastAsia="zh-CN"/>
        </w:rPr>
        <w:t xml:space="preserve">及其他款项</w:t>
      </w:r>
      <w:r>
        <w:rPr>
          <w:rFonts w:hint="eastAsia" w:ascii="宋体" w:hAnsi="宋体" w:eastAsia="宋体" w:cs="宋体"/>
          <w:b w:val="0"/>
          <w:bCs w:val="0"/>
          <w:color w:val="auto"/>
          <w:sz w:val="24"/>
          <w:szCs w:val="24"/>
          <w:highlight w:val="none"/>
        </w:rPr>
        <w:t xml:space="preserve">。共分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期结算完毕</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年的运维费</w:t>
      </w:r>
      <w:r>
        <w:rPr>
          <w:rFonts w:hint="eastAsia" w:ascii="宋体" w:hAnsi="宋体" w:eastAsia="宋体" w:cs="宋体"/>
          <w:b w:val="0"/>
          <w:bCs w:val="0"/>
          <w:color w:val="auto"/>
          <w:sz w:val="24"/>
          <w:szCs w:val="24"/>
          <w:highlight w:val="none"/>
          <w:lang w:val="en-US" w:eastAsia="zh-CN"/>
        </w:rPr>
        <w:t xml:space="preserve">及其他费</w:t>
      </w:r>
      <w:r>
        <w:rPr>
          <w:rFonts w:hint="eastAsia" w:ascii="宋体" w:hAnsi="宋体" w:eastAsia="宋体" w:cs="宋体"/>
          <w:b w:val="0"/>
          <w:bCs w:val="0"/>
          <w:color w:val="auto"/>
          <w:sz w:val="24"/>
          <w:szCs w:val="24"/>
          <w:highlight w:val="none"/>
        </w:rPr>
        <w:t xml:space="preserve">用。</w:t>
      </w:r>
      <w:r>
        <w:rPr>
          <w:rFonts w:hint="eastAsia" w:ascii="宋体" w:hAnsi="宋体" w:eastAsia="宋体" w:cs="宋体"/>
          <w:b w:val="0"/>
          <w:bCs w:val="0"/>
          <w:color w:val="auto"/>
          <w:sz w:val="24"/>
          <w:szCs w:val="24"/>
          <w:highlight w:val="none"/>
          <w:lang w:val="zh-CN"/>
        </w:rPr>
        <w:t xml:space="preserve">自收到发票之日起</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日内将</w:t>
      </w:r>
      <w:r>
        <w:rPr>
          <w:rFonts w:hint="eastAsia" w:ascii="宋体" w:hAnsi="宋体" w:eastAsia="宋体" w:cs="宋体"/>
          <w:b w:val="0"/>
          <w:bCs w:val="0"/>
          <w:color w:val="auto"/>
          <w:sz w:val="24"/>
          <w:szCs w:val="24"/>
          <w:highlight w:val="none"/>
          <w:lang w:val="en-US" w:eastAsia="zh-CN"/>
        </w:rPr>
        <w:t xml:space="preserve">6个月</w:t>
      </w:r>
      <w:r>
        <w:rPr>
          <w:rFonts w:hint="eastAsia" w:ascii="宋体" w:hAnsi="宋体" w:eastAsia="宋体" w:cs="宋体"/>
          <w:b w:val="0"/>
          <w:bCs w:val="0"/>
          <w:color w:val="auto"/>
          <w:sz w:val="24"/>
          <w:szCs w:val="24"/>
          <w:highlight w:val="none"/>
          <w:lang w:val="zh-CN"/>
        </w:rPr>
        <w:t xml:space="preserve">的运维费即人民币：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元</w:t>
      </w:r>
      <w:r>
        <w:rPr>
          <w:rFonts w:hint="eastAsia" w:ascii="宋体" w:hAnsi="宋体" w:eastAsia="宋体" w:cs="宋体"/>
          <w:b w:val="0"/>
          <w:bCs w:val="0"/>
          <w:color w:val="auto"/>
          <w:sz w:val="24"/>
          <w:szCs w:val="24"/>
          <w:highlight w:val="none"/>
          <w:lang w:val="zh-CN"/>
        </w:rPr>
        <w:t xml:space="preserve">）资金支付到合同约定的服务单位账户(发票需符合甲方要求)。</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在限值限量考核中，出现环境质量造假被处罚、约谈、通报、项目限批等情况，或未能提前预判环境风险等其他情况，甲方将酌情扣除运维费用，因上述原因造成项目限批的，甲方有权追回费用</w:t>
      </w:r>
      <w:r>
        <w:rPr>
          <w:rFonts w:hint="eastAsia" w:ascii="宋体" w:hAnsi="宋体" w:eastAsia="宋体" w:cs="宋体"/>
          <w:b w:val="0"/>
          <w:bCs w:val="0"/>
          <w:color w:val="auto"/>
          <w:sz w:val="24"/>
          <w:szCs w:val="24"/>
          <w:highlight w:val="none"/>
          <w:lang w:val="zh-CN"/>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条 双方权利和义务</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1.1甲方负责对</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实施过程的全过程监督，审核乙方制定的项目计划安排，对实施进度和质量等方面进行监督和指导，按照合同约定所完成工作内容根据合同规定予以确认。</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1.2甲方有权对具体的问题提出建议和意见。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甲方有权同意或不同意乙方因自身工作需要而更换合同约定的主要工作小组成员的要求。</w:t>
      </w:r>
      <w:r/>
    </w:p>
    <w:p>
      <w:pPr>
        <w:pStyle w:val="985"/>
        <w:ind w:firstLine="480"/>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1.4甲方有权得到合同范围内乙方的服务和其服务成果。乙方提交的全部服务成果及相关资料，所具有的知识产权归甲方所有并使用（合同另有规定的除外），乙方就此不做任何的权利保留，乙方</w:t>
      </w:r>
      <w:r>
        <w:rPr>
          <w:rFonts w:hint="eastAsia" w:ascii="宋体" w:hAnsi="宋体" w:eastAsia="宋体" w:cs="宋体"/>
          <w:i w:val="0"/>
          <w:iCs w:val="0"/>
          <w:caps w:val="0"/>
          <w:color w:val="auto"/>
          <w:spacing w:val="0"/>
          <w:sz w:val="24"/>
          <w:szCs w:val="24"/>
          <w:highlight w:val="none"/>
          <w:shd w:val="clear" w:color="auto" w:fill="f9fafb"/>
        </w:rPr>
        <w:t xml:space="preserve">保证不侵犯第三方权利，否则承担全部责任。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1.5甲方应当在合同履约中，督促、协调与本项目服务有关的第三人（与合同履行有关的相关单位）协同乙方办理有关服务事项。</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lang w:val="en-US" w:eastAsia="zh-CN"/>
        </w:rPr>
        <w:t xml:space="preserve">乙方承诺投入本项目的运维团队以投标文件所列人员为准，合同履行期间不得擅自变动。确需变更的，新进人员须满足原岗位的所有硬性指标（资质、经验及职称等级不得低于被替换人员）。变更过程须预留不少于</w:t>
      </w:r>
      <w:r>
        <w:rPr>
          <w:rFonts w:hint="eastAsia" w:ascii="宋体" w:hAnsi="宋体" w:cs="宋体"/>
          <w:color w:val="ff0000"/>
          <w:sz w:val="24"/>
          <w:szCs w:val="24"/>
          <w:highlight w:val="none"/>
          <w:lang w:val="en-US" w:eastAsia="zh-CN"/>
        </w:rPr>
        <w:t xml:space="preserve">10</w:t>
      </w:r>
      <w:r>
        <w:rPr>
          <w:rFonts w:hint="eastAsia" w:ascii="宋体" w:hAnsi="宋体" w:eastAsia="宋体" w:cs="宋体"/>
          <w:color w:val="ff0000"/>
          <w:sz w:val="24"/>
          <w:szCs w:val="24"/>
          <w:highlight w:val="none"/>
          <w:lang w:val="en-US" w:eastAsia="zh-CN"/>
        </w:rPr>
        <w:t xml:space="preserve">个工作日的工作交接期，确保服务不中断。</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2.2</w:t>
      </w:r>
      <w:r>
        <w:rPr>
          <w:rFonts w:hint="eastAsia" w:ascii="宋体" w:hAnsi="宋体" w:eastAsia="宋体" w:cs="宋体"/>
          <w:color w:val="ff0000"/>
          <w:sz w:val="24"/>
          <w:szCs w:val="24"/>
          <w:highlight w:val="none"/>
          <w:lang w:val="en-US" w:eastAsia="zh-CN"/>
        </w:rPr>
        <w:t xml:space="preserve">对于投标文件中承诺的高级职称人员，乙方应保证随叫随到。甲方组织的重大故障处置、月度考核或年度评审，上述人员必须现场参与，每缺席一次，扣除当期运维费的1%。</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lang w:val="en-US" w:eastAsia="zh-CN"/>
        </w:rPr>
        <w:t xml:space="preserve">未经批准擅自更换人员的，甲方有权警告、扣款直至单方终止合同，并要求乙方退还已支付费用，同时赔偿甲方为重新招标及系统空窗期所支出的必要费用。</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结合甲方实际制定运维服务方案，根据合同或甲方服务要求，对限值限量所有站点运维驻排专人24小时服务，并完善甲方环保平台（</w:t>
      </w:r>
      <w:r>
        <w:rPr>
          <w:rFonts w:hint="eastAsia" w:ascii="宋体" w:hAnsi="宋体" w:eastAsia="宋体" w:cs="宋体"/>
          <w:b w:val="0"/>
          <w:bCs w:val="0"/>
          <w:color w:val="auto"/>
          <w:sz w:val="24"/>
          <w:szCs w:val="24"/>
          <w:highlight w:val="none"/>
          <w:lang w:val="en-US" w:eastAsia="zh-CN"/>
        </w:rPr>
        <w:t xml:space="preserve">平台在线数据汇总</w:t>
      </w:r>
      <w:r>
        <w:rPr>
          <w:rFonts w:hint="eastAsia" w:ascii="宋体" w:hAnsi="宋体" w:eastAsia="宋体" w:cs="宋体"/>
          <w:color w:val="auto"/>
          <w:sz w:val="24"/>
          <w:szCs w:val="24"/>
          <w:highlight w:val="none"/>
          <w:lang w:val="en-US" w:eastAsia="zh-CN"/>
        </w:rPr>
        <w:t xml:space="preserve">）按照甲方要求完善，有专人值守，对污染区域进行预警响应。</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乙方对甲方限值限量所有站点的外源电力系统进行周期安全检查，对变压器、电路进行维保，电路出现故障，需要乙方迅速做出反应，并提前对市、省进行报备，确保数据率达标及电源24小时安全供电，根据需要出具相关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乙方按照省、市、县及甲方要求，对运维情况进行第四方质控，根据需求出具报告。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应按照本合同要求</w:t>
      </w:r>
      <w:r>
        <w:rPr>
          <w:rFonts w:hint="eastAsia" w:ascii="宋体" w:hAnsi="宋体" w:eastAsia="宋体" w:cs="宋体"/>
          <w:color w:val="auto"/>
          <w:sz w:val="24"/>
          <w:szCs w:val="24"/>
          <w:highlight w:val="none"/>
          <w:lang w:val="en-US" w:eastAsia="zh-CN"/>
        </w:rPr>
        <w:t xml:space="preserve">及招标文件要求</w:t>
      </w:r>
      <w:r>
        <w:rPr>
          <w:rFonts w:hint="eastAsia" w:ascii="宋体" w:hAnsi="宋体" w:eastAsia="宋体" w:cs="宋体"/>
          <w:color w:val="auto"/>
          <w:sz w:val="24"/>
          <w:szCs w:val="24"/>
          <w:highlight w:val="none"/>
        </w:rPr>
        <w:t xml:space="preserve">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做好限值限量核算、评估、对比分析及上报工作，确保环境质量不受环境质量限制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高效地履行自己的义务。在项目执行过程中支持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维护国家和甲方的合法利益。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乙方接受甲方对项目的全过程监督，保证甲方购买的标的和服务符合招标文件约定的要求。</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乙方应妥善使用甲方提供的资源，并及时向甲方反馈</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过程中发现的问题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服务期满后还未交接，乙方暂运维，如果出现期满未交接暂停运维，对甲方造成的各项问题由乙方全面承担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乙方应严格遵守国家、地方的法律、法规的规定，保证在合法且不侵犯他人利益的原则下进行所委托项目服务活动，并对其所进行的与委托有关的服务活动负责。</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乙方人员蓄意破坏服务站点固定资产，或私自外借、出租、抵押的，将交由相关机构处理；出现国有资产损失或流失的，相关责任人要按原价赔偿，并追究法律责任。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根据现实需要，甲方站点迁移等工作，乙方无条件配合。</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质量保证 </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乙方应保证按照有关国际或国家或行业技术标准规范，对项目运行维护等各个环节进行严格的质量把关。</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在维保期内乙方应保证承包区域内的设施、设备良好的运行状况和环境状况。</w:t>
      </w:r>
      <w:r/>
    </w:p>
    <w:p>
      <w:pPr>
        <w:ind w:firstLine="480"/>
        <w:keepLines w:val="0"/>
        <w:keepNext w:val="0"/>
        <w:pageBreakBefore w:val="0"/>
        <w:spacing w:line="400" w:lineRule="exact"/>
        <w:shd w:val="clear" w:color="auto"/>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3.乙方维修更换零配件时，须使用原厂配件；若原厂配件已停产，乙方须提供经甲方确认的、技术参数完全匹配、不降低设备性能、不影响整机安全运行的同质兼容全新配件。</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项目运行维护过程中应严格做好安全防范措施，如乙方项目维护人员在实施中违反操作规定造成人员伤亡事故或实施现场安全防范措施不当造成人员伤害事故，一切责任均由乙方负责。</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 不可抗力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如果乙方因不可抗力而导致合同实施延误或不能履行合同义务的话，不应该承担误期赔偿或终止合同的责任。</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本条所述的“不可抗力”系指那些乙方无法控制、不可预见的事件，但不包括乙方的违约或疏忽。这些事件包括：战争、严重火灾、洪水、台风、地震以及其它甲方和乙方商定的事件。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税费</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负担，招标文件另有规定的除外。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负担。</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 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仲裁应根据《中华人民共和国仲裁法》的规定向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仲裁裁决为最终裁决，对甲方和乙方均有约束力。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在仲裁期间，本合同应继续执行。</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违约终止合同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在乙方违约而采取的任何补救措施不受影响的情况下，甲方可向乙方发出终止部分或全部合同的书面通知书。</w:t>
      </w:r>
      <w:r/>
    </w:p>
    <w:p>
      <w:pPr>
        <w:pStyle w:val="1040"/>
        <w:ind w:firstLine="480"/>
        <w:keepLines w:val="0"/>
        <w:keepNext w:val="0"/>
        <w:pageBreakBefore w:val="0"/>
        <w:rPr>
          <w:rFonts w:hint="eastAsia" w:ascii="宋体" w:hAnsi="宋体" w:eastAsia="宋体" w:cs="宋体"/>
        </w:rPr>
      </w:pPr>
      <w:r>
        <w:rPr>
          <w:rFonts w:hint="eastAsia" w:ascii="宋体" w:hAnsi="宋体" w:eastAsia="宋体" w:cs="宋体"/>
          <w:color w:val="auto"/>
          <w:sz w:val="24"/>
          <w:szCs w:val="24"/>
          <w:highlight w:val="none"/>
          <w:lang w:val="en-US" w:eastAsia="zh-CN"/>
        </w:rPr>
        <w:t xml:space="preserve">2.出现下列任一情形，即视为乙方违约，甲方可单方终止合同：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(1)如果乙方未能按合同规定的期限或甲方同意延长的限期内提供部分或全部服务;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(2)乙方在收到甲方发出的违约通知后20天内，或甲方书面认可延长的时间内未能纠正其过失;</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(3)乙方不得将服务外包或分包给其他机构，一经发现，立即取消承接资格；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(4)如果乙方未能履行合同规定的其他义务。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乙方出现违约行为的，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可单方面中止采购，两年内不予委托；出现违法违规行为的，依法追究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和相关责任人的法律责任。 </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破产中止合同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如果乙方破产或无清偿能力，甲方可在任何时候以书面形式通知乙方中止合同而不给乙方补偿。该中止合同将不损害或影响甲方已经采取或将要采取的任何行动或补救措施的权力。</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转让</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乙方不得部分转让或全部转让其应履行的合同义务。</w:t>
      </w:r>
      <w:r/>
    </w:p>
    <w:p>
      <w:pPr>
        <w:numPr>
          <w:ilvl w:val="0"/>
          <w:numId w:val="0"/>
        </w:num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第十四条 </w:t>
      </w:r>
      <w:r>
        <w:rPr>
          <w:rFonts w:hint="eastAsia" w:ascii="宋体" w:hAnsi="宋体" w:eastAsia="宋体" w:cs="宋体"/>
          <w:b/>
          <w:bCs/>
          <w:color w:val="auto"/>
          <w:sz w:val="24"/>
          <w:szCs w:val="24"/>
          <w:highlight w:val="none"/>
          <w:lang w:val="en-US" w:eastAsia="zh-CN"/>
        </w:rPr>
        <w:t xml:space="preserve">考核</w:t>
      </w:r>
      <w:r/>
    </w:p>
    <w:p>
      <w:pPr>
        <w:numPr>
          <w:ilvl w:val="0"/>
          <w:numId w:val="0"/>
        </w:num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期内，按照甲方制定的《考核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》，甲方将组织人员按照《考核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》监督检查乙方工作，并根据实际检查情况每月进行综合考核、打分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详见本合同附件</w:t>
      </w:r>
      <w:r>
        <w:rPr>
          <w:rFonts w:hint="eastAsia" w:ascii="宋体" w:hAnsi="宋体" w:eastAsia="宋体" w:cs="宋体"/>
          <w:color w:val="auto"/>
          <w:sz w:val="24"/>
          <w:szCs w:val="24"/>
          <w:highlight w:val="none"/>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其他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本合同在双方签字并加盖公章或合同专用章后生效</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合同执行期间，双方当事人不得擅自变更、中止或者终止合同</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合同一式肆份，具有同等法律效力，甲方贰份，乙方贰份</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除双方在合同中约定的条款外，其他未尽事宜均以补充协议形式另行约定，补充协议与本合同具有同等效力。</w:t>
      </w:r>
      <w:r/>
    </w:p>
    <w:p>
      <w:pPr>
        <w:ind w:left="5565" w:hanging="636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采购单位(甲方)：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服务单位(乙方)：</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                         帐号：</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签约时间： 年 月 日   </w:t>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r>
      <w:r/>
    </w:p>
    <w:p>
      <w:pPr>
        <w:ind w:right="0"/>
        <w:jc w:val="both"/>
        <w:keepLines w:val="0"/>
        <w:keepNext w:val="0"/>
        <w:pageBreakBefore w:val="0"/>
        <w:spacing w:line="42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一</w:t>
      </w:r>
      <w:r/>
    </w:p>
    <w:p>
      <w:pPr>
        <w:ind w:right="0"/>
        <w:jc w:val="center"/>
        <w:keepLines w:val="0"/>
        <w:keepNext w:val="0"/>
        <w:pageBreakBefore w:val="0"/>
        <w:spacing w:line="420" w:lineRule="exact"/>
        <w:shd w:val="clear" w:color="auto"/>
        <w:widowControl/>
        <w:rPr>
          <w:rFonts w:hint="eastAsia" w:ascii="宋体" w:hAnsi="宋体" w:eastAsia="宋体" w:cs="宋体"/>
          <w:b/>
          <w:bCs/>
          <w:color w:val="auto"/>
          <w:sz w:val="28"/>
          <w:szCs w:val="28"/>
          <w:highlight w:val="none"/>
          <w:lang w:val="zh-CN" w:eastAsia="zh-CN" w:bidi="ar-SA"/>
        </w:rPr>
      </w:pPr>
      <w:r>
        <w:rPr>
          <w:rFonts w:hint="eastAsia" w:ascii="宋体" w:hAnsi="宋体" w:eastAsia="宋体" w:cs="宋体"/>
          <w:b/>
          <w:bCs/>
          <w:color w:val="auto"/>
          <w:sz w:val="28"/>
          <w:szCs w:val="28"/>
          <w:highlight w:val="none"/>
          <w:lang w:val="zh-CN" w:eastAsia="zh-CN" w:bidi="ar-SA"/>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对运维单位绩效考核一次。考核采取百分制、单站考核的方式，主要包括单个站点数据有效性，监测数据捕获率、数据质控合格率(以下简称“两率”)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其他服务</w:t>
      </w:r>
      <w:r>
        <w:rPr>
          <w:rFonts w:hint="eastAsia" w:ascii="宋体" w:hAnsi="宋体" w:eastAsia="宋体" w:cs="宋体"/>
          <w:color w:val="auto"/>
          <w:sz w:val="24"/>
          <w:szCs w:val="24"/>
          <w:highlight w:val="none"/>
        </w:rPr>
        <w:t xml:space="preserve">以及运行维护的内容。</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数据捕获率指考核时段内各监测项目实际获取的小时值监测数据量总和除以应获得小时值数据量总和。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数据质控合格率指考核时段内各监测项目实际获取的质控合格的小时值监测数据量总和除以应获得小时值数据量总和。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1.数据有效性</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考核时段内单个站点任一监测项目有效数据量应满足《环境空气质量标准》（GB 3095-2012）中规定的污染物浓度数据有效性的最低要求，否则考核总分为0分。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单站设备数据捕获率必须高于90%(含)，否则考核总分以0分计，不予支付运维费用。单站设备数据质控合格率必须高于80%，否则考核总分以0分计，不予支付运维费用。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2.两率及运行维护</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符合数据有效性要求后，参照本部分执行。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（1）两率部分(70分)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单站监测数据质控合格率高于90%(含)的，得70分；80%(含)-90%的，得分为70×（数据质控合格率/90%）。</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（2）运行维护部分(30分)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运行维护部分每月由</w:t>
      </w:r>
      <w:r>
        <w:rPr>
          <w:rFonts w:hint="eastAsia" w:ascii="宋体" w:hAnsi="宋体" w:eastAsia="宋体" w:cs="宋体"/>
          <w:color w:val="auto"/>
          <w:sz w:val="24"/>
          <w:szCs w:val="24"/>
          <w:highlight w:val="none"/>
          <w:lang w:val="en-US" w:eastAsia="zh-CN"/>
        </w:rPr>
        <w:t xml:space="preserve">开发区</w:t>
      </w:r>
      <w:r>
        <w:rPr>
          <w:rFonts w:hint="eastAsia" w:ascii="宋体" w:hAnsi="宋体" w:eastAsia="宋体" w:cs="宋体"/>
          <w:color w:val="auto"/>
          <w:sz w:val="24"/>
          <w:szCs w:val="24"/>
          <w:highlight w:val="none"/>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具体评分见附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（3）考核总分（100分）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考核总分=两率得分+运维得分</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3.运维费核算方法</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考核总分低于80分的，不予支付该站点当期运维费；绩效考核总分95（含）分以上的，支付该站点当期全额运维费；绩效考核总分在80（含）-95分的，该站点当期运维费= (实际考核总分/100)×单站点当期全额运维费。</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1.同一站点连续两个月未达到数据有效性要求的，扣除该站点</w:t>
      </w:r>
      <w:r>
        <w:rPr>
          <w:rFonts w:hint="eastAsia" w:ascii="宋体" w:hAnsi="宋体" w:eastAsia="宋体" w:cs="宋体"/>
          <w:b w:val="0"/>
          <w:bCs w:val="0"/>
          <w:sz w:val="24"/>
          <w:szCs w:val="24"/>
          <w:lang w:eastAsia="zh-CN"/>
        </w:rPr>
        <w:t xml:space="preserve">六个月</w:t>
      </w:r>
      <w:r>
        <w:rPr>
          <w:rFonts w:hint="eastAsia" w:ascii="宋体" w:hAnsi="宋体" w:eastAsia="宋体" w:cs="宋体"/>
          <w:b w:val="0"/>
          <w:bCs w:val="0"/>
          <w:sz w:val="24"/>
          <w:szCs w:val="24"/>
        </w:rPr>
        <w:t xml:space="preserve">的运维费；连续3个月未达到数据有效性要求的，扣除该站点全年的运维费；连续4个月未达到数据有效性要求的，终止运维合同。</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2.其他规定</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运维机构有下列情形之一的，开发区将扣除相应站点当月运行经费：迟报、漏报或不报审核数据的；拖延、阻碍、拒绝质量检查或飞行检查的；发现采样、分析、数据采集和传输等过程人为干扰，未按要求及时向省站报告的；因工作疏漏，未发现采样、分析、数据采集和传输等过程人为干扰的；其他不履行规定职责的情形。</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合同中要求的服务内容，未按照规定要求履职情形，扣除相应费用。</w:t>
      </w:r>
      <w:r/>
    </w:p>
    <w:p>
      <w:pPr>
        <w:pStyle w:val="1028"/>
        <w:rPr>
          <w:rFonts w:hint="eastAsia" w:ascii="宋体" w:hAnsi="宋体" w:eastAsia="宋体" w:cs="宋体"/>
          <w:b/>
          <w:bCs/>
          <w:sz w:val="24"/>
          <w:szCs w:val="24"/>
        </w:rPr>
      </w:pPr>
      <w:r>
        <w:rPr>
          <w:rFonts w:hint="eastAsia" w:ascii="宋体" w:hAnsi="宋体" w:eastAsia="宋体" w:cs="宋体"/>
          <w:b/>
          <w:bCs/>
          <w:sz w:val="24"/>
          <w:szCs w:val="24"/>
        </w:rPr>
        <w:t xml:space="preserve">业主有权根据相关规定对扣除的运维费进行重新支配，用于开展其它与空气自动监测站站运维管理相关的工作。</w:t>
      </w:r>
      <w:r/>
    </w:p>
    <w:p>
      <w:pPr>
        <w:pStyle w:val="1028"/>
        <w:rPr>
          <w:rFonts w:hint="eastAsia" w:ascii="宋体" w:hAnsi="宋体" w:eastAsia="宋体" w:cs="宋体"/>
          <w:b/>
          <w:bCs/>
        </w:rPr>
      </w:pPr>
      <w:r>
        <w:rPr>
          <w:rFonts w:hint="eastAsia" w:ascii="宋体" w:hAnsi="宋体" w:eastAsia="宋体" w:cs="宋体"/>
          <w:b/>
          <w:bCs/>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ind w:right="0"/>
        <w:jc w:val="both"/>
        <w:keepLines w:val="0"/>
        <w:keepNext w:val="0"/>
        <w:pageBreakBefore w:val="0"/>
        <w:spacing w:line="420" w:lineRule="exact"/>
        <w:shd w:val="clear" w:color="auto"/>
        <w:widowControl/>
        <w:rPr>
          <w:rFonts w:hint="eastAsia" w:ascii="宋体" w:hAnsi="宋体" w:eastAsia="宋体" w:cs="宋体"/>
          <w:color w:val="auto"/>
          <w:sz w:val="24"/>
          <w:szCs w:val="24"/>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r>
      <w:r/>
    </w:p>
    <w:p>
      <w:pPr>
        <w:ind w:right="0"/>
        <w:jc w:val="both"/>
        <w:keepLines w:val="0"/>
        <w:keepNext w:val="0"/>
        <w:pageBreakBefore w:val="0"/>
        <w:spacing w:line="420" w:lineRule="exact"/>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二</w:t>
      </w:r>
      <w:r/>
    </w:p>
    <w:p>
      <w:pPr>
        <w:jc w:val="center"/>
        <w:rPr>
          <w:rFonts w:hint="eastAsia" w:ascii="宋体" w:hAnsi="宋体" w:eastAsia="宋体" w:cs="宋体"/>
          <w:u w:val="single"/>
          <w:lang w:val="en-US" w:eastAsia="zh-CN"/>
        </w:rPr>
      </w:pPr>
      <w:r>
        <w:rPr>
          <w:rFonts w:hint="eastAsia" w:ascii="宋体" w:hAnsi="宋体" w:eastAsia="宋体" w:cs="宋体"/>
          <w:u w:val="single"/>
          <w:lang w:val="en-US" w:eastAsia="zh-CN"/>
        </w:rPr>
      </w:r>
      <w:r/>
    </w:p>
    <w:p>
      <w:pPr>
        <w:jc w:val="center"/>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月</w:t>
      </w:r>
      <w:r>
        <w:rPr>
          <w:rFonts w:hint="eastAsia" w:ascii="宋体" w:hAnsi="宋体" w:eastAsia="宋体" w:cs="宋体"/>
          <w:lang w:val="en-US" w:eastAsia="zh-CN"/>
        </w:rPr>
        <w:t xml:space="preserve">限值限量</w:t>
      </w:r>
      <w:r>
        <w:rPr>
          <w:rFonts w:hint="eastAsia" w:ascii="宋体" w:hAnsi="宋体" w:eastAsia="宋体" w:cs="宋体"/>
        </w:rPr>
        <w:t xml:space="preserve">运行</w:t>
      </w:r>
      <w:r>
        <w:rPr>
          <w:rFonts w:hint="eastAsia" w:ascii="宋体" w:hAnsi="宋体" w:eastAsia="宋体" w:cs="宋体"/>
          <w:lang w:val="en-US" w:eastAsia="zh-CN"/>
        </w:rPr>
        <w:t xml:space="preserve">维护月度</w:t>
      </w:r>
      <w:r>
        <w:rPr>
          <w:rFonts w:hint="eastAsia" w:ascii="宋体" w:hAnsi="宋体" w:eastAsia="宋体" w:cs="宋体"/>
        </w:rPr>
        <w:t xml:space="preserve">考核表</w:t>
      </w:r>
      <w:r/>
    </w:p>
    <w:tbl>
      <w:tblPr>
        <w:tblStyle w:val="980"/>
        <w:tblW w:w="5962" w:type="pct"/>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6"/>
        <w:gridCol w:w="7339"/>
        <w:gridCol w:w="817"/>
      </w:tblGrid>
      <w:tr>
        <w:trPr>
          <w:trHeight w:val="457"/>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考核内容</w:t>
            </w:r>
            <w:r/>
          </w:p>
        </w:tc>
        <w:tc>
          <w:tcPr>
            <w:tcW w:w="361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考核要求</w:t>
            </w:r>
            <w:r/>
          </w:p>
        </w:tc>
        <w:tc>
          <w:tcPr>
            <w:tcW w:w="40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得分</w:t>
            </w:r>
            <w:r/>
          </w:p>
        </w:tc>
      </w:tr>
      <w:tr>
        <w:trPr>
          <w:trHeight w:val="423"/>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一、运维现场检查  （</w:t>
            </w:r>
            <w:r>
              <w:rPr>
                <w:rFonts w:hint="eastAsia" w:ascii="宋体" w:hAnsi="宋体" w:eastAsia="宋体" w:cs="宋体"/>
                <w:lang w:val="en-US" w:eastAsia="zh-CN"/>
              </w:rPr>
              <w:t xml:space="preserve">7</w:t>
            </w:r>
            <w:r>
              <w:rPr>
                <w:rFonts w:hint="eastAsia" w:ascii="宋体" w:hAnsi="宋体" w:eastAsia="宋体" w:cs="宋体"/>
              </w:rPr>
              <w:t xml:space="preserve">0分）</w:t>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站房卫生</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30分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室内</w:t>
            </w:r>
            <w:r>
              <w:rPr>
                <w:rFonts w:hint="eastAsia" w:ascii="宋体" w:hAnsi="宋体" w:eastAsia="宋体" w:cs="宋体"/>
              </w:rPr>
              <w:t xml:space="preserve">环境清洁；</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整齐无零乱堆放；</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仪器无污渍；</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无漏水；</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泵管、试剂导管</w:t>
            </w:r>
            <w:r>
              <w:rPr>
                <w:rFonts w:hint="eastAsia" w:ascii="宋体" w:hAnsi="宋体" w:eastAsia="宋体" w:cs="宋体"/>
                <w:lang w:val="en-US" w:eastAsia="zh-CN"/>
              </w:rPr>
              <w:t xml:space="preserve">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采样</w:t>
            </w:r>
            <w:r>
              <w:rPr>
                <w:rFonts w:hint="eastAsia" w:ascii="宋体" w:hAnsi="宋体" w:eastAsia="宋体" w:cs="宋体"/>
              </w:rPr>
              <w:t xml:space="preserve">仪器等清洁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自动监测仪器设备</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仪器及系统运行正常；</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日常</w:t>
            </w:r>
            <w:r>
              <w:rPr>
                <w:rFonts w:hint="eastAsia" w:ascii="宋体" w:hAnsi="宋体" w:eastAsia="宋体" w:cs="宋体"/>
              </w:rPr>
              <w:t xml:space="preserve">数据正常</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安全检查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站房周边无安全、消防隐患</w:t>
            </w:r>
            <w:r>
              <w:rPr>
                <w:rFonts w:hint="eastAsia" w:ascii="宋体" w:hAnsi="宋体" w:eastAsia="宋体" w:cs="宋体"/>
              </w:rPr>
              <w:t xml:space="preserve">；</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变压器周边无安全隐患。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现场记录检查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20分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巡检记录；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流量核查记录；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标液核查记录；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加标回收记录；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备品备件更换记录</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708"/>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二</w:t>
            </w:r>
            <w:r>
              <w:rPr>
                <w:rFonts w:hint="eastAsia" w:ascii="宋体" w:hAnsi="宋体" w:eastAsia="宋体" w:cs="宋体"/>
              </w:rPr>
              <w:t xml:space="preserve">、运维能力及工作情况（</w:t>
            </w:r>
            <w:r>
              <w:rPr>
                <w:rFonts w:hint="eastAsia" w:ascii="宋体" w:hAnsi="宋体" w:eastAsia="宋体" w:cs="宋体"/>
                <w:lang w:val="en-US" w:eastAsia="zh-CN"/>
              </w:rPr>
              <w:t xml:space="preserve">3</w:t>
            </w:r>
            <w:r>
              <w:rPr>
                <w:rFonts w:hint="eastAsia" w:ascii="宋体" w:hAnsi="宋体" w:eastAsia="宋体" w:cs="宋体"/>
              </w:rPr>
              <w:t xml:space="preserve">0分）</w:t>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工作情况</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服从</w:t>
            </w:r>
            <w:r>
              <w:rPr>
                <w:rFonts w:hint="eastAsia" w:ascii="宋体" w:hAnsi="宋体" w:eastAsia="宋体" w:cs="宋体"/>
                <w:lang w:val="en-US" w:eastAsia="zh-CN"/>
              </w:rPr>
              <w:t xml:space="preserve">开发区</w:t>
            </w:r>
            <w:r>
              <w:rPr>
                <w:rFonts w:hint="eastAsia" w:ascii="宋体" w:hAnsi="宋体" w:eastAsia="宋体" w:cs="宋体"/>
              </w:rPr>
              <w:t xml:space="preserve">管理人员安排</w:t>
            </w:r>
            <w:r>
              <w:rPr>
                <w:rFonts w:hint="eastAsia" w:ascii="宋体" w:hAnsi="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责任心强、实时监控情况</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运维能力</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cs="宋体"/>
                <w:lang w:val="en-US" w:eastAsia="zh-CN"/>
              </w:rPr>
            </w:pPr>
            <w:r>
              <w:rPr>
                <w:rFonts w:hint="eastAsia" w:ascii="宋体" w:hAnsi="宋体" w:cs="宋体"/>
                <w:lang w:val="en-US" w:eastAsia="zh-CN"/>
              </w:rPr>
              <w:t xml:space="preserve">供电、通讯、空调、监控等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设施完好无损，正常工作。</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站房基本保障</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其他</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存在其他问题。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gridSpan w:val="2"/>
            <w:tcW w:w="4598"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合计</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bl>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ind w:left="0" w:firstLine="0"/>
        <w:rPr>
          <w:rFonts w:hint="eastAsia" w:ascii="宋体" w:hAnsi="宋体" w:eastAsia="宋体" w:cs="宋体"/>
          <w:b/>
          <w:bCs/>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lang w:val="en-US" w:eastAsia="zh-CN"/>
        </w:rPr>
      </w:r>
      <w:r/>
    </w:p>
    <w:p>
      <w:pPr>
        <w:pStyle w:val="970"/>
        <w:ind w:left="0" w:firstLine="0"/>
        <w:jc w:val="center"/>
        <w:rPr>
          <w:rFonts w:hint="eastAsia" w:ascii="宋体" w:hAnsi="宋体" w:eastAsia="宋体" w:cs="宋体"/>
          <w:color w:val="auto"/>
          <w:highlight w:val="none"/>
        </w:rPr>
      </w:pPr>
      <w:r/>
      <w:bookmarkStart w:id="6" w:name="_Toc11199"/>
      <w:r>
        <w:rPr>
          <w:rFonts w:hint="eastAsia" w:ascii="宋体" w:hAnsi="宋体" w:eastAsia="宋体" w:cs="宋体"/>
          <w:color w:val="auto"/>
          <w:highlight w:val="none"/>
        </w:rPr>
        <w:t xml:space="preserve">第六章 采购需求</w:t>
      </w:r>
      <w:bookmarkEnd w:id="6"/>
      <w:r/>
      <w:r/>
    </w:p>
    <w:p>
      <w:pPr>
        <w:ind w:left="0" w:firstLine="482"/>
        <w:jc w:val="both"/>
        <w:keepLines w:val="0"/>
        <w:keepNext w:val="0"/>
        <w:pageBreakBefore w:val="0"/>
        <w:spacing w:before="0" w:beforeAutospacing="0" w:after="0" w:afterAutospacing="0" w:line="42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en-US" w:eastAsia="zh-CN" w:bidi="ar-SA"/>
        </w:rPr>
        <w:t xml:space="preserve">采购预算</w:t>
      </w:r>
      <w:r/>
    </w:p>
    <w:p>
      <w:pPr>
        <w:ind w:left="0" w:firstLine="480"/>
        <w:jc w:val="both"/>
        <w:keepLines w:val="0"/>
        <w:keepNext w:val="0"/>
        <w:pageBreakBefore w:val="0"/>
        <w:spacing w:before="0" w:beforeAutospacing="0" w:after="0" w:afterAutospacing="0" w:line="42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本项目不接受超过</w:t>
      </w:r>
      <w:r>
        <w:rPr>
          <w:rFonts w:hint="eastAsia" w:ascii="宋体" w:hAnsi="宋体" w:eastAsia="宋体" w:cs="宋体"/>
          <w:b/>
          <w:color w:val="auto"/>
          <w:sz w:val="24"/>
          <w:szCs w:val="24"/>
          <w:highlight w:val="none"/>
          <w:u w:val="single"/>
          <w:lang w:val="en-US" w:eastAsia="zh-CN" w:bidi="ar-SA"/>
        </w:rPr>
        <w:t xml:space="preserve">170</w:t>
      </w:r>
      <w:r>
        <w:rPr>
          <w:rFonts w:hint="eastAsia" w:ascii="宋体" w:hAnsi="宋体" w:eastAsia="宋体" w:cs="宋体"/>
          <w:b/>
          <w:color w:val="auto"/>
          <w:sz w:val="24"/>
          <w:szCs w:val="24"/>
          <w:highlight w:val="none"/>
          <w:lang w:val="en-US" w:eastAsia="zh-CN" w:bidi="ar-SA"/>
        </w:rPr>
        <w:t xml:space="preserve">万元</w:t>
      </w:r>
      <w:r>
        <w:rPr>
          <w:rFonts w:hint="eastAsia" w:ascii="宋体" w:hAnsi="宋体" w:eastAsia="宋体" w:cs="宋体"/>
          <w:color w:val="auto"/>
          <w:sz w:val="24"/>
          <w:szCs w:val="24"/>
          <w:highlight w:val="none"/>
          <w:lang w:val="en-US" w:eastAsia="zh-CN" w:bidi="ar-SA"/>
        </w:rPr>
        <w:t xml:space="preserve">采购预算的报价。</w:t>
      </w:r>
      <w:r>
        <w:rPr>
          <w:rFonts w:hint="eastAsia" w:ascii="宋体" w:hAnsi="宋体" w:eastAsia="宋体" w:cs="宋体"/>
          <w:b/>
          <w:bCs/>
          <w:color w:val="auto"/>
          <w:sz w:val="24"/>
          <w:szCs w:val="24"/>
          <w:highlight w:val="none"/>
          <w:lang w:val="en-US" w:eastAsia="zh-CN" w:bidi="ar-SA"/>
        </w:rPr>
        <w:t xml:space="preserve">报价包含为完成工作所发生的一切预见和不可预见费用，包含但不限于日常运维、平台监管运维、第四方质控、</w:t>
      </w:r>
      <w:r>
        <w:rPr>
          <w:rFonts w:hint="eastAsia" w:ascii="宋体" w:hAnsi="宋体" w:eastAsia="宋体" w:cs="宋体"/>
          <w:color w:val="auto"/>
          <w:sz w:val="24"/>
          <w:szCs w:val="24"/>
          <w:highlight w:val="none"/>
        </w:rPr>
        <w:t xml:space="preserve">专用变压器维护</w:t>
      </w:r>
      <w:r>
        <w:rPr>
          <w:rFonts w:hint="eastAsia" w:ascii="宋体" w:hAnsi="宋体" w:eastAsia="宋体" w:cs="宋体"/>
          <w:b/>
          <w:bCs/>
          <w:color w:val="auto"/>
          <w:sz w:val="24"/>
          <w:szCs w:val="24"/>
          <w:highlight w:val="none"/>
          <w:lang w:val="en-US" w:eastAsia="zh-CN" w:bidi="ar-SA"/>
        </w:rPr>
        <w:t xml:space="preserve">、电费、限值限量核算服务以及实施过程中涉及的车旅费、踏勘费、设备投入费、快速检测费、耗材费、人工费、合理利润、税收、招标代理费等。采购人不再支付报价以外的任何费用。</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、项目概况</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丰县经济开发区污染物排放限值限量运维管理服务项目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2.项目地点：</w:t>
      </w:r>
      <w:r>
        <w:rPr>
          <w:rFonts w:hint="eastAsia" w:ascii="宋体" w:hAnsi="宋体" w:eastAsia="宋体" w:cs="宋体"/>
          <w:color w:val="auto"/>
          <w:sz w:val="24"/>
          <w:szCs w:val="24"/>
          <w:highlight w:val="none"/>
          <w:lang w:eastAsia="zh-CN"/>
        </w:rPr>
        <w:t xml:space="preserve">丰县经济开发区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3.服务期限：1年</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项目内容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本项目为</w:t>
      </w:r>
      <w:r>
        <w:rPr>
          <w:rFonts w:hint="eastAsia" w:ascii="宋体" w:hAnsi="宋体" w:eastAsia="宋体" w:cs="宋体"/>
          <w:color w:val="auto"/>
          <w:sz w:val="24"/>
          <w:szCs w:val="24"/>
          <w:highlight w:val="none"/>
          <w:lang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对2座标准空气站、2座VOCs站、35个空气微站、2座水质标准站、1座污水监测站等监测站点日常运维、环保平台监管运维、第四方质控、数据审核、专用变压器维护、电费、园区限值限量核算服务等</w:t>
      </w:r>
      <w:r>
        <w:rPr>
          <w:rFonts w:hint="eastAsia" w:ascii="宋体" w:hAnsi="宋体" w:eastAsia="宋体" w:cs="宋体"/>
          <w:color w:val="auto"/>
          <w:sz w:val="24"/>
          <w:szCs w:val="24"/>
          <w:highlight w:val="none"/>
        </w:rPr>
        <w:t xml:space="preserve">进行运行</w:t>
      </w:r>
      <w:r>
        <w:rPr>
          <w:rFonts w:hint="eastAsia" w:ascii="宋体" w:hAnsi="宋体" w:eastAsia="宋体" w:cs="宋体"/>
          <w:sz w:val="24"/>
          <w:szCs w:val="24"/>
          <w:highlight w:val="none"/>
        </w:rPr>
        <w:t xml:space="preserve">维护，持续保障设备的稳定运行，为园区的污染防治管控与环境能力提升发挥作用。</w:t>
      </w:r>
      <w:r/>
    </w:p>
    <w:p>
      <w:pPr>
        <w:pStyle w:val="1028"/>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设备品牌及型号：</w:t>
      </w:r>
      <w:r/>
    </w:p>
    <w:tbl>
      <w:tblPr>
        <w:tblStyle w:val="980"/>
        <w:tblW w:w="86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680"/>
        <w:gridCol w:w="2811"/>
        <w:gridCol w:w="3170"/>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设备种类</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设备品牌</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设备型号</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赛默飞世尔科技（中国）有限公司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标准六参</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60" w:lineRule="exact"/>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TH-2000</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宁波理工环境能源科技股份有限公司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WQMS2000</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上海博取仪器有限公司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COD在线分析仪Mn04G-3067</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氨氮在线分析仪NHNG-3010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总磷在线分析仪TPG-3030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总氨在线分析仪TNG-3020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PH计pHG-2081pro</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悬浮物TSG-2087S</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超声波明渠流量计SULN-200</w:t>
            </w:r>
            <w:r/>
          </w:p>
        </w:tc>
      </w:tr>
      <w:tr>
        <w:trPr>
          <w:trHeight w:val="828"/>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VOCs（57pams）</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TH-300B</w:t>
            </w:r>
            <w:r/>
          </w:p>
        </w:tc>
      </w:tr>
      <w:tr>
        <w:trPr>
          <w:trHeight w:val="667"/>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空气微站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安徽皖仪科技股份有限公司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AQ7100</w:t>
            </w:r>
            <w:r/>
          </w:p>
        </w:tc>
      </w:tr>
    </w:tbl>
    <w:p>
      <w:pPr>
        <w:ind w:left="0" w:firstLine="482"/>
        <w:jc w:val="both"/>
        <w:keepLines w:val="0"/>
        <w:keepNext w:val="0"/>
        <w:pageBreakBefore w:val="0"/>
        <w:spacing w:line="420" w:lineRule="exact"/>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运维依据</w:t>
      </w:r>
      <w:r/>
    </w:p>
    <w:p>
      <w:pPr>
        <w:ind w:right="0" w:firstLine="723"/>
        <w:keepLines w:val="0"/>
        <w:keepNext w:val="0"/>
        <w:pageBreakBefore w:val="0"/>
        <w:spacing w:line="420" w:lineRule="exact"/>
        <w:shd w:val="clear" w:color="auto"/>
        <w:widowControl w:val="off"/>
        <w:rPr>
          <w:rFonts w:hint="eastAsia" w:ascii="宋体" w:hAnsi="宋体" w:eastAsia="宋体" w:cs="宋体"/>
          <w:b/>
          <w:bCs/>
          <w:color w:val="000000" w:themeColor="text1"/>
          <w:sz w:val="24"/>
          <w:szCs w:val="24"/>
          <w:highlight w:val="none"/>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包括不限于</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（1）《环境空气颗粒物（PM10和PM2.5）连续自动监测系统技术要求及检测方法》（HJ 653-2013）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（2）《环境空气气态污染物（SO2、NO2、O3、CO）连续自动监测系统技术要求及检测方法》（HJ 654-2013）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（3）《环境空气颗粒物（PM10和PM2.5）连续自动监测系统运行和质控技术规范》（HJ 817-2018）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（4）《环境空气气态污染物（SO2、NO2、O3、CO）连续自动监测系统运行和质控技术规范》（HJ 818-2018）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（5）《环境空气挥发性有机物气相色谱连续监测系统技术要求与检测方法》（HJ 1010）</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（6）《污染源在线自动监控（监测）系统数据传输标准》（HJ 212-2017）</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（7）《国家地表水自动监测站运行管理办法》</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（8）《环境水质监测质量保证手册》</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（9）《地表水和污水监测技术规范》HJ/T91-2002</w:t>
      </w:r>
      <w:r/>
    </w:p>
    <w:p>
      <w:pPr>
        <w:ind w:right="0" w:firstLine="480"/>
        <w:keepLines w:val="0"/>
        <w:keepNext w:val="0"/>
        <w:pageBreakBefore w:val="0"/>
        <w:spacing w:line="420" w:lineRule="exact"/>
        <w:shd w:val="clear" w:color="auto"/>
        <w:widowControl w:val="off"/>
        <w:rPr>
          <w:rFonts w:hint="eastAsia"/>
          <w:highlight w:val="none"/>
          <w:lang w:val="en-US" w:eastAsia="zh-CN"/>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（10）《环境水质(地表水)自动监测站运行管理技术规范》</w:t>
      </w:r>
      <w:r/>
    </w:p>
    <w:p>
      <w:pPr>
        <w:ind w:left="0" w:firstLine="482"/>
        <w:jc w:val="both"/>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运维内容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江苏丰县经济开发</w:t>
      </w:r>
      <w:r>
        <w:rPr>
          <w:rFonts w:hint="eastAsia" w:ascii="宋体" w:hAnsi="宋体" w:eastAsia="宋体" w:cs="宋体"/>
          <w:color w:val="000000" w:themeColor="text1"/>
          <w:sz w:val="24"/>
          <w:szCs w:val="24"/>
          <w:highlight w:val="none"/>
          <w:lang w:bidi="ar"/>
          <w14:textFill>
            <w14:solidFill>
              <w14:schemeClr w14:val="tx1"/>
            </w14:solidFill>
          </w14:textFill>
        </w:rPr>
        <w:t xml:space="preserve">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的日常运行维护、维修、消耗件和部件的更换、质量保证和质量控制</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周边范围内的卫生工作</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等托管给中标单位。</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注意事项：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1．托管不仅包括主要仪器，还包括与自动监测相关的全部辅助设备，如：采样装置、通讯及控制设备、防雷设备、防火防盗设施、空调、 UPS、稳压器、分析仪的辅助设备等</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2．仪器和设施的消耗件和部件、运营车辆费用、办事处费用、</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投入人员的工资、标准气体费用、防雷检测报告费用、灭火器费用等由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keepLines w:val="0"/>
        <w:keepNext w:val="0"/>
        <w:pageBreakBefore w:val="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水费、避雷塔、接地装置、地线、宽带费等及其他数据传输费用也由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承担，电费由采购人承担。</w:t>
      </w:r>
      <w:r/>
    </w:p>
    <w:p>
      <w:pPr>
        <w:ind w:right="0" w:firstLine="480"/>
        <w:keepLines w:val="0"/>
        <w:keepNext w:val="0"/>
        <w:pageBreakBefore w:val="0"/>
        <w:spacing w:line="420" w:lineRule="exact"/>
        <w:shd w:val="clear" w:color="auto"/>
        <w:widowControl w:val="off"/>
        <w:rPr>
          <w:rFonts w:hint="eastAsia"/>
          <w:highlight w:val="none"/>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4．微站的传感器由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定期更换，相应费用由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p>
    <w:p>
      <w:pPr>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（一）空气自动监测站运维管理内容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运维过程中主要完成以下工作：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（1）空气自动监测站的日常运行维护；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（2）空气自动监测站的日常质量管理；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（3）空气自动监测站的日常安全管理；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（4）空气自动监测站监测数据的日常审核、上报；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（5）空气自动监测站的仪器设备维护保养及故障维修；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（6）空气自动监测站其他相关辅助设备设施的维护、保养、维修。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（7）空气自动监测站数据采集及传输系统的维护及维修，保证空气自动监测站通讯正常。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（8）根据工作需要开展对空气自动监测站PM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与PM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自动监测的手工比对；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（9）当仪器出现故障不能及时修复时，应在24小时之内使用备机开展监测；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（10）仪器报废后（包括因洪水、地震、台风、站房外部火灾、爆炸、恐怖袭击、武装冲突、蓄意破坏等不可抗力导致），运维单位须先行及时使用备机开展监测，同时进行报备。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（11）当点位需要新增、撤销、变更时，由所在地生态环境部门按照点位管理程序向上级生态环境部门报批。涉及站点迁移的，运维单位应做好迁移前后监测仪器设备检查工作并做好相关记录。</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运维工作目标</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运维期间，按安全生产有关规定，建立安全生产制度，切实消除安全隐患。</w:t>
      </w:r>
      <w:r>
        <w:rPr>
          <w:rFonts w:hint="eastAsia" w:ascii="宋体" w:hAnsi="宋体" w:eastAsia="宋体" w:cs="宋体"/>
          <w:highlight w:val="none"/>
        </w:rPr>
        <w:t xml:space="preserve">必须建立完善的运行维护工作规范与质量管理体系，</w:t>
      </w:r>
      <w:r>
        <w:rPr>
          <w:rFonts w:hint="eastAsia" w:ascii="宋体" w:hAnsi="宋体" w:eastAsia="宋体" w:cs="宋体"/>
          <w:color w:val="auto"/>
          <w:sz w:val="24"/>
          <w:szCs w:val="24"/>
          <w:highlight w:val="none"/>
        </w:rPr>
        <w:t xml:space="preserve">确保提供及时、准确、有效的监测数据，空气站站的运行质量应达到以下指标：</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（1）所获取的有效监测数据必须满足</w:t>
      </w:r>
      <w:bookmarkStart w:id="7" w:name="OLE_LINK24"/>
      <w:r/>
      <w:bookmarkStart w:id="8" w:name="OLE_LINK23"/>
      <w:r>
        <w:rPr>
          <w:rFonts w:hint="eastAsia" w:ascii="宋体" w:hAnsi="宋体" w:eastAsia="宋体" w:cs="宋体"/>
          <w:highlight w:val="none"/>
        </w:rPr>
        <w:t xml:space="preserve">国家《环境空气质量标准》（GB 3095-2012）中规定的污染物浓度数据有效性最低要求</w:t>
      </w:r>
      <w:bookmarkEnd w:id="7"/>
      <w:r/>
      <w:bookmarkEnd w:id="8"/>
      <w:r>
        <w:rPr>
          <w:rFonts w:hint="eastAsia" w:ascii="宋体" w:hAnsi="宋体" w:eastAsia="宋体" w:cs="宋体"/>
          <w:highlight w:val="none"/>
        </w:rPr>
        <w:t xml:space="preserve">。</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（2）单站设备运行率必须高于90%(含)，有效率必须高于85%(含)。</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（3）异常情况处理率100%。</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设备运行率是指已上传数据量与应上传数据量之比，数据有效率是指有效数据量与应上传数据量之比。</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运维单位应遵守国家、省关于空气自动站运行管理的各项规定，如运维期间出台新的运行管理规定，则运维工作按最新规定执行。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A、运维工作一般要求如下：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(1)保持站房内部环境清洁，布置整齐，各仪器设备干净清洁，设备标识清楚；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(2)保持站房外20m以内的环境清洁；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(3)检查供电和网络通讯情况，保证系统的正常运行;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(4)保证空调正常工作，站房内温度25±5℃，相对湿度保持在80%RH以下；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(5)指派专人维护，设备固定牢固，门窗关闭良好，人走关门，非工作人员未经许可不得入内；</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(6)定期检查消防和安全设施；</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(7)每次维护后做好系统运行维护记录；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(8)进行维护时，应规范操作，注意安全，防止意外发生。</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B、每日工作内容如下：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每天上午和下午两次远程查看空气自动监测站数据并形成记录，分析监测数据，对站点运行情况进行远程诊断和运行管理，内容包括：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(1)判断系统数据采集与传输情况；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(2)根据电源电压、站房温度、湿度数据判断站房内部情况；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(3)发现监测数据异常，应立即通知业主，在每日</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时～2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时出现的异常，应在4小时内解决（通信线路、电力线路故障除外，但应及时与相关部门联系积极解决），每日23~次日7时出现的异常，应在次日上午10时前解决。</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(4)发生重污染天气等特殊情况后，应在4小时内开展相应的运维工作；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(5)根据数据分析结果、设备状态参数和仪器故障报警信号，判断仪器运行情况和现场状况；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(6)每日检查数据是否及时上传并正常发布，发现数据断网及时恢复。</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C、每周工作内容如下：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每周至少巡检空气自动监测站1次（运维间隔期不得超过（7±2）天，且14天内必须完成2次维护），并做好巡查记录，巡检时需要完成的工作包括：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(1)查看空气自动监测站设备是否齐备，无丢失和损坏；检查接地线路是否可靠，排风排气装置工作是否正常，标准气钢瓶阀门是否漏气，标准气的消耗情况；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(2)检查采样和排气管路是否有漏气或堵塞现象，各监测仪器采样流量是否正常。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(3)检查各监测仪器的运行状况和工作参数，判断是否正常，如有异常情况及时处理，保证仪器运行正常。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监测仪动态加热装置及采样总管加热装置是否正常工作；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(5)对二氧化硫、一氧化碳、臭氧、氮氧化物监测仪进行零点、跨度检查，如果漂移超过国家相关规范要求，需要进行校准或维修。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(6)按照仪器说明书要求，对零气发生器进行维护。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(7)检查外部环境是否正常，有没有对测定结果或运行环境存在明显影响的污染源；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(8)检查电路系统和通讯系统，保证系统供电正常，电压稳定；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(9)检查空气自动监测站的通讯系统，保证空气自动监测站与相关数据监控平台的连接正常，数据传输正常；确保无远程控制软件。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(10)对仪器显示数据、时间与数据采集仪之间的一致性进行检查和校准。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(11)检查监测仪器的采样入口与采样支路管线结合部之间安装的过滤膜的污染情况，每周更换滤膜并检查监测仪器散热风扇污染情况，及时清洗。</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(12)在冬、夏季节应注意空气自动监测站站房室内外温差，若温差较大，应及时改变站房温度或对采样总管采取适当的控制措施，防止冷凝现象。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(13)应及时清除空气自动监测站站房周围的杂草和积水，当周围树木生长超过规范规定的控制限时，应及时剪除对采样或监测光束有影响的树枝。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(15)检查站房的安全设施，做好防火防盗工作。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(16)每周对颗粒物的采样纸带或滤膜进行检查，如纸带即将用尽或滤膜负载超过规定要求，及时进行更换。</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(17)每周检查视频监控系统，并做好视频系统的日常维护。若发现人为干扰干预环境空气质量监测的行为，及时向业主汇报。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(18)每周对站房内外环境卫生进行检查，及时保洁。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D、每月工作内容如下：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(1)清洗PM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采样头（若遇重污染天气，则每周清洗一次），检查β法颗粒物监测仪仪器喷嘴、压环、密封圈等部件。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监测仪、气态监测仪、动态校准仪流量，超过国家相关规范要求时应进行校准。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(3)每月对数据和运维记录进行备份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(4)检查和校准PM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监测仪相对湿度、温度传感器和压力传感器。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E、每</w:t>
      </w:r>
      <w:r>
        <w:rPr>
          <w:rFonts w:hint="eastAsia" w:ascii="宋体" w:hAnsi="宋体" w:eastAsia="宋体" w:cs="宋体"/>
          <w:highlight w:val="none"/>
          <w:lang w:val="en-US" w:eastAsia="zh-CN"/>
        </w:rPr>
        <w:t xml:space="preserve">三个月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(1)采样总管及采样风机每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至少清洗一次；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(2)对PM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监测仪器进行标准膜检查或K0值检查，超过国家相关规范要求时，及时进行校准或维修；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)每</w:t>
      </w:r>
      <w:r>
        <w:rPr>
          <w:rFonts w:hint="eastAsia" w:ascii="宋体" w:hAnsi="宋体" w:eastAsia="宋体" w:cs="宋体"/>
          <w:highlight w:val="none"/>
          <w:lang w:val="en-US" w:eastAsia="zh-CN"/>
        </w:rPr>
        <w:t xml:space="preserve">三个</w:t>
      </w:r>
      <w:r>
        <w:rPr>
          <w:rFonts w:hint="eastAsia" w:ascii="宋体" w:hAnsi="宋体" w:eastAsia="宋体" w:cs="宋体"/>
          <w:highlight w:val="none"/>
        </w:rPr>
        <w:t xml:space="preserve">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并对每三个月数据、问题进行分析形成报告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F、每</w:t>
      </w:r>
      <w:r>
        <w:rPr>
          <w:rFonts w:hint="eastAsia" w:ascii="宋体" w:hAnsi="宋体" w:eastAsia="宋体" w:cs="宋体"/>
          <w:highlight w:val="none"/>
          <w:lang w:val="en-US" w:eastAsia="zh-CN"/>
        </w:rPr>
        <w:t xml:space="preserve">六个月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(1)对气态污染物监测仪进行多点校准，绘制校准曲线，检验相关系数、斜率和截距；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(2)振荡天平法颗粒物仪器每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更换一次主路过滤器滤芯、旁路过滤器滤芯和气水分离器滤芯，污染较重时应及时更换滤芯；</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(3)更换零气源净化剂和氧化剂，对零气性能进行检查；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(4)对氮氧化物监测仪钼炉转化率进行检查。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(5)采用臭氧传递标准对空气自动监测站臭氧工作标准进行标准传递；</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G、每年工作内容如下：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按照仪器说明书对动态校准仪流量进行多点检查。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对所有的仪器（包括采样泵）进行预防性维护，按说明书的要求更换备件。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H、日常运维其他相关要求如下：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(1)每周更换的气态污染物监测仪器所用滤膜，必须为聚四氟乙烯材质；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(2)应及时制定每月工作计划并将进出空气自动监测站的具体日期上报业主备案，并严格按计划执行，若有变更或临时突发情况处理等应及时上报业主备案。</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(4)当仪器损坏不能修复时，应在24小时之内使用备机开展监测，并同时报告业主，业主组织确认仪器损坏情况及原因，酌情处理。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(6)严禁擅自改变采样管路连接方式和更改仪器参数设置。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I、质量控制要求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运维单位需认真落实质量管理制度，建立完善的运行维护工作质量管理体系，安排专职质量控制管理人员。</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（1）量值溯源要求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将空气自动监测站运维所用的流量计、温度计、气压计、湿度计等质控设备送检，并取得计量部门颁发的合格证书，并根据业主要求定期开展核查工作。</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将空气自动监测站所用的臭氧标准为业主提供的标准设备进行溯源，性能指标均应符合要求。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（2）日常质量控制要求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监测仪在以下情况下需进行校准：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①安装时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②移动位置时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③进行可能影响校准结果的维修或维护后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④监测仪暂停工作一段时间后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⑤有迹象表明监测仪工作不正常或校准结果出现变化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⑥超过国家规范或本招标文件要求的校准周期或校准要求的。</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运维单位必须接受业主及其委托单位和人员的质量检查。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J、系统设备维修要求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（1）维修更换工作要求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（2）设备维修质量控制要求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监测仪器修复后，当其监测性能受到影响时，采用关键参数检查、标气测定、颗粒物流量测定、标准膜测试、标准样品测试或手工比对等方法进行测试。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仪器大修后，气态污染监</w:t>
      </w:r>
      <w:r>
        <w:rPr>
          <w:rFonts w:hint="eastAsia" w:ascii="宋体" w:hAnsi="宋体" w:eastAsia="宋体" w:cs="宋体"/>
          <w:highlight w:val="none"/>
        </w:rPr>
        <w:t xml:space="preserve">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K、</w:t>
      </w:r>
      <w:r>
        <w:rPr>
          <w:rFonts w:hint="eastAsia" w:ascii="宋体" w:hAnsi="宋体" w:eastAsia="宋体" w:cs="宋体"/>
          <w:color w:val="000000" w:themeColor="text1"/>
          <w:sz w:val="24"/>
          <w:szCs w:val="24"/>
          <w:highlight w:val="none"/>
          <w:lang w:bidi="ar"/>
          <w14:textFill>
            <w14:solidFill>
              <w14:schemeClr w14:val="tx1"/>
            </w14:solidFill>
          </w14:textFill>
        </w:rPr>
        <w:t xml:space="preserve">设施设备人员要求：</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应在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设有固定的办公场所，若</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无固定的办公场所和专业运行维护人员，可在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投标</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文件中承诺中标后1个月内于合同签订前在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建立固定的办公场所（确保 2 小时内赶到现场）</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投入本项目的专用车辆不少于 1 辆，自有或租赁均可。（请在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合同签订前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提供车辆的行驶证或机动车登记证（产权证）或购置发票，车辆租赁的需另行提供有效期内的租赁协议。）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需承诺配备项目负责人1名（具有环境主管部门或者第三方机构出具的气站运维培训证明</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、具有环境类相关专业高级及以上技术职称</w:t>
      </w:r>
      <w:r>
        <w:rPr>
          <w:rFonts w:hint="eastAsia" w:ascii="宋体" w:hAnsi="宋体" w:eastAsia="宋体" w:cs="宋体"/>
          <w:color w:val="000000" w:themeColor="text1"/>
          <w:sz w:val="24"/>
          <w:szCs w:val="24"/>
          <w:highlight w:val="none"/>
          <w:lang w:bidi="ar"/>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不少于4</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名经验丰富的专职运维技术人员</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具有环境主管部门或者第三方机构出具的气站运维培训证明，其中不少于1名人员</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具有环境类相关专业中级及以上技术职称</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不得指派维护人员从事与本项目无关的工作，对于不合格的运维人员采购人有权要求更换。</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（4）投标人在投标文件中须详细列出本项目的主要人员及车辆等</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配置</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说明，并对人员分工做出说明。采购人根据运维服务成效考核的情况，有权要求适当增加车辆和人员。</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 SO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 六项指标自动监测仪器 1 套用作备机，对备用机定期开机检查，确保仪器工况达到监测规范要求，并做好记录。（请在合同签订前提供设备照片、发票等相关证明材料，租赁的需另行提供有效期内的租赁协议。）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中标后在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应设立耗材和备用机库，耗材储备量以所运维站点运行</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六个月</w:t>
      </w:r>
      <w:r>
        <w:rPr>
          <w:rFonts w:hint="eastAsia" w:ascii="宋体" w:hAnsi="宋体" w:eastAsia="宋体" w:cs="宋体"/>
          <w:color w:val="000000" w:themeColor="text1"/>
          <w:sz w:val="24"/>
          <w:szCs w:val="24"/>
          <w:highlight w:val="none"/>
          <w:lang w:bidi="ar"/>
          <w14:textFill>
            <w14:solidFill>
              <w14:schemeClr w14:val="tx1"/>
            </w14:solidFill>
          </w14:textFill>
        </w:rPr>
        <w:t xml:space="preserve">用量计算。</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应配备气站维护所需基本工具，包括但不限于以下工具：流量计（0～1L/min 1 级和 1～20L/min 1 级）、温湿度计、压力表、万用表、专业维修工具。</w:t>
      </w:r>
      <w:r/>
    </w:p>
    <w:p>
      <w:pPr>
        <w:pStyle w:val="1049"/>
        <w:numPr>
          <w:ilvl w:val="0"/>
          <w:numId w:val="0"/>
        </w:numPr>
        <w:ind w:right="0" w:firstLine="480"/>
        <w:keepLines w:val="0"/>
        <w:keepNext w:val="0"/>
        <w:pageBreakBefore w:val="0"/>
        <w:spacing w:line="420" w:lineRule="exact"/>
        <w:shd w:val="clear" w:color="auto"/>
        <w:rPr>
          <w:rFonts w:hint="eastAsia"/>
          <w:highlight w:val="none"/>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）投标人应具备运维数据的质控能力，质控项目包括SO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六项指标。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监督考核要求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（1）监督管理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1）数据必须真实有效，投标人近3年内，在环境监测服务活动中必须没有弄虚作假行为（请投标人根据本单位实际情况</w:t>
      </w:r>
      <w:r>
        <w:rPr>
          <w:rFonts w:hint="eastAsia" w:ascii="宋体" w:hAnsi="宋体" w:cs="宋体"/>
          <w:highlight w:val="none"/>
          <w:lang w:val="en-US" w:eastAsia="zh-CN"/>
        </w:rPr>
        <w:t xml:space="preserve">自行</w:t>
      </w:r>
      <w:r>
        <w:rPr>
          <w:rFonts w:hint="eastAsia" w:ascii="宋体" w:hAnsi="宋体" w:eastAsia="宋体" w:cs="宋体"/>
          <w:highlight w:val="none"/>
        </w:rPr>
        <w:t xml:space="preserve">承诺，若有不实，按提供虚假资料处理，投标及中标无效，并承担相关法律责任）</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）运维期间出现调整数据、修改参数、改动设备、质控结果与平台采集结果不一致、弄虚作假等违规行为的，一经查实业主有权终止运维合同。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）业主组织开展运维管理和质控考核，对达不到运维要求或违规操作的，有权终止运维合同。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）违反江苏省空气自动站管理办法等违规行为的，一经查实，业主有权终止运维合同。</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中标单位应落实气站制度上墙机制，每个气站需张贴站房管理制度、仪器操作规程、安全注意事项等，相关费用由中标单位承担。</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中标单位应列明空气质量自动监测系统运营及管理期间的费用预算开支（分别按各项目、各站列出）。</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中标单位应承担监测数据的保密责任，必须按照采购人的要求，进行报告和传输有关的监测数据，均不得以任何方式和渠道向外界传递任何监测数据，否则采购人有权终止合同，并进一步追究相关法律责任。</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每</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12个月应对站房进行防雷检测，并提供检测报告。</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中标单位应为每个气站配备自动干粉灭火装置，保障站点财产安全。无人值守的自动监测站使用自动化系统和仪器，如遭遇火灾，必须自动主动消防，避免或减少自动监测系统及仪器的财产损失，防</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于未然。</w:t>
      </w:r>
      <w:r/>
    </w:p>
    <w:p>
      <w:pPr>
        <w:pStyle w:val="986"/>
        <w:rPr>
          <w:rFonts w:hint="eastAsia"/>
          <w:highlight w:val="none"/>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未经采购人同意，中标单位不得以任何方式对各类财产进行出售、抵押或转移</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277"/>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（二）VOC监测系统运维管理内容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具体运维内容和要求如下：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一般要求</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对站房周围的杂草和积水应及时清除，当周围树木生长超过规范规定的控制限时，对采样有影响的树枝等应及时进行剪除；</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检查外部环境是否正常，有没有对测定结果或运行环境存在明显影响的污染源，一旦发现污染源，应及时在运维记录上记录，并通知采购方；</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检查站房屋是否有漏雨现象，气象杆和天线是否被刮坏，站房外围的其它设施是否有损坏或被水淹，如遇到以上问题应及时处理，保证系统能安全运行；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保持站房内部环境清洁，布置整齐，无与监测无关物品，各仪器设备干净清洁，设备标识清楚；</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在冬、夏季节应注意站房室内外温差，若温差较大使采样装置出现冷凝水，应及时改变站房温度或对采样总管采取适当的控制措施，防止冷凝现象。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保证仪器运行电源电压正常，空调正常工作，环境温度保持在25℃左右，上下不超过5℃，湿度保持在80%RH以下；</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检查供电、通讯、数据采集与传输等情况，保证系统的正常运行；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进行维护时，应规范操作，注意安全，防止意外发生，由人员操作不当导致的伤亡事件，责任由中标方负责；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检查站点的排风排气装置工作是否正常；</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标准气钢瓶阀门是否漏气，标准气的消耗情况；</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检查采样和排气管路是否有漏气或堵塞现象；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检查各仪器运行状况否正常，保证仪器正常有效运行。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具体要求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VOCs仪器应开展仪器性能检查并做好记录。开展主要性能指标检查，开展氢气发生器、载气和零气供应情况检查。</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检查仪器运行状态，是否报警或异常;</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检查仪器耗材使用情况，更换仪器所需耗材;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检查标气、载气等各类气体使用情况;</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检查仪器管路、阀门是否漏气;</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检查站房外部环境，是否存在对监测数据或运行环境存在明显影响的污染源;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检查站房通讯及数据传输系统状态;</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检查更换颗粒物过滤膜;</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检查站房消防、防雷、防水等安全措施是否正常。</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每月工作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清洗仪器散热风扇滤网;</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更换发生器过滤分子筛;</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更换发生器干燥剂。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为了提高VOCs仪器监测准确度，每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使用混合标准气体更新多点校准曲线。</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检查检测器工作状态、老化色谱柱;</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每季对仪器进行一次预防性维护和各测试参数检查;</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每季对仪器所有数据进行备份;</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每季使用标准混合气更新工作曲线和峰窗。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工作</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对仪器设备进行一次维护保养，对气态污染物采样系统进行一次维护清洗;</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采样总管及采样风机清洗.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每年工作</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流量计、气压计、温度计等设备送计量部门检定，并保存好检定报告；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站点的消防设施进行检查，保证在有效期内；</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检查站点的防雷设施，</w:t>
      </w:r>
      <w:r>
        <w:rPr>
          <w:rFonts w:hint="eastAsia" w:ascii="宋体" w:hAnsi="宋体" w:eastAsia="宋体" w:cs="宋体"/>
          <w:highlight w:val="none"/>
          <w:lang w:val="en-US" w:eastAsia="zh-CN"/>
        </w:rPr>
        <w:t xml:space="preserve">每12个月</w:t>
      </w:r>
      <w:r>
        <w:rPr>
          <w:rFonts w:hint="eastAsia" w:ascii="宋体" w:hAnsi="宋体" w:eastAsia="宋体" w:cs="宋体"/>
          <w:highlight w:val="none"/>
        </w:rPr>
        <w:t xml:space="preserve">由有资质单位检定一次，并出具相应的鉴定报告；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更换所有仪器的泵组件；</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不定期工作</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根据实际使用情况更换相关耗材；</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根据实际需要更换零气源活性炭和氧化剂，对零气性能进行检查；</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VOCs仪器紧急维护</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安装备用仪器。</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紧急维修主要针对发生故障之设备，对发生故障的设备进行检修，如果发生零件损坏，中标人将马上进行更换，确保24小时内子站系统恢复正常运行。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如在现场发现不能在短期内修复仪器的，中标人应及时告知采购人，征得同意后，由中标人负责维修（仪器正常报废除外）。</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中标人技术人员在维修每一台仪器，每一个故障时，都要填写仪器维修报告表，详细记录故障现象、维修过程、更换设备情况等。</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仪器出现重大故障或核心关键部件损坏，在维修完成后需进行严格校准，必要时经重新检定或溯源后方可上架投入运行。</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其他</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77"/>
        <w:keepLines w:val="0"/>
        <w:keepNext w:val="0"/>
        <w:pageBreakBefore w:val="0"/>
        <w:rPr>
          <w:rFonts w:hint="eastAsia" w:ascii="宋体" w:hAnsi="宋体" w:eastAsia="宋体" w:cs="宋体"/>
          <w:b/>
          <w:highlight w:val="none"/>
        </w:rPr>
      </w:pPr>
      <w:r>
        <w:rPr>
          <w:rFonts w:hint="eastAsia" w:ascii="宋体" w:hAnsi="宋体" w:eastAsia="宋体" w:cs="宋体"/>
          <w:highlight w:val="none"/>
        </w:rPr>
        <w:t xml:space="preserve">2)仪器大修后（更换设备测试关键部件），应按顺序进行漂移实验（零点漂移、量程漂移）、重复性及准确度实验、多点线性实验。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b/>
          <w:bCs/>
          <w:highlight w:val="none"/>
        </w:rPr>
        <w:t xml:space="preserve">（三）空气自动监测微型站运维管理内容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微型空气站运行维护应包括周监控、月巡检、</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检查和年度更换，具体要求如下：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周监控：每周检查设备在线率、报警情况、运行维护计划等至少1次；</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月巡检：每月远程巡检设备运行状况至少1次，具体内容包括设备运行状态、异常率、运行负荷、质控合格情况等，并留有书面记录；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抽取不少于总数5%的站点进行现场检查，检查内容包括质量浓度准确性、平行性、设备状况、周边环境、设备运行状况等。安装气象传感器的站点，使用标准温湿度气压计、手持式风向风速仪进行比对校准。如果</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抽查不合格比例超过一定限值，及时更换不合格产品并将</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检查频次缩短为月度检查。现场检查留有书面记录；</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年度检查：每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77"/>
        <w:numPr>
          <w:ilvl w:val="0"/>
          <w:numId w:val="0"/>
        </w:numPr>
        <w:ind w:firstLine="482"/>
        <w:keepLines w:val="0"/>
        <w:keepNext w:val="0"/>
        <w:pageBreakBefore w:val="0"/>
        <w:rPr>
          <w:rFonts w:hint="eastAsia" w:ascii="宋体" w:hAnsi="宋体" w:eastAsia="宋体" w:cs="宋体"/>
          <w:highlight w:val="none"/>
        </w:rPr>
      </w:pPr>
      <w:r>
        <w:rPr>
          <w:rFonts w:hint="eastAsia" w:ascii="宋体" w:hAnsi="宋体" w:eastAsia="宋体" w:cs="宋体"/>
          <w:b/>
          <w:bCs/>
          <w:sz w:val="24"/>
          <w:szCs w:val="22"/>
          <w:highlight w:val="none"/>
          <w:lang w:val="en-US" w:eastAsia="zh-CN" w:bidi="ar-SA"/>
        </w:rPr>
        <w:t xml:space="preserve">（四）</w:t>
      </w:r>
      <w:r>
        <w:rPr>
          <w:rFonts w:hint="eastAsia" w:ascii="宋体" w:hAnsi="宋体" w:eastAsia="宋体" w:cs="宋体"/>
          <w:b/>
          <w:bCs/>
          <w:highlight w:val="none"/>
        </w:rPr>
        <w:t xml:space="preserve">水质自动监测站</w:t>
      </w:r>
      <w:r>
        <w:rPr>
          <w:rFonts w:hint="eastAsia" w:ascii="宋体" w:hAnsi="宋体" w:cs="宋体"/>
          <w:b/>
          <w:bCs/>
          <w:highlight w:val="none"/>
          <w:lang w:eastAsia="zh-CN"/>
        </w:rPr>
        <w:t xml:space="preserve">、</w:t>
      </w:r>
      <w:r>
        <w:rPr>
          <w:rFonts w:hint="eastAsia" w:ascii="宋体" w:hAnsi="宋体" w:eastAsia="宋体" w:cs="宋体"/>
          <w:b/>
          <w:bCs/>
          <w:color w:val="auto"/>
          <w:sz w:val="24"/>
          <w:szCs w:val="24"/>
          <w:highlight w:val="none"/>
          <w:lang w:val="en-US" w:eastAsia="zh-CN"/>
        </w:rPr>
        <w:t xml:space="preserve">污水监测站</w:t>
      </w:r>
      <w:r>
        <w:rPr>
          <w:rFonts w:hint="eastAsia" w:ascii="宋体" w:hAnsi="宋体" w:eastAsia="宋体" w:cs="宋体"/>
          <w:b/>
          <w:bCs/>
          <w:highlight w:val="none"/>
        </w:rPr>
        <w:t xml:space="preserve">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（1）提供、配制并定期更换在线监测仪器所需试剂和标样。</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（2）须每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对pH电极进行一次更换，每两年对高锰酸盐指数电极和溶解氧电极进行一次更换，其余根据江苏省有关水质自动站备品备件管理制度的要求，提供备品备件并按期更换。所有备品备件均由运维方提供。</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（3）须针对水站系统和仪表制定每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保养检修计划并按期进行。保养检修须包括系统的全面清洗和检修、仪器管路清洗、主要备件的更换、仪器的性能测试检查等内容。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（5）对水站仪表进行定期校准、核查、比对。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（6）配合采购方进行水站质量保证和质量质控工作。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（7）随时接受采购方的工作考核及质量考核。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（8）保证站房清洁，整齐。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（9）认真、及时做好维护记录，汇总各水站每周维护记录，每月以书面形式报采购方，书面报告作为运行维护考核依据之一，具体包括：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1）自动站每日运行数据报表统计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2）自动站现场维护记录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3）自动站仪器设备故障及排除情况登记表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4）自动站每月运行情况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5）自动站备品备件管理登记表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（10）按照《江苏省环境水质（地表水）自动监测预警系统运行管理办法（试行）》及其实施细则要求对运营水站进行管理。</w:t>
      </w:r>
      <w:bookmarkStart w:id="9" w:name="3.2总体要求"/>
      <w:r/>
      <w:bookmarkEnd w:id="9"/>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1、具体要求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（1）水质自动监测站系统及仪表维护内容水质自动站要严格按照“日监控，周巡查、月比对”的要求，开展日常维护和质控工作。 </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（a）每周工作内容</w:t>
      </w:r>
      <w:r/>
    </w:p>
    <w:tbl>
      <w:tblPr>
        <w:tblStyle w:val="9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361"/>
        <w:gridCol w:w="1243"/>
        <w:gridCol w:w="4950"/>
      </w:tblGrid>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1243"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495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通讯检查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1次/周，确保控制和数据上传通道畅通</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确保工控机各个串口和PLC、数采仪、分析仪器连接一一对应正确且牢固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通过现场监控软件测试工控与PLC及各个仪器之间是否连接正确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VPN网络设备检查，保证通讯畅通</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视频监控设备检查，监控视角位置</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PLC检查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检查PLC状态数据传输和报警灯，确保无数据传输和报警</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确保取水过程中PLC上各个点输入输出状态正确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测量并确保PLC时钟电池电压正常。必要的情况更换电池</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确保PLC串口模块连接牢固</w:t>
            </w:r>
            <w:r/>
          </w:p>
        </w:tc>
      </w:tr>
      <w:tr>
        <w:trPr>
          <w:jc w:val="center"/>
          <w:trHeight w:val="597"/>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面板开关检查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1次/周，确保各开关功能正常</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检查控制柜前面板开关和指示灯确保其工作正常</w:t>
            </w:r>
            <w:r/>
          </w:p>
        </w:tc>
      </w:tr>
      <w:tr>
        <w:trPr>
          <w:jc w:val="center"/>
          <w:trHeight w:val="396"/>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清扫配电板上各个元件上的灰尘等</w:t>
            </w:r>
            <w:r/>
          </w:p>
        </w:tc>
      </w:tr>
      <w:tr>
        <w:trPr>
          <w:jc w:val="center"/>
          <w:trHeight w:val="145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配电板状态检查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检查确保配电板上各个接线接头不松动，并清除锈蚀接头。确保各个接触器和继电器工作正常</w:t>
            </w:r>
            <w:r/>
          </w:p>
        </w:tc>
      </w:tr>
      <w:tr>
        <w:trPr>
          <w:jc w:val="center"/>
          <w:trHeight w:val="31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接地检查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确保各个机柜和用电器接地良好，尤其注意防雷保护器接地</w:t>
            </w:r>
            <w:r/>
          </w:p>
        </w:tc>
      </w:tr>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温湿度仪检查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检查温湿度仪是否显示合理，保证温度探头反应灵敏</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稳压电源清扫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断电情况下清扫稳压电源内的灰尘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检查碳刷是否正常，磨损较多情况必须更换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上电测试，确保稳压源工作正常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UPS检查清扫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断电情况下清扫UPS各个散热孔上的灰尘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检查确保UPS充放电正常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0</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UPS电池箱清扫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做好绝缘措施情况下清扫UPS电池箱内的灰尘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确保箱内各个电池联线接触良好牢固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确保各个电池无漏液，外观正常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机柜台面清扫及检查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检查机柜台面及玻璃是否清洁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检查机柜各门是否关于完好</w:t>
            </w:r>
            <w:r/>
          </w:p>
        </w:tc>
      </w:tr>
      <w:tr>
        <w:trPr>
          <w:jc w:val="center"/>
          <w:trHeight w:val="441"/>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实验区清扫</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1次/周，确保室内整齐清洁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1)保持实验区台面清洁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2)保持仪器设备摆放征集</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3)按要求存储试剂</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4)按要求处置废液</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13</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高锰酸盐指数分析仪维护</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1次/周，确保监测仪器所需试剂充足，管路、阀门处于正常状态，仪器电极无沾污，运行稳定，比对数据合格</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2)确保冷却水供应正常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3)清除水浴锅内水垢，疏通管道</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4)确保各个阀门正常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5)检查并更换老化的输送硫酸软管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6)添加参比电极电解液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7)清除ORP电极上污垢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8)检查并更换老化的ORP电极</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14</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氨氮分析仪维护</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1)检查氨氮分析仪加热模块是否正常，是否维持在 40℃</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2)检查气敏膜，添加电解液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3)检查并更换老化的氨氮管路系统</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4)检查并更换老化的氨氮蠕动泵管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5)检查并更换老化的加热迂回管路</w:t>
            </w:r>
            <w:r/>
          </w:p>
        </w:tc>
      </w:tr>
      <w:tr>
        <w:trPr>
          <w:jc w:val="center"/>
          <w:trHeight w:val="477"/>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6)检查并更换老化的电极</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7)修正液位压力传感器参数</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8)确保冷却水供应正常</w:t>
            </w:r>
            <w:r/>
          </w:p>
        </w:tc>
      </w:tr>
      <w:tr>
        <w:trPr>
          <w:jc w:val="center"/>
          <w:trHeight w:val="470"/>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9)保证氮气的正常供应</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10)确保各个阀门正常</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11)检查燃烧器</w:t>
            </w:r>
            <w:r/>
          </w:p>
        </w:tc>
      </w:tr>
      <w:tr>
        <w:trPr>
          <w:jc w:val="center"/>
          <w:trHeight w:val="470"/>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15</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2)检查电极是否被泥沙和藻类沾污</w:t>
            </w:r>
            <w:r/>
          </w:p>
        </w:tc>
      </w:tr>
      <w:tr>
        <w:trPr>
          <w:jc w:val="center"/>
          <w:trHeight w:val="473"/>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3)清洗电极更换电极液</w:t>
            </w:r>
            <w:r/>
          </w:p>
        </w:tc>
      </w:tr>
      <w:tr>
        <w:trPr>
          <w:jc w:val="center"/>
          <w:trHeight w:val="471"/>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4)检查并更换老化的电极</w:t>
            </w:r>
            <w:r/>
          </w:p>
        </w:tc>
      </w:tr>
      <w:tr>
        <w:trPr>
          <w:jc w:val="center"/>
          <w:trHeight w:val="127"/>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5)确保清洗水供应正常</w:t>
            </w:r>
            <w:r/>
          </w:p>
        </w:tc>
      </w:tr>
      <w:tr>
        <w:trPr>
          <w:jc w:val="center"/>
          <w:trHeight w:val="472"/>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16</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采样器维护</w:t>
            </w:r>
            <w:r/>
          </w:p>
        </w:tc>
        <w:tc>
          <w:tcPr>
            <w:tcBorders>
              <w:bottom w:val="none" w:color="000000" w:sz="4" w:space="0"/>
            </w:tcBorders>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1次/周，保证采样瓶清洁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1)检查并更换老化的蠕动泵软管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2)检查并更换老化的分配臂软管</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3)检查并更换老化的采样管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4)清洗采样切换阀</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5)重新调整采样参数</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6)检查样品储藏室温度</w:t>
            </w:r>
            <w:r/>
          </w:p>
        </w:tc>
      </w:tr>
      <w:tr>
        <w:trPr>
          <w:jc w:val="center"/>
          <w:trHeight w:val="473"/>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7)清洗样品储藏室</w:t>
            </w:r>
            <w:r/>
          </w:p>
        </w:tc>
      </w:tr>
      <w:tr>
        <w:trPr>
          <w:jc w:val="center"/>
          <w:trHeight w:val="376"/>
        </w:trPr>
        <w:tc>
          <w:tcPr>
            <w:tcW w:w="968" w:type="dxa"/>
            <w:vAlign w:val="bottom"/>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7</w:t>
            </w:r>
            <w:r/>
          </w:p>
        </w:tc>
        <w:tc>
          <w:tcPr>
            <w:tcW w:w="1361" w:type="dxa"/>
            <w:vAlign w:val="bottom"/>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数据上报</w:t>
            </w:r>
            <w:r/>
          </w:p>
        </w:tc>
        <w:tc>
          <w:tcPr>
            <w:tcW w:w="1243"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完成对水质自动监测数据审核上报</w:t>
            </w:r>
            <w:r/>
          </w:p>
        </w:tc>
      </w:tr>
    </w:tbl>
    <w:p>
      <w:pPr>
        <w:rPr>
          <w:rFonts w:hint="eastAsia" w:ascii="宋体" w:hAnsi="宋体" w:eastAsia="宋体" w:cs="宋体"/>
          <w:highlight w:val="none"/>
        </w:rPr>
      </w:pPr>
      <w:r>
        <w:rPr>
          <w:rFonts w:hint="eastAsia" w:ascii="宋体" w:hAnsi="宋体" w:eastAsia="宋体" w:cs="宋体"/>
          <w:highlight w:val="none"/>
        </w:rPr>
        <w:t xml:space="preserve">（b）每月工作内容</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728"/>
        <w:gridCol w:w="1234"/>
        <w:gridCol w:w="4940"/>
      </w:tblGrid>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72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89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室外取水管路清洗清淤</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1次/月，确保管路无泥沙附着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将室外取水管路淤泥吹出。至少三次空气吹洗，以便达到良好清淤效果。</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采用3%稀盐酸，对取水管路进行清洗。清洗完毕后15分钟手动运行一次采水流程，以便将管路中残余药剂清洗掉。</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恢复取水管路原状。</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清洗液位计</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1次/月，确保液位计工作正常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将液位计拆下，用3%盐酸擦洗浮球和导杆，清除表面钙化物和污物。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测量浮球导通电阻，导通电阻必须小于20欧姆，且反应灵敏。</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原样装回液位计。</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必要的情况更换新液位计。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清洗样水杯喷头</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1次/月，确保喷头工作正常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将样水杯清洗喷头拆下，检查是否有锈蚀状况，轻微锈蚀可采用3%稀盐酸浸泡方法清除锈蚀，严重锈蚀状况直接换新。</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将喷头原样装回后注意调节喷头配水强度。</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蠕动泵负载检查</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1次/月，确保蠕动泵无堵塞和渗漏，计量准确</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按蠕动泵说明书要求，检查输出扭矩。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若不符合说明书规定要求，及时更换泵管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液位观察管清洗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1次/月，确保液位观察管清洗透明</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拆下透明管清除脏污，用试管刷清洗干净。</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拆卸部件原样装回。</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取水系统综合测试</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1次/1月，确保系统取水正常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完成上述测试后复原所有阀门到正确位置。</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检查各个接头是否松动，各个电动球阀接线是否完好。</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检查无误情况下，系统复电，检查整个取水流程是否正常。</w:t>
            </w:r>
            <w:r/>
          </w:p>
        </w:tc>
      </w:tr>
      <w:tr>
        <w:trPr>
          <w:trHeight w:val="23"/>
        </w:trPr>
        <w:tc>
          <w:tcPr>
            <w:tcW w:w="362"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2次/月，更换试剂并校正，确保数据正常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更换标准校对液和分析试剂，一般不超过15天，夏天视情况缩短更换周期。更换试剂时要将前一批的试剂全部更换干净，而不是补充试剂。试剂更换完毕须校正仪器，确保校正数据符合仪器要求。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1次/月，更换试剂并校正，确保数据正常</w:t>
            </w:r>
            <w:r/>
          </w:p>
        </w:tc>
        <w:tc>
          <w:tcPr>
            <w:tcW w:w="2898"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更换标准校对液和分析试剂，一般不超过30天，夏天视情况缩短更换周期。更换试剂时要将前一批的试剂全部更换干净，而不是补充试剂。试剂更换完毕须校正仪器，确保校正数据符合仪器要求。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10</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总磷总氮分析仪</w:t>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1次/月，校正pH和溶解氧电极，确保数据正常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校正pH和溶解氧电极，确保校正数据符合仪器要求。</w:t>
            </w:r>
            <w:r/>
          </w:p>
        </w:tc>
      </w:tr>
    </w:tbl>
    <w:p>
      <w:pPr>
        <w:rPr>
          <w:rFonts w:hint="eastAsia" w:ascii="宋体" w:hAnsi="宋体" w:eastAsia="宋体" w:cs="宋体"/>
          <w:highlight w:val="none"/>
        </w:rPr>
      </w:pPr>
      <w:r>
        <w:rPr>
          <w:rFonts w:hint="eastAsia" w:ascii="宋体" w:hAnsi="宋体" w:eastAsia="宋体" w:cs="宋体"/>
          <w:highlight w:val="none"/>
        </w:rPr>
        <w:t xml:space="preserve">（c）每2月一次</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4"/>
        <w:gridCol w:w="1387"/>
        <w:gridCol w:w="4719"/>
      </w:tblGrid>
      <w:tr>
        <w:trPr>
          <w:trHeight w:val="23"/>
        </w:trPr>
        <w:tc>
          <w:tcPr>
            <w:tcW w:w="416"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8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76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416"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采水系统维护</w:t>
            </w:r>
            <w:r/>
          </w:p>
        </w:tc>
        <w:tc>
          <w:tcPr>
            <w:tcW w:w="81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根据不同水期，适当调整，保证采水系统正常运行</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对季节性断流、河道改变明显的断面水质自动站采水系统进行加固、调整采水泵。</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电动球阀清洗检查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1次/2月，确保清洗后电动球阀吸合自如，无堵塞和渗漏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将电动球阀手动拆下，用试管刷清洗后，将电动球阀装回管路。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开启组态单阀测试程序，单独控制阀门开关， 检查阀门开关时间是否符合要求(10s以内)。</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必要的情况替换电动球阀。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单向阀清洗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洗后电动球阀吸</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拆下单向阀， 用试管刷清洗单向阀阀体及密封橡胶上附着的脏污物，检查密封性是否完好后，原样装回管路。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必要情况更换单向阀。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压力表测试</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1次/2月，确保清洗后压力表读数正常</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拆下压力表表头，清洗清除压力导管内泥沙。</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压缩空气吹脱表头内残留脏污。</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调节空压机输出压力为0.6Mpa，输出气管连接到待测压力表，检查待测压力表显示是否和空压机一致，反应是否灵敏。</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原样装回压力表，注意气密性。</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必要情况更换压力表。</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工控机检查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检查开机过程中硬件自检过程是否有异常数据传输和报警。</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强制切断电源后复电工控机是否可以自动启动，并运行windos系统、加载现场监控软件，串口连接是否正常。</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插入备份光盘，用ghost软件备份操作系统。将备份好的操作系统和分区D内的文件拷贝到备份移动硬盘上。</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断电后拆下工控机，打开后盖，用细毛刷清</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除电源和主板上的灰尘，尤其注意cpu板、内存和各个串口卡上的灰尘清除。检查各个功能卡接口是否连接牢固。</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检查硬盘SATA连接线是否松动。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定期对杀毒软件升级，专机专用，禁止从事与工作无关的活动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装回工控机重复1)、 2)步骤</w:t>
            </w:r>
            <w:r/>
          </w:p>
        </w:tc>
      </w:tr>
    </w:tbl>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2、技术指标和要求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招标文件中未明确的质控管理要求的，按照江苏省已制定的相关规范性文件执行，若出台新的管理办法或技术规范时，按新要求执行。</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（一）运维工作要求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（1）水质自动站运行指标要求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keepLines w:val="0"/>
        <w:keepNext w:val="0"/>
        <w:pageBreakBefore w:val="0"/>
        <w:spacing w:line="480" w:lineRule="exact"/>
        <w:widowControl/>
        <w:rPr>
          <w:rFonts w:hint="eastAsia" w:ascii="宋体" w:hAnsi="宋体" w:eastAsia="宋体" w:cs="宋体"/>
          <w:highlight w:val="none"/>
        </w:rPr>
      </w:pPr>
      <w:r>
        <w:rPr>
          <w:rFonts w:hint="eastAsia" w:ascii="宋体" w:hAnsi="宋体" w:eastAsia="宋体" w:cs="宋体"/>
          <w:highlight w:val="none"/>
        </w:rPr>
        <w:t xml:space="preserve">仪器月运转率= </w:t>
      </w:r>
      <m:oMath>
        <m:f>
          <m:fPr>
            <m:ctrlPr>
              <w:rPr>
                <w:rFonts w:hint="eastAsia" w:ascii="Cambria Math" w:hAnsi="Cambria Math" w:eastAsia="宋体" w:cs="宋体"/>
                <w:highlight w:val="none"/>
              </w:rPr>
            </m:ctrlPr>
          </m:fPr>
          <m:num>
            <m:r>
              <w:rPr>
                <w:rFonts w:hint="eastAsia" w:ascii="Cambria Math" w:hAnsi="Cambria Math" w:eastAsia="宋体" w:cs="宋体"/>
                <w:highlight w:val="none"/>
              </w:rPr>
              <m:rPr>
                <m:sty m:val="p"/>
              </m:rPr>
              <m:t>该仪器月实际采用数据数</m:t>
            </m:r>
          </m:num>
          <m:den>
            <m:r>
              <w:rPr>
                <w:rFonts w:hint="eastAsia" w:ascii="Cambria Math" w:hAnsi="Cambria Math" w:eastAsia="宋体" w:cs="宋体"/>
                <w:highlight w:val="none"/>
              </w:rPr>
              <m:rPr>
                <m:sty m:val="p"/>
              </m:rPr>
              <m:t>天数×日监测次数</m:t>
            </m:r>
          </m:den>
        </m:f>
        <m:r>
          <w:rPr>
            <w:rFonts w:hint="eastAsia" w:ascii="Cambria Math" w:hAnsi="Cambria Math" w:eastAsia="宋体" w:cs="宋体"/>
            <w:highlight w:val="none"/>
          </w:rPr>
          <m:rPr>
            <m:sty m:val="p"/>
          </m:rPr>
          <m:t>×100%</m:t>
        </m:r>
      </m:oMath>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（2）数据质量要求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水质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）全部运维款。</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（3）异常情况处理的要求：</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（4）数据必须真实有效，投标人近3年内，在环境监测服务活动中必须没有弄虚作假行为（请投标人根据本单位实际情况自行承诺，若有不实，按提供虚假资料处理，投标及中标无效，且并承担相关法律责任）。</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）限值限量软件平台运维</w:t>
      </w:r>
      <w:r>
        <w:rPr>
          <w:rFonts w:hint="eastAsia" w:ascii="宋体" w:hAnsi="宋体" w:eastAsia="宋体" w:cs="宋体"/>
          <w:b/>
          <w:bCs/>
          <w:sz w:val="24"/>
          <w:szCs w:val="24"/>
          <w:highlight w:val="none"/>
          <w:lang w:val="en-US" w:eastAsia="zh-CN"/>
        </w:rPr>
        <w:t xml:space="preserve">升级</w:t>
      </w:r>
      <w:r>
        <w:rPr>
          <w:rFonts w:hint="eastAsia" w:ascii="宋体" w:hAnsi="宋体" w:eastAsia="宋体" w:cs="宋体"/>
          <w:b/>
          <w:bCs/>
          <w:sz w:val="24"/>
          <w:szCs w:val="24"/>
          <w:highlight w:val="none"/>
        </w:rPr>
        <w:t xml:space="preserve">及技术咨询服务</w:t>
      </w:r>
      <w:r/>
    </w:p>
    <w:p>
      <w:pPr>
        <w:pStyle w:val="971"/>
        <w:numPr>
          <w:ilvl w:val="1"/>
          <w:numId w:val="0"/>
        </w:numPr>
        <w:ind w:firstLine="480"/>
        <w:jc w:val="both"/>
        <w:pageBreakBefore w:val="0"/>
        <w:spacing w:line="420" w:lineRule="exact"/>
        <w:widowControl/>
        <w:rPr>
          <w:rFonts w:hint="eastAsia" w:ascii="宋体" w:hAnsi="宋体" w:eastAsia="宋体" w:cs="宋体"/>
          <w:b w:val="0"/>
          <w:bCs/>
          <w:color w:val="auto"/>
          <w:sz w:val="24"/>
          <w:szCs w:val="24"/>
          <w:highlight w:val="none"/>
        </w:rPr>
      </w:pPr>
      <w:r/>
      <w:bookmarkStart w:id="10" w:name="_Toc163825264"/>
      <w:r>
        <w:rPr>
          <w:rFonts w:hint="eastAsia" w:ascii="宋体" w:hAnsi="宋体" w:eastAsia="宋体" w:cs="宋体"/>
          <w:b w:val="0"/>
          <w:bCs/>
          <w:color w:val="auto"/>
          <w:sz w:val="24"/>
          <w:szCs w:val="24"/>
          <w:highlight w:val="none"/>
        </w:rPr>
        <w:t xml:space="preserve">至少派遣一名专业的环保相关人员</w:t>
      </w:r>
      <w:r>
        <w:rPr>
          <w:rFonts w:hint="eastAsia" w:ascii="宋体" w:hAnsi="宋体" w:eastAsia="宋体" w:cs="宋体"/>
          <w:b w:val="0"/>
          <w:bCs/>
          <w:color w:val="auto"/>
          <w:sz w:val="24"/>
          <w:szCs w:val="24"/>
          <w:highlight w:val="none"/>
          <w:lang w:val="en-US" w:eastAsia="zh-CN"/>
        </w:rPr>
        <w:t xml:space="preserve">在园区或周边驻点设有办公场所，</w:t>
      </w:r>
      <w:r>
        <w:rPr>
          <w:rFonts w:hint="eastAsia" w:ascii="宋体" w:hAnsi="宋体" w:eastAsia="宋体" w:cs="宋体"/>
          <w:b w:val="0"/>
          <w:bCs/>
          <w:color w:val="auto"/>
          <w:sz w:val="24"/>
          <w:szCs w:val="24"/>
          <w:highlight w:val="none"/>
        </w:rPr>
        <w:t xml:space="preserve">协助</w:t>
      </w:r>
      <w:r>
        <w:rPr>
          <w:rFonts w:hint="eastAsia" w:ascii="宋体" w:hAnsi="宋体" w:eastAsia="宋体" w:cs="宋体"/>
          <w:b w:val="0"/>
          <w:bCs/>
          <w:color w:val="auto"/>
          <w:sz w:val="24"/>
          <w:szCs w:val="24"/>
          <w:highlight w:val="none"/>
          <w:lang w:val="en-US" w:eastAsia="zh-CN"/>
        </w:rPr>
        <w:t xml:space="preserve">处置</w:t>
      </w:r>
      <w:r>
        <w:rPr>
          <w:rFonts w:hint="eastAsia" w:ascii="宋体" w:hAnsi="宋体" w:eastAsia="宋体" w:cs="宋体"/>
          <w:b w:val="0"/>
          <w:bCs/>
          <w:color w:val="auto"/>
          <w:sz w:val="24"/>
          <w:szCs w:val="24"/>
          <w:highlight w:val="none"/>
        </w:rPr>
        <w:t xml:space="preserve">平台数据监控预警等相关工作，赴园区排查企业排放情况，确保高质量完成核算工作，</w:t>
      </w:r>
      <w:r>
        <w:rPr>
          <w:rFonts w:hint="eastAsia" w:ascii="宋体" w:hAnsi="宋体" w:eastAsia="宋体" w:cs="宋体"/>
          <w:b w:val="0"/>
          <w:bCs/>
          <w:color w:val="auto"/>
          <w:sz w:val="24"/>
          <w:szCs w:val="24"/>
          <w:highlight w:val="none"/>
          <w:lang w:val="en-US" w:eastAsia="zh-CN"/>
        </w:rPr>
        <w:t xml:space="preserve">完善数据监管平台升级（能够统计日、月、年均值），</w:t>
      </w:r>
      <w:r>
        <w:rPr>
          <w:rFonts w:hint="eastAsia" w:ascii="宋体" w:hAnsi="宋体" w:eastAsia="宋体" w:cs="宋体"/>
          <w:b w:val="0"/>
          <w:bCs/>
          <w:color w:val="auto"/>
          <w:sz w:val="24"/>
          <w:szCs w:val="24"/>
          <w:highlight w:val="none"/>
        </w:rPr>
        <w:t xml:space="preserve">满足</w:t>
      </w: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部门管理要求。</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（1）园区环境质量“一图总览”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基于GIS地图，通过集中、动态、直观的展示界面，展示园区企业分布情况、限值限量站点监测分布及数据情况、站点在线及离线情况、异常告警情况、园区PM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和VOCs大气污染物浓度在全省及全市工业园区中的逆序排名情况等信息，用于支撑园区环境质量的管理和管控工作开展。</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（2）环境数据统计分析</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接入的园区空气、水质监测站点数据，将各类监测数据按照站点类型、监测因子进行管理展示，可提供任意时段数据查询、下载服务，可提供各类分析图表、统计报表生成及导出服务。提供园区在全市、全省工业园区的VOCs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环境质量排名动态更新服务，排名可实现日更新，自动核算园区PM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、二氧化硫、二氧化氮、臭氧、NMHC大气污染指标的当前累计平均数值及剩余控制数值，可提供不同统计维度（日、月、年）的总量排放数据。</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（3）园区高值预警推送</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环境监测和企业在线监控数据，根据园区业务需求与环境状况，设置不同因子浓度评价指标，实现大气、水环境、废水废气的高值告警。支持自定义配置监测因子的指标参数监测范围，当因子浓度超出阈值时进行告警提醒。实现环境监测和企业在线监控数据高值的预警报警和实时推送，为园区精准化管理提供基础。</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（4）环境质量分析报告</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根据限值限量监控系统数据，分析每月环境质量情况，出具数据分析报告。</w:t>
      </w:r>
      <w:bookmarkEnd w:id="10"/>
      <w:r/>
      <w:r/>
    </w:p>
    <w:p>
      <w:pPr>
        <w:pStyle w:val="1041"/>
        <w:pageBreakBefore w:val="0"/>
        <w:spacing w:line="420" w:lineRule="exact"/>
        <w:widowControl/>
        <w:rPr>
          <w:rFonts w:hint="eastAsia" w:ascii="宋体" w:hAnsi="宋体" w:eastAsia="宋体" w:cs="宋体"/>
          <w:sz w:val="24"/>
          <w:szCs w:val="24"/>
          <w:highlight w:val="none"/>
        </w:rPr>
      </w:pPr>
      <w:r/>
      <w:bookmarkStart w:id="11" w:name="OLE_LINK1"/>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）排放总量模拟核算</w:t>
      </w:r>
      <w:bookmarkEnd w:id="11"/>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环境质量大数据信息以及排放量多模型模式对园区的颗粒物、氮氧化物、二氧化硫、挥发性有机物（VOCs）因子排放总量进行核算，核算结果可进行日更新，同时提供园区排放总量分布情况，通过对比园区当前环境质量与所在区域的环境质量的数据，支撑园区总量管控。</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园区大气污染物排放总量动态模拟核算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园区地形、污染源及空气监测站点基础数据建立园区总量模拟核算模拟网格，网格分辨率达到100米。利用环评导则推荐标准大气污染传输扩散模型以及园区微站、标准站实现园区二氧化硫、氮氧化物、颗粒物及VOCs逐日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园区水污染物实际排放总量动态核算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按照园区限值限量管理要求，提供园区水污染物逐日排放量动态核算服务，核算指标包括化学需氧量、总磷、总氮、氨氮。</w:t>
      </w:r>
      <w:r/>
    </w:p>
    <w:p>
      <w:pPr>
        <w:pStyle w:val="1041"/>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（6）排放总量统计核算</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要求，由专业的环保人员收集企业末端在线监控、自行监测以及企业原辅料、产能等相关信息，支撑园区总量核算工作。开展园内企业信息收集和建档管理工作，协助园区建立园区内企业的“一企一档”，建立规范化的环保档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按照《生态环境统计管理办法》、《江苏省工业源排放总量统计实施方案》及上级管理部门要求，每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由专业的环保人员开展工业源大气污染物（颗粒物、二氧化硫、氮氧化物、挥发性有机物）、水污染物（化学需氧量、氨氮、总氮、总磷）排放总量统计，结合企业环统填报数据，每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出具园区总量核算报告，支撑上级生态环境部门调度。</w:t>
      </w:r>
      <w:r/>
    </w:p>
    <w:p>
      <w:pPr>
        <w:pStyle w:val="1277"/>
        <w:pageBreakBefore w:val="0"/>
        <w:spacing w:line="42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服务保障和承诺要求</w:t>
      </w:r>
      <w:r/>
    </w:p>
    <w:p>
      <w:pPr>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 各投标人必须严格按照本次招标技术参数要求进行合理报价并</w:t>
      </w:r>
      <w:r>
        <w:rPr>
          <w:rFonts w:hint="eastAsia" w:ascii="宋体" w:hAnsi="宋体" w:eastAsia="宋体" w:cs="宋体"/>
          <w:sz w:val="24"/>
          <w:szCs w:val="24"/>
          <w:highlight w:val="none"/>
          <w:lang w:val="en-US" w:eastAsia="zh-CN"/>
        </w:rPr>
        <w:t xml:space="preserve">提供服务</w:t>
      </w:r>
      <w:r>
        <w:rPr>
          <w:rFonts w:hint="eastAsia" w:ascii="宋体" w:hAnsi="宋体" w:eastAsia="宋体" w:cs="宋体"/>
          <w:sz w:val="24"/>
          <w:szCs w:val="24"/>
          <w:highlight w:val="none"/>
        </w:rPr>
        <w:t xml:space="preserve">，如后期出现验收不合格情形视同虚假承诺</w:t>
      </w:r>
      <w:r>
        <w:rPr>
          <w:rFonts w:hint="eastAsia" w:ascii="宋体" w:hAnsi="宋体" w:eastAsia="宋体" w:cs="宋体"/>
          <w:bCs/>
          <w:sz w:val="24"/>
          <w:szCs w:val="24"/>
          <w:highlight w:val="none"/>
        </w:rPr>
        <w:t xml:space="preserve">谋取中标成交，将被列入不良行为记录名单。</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项目服务期间，中标方所有的工作人员的人身安全以及中标方在服务期间产生的各类安全责任事故均由中标方自行承担。</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对于采购人提出更换现场不称职技术人员的要求，中标方须无条件服从。</w:t>
      </w:r>
      <w:r/>
    </w:p>
    <w:p>
      <w:pPr>
        <w:pStyle w:val="1028"/>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中标方须积极配合采购人并无条件提供技术服务。</w:t>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sz w:val="24"/>
          <w:szCs w:val="24"/>
          <w:lang w:val="en-US" w:eastAsia="zh-CN" w:bidi="ar-SA"/>
        </w:rPr>
        <w:t xml:space="preserve">其他要求见《招标文件》第五章《拟签订的合同文本》。</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ind w:left="0" w:firstLine="0"/>
        <w:pageBreakBefore w:val="0"/>
        <w:spacing w:line="420" w:lineRule="exact"/>
        <w:widowControl/>
        <w:rPr>
          <w:rFonts w:hint="eastAsia" w:ascii="宋体" w:hAnsi="宋体" w:eastAsia="宋体" w:cs="宋体"/>
          <w:sz w:val="24"/>
          <w:szCs w:val="24"/>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lang w:val="en-US" w:eastAsia="zh-CN"/>
        </w:rPr>
      </w:r>
      <w:r/>
    </w:p>
    <w:p>
      <w:pPr>
        <w:pStyle w:val="970"/>
        <w:rPr>
          <w:rFonts w:hint="eastAsia" w:ascii="宋体" w:hAnsi="宋体" w:eastAsia="宋体" w:cs="宋体"/>
          <w:color w:val="auto"/>
          <w:highlight w:val="none"/>
        </w:rPr>
      </w:pPr>
      <w:r/>
      <w:bookmarkStart w:id="12" w:name="_Toc16344"/>
      <w:r>
        <w:rPr>
          <w:rFonts w:hint="eastAsia" w:ascii="宋体" w:hAnsi="宋体" w:eastAsia="宋体" w:cs="宋体"/>
          <w:color w:val="auto"/>
          <w:highlight w:val="none"/>
        </w:rPr>
        <w:t xml:space="preserve">第七章 投标文件相关格式</w:t>
      </w:r>
      <w:bookmarkEnd w:id="12"/>
      <w:r/>
      <w:r/>
    </w:p>
    <w:p>
      <w:pPr>
        <w:pStyle w:val="971"/>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highlight w:val="none"/>
          <w:u w:val="single"/>
          <w:lang w:eastAsia="zh-CN"/>
        </w:rPr>
        <w:t xml:space="preserve">JSZC-320321-ZZXH-G2026-0003</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lang w:val="en-US" w:eastAsia="zh-CN"/>
        </w:rPr>
      </w:r>
      <w:r/>
    </w:p>
    <w:p>
      <w:pPr>
        <w:pStyle w:val="971"/>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w:t>
      </w:r>
      <w:r>
        <w:rPr>
          <w:rFonts w:hint="eastAsia" w:ascii="宋体" w:hAnsi="宋体" w:cs="宋体"/>
          <w:color w:val="auto"/>
          <w:highlight w:val="none"/>
          <w:lang w:val="en-US" w:eastAsia="zh-CN"/>
        </w:rPr>
        <w:t xml:space="preserve">开标一览表</w:t>
      </w:r>
      <w:r/>
    </w:p>
    <w:p>
      <w:pPr>
        <w:pStyle w:val="9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rPr>
          <w:rFonts w:hint="eastAsia"/>
          <w:lang w:val="en-US" w:eastAsia="zh-CN"/>
        </w:rPr>
      </w:pPr>
      <w:r>
        <w:rPr>
          <w:rFonts w:hint="eastAsia"/>
          <w:lang w:val="en-US" w:eastAsia="zh-CN"/>
        </w:rPr>
      </w:r>
      <w:r/>
    </w:p>
    <w:tbl>
      <w:tblPr>
        <w:tblStyle w:val="980"/>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39"/>
        <w:gridCol w:w="2636"/>
        <w:gridCol w:w="2756"/>
      </w:tblGrid>
      <w:tr>
        <w:trPr>
          <w:cantSplit/>
          <w:jc w:val="center"/>
          <w:trHeight w:val="1084"/>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1601" w:type="pct"/>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771"/>
        </w:trPr>
        <w:tc>
          <w:tcPr>
            <w:tcW w:w="1724"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highlight w:val="none"/>
                <w:lang w:eastAsia="zh-CN"/>
              </w:rPr>
              <w:t xml:space="preserve">丰</w:t>
            </w:r>
            <w:r>
              <w:rPr>
                <w:rFonts w:hint="eastAsia" w:ascii="宋体" w:hAnsi="宋体" w:eastAsia="宋体" w:cs="宋体"/>
                <w:color w:val="auto"/>
                <w:sz w:val="24"/>
                <w:highlight w:val="none"/>
                <w:lang w:val="en-US" w:eastAsia="zh-CN" w:bidi="ar-SA"/>
              </w:rPr>
              <w:t xml:space="preserve">县经济开发区污染物排放限值限量运维管理服务项目</w:t>
            </w:r>
            <w:r/>
          </w:p>
        </w:tc>
        <w:tc>
          <w:tcPr>
            <w:tcBorders>
              <w:right w:val="single" w:color="auto" w:sz="4" w:space="0"/>
            </w:tcBorders>
            <w:tcW w:w="1601" w:type="pct"/>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详见投标文件</w:t>
            </w:r>
            <w:r/>
          </w:p>
        </w:tc>
        <w:tc>
          <w:tcPr>
            <w:tcBorders>
              <w:left w:val="single" w:color="auto" w:sz="4" w:space="0"/>
            </w:tcBorders>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135"/>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p>
        </w:tc>
        <w:tc>
          <w:tcPr>
            <w:gridSpan w:val="2"/>
            <w:tcW w:w="3275"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pStyle w:val="98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25"/>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报价应包括全部内容，以及为完成上述内容所需的全部费用</w:t>
      </w:r>
      <w:r>
        <w:rPr>
          <w:rFonts w:hint="eastAsia" w:ascii="宋体" w:hAnsi="宋体"/>
          <w:color w:val="auto"/>
          <w:sz w:val="24"/>
          <w:highlight w:val="none"/>
          <w:lang w:eastAsia="zh-CN"/>
        </w:rPr>
        <w:t xml:space="preserve">；</w:t>
      </w:r>
      <w:r/>
    </w:p>
    <w:p>
      <w:pPr>
        <w:pStyle w:val="1025"/>
        <w:jc w:val="left"/>
        <w:spacing w:line="52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报价以总价为准，大小写不一致以大写为准；</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偏离说明：详见《偏离表》</w:t>
      </w:r>
      <w:r>
        <w:rPr>
          <w:rFonts w:hint="eastAsia" w:ascii="宋体" w:hAnsi="宋体"/>
          <w:color w:val="auto"/>
          <w:sz w:val="24"/>
          <w:highlight w:val="none"/>
          <w:lang w:eastAsia="zh-CN"/>
        </w:rPr>
        <w:t xml:space="preserve">。</w:t>
      </w:r>
      <w:r/>
    </w:p>
    <w:p>
      <w:pPr>
        <w:pStyle w:val="986"/>
        <w:rPr>
          <w:rFonts w:hint="eastAsia"/>
          <w:lang w:val="en-US" w:eastAsia="zh-CN"/>
        </w:rPr>
      </w:pPr>
      <w:r>
        <w:rPr>
          <w:rFonts w:hint="eastAsia"/>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1"/>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971"/>
        <w:rPr>
          <w:rFonts w:hint="eastAsia" w:ascii="宋体" w:hAnsi="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cs="宋体"/>
          <w:color w:val="auto"/>
          <w:highlight w:val="none"/>
          <w:lang w:val="en-US" w:eastAsia="zh-CN"/>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、分项价格表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tbl>
      <w:tblPr>
        <w:tblStyle w:val="1018"/>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3420"/>
        <w:gridCol w:w="1274"/>
        <w:gridCol w:w="1420"/>
        <w:gridCol w:w="1420"/>
      </w:tblGrid>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分项名称</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单价</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总价</w:t>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color w:val="000000"/>
                <w:sz w:val="24"/>
                <w:szCs w:val="24"/>
                <w:lang w:val="en-US" w:eastAsia="zh-CN" w:bidi="ar"/>
              </w:rPr>
              <w:t xml:space="preserve">空气标准站运维服务费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VOCs运维费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微站运维服务费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35套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水质标准站运维服务费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污水监测站运维服务费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平台监管升及及运维服务费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质控服务费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专用变压器维护服务费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市电电费、维护服务费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限值限量核算服务费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招标代理费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其他</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4"/>
            <w:tcW w:w="6933"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合计</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1.如果不提供详细分项报价将视为没有实质性响应招标文件</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2.投标人对以上数据的真实性负责</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有权将以上内容进行公示。</w:t>
      </w:r>
      <w:r/>
    </w:p>
    <w:p>
      <w:pPr>
        <w:ind w:firstLine="480"/>
        <w:spacing w:line="360" w:lineRule="auto"/>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tbl>
      <w:tblPr>
        <w:tblStyle w:val="980"/>
        <w:tblW w:w="4995"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113"/>
        <w:gridCol w:w="1350"/>
        <w:gridCol w:w="1480"/>
        <w:gridCol w:w="1353"/>
        <w:gridCol w:w="2102"/>
      </w:tblGrid>
      <w:tr>
        <w:trPr>
          <w:trHeight w:val="794"/>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widowControl/>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、法定代表人授权书</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               </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eastAsia="宋体" w:cs="宋体"/>
          <w:sz w:val="24"/>
          <w:szCs w:val="24"/>
          <w:u w:val="single"/>
          <w:lang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JSZC-320321-ZZXH-G2026-0003</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年   月   日</w:t>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rPr>
        <w:sectPr>
          <w:footerReference w:type="default" r:id="rId13"/>
          <w:footerReference w:type="even" r:id="rId14"/>
          <w:footerReference w:type="first" r:id="rId15"/>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法定代表人及</w:t>
      </w:r>
      <w:r>
        <w:rPr>
          <w:rFonts w:hint="eastAsia" w:ascii="宋体" w:hAnsi="宋体" w:eastAsia="宋体" w:cs="宋体"/>
          <w:b/>
          <w:bCs/>
          <w:sz w:val="24"/>
          <w:szCs w:val="24"/>
        </w:rPr>
        <w:t xml:space="preserve">受托人身份证复印件附后)</w:t>
      </w:r>
      <w:r/>
    </w:p>
    <w:p>
      <w:pPr>
        <w:ind w:left="0" w:firstLine="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若法定代表人亲自签署文件则按下列格式：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lang w:val="en-US" w:eastAsia="zh-CN"/>
        </w:rPr>
        <w:t xml:space="preserve">书</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系我司的法定代表人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参与</w:t>
      </w:r>
      <w:r>
        <w:rPr>
          <w:rFonts w:hint="eastAsia" w:ascii="宋体" w:hAnsi="宋体" w:eastAsia="宋体" w:cs="宋体"/>
          <w:sz w:val="24"/>
          <w:szCs w:val="24"/>
          <w:u w:val="single"/>
          <w:lang w:val="en-US"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eastAsia="zh-CN"/>
        </w:rPr>
        <w:t xml:space="preserve">JSZC-320321-ZZXH-G2026-0003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投标活动并有权</w:t>
      </w:r>
      <w:r>
        <w:rPr>
          <w:rFonts w:hint="eastAsia" w:ascii="宋体" w:hAnsi="宋体" w:eastAsia="宋体" w:cs="宋体"/>
          <w:sz w:val="24"/>
          <w:szCs w:val="24"/>
        </w:rPr>
        <w:t xml:space="preserve">处理与之有关的一切事务。</w:t>
      </w:r>
      <w:r/>
    </w:p>
    <w:p>
      <w:pPr>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3" w:name="_Toc1405"/>
      <w:r/>
      <w:bookmarkStart w:id="14" w:name="_Toc23213"/>
      <w:r/>
      <w:bookmarkStart w:id="15" w:name="_Toc16078"/>
      <w:r/>
      <w:bookmarkStart w:id="16" w:name="_Toc27746"/>
      <w:r/>
      <w:bookmarkStart w:id="17" w:name="_Toc21147"/>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公章</w:t>
      </w:r>
      <w:r>
        <w:rPr>
          <w:rFonts w:hint="eastAsia" w:ascii="宋体" w:hAnsi="宋体" w:eastAsia="宋体" w:cs="宋体"/>
          <w:sz w:val="24"/>
          <w:szCs w:val="24"/>
        </w:rPr>
        <w:t xml:space="preserve">）：</w:t>
      </w:r>
      <w:bookmarkEnd w:id="13"/>
      <w:r/>
      <w:bookmarkEnd w:id="14"/>
      <w:r/>
      <w:bookmarkEnd w:id="15"/>
      <w:r/>
      <w:bookmarkEnd w:id="16"/>
      <w:r/>
      <w:bookmarkEnd w:id="17"/>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bookmarkStart w:id="18" w:name="_Toc21069"/>
      <w:r/>
      <w:bookmarkStart w:id="19" w:name="_Toc6168"/>
      <w:r/>
      <w:bookmarkStart w:id="20" w:name="_Toc7380"/>
      <w:r/>
      <w:bookmarkStart w:id="21" w:name="_Toc7336"/>
      <w:r/>
      <w:bookmarkStart w:id="22" w:name="_Toc16926"/>
      <w:r>
        <w:rPr>
          <w:rFonts w:hint="eastAsia" w:ascii="宋体" w:hAnsi="宋体" w:eastAsia="宋体" w:cs="宋体"/>
          <w:sz w:val="24"/>
          <w:szCs w:val="24"/>
        </w:rPr>
        <w:t xml:space="preserve">年  月  日</w:t>
      </w:r>
      <w:bookmarkEnd w:id="18"/>
      <w:r/>
      <w:bookmarkEnd w:id="19"/>
      <w:r/>
      <w:bookmarkEnd w:id="20"/>
      <w:r/>
      <w:bookmarkEnd w:id="21"/>
      <w:r/>
      <w:bookmarkEnd w:id="22"/>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hint="eastAsia" w:ascii="宋体" w:hAnsi="宋体" w:eastAsia="宋体" w:cs="宋体"/>
          <w:b/>
          <w:bCs/>
          <w:sz w:val="32"/>
          <w:szCs w:val="32"/>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w:t>
      </w:r>
      <w:r>
        <w:rPr>
          <w:rFonts w:hint="eastAsia" w:ascii="宋体" w:hAnsi="宋体" w:eastAsia="宋体" w:cs="宋体"/>
          <w:b/>
          <w:bCs/>
          <w:sz w:val="24"/>
          <w:szCs w:val="24"/>
        </w:rPr>
        <w:t xml:space="preserve">身份证复印件附后)</w:t>
      </w:r>
      <w:r/>
    </w:p>
    <w:p>
      <w:pPr>
        <w:ind w:firstLine="480"/>
        <w:jc w:val="center"/>
        <w:spacing w:line="360" w:lineRule="auto"/>
        <w:rPr>
          <w:rFonts w:hint="eastAsia" w:ascii="宋体" w:hAnsi="宋体" w:eastAsia="宋体" w:cs="宋体"/>
          <w:sz w:val="24"/>
        </w:rPr>
        <w:sectPr>
          <w:footerReference w:type="default" r:id="rId16"/>
          <w:footnotePr/>
          <w:endnotePr/>
          <w:type w:val="nextPage"/>
          <w:pgSz w:w="11906" w:h="16838" w:orient="portrait"/>
          <w:pgMar w:top="1440" w:right="1803" w:bottom="1440" w:left="1803" w:header="851" w:footer="992" w:gutter="283"/>
          <w:cols w:num="1" w:sep="0" w:space="0" w:equalWidth="1"/>
          <w:docGrid w:linePitch="360"/>
        </w:sectPr>
        <w:outlineLvl w:val="0"/>
      </w:pPr>
      <w:r>
        <w:rPr>
          <w:rFonts w:hint="eastAsia" w:ascii="宋体" w:hAnsi="宋体" w:eastAsia="宋体" w:cs="宋体"/>
          <w:sz w:val="24"/>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六</w:t>
      </w:r>
      <w:r>
        <w:rPr>
          <w:rFonts w:hint="eastAsia" w:ascii="宋体" w:hAnsi="宋体" w:eastAsia="宋体" w:cs="宋体"/>
          <w:color w:val="auto"/>
          <w:highlight w:val="none"/>
        </w:rPr>
        <w:t xml:space="preserve">、中小企业声明函</w:t>
      </w:r>
      <w:r/>
    </w:p>
    <w:p>
      <w:pPr>
        <w:pStyle w:val="1028"/>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丰县经济开发区污染物排放限值限量运维管理服务项目</w:t>
      </w:r>
      <w:r/>
    </w:p>
    <w:p>
      <w:pPr>
        <w:pStyle w:val="10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JSZC-320321-ZZXH-G2026-0003</w:t>
      </w:r>
      <w:r>
        <w:rPr>
          <w:rFonts w:hint="eastAsia" w:ascii="宋体" w:hAnsi="宋体" w:eastAsia="宋体" w:cs="宋体"/>
          <w:color w:val="auto"/>
          <w:sz w:val="24"/>
          <w:highlight w:val="none"/>
        </w:rPr>
        <w:t xml:space="preserve">                                 </w:t>
      </w:r>
      <w:r/>
    </w:p>
    <w:p>
      <w:pPr>
        <w:pStyle w:val="10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lang w:eastAsia="zh-CN"/>
        </w:rPr>
        <w:t xml:space="preserve">江苏丰县经济开发区管理委员会</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丰县经济开发区污染物排放限值限量运维管理服务项目</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eastAsia="zh-CN"/>
        </w:rPr>
        <w:t xml:space="preserve">其他未列明行业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备注：</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本项目采购的服务属于</w:t>
      </w:r>
      <w:r>
        <w:rPr>
          <w:rFonts w:hint="eastAsia" w:ascii="宋体" w:hAnsi="宋体" w:eastAsia="宋体" w:cs="宋体"/>
          <w:b/>
          <w:color w:val="auto"/>
          <w:highlight w:val="none"/>
          <w:u w:val="single"/>
          <w:lang w:eastAsia="zh-CN"/>
        </w:rPr>
        <w:t xml:space="preserve">其他未列明行业</w:t>
      </w:r>
      <w:r>
        <w:rPr>
          <w:rFonts w:hint="eastAsia" w:ascii="宋体" w:hAnsi="宋体" w:eastAsia="宋体" w:cs="宋体"/>
          <w:b/>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000000"/>
          <w:sz w:val="24"/>
          <w:highlight w:val="none"/>
        </w:rPr>
        <w:t xml:space="preserve">“中小企业声明函” 查询渠道用微信搜索“中小企业规模类型自测小程序”。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7"/>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1174750</wp:posOffset>
                </wp:positionH>
                <wp:positionV relativeFrom="paragraph">
                  <wp:posOffset>267335</wp:posOffset>
                </wp:positionV>
                <wp:extent cx="3566160" cy="7291070"/>
                <wp:effectExtent l="0" t="0" r="15240" b="5080"/>
                <wp:wrapNone/>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92.5pt;mso-position-horizontal:absolute;mso-position-vertical-relative:text;margin-top:21.1pt;mso-position-vertical:absolute;width:280.8pt;height:574.1pt;mso-wrap-distance-left:9.0pt;mso-wrap-distance-top:0.0pt;mso-wrap-distance-right:9.0pt;mso-wrap-distance-bottom:0.0pt;" stroked="false">
                <v:path textboxrect="0,0,0,0"/>
                <v:imagedata r:id="rId18"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、残疾人福利性单位声明函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八</w:t>
      </w:r>
      <w:r>
        <w:rPr>
          <w:rFonts w:hint="eastAsia" w:ascii="宋体" w:hAnsi="宋体" w:eastAsia="宋体" w:cs="宋体"/>
          <w:color w:val="auto"/>
          <w:highlight w:val="none"/>
        </w:rPr>
        <w:t xml:space="preserve">、投标人参加政府采购活动前3年内在经营活动中没有重大违法记录的书面声明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br w:type="page" w:clear="all"/>
      </w:r>
      <w:r/>
    </w:p>
    <w:p>
      <w:pPr>
        <w:pStyle w:val="1017"/>
        <w:numPr>
          <w:ilvl w:val="0"/>
          <w:numId w:val="0"/>
        </w:numPr>
        <w:jc w:val="center"/>
        <w:rPr>
          <w:rFonts w:hint="eastAsia" w:ascii="宋体" w:hAnsi="宋体" w:eastAsia="宋体" w:cs="宋体"/>
          <w:b/>
          <w:color w:val="auto"/>
          <w:sz w:val="30"/>
          <w:highlight w:val="none"/>
          <w:lang w:val="en-US" w:eastAsia="zh-CN" w:bidi="ar-SA"/>
        </w:rPr>
      </w:pPr>
      <w:r>
        <w:rPr>
          <w:rFonts w:hint="eastAsia" w:cs="宋体"/>
          <w:b/>
          <w:color w:val="auto"/>
          <w:sz w:val="30"/>
          <w:highlight w:val="none"/>
          <w:lang w:val="en-US" w:eastAsia="zh-CN" w:bidi="ar-SA"/>
        </w:rPr>
        <w:t xml:space="preserve">九</w:t>
      </w:r>
      <w:r>
        <w:rPr>
          <w:rFonts w:hint="eastAsia" w:ascii="宋体" w:hAnsi="宋体" w:eastAsia="宋体" w:cs="宋体"/>
          <w:b/>
          <w:color w:val="auto"/>
          <w:sz w:val="30"/>
          <w:highlight w:val="none"/>
          <w:lang w:val="en-US" w:eastAsia="zh-CN" w:bidi="ar-SA"/>
        </w:rPr>
        <w:t xml:space="preserve">、承诺书</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项目名称：丰县经济开发区污染物排放限值限量运维管理服务项目</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项目编号：</w:t>
      </w:r>
      <w:r>
        <w:rPr>
          <w:rFonts w:hint="eastAsia" w:cs="宋体"/>
          <w:lang w:val="en-US" w:eastAsia="zh-CN"/>
        </w:rPr>
        <w:t xml:space="preserve">JSZC-320321-ZZXH-G2026-0003</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我公司参与</w:t>
      </w:r>
      <w:r>
        <w:rPr>
          <w:rFonts w:hint="eastAsia" w:ascii="宋体" w:hAnsi="宋体" w:eastAsia="宋体" w:cs="宋体"/>
          <w:color w:val="auto"/>
          <w:sz w:val="24"/>
          <w:szCs w:val="22"/>
          <w:highlight w:val="none"/>
          <w:u w:val="single"/>
          <w:lang w:val="en-US" w:eastAsia="zh-CN" w:bidi="ar-SA"/>
        </w:rPr>
        <w:t xml:space="preserve">丰县经济开发区污染物排放限值限量运维管理服务项目</w:t>
      </w:r>
      <w:r>
        <w:rPr>
          <w:rFonts w:hint="eastAsia" w:ascii="宋体" w:hAnsi="宋体" w:eastAsia="宋体" w:cs="宋体"/>
          <w:color w:val="auto"/>
          <w:sz w:val="24"/>
          <w:szCs w:val="22"/>
          <w:highlight w:val="none"/>
          <w:lang w:val="en-US" w:eastAsia="zh-CN" w:bidi="ar-SA"/>
        </w:rPr>
        <w:t xml:space="preserve">（项目编号：</w:t>
      </w:r>
      <w:r>
        <w:rPr>
          <w:rFonts w:hint="eastAsia" w:cs="宋体"/>
          <w:color w:val="auto"/>
          <w:sz w:val="24"/>
          <w:szCs w:val="22"/>
          <w:highlight w:val="none"/>
          <w:lang w:val="en-US" w:eastAsia="zh-CN" w:bidi="ar-SA"/>
        </w:rPr>
        <w:t xml:space="preserve">JSZC-320321-ZZXH-G2026-0003</w:t>
      </w:r>
      <w:r>
        <w:rPr>
          <w:rFonts w:hint="eastAsia" w:ascii="宋体" w:hAnsi="宋体" w:eastAsia="宋体" w:cs="宋体"/>
          <w:color w:val="auto"/>
          <w:sz w:val="24"/>
          <w:szCs w:val="22"/>
          <w:highlight w:val="none"/>
          <w:lang w:val="en-US" w:eastAsia="zh-CN" w:bidi="ar-SA"/>
        </w:rPr>
        <w:t xml:space="preserve">）的投标活动，现郑重承诺如下：</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自2023年1月1日至今，我公司及我公司相关人员（包括但不限于法定代表人、高级管理人员、项目负责人、项目实施人员及其他员工）在从事环保相关工作（包括但不限于环境监测服务、监测设备运维、环境影响评价、环保工程建设及运维等）过程中，不存在任何违法犯罪记录；且未被生态环境部、中国环境监测总站、地方生态环境主管部门（含各级环保局及监测站）约谈、通报或处罚。</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上述我公司相关人员的身份认定，以违法行为发生时，该人员与我公司存在真实劳动法律关系为原则。认定依据包括但不限于：①我公司为其在该时间段内连续缴纳社会保险的官方记录；② 经人社部门备案的劳动合同及对应的工资银行流水；</w:t>
      </w:r>
      <w:r>
        <w:rPr>
          <w:rFonts w:hint="eastAsia" w:ascii="宋体" w:hAnsi="宋体" w:eastAsia="宋体" w:cs="宋体"/>
          <w:color w:val="auto"/>
          <w:sz w:val="24"/>
          <w:szCs w:val="22"/>
          <w:highlight w:val="none"/>
          <w:lang w:val="en-US" w:eastAsia="zh-CN" w:bidi="ar-SA"/>
        </w:rPr>
        <w:fldChar w:fldCharType="begin"/>
      </w:r>
      <w:r>
        <w:rPr>
          <w:rFonts w:hint="eastAsia" w:ascii="宋体" w:hAnsi="宋体" w:eastAsia="宋体" w:cs="宋体"/>
          <w:color w:val="auto"/>
          <w:sz w:val="24"/>
          <w:szCs w:val="22"/>
          <w:highlight w:val="none"/>
          <w:lang w:val="en-US" w:eastAsia="zh-CN" w:bidi="ar-SA"/>
        </w:rPr>
        <w:instrText xml:space="preserve"> = 3 \* GB3 \* MERGEFORMAT </w:instrText>
      </w:r>
      <w:r>
        <w:rPr>
          <w:rFonts w:hint="eastAsia" w:ascii="宋体" w:hAnsi="宋体" w:eastAsia="宋体" w:cs="宋体"/>
          <w:color w:val="auto"/>
          <w:sz w:val="24"/>
          <w:szCs w:val="22"/>
          <w:highlight w:val="none"/>
          <w:lang w:val="en-US" w:eastAsia="zh-CN" w:bidi="ar-SA"/>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4"/>
          <w:szCs w:val="22"/>
          <w:highlight w:val="none"/>
          <w:lang w:val="en-US" w:eastAsia="zh-CN" w:bidi="ar-SA"/>
        </w:rPr>
        <w:fldChar w:fldCharType="end"/>
      </w:r>
      <w:r>
        <w:rPr>
          <w:rFonts w:hint="eastAsia" w:ascii="宋体" w:hAnsi="宋体" w:eastAsia="宋体" w:cs="宋体"/>
          <w:color w:val="auto"/>
          <w:sz w:val="24"/>
          <w:szCs w:val="22"/>
          <w:highlight w:val="none"/>
          <w:lang w:val="en-US" w:eastAsia="zh-CN" w:bidi="ar-SA"/>
        </w:rPr>
        <w:t xml:space="preserve">其他能证明存在真实劳动法律关系的资料等。</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我公司对以上承诺内容的真实性、完整性、有效性承担全部法律责任。如上述声明存在虚假或隐瞒，我公司自愿依法接受取消投标资格、中标资格、解除合同及追究相应法律责任等处理。</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特此承诺。</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1017"/>
        <w:numPr>
          <w:ilvl w:val="0"/>
          <w:numId w:val="0"/>
        </w:numPr>
        <w:ind w:firstLine="4320"/>
        <w:jc w:val="both"/>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1017"/>
        <w:rPr>
          <w:rFonts w:hint="eastAsia" w:ascii="宋体" w:hAnsi="宋体" w:eastAsia="宋体" w:cs="宋体"/>
        </w:rPr>
      </w:pPr>
      <w:r>
        <w:rPr>
          <w:rFonts w:hint="eastAsia" w:ascii="宋体" w:hAnsi="宋体" w:eastAsia="宋体" w:cs="宋体"/>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个工作日内，甲方应支付小写￥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b/>
          <w:bCs/>
          <w:color w:val="auto"/>
          <w:szCs w:val="22"/>
          <w:highlight w:val="none"/>
        </w:rPr>
      </w:pPr>
      <w:r>
        <w:rPr>
          <w:rFonts w:hint="eastAsia" w:ascii="宋体" w:hAnsi="宋体" w:eastAsia="宋体" w:cs="宋体"/>
          <w:color w:val="auto"/>
          <w:highlight w:val="none"/>
          <w:lang w:val="en-US" w:eastAsia="zh-CN"/>
        </w:rPr>
        <w:t xml:space="preserve">十</w:t>
      </w:r>
      <w:r>
        <w:rPr>
          <w:rFonts w:hint="eastAsia" w:ascii="宋体" w:hAnsi="宋体" w:cs="宋体"/>
          <w:color w:val="auto"/>
          <w:highlight w:val="none"/>
          <w:lang w:val="en-US" w:eastAsia="zh-CN"/>
        </w:rPr>
        <w:t xml:space="preserve">一</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0" w:firstLine="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项目名称：</w:t>
      </w:r>
      <w:r>
        <w:rPr>
          <w:rFonts w:hint="eastAsia" w:ascii="宋体" w:hAnsi="宋体" w:eastAsia="宋体" w:cs="宋体"/>
          <w:color w:val="auto"/>
          <w:szCs w:val="22"/>
          <w:highlight w:val="none"/>
          <w:lang w:eastAsia="zh-CN"/>
        </w:rPr>
        <w:t xml:space="preserve">丰县经济开发区污染物排放限值限量运维管理服务项目</w:t>
      </w:r>
      <w:r/>
    </w:p>
    <w:p>
      <w:pPr>
        <w:ind w:left="0" w:firstLine="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widowControl w:val="off"/>
        <w:rPr>
          <w:rFonts w:hint="eastAsia" w:ascii="宋体" w:hAnsi="宋体" w:eastAsia="宋体" w:cs="宋体"/>
          <w:highlight w:val="none"/>
          <w:lang w:val="en-US" w:eastAsia="zh-CN" w:bidi="ar-SA"/>
        </w:rPr>
      </w:pPr>
      <w:r>
        <w:rPr>
          <w:rFonts w:hint="eastAsia" w:ascii="宋体" w:hAnsi="宋体" w:eastAsia="宋体" w:cs="宋体"/>
          <w:highlight w:val="none"/>
          <w:lang w:val="en-US" w:eastAsia="zh-CN" w:bidi="ar-SA"/>
        </w:rPr>
      </w:r>
      <w:r/>
    </w:p>
    <w:p>
      <w:pPr>
        <w:pStyle w:val="1028"/>
        <w:ind w:firstLine="1446"/>
        <w:jc w:val="both"/>
        <w:rPr>
          <w:rFonts w:hint="eastAsia" w:ascii="宋体" w:hAnsi="宋体" w:eastAsia="宋体" w:cs="宋体"/>
          <w:b/>
          <w:bCs/>
          <w:sz w:val="24"/>
          <w:szCs w:val="32"/>
          <w:highlight w:val="none"/>
          <w:lang w:eastAsia="zh-CN"/>
        </w:rPr>
      </w:pPr>
      <w:r>
        <w:rPr>
          <w:rFonts w:hint="eastAsia" w:ascii="宋体" w:hAnsi="宋体" w:eastAsia="宋体" w:cs="宋体"/>
          <w:b/>
          <w:bCs/>
          <w:sz w:val="24"/>
          <w:szCs w:val="32"/>
          <w:highlight w:val="none"/>
          <w:lang w:eastAsia="zh-CN"/>
        </w:rPr>
        <w:t xml:space="preserve">格式</w:t>
      </w:r>
      <w:r>
        <w:rPr>
          <w:rFonts w:hint="eastAsia" w:ascii="宋体" w:hAnsi="宋体" w:eastAsia="宋体" w:cs="宋体"/>
          <w:b/>
          <w:bCs/>
          <w:sz w:val="24"/>
          <w:szCs w:val="32"/>
          <w:highlight w:val="none"/>
          <w:lang w:val="en-US" w:eastAsia="zh-CN"/>
        </w:rPr>
        <w:t xml:space="preserve">自</w:t>
      </w:r>
      <w:r>
        <w:rPr>
          <w:rFonts w:hint="eastAsia" w:ascii="宋体" w:hAnsi="宋体" w:eastAsia="宋体" w:cs="宋体"/>
          <w:b/>
          <w:bCs/>
          <w:sz w:val="24"/>
          <w:szCs w:val="32"/>
          <w:highlight w:val="none"/>
          <w:lang w:eastAsia="zh-CN"/>
        </w:rPr>
        <w:t xml:space="preserve">拟。</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3" w:bottom="1440" w:left="1803"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mbria Math">
    <w:panose1 w:val="02040503050406030204"/>
  </w:font>
  <w:font w:name="Calibri Light">
    <w:panose1 w:val="020F0302020204030204"/>
  </w:font>
  <w:font w:name="新宋体">
    <w:panose1 w:val="02010609030101010101"/>
  </w:font>
  <w:font w:name="Symbol">
    <w:panose1 w:val="05050102010706020507"/>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left"/>
      <w:keepLines/>
      <w:keepNext/>
      <w:spacing w:before="0" w:after="0" w:line="240" w:lineRule="auto"/>
      <w:widowControl w:val="off"/>
      <w:rPr>
        <w:rFonts w:ascii="Calibri" w:hAnsi="Calibri" w:eastAsia="Arial" w:cs="Times New Roman"/>
        <w:b/>
        <w:bCs/>
        <w:sz w:val="18"/>
        <w:szCs w:val="18"/>
        <w:lang w:val="en-US" w:eastAsia="zh-CN" w:bidi="ar-SA"/>
      </w:rPr>
      <w:outlineLvl w:val="0"/>
    </w:pP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2037715</wp:posOffset>
              </wp:positionH>
              <wp:positionV relativeFrom="paragraph">
                <wp:posOffset>753745</wp:posOffset>
              </wp:positionV>
              <wp:extent cx="1828800" cy="107505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spcFirstLastPara="1" vertOverflow="clip" horzOverflow="clip" lIns="0" tIns="0" rIns="0" bIns="0">
                      <a:noAutofit/>
                    </wps:bodyPr>
                  </wps:wsp>
                </a:graphicData>
              </a:graphic>
            </wp:anchor>
          </w:drawing>
        </mc:Choice>
        <mc:Fallback>
          <w:pict>
            <v:shape id="shape 7" o:spid="_x0000_s7" o:spt="1" type="#_x0000_t1" style="position:absolute;z-index:251659264;o:allowoverlap:true;o:allowincell:false;mso-position-horizontal-relative:margin;margin-left:160.4pt;mso-position-horizontal:absolute;mso-position-vertical-relative:text;margin-top:59.3pt;mso-position-vertical:absolute;width:144.0pt;height:84.6pt;mso-wrap-distance-left:9.0pt;mso-wrap-distance-top:0.0pt;mso-wrap-distance-right:9.0pt;mso-wrap-distance-bottom:0.0pt;visibility:visible;" filled="f" stroked="f">
              <v:textbox inset="0,0,0,0">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4"/>
  </w:num>
  <w:num w:numId="4">
    <w:abstractNumId w:val="1"/>
  </w:num>
  <w:num w:numId="5">
    <w:abstractNumId w:val="3"/>
  </w:num>
  <w:num w:numId="6">
    <w:abstractNumId w:val="6"/>
  </w:num>
  <w:num w:numId="7">
    <w:abstractNumId w:val="5"/>
  </w:num>
  <w:num w:numId="8">
    <w:abstractNumId w:val="11"/>
  </w:num>
  <w:num w:numId="9">
    <w:abstractNumId w:val="10"/>
  </w:num>
  <w:num w:numId="10">
    <w:abstractNumId w:val="7"/>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link w:val="1273"/>
    <w:uiPriority w:val="0"/>
    <w:qFormat/>
    <w:pPr>
      <w:ind w:firstLine="480"/>
      <w:jc w:val="both"/>
      <w:spacing w:line="440" w:lineRule="exact"/>
    </w:pPr>
    <w:rPr>
      <w:rFonts w:hint="default" w:ascii="Times New Roman" w:hAnsi="Times New Roman" w:eastAsia="宋体" w:cs="Times New Roman"/>
      <w:sz w:val="24"/>
      <w:lang w:val="en-US" w:eastAsia="zh-CN" w:bidi="ar-SA"/>
    </w:rPr>
  </w:style>
  <w:style w:type="paragraph" w:styleId="970">
    <w:name w:val="Heading 1"/>
    <w:basedOn w:val="969"/>
    <w:next w:val="969"/>
    <w:link w:val="1024"/>
    <w:uiPriority w:val="0"/>
    <w:qFormat/>
    <w:pPr>
      <w:ind w:left="0"/>
      <w:jc w:val="center"/>
      <w:keepLines/>
      <w:keepNext/>
      <w:spacing w:line="360" w:lineRule="auto"/>
      <w:outlineLvl w:val="0"/>
    </w:pPr>
    <w:rPr>
      <w:rFonts w:ascii="Arial" w:hAnsi="Arial" w:eastAsia="宋体" w:cs="Arial"/>
      <w:b/>
      <w:sz w:val="32"/>
      <w:szCs w:val="40"/>
    </w:rPr>
  </w:style>
  <w:style w:type="paragraph" w:styleId="971">
    <w:name w:val="Heading 2"/>
    <w:basedOn w:val="969"/>
    <w:next w:val="969"/>
    <w:link w:val="123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972">
    <w:name w:val="Heading 3"/>
    <w:basedOn w:val="969"/>
    <w:next w:val="969"/>
    <w:link w:val="1237"/>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973">
    <w:name w:val="Heading 4"/>
    <w:next w:val="969"/>
    <w:link w:val="1238"/>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974">
    <w:name w:val="Heading 5"/>
    <w:basedOn w:val="969"/>
    <w:next w:val="969"/>
    <w:link w:val="1239"/>
    <w:uiPriority w:val="0"/>
    <w:semiHidden/>
    <w:unhideWhenUsed/>
    <w:qFormat/>
    <w:pPr>
      <w:keepLines/>
      <w:keepNext/>
      <w:spacing w:before="80" w:after="80" w:line="372" w:lineRule="auto"/>
      <w:outlineLvl w:val="4"/>
    </w:pPr>
    <w:rPr>
      <w:b/>
    </w:rPr>
  </w:style>
  <w:style w:type="paragraph" w:styleId="975">
    <w:name w:val="Heading 6"/>
    <w:basedOn w:val="969"/>
    <w:next w:val="969"/>
    <w:link w:val="1112"/>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114"/>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115"/>
    <w:uiPriority w:val="9"/>
    <w:unhideWhenUsed/>
    <w:qFormat/>
    <w:pPr>
      <w:keepLines/>
      <w:keepNext/>
      <w:spacing w:before="320" w:after="200"/>
      <w:outlineLvl w:val="8"/>
    </w:pPr>
    <w:rPr>
      <w:rFonts w:ascii="Arial" w:hAnsi="Arial" w:eastAsia="Arial" w:cs="Arial"/>
      <w:i/>
      <w:iCs/>
      <w:sz w:val="21"/>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toc 7"/>
    <w:basedOn w:val="969"/>
    <w:next w:val="969"/>
    <w:uiPriority w:val="39"/>
    <w:unhideWhenUsed/>
    <w:qFormat/>
    <w:pPr>
      <w:ind w:left="1701"/>
      <w:spacing w:after="57"/>
    </w:pPr>
  </w:style>
  <w:style w:type="paragraph" w:styleId="982">
    <w:name w:val="table of authorities"/>
    <w:basedOn w:val="969"/>
    <w:next w:val="969"/>
    <w:uiPriority w:val="0"/>
    <w:qFormat/>
    <w:pPr>
      <w:ind w:left="420"/>
    </w:pPr>
    <w:rPr>
      <w:szCs w:val="22"/>
    </w:rPr>
  </w:style>
  <w:style w:type="paragraph" w:styleId="983">
    <w:name w:val="Normal Indent"/>
    <w:basedOn w:val="969"/>
    <w:next w:val="969"/>
    <w:uiPriority w:val="0"/>
    <w:qFormat/>
    <w:pPr>
      <w:ind w:firstLine="420"/>
    </w:pPr>
  </w:style>
  <w:style w:type="paragraph" w:styleId="984">
    <w:name w:val="Caption"/>
    <w:basedOn w:val="969"/>
    <w:next w:val="9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5">
    <w:name w:val="annotation text"/>
    <w:basedOn w:val="969"/>
    <w:link w:val="1254"/>
    <w:uiPriority w:val="99"/>
    <w:semiHidden/>
    <w:unhideWhenUsed/>
    <w:qFormat/>
  </w:style>
  <w:style w:type="paragraph" w:styleId="986">
    <w:name w:val="Body Text"/>
    <w:basedOn w:val="969"/>
    <w:next w:val="969"/>
    <w:uiPriority w:val="0"/>
    <w:qFormat/>
    <w:pPr>
      <w:spacing w:after="120"/>
      <w:tabs>
        <w:tab w:val="left" w:pos="420" w:leader="none"/>
      </w:tabs>
    </w:pPr>
  </w:style>
  <w:style w:type="paragraph" w:styleId="987">
    <w:name w:val="Body Text Indent"/>
    <w:basedOn w:val="969"/>
    <w:uiPriority w:val="99"/>
    <w:unhideWhenUsed/>
    <w:qFormat/>
    <w:pPr>
      <w:ind w:firstLine="425"/>
      <w:spacing w:line="360" w:lineRule="auto"/>
    </w:pPr>
  </w:style>
  <w:style w:type="paragraph" w:styleId="988">
    <w:name w:val="List Number 3"/>
    <w:basedOn w:val="970"/>
    <w:next w:val="969"/>
    <w:uiPriority w:val="99"/>
    <w:semiHidden/>
    <w:unhideWhenUsed/>
    <w:qFormat/>
    <w:pPr>
      <w:numPr>
        <w:ilvl w:val="0"/>
        <w:numId w:val="1"/>
      </w:numPr>
    </w:pPr>
  </w:style>
  <w:style w:type="paragraph" w:styleId="989">
    <w:name w:val="Block Text"/>
    <w:basedOn w:val="969"/>
    <w:uiPriority w:val="0"/>
    <w:qFormat/>
    <w:pPr>
      <w:ind w:left="1440"/>
      <w:spacing w:after="120"/>
    </w:pPr>
  </w:style>
  <w:style w:type="paragraph" w:styleId="990">
    <w:name w:val="toc 5"/>
    <w:basedOn w:val="969"/>
    <w:next w:val="969"/>
    <w:uiPriority w:val="39"/>
    <w:unhideWhenUsed/>
    <w:qFormat/>
    <w:pPr>
      <w:ind w:left="1134"/>
      <w:spacing w:after="57"/>
    </w:pPr>
  </w:style>
  <w:style w:type="paragraph" w:styleId="991">
    <w:name w:val="toc 3"/>
    <w:basedOn w:val="969"/>
    <w:next w:val="969"/>
    <w:uiPriority w:val="39"/>
    <w:unhideWhenUsed/>
    <w:qFormat/>
    <w:pPr>
      <w:ind w:left="567"/>
      <w:spacing w:after="57"/>
    </w:pPr>
  </w:style>
  <w:style w:type="paragraph" w:styleId="992">
    <w:name w:val="Plain Text"/>
    <w:basedOn w:val="969"/>
    <w:uiPriority w:val="99"/>
    <w:qFormat/>
    <w:pPr>
      <w:ind w:firstLine="200"/>
      <w:spacing w:line="360" w:lineRule="auto"/>
    </w:pPr>
    <w:rPr>
      <w:rFonts w:ascii="宋体" w:hAnsi="Courier New"/>
      <w:sz w:val="21"/>
      <w:szCs w:val="21"/>
    </w:rPr>
  </w:style>
  <w:style w:type="paragraph" w:styleId="993">
    <w:name w:val="List Bullet 5"/>
    <w:basedOn w:val="970"/>
    <w:next w:val="994"/>
    <w:uiPriority w:val="99"/>
    <w:semiHidden/>
    <w:unhideWhenUsed/>
    <w:qFormat/>
    <w:pPr>
      <w:numPr>
        <w:ilvl w:val="0"/>
        <w:numId w:val="2"/>
      </w:numPr>
    </w:pPr>
  </w:style>
  <w:style w:type="paragraph" w:styleId="994" w:customStyle="1">
    <w:name w:val="正文首行缩进1"/>
    <w:basedOn w:val="995"/>
    <w:next w:val="969"/>
    <w:uiPriority w:val="0"/>
    <w:qFormat/>
    <w:pPr>
      <w:ind w:firstLine="200"/>
      <w:spacing w:line="360" w:lineRule="auto"/>
    </w:pPr>
    <w:rPr>
      <w:rFonts w:ascii="仿宋_GB2312" w:eastAsia="仿宋_GB2312"/>
      <w:sz w:val="30"/>
      <w:szCs w:val="30"/>
    </w:rPr>
  </w:style>
  <w:style w:type="paragraph" w:styleId="995" w:customStyle="1">
    <w:name w:val="正文文本11"/>
    <w:basedOn w:val="996"/>
    <w:next w:val="969"/>
    <w:uiPriority w:val="0"/>
    <w:qFormat/>
    <w:pPr>
      <w:spacing w:after="120"/>
    </w:pPr>
  </w:style>
  <w:style w:type="paragraph" w:styleId="996"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toc 8"/>
    <w:basedOn w:val="969"/>
    <w:next w:val="969"/>
    <w:uiPriority w:val="39"/>
    <w:unhideWhenUsed/>
    <w:qFormat/>
    <w:pPr>
      <w:ind w:left="1984"/>
      <w:spacing w:after="57"/>
    </w:pPr>
  </w:style>
  <w:style w:type="paragraph" w:styleId="998">
    <w:name w:val="Body Text Indent 2"/>
    <w:basedOn w:val="969"/>
    <w:uiPriority w:val="0"/>
    <w:qFormat/>
    <w:pPr>
      <w:ind w:firstLine="540"/>
      <w:spacing w:line="360" w:lineRule="auto"/>
    </w:pPr>
    <w:rPr>
      <w:rFonts w:ascii="宋体" w:hAnsi="宋体"/>
    </w:rPr>
  </w:style>
  <w:style w:type="paragraph" w:styleId="999">
    <w:name w:val="endnote text"/>
    <w:basedOn w:val="969"/>
    <w:link w:val="1234"/>
    <w:uiPriority w:val="99"/>
    <w:semiHidden/>
    <w:unhideWhenUsed/>
    <w:qFormat/>
    <w:pPr>
      <w:spacing w:line="240" w:lineRule="auto"/>
    </w:pPr>
    <w:rPr>
      <w:sz w:val="20"/>
    </w:rPr>
  </w:style>
  <w:style w:type="paragraph" w:styleId="1000">
    <w:name w:val="Balloon Text"/>
    <w:basedOn w:val="969"/>
    <w:link w:val="1256"/>
    <w:uiPriority w:val="99"/>
    <w:semiHidden/>
    <w:unhideWhenUsed/>
    <w:qFormat/>
    <w:pPr>
      <w:spacing w:line="240" w:lineRule="auto"/>
    </w:pPr>
    <w:rPr>
      <w:sz w:val="18"/>
      <w:szCs w:val="18"/>
    </w:rPr>
  </w:style>
  <w:style w:type="paragraph" w:styleId="1001">
    <w:name w:val="Footer"/>
    <w:basedOn w:val="969"/>
    <w:link w:val="1126"/>
    <w:uiPriority w:val="99"/>
    <w:unhideWhenUsed/>
    <w:qFormat/>
    <w:pPr>
      <w:spacing w:line="240" w:lineRule="auto"/>
      <w:tabs>
        <w:tab w:val="center" w:pos="7143" w:leader="none"/>
        <w:tab w:val="right" w:pos="14287" w:leader="none"/>
      </w:tabs>
    </w:pPr>
  </w:style>
  <w:style w:type="paragraph" w:styleId="1002">
    <w:name w:val="envelope return"/>
    <w:basedOn w:val="969"/>
    <w:uiPriority w:val="99"/>
    <w:unhideWhenUsed/>
    <w:qFormat/>
    <w:rPr>
      <w:rFonts w:ascii="Arial" w:hAnsi="Arial"/>
    </w:rPr>
  </w:style>
  <w:style w:type="paragraph" w:styleId="1003">
    <w:name w:val="Header"/>
    <w:basedOn w:val="969"/>
    <w:link w:val="1124"/>
    <w:uiPriority w:val="99"/>
    <w:unhideWhenUsed/>
    <w:qFormat/>
    <w:pPr>
      <w:spacing w:line="240" w:lineRule="auto"/>
      <w:tabs>
        <w:tab w:val="center" w:pos="7143" w:leader="none"/>
        <w:tab w:val="right" w:pos="14287" w:leader="none"/>
      </w:tabs>
    </w:pPr>
  </w:style>
  <w:style w:type="paragraph" w:styleId="1004">
    <w:name w:val="toc 1"/>
    <w:basedOn w:val="969"/>
    <w:next w:val="969"/>
    <w:uiPriority w:val="0"/>
    <w:qFormat/>
  </w:style>
  <w:style w:type="paragraph" w:styleId="1005">
    <w:name w:val="toc 4"/>
    <w:basedOn w:val="969"/>
    <w:next w:val="969"/>
    <w:uiPriority w:val="39"/>
    <w:unhideWhenUsed/>
    <w:qFormat/>
    <w:pPr>
      <w:ind w:left="850"/>
      <w:spacing w:after="57"/>
    </w:pPr>
  </w:style>
  <w:style w:type="paragraph" w:styleId="1006">
    <w:name w:val="Subtitle"/>
    <w:basedOn w:val="969"/>
    <w:next w:val="969"/>
    <w:link w:val="1119"/>
    <w:uiPriority w:val="11"/>
    <w:qFormat/>
    <w:pPr>
      <w:spacing w:before="200" w:after="200"/>
    </w:pPr>
    <w:rPr>
      <w:szCs w:val="24"/>
    </w:rPr>
  </w:style>
  <w:style w:type="paragraph" w:styleId="1007">
    <w:name w:val="footnote text"/>
    <w:basedOn w:val="969"/>
    <w:uiPriority w:val="0"/>
    <w:qFormat/>
    <w:rPr>
      <w:sz w:val="18"/>
    </w:rPr>
  </w:style>
  <w:style w:type="paragraph" w:styleId="1008">
    <w:name w:val="toc 6"/>
    <w:basedOn w:val="969"/>
    <w:next w:val="969"/>
    <w:uiPriority w:val="39"/>
    <w:unhideWhenUsed/>
    <w:qFormat/>
    <w:pPr>
      <w:ind w:left="1417"/>
      <w:spacing w:after="57"/>
    </w:pPr>
  </w:style>
  <w:style w:type="paragraph" w:styleId="1009">
    <w:name w:val="Body Text Indent 3"/>
    <w:basedOn w:val="969"/>
    <w:uiPriority w:val="0"/>
    <w:qFormat/>
    <w:pPr>
      <w:ind w:firstLine="570"/>
      <w:spacing w:line="520" w:lineRule="exact"/>
    </w:pPr>
    <w:rPr>
      <w:rFonts w:ascii="宋体" w:hAnsi="宋体"/>
    </w:rPr>
  </w:style>
  <w:style w:type="paragraph" w:styleId="1010">
    <w:name w:val="table of figures"/>
    <w:basedOn w:val="969"/>
    <w:next w:val="969"/>
    <w:uiPriority w:val="99"/>
    <w:unhideWhenUsed/>
    <w:qFormat/>
  </w:style>
  <w:style w:type="paragraph" w:styleId="1011">
    <w:name w:val="toc 2"/>
    <w:basedOn w:val="969"/>
    <w:next w:val="969"/>
    <w:uiPriority w:val="39"/>
    <w:unhideWhenUsed/>
    <w:qFormat/>
    <w:pPr>
      <w:ind w:left="283"/>
      <w:spacing w:after="57"/>
    </w:pPr>
  </w:style>
  <w:style w:type="paragraph" w:styleId="1012">
    <w:name w:val="toc 9"/>
    <w:basedOn w:val="969"/>
    <w:next w:val="969"/>
    <w:uiPriority w:val="39"/>
    <w:unhideWhenUsed/>
    <w:qFormat/>
    <w:pPr>
      <w:ind w:left="2268"/>
      <w:spacing w:after="57"/>
    </w:pPr>
  </w:style>
  <w:style w:type="paragraph" w:styleId="1013">
    <w:name w:val="Normal (Web)"/>
    <w:basedOn w:val="969"/>
    <w:uiPriority w:val="99"/>
    <w:semiHidden/>
    <w:unhideWhenUsed/>
    <w:qFormat/>
    <w:rPr>
      <w:sz w:val="24"/>
    </w:rPr>
  </w:style>
  <w:style w:type="paragraph" w:styleId="1014">
    <w:name w:val="Title"/>
    <w:basedOn w:val="969"/>
    <w:next w:val="969"/>
    <w:link w:val="1118"/>
    <w:uiPriority w:val="10"/>
    <w:qFormat/>
    <w:pPr>
      <w:contextualSpacing/>
      <w:spacing w:before="300" w:after="200"/>
    </w:pPr>
    <w:rPr>
      <w:sz w:val="48"/>
      <w:szCs w:val="48"/>
    </w:rPr>
  </w:style>
  <w:style w:type="paragraph" w:styleId="1015">
    <w:name w:val="annotation subject"/>
    <w:basedOn w:val="985"/>
    <w:next w:val="985"/>
    <w:link w:val="1255"/>
    <w:uiPriority w:val="99"/>
    <w:semiHidden/>
    <w:unhideWhenUsed/>
    <w:qFormat/>
    <w:rPr>
      <w:b/>
      <w:bCs/>
    </w:rPr>
  </w:style>
  <w:style w:type="paragraph" w:styleId="1016">
    <w:name w:val="Body Text First Indent"/>
    <w:basedOn w:val="986"/>
    <w:next w:val="1008"/>
    <w:uiPriority w:val="0"/>
    <w:qFormat/>
    <w:pPr>
      <w:ind w:firstLine="420"/>
      <w:spacing w:after="0"/>
    </w:pPr>
    <w:rPr>
      <w:sz w:val="28"/>
      <w:szCs w:val="28"/>
    </w:rPr>
  </w:style>
  <w:style w:type="paragraph" w:styleId="1017">
    <w:name w:val="Body Text First Indent 2"/>
    <w:basedOn w:val="987"/>
    <w:uiPriority w:val="0"/>
    <w:qFormat/>
    <w:pPr>
      <w:ind w:firstLine="420"/>
    </w:pPr>
    <w:rPr>
      <w:rFonts w:ascii="宋体" w:hAnsi="宋体"/>
    </w:rPr>
  </w:style>
  <w:style w:type="table" w:styleId="1018">
    <w:name w:val="Table Grid"/>
    <w:basedOn w:val="9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79"/>
    <w:uiPriority w:val="0"/>
    <w:qFormat/>
    <w:rPr>
      <w:b/>
    </w:rPr>
  </w:style>
  <w:style w:type="character" w:styleId="1020">
    <w:name w:val="endnote reference"/>
    <w:basedOn w:val="979"/>
    <w:uiPriority w:val="99"/>
    <w:semiHidden/>
    <w:unhideWhenUsed/>
    <w:qFormat/>
    <w:rPr>
      <w:vertAlign w:val="superscript"/>
    </w:rPr>
  </w:style>
  <w:style w:type="character" w:styleId="1021">
    <w:name w:val="Hyperlink"/>
    <w:uiPriority w:val="99"/>
    <w:unhideWhenUsed/>
    <w:qFormat/>
    <w:rPr>
      <w:color w:val="0563c1" w:themeColor="hyperlink"/>
      <w:u w:val="single"/>
      <w14:textFill>
        <w14:solidFill>
          <w14:schemeClr w14:val="hlink"/>
        </w14:solidFill>
      </w14:textFill>
    </w:rPr>
  </w:style>
  <w:style w:type="character" w:styleId="1022">
    <w:name w:val="annotation reference"/>
    <w:basedOn w:val="979"/>
    <w:uiPriority w:val="99"/>
    <w:semiHidden/>
    <w:unhideWhenUsed/>
    <w:qFormat/>
    <w:rPr>
      <w:sz w:val="21"/>
      <w:szCs w:val="21"/>
    </w:rPr>
  </w:style>
  <w:style w:type="character" w:styleId="1023">
    <w:name w:val="footnote reference"/>
    <w:basedOn w:val="979"/>
    <w:uiPriority w:val="99"/>
    <w:unhideWhenUsed/>
    <w:qFormat/>
    <w:rPr>
      <w:vertAlign w:val="superscript"/>
    </w:rPr>
  </w:style>
  <w:style w:type="character" w:styleId="1024" w:customStyle="1">
    <w:name w:val="标题 1 字符"/>
    <w:link w:val="970"/>
    <w:uiPriority w:val="0"/>
    <w:qFormat/>
    <w:rPr>
      <w:rFonts w:ascii="Arial" w:hAnsi="Arial" w:eastAsia="宋体" w:cs="微软雅黑"/>
      <w:b/>
      <w:sz w:val="32"/>
      <w:szCs w:val="32"/>
      <w:lang w:bidi="ar-SA"/>
    </w:rPr>
  </w:style>
  <w:style w:type="paragraph" w:styleId="1025" w:customStyle="1">
    <w:name w:val="正文11"/>
    <w:next w:val="1026"/>
    <w:link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文本块1"/>
    <w:basedOn w:val="1025"/>
    <w:next w:val="1027"/>
    <w:uiPriority w:val="0"/>
    <w:qFormat/>
    <w:pPr>
      <w:ind w:left="567" w:right="454" w:firstLine="498"/>
      <w:jc w:val="left"/>
      <w:widowControl/>
    </w:pPr>
    <w:rPr>
      <w:rFonts w:ascii="仿宋_GB2312" w:eastAsia="仿宋_GB2312"/>
      <w:sz w:val="30"/>
      <w:szCs w:val="20"/>
    </w:rPr>
  </w:style>
  <w:style w:type="paragraph" w:styleId="1027" w:customStyle="1">
    <w:name w:val="标题 41"/>
    <w:basedOn w:val="1028"/>
    <w:next w:val="1025"/>
    <w:uiPriority w:val="0"/>
    <w:qFormat/>
    <w:pPr>
      <w:keepLines/>
      <w:keepNext/>
      <w:spacing w:line="360" w:lineRule="auto"/>
      <w:outlineLvl w:val="3"/>
    </w:pPr>
    <w:rPr>
      <w:rFonts w:ascii="Arial" w:hAnsi="Arial"/>
      <w:b/>
      <w:bCs/>
      <w:sz w:val="21"/>
      <w:szCs w:val="28"/>
    </w:rPr>
  </w:style>
  <w:style w:type="paragraph" w:styleId="1028" w:customStyle="1">
    <w:name w:val="正文1"/>
    <w:basedOn w:val="1025"/>
    <w:next w:val="1029"/>
    <w:uiPriority w:val="0"/>
    <w:qFormat/>
  </w:style>
  <w:style w:type="paragraph" w:styleId="1029" w:customStyle="1">
    <w:name w:val="正文文本1"/>
    <w:basedOn w:val="1030"/>
    <w:next w:val="994"/>
    <w:uiPriority w:val="0"/>
    <w:qFormat/>
    <w:pPr>
      <w:spacing w:after="120"/>
    </w:pPr>
  </w:style>
  <w:style w:type="paragraph" w:styleId="1030" w:customStyle="1">
    <w:name w:val="正文12"/>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脚注文本1"/>
    <w:basedOn w:val="1030"/>
    <w:next w:val="1032"/>
    <w:uiPriority w:val="0"/>
    <w:qFormat/>
    <w:pPr>
      <w:jc w:val="left"/>
    </w:pPr>
    <w:rPr>
      <w:rFonts w:ascii="宋体" w:eastAsia="Times New Roman"/>
      <w:sz w:val="18"/>
      <w:szCs w:val="18"/>
    </w:rPr>
  </w:style>
  <w:style w:type="paragraph" w:styleId="1032" w:customStyle="1">
    <w:name w:val="索引 51"/>
    <w:basedOn w:val="1033"/>
    <w:next w:val="1028"/>
    <w:uiPriority w:val="0"/>
    <w:qFormat/>
    <w:pPr>
      <w:ind w:left="798"/>
      <w:jc w:val="left"/>
    </w:pPr>
    <w:rPr>
      <w:rFonts w:ascii="Calibri" w:hAnsi="Calibri"/>
    </w:rPr>
  </w:style>
  <w:style w:type="paragraph" w:styleId="1033" w:customStyle="1">
    <w:name w:val="正文11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文本缩进1"/>
    <w:basedOn w:val="1025"/>
    <w:next w:val="1035"/>
    <w:uiPriority w:val="0"/>
    <w:qFormat/>
    <w:pPr>
      <w:ind w:left="420"/>
      <w:spacing w:after="120"/>
    </w:pPr>
  </w:style>
  <w:style w:type="paragraph" w:styleId="1035" w:customStyle="1">
    <w:name w:val="寄信人地址1"/>
    <w:basedOn w:val="1025"/>
    <w:uiPriority w:val="0"/>
    <w:qFormat/>
    <w:rPr>
      <w:rFonts w:ascii="Arial" w:hAnsi="Arial"/>
    </w:rPr>
  </w:style>
  <w:style w:type="paragraph" w:styleId="1036" w:customStyle="1">
    <w:name w:val="正文缩进1"/>
    <w:basedOn w:val="969"/>
    <w:uiPriority w:val="0"/>
    <w:qFormat/>
    <w:pPr>
      <w:ind w:firstLine="420"/>
    </w:pPr>
    <w:rPr>
      <w:sz w:val="20"/>
    </w:rPr>
  </w:style>
  <w:style w:type="paragraph" w:styleId="1037" w:customStyle="1">
    <w:name w:val="一级条标题"/>
    <w:basedOn w:val="1038"/>
    <w:next w:val="103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9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1028"/>
    <w:next w:val="969"/>
    <w:uiPriority w:val="0"/>
    <w:qFormat/>
    <w:pPr>
      <w:ind w:firstLine="200"/>
      <w:widowControl/>
    </w:pPr>
    <w:rPr>
      <w:rFonts w:ascii="宋体"/>
      <w:sz w:val="20"/>
      <w:szCs w:val="20"/>
    </w:rPr>
  </w:style>
  <w:style w:type="paragraph" w:styleId="10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1" w:customStyle="1">
    <w:name w:val="DAS正文"/>
    <w:basedOn w:val="969"/>
    <w:uiPriority w:val="0"/>
    <w:qFormat/>
    <w:pPr>
      <w:ind w:right="181" w:firstLine="480"/>
      <w:spacing w:line="360" w:lineRule="auto"/>
    </w:pPr>
    <w:rPr>
      <w:rFonts w:ascii="Verdana" w:hAnsi="Verdana"/>
    </w:rPr>
  </w:style>
  <w:style w:type="paragraph" w:styleId="1042" w:customStyle="1">
    <w:name w:val="目录 111"/>
    <w:next w:val="969"/>
    <w:uiPriority w:val="39"/>
    <w:unhideWhenUsed/>
    <w:qFormat/>
    <w:pPr>
      <w:ind w:firstLine="723"/>
      <w:jc w:val="left"/>
      <w:spacing w:after="100" w:line="259" w:lineRule="auto"/>
      <w:widowControl/>
    </w:pPr>
    <w:rPr>
      <w:rFonts w:ascii="Calibri" w:hAnsi="Calibri" w:eastAsia="宋体" w:cs="Times New Roman"/>
      <w:sz w:val="22"/>
      <w:szCs w:val="22"/>
      <w:lang w:val="en-US" w:eastAsia="zh-CN" w:bidi="ar-SA"/>
    </w:rPr>
  </w:style>
  <w:style w:type="paragraph" w:styleId="1043" w:customStyle="1">
    <w:name w:val="标题 11"/>
    <w:basedOn w:val="1028"/>
    <w:next w:val="1028"/>
    <w:uiPriority w:val="0"/>
    <w:qFormat/>
    <w:pPr>
      <w:jc w:val="center"/>
      <w:keepLines/>
      <w:keepNext/>
      <w:spacing w:line="578" w:lineRule="auto"/>
      <w:outlineLvl w:val="0"/>
    </w:pPr>
    <w:rPr>
      <w:rFonts w:eastAsia="新宋体"/>
      <w:b/>
      <w:bCs/>
      <w:sz w:val="30"/>
      <w:szCs w:val="44"/>
    </w:rPr>
  </w:style>
  <w:style w:type="paragraph" w:styleId="1044" w:customStyle="1">
    <w:name w:val="目录 11"/>
    <w:basedOn w:val="996"/>
    <w:next w:val="1030"/>
    <w:uiPriority w:val="0"/>
    <w:qFormat/>
    <w:pPr>
      <w:jc w:val="left"/>
      <w:spacing w:after="100" w:line="259" w:lineRule="auto"/>
      <w:widowControl/>
    </w:pPr>
    <w:rPr>
      <w:rFonts w:ascii="Calibri" w:hAnsi="Calibri"/>
      <w:sz w:val="22"/>
      <w:szCs w:val="22"/>
    </w:rPr>
  </w:style>
  <w:style w:type="paragraph" w:styleId="1045" w:customStyle="1">
    <w:name w:val="正文首行缩进 211"/>
    <w:basedOn w:val="1046"/>
    <w:next w:val="996"/>
    <w:uiPriority w:val="0"/>
    <w:qFormat/>
    <w:pPr>
      <w:ind w:firstLine="420"/>
    </w:pPr>
    <w:rPr>
      <w:sz w:val="24"/>
    </w:rPr>
  </w:style>
  <w:style w:type="paragraph" w:styleId="1046" w:customStyle="1">
    <w:name w:val="正文文本缩进11"/>
    <w:basedOn w:val="996"/>
    <w:next w:val="1047"/>
    <w:uiPriority w:val="0"/>
    <w:qFormat/>
    <w:pPr>
      <w:ind w:firstLine="538"/>
    </w:pPr>
    <w:rPr>
      <w:sz w:val="28"/>
    </w:rPr>
  </w:style>
  <w:style w:type="paragraph" w:styleId="1047" w:customStyle="1">
    <w:name w:val="寄信人地址11"/>
    <w:basedOn w:val="996"/>
    <w:uiPriority w:val="0"/>
    <w:qFormat/>
    <w:rPr>
      <w:rFonts w:ascii="Arial" w:hAnsi="Arial"/>
    </w:rPr>
  </w:style>
  <w:style w:type="paragraph" w:styleId="1048" w:customStyle="1">
    <w:name w:val="标题 21"/>
    <w:basedOn w:val="1030"/>
    <w:next w:val="1030"/>
    <w:uiPriority w:val="0"/>
    <w:qFormat/>
    <w:pPr>
      <w:ind w:firstLine="600"/>
      <w:spacing w:line="520" w:lineRule="exact"/>
      <w:outlineLvl w:val="1"/>
    </w:pPr>
    <w:rPr>
      <w:rFonts w:ascii="黑体" w:hAnsi="黑体" w:eastAsia="黑体"/>
      <w:sz w:val="30"/>
      <w:szCs w:val="30"/>
    </w:rPr>
  </w:style>
  <w:style w:type="paragraph" w:styleId="1049" w:customStyle="1">
    <w:name w:val="首行缩进"/>
    <w:basedOn w:val="1028"/>
    <w:uiPriority w:val="0"/>
    <w:qFormat/>
    <w:pPr>
      <w:ind w:left="0" w:firstLine="200"/>
      <w:jc w:val="both"/>
      <w:widowControl w:val="off"/>
    </w:pPr>
    <w:rPr>
      <w:rFonts w:ascii="Times New Roman"/>
    </w:rPr>
  </w:style>
  <w:style w:type="table" w:styleId="1050" w:customStyle="1">
    <w:name w:val="Plain Table 1"/>
    <w:basedOn w:val="9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Plain Table 2"/>
    <w:basedOn w:val="9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3"/>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Plain Table 4"/>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Plain Table 5"/>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Grid Table 1 Light"/>
    <w:basedOn w:val="9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2"/>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7" w:customStyle="1">
    <w:name w:val="Grid Table 3"/>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basedOn w:val="9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5 Dark"/>
    <w:basedOn w:val="9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6 Colorful"/>
    <w:basedOn w:val="9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7 Colorful"/>
    <w:basedOn w:val="9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1 Light"/>
    <w:basedOn w:val="9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2"/>
    <w:basedOn w:val="9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4" w:customStyle="1">
    <w:name w:val="List Table 3"/>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5 Dark"/>
    <w:basedOn w:val="9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w:basedOn w:val="9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7 Colorful"/>
    <w:basedOn w:val="9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样式 正文文本缩进 + 首行缩进:  2 字符 行距: 1.5 倍行距"/>
    <w:basedOn w:val="1046"/>
    <w:uiPriority w:val="0"/>
    <w:qFormat/>
    <w:pPr>
      <w:ind w:firstLine="645"/>
      <w:spacing w:before="156" w:after="120"/>
    </w:pPr>
    <w:rPr>
      <w:rFonts w:ascii="Calibri" w:hAnsi="Calibri"/>
    </w:rPr>
  </w:style>
  <w:style w:type="paragraph" w:styleId="1071" w:customStyle="1">
    <w:name w:val="标题 311"/>
    <w:basedOn w:val="1033"/>
    <w:next w:val="1033"/>
    <w:uiPriority w:val="0"/>
    <w:qFormat/>
    <w:pPr>
      <w:keepLines/>
      <w:keepNext/>
      <w:spacing w:before="320" w:after="200"/>
      <w:outlineLvl w:val="2"/>
    </w:pPr>
    <w:rPr>
      <w:rFonts w:ascii="Arial" w:hAnsi="Arial" w:eastAsia="Arial"/>
      <w:sz w:val="30"/>
      <w:szCs w:val="30"/>
    </w:rPr>
  </w:style>
  <w:style w:type="paragraph" w:styleId="1072" w:customStyle="1">
    <w:name w:val="正文文本111"/>
    <w:basedOn w:val="1030"/>
    <w:next w:val="1030"/>
    <w:uiPriority w:val="0"/>
    <w:qFormat/>
  </w:style>
  <w:style w:type="character" w:styleId="1073" w:customStyle="1">
    <w:name w:val="Heading 6 Char"/>
    <w:basedOn w:val="979"/>
    <w:uiPriority w:val="9"/>
    <w:qFormat/>
    <w:rPr>
      <w:rFonts w:ascii="Arial" w:hAnsi="Arial" w:eastAsia="Arial" w:cs="Arial"/>
      <w:b/>
      <w:bCs/>
      <w:sz w:val="22"/>
      <w:szCs w:val="22"/>
    </w:rPr>
  </w:style>
  <w:style w:type="character" w:styleId="1074" w:customStyle="1">
    <w:name w:val="Heading 7 Char"/>
    <w:basedOn w:val="979"/>
    <w:uiPriority w:val="9"/>
    <w:qFormat/>
    <w:rPr>
      <w:rFonts w:ascii="Arial" w:hAnsi="Arial" w:eastAsia="Arial" w:cs="Arial"/>
      <w:b/>
      <w:bCs/>
      <w:i/>
      <w:iCs/>
      <w:sz w:val="22"/>
      <w:szCs w:val="22"/>
    </w:rPr>
  </w:style>
  <w:style w:type="character" w:styleId="1075" w:customStyle="1">
    <w:name w:val="Heading 8 Char"/>
    <w:basedOn w:val="979"/>
    <w:uiPriority w:val="9"/>
    <w:qFormat/>
    <w:rPr>
      <w:rFonts w:ascii="Arial" w:hAnsi="Arial" w:eastAsia="Arial" w:cs="Arial"/>
      <w:i/>
      <w:iCs/>
      <w:sz w:val="22"/>
      <w:szCs w:val="22"/>
    </w:rPr>
  </w:style>
  <w:style w:type="character" w:styleId="1076" w:customStyle="1">
    <w:name w:val="Heading 9 Char"/>
    <w:basedOn w:val="979"/>
    <w:uiPriority w:val="9"/>
    <w:qFormat/>
    <w:rPr>
      <w:rFonts w:ascii="Arial" w:hAnsi="Arial" w:eastAsia="Arial" w:cs="Arial"/>
      <w:i/>
      <w:iCs/>
      <w:sz w:val="21"/>
      <w:szCs w:val="21"/>
    </w:rPr>
  </w:style>
  <w:style w:type="character" w:styleId="1077" w:customStyle="1">
    <w:name w:val="Title Char"/>
    <w:basedOn w:val="979"/>
    <w:uiPriority w:val="10"/>
    <w:qFormat/>
    <w:rPr>
      <w:sz w:val="48"/>
      <w:szCs w:val="48"/>
    </w:rPr>
  </w:style>
  <w:style w:type="character" w:styleId="1078" w:customStyle="1">
    <w:name w:val="Subtitle Char"/>
    <w:basedOn w:val="979"/>
    <w:uiPriority w:val="11"/>
    <w:qFormat/>
    <w:rPr>
      <w:sz w:val="24"/>
      <w:szCs w:val="24"/>
    </w:rPr>
  </w:style>
  <w:style w:type="character" w:styleId="1079" w:customStyle="1">
    <w:name w:val="Quote Char"/>
    <w:uiPriority w:val="29"/>
    <w:qFormat/>
    <w:rPr>
      <w:i/>
    </w:rPr>
  </w:style>
  <w:style w:type="character" w:styleId="1080" w:customStyle="1">
    <w:name w:val="Intense Quote Char"/>
    <w:uiPriority w:val="30"/>
    <w:qFormat/>
    <w:rPr>
      <w:i/>
    </w:rPr>
  </w:style>
  <w:style w:type="character" w:styleId="1081" w:customStyle="1">
    <w:name w:val="Header Char"/>
    <w:basedOn w:val="979"/>
    <w:uiPriority w:val="99"/>
    <w:qFormat/>
  </w:style>
  <w:style w:type="character" w:styleId="1082" w:customStyle="1">
    <w:name w:val="Caption Char"/>
    <w:uiPriority w:val="99"/>
    <w:qFormat/>
  </w:style>
  <w:style w:type="table" w:styleId="1083" w:customStyle="1">
    <w:name w:val="无格式表格 1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无格式表格 21"/>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无格式表格 3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无格式表格 4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无格式表格 5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网格表 1 浅色1"/>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网格表 2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0" w:customStyle="1">
    <w:name w:val="网格表 3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网格表 41"/>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2" w:customStyle="1">
    <w:name w:val="网格表 5 深色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网格表 6 彩色1"/>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网格表 7 彩色1"/>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清单表 1 浅色1"/>
    <w:basedOn w:val="9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6" w:customStyle="1">
    <w:name w:val="清单表 21"/>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7" w:customStyle="1">
    <w:name w:val="清单表 3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清单表 4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清单表 5 深色1"/>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清单表 6 彩色1"/>
    <w:basedOn w:val="9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清单表 7 彩色1"/>
    <w:basedOn w:val="9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2" w:customStyle="1">
    <w:name w:val="Endnote Text Char"/>
    <w:uiPriority w:val="99"/>
    <w:qFormat/>
    <w:rPr>
      <w:sz w:val="20"/>
    </w:rPr>
  </w:style>
  <w:style w:type="paragraph" w:styleId="1103" w:customStyle="1">
    <w:name w:val="TOC 标题1"/>
    <w:uiPriority w:val="39"/>
    <w:unhideWhenUsed/>
    <w:qFormat/>
    <w:rPr>
      <w:rFonts w:hint="default" w:ascii="Times New Roman" w:hAnsi="Times New Roman" w:eastAsia="宋体" w:cs="Times New Roman"/>
      <w:lang w:val="en-US" w:eastAsia="zh-CN" w:bidi="ar-SA"/>
    </w:rPr>
  </w:style>
  <w:style w:type="paragraph" w:styleId="1104" w:customStyle="1">
    <w:name w:val="标题 211"/>
    <w:basedOn w:val="1025"/>
    <w:next w:val="1105"/>
    <w:uiPriority w:val="0"/>
    <w:qFormat/>
    <w:pPr>
      <w:keepLines/>
      <w:keepNext/>
      <w:spacing w:before="260" w:after="260" w:line="416" w:lineRule="auto"/>
      <w:outlineLvl w:val="1"/>
    </w:pPr>
    <w:rPr>
      <w:rFonts w:ascii="Calibri Light" w:hAnsi="Calibri Light"/>
      <w:bCs/>
      <w:sz w:val="32"/>
      <w:szCs w:val="32"/>
    </w:rPr>
  </w:style>
  <w:style w:type="paragraph" w:styleId="1105" w:customStyle="1">
    <w:name w:val="正文1111"/>
    <w:next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缩进11"/>
    <w:basedOn w:val="1030"/>
    <w:uiPriority w:val="0"/>
    <w:qFormat/>
    <w:pPr>
      <w:ind w:firstLine="420"/>
    </w:pPr>
  </w:style>
  <w:style w:type="character" w:styleId="1107" w:customStyle="1">
    <w:name w:val="Heading 1 Char"/>
    <w:basedOn w:val="979"/>
    <w:uiPriority w:val="9"/>
    <w:qFormat/>
    <w:rPr>
      <w:rFonts w:ascii="Arial" w:hAnsi="Arial" w:eastAsia="Arial" w:cs="Arial"/>
      <w:sz w:val="40"/>
      <w:szCs w:val="40"/>
    </w:rPr>
  </w:style>
  <w:style w:type="character" w:styleId="1108" w:customStyle="1">
    <w:name w:val="Heading 2 Char"/>
    <w:basedOn w:val="979"/>
    <w:uiPriority w:val="9"/>
    <w:qFormat/>
    <w:rPr>
      <w:rFonts w:ascii="Arial" w:hAnsi="Arial" w:eastAsia="Arial" w:cs="Arial"/>
      <w:sz w:val="34"/>
    </w:rPr>
  </w:style>
  <w:style w:type="character" w:styleId="1109" w:customStyle="1">
    <w:name w:val="Heading 3 Char"/>
    <w:basedOn w:val="979"/>
    <w:uiPriority w:val="9"/>
    <w:qFormat/>
    <w:rPr>
      <w:rFonts w:ascii="Arial" w:hAnsi="Arial" w:eastAsia="Arial" w:cs="Arial"/>
      <w:sz w:val="30"/>
      <w:szCs w:val="30"/>
    </w:rPr>
  </w:style>
  <w:style w:type="character" w:styleId="1110" w:customStyle="1">
    <w:name w:val="Heading 4 Char"/>
    <w:basedOn w:val="979"/>
    <w:uiPriority w:val="9"/>
    <w:qFormat/>
    <w:rPr>
      <w:rFonts w:ascii="Arial" w:hAnsi="Arial" w:eastAsia="Arial" w:cs="Arial"/>
      <w:b/>
      <w:bCs/>
      <w:sz w:val="26"/>
      <w:szCs w:val="26"/>
    </w:rPr>
  </w:style>
  <w:style w:type="character" w:styleId="1111" w:customStyle="1">
    <w:name w:val="Heading 5 Char"/>
    <w:basedOn w:val="979"/>
    <w:uiPriority w:val="9"/>
    <w:qFormat/>
    <w:rPr>
      <w:rFonts w:ascii="Arial" w:hAnsi="Arial" w:eastAsia="Arial" w:cs="Arial"/>
      <w:b/>
      <w:bCs/>
      <w:sz w:val="24"/>
      <w:szCs w:val="24"/>
    </w:rPr>
  </w:style>
  <w:style w:type="character" w:styleId="1112" w:customStyle="1">
    <w:name w:val="标题 6 字符"/>
    <w:basedOn w:val="979"/>
    <w:link w:val="975"/>
    <w:uiPriority w:val="9"/>
    <w:qFormat/>
    <w:rPr>
      <w:rFonts w:ascii="Arial" w:hAnsi="Arial" w:eastAsia="Arial" w:cs="Arial"/>
      <w:b/>
      <w:bCs/>
      <w:sz w:val="22"/>
      <w:szCs w:val="22"/>
    </w:rPr>
  </w:style>
  <w:style w:type="character" w:styleId="1113" w:customStyle="1">
    <w:name w:val="标题 7 字符"/>
    <w:basedOn w:val="979"/>
    <w:link w:val="976"/>
    <w:uiPriority w:val="9"/>
    <w:qFormat/>
    <w:rPr>
      <w:rFonts w:ascii="Arial" w:hAnsi="Arial" w:eastAsia="Arial" w:cs="Arial"/>
      <w:b/>
      <w:bCs/>
      <w:i/>
      <w:iCs/>
      <w:sz w:val="22"/>
      <w:szCs w:val="22"/>
    </w:rPr>
  </w:style>
  <w:style w:type="character" w:styleId="1114" w:customStyle="1">
    <w:name w:val="标题 8 字符"/>
    <w:basedOn w:val="979"/>
    <w:link w:val="977"/>
    <w:uiPriority w:val="9"/>
    <w:qFormat/>
    <w:rPr>
      <w:rFonts w:ascii="Arial" w:hAnsi="Arial" w:eastAsia="Arial" w:cs="Arial"/>
      <w:i/>
      <w:iCs/>
      <w:sz w:val="22"/>
      <w:szCs w:val="22"/>
    </w:rPr>
  </w:style>
  <w:style w:type="character" w:styleId="1115" w:customStyle="1">
    <w:name w:val="标题 9 字符"/>
    <w:basedOn w:val="979"/>
    <w:link w:val="978"/>
    <w:uiPriority w:val="9"/>
    <w:qFormat/>
    <w:rPr>
      <w:rFonts w:ascii="Arial" w:hAnsi="Arial" w:eastAsia="Arial" w:cs="Arial"/>
      <w:i/>
      <w:iCs/>
      <w:sz w:val="21"/>
      <w:szCs w:val="21"/>
    </w:rPr>
  </w:style>
  <w:style w:type="paragraph" w:styleId="1116">
    <w:name w:val="List Paragraph"/>
    <w:basedOn w:val="969"/>
    <w:uiPriority w:val="34"/>
    <w:qFormat/>
    <w:pPr>
      <w:contextualSpacing/>
      <w:ind w:left="720"/>
    </w:pPr>
  </w:style>
  <w:style w:type="paragraph" w:styleId="1117">
    <w:name w:val="No Spacing"/>
    <w:uiPriority w:val="1"/>
    <w:qFormat/>
    <w:rPr>
      <w:rFonts w:hint="default" w:ascii="Times New Roman" w:hAnsi="Times New Roman" w:eastAsia="宋体" w:cs="Times New Roman"/>
      <w:lang w:val="en-US" w:eastAsia="zh-CN" w:bidi="ar-SA"/>
    </w:rPr>
  </w:style>
  <w:style w:type="character" w:styleId="1118" w:customStyle="1">
    <w:name w:val="标题 字符"/>
    <w:basedOn w:val="979"/>
    <w:link w:val="1014"/>
    <w:uiPriority w:val="10"/>
    <w:qFormat/>
    <w:rPr>
      <w:sz w:val="48"/>
      <w:szCs w:val="48"/>
    </w:rPr>
  </w:style>
  <w:style w:type="character" w:styleId="1119" w:customStyle="1">
    <w:name w:val="副标题 字符"/>
    <w:basedOn w:val="979"/>
    <w:link w:val="1006"/>
    <w:uiPriority w:val="11"/>
    <w:qFormat/>
    <w:rPr>
      <w:sz w:val="24"/>
      <w:szCs w:val="24"/>
    </w:rPr>
  </w:style>
  <w:style w:type="paragraph" w:styleId="1120">
    <w:name w:val="Quote"/>
    <w:basedOn w:val="969"/>
    <w:next w:val="969"/>
    <w:link w:val="1121"/>
    <w:uiPriority w:val="29"/>
    <w:qFormat/>
    <w:pPr>
      <w:ind w:left="720" w:right="720"/>
    </w:pPr>
    <w:rPr>
      <w:i/>
    </w:rPr>
  </w:style>
  <w:style w:type="character" w:styleId="1121" w:customStyle="1">
    <w:name w:val="引用 字符"/>
    <w:link w:val="1120"/>
    <w:uiPriority w:val="29"/>
    <w:qFormat/>
    <w:rPr>
      <w:i/>
    </w:rPr>
  </w:style>
  <w:style w:type="paragraph" w:styleId="1122">
    <w:name w:val="Intense Quote"/>
    <w:basedOn w:val="969"/>
    <w:next w:val="969"/>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明显引用 字符"/>
    <w:link w:val="1122"/>
    <w:uiPriority w:val="30"/>
    <w:qFormat/>
    <w:rPr>
      <w:i/>
    </w:rPr>
  </w:style>
  <w:style w:type="character" w:styleId="1124" w:customStyle="1">
    <w:name w:val="页眉 字符"/>
    <w:basedOn w:val="979"/>
    <w:link w:val="1003"/>
    <w:uiPriority w:val="99"/>
    <w:qFormat/>
  </w:style>
  <w:style w:type="character" w:styleId="1125" w:customStyle="1">
    <w:name w:val="Footer Char"/>
    <w:basedOn w:val="979"/>
    <w:uiPriority w:val="99"/>
    <w:qFormat/>
  </w:style>
  <w:style w:type="character" w:styleId="1126" w:customStyle="1">
    <w:name w:val="页脚 字符"/>
    <w:link w:val="1001"/>
    <w:uiPriority w:val="99"/>
    <w:qFormat/>
  </w:style>
  <w:style w:type="table" w:styleId="1127" w:customStyle="1">
    <w:name w:val="Table Grid Light"/>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8" w:customStyle="1">
    <w:name w:val="Grid Table 1 Light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34" w:customStyle="1">
    <w:name w:val="Grid Table 2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35" w:customStyle="1">
    <w:name w:val="Grid Table 2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6" w:customStyle="1">
    <w:name w:val="Grid Table 2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7" w:customStyle="1">
    <w:name w:val="Grid Table 2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38" w:customStyle="1">
    <w:name w:val="Grid Table 2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9" w:customStyle="1">
    <w:name w:val="Grid Table 2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40" w:customStyle="1">
    <w:name w:val="Grid Table 3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4 - Accent 1"/>
    <w:basedOn w:val="9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47" w:customStyle="1">
    <w:name w:val="Grid Table 4 - Accent 2"/>
    <w:basedOn w:val="9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48" w:customStyle="1">
    <w:name w:val="Grid Table 4 - Accent 3"/>
    <w:basedOn w:val="9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9" w:customStyle="1">
    <w:name w:val="Grid Table 4 - Accent 4"/>
    <w:basedOn w:val="9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50" w:customStyle="1">
    <w:name w:val="Grid Table 4 - Accent 5"/>
    <w:basedOn w:val="9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51" w:customStyle="1">
    <w:name w:val="Grid Table 4 - Accent 6"/>
    <w:basedOn w:val="9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2" w:customStyle="1">
    <w:name w:val="Grid Table 5 Dark- Accent 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3" w:customStyle="1">
    <w:name w:val="Grid Table 5 Dark - Accent 2"/>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4" w:customStyle="1">
    <w:name w:val="Grid Table 5 Dark - Accent 3"/>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5" w:customStyle="1">
    <w:name w:val="Grid Table 5 Dark- Accent 4"/>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6" w:customStyle="1">
    <w:name w:val="Grid Table 5 Dark - Accent 5"/>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7" w:customStyle="1">
    <w:name w:val="Grid Table 5 Dark - Accent 6"/>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8" w:customStyle="1">
    <w:name w:val="Grid Table 6 Colorful - Accent 1"/>
    <w:basedOn w:val="9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59" w:customStyle="1">
    <w:name w:val="Grid Table 6 Colorful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60" w:customStyle="1">
    <w:name w:val="Grid Table 6 Colorful - Accent 3"/>
    <w:basedOn w:val="9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61" w:customStyle="1">
    <w:name w:val="Grid Table 6 Colorful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2" w:customStyle="1">
    <w:name w:val="Grid Table 6 Colorful - Accent 5"/>
    <w:basedOn w:val="9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3" w:customStyle="1">
    <w:name w:val="Grid Table 6 Colorful - Accent 6"/>
    <w:basedOn w:val="9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4" w:customStyle="1">
    <w:name w:val="Grid Table 7 Colorful - Accent 1"/>
    <w:basedOn w:val="9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basedOn w:val="9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basedOn w:val="9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basedOn w:val="9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basedOn w:val="9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basedOn w:val="9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 Accent 1"/>
    <w:basedOn w:val="9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basedOn w:val="9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basedOn w:val="9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basedOn w:val="9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basedOn w:val="9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basedOn w:val="9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6" w:customStyle="1">
    <w:name w:val="List Table 2 - Accent 1"/>
    <w:basedOn w:val="9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7" w:customStyle="1">
    <w:name w:val="List Table 2 - Accent 2"/>
    <w:basedOn w:val="9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8" w:customStyle="1">
    <w:name w:val="List Table 2 - Accent 3"/>
    <w:basedOn w:val="9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9" w:customStyle="1">
    <w:name w:val="List Table 2 - Accent 4"/>
    <w:basedOn w:val="9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80" w:customStyle="1">
    <w:name w:val="List Table 2 - Accent 5"/>
    <w:basedOn w:val="9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1" w:customStyle="1">
    <w:name w:val="List Table 2 - Accent 6"/>
    <w:basedOn w:val="9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2" w:customStyle="1">
    <w:name w:val="List Table 3 - Accent 1"/>
    <w:basedOn w:val="9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3" w:customStyle="1">
    <w:name w:val="List Table 3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84" w:customStyle="1">
    <w:name w:val="List Table 3 - Accent 3"/>
    <w:basedOn w:val="9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5" w:customStyle="1">
    <w:name w:val="List Table 3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86" w:customStyle="1">
    <w:name w:val="List Table 3 - Accent 5"/>
    <w:basedOn w:val="9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87" w:customStyle="1">
    <w:name w:val="List Table 3 - Accent 6"/>
    <w:basedOn w:val="9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8" w:customStyle="1">
    <w:name w:val="List Table 4 - Accent 1"/>
    <w:basedOn w:val="9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9" w:customStyle="1">
    <w:name w:val="List Table 4 - Accent 2"/>
    <w:basedOn w:val="9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0" w:customStyle="1">
    <w:name w:val="List Table 4 - Accent 3"/>
    <w:basedOn w:val="9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1" w:customStyle="1">
    <w:name w:val="List Table 4 - Accent 4"/>
    <w:basedOn w:val="9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2" w:customStyle="1">
    <w:name w:val="List Table 4 - Accent 5"/>
    <w:basedOn w:val="9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93" w:customStyle="1">
    <w:name w:val="List Table 4 - Accent 6"/>
    <w:basedOn w:val="9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4" w:customStyle="1">
    <w:name w:val="List Table 5 Dark - Accent 1"/>
    <w:basedOn w:val="9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2"/>
    <w:basedOn w:val="9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3"/>
    <w:basedOn w:val="9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4"/>
    <w:basedOn w:val="9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5"/>
    <w:basedOn w:val="9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6"/>
    <w:basedOn w:val="9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6 Colorful - Accent 1"/>
    <w:basedOn w:val="9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01" w:customStyle="1">
    <w:name w:val="List Table 6 Colorful - Accent 2"/>
    <w:basedOn w:val="9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02" w:customStyle="1">
    <w:name w:val="List Table 6 Colorful - Accent 3"/>
    <w:basedOn w:val="9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03" w:customStyle="1">
    <w:name w:val="List Table 6 Colorful - Accent 4"/>
    <w:basedOn w:val="9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04" w:customStyle="1">
    <w:name w:val="List Table 6 Colorful - Accent 5"/>
    <w:basedOn w:val="9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05" w:customStyle="1">
    <w:name w:val="List Table 6 Colorful - Accent 6"/>
    <w:basedOn w:val="9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06" w:customStyle="1">
    <w:name w:val="List Table 7 Colorful - Accent 1"/>
    <w:basedOn w:val="9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basedOn w:val="9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basedOn w:val="9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basedOn w:val="9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basedOn w:val="9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basedOn w:val="9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2" w:customStyle="1">
    <w:name w:val="Lined - Accent"/>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14" w:customStyle="1">
    <w:name w:val="Lined - Accent 2"/>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5" w:customStyle="1">
    <w:name w:val="Lined - Accent 3"/>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6" w:customStyle="1">
    <w:name w:val="Lined - Accent 4"/>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7" w:customStyle="1">
    <w:name w:val="Lined - Accent 5"/>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8" w:customStyle="1">
    <w:name w:val="Lined - Accent 6"/>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9" w:customStyle="1">
    <w:name w:val="Bordered &amp; Lined - Accent"/>
    <w:basedOn w:val="9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basedOn w:val="9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1" w:customStyle="1">
    <w:name w:val="Bordered &amp; Lined - Accent 2"/>
    <w:basedOn w:val="9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2" w:customStyle="1">
    <w:name w:val="Bordered &amp; Lined - Accent 3"/>
    <w:basedOn w:val="9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3" w:customStyle="1">
    <w:name w:val="Bordered &amp; Lined - Accent 4"/>
    <w:basedOn w:val="9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24" w:customStyle="1">
    <w:name w:val="Bordered &amp; Lined - Accent 5"/>
    <w:basedOn w:val="9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5" w:customStyle="1">
    <w:name w:val="Bordered &amp; Lined - Accent 6"/>
    <w:basedOn w:val="9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6" w:customStyle="1">
    <w:name w:val="Bordered"/>
    <w:basedOn w:val="9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8" w:customStyle="1">
    <w:name w:val="Bordered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29" w:customStyle="1">
    <w:name w:val="Bordered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0" w:customStyle="1">
    <w:name w:val="Bordered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31" w:customStyle="1">
    <w:name w:val="Bordered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32" w:customStyle="1">
    <w:name w:val="Bordered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3" w:customStyle="1">
    <w:name w:val="Footnote Text Char"/>
    <w:uiPriority w:val="99"/>
    <w:qFormat/>
    <w:rPr>
      <w:sz w:val="18"/>
    </w:rPr>
  </w:style>
  <w:style w:type="character" w:styleId="1234" w:customStyle="1">
    <w:name w:val="尾注文本 字符"/>
    <w:link w:val="999"/>
    <w:uiPriority w:val="99"/>
    <w:qFormat/>
    <w:rPr>
      <w:sz w:val="20"/>
    </w:rPr>
  </w:style>
  <w:style w:type="paragraph" w:styleId="1235" w:customStyle="1">
    <w:name w:val="TOC 标题11"/>
    <w:uiPriority w:val="39"/>
    <w:unhideWhenUsed/>
    <w:qFormat/>
    <w:rPr>
      <w:rFonts w:hint="default" w:ascii="Times New Roman" w:hAnsi="Times New Roman" w:eastAsia="宋体" w:cs="Times New Roman"/>
      <w:lang w:val="en-US" w:eastAsia="zh-CN" w:bidi="ar-SA"/>
    </w:rPr>
  </w:style>
  <w:style w:type="character" w:styleId="1236" w:customStyle="1">
    <w:name w:val="标题 2 字符"/>
    <w:link w:val="971"/>
    <w:uiPriority w:val="9"/>
    <w:qFormat/>
    <w:rPr>
      <w:rFonts w:ascii="Arial" w:hAnsi="Arial" w:eastAsia="宋体" w:cs="Times New Roman"/>
      <w:b/>
      <w:bCs/>
      <w:sz w:val="21"/>
      <w:szCs w:val="21"/>
      <w:lang w:bidi="ar-SA"/>
    </w:rPr>
  </w:style>
  <w:style w:type="character" w:styleId="1237" w:customStyle="1">
    <w:name w:val="标题 3 字符"/>
    <w:link w:val="972"/>
    <w:uiPriority w:val="0"/>
    <w:qFormat/>
    <w:rPr>
      <w:rFonts w:ascii="Arial" w:hAnsi="Arial" w:eastAsia="宋体" w:cstheme="minorBidi"/>
      <w:b/>
      <w:sz w:val="28"/>
      <w:szCs w:val="22"/>
      <w:lang w:val="en-US" w:eastAsia="en-US" w:bidi="ar-SA"/>
    </w:rPr>
  </w:style>
  <w:style w:type="character" w:styleId="1238" w:customStyle="1">
    <w:name w:val="标题 4 字符"/>
    <w:link w:val="973"/>
    <w:uiPriority w:val="0"/>
    <w:qFormat/>
    <w:rPr>
      <w:rFonts w:ascii="Arial" w:hAnsi="Arial" w:eastAsia="宋体"/>
      <w:b/>
      <w:sz w:val="24"/>
      <w:szCs w:val="20"/>
      <w:lang w:val="zh-CN"/>
    </w:rPr>
  </w:style>
  <w:style w:type="character" w:styleId="1239" w:customStyle="1">
    <w:name w:val="标题 5 字符"/>
    <w:link w:val="974"/>
    <w:uiPriority w:val="0"/>
    <w:qFormat/>
    <w:rPr>
      <w:rFonts w:eastAsia="宋体"/>
      <w:b/>
      <w:sz w:val="24"/>
    </w:rPr>
  </w:style>
  <w:style w:type="paragraph" w:styleId="1240" w:customStyle="1">
    <w:name w:val="正文首行缩进 21"/>
    <w:basedOn w:val="1034"/>
    <w:next w:val="1033"/>
    <w:uiPriority w:val="0"/>
    <w:qFormat/>
    <w:pPr>
      <w:ind w:left="0" w:firstLine="420"/>
      <w:spacing w:after="0" w:line="360" w:lineRule="auto"/>
    </w:pPr>
    <w:rPr>
      <w:rFonts w:ascii="宋体" w:hAnsi="宋体"/>
    </w:rPr>
  </w:style>
  <w:style w:type="paragraph" w:styleId="1241" w:customStyle="1">
    <w:name w:val="PlainText1"/>
    <w:basedOn w:val="969"/>
    <w:uiPriority w:val="0"/>
    <w:qFormat/>
    <w:rPr>
      <w:rFonts w:ascii="宋体" w:hAnsi="Courier New"/>
    </w:rPr>
  </w:style>
  <w:style w:type="paragraph" w:styleId="1242" w:customStyle="1">
    <w:name w:val="UserStyle_0"/>
    <w:next w:val="969"/>
    <w:uiPriority w:val="0"/>
    <w:qFormat/>
    <w:rPr>
      <w:rFonts w:hint="default" w:ascii="Times New Roman" w:hAnsi="Times New Roman" w:eastAsia="宋体" w:cs="Times New Roman"/>
      <w:color w:val="000000"/>
      <w:sz w:val="24"/>
      <w:szCs w:val="24"/>
      <w:lang w:val="en-US" w:eastAsia="zh-CN" w:bidi="ar-SA"/>
    </w:rPr>
  </w:style>
  <w:style w:type="paragraph" w:styleId="1243" w:customStyle="1">
    <w:name w:val="日期1"/>
    <w:basedOn w:val="1028"/>
    <w:next w:val="1028"/>
    <w:uiPriority w:val="0"/>
    <w:qFormat/>
    <w:rPr>
      <w:rFonts w:eastAsia="仿宋_GB2312"/>
      <w:sz w:val="28"/>
      <w:szCs w:val="20"/>
    </w:rPr>
  </w:style>
  <w:style w:type="paragraph" w:styleId="1244" w:customStyle="1">
    <w:name w:val="普通(网站)11"/>
    <w:basedOn w:val="1028"/>
    <w:uiPriority w:val="0"/>
    <w:qFormat/>
    <w:pPr>
      <w:jc w:val="left"/>
      <w:spacing w:before="100" w:beforeAutospacing="1" w:after="100" w:afterAutospacing="1"/>
      <w:widowControl/>
    </w:pPr>
    <w:rPr>
      <w:rFonts w:ascii="宋体" w:hAnsi="宋体"/>
      <w:sz w:val="24"/>
    </w:rPr>
  </w:style>
  <w:style w:type="paragraph" w:styleId="1245"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46" w:customStyle="1">
    <w:name w:val="页脚1"/>
    <w:basedOn w:val="1028"/>
    <w:uiPriority w:val="0"/>
    <w:qFormat/>
    <w:pPr>
      <w:jc w:val="left"/>
      <w:tabs>
        <w:tab w:val="center" w:pos="4153" w:leader="none"/>
        <w:tab w:val="right" w:pos="8306" w:leader="none"/>
      </w:tabs>
    </w:pPr>
    <w:rPr>
      <w:sz w:val="18"/>
      <w:szCs w:val="18"/>
    </w:rPr>
  </w:style>
  <w:style w:type="character" w:styleId="1247" w:customStyle="1">
    <w:name w:val="页码1"/>
    <w:uiPriority w:val="0"/>
    <w:qFormat/>
  </w:style>
  <w:style w:type="paragraph" w:styleId="1248" w:customStyle="1">
    <w:name w:val="纯文本1"/>
    <w:basedOn w:val="1033"/>
    <w:uiPriority w:val="0"/>
    <w:qFormat/>
    <w:rPr>
      <w:rFonts w:ascii="宋体" w:hAnsi="Courier New"/>
      <w:szCs w:val="21"/>
    </w:rPr>
  </w:style>
  <w:style w:type="character" w:styleId="1249" w:customStyle="1">
    <w:name w:val="16"/>
    <w:basedOn w:val="1250"/>
    <w:uiPriority w:val="0"/>
    <w:qFormat/>
    <w:rPr>
      <w:rFonts w:hint="default" w:ascii="Times New Roman" w:hAnsi="Times New Roman" w:eastAsia="宋体" w:cs="Times New Roman"/>
      <w:sz w:val="21"/>
      <w:szCs w:val="24"/>
      <w:lang w:val="en-US" w:eastAsia="zh-CN" w:bidi="ar-SA"/>
    </w:rPr>
  </w:style>
  <w:style w:type="character" w:styleId="1250" w:customStyle="1">
    <w:name w:val="默认段落字体1"/>
    <w:uiPriority w:val="0"/>
    <w:semiHidden/>
    <w:qFormat/>
  </w:style>
  <w:style w:type="character" w:styleId="1251" w:customStyle="1">
    <w:name w:val="15"/>
    <w:basedOn w:val="979"/>
    <w:link w:val="1025"/>
    <w:uiPriority w:val="0"/>
    <w:qFormat/>
    <w:rPr>
      <w:rFonts w:ascii="仿宋" w:hAnsi="仿宋" w:eastAsia="仿宋"/>
      <w:color w:val="000000"/>
      <w:sz w:val="18"/>
      <w:szCs w:val="18"/>
    </w:rPr>
  </w:style>
  <w:style w:type="paragraph" w:styleId="1252" w:customStyle="1">
    <w:name w:val="文本块11"/>
    <w:basedOn w:val="1030"/>
    <w:uiPriority w:val="0"/>
    <w:qFormat/>
    <w:pPr>
      <w:ind w:left="420" w:right="33"/>
      <w:jc w:val="left"/>
    </w:pPr>
    <w:rPr>
      <w:sz w:val="24"/>
      <w:szCs w:val="20"/>
    </w:rPr>
  </w:style>
  <w:style w:type="paragraph" w:styleId="1253" w:customStyle="1">
    <w:name w:val="p0"/>
    <w:basedOn w:val="1025"/>
    <w:uiPriority w:val="0"/>
    <w:qFormat/>
    <w:pPr>
      <w:widowControl/>
    </w:pPr>
    <w:rPr>
      <w:szCs w:val="21"/>
    </w:rPr>
  </w:style>
  <w:style w:type="character" w:styleId="1254" w:customStyle="1">
    <w:name w:val="批注文字 字符"/>
    <w:basedOn w:val="979"/>
    <w:link w:val="985"/>
    <w:uiPriority w:val="99"/>
    <w:semiHidden/>
    <w:qFormat/>
    <w:rPr>
      <w:rFonts w:ascii="Times New Roman" w:hAnsi="Times New Roman" w:eastAsia="宋体" w:cs="Times New Roman"/>
      <w:sz w:val="24"/>
    </w:rPr>
  </w:style>
  <w:style w:type="character" w:styleId="1255" w:customStyle="1">
    <w:name w:val="批注主题 字符"/>
    <w:basedOn w:val="1254"/>
    <w:link w:val="1015"/>
    <w:uiPriority w:val="99"/>
    <w:semiHidden/>
    <w:qFormat/>
    <w:rPr>
      <w:rFonts w:ascii="Times New Roman" w:hAnsi="Times New Roman" w:eastAsia="宋体" w:cs="Times New Roman"/>
      <w:b/>
      <w:bCs/>
      <w:sz w:val="24"/>
    </w:rPr>
  </w:style>
  <w:style w:type="character" w:styleId="1256" w:customStyle="1">
    <w:name w:val="批注框文本 字符"/>
    <w:basedOn w:val="979"/>
    <w:link w:val="1000"/>
    <w:uiPriority w:val="99"/>
    <w:semiHidden/>
    <w:qFormat/>
    <w:rPr>
      <w:rFonts w:ascii="Times New Roman" w:hAnsi="Times New Roman" w:eastAsia="宋体" w:cs="Times New Roman"/>
      <w:sz w:val="18"/>
      <w:szCs w:val="18"/>
    </w:rPr>
  </w:style>
  <w:style w:type="paragraph" w:styleId="1257" w:customStyle="1">
    <w:name w:val="Table Paragraph"/>
    <w:basedOn w:val="969"/>
    <w:uiPriority w:val="1"/>
    <w:qFormat/>
    <w:rPr>
      <w:rFonts w:ascii="宋体" w:hAnsi="宋体" w:cs="宋体"/>
      <w:lang w:val="zh-CN" w:bidi="zh-CN"/>
    </w:rPr>
  </w:style>
  <w:style w:type="character" w:styleId="1258" w:customStyle="1">
    <w:name w:val="font51"/>
    <w:basedOn w:val="979"/>
    <w:uiPriority w:val="0"/>
    <w:qFormat/>
    <w:rPr>
      <w:rFonts w:hint="eastAsia" w:ascii="宋体" w:hAnsi="宋体" w:eastAsia="宋体" w:cs="宋体"/>
      <w:b/>
      <w:bCs/>
      <w:color w:val="000000"/>
      <w:sz w:val="18"/>
      <w:szCs w:val="18"/>
      <w:u w:val="none"/>
    </w:rPr>
  </w:style>
  <w:style w:type="character" w:styleId="1259" w:customStyle="1">
    <w:name w:val="font31"/>
    <w:basedOn w:val="979"/>
    <w:uiPriority w:val="0"/>
    <w:qFormat/>
    <w:rPr>
      <w:rFonts w:hint="eastAsia" w:ascii="宋体" w:hAnsi="宋体" w:eastAsia="宋体" w:cs="宋体"/>
      <w:color w:val="000000"/>
      <w:sz w:val="22"/>
      <w:szCs w:val="22"/>
      <w:u w:val="single"/>
    </w:rPr>
  </w:style>
  <w:style w:type="paragraph" w:styleId="1260" w:customStyle="1">
    <w:name w:val="Body text|1"/>
    <w:basedOn w:val="969"/>
    <w:uiPriority w:val="0"/>
    <w:qFormat/>
    <w:pPr>
      <w:ind w:firstLine="400"/>
      <w:spacing w:after="220" w:line="408" w:lineRule="auto"/>
      <w:widowControl w:val="off"/>
    </w:pPr>
    <w:rPr>
      <w:rFonts w:ascii="宋体" w:hAnsi="宋体" w:cs="宋体"/>
      <w:sz w:val="30"/>
      <w:szCs w:val="30"/>
      <w:lang w:val="zh-TW" w:eastAsia="zh-TW" w:bidi="zh-TW"/>
    </w:rPr>
  </w:style>
  <w:style w:type="paragraph" w:styleId="1261" w:customStyle="1">
    <w:name w:val="普通正文"/>
    <w:basedOn w:val="969"/>
    <w:uiPriority w:val="0"/>
    <w:qFormat/>
    <w:pPr>
      <w:ind w:firstLine="480"/>
      <w:spacing w:before="120" w:after="120" w:line="360" w:lineRule="auto"/>
    </w:pPr>
    <w:rPr>
      <w:rFonts w:ascii="Arial" w:hAnsi="Arial"/>
      <w:szCs w:val="24"/>
    </w:rPr>
  </w:style>
  <w:style w:type="paragraph" w:styleId="1262" w:customStyle="1">
    <w:name w:val="_HT_正文"/>
    <w:basedOn w:val="969"/>
    <w:uiPriority w:val="0"/>
    <w:qFormat/>
    <w:pPr>
      <w:ind w:firstLine="200"/>
      <w:spacing w:line="360" w:lineRule="auto"/>
    </w:pPr>
  </w:style>
  <w:style w:type="paragraph" w:styleId="1263" w:customStyle="1">
    <w:name w:val="列出段落1"/>
    <w:basedOn w:val="969"/>
    <w:uiPriority w:val="0"/>
    <w:qFormat/>
    <w:pPr>
      <w:ind w:firstLine="420"/>
    </w:pPr>
    <w:rPr>
      <w:rFonts w:ascii="Calibri" w:hAnsi="Calibri"/>
      <w:szCs w:val="22"/>
    </w:rPr>
  </w:style>
  <w:style w:type="character" w:styleId="1264" w:customStyle="1">
    <w:name w:val="font11"/>
    <w:basedOn w:val="979"/>
    <w:uiPriority w:val="0"/>
    <w:qFormat/>
    <w:rPr>
      <w:rFonts w:hint="eastAsia" w:ascii="宋体" w:hAnsi="宋体" w:eastAsia="宋体" w:cs="宋体"/>
      <w:color w:val="000000"/>
      <w:sz w:val="24"/>
      <w:szCs w:val="24"/>
      <w:u w:val="none"/>
    </w:rPr>
  </w:style>
  <w:style w:type="paragraph" w:styleId="126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正  文"/>
    <w:basedOn w:val="969"/>
    <w:uiPriority w:val="99"/>
    <w:qFormat/>
    <w:pPr>
      <w:ind w:firstLine="200"/>
      <w:spacing w:line="360" w:lineRule="auto"/>
    </w:pPr>
    <w:rPr>
      <w:rFonts w:ascii="Calibri" w:hAnsi="Calibri"/>
    </w:rPr>
  </w:style>
  <w:style w:type="paragraph" w:styleId="1267" w:customStyle="1">
    <w:name w:val="Table Text"/>
    <w:basedOn w:val="969"/>
    <w:uiPriority w:val="0"/>
    <w:semiHidden/>
    <w:qFormat/>
    <w:rPr>
      <w:rFonts w:ascii="宋体" w:hAnsi="宋体" w:eastAsia="宋体" w:cs="宋体"/>
      <w:sz w:val="32"/>
      <w:szCs w:val="32"/>
      <w:lang w:val="en-US" w:eastAsia="en-US" w:bidi="ar-SA"/>
    </w:rPr>
  </w:style>
  <w:style w:type="table" w:styleId="1268" w:customStyle="1">
    <w:name w:val="Table Normal"/>
    <w:uiPriority w:val="0"/>
    <w:semiHidden/>
    <w:unhideWhenUsed/>
    <w:qFormat/>
    <w:tblPr>
      <w:tblCellMar>
        <w:left w:w="0" w:type="dxa"/>
        <w:top w:w="0" w:type="dxa"/>
        <w:right w:w="0" w:type="dxa"/>
        <w:bottom w:w="0" w:type="dxa"/>
      </w:tblCellMar>
    </w:tblPr>
  </w:style>
  <w:style w:type="table" w:styleId="1269" w:customStyle="1">
    <w:name w:val="网格型111"/>
    <w:uiPriority w:val="0"/>
    <w:qFormat/>
    <w:rPr>
      <w:lang w:val="en-US" w:eastAsia="zh-CN" w:bidi="ar-SA"/>
    </w:rPr>
    <w:tblPr/>
  </w:style>
  <w:style w:type="paragraph" w:styleId="1270"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character" w:styleId="1271" w:customStyle="1">
    <w:name w:val="NormalCharacter"/>
    <w:uiPriority w:val="0"/>
    <w:semiHidden/>
    <w:qFormat/>
  </w:style>
  <w:style w:type="paragraph" w:styleId="1272" w:customStyle="1">
    <w:name w:val="UserStyle_24"/>
    <w:basedOn w:val="969"/>
    <w:uiPriority w:val="0"/>
    <w:qFormat/>
    <w:pPr>
      <w:ind w:firstLine="200"/>
      <w:spacing w:line="360" w:lineRule="auto"/>
      <w:widowControl/>
    </w:pPr>
    <w:rPr>
      <w:rFonts w:ascii="Times New Roman" w:hAnsi="Times New Roman" w:cstheme="minorBidi"/>
      <w:sz w:val="24"/>
    </w:rPr>
  </w:style>
  <w:style w:type="character" w:styleId="1273" w:customStyle="1">
    <w:name w:val="默认段落字体11"/>
    <w:link w:val="969"/>
    <w:uiPriority w:val="0"/>
    <w:semiHidden/>
    <w:qFormat/>
    <w:rPr>
      <w:rFonts w:hint="default" w:ascii="Times New Roman" w:hAnsi="Times New Roman" w:eastAsia="宋体" w:cs="Times New Roman"/>
      <w:sz w:val="24"/>
      <w:lang w:val="en-US" w:eastAsia="zh-CN" w:bidi="ar-SA"/>
    </w:rPr>
  </w:style>
  <w:style w:type="paragraph" w:styleId="1274" w:customStyle="1">
    <w:name w:val="Heading 3_1"/>
    <w:basedOn w:val="969"/>
    <w:next w:val="969"/>
    <w:uiPriority w:val="0"/>
    <w:unhideWhenUsed/>
    <w:qFormat/>
    <w:pPr>
      <w:keepLines/>
      <w:keepNext/>
      <w:spacing w:before="260" w:after="260" w:line="416" w:lineRule="auto"/>
      <w:outlineLvl w:val="2"/>
    </w:pPr>
    <w:rPr>
      <w:b/>
      <w:bCs/>
      <w:sz w:val="32"/>
      <w:szCs w:val="32"/>
    </w:rPr>
  </w:style>
  <w:style w:type="table" w:styleId="1275" w:customStyle="1">
    <w:name w:val="网格型11"/>
    <w:basedOn w:val="1276"/>
    <w:uiPriority w:val="0"/>
    <w:qFormat/>
    <w:pPr>
      <w:jc w:val="both"/>
      <w:widowControl w:val="off"/>
    </w:pPr>
    <w:tblPr/>
  </w:style>
  <w:style w:type="table" w:styleId="1276" w:customStyle="1">
    <w:name w:val="普通表格1"/>
    <w:uiPriority w:val="0"/>
    <w:semiHidden/>
    <w:qFormat/>
    <w:tblPr/>
  </w:style>
  <w:style w:type="paragraph" w:styleId="1277" w:customStyle="1">
    <w:name w:val="列出段落"/>
    <w:basedOn w:val="969"/>
    <w:uiPriority w:val="0"/>
    <w:qFormat/>
    <w:pPr>
      <w:ind w:firstLine="420"/>
    </w:pPr>
    <w:rPr>
      <w:rFonts w:ascii="Calibri" w:hAnsi="Calibri"/>
      <w:szCs w:val="22"/>
    </w:rPr>
  </w:style>
  <w:style w:type="paragraph" w:styleId="1278" w:customStyle="1">
    <w:name w:val="正文！！！"/>
    <w:basedOn w:val="969"/>
    <w:uiPriority w:val="0"/>
    <w:qFormat/>
    <w:pPr>
      <w:ind w:firstLine="200"/>
      <w:spacing w:line="440" w:lineRule="exact"/>
    </w:pPr>
    <w:rPr>
      <w:rFonts w:asciiTheme="minorHAnsi" w:hAnsiTheme="minorHAnsi" w:eastAsiaTheme="minorEastAsia" w:cstheme="minorBidi"/>
      <w:color w:val="auto"/>
      <w:szCs w:val="24"/>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阚芳</cp:lastModifiedBy>
  <cp:revision>10</cp:revision>
  <dcterms:created xsi:type="dcterms:W3CDTF">2024-07-16T03:08:00Z</dcterms:created>
  <dcterms:modified xsi:type="dcterms:W3CDTF">2026-07-07T07:13:55Z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7347FB1358F44CC48A91AE05F9775739_13</vt:lpwstr>
  </property>
  <property fmtid="{D5CDD505-2E9C-101B-9397-08002B2CF9AE}" pid="4" name="KSOTemplateDocerSaveRecord">
    <vt:lpwstr>eyJoZGlkIjoiNjNkYjU5ZDkyMTI5YzU3OTViYWI1ZTcxNGFhZjU1ZTMiLCJ1c2VySWQiOiI3NjMzMDMyNTgifQ==</vt:lpwstr>
  </property>
</Properties>
</file>