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b/>
          <w:color w:val="000000"/>
          <w:spacing w:val="76"/>
          <w:sz w:val="24"/>
          <w:highlight w:val="none"/>
        </w:rPr>
      </w:pPr>
      <w:r>
        <w:rPr>
          <w:rFonts w:hint="eastAsia" w:ascii="宋体" w:hAnsi="宋体" w:cs="宋体"/>
          <w:b/>
          <w:color w:val="000000"/>
          <w:spacing w:val="76"/>
          <w:sz w:val="24"/>
          <w:highlight w:val="none"/>
        </w:rPr>
      </w:r>
      <w:r/>
    </w:p>
    <w:p>
      <w:pPr>
        <w:pStyle w:val="853"/>
        <w:ind w:firstLine="0"/>
        <w:rPr>
          <w:rFonts w:hint="eastAsia" w:ascii="宋体" w:hAnsi="宋体" w:cs="宋体"/>
          <w:b/>
          <w:color w:val="000000"/>
          <w:spacing w:val="76"/>
          <w:sz w:val="24"/>
          <w:highlight w:val="none"/>
        </w:rPr>
      </w:pPr>
      <w:r>
        <w:rPr>
          <w:rFonts w:hint="eastAsia" w:ascii="宋体" w:hAnsi="宋体" w:cs="宋体"/>
          <w:b/>
          <w:color w:val="000000"/>
          <w:spacing w:val="76"/>
          <w:sz w:val="24"/>
          <w:highlight w:val="none"/>
        </w:rPr>
      </w:r>
      <w:r/>
    </w:p>
    <w:p>
      <w:pPr>
        <w:pStyle w:val="853"/>
        <w:rPr>
          <w:rFonts w:hint="eastAsia" w:ascii="宋体" w:hAnsi="宋体" w:cs="宋体"/>
          <w:b/>
          <w:color w:val="000000"/>
          <w:spacing w:val="76"/>
          <w:sz w:val="24"/>
          <w:highlight w:val="none"/>
        </w:rPr>
      </w:pPr>
      <w:r>
        <w:rPr>
          <w:rFonts w:hint="eastAsia" w:ascii="宋体" w:hAnsi="宋体" w:cs="宋体"/>
          <w:b/>
          <w:color w:val="000000"/>
          <w:spacing w:val="76"/>
          <w:sz w:val="24"/>
          <w:highlight w:val="none"/>
        </w:rPr>
      </w:r>
      <w:r/>
    </w:p>
    <w:p>
      <w:pPr>
        <w:jc w:val="center"/>
        <w:rPr>
          <w:rFonts w:hint="eastAsia" w:ascii="宋体" w:hAnsi="宋体" w:cs="宋体"/>
          <w:b/>
          <w:color w:val="000000"/>
          <w:spacing w:val="76"/>
          <w:sz w:val="156"/>
          <w:highlight w:val="none"/>
        </w:rPr>
      </w:pPr>
      <w:r>
        <w:rPr>
          <w:rFonts w:hint="eastAsia" w:ascii="宋体" w:hAnsi="宋体" w:cs="宋体"/>
          <w:b/>
          <w:color w:val="000000"/>
          <w:spacing w:val="76"/>
          <w:sz w:val="156"/>
          <w:highlight w:val="none"/>
        </w:rPr>
        <w:t xml:space="preserve">招标文件</w:t>
      </w:r>
      <w:r/>
    </w:p>
    <w:p>
      <w:pPr>
        <w:jc w:val="center"/>
        <w:rPr>
          <w:rFonts w:hint="eastAsia" w:ascii="宋体" w:hAnsi="宋体" w:eastAsia="宋体" w:cs="宋体"/>
          <w:b/>
          <w:color w:val="000000"/>
          <w:sz w:val="24"/>
          <w:highlight w:val="none"/>
          <w:lang w:val="en-US" w:eastAsia="zh-CN"/>
        </w:rPr>
      </w:pPr>
      <w:r>
        <w:rPr>
          <w:rFonts w:hint="eastAsia" w:ascii="宋体" w:hAnsi="宋体" w:eastAsia="宋体" w:cs="宋体"/>
          <w:b/>
          <w:color w:val="000000"/>
          <w:sz w:val="24"/>
          <w:highlight w:val="none"/>
          <w:lang w:val="en-US" w:eastAsia="zh-CN"/>
        </w:rPr>
      </w:r>
      <w:r/>
    </w:p>
    <w:p>
      <w:pPr>
        <w:rPr>
          <w:rFonts w:hint="eastAsia" w:ascii="宋体" w:hAnsi="宋体" w:cs="宋体"/>
          <w:b/>
          <w:color w:val="000000"/>
          <w:sz w:val="24"/>
          <w:highlight w:val="none"/>
        </w:rPr>
      </w:pPr>
      <w:r>
        <w:rPr>
          <w:rFonts w:hint="eastAsia" w:ascii="宋体" w:hAnsi="宋体" w:cs="宋体"/>
          <w:b/>
          <w:color w:val="000000"/>
          <w:sz w:val="24"/>
          <w:highlight w:val="none"/>
        </w:rPr>
      </w:r>
      <w:r/>
    </w:p>
    <w:p>
      <w:pPr>
        <w:pStyle w:val="853"/>
        <w:ind w:firstLine="0"/>
        <w:rPr>
          <w:rFonts w:hint="eastAsia" w:ascii="宋体" w:hAnsi="宋体" w:cs="宋体"/>
          <w:color w:val="000000"/>
          <w:sz w:val="32"/>
          <w:highlight w:val="none"/>
        </w:rPr>
      </w:pPr>
      <w:r>
        <w:rPr>
          <w:rFonts w:hint="eastAsia" w:ascii="宋体" w:hAnsi="宋体" w:cs="宋体"/>
          <w:color w:val="000000"/>
          <w:sz w:val="32"/>
          <w:highlight w:val="none"/>
        </w:rPr>
      </w:r>
      <w:r/>
    </w:p>
    <w:p>
      <w:pPr>
        <w:pStyle w:val="853"/>
        <w:ind w:firstLine="0"/>
        <w:rPr>
          <w:rFonts w:hint="eastAsia" w:ascii="宋体" w:hAnsi="宋体" w:cs="宋体"/>
          <w:color w:val="000000"/>
          <w:sz w:val="32"/>
          <w:highlight w:val="none"/>
        </w:rPr>
      </w:pPr>
      <w:r>
        <w:rPr>
          <w:rFonts w:hint="eastAsia" w:ascii="宋体" w:hAnsi="宋体" w:cs="宋体"/>
          <w:color w:val="000000"/>
          <w:sz w:val="32"/>
          <w:highlight w:val="none"/>
        </w:rPr>
      </w:r>
      <w:r/>
    </w:p>
    <w:p>
      <w:pPr>
        <w:ind w:firstLine="640"/>
        <w:spacing w:line="600" w:lineRule="exact"/>
        <w:rPr>
          <w:rFonts w:hint="eastAsia" w:ascii="宋体" w:hAnsi="宋体" w:eastAsia="宋体" w:cs="宋体"/>
          <w:color w:val="000000"/>
          <w:sz w:val="32"/>
          <w:szCs w:val="32"/>
          <w:highlight w:val="none"/>
          <w:lang w:eastAsia="zh-CN"/>
        </w:rPr>
      </w:pPr>
      <w:r>
        <w:rPr>
          <w:rFonts w:hint="eastAsia" w:ascii="宋体" w:hAnsi="宋体" w:cs="宋体"/>
          <w:color w:val="000000"/>
          <w:sz w:val="32"/>
          <w:szCs w:val="32"/>
          <w:highlight w:val="none"/>
        </w:rPr>
        <w:t xml:space="preserve">项目编号：</w:t>
      </w:r>
      <w:r>
        <w:rPr>
          <w:rFonts w:hint="eastAsia" w:ascii="宋体" w:hAnsi="宋体" w:cs="宋体"/>
          <w:color w:val="000000"/>
          <w:sz w:val="32"/>
          <w:szCs w:val="32"/>
          <w:highlight w:val="none"/>
          <w:lang w:eastAsia="zh-CN"/>
        </w:rPr>
        <w:t xml:space="preserve">JSZC-320300-ZZHQ-G2026-0002</w:t>
      </w:r>
      <w:r/>
    </w:p>
    <w:p>
      <w:pPr>
        <w:ind w:firstLine="960"/>
        <w:spacing w:line="600" w:lineRule="exact"/>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ind w:firstLine="640"/>
        <w:spacing w:line="600" w:lineRule="exact"/>
        <w:rPr>
          <w:rFonts w:hint="eastAsia" w:ascii="宋体" w:hAnsi="宋体" w:eastAsia="宋体" w:cs="宋体"/>
          <w:color w:val="000000"/>
          <w:sz w:val="32"/>
          <w:szCs w:val="32"/>
          <w:highlight w:val="none"/>
          <w:lang w:eastAsia="zh-CN"/>
        </w:rPr>
      </w:pPr>
      <w:r>
        <w:rPr>
          <w:rFonts w:hint="eastAsia" w:ascii="宋体" w:hAnsi="宋体" w:cs="宋体"/>
          <w:color w:val="000000"/>
          <w:sz w:val="32"/>
          <w:szCs w:val="32"/>
          <w:highlight w:val="none"/>
        </w:rPr>
        <w:t xml:space="preserve">项目名称：</w:t>
      </w:r>
      <w:r>
        <w:rPr>
          <w:rFonts w:hint="eastAsia" w:ascii="宋体" w:hAnsi="宋体" w:cs="宋体"/>
          <w:color w:val="000000"/>
          <w:sz w:val="32"/>
          <w:szCs w:val="32"/>
          <w:highlight w:val="none"/>
          <w:lang w:eastAsia="zh-CN"/>
        </w:rPr>
        <w:t xml:space="preserve">徐州市供排水管理中心防汛车辆购置</w:t>
      </w:r>
      <w:r/>
    </w:p>
    <w:p>
      <w:pPr>
        <w:ind w:firstLine="960"/>
        <w:spacing w:line="600" w:lineRule="exact"/>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ind w:firstLine="640"/>
        <w:spacing w:line="600" w:lineRule="exact"/>
        <w:rPr>
          <w:rFonts w:hint="eastAsia" w:ascii="宋体" w:hAnsi="宋体" w:eastAsia="宋体" w:cs="宋体"/>
          <w:color w:val="000000"/>
          <w:sz w:val="32"/>
          <w:szCs w:val="32"/>
          <w:highlight w:val="none"/>
          <w:lang w:eastAsia="zh-CN"/>
        </w:rPr>
      </w:pPr>
      <w:r>
        <w:rPr>
          <w:rFonts w:hint="eastAsia" w:ascii="宋体" w:hAnsi="宋体" w:cs="宋体"/>
          <w:color w:val="000000"/>
          <w:sz w:val="32"/>
          <w:szCs w:val="32"/>
          <w:highlight w:val="none"/>
        </w:rPr>
        <w:t xml:space="preserve">采 购 人：</w:t>
      </w:r>
      <w:r>
        <w:rPr>
          <w:rFonts w:hint="eastAsia" w:ascii="宋体" w:hAnsi="宋体" w:cs="宋体"/>
          <w:color w:val="000000"/>
          <w:sz w:val="32"/>
          <w:szCs w:val="32"/>
          <w:highlight w:val="none"/>
          <w:lang w:eastAsia="zh-CN"/>
        </w:rPr>
        <w:t xml:space="preserve">徐州市供排水管理中心</w:t>
      </w:r>
      <w:r/>
    </w:p>
    <w:p>
      <w:pPr>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866"/>
        <w:ind w:firstLine="0"/>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842"/>
        <w:rPr>
          <w:rFonts w:hint="eastAsia"/>
          <w:color w:val="000000"/>
          <w:highlight w:val="none"/>
        </w:rPr>
      </w:pPr>
      <w:r>
        <w:rPr>
          <w:rFonts w:hint="eastAsia"/>
          <w:color w:val="000000"/>
          <w:highlight w:val="none"/>
        </w:rPr>
      </w:r>
      <w:r/>
    </w:p>
    <w:p>
      <w:pPr>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842"/>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842"/>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jc w:val="center"/>
        <w:spacing w:line="360" w:lineRule="auto"/>
        <w:rPr>
          <w:rFonts w:hint="eastAsia" w:ascii="宋体" w:hAnsi="宋体" w:eastAsia="宋体" w:cs="宋体"/>
          <w:color w:val="000000"/>
          <w:sz w:val="32"/>
          <w:szCs w:val="32"/>
          <w:highlight w:val="none"/>
          <w:lang w:eastAsia="zh-CN"/>
        </w:rPr>
      </w:pPr>
      <w:r>
        <w:rPr>
          <w:rFonts w:hint="eastAsia" w:ascii="宋体" w:hAnsi="宋体" w:cs="宋体"/>
          <w:color w:val="000000"/>
          <w:sz w:val="32"/>
          <w:szCs w:val="32"/>
          <w:highlight w:val="none"/>
        </w:rPr>
        <w:t xml:space="preserve">采购代理机构：</w:t>
      </w:r>
      <w:r>
        <w:rPr>
          <w:rFonts w:hint="eastAsia" w:ascii="宋体" w:hAnsi="宋体" w:cs="宋体"/>
          <w:color w:val="000000"/>
          <w:sz w:val="32"/>
          <w:szCs w:val="32"/>
          <w:highlight w:val="none"/>
          <w:lang w:eastAsia="zh-CN"/>
        </w:rPr>
        <w:t xml:space="preserve">中咨环球（北京）工程咨询有限公司</w:t>
      </w:r>
      <w:r/>
    </w:p>
    <w:p>
      <w:pPr>
        <w:jc w:val="center"/>
        <w:spacing w:line="360" w:lineRule="auto"/>
        <w:rPr>
          <w:rFonts w:hint="eastAsia" w:ascii="宋体" w:hAnsi="宋体" w:cs="宋体"/>
          <w:color w:val="000000"/>
          <w:sz w:val="32"/>
          <w:szCs w:val="32"/>
          <w:highlight w:val="none"/>
        </w:rPr>
      </w:pPr>
      <w:r>
        <w:rPr>
          <w:rFonts w:hint="eastAsia" w:ascii="宋体" w:hAnsi="宋体" w:cs="宋体"/>
          <w:bCs/>
          <w:color w:val="000000"/>
          <w:sz w:val="32"/>
          <w:szCs w:val="32"/>
          <w:highlight w:val="none"/>
        </w:rPr>
        <w:t xml:space="preserve">二〇二六年</w:t>
      </w:r>
      <w:r>
        <w:rPr>
          <w:rFonts w:hint="eastAsia" w:ascii="宋体" w:hAnsi="宋体" w:cs="宋体"/>
          <w:bCs/>
          <w:color w:val="000000"/>
          <w:sz w:val="32"/>
          <w:szCs w:val="32"/>
          <w:highlight w:val="none"/>
          <w:lang w:val="en-US" w:eastAsia="zh-CN"/>
        </w:rPr>
        <w:t xml:space="preserve">七</w:t>
      </w:r>
      <w:r>
        <w:rPr>
          <w:rFonts w:hint="eastAsia" w:ascii="宋体" w:hAnsi="宋体" w:cs="宋体"/>
          <w:bCs/>
          <w:color w:val="000000"/>
          <w:sz w:val="32"/>
          <w:szCs w:val="32"/>
          <w:highlight w:val="none"/>
        </w:rPr>
        <w:t xml:space="preserve">月</w:t>
      </w:r>
      <w:r/>
    </w:p>
    <w:p>
      <w:pPr>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jc w:val="center"/>
        <w:rPr>
          <w:rFonts w:hint="eastAsia" w:ascii="宋体" w:hAnsi="宋体" w:cs="宋体"/>
          <w:b/>
          <w:color w:val="000000"/>
          <w:sz w:val="44"/>
          <w:highlight w:val="none"/>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宋体" w:hAnsi="宋体" w:cs="宋体"/>
          <w:b/>
          <w:color w:val="000000"/>
          <w:sz w:val="44"/>
          <w:highlight w:val="none"/>
        </w:rPr>
      </w:r>
      <w:r/>
    </w:p>
    <w:p>
      <w:pPr>
        <w:jc w:val="center"/>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44"/>
          <w:highlight w:val="none"/>
        </w:rPr>
        <w:t xml:space="preserve">目 录</w:t>
      </w:r>
      <w:r/>
    </w:p>
    <w:p>
      <w:pPr>
        <w:jc w:val="center"/>
        <w:spacing w:line="519"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r>
      <w:r/>
    </w:p>
    <w:p>
      <w:pPr>
        <w:jc w:val="center"/>
        <w:spacing w:line="519" w:lineRule="atLeast"/>
        <w:rPr>
          <w:rFonts w:hint="eastAsia"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highlight w:val="none"/>
        </w:rPr>
      </w:r>
      <w:r/>
    </w:p>
    <w:p>
      <w:pPr>
        <w:ind w:firstLine="210"/>
        <w:rPr>
          <w:rFonts w:hint="eastAsia"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highlight w:val="none"/>
        </w:rPr>
        <w:fldChar w:fldCharType="begin"/>
      </w:r>
      <w:r>
        <w:rPr>
          <w:rFonts w:hint="eastAsia" w:ascii="宋体" w:hAnsi="宋体" w:cs="宋体"/>
          <w:color w:val="000000"/>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cs="宋体"/>
          <w:color w:val="000000"/>
          <w:sz w:val="30"/>
          <w:szCs w:val="30"/>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宋体" w:hAnsi="宋体" w:cs="宋体"/>
          <w:color w:val="000000"/>
          <w:sz w:val="30"/>
          <w:szCs w:val="30"/>
          <w:highlight w:val="none"/>
        </w:rPr>
        <w:fldChar w:fldCharType="separate"/>
      </w:r>
      <w:r>
        <w:rPr>
          <w:rStyle w:val="922"/>
          <w:rFonts w:hint="eastAsia" w:ascii="宋体" w:hAnsi="宋体" w:cs="宋体"/>
          <w:color w:val="000000"/>
          <w:sz w:val="30"/>
          <w:szCs w:val="30"/>
          <w:highlight w:val="none"/>
        </w:rPr>
        <w:t xml:space="preserve">第一章 投标邀请</w:t>
      </w:r>
      <w:r>
        <w:rPr>
          <w:rStyle w:val="922"/>
          <w:rFonts w:hint="eastAsia" w:ascii="宋体" w:hAnsi="宋体" w:cs="宋体"/>
          <w:color w:val="000000"/>
          <w:sz w:val="30"/>
          <w:szCs w:val="30"/>
          <w:highlight w:val="none"/>
        </w:rPr>
        <w:fldChar w:fldCharType="end"/>
      </w:r>
      <w:r/>
    </w:p>
    <w:p>
      <w:pPr>
        <w:rPr>
          <w:rFonts w:hint="eastAsia"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highlight w:val="none"/>
        </w:rPr>
      </w:r>
      <w:r/>
    </w:p>
    <w:p>
      <w:pPr>
        <w:ind w:firstLine="210"/>
        <w:rPr>
          <w:rFonts w:hint="eastAsia"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highlight w:val="none"/>
        </w:rPr>
        <w:fldChar w:fldCharType="begin"/>
      </w:r>
      <w:r>
        <w:rPr>
          <w:rFonts w:hint="eastAsia" w:ascii="宋体" w:hAnsi="宋体" w:cs="宋体"/>
          <w:color w:val="000000"/>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cs="宋体"/>
          <w:color w:val="000000"/>
          <w:sz w:val="30"/>
          <w:szCs w:val="30"/>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宋体" w:hAnsi="宋体" w:cs="宋体"/>
          <w:color w:val="000000"/>
          <w:sz w:val="30"/>
          <w:szCs w:val="30"/>
          <w:highlight w:val="none"/>
        </w:rPr>
        <w:fldChar w:fldCharType="separate"/>
      </w:r>
      <w:r>
        <w:rPr>
          <w:rStyle w:val="922"/>
          <w:rFonts w:hint="eastAsia" w:ascii="宋体" w:hAnsi="宋体" w:cs="宋体"/>
          <w:color w:val="000000"/>
          <w:sz w:val="30"/>
          <w:szCs w:val="30"/>
          <w:highlight w:val="none"/>
        </w:rPr>
        <w:t xml:space="preserve">第二章 投标人须知</w:t>
      </w:r>
      <w:r>
        <w:rPr>
          <w:rStyle w:val="922"/>
          <w:rFonts w:hint="eastAsia" w:ascii="宋体" w:hAnsi="宋体" w:cs="宋体"/>
          <w:color w:val="000000"/>
          <w:sz w:val="30"/>
          <w:szCs w:val="30"/>
          <w:highlight w:val="none"/>
        </w:rPr>
        <w:fldChar w:fldCharType="end"/>
      </w:r>
      <w:r/>
    </w:p>
    <w:p>
      <w:pPr>
        <w:rPr>
          <w:rFonts w:hint="eastAsia"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highlight w:val="none"/>
        </w:rPr>
      </w:r>
      <w:r/>
    </w:p>
    <w:p>
      <w:pPr>
        <w:ind w:firstLine="210"/>
        <w:rPr>
          <w:rFonts w:hint="eastAsia"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highlight w:val="none"/>
        </w:rPr>
        <w:fldChar w:fldCharType="begin"/>
      </w:r>
      <w:r>
        <w:rPr>
          <w:rFonts w:hint="eastAsia" w:ascii="宋体" w:hAnsi="宋体" w:cs="宋体"/>
          <w:color w:val="000000"/>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cs="宋体"/>
          <w:color w:val="000000"/>
          <w:sz w:val="30"/>
          <w:szCs w:val="30"/>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宋体" w:hAnsi="宋体" w:cs="宋体"/>
          <w:color w:val="000000"/>
          <w:sz w:val="30"/>
          <w:szCs w:val="30"/>
          <w:highlight w:val="none"/>
        </w:rPr>
        <w:fldChar w:fldCharType="separate"/>
      </w:r>
      <w:r>
        <w:rPr>
          <w:rStyle w:val="922"/>
          <w:rFonts w:hint="eastAsia" w:ascii="宋体" w:hAnsi="宋体" w:cs="宋体"/>
          <w:color w:val="000000"/>
          <w:sz w:val="30"/>
          <w:szCs w:val="30"/>
          <w:highlight w:val="none"/>
        </w:rPr>
        <w:t xml:space="preserve">第三章 投标资料表</w:t>
      </w:r>
      <w:r>
        <w:rPr>
          <w:rStyle w:val="922"/>
          <w:rFonts w:hint="eastAsia" w:ascii="宋体" w:hAnsi="宋体" w:cs="宋体"/>
          <w:color w:val="000000"/>
          <w:sz w:val="30"/>
          <w:szCs w:val="30"/>
          <w:highlight w:val="none"/>
        </w:rPr>
        <w:fldChar w:fldCharType="end"/>
      </w:r>
      <w:r/>
    </w:p>
    <w:p>
      <w:pPr>
        <w:rPr>
          <w:rFonts w:hint="eastAsia"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highlight w:val="none"/>
        </w:rPr>
      </w:r>
      <w:r/>
    </w:p>
    <w:p>
      <w:pPr>
        <w:ind w:firstLine="210"/>
        <w:rPr>
          <w:rFonts w:hint="eastAsia"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highlight w:val="none"/>
        </w:rPr>
        <w:fldChar w:fldCharType="begin"/>
      </w:r>
      <w:r>
        <w:rPr>
          <w:rFonts w:hint="eastAsia" w:ascii="宋体" w:hAnsi="宋体" w:cs="宋体"/>
          <w:color w:val="000000"/>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cs="宋体"/>
          <w:color w:val="000000"/>
          <w:sz w:val="30"/>
          <w:szCs w:val="30"/>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宋体" w:hAnsi="宋体" w:cs="宋体"/>
          <w:color w:val="000000"/>
          <w:sz w:val="30"/>
          <w:szCs w:val="30"/>
          <w:highlight w:val="none"/>
        </w:rPr>
        <w:fldChar w:fldCharType="separate"/>
      </w:r>
      <w:r>
        <w:rPr>
          <w:rStyle w:val="922"/>
          <w:rFonts w:hint="eastAsia" w:ascii="宋体" w:hAnsi="宋体" w:cs="宋体"/>
          <w:color w:val="000000"/>
          <w:sz w:val="30"/>
          <w:szCs w:val="30"/>
          <w:highlight w:val="none"/>
        </w:rPr>
        <w:t xml:space="preserve">第四章 评标标准</w:t>
      </w:r>
      <w:r>
        <w:rPr>
          <w:rStyle w:val="922"/>
          <w:rFonts w:hint="eastAsia" w:ascii="宋体" w:hAnsi="宋体" w:cs="宋体"/>
          <w:color w:val="000000"/>
          <w:sz w:val="30"/>
          <w:szCs w:val="30"/>
          <w:highlight w:val="none"/>
        </w:rPr>
        <w:fldChar w:fldCharType="end"/>
      </w:r>
      <w:r/>
    </w:p>
    <w:p>
      <w:pPr>
        <w:rPr>
          <w:rFonts w:hint="eastAsia"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highlight w:val="none"/>
        </w:rPr>
      </w:r>
      <w:r/>
    </w:p>
    <w:p>
      <w:pPr>
        <w:ind w:firstLine="210"/>
        <w:rPr>
          <w:rFonts w:hint="eastAsia"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highlight w:val="none"/>
        </w:rPr>
        <w:fldChar w:fldCharType="begin"/>
      </w:r>
      <w:r>
        <w:rPr>
          <w:rFonts w:hint="eastAsia" w:ascii="宋体" w:hAnsi="宋体" w:cs="宋体"/>
          <w:color w:val="000000"/>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cs="宋体"/>
          <w:color w:val="000000"/>
          <w:sz w:val="30"/>
          <w:szCs w:val="30"/>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宋体" w:hAnsi="宋体" w:cs="宋体"/>
          <w:color w:val="000000"/>
          <w:sz w:val="30"/>
          <w:szCs w:val="30"/>
          <w:highlight w:val="none"/>
        </w:rPr>
        <w:fldChar w:fldCharType="separate"/>
      </w:r>
      <w:r>
        <w:rPr>
          <w:rStyle w:val="922"/>
          <w:rFonts w:hint="eastAsia" w:ascii="宋体" w:hAnsi="宋体" w:cs="宋体"/>
          <w:color w:val="000000"/>
          <w:sz w:val="30"/>
          <w:szCs w:val="30"/>
          <w:highlight w:val="none"/>
        </w:rPr>
        <w:t xml:space="preserve">第五章 拟签订的合同文本</w:t>
      </w:r>
      <w:r>
        <w:rPr>
          <w:rStyle w:val="922"/>
          <w:rFonts w:hint="eastAsia" w:ascii="宋体" w:hAnsi="宋体" w:cs="宋体"/>
          <w:color w:val="000000"/>
          <w:sz w:val="30"/>
          <w:szCs w:val="30"/>
          <w:highlight w:val="none"/>
        </w:rPr>
        <w:fldChar w:fldCharType="end"/>
      </w:r>
      <w:r/>
    </w:p>
    <w:p>
      <w:pPr>
        <w:rPr>
          <w:rFonts w:hint="eastAsia"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highlight w:val="none"/>
        </w:rPr>
      </w:r>
      <w:r/>
    </w:p>
    <w:p>
      <w:pPr>
        <w:ind w:firstLine="210"/>
        <w:rPr>
          <w:rFonts w:hint="eastAsia"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highlight w:val="none"/>
        </w:rPr>
        <w:fldChar w:fldCharType="begin"/>
      </w:r>
      <w:r>
        <w:rPr>
          <w:rFonts w:hint="eastAsia" w:ascii="宋体" w:hAnsi="宋体" w:cs="宋体"/>
          <w:color w:val="000000"/>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cs="宋体"/>
          <w:color w:val="000000"/>
          <w:sz w:val="30"/>
          <w:szCs w:val="30"/>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宋体" w:hAnsi="宋体" w:cs="宋体"/>
          <w:color w:val="000000"/>
          <w:sz w:val="30"/>
          <w:szCs w:val="30"/>
          <w:highlight w:val="none"/>
        </w:rPr>
        <w:fldChar w:fldCharType="separate"/>
      </w:r>
      <w:r>
        <w:rPr>
          <w:rStyle w:val="922"/>
          <w:rFonts w:hint="eastAsia" w:ascii="宋体" w:hAnsi="宋体" w:cs="宋体"/>
          <w:color w:val="000000"/>
          <w:sz w:val="30"/>
          <w:szCs w:val="30"/>
          <w:highlight w:val="none"/>
        </w:rPr>
        <w:t xml:space="preserve">第六章 采购需求</w:t>
      </w:r>
      <w:r>
        <w:rPr>
          <w:rStyle w:val="922"/>
          <w:rFonts w:hint="eastAsia" w:ascii="宋体" w:hAnsi="宋体" w:cs="宋体"/>
          <w:color w:val="000000"/>
          <w:sz w:val="30"/>
          <w:szCs w:val="30"/>
          <w:highlight w:val="none"/>
        </w:rPr>
        <w:fldChar w:fldCharType="end"/>
      </w:r>
      <w:r/>
    </w:p>
    <w:p>
      <w:pPr>
        <w:rPr>
          <w:rFonts w:hint="eastAsia"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highlight w:val="none"/>
        </w:rPr>
      </w:r>
      <w:r/>
    </w:p>
    <w:p>
      <w:pPr>
        <w:ind w:firstLine="210"/>
        <w:rPr>
          <w:rFonts w:hint="eastAsia"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highlight w:val="none"/>
        </w:rPr>
        <w:fldChar w:fldCharType="begin"/>
      </w:r>
      <w:r>
        <w:rPr>
          <w:rFonts w:hint="eastAsia" w:ascii="宋体" w:hAnsi="宋体" w:cs="宋体"/>
          <w:color w:val="000000"/>
          <w:sz w:val="30"/>
          <w:szCs w:val="30"/>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cs="宋体"/>
          <w:color w:val="000000"/>
          <w:sz w:val="30"/>
          <w:szCs w:val="30"/>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宋体" w:hAnsi="宋体" w:cs="宋体"/>
          <w:color w:val="000000"/>
          <w:sz w:val="30"/>
          <w:szCs w:val="30"/>
          <w:highlight w:val="none"/>
        </w:rPr>
        <w:fldChar w:fldCharType="separate"/>
      </w:r>
      <w:r>
        <w:rPr>
          <w:rStyle w:val="922"/>
          <w:rFonts w:hint="eastAsia" w:ascii="宋体" w:hAnsi="宋体" w:cs="宋体"/>
          <w:color w:val="000000"/>
          <w:sz w:val="30"/>
          <w:szCs w:val="30"/>
          <w:highlight w:val="none"/>
        </w:rPr>
        <w:t xml:space="preserve">第七章 投标文件相关格式</w:t>
      </w:r>
      <w:r>
        <w:rPr>
          <w:rStyle w:val="922"/>
          <w:rFonts w:hint="eastAsia" w:ascii="宋体" w:hAnsi="宋体" w:cs="宋体"/>
          <w:color w:val="000000"/>
          <w:sz w:val="30"/>
          <w:szCs w:val="30"/>
          <w:highlight w:val="none"/>
        </w:rPr>
        <w:fldChar w:fldCharType="end"/>
      </w:r>
      <w:r/>
    </w:p>
    <w:p>
      <w:pPr>
        <w:jc w:val="center"/>
        <w:spacing w:line="519"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r>
      <w:r/>
    </w:p>
    <w:p>
      <w:pPr>
        <w:jc w:val="center"/>
        <w:spacing w:line="519" w:lineRule="atLeast"/>
        <w:rPr>
          <w:rFonts w:hint="eastAsia" w:ascii="宋体" w:hAnsi="宋体" w:cs="宋体"/>
          <w:b/>
          <w:color w:val="000000"/>
          <w:sz w:val="44"/>
          <w:highlight w:val="none"/>
        </w:rPr>
        <w:pBdr>
          <w:top w:val="none" w:color="000000" w:sz="0" w:space="0"/>
          <w:left w:val="none" w:color="000000" w:sz="0" w:space="0"/>
          <w:bottom w:val="none" w:color="000000" w:sz="0" w:space="0"/>
          <w:right w:val="none" w:color="000000" w:sz="0" w:space="0"/>
        </w:pBdr>
        <w:sectPr>
          <w:footerReference w:type="default" r:id="rId12"/>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宋体" w:hAnsi="宋体" w:cs="宋体"/>
          <w:b/>
          <w:color w:val="000000"/>
          <w:sz w:val="44"/>
          <w:highlight w:val="none"/>
        </w:rPr>
      </w:r>
      <w:r/>
    </w:p>
    <w:p>
      <w:pPr>
        <w:jc w:val="center"/>
        <w:rPr>
          <w:rFonts w:hint="eastAsia" w:ascii="宋体" w:hAnsi="宋体" w:eastAsia="宋体" w:cs="宋体"/>
          <w:b/>
          <w:color w:val="000000"/>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szCs w:val="36"/>
          <w:highlight w:val="none"/>
          <w:lang w:eastAsia="zh-CN"/>
        </w:rPr>
        <w:t xml:space="preserve">徐州市供排水管理中心</w:t>
      </w:r>
      <w:r/>
    </w:p>
    <w:p>
      <w:pPr>
        <w:jc w:val="center"/>
        <w:rPr>
          <w:rFonts w:hint="eastAsia" w:ascii="宋体" w:hAnsi="宋体" w:cs="宋体"/>
          <w:b/>
          <w:color w:val="000000"/>
          <w:sz w:val="36"/>
          <w:szCs w:val="36"/>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szCs w:val="36"/>
          <w:highlight w:val="none"/>
        </w:rPr>
        <w:t xml:space="preserve">《</w:t>
      </w:r>
      <w:r>
        <w:rPr>
          <w:rFonts w:hint="eastAsia" w:ascii="宋体" w:hAnsi="宋体" w:cs="宋体"/>
          <w:b/>
          <w:color w:val="000000"/>
          <w:sz w:val="36"/>
          <w:szCs w:val="36"/>
          <w:highlight w:val="none"/>
          <w:lang w:eastAsia="zh-CN"/>
        </w:rPr>
        <w:t xml:space="preserve">徐州市供排水管理中心防汛车辆购置</w:t>
      </w:r>
      <w:r>
        <w:rPr>
          <w:rFonts w:hint="eastAsia" w:ascii="宋体" w:hAnsi="宋体" w:cs="宋体"/>
          <w:b/>
          <w:color w:val="000000"/>
          <w:sz w:val="36"/>
          <w:szCs w:val="36"/>
          <w:highlight w:val="none"/>
        </w:rPr>
        <w:t xml:space="preserve">》</w:t>
      </w:r>
      <w:r/>
    </w:p>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szCs w:val="36"/>
          <w:highlight w:val="none"/>
        </w:rPr>
        <w:t xml:space="preserve">招标文件</w:t>
      </w:r>
      <w:r/>
    </w:p>
    <w:p>
      <w:pPr>
        <w:ind w:firstLine="600"/>
        <w:spacing w:line="360" w:lineRule="auto"/>
        <w:rPr>
          <w:rFonts w:hint="eastAsia" w:ascii="宋体" w:hAnsi="宋体" w:cs="宋体"/>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center"/>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000000"/>
          <w:sz w:val="24"/>
          <w:highlight w:val="none"/>
        </w:rPr>
      </w:r>
      <w:r/>
    </w:p>
    <w:p>
      <w:pPr>
        <w:jc w:val="center"/>
        <w:spacing w:line="360" w:lineRule="auto"/>
        <w:rPr>
          <w:rFonts w:hint="eastAsia"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000000"/>
          <w:sz w:val="30"/>
          <w:szCs w:val="30"/>
          <w:highlight w:val="none"/>
        </w:rPr>
        <w:t xml:space="preserve">第一章 投标邀请</w:t>
      </w:r>
      <w:r/>
    </w:p>
    <w:p>
      <w:pPr>
        <w:ind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中咨环球（北京）工程咨询有限公司</w:t>
      </w:r>
      <w:r>
        <w:rPr>
          <w:rFonts w:hint="eastAsia" w:ascii="宋体" w:hAnsi="宋体" w:eastAsia="宋体" w:cs="宋体"/>
          <w:color w:val="000000"/>
          <w:sz w:val="24"/>
          <w:highlight w:val="none"/>
        </w:rPr>
        <w:t xml:space="preserve">对</w:t>
      </w:r>
      <w:r>
        <w:rPr>
          <w:rFonts w:hint="eastAsia" w:ascii="宋体" w:hAnsi="宋体" w:cs="宋体"/>
          <w:color w:val="000000"/>
          <w:sz w:val="24"/>
          <w:highlight w:val="none"/>
          <w:u w:val="single"/>
          <w:lang w:eastAsia="zh-CN"/>
        </w:rPr>
        <w:t xml:space="preserve">徐州市供排水管理中心防汛车辆购置</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进行公开招标采购，现邀请符合相关条件的供应商投标。</w:t>
      </w:r>
      <w:r/>
    </w:p>
    <w:p>
      <w:pPr>
        <w:spacing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一、项目名称和项目编号</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（一）项目名称：</w:t>
      </w:r>
      <w:r>
        <w:rPr>
          <w:rFonts w:hint="eastAsia" w:ascii="宋体" w:hAnsi="宋体" w:cs="宋体"/>
          <w:color w:val="000000"/>
          <w:sz w:val="24"/>
          <w:highlight w:val="none"/>
          <w:lang w:eastAsia="zh-CN"/>
        </w:rPr>
        <w:t xml:space="preserve">徐州市供排水管理中心防汛车辆购置</w:t>
      </w:r>
      <w:r>
        <w:rPr>
          <w:rFonts w:hint="eastAsia" w:ascii="宋体" w:hAnsi="宋体" w:eastAsia="宋体" w:cs="宋体"/>
          <w:color w:val="000000"/>
          <w:sz w:val="24"/>
          <w:highlight w:val="none"/>
        </w:rPr>
        <w:t xml:space="preserve">。</w:t>
      </w:r>
      <w:r/>
    </w:p>
    <w:p>
      <w:pPr>
        <w:spacing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（二）项目编号：</w:t>
      </w:r>
      <w:r>
        <w:rPr>
          <w:rFonts w:hint="eastAsia" w:ascii="宋体" w:hAnsi="宋体" w:cs="宋体"/>
          <w:color w:val="000000"/>
          <w:sz w:val="24"/>
          <w:highlight w:val="none"/>
          <w:lang w:eastAsia="zh-CN"/>
        </w:rPr>
        <w:t xml:space="preserve">JSZC-320300-ZZHQ-G2026-0002</w:t>
      </w:r>
      <w:r>
        <w:rPr>
          <w:rFonts w:hint="eastAsia" w:ascii="宋体" w:hAnsi="宋体" w:eastAsia="宋体" w:cs="宋体"/>
          <w:color w:val="000000"/>
          <w:sz w:val="24"/>
          <w:highlight w:val="none"/>
          <w:lang w:eastAsia="zh-CN"/>
        </w:rPr>
        <w:t xml:space="preserve">。</w:t>
      </w:r>
      <w:r/>
    </w:p>
    <w:p>
      <w:pPr>
        <w:spacing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二、对投标人的资格要求</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详见本项目公开招标公告。</w:t>
      </w:r>
      <w:r/>
    </w:p>
    <w:p>
      <w:pPr>
        <w:spacing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三、获取招标文件</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（一）潜在投标人访问电子招标投标交易平台的网络地址和方法：</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潜在供应商访问“苏采云”系统的网络地址和方法：“苏采云”系统的网址：http://jszfcg.jsczt.cn/；或进入徐州政府采购网（网址：https://czj.xz.gov.cn/zfcg/index.html）--办事指南--供应商--供应商登录入口，点击“苏采云”进入系统。</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（3）“CA数字证书”的获取：</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需办理CA锁，“苏采云”系统目前仅支持“苏采云”系统下的政务CA，省内各地区办理的“苏采云”系统下的政务CA全省通用。“CA数字证书”的办理材料详见“徐州政府采购网-办事指南-资料下载”中的《“苏采云”系统政务CA办理材料、操作手册及控件下载》。</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（二）采购代理机构将数据电文形式的招标文件加载至电子招标投标交易平台，供潜在投标人下载或者查阅。</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（三）售价：免费。</w:t>
      </w:r>
      <w:r/>
    </w:p>
    <w:p>
      <w:pPr>
        <w:spacing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四、投标有关信息</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（一）投标截止时间：</w:t>
      </w:r>
      <w:r>
        <w:rPr>
          <w:rFonts w:hint="eastAsia" w:ascii="宋体" w:hAnsi="宋体" w:cs="宋体"/>
          <w:b/>
          <w:color w:val="000000"/>
          <w:sz w:val="24"/>
          <w:highlight w:val="none"/>
          <w:lang w:eastAsia="zh-CN"/>
        </w:rPr>
        <w:t xml:space="preserve">2026年8月18日</w:t>
      </w:r>
      <w:r>
        <w:rPr>
          <w:rFonts w:hint="eastAsia" w:ascii="宋体" w:hAnsi="宋体" w:eastAsia="宋体" w:cs="宋体"/>
          <w:b/>
          <w:color w:val="000000"/>
          <w:sz w:val="24"/>
          <w:highlight w:val="none"/>
        </w:rPr>
        <w:t xml:space="preserve">北京时间</w:t>
      </w:r>
      <w:r>
        <w:rPr>
          <w:rFonts w:hint="eastAsia" w:ascii="宋体" w:hAnsi="宋体" w:cs="宋体"/>
          <w:b/>
          <w:color w:val="000000"/>
          <w:sz w:val="24"/>
          <w:highlight w:val="none"/>
          <w:lang w:val="en-US" w:eastAsia="zh-CN"/>
        </w:rPr>
        <w:t xml:space="preserve">9:30</w:t>
      </w:r>
      <w:r>
        <w:rPr>
          <w:rFonts w:hint="eastAsia" w:ascii="宋体" w:hAnsi="宋体" w:eastAsia="宋体" w:cs="宋体"/>
          <w:color w:val="000000"/>
          <w:sz w:val="24"/>
          <w:highlight w:val="none"/>
        </w:rPr>
        <w:t xml:space="preserve">。</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（二）开标时间：</w:t>
      </w:r>
      <w:r>
        <w:rPr>
          <w:rFonts w:hint="eastAsia" w:ascii="宋体" w:hAnsi="宋体" w:cs="宋体"/>
          <w:b/>
          <w:color w:val="000000"/>
          <w:sz w:val="24"/>
          <w:highlight w:val="none"/>
          <w:lang w:eastAsia="zh-CN"/>
        </w:rPr>
        <w:t xml:space="preserve">2026年8月18</w:t>
      </w:r>
      <w:r>
        <w:rPr>
          <w:rFonts w:hint="eastAsia" w:ascii="宋体" w:hAnsi="宋体" w:eastAsia="宋体" w:cs="宋体"/>
          <w:b/>
          <w:color w:val="000000"/>
          <w:sz w:val="24"/>
          <w:highlight w:val="none"/>
        </w:rPr>
        <w:t xml:space="preserve">北京时间</w:t>
      </w:r>
      <w:r>
        <w:rPr>
          <w:rFonts w:hint="eastAsia" w:ascii="宋体" w:hAnsi="宋体" w:cs="宋体"/>
          <w:b/>
          <w:color w:val="000000"/>
          <w:sz w:val="24"/>
          <w:highlight w:val="none"/>
          <w:lang w:val="en-US" w:eastAsia="zh-CN"/>
        </w:rPr>
        <w:t xml:space="preserve">9:30</w:t>
      </w:r>
      <w:r>
        <w:rPr>
          <w:rFonts w:hint="eastAsia" w:ascii="宋体" w:hAnsi="宋体" w:eastAsia="宋体" w:cs="宋体"/>
          <w:color w:val="000000"/>
          <w:sz w:val="24"/>
          <w:highlight w:val="none"/>
        </w:rPr>
        <w:t xml:space="preserve">。</w:t>
      </w:r>
      <w:r/>
    </w:p>
    <w:p>
      <w:pPr>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（三）开标地点：“苏采云”系统“开标大厅”或进入徐州政府采购网--办事指南--供应商--供应商登录入口，点击“苏采云”进入系统“开标大厅”。</w:t>
      </w:r>
      <w:r/>
    </w:p>
    <w:p>
      <w:pPr>
        <w:spacing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五、采购人</w:t>
      </w:r>
      <w:r/>
    </w:p>
    <w:p>
      <w:pP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（一）名称：</w:t>
      </w:r>
      <w:r>
        <w:rPr>
          <w:rFonts w:hint="eastAsia" w:ascii="宋体" w:hAnsi="宋体" w:cs="宋体"/>
          <w:color w:val="000000"/>
          <w:sz w:val="24"/>
          <w:szCs w:val="24"/>
          <w:highlight w:val="none"/>
          <w:lang w:eastAsia="zh-CN"/>
        </w:rPr>
        <w:t xml:space="preserve">徐州市供排水管理中心</w:t>
      </w:r>
      <w:r/>
    </w:p>
    <w:p>
      <w:pPr>
        <w:keepLines w:val="0"/>
        <w:keepNext w:val="0"/>
        <w:pageBreakBefore w:val="0"/>
        <w:spacing w:line="360" w:lineRule="auto"/>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（二）地址：</w:t>
      </w:r>
      <w:r>
        <w:rPr>
          <w:rFonts w:hint="eastAsia" w:ascii="宋体" w:hAnsi="宋体" w:cs="宋体"/>
          <w:color w:val="000000"/>
          <w:sz w:val="24"/>
          <w:szCs w:val="24"/>
          <w:highlight w:val="none"/>
          <w:lang w:eastAsia="zh-CN"/>
        </w:rPr>
        <w:t xml:space="preserve">徐州市泉山区泰山商贸城C1座</w:t>
      </w:r>
      <w:r/>
    </w:p>
    <w:p>
      <w:pPr>
        <w:pStyle w:val="865"/>
        <w:jc w:val="both"/>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（三）联系电话：0516-85612668 </w:t>
      </w:r>
      <w:r/>
    </w:p>
    <w:p>
      <w:pPr>
        <w:spacing w:line="360" w:lineRule="auto"/>
        <w:rPr>
          <w:rFonts w:hint="eastAsia" w:ascii="仿宋" w:hAnsi="仿宋" w:eastAsia="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（四）采购项目联系人：陈松贵</w:t>
      </w:r>
      <w:r>
        <w:rPr>
          <w:rFonts w:hint="eastAsia" w:ascii="仿宋" w:hAnsi="仿宋" w:eastAsia="仿宋"/>
          <w:color w:val="auto"/>
          <w:sz w:val="28"/>
          <w:szCs w:val="28"/>
          <w:highlight w:val="none"/>
          <w:lang w:val="en-US" w:eastAsia="zh-CN"/>
        </w:rPr>
        <w:t xml:space="preserve"> </w:t>
      </w:r>
      <w:r/>
    </w:p>
    <w:p>
      <w:pPr>
        <w:spacing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六、采购代理机构</w:t>
      </w:r>
      <w:r/>
    </w:p>
    <w:p>
      <w:pPr>
        <w:spacing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（一）名称：</w:t>
      </w:r>
      <w:r>
        <w:rPr>
          <w:rFonts w:hint="eastAsia" w:ascii="宋体" w:hAnsi="宋体" w:cs="宋体"/>
          <w:color w:val="000000"/>
          <w:sz w:val="24"/>
          <w:highlight w:val="none"/>
          <w:lang w:eastAsia="zh-CN"/>
        </w:rPr>
        <w:t xml:space="preserve">中咨环球（北京）工程咨询有限公司</w:t>
      </w:r>
      <w:r/>
    </w:p>
    <w:p>
      <w:pPr>
        <w:spacing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（二）地址：</w:t>
      </w:r>
      <w:r>
        <w:rPr>
          <w:rFonts w:hint="eastAsia" w:ascii="宋体" w:hAnsi="宋体" w:cs="宋体"/>
          <w:color w:val="000000"/>
          <w:sz w:val="24"/>
          <w:highlight w:val="none"/>
          <w:lang w:eastAsia="zh-CN"/>
        </w:rPr>
        <w:t xml:space="preserve">徐州市泉山区矿大软件园c4栋东单元4楼</w:t>
      </w:r>
      <w:r/>
    </w:p>
    <w:p>
      <w:pPr>
        <w:spacing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（三）采购项目联系人：</w:t>
      </w:r>
      <w:r>
        <w:rPr>
          <w:rFonts w:hint="eastAsia" w:ascii="宋体" w:hAnsi="宋体" w:cs="宋体"/>
          <w:color w:val="000000"/>
          <w:sz w:val="24"/>
          <w:highlight w:val="none"/>
          <w:lang w:eastAsia="zh-CN"/>
        </w:rPr>
        <w:t xml:space="preserve">魏鑫</w:t>
      </w:r>
      <w:r/>
    </w:p>
    <w:p>
      <w:pPr>
        <w:spacing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（四）联系电话：19844397863</w:t>
      </w:r>
      <w:r/>
    </w:p>
    <w:p>
      <w:pPr>
        <w:ind w:firstLine="300"/>
        <w:spacing w:line="519" w:lineRule="atLeast"/>
        <w:rPr>
          <w:rFonts w:hint="eastAsia" w:ascii="宋体" w:hAnsi="宋体" w:cs="宋体"/>
          <w:color w:val="000000"/>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highlight w:val="none"/>
        </w:rPr>
      </w:r>
      <w:r/>
    </w:p>
    <w:p>
      <w:pPr>
        <w:ind w:firstLine="600"/>
        <w:spacing w:line="360"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highlight w:val="none"/>
        </w:rPr>
        <w:t xml:space="preserve"> </w:t>
      </w:r>
      <w:r/>
    </w:p>
    <w:p>
      <w:pPr>
        <w:ind w:firstLine="600"/>
        <w:spacing w:line="360"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highlight w:val="none"/>
        </w:rPr>
        <w:t xml:space="preserve"> </w:t>
      </w:r>
      <w:r/>
    </w:p>
    <w:p>
      <w:pPr>
        <w:jc w:val="center"/>
        <w:spacing w:line="720" w:lineRule="atLeast"/>
        <w:rPr>
          <w:rFonts w:hint="eastAsia" w:ascii="宋体" w:hAnsi="宋体" w:cs="宋体"/>
          <w:b/>
          <w:color w:val="000000"/>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outlineLvl w:val="0"/>
      </w:pPr>
      <w:r>
        <w:rPr>
          <w:rFonts w:hint="eastAsia" w:ascii="宋体" w:hAnsi="宋体" w:cs="宋体"/>
          <w:b/>
          <w:color w:val="000000"/>
          <w:sz w:val="30"/>
          <w:highlight w:val="none"/>
        </w:rPr>
      </w:r>
      <w:r/>
    </w:p>
    <w:p>
      <w:pPr>
        <w:jc w:val="cente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000000"/>
          <w:sz w:val="30"/>
          <w:szCs w:val="30"/>
          <w:highlight w:val="none"/>
        </w:rPr>
        <w:t xml:space="preserve">第二章 投标人须知</w:t>
      </w:r>
      <w:r/>
    </w:p>
    <w:p>
      <w:pP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一、总则</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（一）采购人。采购人即指依法进行政府采购的国家机关、事业单位和团体组织。</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（二）政府招标采购方式。政府采购货物或服务（以下简称“货物服务”）的招标方式，分为公开招标和邀请招标。</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（三）采购人在采购货物服务的招标投标活动中，应当贯彻落实“节约能源、保护环境、扶持不发达地区和少数民族地区和促进中小企业发展”等政府采购政策。</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（五）采购人委托采购代理机构代理招标的，采购代理机构必须在采购人委托的范围内依法开展采购活动。</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（六）投标人的资格条件：</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投标人是指响应招标、参加投标竞争的法人、其他组织或者自然人。</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2.投标人授权代表系指法定代表人或受法人委托的受托人。</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（七）投标费用：投标人应承担所有与准备和参加投标有关的费用。无论投标的结果如何，采购代理机构对上述费用不承担任何责任和义务。</w:t>
      </w:r>
      <w:r/>
    </w:p>
    <w:p>
      <w:pP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二、招标</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（八）招标文件应包括以下内容：</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第一章，投标邀请；</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第二章，投标人须知；</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第三章，投标资料表；</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第四章，评标标准；</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第五章，拟签订的合同文本；</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第六章，采购需求；</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第七章，投标文件相关格式。</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（九）招标文件澄清或者修改：</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2.现场考察以本文件第三章《投标资料表》中的要求为准。</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3.开标前答疑会以本文件第三章《投标资料表》中的要求为准。</w:t>
      </w:r>
      <w:r/>
    </w:p>
    <w:p>
      <w:pP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三、投标</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（十）投标人应当按照招标文件的要求编制投标文件。投标文件应对招标文件提出的要求和条件作出实质性响应。</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（十一）投标文件的语言。投标文件以及投标人与采购代理机构就有关投标的往来函电均应使用本文件第三章《投标资料表》规定的语言书写，否则无效。</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（十二）投标文件的构成：</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1.投标文件的构成以本文件第三章《投标资料表》中的要求为准。</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2.投标人应当提交的资格、资信证明文件，以本文件第三章《投标资料表》中的所提要求为准。</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（十三）投标函和价格表、商务条件、交货和提供服务的时间：</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1.投标函和价格表的要求见本章（十二）、（十三），格式见本文件第七章《投标文件相关格式》中《投标函》和《开标一览表》。</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2.商务条件以本文件第三章《投标资料表》中的要求为准。</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3.交货和提供服务的时间，以本文件第三章《投标资料表》中所提要求为准。</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（十四）投标报价要求：</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1.投标人应按照招标文件的要求报出分项价格和总价。</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2.投标人应按照招标文件的要求进行报价，如投标人作出偏离，应在《偏离表》中列出。</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3.采购人不支付报价以外的任何费用。</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4.投标人所报的价格，在合同执行过程中是固定的，不得以任何理由予以变更。投标人提交滑动价格的投标文件，在资格、符合性检查时按照无效投标处理。</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5.投标人只能提交一个投标价格，投标人提交多个价格的投标文件，在资格性、符合性检查时按照无效投标处理。</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（十五）投标货币。以本文件第三章《投标资料表》中所提要求为准。</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（十六）投标有效期：</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1.投标有效期为开标之日后90天。采购人可以要求对投标有效期延长一次，但该延长期最长不得超过30天。</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3.如果采购人发出要求延长投标有效期的通知，并在投标有效期届满前，没有收到投标人同意的书面通知，则视为该投标人不接受上述延期的要求。</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（十七）投标文件的编制要求和签署要求：</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（1）投标人应由其法定代表人或法定代表人授权代表在规定的网上投标时间，凭 CA 证书登录“苏采云”系统在线编制投标文件（电子数据），并在投标截止时间之前上传投标文件。</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（2）投标人应对 CA 证书妥善保管，如被他人盗用投标，因此带来的结果均由投标人自行承担。</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（3）投标人应当对招标文件提出的要求和条件作出实质性响应，并在电子投标系统逐条应答。</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（4）投标人应对要求提供的资格证明文件（如资质证书、资格证书）、技术资料（如白皮书、彩页、手册、检测报告等）扫描上传至投标系统。</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（十八）投标文件的盖章要求</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1.投标文件的盖章要求以招标文件第三章《投标资料表》中的要求为准。</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（十九）提交投标文件的截止时间和收到投标文件后注意事项。投标人应在招标文件要求的提交投标文件的截止时间前，将投标文件提交至“苏采云”系统。</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（二十）凡在招标文件要求提交投标文件的截止时间之后送达的投标文件，均为无效投标文件，“苏采云”系统将自动拒收。 各投标人应在规定时间内通过 CA 证书进行网上解密。</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（二十二）本项目不允许分包。</w:t>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（二十三）投标人应当遵循公平竞争的原则，不得恶意串通，不得妨碍其他投标人的竞争行为，不得损害采购人或者其他投标人的合法权益。</w:t>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在评标过程中发现投标人有上述情形的，评标委员会应当认定其投标无效，并书面报告本级财政部门。</w:t>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（二十四）有下列情形之一的，其投标无效。</w:t>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1.不同投标人的投标文件，由同一单位或者个人编制；</w:t>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2.不同投标人委托同一单位或者个人办理投标事宜；</w:t>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3.不同投标人的投标文件中，所载明的项目管理成员或联系人为同一人；</w:t>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4.不同投标人的投标文件，异常一致或者投标报价呈规律性差异；</w:t>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5.不同投标人的投标文件相互混装；</w:t>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6.不同投标人投标文件内容存在非正常一致、项目组成员出现同一人、投标文件中错误（或异常）一致或雷同、电子文档信息一致或雷同的、投标报价呈规律性差异的；</w:t>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7.投标文件未按规定期限投标的；</w:t>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8.投标文件未按招标文件要求</w:t>
      </w:r>
      <w:r>
        <w:rPr>
          <w:rFonts w:hint="eastAsia" w:ascii="宋体" w:hAnsi="宋体" w:cs="宋体"/>
          <w:color w:val="000000"/>
          <w:sz w:val="24"/>
          <w:highlight w:val="none"/>
          <w:lang w:val="en-US" w:eastAsia="zh-CN"/>
        </w:rPr>
        <w:t xml:space="preserve">签署和盖</w:t>
      </w:r>
      <w:r>
        <w:rPr>
          <w:rFonts w:hint="eastAsia" w:ascii="宋体" w:hAnsi="宋体" w:cs="宋体"/>
          <w:color w:val="000000"/>
          <w:sz w:val="24"/>
          <w:highlight w:val="none"/>
        </w:rPr>
        <w:t xml:space="preserve">章的；</w:t>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9.投标人未在规定时间内解密电子投标文件的；</w:t>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10.投标文件未按招标文件规定的内容和要求填写的；</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.不具备招标文件中规定的资格要求的；</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.报价超过招标文件中规定的预算金额或者最高限价的；</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.投标文件含有采购人不能接受的条件的；</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.法律、法规和招标文件规定的其他无效情形。</w:t>
      </w:r>
      <w:r/>
    </w:p>
    <w:p>
      <w:pP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四、开标</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（二十五）开标：</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1.所有投标单位凭 CA 证书在到达开标时间时，解密各自投标文件，由工作人员操作系统进行开标、并宣读各投标人的《开标一览表》。</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2.投标人不足3家的，不得开标。</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3.开标过程由采购代理机构负责记录。</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4.投标人代表对开标过程和开标记录有疑义的，或者认为采购人、采购代理机构相关工作人员有需要回避情形的，应当场提出询问或者提出回避申请。</w:t>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5.投标人未参加开标的，视同认可开标结果。</w:t>
      </w:r>
      <w:r/>
    </w:p>
    <w:p>
      <w:pP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五、评标</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（二十六）公开招标采购项目开标结束后，采购人依法对投标人的资格进行审查。合格投标人不足3家的，不得评标。</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1.评标工作由采购代理机构负责组织，并履行下列职责：</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（1）核对评审专家身份和采购人代表授权函，对评审专家在政府采购活动中的职责履行情况予以记录，并及时将有关违法违规行为向财政部门报告；</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（2）宣布评标纪律；</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（3）公布投标人名单，告知评审专家应当回避的情形；</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（4）组织评标委员会推选评标组长（采购人代表不得担任组长）；</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（5）在评标期间采取必要的通讯管理措施，保证评标活动不受外界干扰；</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（6）根据评标委员会的要求介绍政府采购相关政策法规、招标文件；</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（8）核对评标结果，对有《</w:t>
      </w: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HYPERLINK "http://www.caigou2003.com/" \o "http://www.caigou2003.com/" </w:instrText>
      </w:r>
      <w:r>
        <w:rPr>
          <w:rFonts w:hint="eastAsia" w:ascii="宋体" w:hAnsi="宋体" w:cs="宋体"/>
          <w:color w:val="000000"/>
          <w:sz w:val="24"/>
          <w:highlight w:val="none"/>
        </w:rPr>
        <w:fldChar w:fldCharType="separate"/>
      </w:r>
      <w:r>
        <w:rPr>
          <w:rStyle w:val="922"/>
          <w:rFonts w:hint="eastAsia" w:ascii="宋体" w:hAnsi="宋体" w:cs="宋体"/>
          <w:color w:val="000000"/>
          <w:sz w:val="24"/>
          <w:highlight w:val="none"/>
        </w:rPr>
        <w:t xml:space="preserve">政府采购</w:t>
      </w:r>
      <w:r>
        <w:rPr>
          <w:rStyle w:val="922"/>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货物和服务招标投标管理办法》第六十四条规定情形的，应要求评标委员会复核或者书面说明理由，评标委员会拒绝的，应予记录并向本级财政部门报告；</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（9）评审工作完成后，按照规定向评审专家支付劳务报酬和异地评审差旅费，不得向评审专家以外的其他人员支付评审劳务报酬； </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（10）处理与评标有关的其他事项。</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2.评标委员会负责具体评标事务，并独立履行下列职责：</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（1）审查、评价投标文件是否符合招标文件的商务、技术等实质性要求；</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（2）要求投标人对投标文件有关事项作出澄清或者说明；</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（3）对投标文件进行比较和评价；</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（4）确定中标候选人名单，以及根据采购人委托直接确定中标人；</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（5）向采购人、采购代理机构或有关部门报告评标中发现的违法行为。</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（二十七）评标方法分为最低评标价法和综合评分法。</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（二十八）评标</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1.评标工作程序：</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（1）投标文件初审。</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①资格性审查。</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②符合性审查。</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（2）澄清有关问题。</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（3）比较与评价。</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（4）推荐中标候选供应商名单。</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（5）编写评审报告（评标报告）。</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3.采用</w:t>
      </w: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HYPERLINK "http://lilun.caigou2003.com/recijiedu/2365668.html" \o "http://lilun.caigou2003.com/recijiedu/2365668.html" </w:instrText>
      </w:r>
      <w:r>
        <w:rPr>
          <w:rFonts w:hint="eastAsia" w:ascii="宋体" w:hAnsi="宋体" w:cs="宋体"/>
          <w:color w:val="000000"/>
          <w:sz w:val="24"/>
          <w:highlight w:val="none"/>
        </w:rPr>
        <w:fldChar w:fldCharType="separate"/>
      </w:r>
      <w:r>
        <w:rPr>
          <w:rStyle w:val="922"/>
          <w:rFonts w:hint="eastAsia" w:ascii="宋体" w:hAnsi="宋体" w:cs="宋体"/>
          <w:color w:val="000000"/>
          <w:sz w:val="24"/>
          <w:highlight w:val="none"/>
        </w:rPr>
        <w:t xml:space="preserve">最低评标价法</w:t>
      </w:r>
      <w:r>
        <w:rPr>
          <w:rStyle w:val="922"/>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采用</w:t>
      </w: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HYPERLINK "http://lilun.caigou2003.com/recijiedu/2365667.html" \o "http://lilun.caigou2003.com/recijiedu/2365667.html" </w:instrText>
      </w:r>
      <w:r>
        <w:rPr>
          <w:rFonts w:hint="eastAsia" w:ascii="宋体" w:hAnsi="宋体" w:cs="宋体"/>
          <w:color w:val="000000"/>
          <w:sz w:val="24"/>
          <w:highlight w:val="none"/>
        </w:rPr>
        <w:fldChar w:fldCharType="separate"/>
      </w:r>
      <w:r>
        <w:rPr>
          <w:rStyle w:val="922"/>
          <w:rFonts w:hint="eastAsia" w:ascii="宋体" w:hAnsi="宋体" w:cs="宋体"/>
          <w:color w:val="000000"/>
          <w:sz w:val="24"/>
          <w:highlight w:val="none"/>
        </w:rPr>
        <w:t xml:space="preserve">综合评分法</w:t>
      </w:r>
      <w:r>
        <w:rPr>
          <w:rStyle w:val="922"/>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非单一产品采购项目，多家投标人提供的核心产品品牌相同的，按前两款规定处理。</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（二十九）投标文件报价出现前后不一致的，按照下列规定修正：</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1.投标文件中开标一览表（报价表）内容与投标文件中相应内容不一致的，以开标一览表（报价表）为准；</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2.大写金额和小写金额不一致的，以大写金额为准；</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3.单价金额小数点或者百分比有明显错位的，以开标一览表的总价为准，并修改单价；</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4.总价金额与按单价合计金额不一致的，以单价金额计算结果为准。</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（三十）实施政府采购异常低价审查的有关要求：</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（一）评审中出现下列情形之一的，评审（评标）委员会应当启动异常低价投标（响应）审查程序：</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1.投标（响应）报价低于全部通过符合性审查供应商投标（响应）报价平均值</w:t>
      </w:r>
      <w:r>
        <w:rPr>
          <w:rFonts w:hint="eastAsia" w:ascii="宋体" w:hAnsi="宋体" w:cs="宋体"/>
          <w:b/>
          <w:bCs/>
          <w:color w:val="000000"/>
          <w:sz w:val="24"/>
          <w:highlight w:val="none"/>
        </w:rPr>
        <w:t xml:space="preserve">50%的</w:t>
      </w:r>
      <w:r>
        <w:rPr>
          <w:rFonts w:hint="eastAsia" w:ascii="宋体" w:hAnsi="宋体" w:cs="宋体"/>
          <w:color w:val="000000"/>
          <w:sz w:val="24"/>
          <w:highlight w:val="none"/>
        </w:rPr>
        <w:t xml:space="preserve">，即投标（响应）报价&lt;全部通过符合性审查供应商投标（响应）报价平均值</w:t>
      </w:r>
      <w:r>
        <w:rPr>
          <w:rFonts w:hint="eastAsia" w:ascii="宋体" w:hAnsi="宋体" w:cs="宋体"/>
          <w:b/>
          <w:bCs/>
          <w:color w:val="000000"/>
          <w:sz w:val="24"/>
          <w:highlight w:val="none"/>
        </w:rPr>
        <w:t xml:space="preserve">×50%；</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2.投标（响应）报价低于通过符合性审查的次低报价供应商投标（响应）报价</w:t>
      </w:r>
      <w:r>
        <w:rPr>
          <w:rFonts w:hint="eastAsia" w:ascii="宋体" w:hAnsi="宋体" w:cs="宋体"/>
          <w:b/>
          <w:bCs/>
          <w:color w:val="000000"/>
          <w:sz w:val="24"/>
          <w:highlight w:val="none"/>
        </w:rPr>
        <w:t xml:space="preserve">50%的</w:t>
      </w:r>
      <w:r>
        <w:rPr>
          <w:rFonts w:hint="eastAsia" w:ascii="宋体" w:hAnsi="宋体" w:cs="宋体"/>
          <w:color w:val="000000"/>
          <w:sz w:val="24"/>
          <w:highlight w:val="none"/>
        </w:rPr>
        <w:t xml:space="preserve">，即投标（响应）报价&lt;通过符合性审查的次低报价供应商投标（响应）报价</w:t>
      </w:r>
      <w:r>
        <w:rPr>
          <w:rFonts w:hint="eastAsia" w:ascii="宋体" w:hAnsi="宋体" w:cs="宋体"/>
          <w:b/>
          <w:bCs/>
          <w:color w:val="000000"/>
          <w:sz w:val="24"/>
          <w:highlight w:val="none"/>
        </w:rPr>
        <w:t xml:space="preserve">×50%；</w:t>
      </w:r>
      <w:r/>
    </w:p>
    <w:p>
      <w:pPr>
        <w:ind w:firstLine="480"/>
        <w:spacing w:line="360" w:lineRule="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3.投标（响应）报价低于采购项目最高限价（未设定最高限价的采购项目，以采购项目预算金额作为最高限价）</w:t>
      </w:r>
      <w:r>
        <w:rPr>
          <w:rFonts w:hint="eastAsia" w:ascii="宋体" w:hAnsi="宋体" w:cs="宋体"/>
          <w:b/>
          <w:bCs/>
          <w:color w:val="000000"/>
          <w:sz w:val="24"/>
          <w:highlight w:val="none"/>
        </w:rPr>
        <w:t xml:space="preserve">45%的，</w:t>
      </w:r>
      <w:r>
        <w:rPr>
          <w:rFonts w:hint="eastAsia" w:ascii="宋体" w:hAnsi="宋体" w:cs="宋体"/>
          <w:color w:val="000000"/>
          <w:sz w:val="24"/>
          <w:highlight w:val="none"/>
        </w:rPr>
        <w:t xml:space="preserve">即投标（响应）报价&lt;采购项目最高限价</w:t>
      </w:r>
      <w:r>
        <w:rPr>
          <w:rFonts w:hint="eastAsia" w:ascii="宋体" w:hAnsi="宋体" w:cs="宋体"/>
          <w:b/>
          <w:bCs/>
          <w:color w:val="000000"/>
          <w:sz w:val="24"/>
          <w:highlight w:val="none"/>
        </w:rPr>
        <w:t xml:space="preserve">×45%；</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4.评审（评标）委员会基于专业判断，认为供应商报价过低，有可能影响产品质量或者不能诚信履约的其他情形。</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相关法律法规对供应商报价有规定的，从其规定。</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cs="宋体"/>
          <w:b/>
          <w:bCs/>
          <w:color w:val="000000"/>
          <w:sz w:val="24"/>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cs="宋体"/>
          <w:color w:val="000000"/>
          <w:sz w:val="24"/>
          <w:highlight w:val="none"/>
        </w:rPr>
        <w:t xml:space="preserve">其中，属于第3项情形，供应商已随投标（响应）文件一并提交相关书面说明及必要的证明材料的，在评审现场可不再重复提交。</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（三十二）废标条款：</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出现下列情形之一的，应予废标。</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1.符合专业条件的供应商或者对招标文件作实质响应的供应商不足三家的；</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2.出现影响采购公正的违法、违规行为的；</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3.投标人的报价均超过了采购预算，采购人不能支付的；</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4.因重大变故，采购任务取消的。</w:t>
      </w:r>
      <w:r/>
    </w:p>
    <w:p>
      <w:pP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六、定标</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（三十三）采购代理机构应当在评标结束后2个工作日内将评标报告送采购人。</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（三十四）采购人应当自收到评标报告之日起5个工作日内，在评标报告确定的中标候选人名单中按顺序确定中标人。</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（三十五）采购人有权对投标人投标文件的真实性进行核实，如果投标人不能在采购人规定的时间内向采购人提供有效的证明文件，将被采购人视为放弃中标资格。</w:t>
      </w:r>
      <w:r/>
    </w:p>
    <w:p>
      <w:pP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七、政府采购合同</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（三十六）签订政府采购合同（合同签订方式）：</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采购人不得向中标人提出任何不合理的要求作为签订合同的条件。</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（三十八）履约保证金：详见《第三章 投标资料表》。</w:t>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（三十九）腐败和欺诈行为：</w:t>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1.采购代理机构、采购人、投标人等参与招投标的各方，均应在招标、采购、合同执行等过程中保持廉洁和最高的道德水准。</w:t>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（1）腐败和欺诈行为的含义：</w:t>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②“欺诈行为”系指为了影响招标、采购和合同执行等过程，隐瞒事实真相，给买方、卖方、采购代理机构及他人造成损害的行为，其中包括投标人之间的串通行为。</w:t>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（2）如果被推荐的中标人有腐败和欺诈行为，将取消其中标资格。</w:t>
      </w:r>
      <w:r/>
    </w:p>
    <w:p>
      <w:pPr>
        <w:ind w:firstLine="480"/>
        <w:spacing w:line="360" w:lineRule="auto"/>
        <w:shd w:val="clear" w:color="ffffff" w:fill="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（3）如果投标人在任何时候，被法院及政府有关管理部门认定为有腐败和欺诈行为，采购代理机构有权拒绝其投标、取消其中标资格和撤销其已签署的合同。</w:t>
      </w:r>
      <w:r/>
    </w:p>
    <w:p>
      <w:pP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八、询问和质疑</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（四十）询问和质疑</w:t>
      </w:r>
      <w:r/>
    </w:p>
    <w:p>
      <w:pPr>
        <w:ind w:firstLine="480"/>
        <w:spacing w:line="360" w:lineRule="auto"/>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color w:val="000000"/>
          <w:sz w:val="24"/>
          <w:highlight w:val="none"/>
        </w:rPr>
        <w:t xml:space="preserve"> </w:t>
      </w:r>
      <w:r/>
    </w:p>
    <w:p>
      <w:pP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九、电子招标投标交易平台</w:t>
      </w:r>
      <w:r/>
    </w:p>
    <w:p>
      <w:pPr>
        <w:ind w:firstLine="480"/>
        <w:spacing w:line="360" w:lineRule="auto"/>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（四十一）电子招标投标交易平台（即“苏采云”系统，网址：http://jszfcg.jsczt.cn/）相关要求是本招标文件的组成部分。</w:t>
      </w:r>
      <w:r>
        <w:rPr>
          <w:rFonts w:hint="eastAsia" w:ascii="宋体" w:hAnsi="宋体" w:cs="宋体"/>
          <w:color w:val="000000"/>
          <w:highlight w:val="none"/>
        </w:rPr>
        <w:br w:type="page" w:clear="all"/>
      </w:r>
      <w:r/>
    </w:p>
    <w:p>
      <w:pPr>
        <w:jc w:val="center"/>
        <w:spacing w:line="360" w:lineRule="auto"/>
        <w:rPr>
          <w:rFonts w:hint="eastAsia" w:ascii="宋体" w:hAnsi="宋体" w:cs="宋体"/>
          <w:color w:val="000000"/>
          <w:sz w:val="30"/>
          <w:szCs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000000"/>
          <w:sz w:val="30"/>
          <w:szCs w:val="30"/>
          <w:highlight w:val="none"/>
        </w:rPr>
        <w:t xml:space="preserve">第三章 投标资料表</w:t>
      </w:r>
      <w:r/>
    </w:p>
    <w:p>
      <w:pPr>
        <w:ind w:firstLine="60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该资料表的条款项号是与《投标人须知》的条款项号相对应的，若有增加的条款，是对《投标人须知》的补充、修改和完善，如果因此而造成矛盾时，应以本资料表为准。</w:t>
      </w:r>
      <w:r/>
    </w:p>
    <w:tbl>
      <w:tblPr>
        <w:tblStyle w:val="802"/>
        <w:tblW w:w="513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2"/>
        <w:gridCol w:w="7389"/>
      </w:tblGrid>
      <w:tr>
        <w:trPr>
          <w:jc w:val="center"/>
          <w:trHeight w:val="397" w:hRule="exact"/>
        </w:trPr>
        <w:tc>
          <w:tcPr>
            <w:tcMar>
              <w:left w:w="108" w:type="dxa"/>
              <w:top w:w="0" w:type="dxa"/>
              <w:right w:w="108" w:type="dxa"/>
              <w:bottom w:w="0" w:type="dxa"/>
            </w:tcMar>
            <w:tcW w:w="724"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条款项号</w:t>
            </w:r>
            <w:r/>
          </w:p>
        </w:tc>
        <w:tc>
          <w:tcPr>
            <w:tcMar>
              <w:left w:w="108" w:type="dxa"/>
              <w:top w:w="0" w:type="dxa"/>
              <w:right w:w="108" w:type="dxa"/>
              <w:bottom w:w="0" w:type="dxa"/>
            </w:tcMar>
            <w:tcW w:w="4275"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内 容</w:t>
            </w:r>
            <w:r/>
          </w:p>
        </w:tc>
      </w:tr>
      <w:tr>
        <w:trPr>
          <w:jc w:val="center"/>
          <w:trHeight w:val="397" w:hRule="exact"/>
        </w:trPr>
        <w:tc>
          <w:tcPr>
            <w:tcMar>
              <w:left w:w="108" w:type="dxa"/>
              <w:top w:w="0" w:type="dxa"/>
              <w:right w:w="108" w:type="dxa"/>
              <w:bottom w:w="0" w:type="dxa"/>
            </w:tcMar>
            <w:tcW w:w="724"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一</w:t>
            </w:r>
            <w:r/>
          </w:p>
        </w:tc>
        <w:tc>
          <w:tcPr>
            <w:tcMar>
              <w:left w:w="108" w:type="dxa"/>
              <w:top w:w="0" w:type="dxa"/>
              <w:right w:w="108" w:type="dxa"/>
              <w:bottom w:w="0" w:type="dxa"/>
            </w:tcMar>
            <w:tcW w:w="4275"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总则</w:t>
            </w:r>
            <w:r/>
          </w:p>
        </w:tc>
      </w:tr>
      <w:tr>
        <w:trPr>
          <w:jc w:val="center"/>
          <w:trHeight w:val="397" w:hRule="exact"/>
        </w:trPr>
        <w:tc>
          <w:tcPr>
            <w:tcMar>
              <w:left w:w="108" w:type="dxa"/>
              <w:top w:w="0" w:type="dxa"/>
              <w:right w:w="108" w:type="dxa"/>
              <w:bottom w:w="0" w:type="dxa"/>
            </w:tcMar>
            <w:tcW w:w="724"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w:t>
            </w:r>
            <w:r/>
          </w:p>
        </w:tc>
        <w:tc>
          <w:tcPr>
            <w:tcMar>
              <w:left w:w="108" w:type="dxa"/>
              <w:top w:w="0" w:type="dxa"/>
              <w:right w:w="108" w:type="dxa"/>
              <w:bottom w:w="0" w:type="dxa"/>
            </w:tcMar>
            <w:tcW w:w="4275" w:type="dxa"/>
            <w:vAlign w:val="top"/>
            <w:textDirection w:val="lrTb"/>
            <w:noWrap w:val="false"/>
          </w:tcPr>
          <w:p>
            <w:pPr>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本项目采购人：</w:t>
            </w:r>
            <w:r>
              <w:rPr>
                <w:rFonts w:hint="eastAsia" w:ascii="宋体" w:hAnsi="宋体" w:cs="宋体"/>
                <w:color w:val="000000"/>
                <w:sz w:val="24"/>
                <w:highlight w:val="none"/>
                <w:lang w:eastAsia="zh-CN"/>
              </w:rPr>
              <w:t xml:space="preserve">徐州市供排水管理中心</w:t>
            </w:r>
            <w:r/>
          </w:p>
        </w:tc>
      </w:tr>
      <w:tr>
        <w:trPr>
          <w:jc w:val="center"/>
          <w:trHeight w:val="397" w:hRule="exact"/>
        </w:trPr>
        <w:tc>
          <w:tcPr>
            <w:tcMar>
              <w:left w:w="108" w:type="dxa"/>
              <w:top w:w="0" w:type="dxa"/>
              <w:right w:w="108" w:type="dxa"/>
              <w:bottom w:w="0" w:type="dxa"/>
            </w:tcMar>
            <w:tcW w:w="724"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w:t>
            </w:r>
            <w:r/>
          </w:p>
        </w:tc>
        <w:tc>
          <w:tcPr>
            <w:tcMar>
              <w:left w:w="108" w:type="dxa"/>
              <w:top w:w="0" w:type="dxa"/>
              <w:right w:w="108" w:type="dxa"/>
              <w:bottom w:w="0" w:type="dxa"/>
            </w:tcMar>
            <w:tcW w:w="4275"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本次采购采用的政府采购方式：公开招标</w:t>
            </w:r>
            <w:r/>
          </w:p>
        </w:tc>
      </w:tr>
      <w:tr>
        <w:trPr>
          <w:jc w:val="center"/>
          <w:trHeight w:val="397" w:hRule="exact"/>
        </w:trPr>
        <w:tc>
          <w:tcPr>
            <w:tcMar>
              <w:left w:w="108" w:type="dxa"/>
              <w:top w:w="0" w:type="dxa"/>
              <w:right w:w="108" w:type="dxa"/>
              <w:bottom w:w="0" w:type="dxa"/>
            </w:tcMar>
            <w:tcW w:w="724"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(四)</w:t>
            </w:r>
            <w:r/>
          </w:p>
        </w:tc>
        <w:tc>
          <w:tcPr>
            <w:tcMar>
              <w:left w:w="108" w:type="dxa"/>
              <w:top w:w="0" w:type="dxa"/>
              <w:right w:w="108" w:type="dxa"/>
              <w:bottom w:w="0" w:type="dxa"/>
            </w:tcMar>
            <w:tcW w:w="4275"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采购人确定的采购项目属性：货物</w:t>
            </w:r>
            <w:r/>
          </w:p>
        </w:tc>
      </w:tr>
      <w:tr>
        <w:trPr>
          <w:jc w:val="center"/>
          <w:trHeight w:val="397" w:hRule="exact"/>
        </w:trPr>
        <w:tc>
          <w:tcPr>
            <w:tcMar>
              <w:left w:w="108" w:type="dxa"/>
              <w:top w:w="0" w:type="dxa"/>
              <w:right w:w="108" w:type="dxa"/>
              <w:bottom w:w="0" w:type="dxa"/>
            </w:tcMar>
            <w:tcW w:w="724"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(五)</w:t>
            </w:r>
            <w:r/>
          </w:p>
        </w:tc>
        <w:tc>
          <w:tcPr>
            <w:tcMar>
              <w:left w:w="108" w:type="dxa"/>
              <w:top w:w="0" w:type="dxa"/>
              <w:right w:w="108" w:type="dxa"/>
              <w:bottom w:w="0" w:type="dxa"/>
            </w:tcMar>
            <w:tcW w:w="4275" w:type="dxa"/>
            <w:vAlign w:val="top"/>
            <w:textDirection w:val="lrTb"/>
            <w:noWrap w:val="false"/>
          </w:tcPr>
          <w:p>
            <w:pPr>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本项目采购代理机构：</w:t>
            </w:r>
            <w:r>
              <w:rPr>
                <w:rFonts w:hint="eastAsia" w:ascii="宋体" w:hAnsi="宋体" w:cs="宋体"/>
                <w:color w:val="000000"/>
                <w:sz w:val="24"/>
                <w:highlight w:val="none"/>
                <w:lang w:eastAsia="zh-CN"/>
              </w:rPr>
              <w:t xml:space="preserve">中咨环球（北京）工程咨询有限公司</w:t>
            </w:r>
            <w:r/>
          </w:p>
        </w:tc>
      </w:tr>
      <w:tr>
        <w:trPr>
          <w:jc w:val="center"/>
          <w:trHeight w:val="7657"/>
        </w:trPr>
        <w:tc>
          <w:tcPr>
            <w:tcMar>
              <w:left w:w="108" w:type="dxa"/>
              <w:top w:w="0" w:type="dxa"/>
              <w:right w:w="108" w:type="dxa"/>
              <w:bottom w:w="0" w:type="dxa"/>
            </w:tcMar>
            <w:tcW w:w="724"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(六)</w:t>
            </w:r>
            <w:r/>
          </w:p>
        </w:tc>
        <w:tc>
          <w:tcPr>
            <w:tcMar>
              <w:left w:w="108" w:type="dxa"/>
              <w:top w:w="0" w:type="dxa"/>
              <w:right w:w="108" w:type="dxa"/>
              <w:bottom w:w="0" w:type="dxa"/>
            </w:tcMar>
            <w:tcW w:w="4275" w:type="dxa"/>
            <w:vAlign w:val="top"/>
            <w:textDirection w:val="lrTb"/>
            <w:noWrap w:val="false"/>
          </w:tcPr>
          <w:p>
            <w:pP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投标人的资格条件：</w:t>
            </w:r>
            <w:r/>
          </w:p>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一、符合《中华人民共和国政府采购法》第二十二条的规定；</w:t>
            </w:r>
            <w:r/>
          </w:p>
          <w:p>
            <w:pPr>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二、</w:t>
            </w:r>
            <w:bookmarkStart w:id="0" w:name="OLE_LINK17"/>
            <w:r>
              <w:rPr>
                <w:rFonts w:hint="eastAsia" w:ascii="宋体" w:hAnsi="宋体" w:eastAsia="宋体" w:cs="宋体"/>
                <w:b/>
                <w:color w:val="000000"/>
                <w:sz w:val="24"/>
                <w:highlight w:val="none"/>
              </w:rPr>
              <w:t xml:space="preserve">本项目不属于专门面向中小微企业采购的项目</w:t>
            </w:r>
            <w:bookmarkEnd w:id="0"/>
            <w:r>
              <w:rPr>
                <w:rFonts w:hint="eastAsia" w:ascii="宋体" w:hAnsi="宋体" w:eastAsia="宋体" w:cs="宋体"/>
                <w:b/>
                <w:color w:val="000000"/>
                <w:sz w:val="24"/>
                <w:highlight w:val="none"/>
              </w:rPr>
              <w:t xml:space="preserve">。</w:t>
            </w:r>
            <w:r/>
          </w:p>
          <w:p>
            <w:pPr>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同时明确相关事项如下：</w:t>
            </w:r>
            <w:r/>
          </w:p>
          <w:p>
            <w:pPr>
              <w:ind w:firstLine="480"/>
              <w:rPr>
                <w:rFonts w:hint="eastAsia" w:ascii="宋体" w:hAnsi="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highlight w:val="none"/>
              </w:rPr>
              <w:t xml:space="preserve">1、本项目不接受联合体参与采购活动。</w:t>
            </w:r>
            <w:r/>
          </w:p>
          <w:p>
            <w:pPr>
              <w:ind w:firstLine="480"/>
              <w:rPr>
                <w:rFonts w:hint="eastAsia" w:ascii="宋体" w:hAnsi="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highlight w:val="none"/>
              </w:rPr>
              <w:t xml:space="preserve">2、单位负责人为同一人或者存在直接控股、管理关系的不同供应商，不得参加同一合同项下的政府采购活动。</w:t>
            </w:r>
            <w:r/>
          </w:p>
          <w:p>
            <w:pPr>
              <w:ind w:firstLine="480"/>
              <w:rPr>
                <w:rFonts w:hint="eastAsia" w:ascii="宋体" w:hAnsi="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highlight w:val="none"/>
              </w:rPr>
              <w:t xml:space="preserve">3、为本采购项目提供整体设计、规范编制或者项目管理、监理、检测等服务的供应商，不得再参加本采购项目的采购活动。</w:t>
            </w:r>
            <w:r/>
          </w:p>
          <w:p>
            <w:pP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三、查询及使用供应商信用记录：</w:t>
            </w:r>
            <w:r/>
          </w:p>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一</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由采购人查询信用信息。</w:t>
            </w:r>
            <w:r/>
          </w:p>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二</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查询渠道包括：</w:t>
            </w:r>
            <w:r/>
          </w:p>
          <w:p>
            <w:pPr>
              <w:ind w:firstLine="280"/>
              <w:jc w:val="lef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1、“信用中国”网（www.creditchina.gov.cn）；</w:t>
            </w:r>
            <w:r/>
          </w:p>
          <w:p>
            <w:pPr>
              <w:ind w:firstLine="280"/>
              <w:jc w:val="lef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2、中国政府采购网（www.ccgp.gov.cn）；</w:t>
            </w:r>
            <w:r/>
          </w:p>
          <w:p>
            <w:pPr>
              <w:ind w:firstLine="280"/>
              <w:jc w:val="lef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3、“信用江苏”网（http://credit.jiangsu.gov.cn）；</w:t>
            </w:r>
            <w:r/>
          </w:p>
          <w:p>
            <w:pPr>
              <w:ind w:firstLine="280"/>
              <w:jc w:val="lef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4、“信用中国（江苏徐州）”（http://www.xuzhoucredit.gov.cn）；</w:t>
            </w:r>
            <w:r/>
          </w:p>
          <w:p>
            <w:pP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三</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截止时点（查询环节）：开标后资格审查结束前。</w:t>
            </w:r>
            <w:r/>
          </w:p>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四</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信用信息查询记录和证据留存的具体方式：网页截屏打印，与其他采购文件一并保存。</w:t>
            </w:r>
            <w:r/>
          </w:p>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六</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信用信息的使用规则：</w:t>
            </w:r>
            <w:r/>
          </w:p>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Height w:val="745"/>
        </w:trPr>
        <w:tc>
          <w:tcPr>
            <w:tcMar>
              <w:left w:w="108" w:type="dxa"/>
              <w:top w:w="0" w:type="dxa"/>
              <w:right w:w="108" w:type="dxa"/>
              <w:bottom w:w="0" w:type="dxa"/>
            </w:tcMar>
            <w:tcW w:w="724"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(七)</w:t>
            </w:r>
            <w:r/>
          </w:p>
        </w:tc>
        <w:tc>
          <w:tcPr>
            <w:tcMar>
              <w:left w:w="108" w:type="dxa"/>
              <w:top w:w="0" w:type="dxa"/>
              <w:right w:w="108" w:type="dxa"/>
              <w:bottom w:w="0" w:type="dxa"/>
            </w:tcMar>
            <w:tcW w:w="4275"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招标代理服务费由</w:t>
            </w:r>
            <w:r>
              <w:rPr>
                <w:rFonts w:hint="eastAsia" w:ascii="宋体" w:hAnsi="宋体" w:cs="宋体"/>
                <w:color w:val="000000"/>
                <w:sz w:val="24"/>
                <w:highlight w:val="none"/>
                <w:lang w:val="en-US" w:eastAsia="zh-CN"/>
              </w:rPr>
              <w:t xml:space="preserve">招标</w:t>
            </w:r>
            <w:r>
              <w:rPr>
                <w:rFonts w:hint="eastAsia" w:ascii="宋体" w:hAnsi="宋体" w:cs="宋体"/>
                <w:color w:val="000000"/>
                <w:sz w:val="24"/>
                <w:highlight w:val="none"/>
              </w:rPr>
              <w:t xml:space="preserve">人支付。标准按《招标代理服务收费标准》收取（见附件）。</w:t>
            </w:r>
            <w:r/>
          </w:p>
        </w:tc>
      </w:tr>
      <w:tr>
        <w:trPr>
          <w:jc w:val="center"/>
        </w:trPr>
        <w:tc>
          <w:tcPr>
            <w:tcMar>
              <w:left w:w="108" w:type="dxa"/>
              <w:top w:w="0" w:type="dxa"/>
              <w:right w:w="108" w:type="dxa"/>
              <w:bottom w:w="0" w:type="dxa"/>
            </w:tcMar>
            <w:tcW w:w="724" w:type="dxa"/>
            <w:vAlign w:val="top"/>
            <w:textDirection w:val="lrTb"/>
            <w:noWrap w:val="false"/>
          </w:tcPr>
          <w:p>
            <w:pPr>
              <w:jc w:val="cente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二</w:t>
            </w:r>
            <w:r/>
          </w:p>
        </w:tc>
        <w:tc>
          <w:tcPr>
            <w:tcMar>
              <w:left w:w="108" w:type="dxa"/>
              <w:top w:w="0" w:type="dxa"/>
              <w:right w:w="108" w:type="dxa"/>
              <w:bottom w:w="0" w:type="dxa"/>
            </w:tcMar>
            <w:tcW w:w="4275" w:type="dxa"/>
            <w:vAlign w:val="top"/>
            <w:textDirection w:val="lrTb"/>
            <w:noWrap w:val="false"/>
          </w:tcPr>
          <w:p>
            <w:pP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招标</w:t>
            </w:r>
            <w:r/>
          </w:p>
        </w:tc>
      </w:tr>
      <w:tr>
        <w:trPr>
          <w:jc w:val="center"/>
          <w:trHeight w:val="1504"/>
        </w:trPr>
        <w:tc>
          <w:tcPr>
            <w:tcMar>
              <w:left w:w="108" w:type="dxa"/>
              <w:top w:w="0" w:type="dxa"/>
              <w:right w:w="108" w:type="dxa"/>
              <w:bottom w:w="0" w:type="dxa"/>
            </w:tcMar>
            <w:tcW w:w="724"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(九)1</w:t>
            </w:r>
            <w:r/>
          </w:p>
        </w:tc>
        <w:tc>
          <w:tcPr>
            <w:tcMar>
              <w:left w:w="108" w:type="dxa"/>
              <w:top w:w="0" w:type="dxa"/>
              <w:right w:w="108" w:type="dxa"/>
              <w:bottom w:w="0" w:type="dxa"/>
            </w:tcMar>
            <w:tcW w:w="4275" w:type="dxa"/>
            <w:vAlign w:val="top"/>
            <w:textDirection w:val="lrTb"/>
            <w:noWrap w:val="false"/>
          </w:tcPr>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Height w:val="425" w:hRule="exact"/>
        </w:trPr>
        <w:tc>
          <w:tcPr>
            <w:tcMar>
              <w:left w:w="108" w:type="dxa"/>
              <w:top w:w="0" w:type="dxa"/>
              <w:right w:w="108" w:type="dxa"/>
              <w:bottom w:w="0" w:type="dxa"/>
            </w:tcMar>
            <w:tcW w:w="724"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(九)2</w:t>
            </w:r>
            <w:r/>
          </w:p>
        </w:tc>
        <w:tc>
          <w:tcPr>
            <w:tcMar>
              <w:left w:w="108" w:type="dxa"/>
              <w:top w:w="0" w:type="dxa"/>
              <w:right w:w="108" w:type="dxa"/>
              <w:bottom w:w="0" w:type="dxa"/>
            </w:tcMar>
            <w:tcW w:w="4275" w:type="dxa"/>
            <w:vAlign w:val="top"/>
            <w:textDirection w:val="lrTb"/>
            <w:noWrap w:val="false"/>
          </w:tcPr>
          <w:p>
            <w:pPr>
              <w:tabs>
                <w:tab w:val="left" w:pos="5760"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自行现场勘察。</w:t>
            </w:r>
            <w:r/>
          </w:p>
        </w:tc>
      </w:tr>
      <w:tr>
        <w:trPr>
          <w:jc w:val="center"/>
          <w:trHeight w:val="425" w:hRule="exact"/>
        </w:trPr>
        <w:tc>
          <w:tcPr>
            <w:tcMar>
              <w:left w:w="108" w:type="dxa"/>
              <w:top w:w="0" w:type="dxa"/>
              <w:right w:w="108" w:type="dxa"/>
              <w:bottom w:w="0" w:type="dxa"/>
            </w:tcMar>
            <w:tcW w:w="724"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(九)3</w:t>
            </w:r>
            <w:r/>
          </w:p>
        </w:tc>
        <w:tc>
          <w:tcPr>
            <w:tcMar>
              <w:left w:w="108" w:type="dxa"/>
              <w:top w:w="0" w:type="dxa"/>
              <w:right w:w="108" w:type="dxa"/>
              <w:bottom w:w="0" w:type="dxa"/>
            </w:tcMar>
            <w:tcW w:w="4275"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不安排开标前答疑会。</w:t>
            </w:r>
            <w:r/>
          </w:p>
        </w:tc>
      </w:tr>
      <w:tr>
        <w:trPr>
          <w:jc w:val="center"/>
          <w:trHeight w:val="425" w:hRule="exact"/>
        </w:trPr>
        <w:tc>
          <w:tcPr>
            <w:tcMar>
              <w:left w:w="108" w:type="dxa"/>
              <w:top w:w="0" w:type="dxa"/>
              <w:right w:w="108" w:type="dxa"/>
              <w:bottom w:w="0" w:type="dxa"/>
            </w:tcMar>
            <w:tcW w:w="724"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三</w:t>
            </w:r>
            <w:r/>
          </w:p>
        </w:tc>
        <w:tc>
          <w:tcPr>
            <w:tcMar>
              <w:left w:w="108" w:type="dxa"/>
              <w:top w:w="0" w:type="dxa"/>
              <w:right w:w="108" w:type="dxa"/>
              <w:bottom w:w="0" w:type="dxa"/>
            </w:tcMar>
            <w:tcW w:w="4275"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投标</w:t>
            </w:r>
            <w:r/>
          </w:p>
        </w:tc>
      </w:tr>
      <w:tr>
        <w:trPr>
          <w:jc w:val="center"/>
          <w:trHeight w:val="425" w:hRule="exact"/>
        </w:trPr>
        <w:tc>
          <w:tcPr>
            <w:tcMar>
              <w:left w:w="108" w:type="dxa"/>
              <w:top w:w="0" w:type="dxa"/>
              <w:right w:w="108" w:type="dxa"/>
              <w:bottom w:w="0" w:type="dxa"/>
            </w:tcMar>
            <w:tcW w:w="724"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(十一)</w:t>
            </w:r>
            <w:r/>
          </w:p>
        </w:tc>
        <w:tc>
          <w:tcPr>
            <w:tcMar>
              <w:left w:w="108" w:type="dxa"/>
              <w:top w:w="0" w:type="dxa"/>
              <w:right w:w="108" w:type="dxa"/>
              <w:bottom w:w="0" w:type="dxa"/>
            </w:tcMar>
            <w:tcW w:w="4275"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投标文件的语言为中文</w:t>
            </w:r>
            <w:r/>
          </w:p>
        </w:tc>
      </w:tr>
      <w:tr>
        <w:trPr>
          <w:jc w:val="center"/>
          <w:trHeight w:val="472"/>
        </w:trPr>
        <w:tc>
          <w:tcPr>
            <w:tcMar>
              <w:left w:w="108" w:type="dxa"/>
              <w:top w:w="0" w:type="dxa"/>
              <w:right w:w="108" w:type="dxa"/>
              <w:bottom w:w="0" w:type="dxa"/>
            </w:tcMar>
            <w:tcW w:w="724"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(十二)1</w:t>
            </w:r>
            <w:r/>
          </w:p>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(十二)2</w:t>
            </w:r>
            <w:r/>
          </w:p>
        </w:tc>
        <w:tc>
          <w:tcPr>
            <w:tcMar>
              <w:left w:w="108" w:type="dxa"/>
              <w:top w:w="0" w:type="dxa"/>
              <w:right w:w="108" w:type="dxa"/>
              <w:bottom w:w="0" w:type="dxa"/>
            </w:tcMar>
            <w:tcW w:w="4275" w:type="dxa"/>
            <w:vAlign w:val="top"/>
            <w:textDirection w:val="lrTb"/>
            <w:noWrap w:val="false"/>
          </w:tcPr>
          <w:p>
            <w:pPr>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线上投标文件编制要求：</w:t>
            </w:r>
            <w:r/>
          </w:p>
          <w:p>
            <w:pPr>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请按照以下要求（包括但不限于以下要求）制作：</w:t>
            </w:r>
            <w:r/>
          </w:p>
          <w:p>
            <w:pPr>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一、基本目录</w:t>
            </w:r>
            <w:r/>
          </w:p>
          <w:p>
            <w:pPr>
              <w:ind w:firstLine="482"/>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1、《开标一览表》（加盖电子签章，政府采购客户端工具输入报价自动生成）；</w:t>
            </w:r>
            <w:r/>
          </w:p>
          <w:p>
            <w:pPr>
              <w:ind w:firstLine="482"/>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2、所投产品的环境标志产品认证证书原件的扫描件（如有）。</w:t>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注：</w:t>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（2）环境标志产品认证证书是否符合要求，采购人评标时查询中国政府采购网（www.ccgp.gov.cn）相关内容后确定。</w:t>
            </w:r>
            <w:r/>
          </w:p>
          <w:p>
            <w:pPr>
              <w:ind w:firstLine="482"/>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3、所投产品的节能产品认证证书原件的扫描件（如有）。</w:t>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注：</w:t>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（2）节能产品认证证书是否符合要求，采购人评标时查询中国政府采购网（www.ccgp.gov.cn）相关内容后确定。</w:t>
            </w:r>
            <w:r/>
          </w:p>
          <w:p>
            <w:pPr>
              <w:ind w:firstLine="482"/>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4、其它（包含但不限于本国产品的声明函等，如有）。</w:t>
            </w:r>
            <w:r/>
          </w:p>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二、资格条件（必须提供，否则投标将被拒绝）</w:t>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（一）投标人合法有效的营业执照扫描件，或事业单位法人证书扫描件，或民办非企业单位登记证书扫描件；</w:t>
            </w:r>
            <w:r/>
          </w:p>
          <w:p>
            <w:pPr>
              <w:ind w:right="28"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（二）财务状况报告（即提供投标人的本项目开标时间（不含开标当月）前6个月内任何时间的</w:t>
            </w:r>
            <w:r>
              <w:rPr>
                <w:rFonts w:hint="eastAsia" w:ascii="宋体" w:hAnsi="宋体" w:cs="宋体"/>
                <w:b/>
                <w:color w:val="000000"/>
                <w:sz w:val="24"/>
                <w:highlight w:val="none"/>
              </w:rPr>
              <w:t xml:space="preserve">资产负债表、利润表扫描件各一份</w:t>
            </w:r>
            <w:r>
              <w:rPr>
                <w:rFonts w:hint="eastAsia" w:ascii="宋体" w:hAnsi="宋体" w:cs="宋体"/>
                <w:color w:val="000000"/>
                <w:sz w:val="24"/>
                <w:highlight w:val="none"/>
              </w:rPr>
              <w:t xml:space="preserve">；</w:t>
            </w:r>
            <w:r>
              <w:rPr>
                <w:rFonts w:hint="eastAsia" w:ascii="宋体" w:hAnsi="宋体" w:cs="宋体"/>
                <w:b/>
                <w:bCs/>
                <w:color w:val="000000"/>
                <w:sz w:val="24"/>
                <w:highlight w:val="none"/>
              </w:rPr>
              <w:t xml:space="preserve">或</w:t>
            </w:r>
            <w:r>
              <w:rPr>
                <w:rFonts w:hint="eastAsia" w:ascii="宋体" w:hAnsi="宋体" w:cs="宋体"/>
                <w:color w:val="000000"/>
                <w:sz w:val="24"/>
                <w:highlight w:val="none"/>
              </w:rPr>
              <w:t xml:space="preserve">提供投标人2025年度</w:t>
            </w:r>
            <w:r>
              <w:rPr>
                <w:rFonts w:hint="eastAsia" w:ascii="宋体" w:hAnsi="宋体" w:cs="宋体"/>
                <w:b/>
                <w:bCs/>
                <w:color w:val="000000"/>
                <w:sz w:val="24"/>
                <w:highlight w:val="none"/>
              </w:rPr>
              <w:t xml:space="preserve">经审计</w:t>
            </w:r>
            <w:r>
              <w:rPr>
                <w:rFonts w:hint="eastAsia" w:ascii="宋体" w:hAnsi="宋体" w:cs="宋体"/>
                <w:color w:val="000000"/>
                <w:sz w:val="24"/>
                <w:highlight w:val="none"/>
              </w:rPr>
              <w:t xml:space="preserve">的财务报告扫描件一份；</w:t>
            </w:r>
            <w:r>
              <w:rPr>
                <w:rFonts w:hint="eastAsia" w:ascii="宋体" w:hAnsi="宋体" w:cs="宋体"/>
                <w:b/>
                <w:bCs/>
                <w:color w:val="000000"/>
                <w:sz w:val="24"/>
                <w:highlight w:val="none"/>
              </w:rPr>
              <w:t xml:space="preserve">或</w:t>
            </w:r>
            <w:r>
              <w:rPr>
                <w:rFonts w:hint="eastAsia" w:ascii="宋体" w:hAnsi="宋体" w:cs="宋体"/>
                <w:color w:val="000000"/>
                <w:sz w:val="24"/>
                <w:highlight w:val="none"/>
              </w:rPr>
              <w:t xml:space="preserve">财政部门认可的政府采购专业担保机构出具的有效的投标担保函扫描件一份；</w:t>
            </w:r>
            <w:r>
              <w:rPr>
                <w:rFonts w:hint="eastAsia" w:ascii="宋体" w:hAnsi="宋体" w:cs="宋体"/>
                <w:b/>
                <w:bCs/>
                <w:color w:val="000000"/>
                <w:sz w:val="24"/>
                <w:highlight w:val="none"/>
              </w:rPr>
              <w:t xml:space="preserve">或</w:t>
            </w:r>
            <w:r>
              <w:rPr>
                <w:rFonts w:hint="eastAsia" w:ascii="宋体" w:hAnsi="宋体" w:cs="宋体"/>
                <w:color w:val="000000"/>
                <w:sz w:val="24"/>
                <w:highlight w:val="none"/>
              </w:rPr>
              <w:t xml:space="preserve">投标人的本项目开标时间（不含开标当月）前6个月内银行出具的</w:t>
            </w:r>
            <w:r>
              <w:rPr>
                <w:rFonts w:hint="eastAsia" w:ascii="宋体" w:hAnsi="宋体" w:cs="宋体"/>
                <w:b/>
                <w:color w:val="000000"/>
                <w:sz w:val="24"/>
                <w:highlight w:val="none"/>
              </w:rPr>
              <w:t xml:space="preserve">资信证明扫描件</w:t>
            </w:r>
            <w:r>
              <w:rPr>
                <w:rFonts w:hint="eastAsia" w:ascii="宋体" w:hAnsi="宋体" w:cs="宋体"/>
                <w:color w:val="000000"/>
                <w:sz w:val="24"/>
                <w:highlight w:val="none"/>
              </w:rPr>
              <w:t xml:space="preserve">一份）；</w:t>
            </w:r>
            <w:r/>
          </w:p>
          <w:p>
            <w:pPr>
              <w:ind w:right="28"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（三）投标人的本项目开标时间（不含开标当月）前6个月内任何1个月的</w:t>
            </w:r>
            <w:r>
              <w:rPr>
                <w:rFonts w:hint="eastAsia" w:ascii="宋体" w:hAnsi="宋体" w:cs="宋体"/>
                <w:b/>
                <w:color w:val="000000"/>
                <w:sz w:val="24"/>
                <w:highlight w:val="none"/>
              </w:rPr>
              <w:t xml:space="preserve">依法缴纳税收扫描件和社会保障资金扫描件</w:t>
            </w:r>
            <w:r>
              <w:rPr>
                <w:rFonts w:hint="eastAsia" w:ascii="宋体" w:hAnsi="宋体" w:cs="宋体"/>
                <w:color w:val="000000"/>
                <w:sz w:val="24"/>
                <w:highlight w:val="none"/>
              </w:rPr>
              <w:t xml:space="preserve">的相关材料</w:t>
            </w:r>
            <w:r>
              <w:rPr>
                <w:rFonts w:hint="eastAsia" w:ascii="宋体" w:hAnsi="宋体" w:cs="宋体"/>
                <w:b/>
                <w:color w:val="000000"/>
                <w:sz w:val="24"/>
                <w:highlight w:val="none"/>
              </w:rPr>
              <w:t xml:space="preserve">各一份</w:t>
            </w:r>
            <w:r>
              <w:rPr>
                <w:rFonts w:hint="eastAsia" w:ascii="宋体" w:hAnsi="宋体" w:cs="宋体"/>
                <w:color w:val="000000"/>
                <w:sz w:val="24"/>
                <w:highlight w:val="none"/>
              </w:rPr>
              <w:t xml:space="preserve">（依法免税或不需要缴纳社会保障资金的供应商</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提供相应文件扫描件证明其依法免税或不需要缴纳社会保障资金</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p>
          <w:p>
            <w:pPr>
              <w:ind w:right="28" w:firstLine="480"/>
              <w:rPr>
                <w:rFonts w:hint="eastAsia" w:ascii="宋体" w:hAnsi="宋体" w:eastAsia="宋体" w:cs="宋体"/>
                <w:bCs/>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（四）具备履行合同所必需的设备和专业技术能力的证明材料。</w:t>
            </w:r>
            <w:r>
              <w:rPr>
                <w:rFonts w:hint="eastAsia" w:ascii="宋体" w:hAnsi="宋体" w:cs="宋体"/>
                <w:b/>
                <w:bCs/>
                <w:color w:val="000000"/>
                <w:sz w:val="24"/>
                <w:highlight w:val="none"/>
              </w:rPr>
              <w:t xml:space="preserve">即投标文件中提供：《具备履行合同所必需的设备和专业技术能力的书面声明（附证明材料扫描件）》（加盖电子签章，格式见招标文件第七章《投标文件相关格式》，所附证明材料扫描件可不加盖电子签章）</w:t>
            </w:r>
            <w:r>
              <w:rPr>
                <w:rFonts w:hint="eastAsia" w:ascii="宋体" w:hAnsi="宋体" w:cs="宋体"/>
                <w:b/>
                <w:bCs/>
                <w:color w:val="000000"/>
                <w:sz w:val="24"/>
                <w:highlight w:val="none"/>
                <w:lang w:eastAsia="zh-CN"/>
              </w:rPr>
              <w:t xml:space="preserve">；</w:t>
            </w:r>
            <w:r/>
          </w:p>
          <w:p>
            <w:pPr>
              <w:ind w:right="28" w:firstLine="480"/>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（五）投标人参加政府采购活动前3年内在经营活动中没有重大违法记录的书面声明，加盖</w:t>
            </w:r>
            <w:r>
              <w:rPr>
                <w:rFonts w:hint="eastAsia" w:ascii="宋体" w:hAnsi="宋体" w:cs="宋体"/>
                <w:b/>
                <w:color w:val="000000"/>
                <w:sz w:val="24"/>
                <w:highlight w:val="none"/>
              </w:rPr>
              <w:t xml:space="preserve">电子签章</w:t>
            </w:r>
            <w:r>
              <w:rPr>
                <w:rFonts w:hint="eastAsia" w:ascii="宋体" w:hAnsi="宋体" w:cs="宋体"/>
                <w:color w:val="000000"/>
                <w:sz w:val="24"/>
                <w:highlight w:val="none"/>
              </w:rPr>
              <w:t xml:space="preserve">，格式见本文件第七章《投标文件相关格式》</w:t>
            </w:r>
            <w:r>
              <w:rPr>
                <w:rFonts w:hint="eastAsia" w:ascii="宋体" w:hAnsi="宋体" w:cs="宋体"/>
                <w:color w:val="000000"/>
                <w:sz w:val="24"/>
                <w:highlight w:val="none"/>
                <w:lang w:eastAsia="zh-CN"/>
              </w:rPr>
              <w:t xml:space="preserve">；</w:t>
            </w:r>
            <w:r/>
          </w:p>
          <w:p>
            <w:pP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r>
            <w:r/>
          </w:p>
          <w:p>
            <w:pP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三、符合条件</w:t>
            </w:r>
            <w:r>
              <w:rPr>
                <w:rFonts w:hint="eastAsia" w:ascii="宋体" w:hAnsi="宋体" w:eastAsia="宋体" w:cs="宋体"/>
                <w:b/>
                <w:bCs/>
                <w:color w:val="000000"/>
                <w:sz w:val="24"/>
                <w:szCs w:val="24"/>
                <w:highlight w:val="none"/>
              </w:rPr>
              <w:t xml:space="preserve">（必须提供，否则投标无效</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w:t>
            </w:r>
            <w:r/>
          </w:p>
          <w:p>
            <w:pP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(一)报价</w:t>
            </w:r>
            <w:r/>
          </w:p>
          <w:p>
            <w:pPr>
              <w:ind w:firstLine="482"/>
              <w:rPr>
                <w:rFonts w:hint="eastAsia" w:ascii="宋体" w:hAnsi="宋体" w:eastAsia="宋体" w:cs="宋体"/>
                <w:b/>
                <w:bCs/>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1、</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报价符合性审查</w:t>
            </w:r>
            <w:r>
              <w:rPr>
                <w:rFonts w:hint="eastAsia" w:ascii="宋体" w:hAnsi="宋体" w:cs="宋体"/>
                <w:b/>
                <w:bCs/>
                <w:color w:val="000000"/>
                <w:sz w:val="24"/>
                <w:highlight w:val="none"/>
                <w:lang w:eastAsia="zh-CN"/>
              </w:rPr>
              <w:t xml:space="preserve">》。</w:t>
            </w:r>
            <w:r>
              <w:rPr>
                <w:rFonts w:hint="eastAsia" w:ascii="宋体" w:hAnsi="宋体" w:cs="宋体"/>
                <w:b w:val="0"/>
                <w:bCs w:val="0"/>
                <w:color w:val="000000"/>
                <w:sz w:val="24"/>
                <w:highlight w:val="none"/>
                <w:lang w:eastAsia="zh-CN"/>
              </w:rPr>
              <w:t xml:space="preserve">属于投标（响应）报价低于采购项目最高限价45%的，即投标（响应）报价&lt;采购项目最高限价×45%，供应商可随投标（响应）文件一并提交相关书面说明及必要的证明材料。</w:t>
            </w:r>
            <w:r/>
          </w:p>
          <w:p>
            <w:pPr>
              <w:ind w:firstLine="482"/>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lang w:val="en-US" w:eastAsia="zh-CN"/>
              </w:rPr>
              <w:t xml:space="preserve">2、</w:t>
            </w:r>
            <w:r>
              <w:rPr>
                <w:rFonts w:hint="eastAsia" w:ascii="宋体" w:hAnsi="宋体" w:cs="宋体"/>
                <w:b/>
                <w:bCs/>
                <w:color w:val="000000"/>
                <w:sz w:val="24"/>
                <w:highlight w:val="none"/>
              </w:rPr>
              <w:t xml:space="preserve">《开标一览表》。</w:t>
            </w:r>
            <w:r>
              <w:rPr>
                <w:rFonts w:hint="eastAsia" w:ascii="宋体" w:hAnsi="宋体" w:cs="宋体"/>
                <w:color w:val="000000"/>
                <w:sz w:val="24"/>
                <w:highlight w:val="none"/>
              </w:rPr>
              <w:t xml:space="preserve">政府采购客户端工具输入报价自动生成。</w:t>
            </w:r>
            <w:r/>
          </w:p>
          <w:p>
            <w:pPr>
              <w:ind w:firstLine="482"/>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lang w:val="en-US" w:eastAsia="zh-CN"/>
              </w:rPr>
              <w:t xml:space="preserve">3</w:t>
            </w:r>
            <w:r>
              <w:rPr>
                <w:rFonts w:hint="eastAsia" w:ascii="宋体" w:hAnsi="宋体" w:cs="宋体"/>
                <w:b/>
                <w:color w:val="000000"/>
                <w:sz w:val="24"/>
                <w:highlight w:val="none"/>
              </w:rPr>
              <w:t xml:space="preserve">、《分项价格表》。</w:t>
            </w:r>
            <w:r>
              <w:rPr>
                <w:rFonts w:hint="eastAsia" w:ascii="宋体" w:hAnsi="宋体" w:cs="宋体"/>
                <w:bCs/>
                <w:color w:val="000000"/>
                <w:sz w:val="24"/>
                <w:highlight w:val="none"/>
              </w:rPr>
              <w:t xml:space="preserve">要求加盖电子签章，格式见本文件第七章《投标文件相关格式》（必须提供，否则在符合性审查时按照投标无效处理）。</w:t>
            </w:r>
            <w:r/>
          </w:p>
          <w:p>
            <w:pP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（二）商务资信</w:t>
            </w:r>
            <w:r/>
          </w:p>
          <w:p>
            <w:pPr>
              <w:ind w:firstLine="482"/>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1、《投标函》</w:t>
            </w:r>
            <w:r>
              <w:rPr>
                <w:rFonts w:hint="eastAsia" w:ascii="宋体" w:hAnsi="宋体" w:cs="宋体"/>
                <w:color w:val="000000"/>
                <w:sz w:val="24"/>
                <w:highlight w:val="none"/>
              </w:rPr>
              <w:t xml:space="preserve">（加盖电子签章，格式见招标文件第七章《投标文件相关格式》。）</w:t>
            </w:r>
            <w:r/>
          </w:p>
          <w:p>
            <w:pPr>
              <w:ind w:firstLine="482"/>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2、</w:t>
            </w:r>
            <w:r>
              <w:rPr>
                <w:rFonts w:hint="eastAsia" w:ascii="宋体" w:hAnsi="宋体" w:cs="宋体"/>
                <w:b/>
                <w:color w:val="000000"/>
                <w:sz w:val="24"/>
                <w:highlight w:val="none"/>
              </w:rPr>
              <w:t xml:space="preserve">《授权委托书》。</w:t>
            </w:r>
            <w:r>
              <w:rPr>
                <w:rFonts w:hint="eastAsia" w:ascii="宋体" w:hAnsi="宋体" w:cs="宋体"/>
                <w:bCs/>
                <w:color w:val="000000"/>
                <w:sz w:val="24"/>
                <w:highlight w:val="none"/>
              </w:rPr>
              <w:t xml:space="preserve">要求加盖电子签章，格式见本文件第七章《投标文件相关格式》（必须提供，否则在符合性审查时按照投标无效处理，法定代表人参与投标的须提供法定代表人身份证明书，不需要单独提供授权委托书）。</w:t>
            </w:r>
            <w:r/>
          </w:p>
          <w:p>
            <w:pPr>
              <w:ind w:firstLine="482"/>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3、</w:t>
            </w:r>
            <w:r>
              <w:rPr>
                <w:rFonts w:hint="eastAsia" w:ascii="宋体" w:hAnsi="宋体" w:cs="宋体"/>
                <w:b/>
                <w:bCs/>
                <w:color w:val="000000"/>
                <w:sz w:val="24"/>
                <w:highlight w:val="none"/>
              </w:rPr>
              <w:t xml:space="preserve">法律、法规和招标文件规定的其他投标无效情形。（无内容及格式要求，投标人可自行拟定）</w:t>
            </w:r>
            <w:r/>
          </w:p>
          <w:p>
            <w:pP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（三）技术响应</w:t>
            </w:r>
            <w:r/>
          </w:p>
          <w:p>
            <w:pPr>
              <w:ind w:firstLine="482"/>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1、《偏离表》</w:t>
            </w:r>
            <w:r>
              <w:rPr>
                <w:rFonts w:hint="eastAsia" w:ascii="宋体" w:hAnsi="宋体" w:cs="宋体"/>
                <w:color w:val="000000"/>
                <w:sz w:val="24"/>
                <w:highlight w:val="none"/>
              </w:rPr>
              <w:t xml:space="preserve">（加盖电子签章，格式见招标文件第七章《投标文件相关格式》。）</w:t>
            </w:r>
            <w:r/>
          </w:p>
          <w:p>
            <w:pP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r>
            <w:r/>
          </w:p>
          <w:p>
            <w:pPr>
              <w:numPr>
                <w:ilvl w:val="0"/>
                <w:numId w:val="2"/>
              </w:numP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综合评审评分项</w:t>
            </w:r>
            <w:r/>
          </w:p>
          <w:p>
            <w:pPr>
              <w:numPr>
                <w:ilvl w:val="0"/>
                <w:numId w:val="0"/>
              </w:numP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（一）技术部分</w:t>
            </w:r>
            <w:r/>
          </w:p>
          <w:p>
            <w:pPr>
              <w:ind w:firstLine="482"/>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1、技术参数响应</w:t>
            </w:r>
            <w:r>
              <w:rPr>
                <w:rFonts w:hint="eastAsia" w:ascii="宋体" w:hAnsi="宋体" w:cs="宋体"/>
                <w:color w:val="000000"/>
                <w:sz w:val="24"/>
                <w:highlight w:val="none"/>
              </w:rPr>
              <w:t xml:space="preserve">（要求见招标文件第六章《采购需求》及第四章《评标标准》中《评分细则》）；</w:t>
            </w:r>
            <w:r/>
          </w:p>
          <w:p>
            <w:pPr>
              <w:ind w:firstLine="482"/>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2、项目总体实施方案</w:t>
            </w:r>
            <w:r>
              <w:rPr>
                <w:rFonts w:hint="eastAsia" w:ascii="宋体" w:hAnsi="宋体" w:cs="宋体"/>
                <w:color w:val="000000"/>
                <w:sz w:val="24"/>
                <w:highlight w:val="none"/>
              </w:rPr>
              <w:t xml:space="preserve">（要求见招标文件第六章《采购需求》及第四章《评标标准》中《评分细则》）；</w:t>
            </w:r>
            <w:r/>
          </w:p>
          <w:p>
            <w:pPr>
              <w:ind w:firstLine="482"/>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3、供货方案</w:t>
            </w:r>
            <w:r>
              <w:rPr>
                <w:rFonts w:hint="eastAsia" w:ascii="宋体" w:hAnsi="宋体" w:cs="宋体"/>
                <w:color w:val="000000"/>
                <w:sz w:val="24"/>
                <w:highlight w:val="none"/>
              </w:rPr>
              <w:t xml:space="preserve">（要求见招标文件第六章《采购需求》及第四章《评标标准》中《评分细则》）；</w:t>
            </w:r>
            <w:r/>
          </w:p>
          <w:p>
            <w:pPr>
              <w:ind w:firstLine="482"/>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4、安装调试方案</w:t>
            </w:r>
            <w:r>
              <w:rPr>
                <w:rFonts w:hint="eastAsia" w:ascii="宋体" w:hAnsi="宋体" w:cs="宋体"/>
                <w:color w:val="000000"/>
                <w:sz w:val="24"/>
                <w:highlight w:val="none"/>
              </w:rPr>
              <w:t xml:space="preserve">（要求见招标文件第六章《采购需求》及第四章《评标标准》中《评分细则》）；</w:t>
            </w:r>
            <w:r/>
          </w:p>
          <w:p>
            <w:pPr>
              <w:ind w:firstLine="482"/>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5、售后服务方案</w:t>
            </w:r>
            <w:r>
              <w:rPr>
                <w:rFonts w:hint="eastAsia" w:ascii="宋体" w:hAnsi="宋体" w:cs="宋体"/>
                <w:color w:val="000000"/>
                <w:sz w:val="24"/>
                <w:highlight w:val="none"/>
              </w:rPr>
              <w:t xml:space="preserve">（要求见招标文件第六章《采购需求》及第四章《评标标准》中《评分细则》）；</w:t>
            </w:r>
            <w:r/>
          </w:p>
          <w:p>
            <w:pPr>
              <w:ind w:firstLine="482"/>
              <w:rPr>
                <w:rFonts w:hint="eastAsia" w:ascii="宋体" w:hAnsi="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6、培训方案</w:t>
            </w:r>
            <w:r>
              <w:rPr>
                <w:rFonts w:hint="eastAsia" w:ascii="宋体" w:hAnsi="宋体" w:cs="宋体"/>
                <w:color w:val="000000"/>
                <w:sz w:val="24"/>
                <w:highlight w:val="none"/>
              </w:rPr>
              <w:t xml:space="preserve">（要求见招标文件第六章《采购需求》及第四章《评标标准》中《评分细则》）；</w:t>
            </w:r>
            <w:r/>
          </w:p>
          <w:p>
            <w:pPr>
              <w:ind w:firstLine="482"/>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lang w:val="en-US" w:eastAsia="zh-CN"/>
              </w:rPr>
              <w:t xml:space="preserve">7</w:t>
            </w:r>
            <w:r>
              <w:rPr>
                <w:rFonts w:hint="eastAsia" w:ascii="宋体" w:hAnsi="宋体" w:cs="宋体"/>
                <w:b/>
                <w:bCs/>
                <w:color w:val="000000"/>
                <w:sz w:val="24"/>
                <w:highlight w:val="none"/>
              </w:rPr>
              <w:t xml:space="preserve">、评分细则中评分得分需提供的相关证明文件扫描件。</w:t>
            </w:r>
            <w:r/>
          </w:p>
          <w:p>
            <w:pPr>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（二）</w:t>
            </w:r>
            <w:r>
              <w:rPr>
                <w:rFonts w:hint="eastAsia" w:ascii="宋体" w:hAnsi="宋体" w:cs="宋体"/>
                <w:b/>
                <w:bCs/>
                <w:color w:val="000000"/>
                <w:sz w:val="24"/>
                <w:highlight w:val="none"/>
              </w:rPr>
              <w:t xml:space="preserve">商务部分</w:t>
            </w:r>
            <w:r/>
          </w:p>
          <w:p>
            <w:pPr>
              <w:ind w:firstLine="482"/>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1、</w:t>
            </w:r>
            <w:r>
              <w:rPr>
                <w:rFonts w:hint="eastAsia" w:ascii="宋体" w:hAnsi="宋体" w:cs="宋体"/>
                <w:b/>
                <w:bCs/>
                <w:color w:val="000000"/>
                <w:sz w:val="24"/>
                <w:highlight w:val="none"/>
                <w:lang w:eastAsia="zh-CN"/>
              </w:rPr>
              <w:t xml:space="preserve">投标人</w:t>
            </w:r>
            <w:r>
              <w:rPr>
                <w:rFonts w:hint="eastAsia" w:ascii="宋体" w:hAnsi="宋体" w:cs="宋体"/>
                <w:b/>
                <w:bCs/>
                <w:color w:val="000000"/>
                <w:sz w:val="24"/>
                <w:highlight w:val="none"/>
                <w:lang w:val="en-US" w:eastAsia="zh-CN"/>
              </w:rPr>
              <w:t xml:space="preserve">评</w:t>
            </w:r>
            <w:r>
              <w:rPr>
                <w:rFonts w:hint="eastAsia" w:ascii="宋体" w:hAnsi="宋体" w:cs="宋体"/>
                <w:b/>
                <w:bCs/>
                <w:color w:val="000000"/>
                <w:sz w:val="24"/>
                <w:highlight w:val="none"/>
              </w:rPr>
              <w:t xml:space="preserve">价</w:t>
            </w:r>
            <w:r>
              <w:rPr>
                <w:rFonts w:hint="eastAsia" w:ascii="宋体" w:hAnsi="宋体" w:cs="宋体"/>
                <w:color w:val="000000"/>
                <w:sz w:val="24"/>
                <w:highlight w:val="none"/>
              </w:rPr>
              <w:t xml:space="preserve">（要求见招标文件第六章《采购需求》及第四章《评标标准》中《评分细则》）</w:t>
            </w:r>
            <w:r/>
          </w:p>
          <w:p>
            <w:pPr>
              <w:ind w:firstLine="482"/>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lang w:val="en-US" w:eastAsia="zh-CN"/>
              </w:rPr>
              <w:t xml:space="preserve">2</w:t>
            </w:r>
            <w:r>
              <w:rPr>
                <w:rFonts w:hint="eastAsia" w:ascii="宋体" w:hAnsi="宋体" w:cs="宋体"/>
                <w:b/>
                <w:bCs/>
                <w:color w:val="000000"/>
                <w:sz w:val="24"/>
                <w:highlight w:val="none"/>
              </w:rPr>
              <w:t xml:space="preserve">、投标人业绩</w:t>
            </w:r>
            <w:r>
              <w:rPr>
                <w:rFonts w:hint="eastAsia" w:ascii="宋体" w:hAnsi="宋体" w:cs="宋体"/>
                <w:color w:val="000000"/>
                <w:sz w:val="24"/>
                <w:highlight w:val="none"/>
              </w:rPr>
              <w:t xml:space="preserve">（要求见本文件第四章《评标标准》中《评分细则》）；</w:t>
            </w:r>
            <w:r/>
          </w:p>
          <w:p>
            <w:pPr>
              <w:ind w:firstLine="482"/>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lang w:val="en-US" w:eastAsia="zh-CN"/>
              </w:rPr>
              <w:t xml:space="preserve">3</w:t>
            </w:r>
            <w:r>
              <w:rPr>
                <w:rFonts w:hint="eastAsia" w:ascii="宋体" w:hAnsi="宋体" w:cs="宋体"/>
                <w:b/>
                <w:bCs/>
                <w:color w:val="000000"/>
                <w:sz w:val="24"/>
                <w:highlight w:val="none"/>
              </w:rPr>
              <w:t xml:space="preserve">、投标人其它证明文件及材料扫描件。</w:t>
            </w:r>
            <w:r/>
          </w:p>
          <w:p>
            <w:pP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r>
            <w:r/>
          </w:p>
          <w:p>
            <w:pPr>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五、其他部分</w:t>
            </w:r>
            <w:r/>
          </w:p>
          <w:p>
            <w:pPr>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一</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投标人《关于符合本国产品标准的声明函》（填写完整，加盖公章，格式见招标文件第七章《投标文件相关格式》）</w:t>
            </w:r>
            <w:r>
              <w:rPr>
                <w:rFonts w:hint="eastAsia" w:ascii="宋体" w:hAnsi="宋体" w:cs="宋体"/>
                <w:color w:val="000000"/>
                <w:sz w:val="24"/>
                <w:highlight w:val="none"/>
              </w:rPr>
              <w:t xml:space="preserve">（请填写完整，如不填写完整或未按要求填写的，视为非本国产品）</w:t>
            </w:r>
            <w:r>
              <w:rPr>
                <w:rFonts w:hint="eastAsia" w:ascii="宋体" w:hAnsi="宋体" w:cs="宋体"/>
                <w:bCs/>
                <w:color w:val="000000"/>
                <w:sz w:val="24"/>
                <w:highlight w:val="none"/>
              </w:rPr>
              <w:t xml:space="preserve">。</w:t>
            </w:r>
            <w:r/>
          </w:p>
          <w:p>
            <w:pPr>
              <w:ind w:firstLine="482"/>
              <w:rPr>
                <w:rFonts w:hint="eastAsia" w:ascii="宋体" w:hAnsi="宋体" w:cs="宋体"/>
                <w:b/>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sz w:val="24"/>
                <w:highlight w:val="none"/>
              </w:rPr>
              <w:t xml:space="preserve">1、本国产品应当符合以下条件：</w:t>
            </w:r>
            <w:r/>
          </w:p>
          <w:p>
            <w:pPr>
              <w:ind w:firstLine="482"/>
              <w:rPr>
                <w:rFonts w:hint="eastAsia" w:ascii="宋体" w:hAnsi="宋体" w:cs="宋体"/>
                <w:b/>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sz w:val="24"/>
                <w:highlight w:val="none"/>
              </w:rPr>
              <w:t xml:space="preserve">（一）在中国境内生产</w:t>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产品应当在中国境内生产，即在中华人民共和国关境内实现从原材料、组件到产品的属性改变。</w:t>
            </w:r>
            <w:r/>
          </w:p>
          <w:p>
            <w:pPr>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属性改变是指经过制造、加工或者组装等工序，产生完全不同于原材料、组件的新产品，并具有新的名称和特征（用途）。属性改变不包括以下细微操作：</w:t>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1.为确保产品在运输或者储存期间保持某种状态而进行的操作；</w:t>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2.为产品运输或者销售进行的包装或者展示；</w:t>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3.在产品或者其包装上粘贴或者印刷品牌、标志、标识以及其他用于区别的标记；</w:t>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4.简单的上漆、磨光和分装；</w:t>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5.其他不属于属性改变的情形。</w:t>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（二）在中国境内生产的组件成本占比达到规定比例</w:t>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产品在中国境内生产的组件成本占比应当达到规定比例，计算公式为：</w:t>
            </w:r>
            <w:r/>
          </w:p>
          <w:p>
            <w:pPr>
              <w:jc w:val="center"/>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mc:AlternateContent>
                <mc:Choice Requires="wpg">
                  <w:drawing>
                    <wp:inline xmlns:wp="http://schemas.openxmlformats.org/drawingml/2006/wordprocessingDrawing" distT="0" distB="0" distL="0" distR="0">
                      <wp:extent cx="3275965" cy="495300"/>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6"/>
                              <a:stretch/>
                            </pic:blipFill>
                            <pic:spPr bwMode="auto">
                              <a:xfrm>
                                <a:off x="0" y="0"/>
                                <a:ext cx="3276410" cy="495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57.9pt;height:39.0pt;mso-wrap-distance-left:0.0pt;mso-wrap-distance-top:0.0pt;mso-wrap-distance-right:0.0pt;mso-wrap-distance-bottom:0.0pt;" stroked="f">
                      <v:path textboxrect="0,0,0,0"/>
                      <v:imagedata r:id="rId16" o:title=""/>
                    </v:shape>
                  </w:pict>
                </mc:Fallback>
              </mc:AlternateContent>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（三）特定产品的关键组件、关键工序符合相关要求</w:t>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对特定产品，在符合本通知第一条第（一）项和第（二）项条件的基础上，应当符合财政部会同有关行业主管部门确定的其关键组件、关键工序在中国境内生产、完成等要求。</w:t>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2、本国产品标准的适用范围</w:t>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3、对本国产品的支持政策</w:t>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政府采购活动中既有本国产品又有非本国产品参与竞争的，依法对本国产品给予价格评审优惠，对本国产品的报价给予20%的价格扣除，用扣除后的价格参与评审。</w:t>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具体以《国务院办公厅关于在政府采购中实施本国产品标准及相关政策的通知》（国办发〔2025〕34号）规定为准。</w:t>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注：中国境内生产的组件成本核算基本规则</w:t>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一、产品的一级组件是指直接组成产品的组件。产品的二级组件是指直接组成产品一级组件的组件。一级组件不可分解的，视同二级组件。</w:t>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二、二级组件在中国境内生产的，其全部成本计入中国境内生产的组件成本；二级组件不在中国境内生产的，其成本不计入中国境内生产的组件成本。</w:t>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三、产品总成本和组件成本以相关会计核算数据、采购合同、进货记录等为基础进行计算。</w:t>
            </w:r>
            <w:r/>
          </w:p>
          <w:p>
            <w:pPr>
              <w:ind w:firstLine="480"/>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四、需要对成本核算规则予以进一步明确的其他有关事项，由财政部会同有关部门另行规定。</w:t>
            </w:r>
            <w:r/>
          </w:p>
          <w:p>
            <w:pPr>
              <w:pStyle w:val="821"/>
              <w:ind w:left="0" w:right="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（二）企业报价折扣证明：</w:t>
            </w:r>
            <w:r/>
          </w:p>
          <w:p>
            <w:pPr>
              <w:pStyle w:val="821"/>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投标人提供的货物全部由符合政策要求的中小企业制造的，提供《中小企业声明函》（填写完整，加盖电子签章，格式见招标文件第七章《投标文件相关格式》，</w:t>
            </w:r>
            <w:r>
              <w:rPr>
                <w:rFonts w:hint="eastAsia" w:ascii="宋体" w:hAnsi="宋体" w:eastAsia="宋体" w:cs="宋体"/>
                <w:b/>
                <w:bCs/>
                <w:color w:val="000000"/>
                <w:sz w:val="24"/>
                <w:szCs w:val="24"/>
              </w:rPr>
              <w:t xml:space="preserve">非必须提供</w:t>
            </w:r>
            <w:r>
              <w:rPr>
                <w:rFonts w:hint="eastAsia" w:ascii="宋体" w:hAnsi="宋体" w:eastAsia="宋体" w:cs="宋体"/>
                <w:color w:val="000000"/>
                <w:sz w:val="24"/>
                <w:szCs w:val="24"/>
              </w:rPr>
              <w:t xml:space="preserve">）。 </w:t>
            </w:r>
            <w:r/>
          </w:p>
          <w:p>
            <w:pPr>
              <w:pStyle w:val="821"/>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注：</w:t>
            </w:r>
            <w:r>
              <w:rPr>
                <w:rFonts w:hint="eastAsia" w:ascii="宋体" w:hAnsi="宋体" w:eastAsia="宋体" w:cs="宋体"/>
                <w:color w:val="000000"/>
                <w:sz w:val="24"/>
                <w:szCs w:val="24"/>
              </w:rPr>
              <w:t xml:space="preserve">《中小企业声明函》查询渠道参考工业和信息化部发布的中小企业规模自测小程序。中小企业规模自测小程序详见《中小企业声明函》。</w:t>
            </w:r>
            <w:r/>
          </w:p>
          <w:p>
            <w:pPr>
              <w:pStyle w:val="821"/>
              <w:ind w:left="0" w:right="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pStyle w:val="821"/>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2、监狱企业制造的，提供省级以上监狱管理局、戒毒管理局（含新疆生产建设兵团）出具的属于监狱企业的证明文件原件的扫描件。</w:t>
            </w:r>
            <w:r/>
          </w:p>
          <w:p>
            <w:pPr>
              <w:pStyle w:val="821"/>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注：具体以《财政部 司法部关于政府采购支持监狱企业发展有关问题的通知》（财库〔2014〕68号）的规定为准。</w:t>
            </w:r>
            <w:r/>
          </w:p>
          <w:p>
            <w:pPr>
              <w:pStyle w:val="821"/>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3、享受政府采购支持政策的残疾人福利性单位制造的，提供《残疾人福利性单位声明函》（加盖电子签章，格式见招标文件第七章《投标文件相关格式》）。</w:t>
            </w:r>
            <w:r/>
          </w:p>
          <w:p>
            <w:pPr>
              <w:pStyle w:val="821"/>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享受政府采购支持政策的残疾人福利性单位应当同时满足以下条件：</w:t>
            </w:r>
            <w:r/>
          </w:p>
          <w:p>
            <w:pPr>
              <w:pStyle w:val="821"/>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①安置的残疾人占本单位在职职工人数的比例不低于25%（含25%），并且安置的残疾人人数不少于10人（含10人）；</w:t>
            </w:r>
            <w:r/>
          </w:p>
          <w:p>
            <w:pPr>
              <w:pStyle w:val="821"/>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②依法与安置的每位残疾人签订了一年以上（含一年）的劳动合同或服务协议；</w:t>
            </w:r>
            <w:r/>
          </w:p>
          <w:p>
            <w:pPr>
              <w:pStyle w:val="821"/>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③为安置的每位残疾人按月足额缴纳了基本养老保险、基本医疗保险、失业保险、工伤保险和生育保险等社会保险费；</w:t>
            </w:r>
            <w:r/>
          </w:p>
          <w:p>
            <w:pPr>
              <w:pStyle w:val="821"/>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④通过银行等金融机构向安置的每位残疾人，按月支付了不低于单位所在区县适用的经省级人民政府批准的月最低工资标准的工资；</w:t>
            </w:r>
            <w:r/>
          </w:p>
          <w:p>
            <w:pPr>
              <w:pStyle w:val="821"/>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⑤提供本单位制造的货物、承担的工程或者服务（以下简称产品），或者提供其他残疾人福利性单位制造的货物（不包括使用非残疾人福利性单位注册商标的货物）。</w:t>
            </w:r>
            <w:r/>
          </w:p>
          <w:p>
            <w:pPr>
              <w:pStyle w:val="821"/>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21"/>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具体以《三部门联合发布关于促进残疾人就业政府采购政策的通知》（财库〔2017〕141号）规定为准。</w:t>
            </w:r>
            <w:r/>
          </w:p>
          <w:p>
            <w:pPr>
              <w:pStyle w:val="803"/>
              <w:rPr>
                <w:rFonts w:hint="eastAsia"/>
              </w:rPr>
            </w:pPr>
            <w:r>
              <w:rPr>
                <w:rFonts w:hint="eastAsia"/>
              </w:rPr>
            </w:r>
            <w:r/>
          </w:p>
          <w:p>
            <w:pPr>
              <w:rPr>
                <w:rFonts w:hint="eastAsia" w:ascii="宋体" w:hAnsi="宋体" w:cs="宋体"/>
                <w:color w:val="000000"/>
                <w:sz w:val="24"/>
                <w:highlight w:val="none"/>
              </w:rPr>
            </w:pPr>
            <w:r>
              <w:rPr>
                <w:rFonts w:hint="eastAsia" w:ascii="宋体" w:hAnsi="宋体" w:cs="宋体"/>
                <w:b/>
                <w:color w:val="000000"/>
                <w:sz w:val="24"/>
                <w:highlight w:val="none"/>
              </w:rPr>
              <w:t xml:space="preserve">注</w:t>
            </w:r>
            <w:r>
              <w:rPr>
                <w:rFonts w:hint="eastAsia" w:ascii="宋体" w:hAnsi="宋体" w:cs="宋体"/>
                <w:color w:val="000000"/>
                <w:sz w:val="24"/>
                <w:highlight w:val="none"/>
              </w:rPr>
              <w:t xml:space="preserve">：</w:t>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1、投标人应对以上文件的合法性、真实性负责。</w:t>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724"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(十三)2</w:t>
            </w:r>
            <w:r/>
          </w:p>
        </w:tc>
        <w:tc>
          <w:tcPr>
            <w:tcMar>
              <w:left w:w="108" w:type="dxa"/>
              <w:top w:w="0" w:type="dxa"/>
              <w:right w:w="108" w:type="dxa"/>
              <w:bottom w:w="0" w:type="dxa"/>
            </w:tcMar>
            <w:tcW w:w="4275" w:type="dxa"/>
            <w:vAlign w:val="top"/>
            <w:textDirection w:val="lrTb"/>
            <w:noWrap w:val="false"/>
          </w:tcPr>
          <w:p>
            <w:pP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商务条件见：</w:t>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一、本文件第四章《评标标准》中《评分细则》。</w:t>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二、本文件第三章《投标资料表》中(十二)1和(十二)2。</w:t>
            </w:r>
            <w:r/>
          </w:p>
        </w:tc>
      </w:tr>
      <w:tr>
        <w:trPr>
          <w:jc w:val="center"/>
          <w:trHeight w:val="669"/>
        </w:trPr>
        <w:tc>
          <w:tcPr>
            <w:tcMar>
              <w:left w:w="108" w:type="dxa"/>
              <w:top w:w="0" w:type="dxa"/>
              <w:right w:w="108" w:type="dxa"/>
              <w:bottom w:w="0" w:type="dxa"/>
            </w:tcMar>
            <w:tcW w:w="724"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(十三)3</w:t>
            </w:r>
            <w:r/>
          </w:p>
        </w:tc>
        <w:tc>
          <w:tcPr>
            <w:tcMar>
              <w:left w:w="108" w:type="dxa"/>
              <w:top w:w="0" w:type="dxa"/>
              <w:right w:w="108" w:type="dxa"/>
              <w:bottom w:w="0" w:type="dxa"/>
            </w:tcMar>
            <w:tcW w:w="4275" w:type="dxa"/>
            <w:vAlign w:val="top"/>
            <w:textDirection w:val="lrTb"/>
            <w:noWrap w:val="false"/>
          </w:tcPr>
          <w:p>
            <w:pP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交货和提供服务的时间：</w:t>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见本文件第五章 《拟签订的合同文本》及或本文件第六章《采购需求》。</w:t>
            </w:r>
            <w:r/>
          </w:p>
        </w:tc>
      </w:tr>
      <w:tr>
        <w:trPr>
          <w:jc w:val="center"/>
          <w:trHeight w:val="915"/>
        </w:trPr>
        <w:tc>
          <w:tcPr>
            <w:tcMar>
              <w:left w:w="108" w:type="dxa"/>
              <w:top w:w="0" w:type="dxa"/>
              <w:right w:w="108" w:type="dxa"/>
              <w:bottom w:w="0" w:type="dxa"/>
            </w:tcMar>
            <w:tcW w:w="724"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(十四)</w:t>
            </w:r>
            <w:r/>
          </w:p>
        </w:tc>
        <w:tc>
          <w:tcPr>
            <w:tcMar>
              <w:left w:w="108" w:type="dxa"/>
              <w:top w:w="0" w:type="dxa"/>
              <w:right w:w="108" w:type="dxa"/>
              <w:bottom w:w="0" w:type="dxa"/>
            </w:tcMar>
            <w:tcW w:w="4275" w:type="dxa"/>
            <w:vAlign w:val="top"/>
            <w:textDirection w:val="lrTb"/>
            <w:noWrap w:val="false"/>
          </w:tcPr>
          <w:p>
            <w:pPr>
              <w:ind w:firstLine="482"/>
              <w:jc w:val="left"/>
              <w:rPr>
                <w:rFonts w:hint="eastAsia" w:ascii="宋体" w:hAnsi="宋体" w:cs="宋体"/>
                <w:b/>
                <w:bCs/>
                <w:color w:val="000000"/>
                <w:sz w:val="24"/>
                <w:highlight w:val="none"/>
              </w:rPr>
            </w:pPr>
            <w:r>
              <w:rPr>
                <w:rFonts w:hint="eastAsia" w:ascii="宋体" w:hAnsi="宋体" w:eastAsia="宋体" w:cs="宋体"/>
                <w:b/>
                <w:bCs/>
                <w:color w:val="000000"/>
                <w:sz w:val="24"/>
                <w:szCs w:val="24"/>
                <w:highlight w:val="none"/>
              </w:rPr>
              <w:t xml:space="preserve">本项目</w:t>
            </w:r>
            <w:r>
              <w:rPr>
                <w:rFonts w:hint="eastAsia" w:ascii="宋体" w:hAnsi="宋体" w:eastAsia="宋体" w:cs="宋体"/>
                <w:b/>
                <w:bCs/>
                <w:color w:val="000000"/>
                <w:sz w:val="24"/>
                <w:szCs w:val="24"/>
                <w:highlight w:val="none"/>
                <w:lang w:val="en-US" w:eastAsia="zh-CN"/>
              </w:rPr>
              <w:t xml:space="preserve">总预算为人民币</w:t>
            </w:r>
            <w:r>
              <w:rPr>
                <w:rFonts w:hint="eastAsia" w:ascii="宋体" w:hAnsi="宋体" w:cs="宋体"/>
                <w:b/>
                <w:bCs/>
                <w:color w:val="000000"/>
                <w:sz w:val="24"/>
                <w:szCs w:val="24"/>
                <w:highlight w:val="none"/>
                <w:lang w:val="en-US" w:eastAsia="zh-CN"/>
              </w:rPr>
              <w:t xml:space="preserve">126.7</w:t>
            </w:r>
            <w:r>
              <w:rPr>
                <w:rFonts w:hint="eastAsia" w:ascii="宋体" w:hAnsi="宋体" w:eastAsia="宋体" w:cs="宋体"/>
                <w:b/>
                <w:bCs/>
                <w:color w:val="000000"/>
                <w:sz w:val="24"/>
                <w:szCs w:val="24"/>
                <w:highlight w:val="none"/>
                <w:lang w:val="en-US" w:eastAsia="zh-CN"/>
              </w:rPr>
              <w:t xml:space="preserve">万元，且本项目不接收超过</w:t>
            </w:r>
            <w:r>
              <w:rPr>
                <w:rFonts w:hint="eastAsia" w:ascii="宋体" w:hAnsi="宋体" w:eastAsia="宋体" w:cs="宋体"/>
                <w:b/>
                <w:bCs/>
                <w:color w:val="000000"/>
                <w:sz w:val="24"/>
                <w:szCs w:val="24"/>
                <w:highlight w:val="none"/>
              </w:rPr>
              <w:t xml:space="preserve">人民币</w:t>
            </w:r>
            <w:r>
              <w:rPr>
                <w:rFonts w:hint="eastAsia" w:ascii="宋体" w:hAnsi="宋体" w:cs="宋体"/>
                <w:b/>
                <w:bCs/>
                <w:color w:val="000000"/>
                <w:sz w:val="24"/>
                <w:szCs w:val="24"/>
                <w:highlight w:val="none"/>
                <w:lang w:val="en-US" w:eastAsia="zh-CN"/>
              </w:rPr>
              <w:t xml:space="preserve">126.7</w:t>
            </w:r>
            <w:r>
              <w:rPr>
                <w:rFonts w:hint="eastAsia" w:ascii="宋体" w:hAnsi="宋体" w:eastAsia="宋体" w:cs="宋体"/>
                <w:b/>
                <w:bCs/>
                <w:color w:val="000000"/>
                <w:sz w:val="24"/>
                <w:szCs w:val="24"/>
                <w:highlight w:val="none"/>
              </w:rPr>
              <w:t xml:space="preserve">万元</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最高限价</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的投标报价</w:t>
            </w:r>
            <w:r>
              <w:rPr>
                <w:rFonts w:hint="eastAsia" w:ascii="宋体" w:hAnsi="宋体" w:cs="宋体"/>
                <w:b/>
                <w:bCs/>
                <w:color w:val="000000"/>
                <w:sz w:val="24"/>
                <w:highlight w:val="none"/>
              </w:rPr>
              <w:t xml:space="preserve">。</w:t>
            </w:r>
            <w:r/>
          </w:p>
          <w:p>
            <w:pPr>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投标报价包括但不限于货物、材料、五金件、制造、包装、运输、装卸、保险、安装、原有家具拆除转运、安装</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检测、验收合格交付使用之前及保修期内保修服务与备用物件等所有其他有关招标文件中规定的各项的含税费用。采购人不再支付报价以外的任何费用。</w:t>
            </w:r>
            <w:r/>
          </w:p>
        </w:tc>
      </w:tr>
      <w:tr>
        <w:trPr>
          <w:jc w:val="center"/>
          <w:trHeight w:val="347"/>
        </w:trPr>
        <w:tc>
          <w:tcPr>
            <w:tcMar>
              <w:left w:w="108" w:type="dxa"/>
              <w:top w:w="0" w:type="dxa"/>
              <w:right w:w="108" w:type="dxa"/>
              <w:bottom w:w="0" w:type="dxa"/>
            </w:tcMar>
            <w:tcW w:w="724"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(十五)</w:t>
            </w:r>
            <w:r/>
          </w:p>
        </w:tc>
        <w:tc>
          <w:tcPr>
            <w:tcMar>
              <w:left w:w="108" w:type="dxa"/>
              <w:top w:w="0" w:type="dxa"/>
              <w:right w:w="108" w:type="dxa"/>
              <w:bottom w:w="0" w:type="dxa"/>
            </w:tcMar>
            <w:tcW w:w="4275" w:type="dxa"/>
            <w:vAlign w:val="center"/>
            <w:textDirection w:val="lrTb"/>
            <w:noWrap w:val="false"/>
          </w:tcPr>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以人民币报价。</w:t>
            </w:r>
            <w:r/>
          </w:p>
        </w:tc>
      </w:tr>
      <w:tr>
        <w:trPr>
          <w:jc w:val="center"/>
          <w:trHeight w:val="90"/>
        </w:trPr>
        <w:tc>
          <w:tcPr>
            <w:tcMar>
              <w:left w:w="108" w:type="dxa"/>
              <w:top w:w="0" w:type="dxa"/>
              <w:right w:w="108" w:type="dxa"/>
              <w:bottom w:w="0" w:type="dxa"/>
            </w:tcMar>
            <w:tcW w:w="724"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（十七）</w:t>
            </w:r>
            <w:r/>
          </w:p>
        </w:tc>
        <w:tc>
          <w:tcPr>
            <w:tcMar>
              <w:left w:w="108" w:type="dxa"/>
              <w:top w:w="0" w:type="dxa"/>
              <w:right w:w="108" w:type="dxa"/>
              <w:bottom w:w="0" w:type="dxa"/>
            </w:tcMar>
            <w:tcW w:w="4275" w:type="dxa"/>
            <w:vAlign w:val="center"/>
            <w:textDirection w:val="lrTb"/>
            <w:noWrap w:val="false"/>
          </w:tcPr>
          <w:p>
            <w:pPr>
              <w:ind w:firstLine="56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投标人须用政府采购客户端工具导入“苏采云”系统下载的采购文件（后缀）、供应商操作手册及政府采购客户端工具可通过“苏采云”系统（网址：</w:t>
            </w: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cs="宋体"/>
                <w:color w:val="000000"/>
                <w:sz w:val="24"/>
                <w:highlight w:val="none"/>
              </w:rPr>
              <w:fldChar w:fldCharType="separate"/>
            </w:r>
            <w:r>
              <w:rPr>
                <w:rStyle w:val="922"/>
                <w:rFonts w:hint="eastAsia" w:ascii="宋体" w:hAnsi="宋体" w:cs="宋体"/>
                <w:color w:val="000000"/>
                <w:sz w:val="24"/>
                <w:highlight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922"/>
                <w:rFonts w:hint="eastAsia" w:ascii="宋体" w:hAnsi="宋体" w:cs="宋体"/>
                <w:color w:val="000000"/>
                <w:sz w:val="24"/>
                <w:highlight w:val="none"/>
              </w:rPr>
              <w:fldChar w:fldCharType="end"/>
            </w:r>
            <w:r/>
          </w:p>
          <w:p>
            <w:pPr>
              <w:ind w:firstLine="56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投标人应当通过“苏采云”系统提交数据电文形式的投标文件（即电子投标）。</w:t>
            </w:r>
            <w:r/>
          </w:p>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特别说明：政府采购客户端工具需要导出加密的投标文件（后缀名为</w:t>
            </w:r>
            <w:r>
              <w:rPr>
                <w:rFonts w:hint="eastAsia" w:ascii="宋体" w:hAnsi="宋体" w:cs="宋体"/>
                <w:b/>
                <w:bCs/>
                <w:color w:val="000000"/>
                <w:sz w:val="24"/>
                <w:highlight w:val="none"/>
              </w:rPr>
              <w:t xml:space="preserve">zip</w:t>
            </w:r>
            <w:r>
              <w:rPr>
                <w:rFonts w:hint="eastAsia" w:ascii="宋体" w:hAnsi="宋体" w:cs="宋体"/>
                <w:color w:val="000000"/>
                <w:sz w:val="24"/>
                <w:highlight w:val="none"/>
              </w:rPr>
              <w:t xml:space="preserve">）。</w:t>
            </w:r>
            <w:r>
              <w:rPr>
                <w:rFonts w:hint="eastAsia" w:ascii="宋体" w:hAnsi="宋体" w:cs="宋体"/>
                <w:b/>
                <w:bCs/>
                <w:color w:val="000000"/>
                <w:sz w:val="24"/>
                <w:highlight w:val="none"/>
              </w:rPr>
              <w:t xml:space="preserve">投标文件不得超过150M！</w:t>
            </w:r>
            <w:r>
              <w:rPr>
                <w:rFonts w:hint="eastAsia" w:ascii="宋体" w:hAnsi="宋体" w:cs="宋体"/>
                <w:color w:val="000000"/>
                <w:sz w:val="24"/>
                <w:highlight w:val="none"/>
              </w:rPr>
              <w:t xml:space="preserve">名为</w:t>
            </w:r>
            <w:r>
              <w:rPr>
                <w:rFonts w:hint="eastAsia" w:ascii="宋体" w:hAnsi="宋体" w:cs="宋体"/>
                <w:b/>
                <w:bCs/>
                <w:color w:val="000000"/>
                <w:sz w:val="24"/>
                <w:highlight w:val="none"/>
              </w:rPr>
              <w:t xml:space="preserve">“.kedt”</w:t>
            </w:r>
            <w:r>
              <w:rPr>
                <w:rFonts w:hint="eastAsia" w:ascii="宋体" w:hAnsi="宋体" w:cs="宋体"/>
                <w:color w:val="000000"/>
                <w:sz w:val="24"/>
                <w:highlight w:val="none"/>
              </w:rPr>
              <w:t xml:space="preserve">）后，离线编制投标文件。采购文件（后缀名为</w:t>
            </w:r>
            <w:r>
              <w:rPr>
                <w:rFonts w:hint="eastAsia" w:ascii="宋体" w:hAnsi="宋体" w:cs="宋体"/>
                <w:b/>
                <w:bCs/>
                <w:color w:val="000000"/>
                <w:sz w:val="24"/>
                <w:highlight w:val="none"/>
              </w:rPr>
              <w:t xml:space="preserve">“.kedt”）。</w:t>
            </w:r>
            <w:r/>
          </w:p>
        </w:tc>
      </w:tr>
      <w:tr>
        <w:trPr>
          <w:jc w:val="center"/>
          <w:trHeight w:val="90"/>
        </w:trPr>
        <w:tc>
          <w:tcPr>
            <w:tcMar>
              <w:left w:w="108" w:type="dxa"/>
              <w:top w:w="0" w:type="dxa"/>
              <w:right w:w="108" w:type="dxa"/>
              <w:bottom w:w="0" w:type="dxa"/>
            </w:tcMar>
            <w:tcW w:w="724"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(十八)</w:t>
            </w:r>
            <w:r/>
          </w:p>
        </w:tc>
        <w:tc>
          <w:tcPr>
            <w:tcMar>
              <w:left w:w="108" w:type="dxa"/>
              <w:top w:w="0" w:type="dxa"/>
              <w:right w:w="108" w:type="dxa"/>
              <w:bottom w:w="0" w:type="dxa"/>
            </w:tcMar>
            <w:tcW w:w="4275" w:type="dxa"/>
            <w:vAlign w:val="top"/>
            <w:textDirection w:val="lrTb"/>
            <w:noWrap w:val="false"/>
          </w:tcPr>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见本文件第三章《投标资料表》中(十二)1和(十二)2</w:t>
            </w:r>
            <w:r/>
          </w:p>
        </w:tc>
      </w:tr>
      <w:tr>
        <w:trPr>
          <w:jc w:val="center"/>
        </w:trPr>
        <w:tc>
          <w:tcPr>
            <w:tcMar>
              <w:left w:w="108" w:type="dxa"/>
              <w:top w:w="0" w:type="dxa"/>
              <w:right w:w="108" w:type="dxa"/>
              <w:bottom w:w="0" w:type="dxa"/>
            </w:tcMar>
            <w:tcW w:w="724"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(十九)</w:t>
            </w:r>
            <w:r/>
          </w:p>
        </w:tc>
        <w:tc>
          <w:tcPr>
            <w:tcMar>
              <w:left w:w="108" w:type="dxa"/>
              <w:top w:w="0" w:type="dxa"/>
              <w:right w:w="108" w:type="dxa"/>
              <w:bottom w:w="0" w:type="dxa"/>
            </w:tcMar>
            <w:tcW w:w="4275" w:type="dxa"/>
            <w:vAlign w:val="top"/>
            <w:textDirection w:val="lrTb"/>
            <w:noWrap w:val="false"/>
          </w:tcPr>
          <w:p>
            <w:pPr>
              <w:ind w:left="560" w:hanging="56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投标文件的提交与接收：</w:t>
            </w:r>
            <w:r>
              <w:rPr>
                <w:rFonts w:hint="eastAsia" w:ascii="宋体" w:hAnsi="宋体" w:cs="宋体"/>
                <w:color w:val="000000"/>
                <w:sz w:val="24"/>
                <w:highlight w:val="none"/>
              </w:rPr>
              <w:t xml:space="preserve"> </w:t>
            </w:r>
            <w:r/>
          </w:p>
          <w:p>
            <w:pPr>
              <w:ind w:left="564" w:hanging="157"/>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1、投标文件提交与接收时间：</w:t>
            </w:r>
            <w:r>
              <w:rPr>
                <w:rFonts w:hint="eastAsia" w:ascii="宋体" w:hAnsi="宋体" w:cs="宋体"/>
                <w:b/>
                <w:bCs/>
                <w:color w:val="000000"/>
                <w:sz w:val="24"/>
                <w:highlight w:val="none"/>
                <w:lang w:eastAsia="zh-CN"/>
              </w:rPr>
              <w:t xml:space="preserve">2026年8月18日</w:t>
            </w:r>
            <w:r>
              <w:rPr>
                <w:rFonts w:hint="eastAsia" w:ascii="宋体" w:hAnsi="宋体" w:cs="宋体"/>
                <w:b/>
                <w:bCs/>
                <w:color w:val="000000"/>
                <w:sz w:val="24"/>
                <w:highlight w:val="none"/>
                <w:lang w:val="en-US" w:eastAsia="zh-CN"/>
              </w:rPr>
              <w:t xml:space="preserve">9:30</w:t>
            </w:r>
            <w:r>
              <w:rPr>
                <w:rFonts w:hint="eastAsia" w:ascii="宋体" w:hAnsi="宋体" w:cs="宋体"/>
                <w:b/>
                <w:bCs/>
                <w:color w:val="000000"/>
                <w:sz w:val="24"/>
                <w:highlight w:val="none"/>
              </w:rPr>
              <w:t xml:space="preserve">前。</w:t>
            </w:r>
            <w:r/>
          </w:p>
          <w:p>
            <w:pPr>
              <w:ind w:firstLine="482"/>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2、投标文件提交与接收地点：</w:t>
            </w:r>
            <w:r>
              <w:rPr>
                <w:rFonts w:hint="eastAsia" w:ascii="宋体" w:hAnsi="宋体" w:cs="宋体"/>
                <w:color w:val="000000"/>
                <w:sz w:val="24"/>
                <w:highlight w:val="none"/>
              </w:rPr>
              <w:t xml:space="preserve">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724" w:type="dxa"/>
            <w:vAlign w:val="top"/>
            <w:vMerge w:val="restart"/>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w:t>
            </w:r>
            <w:r/>
          </w:p>
        </w:tc>
        <w:tc>
          <w:tcPr>
            <w:tcMar>
              <w:left w:w="108" w:type="dxa"/>
              <w:top w:w="0" w:type="dxa"/>
              <w:right w:w="108" w:type="dxa"/>
              <w:bottom w:w="0" w:type="dxa"/>
            </w:tcMar>
            <w:tcW w:w="4275" w:type="dxa"/>
            <w:vAlign w:val="top"/>
            <w:textDirection w:val="lrTb"/>
            <w:noWrap w:val="false"/>
          </w:tcPr>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电子投标文件应由其法定代表人或法定代表人授权代表在规定的网上投标时间内，</w:t>
            </w:r>
            <w:r>
              <w:rPr>
                <w:rFonts w:hint="eastAsia" w:ascii="宋体" w:hAnsi="宋体" w:cs="宋体"/>
                <w:b/>
                <w:color w:val="000000"/>
                <w:sz w:val="24"/>
                <w:highlight w:val="none"/>
              </w:rPr>
              <w:t xml:space="preserve">凭 CA 证书登陆“苏采云”系统在线编制投标文件（电子数据），并在投标截止时间之前上传投标文件。并于开标时凭CA锁进行解密。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724" w:type="dxa"/>
            <w:vAlign w:val="top"/>
            <w:vMerge w:val="continue"/>
            <w:textDirection w:val="lrTb"/>
            <w:noWrap w:val="false"/>
          </w:tcPr>
          <w:p>
            <w:pPr>
              <w:jc w:val="cente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r>
            <w:r/>
          </w:p>
        </w:tc>
        <w:tc>
          <w:tcPr>
            <w:tcMar>
              <w:left w:w="108" w:type="dxa"/>
              <w:top w:w="0" w:type="dxa"/>
              <w:right w:w="108" w:type="dxa"/>
              <w:bottom w:w="0" w:type="dxa"/>
            </w:tcMar>
            <w:tcW w:w="4275" w:type="dxa"/>
            <w:vAlign w:val="top"/>
            <w:textDirection w:val="lrTb"/>
            <w:noWrap w:val="false"/>
          </w:tcPr>
          <w:p>
            <w:pPr>
              <w:ind w:firstLine="480"/>
              <w:jc w:val="left"/>
              <w:widowControl/>
              <w:rPr>
                <w:rFonts w:ascii="宋体" w:hAnsi="宋体" w:cs="宋体"/>
                <w:color w:val="000000"/>
                <w:sz w:val="24"/>
                <w:highlight w:val="none"/>
              </w:rPr>
            </w:pPr>
            <w:r>
              <w:rPr>
                <w:rFonts w:hint="eastAsia" w:ascii="宋体" w:hAnsi="宋体" w:cs="宋体"/>
                <w:color w:val="000000"/>
                <w:sz w:val="24"/>
                <w:highlight w:val="none"/>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color w:val="000000"/>
                <w:sz w:val="24"/>
                <w:highlight w:val="none"/>
              </w:rPr>
              <w:t xml:space="preserve">开标时间后</w:t>
            </w:r>
            <w:r>
              <w:rPr>
                <w:rFonts w:hint="eastAsia" w:ascii="宋体" w:hAnsi="宋体" w:cs="宋体"/>
                <w:color w:val="000000"/>
                <w:sz w:val="24"/>
                <w:highlight w:val="none"/>
              </w:rPr>
              <w:t xml:space="preserve">，通过“苏采云”系统（使用“CA数字证书”）解密。解密时限：进入解密环节后，</w:t>
            </w:r>
            <w:r>
              <w:rPr>
                <w:rFonts w:hint="eastAsia" w:ascii="宋体" w:hAnsi="宋体" w:cs="宋体"/>
                <w:b/>
                <w:bCs/>
                <w:color w:val="000000"/>
                <w:sz w:val="24"/>
                <w:highlight w:val="none"/>
              </w:rPr>
              <w:t xml:space="preserve">30分钟内。</w:t>
            </w:r>
            <w:r/>
          </w:p>
          <w:p>
            <w:pPr>
              <w:ind w:firstLine="480"/>
              <w:jc w:val="left"/>
              <w:widowControl/>
              <w:rPr>
                <w:rFonts w:ascii="宋体" w:hAnsi="宋体" w:cs="宋体"/>
                <w:color w:val="000000"/>
                <w:sz w:val="24"/>
                <w:highlight w:val="none"/>
              </w:rPr>
            </w:pPr>
            <w:r>
              <w:rPr>
                <w:rFonts w:hint="eastAsia" w:ascii="宋体" w:hAnsi="宋体" w:cs="宋体"/>
                <w:color w:val="000000"/>
                <w:sz w:val="24"/>
                <w:highlight w:val="none"/>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hint="eastAsia" w:ascii="宋体" w:hAnsi="宋体" w:cs="宋体"/>
                <w:color w:val="000000"/>
                <w:sz w:val="24"/>
                <w:highlight w:val="none"/>
              </w:rPr>
            </w:pPr>
            <w:r>
              <w:rPr>
                <w:rFonts w:hint="eastAsia" w:ascii="宋体" w:hAnsi="宋体" w:cs="宋体"/>
                <w:bCs/>
                <w:color w:val="000000"/>
                <w:sz w:val="24"/>
                <w:highlight w:val="none"/>
              </w:rPr>
              <w:t xml:space="preserve">“苏采云”系统生成开标记录并向社会公众公布，但依法应当保密的除外。</w:t>
            </w:r>
            <w:r/>
          </w:p>
        </w:tc>
      </w:tr>
      <w:tr>
        <w:trPr>
          <w:jc w:val="center"/>
        </w:trPr>
        <w:tc>
          <w:tcPr>
            <w:tcMar>
              <w:left w:w="108" w:type="dxa"/>
              <w:top w:w="0" w:type="dxa"/>
              <w:right w:w="108" w:type="dxa"/>
              <w:bottom w:w="0" w:type="dxa"/>
            </w:tcMar>
            <w:tcW w:w="724" w:type="dxa"/>
            <w:vAlign w:val="top"/>
            <w:vMerge w:val="continue"/>
            <w:textDirection w:val="lrTb"/>
            <w:noWrap w:val="false"/>
          </w:tcPr>
          <w:p>
            <w:pPr>
              <w:jc w:val="cente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r>
            <w:r/>
          </w:p>
        </w:tc>
        <w:tc>
          <w:tcPr>
            <w:tcMar>
              <w:left w:w="108" w:type="dxa"/>
              <w:top w:w="0" w:type="dxa"/>
              <w:right w:w="108" w:type="dxa"/>
              <w:bottom w:w="0" w:type="dxa"/>
            </w:tcMar>
            <w:tcW w:w="4275" w:type="dxa"/>
            <w:vAlign w:val="top"/>
            <w:textDirection w:val="lrTb"/>
            <w:noWrap w:val="false"/>
          </w:tcPr>
          <w:p>
            <w:pPr>
              <w:ind w:firstLine="48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“苏采云”系统生成开标记录并</w:t>
            </w:r>
            <w:r>
              <w:rPr>
                <w:rFonts w:hint="eastAsia" w:ascii="宋体" w:hAnsi="宋体" w:cs="宋体"/>
                <w:b/>
                <w:bCs/>
                <w:color w:val="000000"/>
                <w:sz w:val="24"/>
                <w:highlight w:val="none"/>
              </w:rPr>
              <w:t xml:space="preserve">向社会公众公布后5分钟内</w:t>
            </w:r>
            <w:r>
              <w:rPr>
                <w:rFonts w:hint="eastAsia" w:ascii="宋体" w:hAnsi="宋体" w:cs="宋体"/>
                <w:color w:val="000000"/>
                <w:sz w:val="24"/>
                <w:highlight w:val="none"/>
              </w:rPr>
              <w:t xml:space="preserve">，投标人通过“苏采云”系统（使用“CA数字证书”）</w:t>
            </w:r>
            <w:r>
              <w:rPr>
                <w:rFonts w:hint="eastAsia" w:ascii="宋体" w:hAnsi="宋体" w:cs="宋体"/>
                <w:b/>
                <w:bCs/>
                <w:color w:val="000000"/>
                <w:sz w:val="24"/>
                <w:highlight w:val="none"/>
              </w:rPr>
              <w:t xml:space="preserve">确认开标过程</w:t>
            </w:r>
            <w:r>
              <w:rPr>
                <w:rFonts w:hint="eastAsia" w:ascii="宋体" w:hAnsi="宋体" w:cs="宋体"/>
                <w:color w:val="000000"/>
                <w:sz w:val="24"/>
                <w:highlight w:val="none"/>
              </w:rPr>
              <w:t xml:space="preserve">。在以上时间内投标人没有确认的，视同该投标人认可开标结果。</w:t>
            </w:r>
            <w:r/>
          </w:p>
        </w:tc>
      </w:tr>
      <w:tr>
        <w:trPr>
          <w:jc w:val="center"/>
        </w:trPr>
        <w:tc>
          <w:tcPr>
            <w:tcMar>
              <w:left w:w="108" w:type="dxa"/>
              <w:top w:w="0" w:type="dxa"/>
              <w:right w:w="108" w:type="dxa"/>
              <w:bottom w:w="0" w:type="dxa"/>
            </w:tcMar>
            <w:tcW w:w="724" w:type="dxa"/>
            <w:vAlign w:val="top"/>
            <w:vMerge w:val="continue"/>
            <w:textDirection w:val="lrTb"/>
            <w:noWrap w:val="false"/>
          </w:tcPr>
          <w:p>
            <w:pPr>
              <w:jc w:val="cente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r>
            <w:r/>
          </w:p>
        </w:tc>
        <w:tc>
          <w:tcPr>
            <w:tcMar>
              <w:left w:w="108" w:type="dxa"/>
              <w:top w:w="0" w:type="dxa"/>
              <w:right w:w="108" w:type="dxa"/>
              <w:bottom w:w="0" w:type="dxa"/>
            </w:tcMar>
            <w:tcW w:w="4275" w:type="dxa"/>
            <w:vAlign w:val="top"/>
            <w:textDirection w:val="lrTb"/>
            <w:noWrap w:val="false"/>
          </w:tcPr>
          <w:p>
            <w:pPr>
              <w:ind w:firstLine="48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因投标人原因造成投标文件未解密的，视为撤销其投标文件</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tcMar>
              <w:left w:w="108" w:type="dxa"/>
              <w:top w:w="0" w:type="dxa"/>
              <w:right w:w="108" w:type="dxa"/>
              <w:bottom w:w="0" w:type="dxa"/>
            </w:tcMar>
            <w:tcW w:w="724" w:type="dxa"/>
            <w:vAlign w:val="top"/>
            <w:vMerge w:val="continue"/>
            <w:textDirection w:val="lrTb"/>
            <w:noWrap w:val="false"/>
          </w:tcPr>
          <w:p>
            <w:pPr>
              <w:jc w:val="cente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r>
            <w:r/>
          </w:p>
        </w:tc>
        <w:tc>
          <w:tcPr>
            <w:tcMar>
              <w:left w:w="108" w:type="dxa"/>
              <w:top w:w="0" w:type="dxa"/>
              <w:right w:w="108" w:type="dxa"/>
              <w:bottom w:w="0" w:type="dxa"/>
            </w:tcMar>
            <w:tcW w:w="4275" w:type="dxa"/>
            <w:vAlign w:val="top"/>
            <w:textDirection w:val="lrTb"/>
            <w:noWrap w:val="false"/>
          </w:tcPr>
          <w:p>
            <w:pPr>
              <w:pStyle w:val="906"/>
              <w:ind w:firstLine="480"/>
              <w:spacing w:before="0" w:beforeAutospacing="0" w:after="0" w:afterAutospacing="0"/>
              <w:shd w:val="clear" w:color="auto" w:fill="ffffff"/>
              <w:rPr>
                <w:rFonts w:hint="eastAsia"/>
                <w:color w:val="000000"/>
                <w:highlight w:val="none"/>
              </w:rPr>
            </w:pPr>
            <w:r>
              <w:rPr>
                <w:rFonts w:hint="eastAsia"/>
                <w:color w:val="000000"/>
                <w:highlight w:val="none"/>
              </w:rPr>
              <w:t xml:space="preserve">投标文件解密失败的补救方案：无。</w:t>
            </w:r>
            <w:r/>
          </w:p>
        </w:tc>
      </w:tr>
      <w:tr>
        <w:trPr>
          <w:jc w:val="center"/>
        </w:trPr>
        <w:tc>
          <w:tcPr>
            <w:tcMar>
              <w:left w:w="108" w:type="dxa"/>
              <w:top w:w="0" w:type="dxa"/>
              <w:right w:w="108" w:type="dxa"/>
              <w:bottom w:w="0" w:type="dxa"/>
            </w:tcMar>
            <w:tcW w:w="724" w:type="dxa"/>
            <w:vAlign w:val="top"/>
            <w:textDirection w:val="lrTb"/>
            <w:noWrap w:val="false"/>
          </w:tcPr>
          <w:p>
            <w:pPr>
              <w:jc w:val="cente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四</w:t>
            </w:r>
            <w:r/>
          </w:p>
        </w:tc>
        <w:tc>
          <w:tcPr>
            <w:tcMar>
              <w:left w:w="108" w:type="dxa"/>
              <w:top w:w="0" w:type="dxa"/>
              <w:right w:w="108" w:type="dxa"/>
              <w:bottom w:w="0" w:type="dxa"/>
            </w:tcMar>
            <w:tcW w:w="4275" w:type="dxa"/>
            <w:vAlign w:val="top"/>
            <w:textDirection w:val="lrTb"/>
            <w:noWrap w:val="false"/>
          </w:tcPr>
          <w:p>
            <w:pP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开标</w:t>
            </w:r>
            <w:r/>
          </w:p>
        </w:tc>
      </w:tr>
      <w:tr>
        <w:trPr>
          <w:jc w:val="center"/>
          <w:trHeight w:val="90"/>
        </w:trPr>
        <w:tc>
          <w:tcPr>
            <w:tcMar>
              <w:left w:w="108" w:type="dxa"/>
              <w:top w:w="0" w:type="dxa"/>
              <w:right w:w="108" w:type="dxa"/>
              <w:bottom w:w="0" w:type="dxa"/>
            </w:tcMar>
            <w:tcW w:w="724"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(二十五)1</w:t>
            </w:r>
            <w:r/>
          </w:p>
        </w:tc>
        <w:tc>
          <w:tcPr>
            <w:tcMar>
              <w:left w:w="108" w:type="dxa"/>
              <w:top w:w="0" w:type="dxa"/>
              <w:right w:w="108" w:type="dxa"/>
              <w:bottom w:w="0" w:type="dxa"/>
            </w:tcMar>
            <w:tcW w:w="4275" w:type="dxa"/>
            <w:vAlign w:val="center"/>
            <w:textDirection w:val="lrTb"/>
            <w:noWrap w:val="false"/>
          </w:tcPr>
          <w:p>
            <w:pP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开标时间及地点：</w:t>
            </w:r>
            <w:r/>
          </w:p>
          <w:p>
            <w:pPr>
              <w:ind w:firstLine="482"/>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1、开标时间：</w:t>
            </w:r>
            <w:r>
              <w:rPr>
                <w:rFonts w:hint="eastAsia" w:ascii="宋体" w:hAnsi="宋体" w:cs="宋体"/>
                <w:b/>
                <w:color w:val="000000"/>
                <w:sz w:val="24"/>
                <w:highlight w:val="none"/>
                <w:lang w:eastAsia="zh-CN"/>
              </w:rPr>
              <w:t xml:space="preserve">2026年8月18日</w:t>
            </w:r>
            <w:r>
              <w:rPr>
                <w:rFonts w:hint="eastAsia" w:ascii="宋体" w:hAnsi="宋体" w:cs="宋体"/>
                <w:b/>
                <w:color w:val="000000"/>
                <w:sz w:val="24"/>
                <w:highlight w:val="none"/>
                <w:lang w:val="en-US" w:eastAsia="zh-CN"/>
              </w:rPr>
              <w:t xml:space="preserve">9:30</w:t>
            </w:r>
            <w:r>
              <w:rPr>
                <w:rFonts w:hint="eastAsia" w:ascii="宋体" w:hAnsi="宋体" w:cs="宋体"/>
                <w:b/>
                <w:color w:val="000000"/>
                <w:sz w:val="24"/>
                <w:highlight w:val="none"/>
              </w:rPr>
              <w:t xml:space="preserve">（标准时间）</w:t>
            </w:r>
            <w:r/>
          </w:p>
          <w:p>
            <w:pPr>
              <w:ind w:firstLine="482"/>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2、开标地点：</w:t>
            </w:r>
            <w:r>
              <w:rPr>
                <w:rFonts w:hint="eastAsia" w:ascii="宋体" w:hAnsi="宋体" w:cs="宋体"/>
                <w:color w:val="000000"/>
                <w:sz w:val="24"/>
                <w:highlight w:val="none"/>
              </w:rPr>
              <w:t xml:space="preserve">“苏采云”系统（网址： http://jszfcg.jsczt.cn/）“开标大厅”或进入徐州政府采购网（网址：https://czj.xz.gov.cn/zfcg/index.html）--办事指南--供应商--供应商登录入口，点击“苏采云”进入系统“开标大厅”。</w:t>
            </w:r>
            <w:r/>
          </w:p>
        </w:tc>
      </w:tr>
      <w:tr>
        <w:trPr>
          <w:jc w:val="center"/>
        </w:trPr>
        <w:tc>
          <w:tcPr>
            <w:tcMar>
              <w:left w:w="108" w:type="dxa"/>
              <w:top w:w="0" w:type="dxa"/>
              <w:right w:w="108" w:type="dxa"/>
              <w:bottom w:w="0" w:type="dxa"/>
            </w:tcMar>
            <w:tcW w:w="724"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(二十五)1</w:t>
            </w:r>
            <w:r/>
          </w:p>
        </w:tc>
        <w:tc>
          <w:tcPr>
            <w:tcMar>
              <w:left w:w="108" w:type="dxa"/>
              <w:top w:w="0" w:type="dxa"/>
              <w:right w:w="108" w:type="dxa"/>
              <w:bottom w:w="0" w:type="dxa"/>
            </w:tcMar>
            <w:tcW w:w="4275" w:type="dxa"/>
            <w:vAlign w:val="center"/>
            <w:textDirection w:val="lrTb"/>
            <w:noWrap w:val="false"/>
          </w:tcPr>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招标文件规定的需要宣布的内容：宣读投标人名称、投标价格。</w:t>
            </w:r>
            <w:r/>
          </w:p>
        </w:tc>
      </w:tr>
      <w:tr>
        <w:trPr>
          <w:jc w:val="center"/>
        </w:trPr>
        <w:tc>
          <w:tcPr>
            <w:tcMar>
              <w:left w:w="108" w:type="dxa"/>
              <w:top w:w="0" w:type="dxa"/>
              <w:right w:w="108" w:type="dxa"/>
              <w:bottom w:w="0" w:type="dxa"/>
            </w:tcMar>
            <w:tcW w:w="724" w:type="dxa"/>
            <w:vAlign w:val="top"/>
            <w:textDirection w:val="lrTb"/>
            <w:noWrap w:val="false"/>
          </w:tcPr>
          <w:p>
            <w:pPr>
              <w:jc w:val="cente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五</w:t>
            </w:r>
            <w:r/>
          </w:p>
        </w:tc>
        <w:tc>
          <w:tcPr>
            <w:tcMar>
              <w:left w:w="108" w:type="dxa"/>
              <w:top w:w="0" w:type="dxa"/>
              <w:right w:w="108" w:type="dxa"/>
              <w:bottom w:w="0" w:type="dxa"/>
            </w:tcMar>
            <w:tcW w:w="4275" w:type="dxa"/>
            <w:vAlign w:val="top"/>
            <w:textDirection w:val="lrTb"/>
            <w:noWrap w:val="false"/>
          </w:tcPr>
          <w:p>
            <w:pP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评标</w:t>
            </w:r>
            <w:r/>
          </w:p>
        </w:tc>
      </w:tr>
      <w:tr>
        <w:trPr>
          <w:jc w:val="center"/>
          <w:trHeight w:val="369"/>
        </w:trPr>
        <w:tc>
          <w:tcPr>
            <w:tcMar>
              <w:left w:w="108" w:type="dxa"/>
              <w:top w:w="0" w:type="dxa"/>
              <w:right w:w="108" w:type="dxa"/>
              <w:bottom w:w="0" w:type="dxa"/>
            </w:tcMar>
            <w:tcW w:w="724"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(二十七)</w:t>
            </w:r>
            <w:r/>
          </w:p>
        </w:tc>
        <w:tc>
          <w:tcPr>
            <w:tcMar>
              <w:left w:w="108" w:type="dxa"/>
              <w:top w:w="0" w:type="dxa"/>
              <w:right w:w="108" w:type="dxa"/>
              <w:bottom w:w="0" w:type="dxa"/>
            </w:tcMar>
            <w:tcW w:w="4275" w:type="dxa"/>
            <w:vAlign w:val="top"/>
            <w:textDirection w:val="lrTb"/>
            <w:noWrap w:val="false"/>
          </w:tcPr>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采用综合评分法。</w:t>
            </w:r>
            <w:r/>
          </w:p>
        </w:tc>
      </w:tr>
      <w:tr>
        <w:trPr>
          <w:jc w:val="center"/>
          <w:trHeight w:val="2120"/>
        </w:trPr>
        <w:tc>
          <w:tcPr>
            <w:tcMar>
              <w:left w:w="108" w:type="dxa"/>
              <w:top w:w="0" w:type="dxa"/>
              <w:right w:w="108" w:type="dxa"/>
              <w:bottom w:w="0" w:type="dxa"/>
            </w:tcMar>
            <w:tcW w:w="724"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(二十八)</w:t>
            </w:r>
            <w:r/>
          </w:p>
        </w:tc>
        <w:tc>
          <w:tcPr>
            <w:tcMar>
              <w:left w:w="108" w:type="dxa"/>
              <w:top w:w="0" w:type="dxa"/>
              <w:right w:w="108" w:type="dxa"/>
              <w:bottom w:w="0" w:type="dxa"/>
            </w:tcMar>
            <w:tcW w:w="4275" w:type="dxa"/>
            <w:vAlign w:val="top"/>
            <w:textDirection w:val="lrTb"/>
            <w:noWrap w:val="false"/>
          </w:tcPr>
          <w:p>
            <w:pPr>
              <w:ind w:firstLine="480"/>
              <w:keepLines w:val="0"/>
              <w:keepNext w:val="0"/>
              <w:pageBreakBefore w:val="0"/>
              <w:widowControl w:val="off"/>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一、推荐中标候选供应商名单。中标候选供应商数量应当根据采购需要确定，但必须按顺序排列中标候选供应商。</w:t>
            </w:r>
            <w:r/>
          </w:p>
          <w:p>
            <w:pPr>
              <w:ind w:firstLine="480"/>
              <w:keepLines w:val="0"/>
              <w:keepNext w:val="0"/>
              <w:pageBreakBefore w:val="0"/>
              <w:widowControl w:val="off"/>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二、中标候选人并列的，招标文件规定的确定中标人方式：</w:t>
            </w:r>
            <w:r/>
          </w:p>
          <w:p>
            <w:pPr>
              <w:ind w:firstLine="480"/>
              <w:keepLines w:val="0"/>
              <w:keepNext w:val="0"/>
              <w:pageBreakBefore w:val="0"/>
              <w:widowControl w:val="off"/>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（一）确定人：采购人。</w:t>
            </w:r>
            <w:r/>
          </w:p>
          <w:p>
            <w:pPr>
              <w:ind w:firstLine="480"/>
              <w:keepLines w:val="0"/>
              <w:keepNext w:val="0"/>
              <w:pageBreakBefore w:val="0"/>
              <w:widowControl w:val="off"/>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（二）确定中标人方式：</w:t>
            </w:r>
            <w:r/>
          </w:p>
          <w:p>
            <w:pPr>
              <w:ind w:firstLine="480"/>
              <w:keepLines w:val="0"/>
              <w:keepNext w:val="0"/>
              <w:pageBreakBefore w:val="0"/>
              <w:widowControl w:val="off"/>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按照以下顺序确定中标人：</w:t>
            </w:r>
            <w:r/>
          </w:p>
          <w:p>
            <w:pPr>
              <w:ind w:firstLine="480"/>
              <w:keepLines w:val="0"/>
              <w:keepNext w:val="0"/>
              <w:pageBreakBefore w:val="0"/>
              <w:widowControl w:val="off"/>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1、投标文件中提供所投产品的节能产品认证证书（不包括强制采购要求（如有），下同）的；或所投产品的环境标志产品认证证书的，被确定为中标人。</w:t>
            </w:r>
            <w:r/>
          </w:p>
          <w:p>
            <w:pPr>
              <w:ind w:firstLine="480"/>
              <w:keepLines w:val="0"/>
              <w:keepNext w:val="0"/>
              <w:pageBreakBefore w:val="0"/>
              <w:widowControl w:val="off"/>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都符合第1种情况的，投标文件中提供所投产品的节能产品认证证书和所投产品的环境标志产品认证证书的，被确定为中标人。</w:t>
            </w:r>
            <w:r/>
          </w:p>
          <w:p>
            <w:pPr>
              <w:ind w:firstLine="480"/>
              <w:keepLines w:val="0"/>
              <w:keepNext w:val="0"/>
              <w:pageBreakBefore w:val="0"/>
              <w:widowControl w:val="off"/>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都符合第2种情况的，投标文件中提供所投产品的节能产品认证证书、所投产品的环境标志产品认证证书和所投产品的绿色产品认证证书的，被确定为中标人。</w:t>
            </w:r>
            <w:r/>
          </w:p>
          <w:p>
            <w:pPr>
              <w:ind w:firstLine="480"/>
              <w:keepLines w:val="0"/>
              <w:keepNext w:val="0"/>
              <w:pageBreakBefore w:val="0"/>
              <w:widowControl w:val="off"/>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都符合第3种情况的，投标文件中提供所投产品的节能产品认证证书、所投产品的环境标志产品认证证书和所投产品的绿色产品认证证书，份数最多的，被确定为中标人。</w:t>
            </w:r>
            <w:r/>
          </w:p>
          <w:p>
            <w:pPr>
              <w:ind w:firstLine="480"/>
              <w:keepLines w:val="0"/>
              <w:keepNext w:val="0"/>
              <w:pageBreakBefore w:val="0"/>
              <w:widowControl w:val="off"/>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按照第4种情况，投标文件中提供所投产品的节能产品认证证书、所投产品的环境标志产品认证证书和所投产品的绿色产品认证证书份数也相同，所投产品使用低VOCs含量的，被确定为中标人。</w:t>
            </w:r>
            <w:r/>
          </w:p>
          <w:p>
            <w:pPr>
              <w:ind w:firstLine="480"/>
              <w:keepLines w:val="0"/>
              <w:keepNext w:val="0"/>
              <w:pageBreakBefore w:val="0"/>
              <w:widowControl w:val="off"/>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第5种情况仍无法确定的，由采购人确定。</w:t>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说明：所投产品的环境标志产品认证证书、所投产品的节能产品认证证书要求：见招标文件第三章《投标资料表》。</w:t>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r>
      <w:tr>
        <w:trPr>
          <w:jc w:val="center"/>
          <w:trHeight w:val="3764"/>
        </w:trPr>
        <w:tc>
          <w:tcPr>
            <w:tcMar>
              <w:left w:w="108" w:type="dxa"/>
              <w:top w:w="0" w:type="dxa"/>
              <w:right w:w="108" w:type="dxa"/>
              <w:bottom w:w="0" w:type="dxa"/>
            </w:tcMar>
            <w:tcW w:w="724"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（二十九）</w:t>
            </w:r>
            <w:r/>
          </w:p>
        </w:tc>
        <w:tc>
          <w:tcPr>
            <w:tcMar>
              <w:left w:w="108" w:type="dxa"/>
              <w:top w:w="0" w:type="dxa"/>
              <w:right w:w="108" w:type="dxa"/>
              <w:bottom w:w="0" w:type="dxa"/>
            </w:tcMar>
            <w:tcW w:w="4275" w:type="dxa"/>
            <w:vAlign w:val="top"/>
            <w:textDirection w:val="lrTb"/>
            <w:noWrap w:val="false"/>
          </w:tcPr>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1、评标中需要投标人对投标文件澄清或者说明的，应当通过“苏采云”系统交换数据电文。在评标期间，请投标人保持在线。</w:t>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3、投标人的澄清、说明或者补正应当采用通过“苏采云”系统（使用“CA数字证书”</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加盖电子签章）形式。投标人没有在规定的回复时间内作出必要的澄清、说明或者补正，评标委员会将认为投标人拒绝作出必要的澄清、说明或者补正，并承担相应的后果和法律责任。</w:t>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tcMar>
              <w:left w:w="108" w:type="dxa"/>
              <w:top w:w="0" w:type="dxa"/>
              <w:right w:w="108" w:type="dxa"/>
              <w:bottom w:w="0" w:type="dxa"/>
            </w:tcMar>
            <w:tcW w:w="724" w:type="dxa"/>
            <w:vAlign w:val="top"/>
            <w:textDirection w:val="lrTb"/>
            <w:noWrap w:val="false"/>
          </w:tcPr>
          <w:p>
            <w:pPr>
              <w:jc w:val="cente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w:t>
            </w:r>
            <w:r/>
          </w:p>
        </w:tc>
        <w:tc>
          <w:tcPr>
            <w:tcMar>
              <w:left w:w="108" w:type="dxa"/>
              <w:top w:w="0" w:type="dxa"/>
              <w:right w:w="108" w:type="dxa"/>
              <w:bottom w:w="0" w:type="dxa"/>
            </w:tcMar>
            <w:tcW w:w="4275" w:type="dxa"/>
            <w:vAlign w:val="top"/>
            <w:textDirection w:val="lrTb"/>
            <w:noWrap w:val="false"/>
          </w:tcPr>
          <w:p>
            <w:pPr>
              <w:ind w:firstLine="480"/>
              <w:rPr>
                <w:rFonts w:ascii="宋体" w:hAnsi="宋体" w:cs="宋体"/>
                <w:color w:val="000000"/>
                <w:sz w:val="24"/>
                <w:highlight w:val="none"/>
              </w:rPr>
            </w:pPr>
            <w:r/>
            <w:bookmarkStart w:id="1" w:name="OLE_LINK4"/>
            <w:r/>
            <w:bookmarkStart w:id="2" w:name="OLE_LINK7"/>
            <w:r>
              <w:rPr>
                <w:rFonts w:hint="eastAsia" w:ascii="宋体" w:hAnsi="宋体" w:cs="宋体"/>
                <w:color w:val="000000"/>
                <w:sz w:val="24"/>
                <w:highlight w:val="none"/>
              </w:rPr>
              <w:t xml:space="preserve">启动异常低价投标（响应）审查后，评审委员会应当要求相关供应商在评标现场合理的时间内，通过“苏采云”系统（使用“CA数字证书”</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加盖电子签章）提供</w:t>
            </w:r>
            <w:r>
              <w:rPr>
                <w:rFonts w:hint="eastAsia" w:ascii="宋体" w:hAnsi="宋体" w:cs="宋体"/>
                <w:b/>
                <w:color w:val="000000"/>
                <w:sz w:val="24"/>
                <w:highlight w:val="none"/>
              </w:rPr>
              <w:t xml:space="preserve">项目具体成本测算等与报价合理性相关的书面说明及相关证明材料</w:t>
            </w:r>
            <w:r>
              <w:rPr>
                <w:rFonts w:hint="eastAsia" w:ascii="宋体" w:hAnsi="宋体" w:cs="宋体"/>
                <w:color w:val="000000"/>
                <w:sz w:val="24"/>
                <w:highlight w:val="none"/>
              </w:rPr>
              <w:t xml:space="preserve">，对投标（响应）价格作出解释，由评审委员会</w:t>
            </w:r>
            <w:r>
              <w:rPr>
                <w:rFonts w:hint="eastAsia" w:ascii="宋体" w:hAnsi="宋体" w:cs="宋体"/>
                <w:b/>
                <w:color w:val="000000"/>
                <w:sz w:val="24"/>
                <w:highlight w:val="none"/>
              </w:rPr>
              <w:t xml:space="preserve">结合同类产品在主要电商平台的价格、该行业当地薪资水平等情况</w:t>
            </w:r>
            <w:r>
              <w:rPr>
                <w:rFonts w:hint="eastAsia" w:ascii="宋体" w:hAnsi="宋体" w:cs="宋体"/>
                <w:color w:val="000000"/>
                <w:sz w:val="24"/>
                <w:highlight w:val="none"/>
              </w:rPr>
              <w:t xml:space="preserve">，依据专业经验对供应商报价合理性进行判断。投标（响应）供应商</w:t>
            </w:r>
            <w:r>
              <w:rPr>
                <w:rFonts w:hint="eastAsia" w:ascii="宋体" w:hAnsi="宋体" w:cs="宋体"/>
                <w:b/>
                <w:color w:val="000000"/>
                <w:sz w:val="24"/>
                <w:highlight w:val="none"/>
              </w:rPr>
              <w:t xml:space="preserve">不提供书面说明、证明材料，或者提供的书面说明、证明材料不能证明其报价合理性的，评审委员会应当将其作为无效投标（响应）处理。</w:t>
            </w:r>
            <w:bookmarkEnd w:id="1"/>
            <w:r/>
            <w:bookmarkEnd w:id="2"/>
            <w:r/>
            <w:r/>
          </w:p>
          <w:p>
            <w:pPr>
              <w:ind w:firstLine="482"/>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特别说明：“苏采云”系统通过“江苏省政府采购一体化不见面开标大厅</w:t>
            </w:r>
            <w:r>
              <w:rPr>
                <w:rFonts w:hint="eastAsia" w:ascii="宋体" w:hAnsi="宋体" w:cs="宋体"/>
                <w:b/>
                <w:bCs/>
                <w:color w:val="000000"/>
                <w:sz w:val="24"/>
                <w:highlight w:val="none"/>
              </w:rPr>
              <w:t xml:space="preserve">”</w:t>
            </w:r>
            <w:r>
              <w:rPr>
                <w:rFonts w:hint="eastAsia" w:ascii="宋体" w:hAnsi="宋体" w:cs="宋体"/>
                <w:b/>
                <w:color w:val="000000"/>
                <w:sz w:val="24"/>
                <w:highlight w:val="none"/>
              </w:rPr>
              <w:t xml:space="preserve">提醒投标人，投标人自行查看。投标人未及时查看或因自身原因导致未收到信息的，责任自负。</w:t>
            </w:r>
            <w:r/>
          </w:p>
        </w:tc>
      </w:tr>
      <w:tr>
        <w:trPr>
          <w:jc w:val="center"/>
          <w:trHeight w:val="390"/>
        </w:trPr>
        <w:tc>
          <w:tcPr>
            <w:tcMar>
              <w:left w:w="108" w:type="dxa"/>
              <w:top w:w="0" w:type="dxa"/>
              <w:right w:w="108" w:type="dxa"/>
              <w:bottom w:w="0" w:type="dxa"/>
            </w:tcMar>
            <w:tcW w:w="724" w:type="dxa"/>
            <w:vAlign w:val="top"/>
            <w:textDirection w:val="lrTb"/>
            <w:noWrap w:val="false"/>
          </w:tcPr>
          <w:p>
            <w:pPr>
              <w:jc w:val="cente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七</w:t>
            </w:r>
            <w:r/>
          </w:p>
        </w:tc>
        <w:tc>
          <w:tcPr>
            <w:tcMar>
              <w:left w:w="108" w:type="dxa"/>
              <w:top w:w="0" w:type="dxa"/>
              <w:right w:w="108" w:type="dxa"/>
              <w:bottom w:w="0" w:type="dxa"/>
            </w:tcMar>
            <w:tcW w:w="4275" w:type="dxa"/>
            <w:vAlign w:val="top"/>
            <w:textDirection w:val="lrTb"/>
            <w:noWrap w:val="false"/>
          </w:tcPr>
          <w:p>
            <w:pP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政府采购合同</w:t>
            </w:r>
            <w:r/>
          </w:p>
        </w:tc>
      </w:tr>
      <w:tr>
        <w:trPr>
          <w:jc w:val="center"/>
        </w:trPr>
        <w:tc>
          <w:tcPr>
            <w:tcMar>
              <w:left w:w="108" w:type="dxa"/>
              <w:top w:w="0" w:type="dxa"/>
              <w:right w:w="108" w:type="dxa"/>
              <w:bottom w:w="0" w:type="dxa"/>
            </w:tcMar>
            <w:tcW w:w="724"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(三十六)</w:t>
            </w:r>
            <w:r/>
          </w:p>
        </w:tc>
        <w:tc>
          <w:tcPr>
            <w:tcMar>
              <w:left w:w="108" w:type="dxa"/>
              <w:top w:w="0" w:type="dxa"/>
              <w:right w:w="108" w:type="dxa"/>
              <w:bottom w:w="0" w:type="dxa"/>
            </w:tcMar>
            <w:tcW w:w="4275" w:type="dxa"/>
            <w:vAlign w:val="center"/>
            <w:textDirection w:val="lrTb"/>
            <w:noWrap w:val="false"/>
          </w:tcPr>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724" w:type="dxa"/>
            <w:vAlign w:val="top"/>
            <w:textDirection w:val="lrTb"/>
            <w:noWrap w:val="false"/>
          </w:tcPr>
          <w:p>
            <w:pPr>
              <w:jc w:val="center"/>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（三十八）</w:t>
            </w:r>
            <w:r/>
          </w:p>
        </w:tc>
        <w:tc>
          <w:tcPr>
            <w:tcMar>
              <w:left w:w="108" w:type="dxa"/>
              <w:top w:w="0" w:type="dxa"/>
              <w:right w:w="108" w:type="dxa"/>
              <w:bottom w:w="0" w:type="dxa"/>
            </w:tcMar>
            <w:tcW w:w="4275" w:type="dxa"/>
            <w:vAlign w:val="center"/>
            <w:textDirection w:val="lrTb"/>
            <w:noWrap w:val="false"/>
          </w:tcPr>
          <w:p>
            <w:pPr>
              <w:ind w:firstLine="482"/>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履约保证金：</w:t>
            </w:r>
            <w:r>
              <w:rPr>
                <w:rFonts w:hint="eastAsia" w:ascii="宋体" w:hAnsi="宋体" w:cs="宋体"/>
                <w:b/>
                <w:bCs/>
                <w:color w:val="000000"/>
                <w:sz w:val="24"/>
                <w:highlight w:val="none"/>
                <w:lang w:val="en-US" w:eastAsia="zh-CN"/>
              </w:rPr>
              <w:t xml:space="preserve">5</w:t>
            </w:r>
            <w:r>
              <w:rPr>
                <w:rFonts w:hint="eastAsia" w:ascii="宋体" w:hAnsi="宋体" w:cs="宋体"/>
                <w:b/>
                <w:bCs/>
                <w:color w:val="000000"/>
                <w:sz w:val="24"/>
                <w:highlight w:val="none"/>
              </w:rPr>
              <w:t xml:space="preserve">%，以支票、汇票、本票、电汇或者金融机构、担保机构出具的保函等非现金形式缴纳。</w:t>
            </w:r>
            <w:r/>
          </w:p>
        </w:tc>
      </w:tr>
      <w:tr>
        <w:trPr>
          <w:jc w:val="center"/>
          <w:trHeight w:val="390"/>
        </w:trPr>
        <w:tc>
          <w:tcPr>
            <w:tcMar>
              <w:left w:w="108" w:type="dxa"/>
              <w:top w:w="0" w:type="dxa"/>
              <w:right w:w="108" w:type="dxa"/>
              <w:bottom w:w="0" w:type="dxa"/>
            </w:tcMar>
            <w:tcW w:w="724" w:type="dxa"/>
            <w:vAlign w:val="top"/>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(四十)</w:t>
            </w:r>
            <w:r/>
          </w:p>
        </w:tc>
        <w:tc>
          <w:tcPr>
            <w:tcMar>
              <w:left w:w="108" w:type="dxa"/>
              <w:top w:w="0" w:type="dxa"/>
              <w:right w:w="108" w:type="dxa"/>
              <w:bottom w:w="0" w:type="dxa"/>
            </w:tcMar>
            <w:tcW w:w="4275" w:type="dxa"/>
            <w:vAlign w:val="top"/>
            <w:textDirection w:val="lrTb"/>
            <w:noWrap w:val="false"/>
          </w:tcPr>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firstLine="480"/>
              <w:rPr>
                <w:rFonts w:hint="default"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质疑接收人：</w:t>
            </w:r>
            <w:r>
              <w:rPr>
                <w:rFonts w:hint="eastAsia" w:ascii="宋体" w:hAnsi="宋体" w:cs="宋体"/>
                <w:color w:val="000000"/>
                <w:sz w:val="24"/>
                <w:highlight w:val="none"/>
                <w:lang w:val="en-US" w:eastAsia="zh-CN"/>
              </w:rPr>
              <w:t xml:space="preserve">魏鑫</w:t>
            </w:r>
            <w:r>
              <w:rPr>
                <w:rFonts w:hint="eastAsia" w:ascii="宋体" w:hAnsi="宋体" w:cs="宋体"/>
                <w:color w:val="000000"/>
                <w:sz w:val="24"/>
                <w:highlight w:val="none"/>
              </w:rPr>
              <w:t xml:space="preserve">      联系电话：19844397863</w:t>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地址：</w:t>
            </w:r>
            <w:r>
              <w:rPr>
                <w:rFonts w:hint="eastAsia" w:ascii="宋体" w:hAnsi="宋体" w:cs="宋体"/>
                <w:color w:val="000000"/>
                <w:sz w:val="24"/>
                <w:highlight w:val="none"/>
                <w:lang w:val="en-US" w:eastAsia="zh-CN"/>
              </w:rPr>
              <w:t xml:space="preserve">徐州市泉山区矿大软件园c4栋东单元4楼</w:t>
            </w:r>
            <w:r/>
          </w:p>
        </w:tc>
      </w:tr>
      <w:tr>
        <w:trPr>
          <w:jc w:val="center"/>
        </w:trPr>
        <w:tc>
          <w:tcPr>
            <w:tcMar>
              <w:left w:w="108" w:type="dxa"/>
              <w:top w:w="0" w:type="dxa"/>
              <w:right w:w="108" w:type="dxa"/>
              <w:bottom w:w="0" w:type="dxa"/>
            </w:tcMar>
            <w:tcW w:w="724" w:type="dxa"/>
            <w:vAlign w:val="top"/>
            <w:vMerge w:val="restart"/>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附加说明</w:t>
            </w:r>
            <w:r/>
          </w:p>
        </w:tc>
        <w:tc>
          <w:tcPr>
            <w:tcMar>
              <w:left w:w="108" w:type="dxa"/>
              <w:top w:w="0" w:type="dxa"/>
              <w:right w:w="108" w:type="dxa"/>
              <w:bottom w:w="0" w:type="dxa"/>
            </w:tcMar>
            <w:tcW w:w="4275" w:type="dxa"/>
            <w:vAlign w:val="top"/>
            <w:textDirection w:val="lrTb"/>
            <w:noWrap w:val="false"/>
          </w:tcPr>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中标人在收到中标通知书时，须向采购人和采购代理机构提交《开标一览表》和《分项价格表》的数据文件（WORD格式）。</w:t>
            </w:r>
            <w:r/>
          </w:p>
        </w:tc>
      </w:tr>
      <w:tr>
        <w:trPr>
          <w:jc w:val="center"/>
          <w:trHeight w:val="5018"/>
        </w:trPr>
        <w:tc>
          <w:tcPr>
            <w:tcMar>
              <w:left w:w="108" w:type="dxa"/>
              <w:top w:w="0" w:type="dxa"/>
              <w:right w:w="108" w:type="dxa"/>
              <w:bottom w:w="0" w:type="dxa"/>
            </w:tcMar>
            <w:tcW w:w="724" w:type="dxa"/>
            <w:vAlign w:val="top"/>
            <w:vMerge w:val="continue"/>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c>
          <w:tcPr>
            <w:tcMar>
              <w:left w:w="108" w:type="dxa"/>
              <w:top w:w="0" w:type="dxa"/>
              <w:right w:w="108" w:type="dxa"/>
              <w:bottom w:w="0" w:type="dxa"/>
            </w:tcMar>
            <w:tcW w:w="4275" w:type="dxa"/>
            <w:vAlign w:val="top"/>
            <w:textDirection w:val="lrTb"/>
            <w:noWrap w:val="false"/>
          </w:tcPr>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1、评标中需要投标人对投标文件澄清或者说明的，应当通过“苏采云”系统交换数据电文。在评标期间，请投标人保持在线。</w:t>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3、投标人的澄清、说明或者补正应当采用通过“苏采云”系统（使用“CA数字证书”</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加盖电子签章）形式。投标人没有在规定的回复时间内作出必要的澄清、说明或者补正，评标委员会将认为投标人拒绝作出必要的澄清、说明或者补正，并承担相应的后果和法律责任。</w:t>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4、招标文件中如需“授权代表签字或盖章”，供应商可打印成文档。签字或盖章后再扫描上传，最后再电子签章。</w:t>
            </w:r>
            <w:r/>
          </w:p>
          <w:p>
            <w:pPr>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5、中标人在收到中标通知书时，须向采购人和采购代理机构提交完整纸质版的投标文件（需盖投标人公章且胶装成册，1正4副本）。</w:t>
            </w:r>
            <w:r/>
          </w:p>
          <w:p>
            <w:pPr>
              <w:pStyle w:val="930"/>
              <w:rPr>
                <w:rFonts w:eastAsia="宋体"/>
                <w:color w:val="000000"/>
                <w:highlight w:val="none"/>
                <w:lang w:val="en-US" w:eastAsia="zh-CN"/>
              </w:rPr>
            </w:pPr>
            <w:r>
              <w:rPr>
                <w:rFonts w:hint="eastAsia"/>
                <w:color w:val="000000"/>
                <w:highlight w:val="none"/>
                <w:lang w:val="en-US" w:eastAsia="zh-CN"/>
              </w:rPr>
              <w:t xml:space="preserve">6、投标人应严格按照要求在投标系统指定位置上传相应文件及材料。因未上传或上传位置有误，导致评标委员会未能检索到相关内容的，由此产生的一切不利后果均由投标人自行承担。</w:t>
            </w:r>
            <w:r/>
          </w:p>
        </w:tc>
      </w:tr>
    </w:tbl>
    <w:p>
      <w:pPr>
        <w:ind w:firstLine="600"/>
        <w:spacing w:line="239"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highlight w:val="none"/>
        </w:rPr>
        <w:t xml:space="preserve"> </w:t>
      </w:r>
      <w:r/>
    </w:p>
    <w:p>
      <w:pPr>
        <w:ind w:firstLine="600"/>
        <w:spacing w:line="360" w:lineRule="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bCs/>
          <w:color w:val="000000"/>
          <w:sz w:val="24"/>
          <w:highlight w:val="none"/>
        </w:rPr>
      </w:r>
      <w:r/>
    </w:p>
    <w:p>
      <w:pPr>
        <w:spacing w:line="520" w:lineRule="exact"/>
        <w:widowControl/>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本章附件：招标代理服务收费标准</w:t>
      </w:r>
      <w:r/>
    </w:p>
    <w:p>
      <w:pPr>
        <w:pStyle w:val="803"/>
        <w:rPr>
          <w:rFonts w:hint="eastAsia"/>
          <w:highlight w:val="none"/>
        </w:rPr>
      </w:pPr>
      <w:r>
        <w:rPr>
          <w:rFonts w:hint="eastAsia"/>
          <w:highlight w:val="none"/>
        </w:rPr>
      </w:r>
      <w:r/>
    </w:p>
    <w:tbl>
      <w:tblPr>
        <w:tblStyle w:val="802"/>
        <w:tblW w:w="8623"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57"/>
        <w:gridCol w:w="3366"/>
      </w:tblGrid>
      <w:tr>
        <w:trPr>
          <w:jc w:val="center"/>
          <w:trHeight w:val="399"/>
        </w:trPr>
        <w:tc>
          <w:tcPr>
            <w:tcBorders>
              <w:top w:val="single" w:color="auto" w:sz="4" w:space="0"/>
            </w:tcBorders>
            <w:tcW w:w="525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w:t>
            </w:r>
            <w:r>
              <w:rPr>
                <w:rFonts w:hint="eastAsia" w:ascii="宋体" w:hAnsi="宋体" w:cs="宋体"/>
                <w:color w:val="auto"/>
                <w:sz w:val="24"/>
                <w:szCs w:val="24"/>
                <w:highlight w:val="none"/>
                <w:lang w:eastAsia="zh-CN"/>
              </w:rPr>
              <w:t xml:space="preserve">或者成交</w:t>
            </w:r>
            <w:r>
              <w:rPr>
                <w:rFonts w:hint="eastAsia" w:ascii="宋体" w:hAnsi="宋体" w:eastAsia="宋体" w:cs="宋体"/>
                <w:color w:val="auto"/>
                <w:sz w:val="24"/>
                <w:szCs w:val="24"/>
                <w:highlight w:val="none"/>
              </w:rPr>
              <w:t xml:space="preserve">金额</w:t>
            </w:r>
            <w:r/>
          </w:p>
        </w:tc>
        <w:tc>
          <w:tcPr>
            <w:tcBorders>
              <w:top w:val="single" w:color="auto" w:sz="4" w:space="0"/>
            </w:tcBorders>
            <w:tcW w:w="3366" w:type="dxa"/>
            <w:vAlign w:val="center"/>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费率</w:t>
            </w:r>
            <w:r/>
          </w:p>
        </w:tc>
      </w:tr>
      <w:tr>
        <w:trPr>
          <w:jc w:val="center"/>
          <w:trHeight w:val="590"/>
        </w:trPr>
        <w:tc>
          <w:tcPr>
            <w:tcBorders>
              <w:top w:val="single" w:color="auto" w:sz="4" w:space="0"/>
            </w:tcBorders>
            <w:tcW w:w="5257" w:type="dxa"/>
            <w:vAlign w:val="center"/>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最低收费金额（每个委托项目）</w:t>
            </w:r>
            <w:r/>
          </w:p>
        </w:tc>
        <w:tc>
          <w:tcPr>
            <w:tcBorders>
              <w:top w:val="single" w:color="auto" w:sz="4" w:space="0"/>
            </w:tcBorders>
            <w:tcW w:w="3366" w:type="dxa"/>
            <w:vAlign w:val="center"/>
            <w:textDirection w:val="lrTb"/>
            <w:noWrap w:val="false"/>
          </w:tcPr>
          <w:p>
            <w:pP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5000元</w:t>
            </w:r>
            <w:r/>
          </w:p>
        </w:tc>
      </w:tr>
      <w:tr>
        <w:trPr>
          <w:jc w:val="center"/>
          <w:trHeight w:val="399"/>
        </w:trPr>
        <w:tc>
          <w:tcPr>
            <w:tcW w:w="5257" w:type="dxa"/>
            <w:vAlign w:val="center"/>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万</w:t>
            </w:r>
            <w:r>
              <w:rPr>
                <w:rFonts w:hint="eastAsia" w:ascii="宋体" w:hAnsi="宋体" w:cs="宋体"/>
                <w:color w:val="auto"/>
                <w:sz w:val="24"/>
                <w:szCs w:val="24"/>
                <w:highlight w:val="none"/>
                <w:lang w:eastAsia="zh-CN"/>
              </w:rPr>
              <w:t xml:space="preserve">元</w:t>
            </w:r>
            <w:r>
              <w:rPr>
                <w:rFonts w:hint="eastAsia" w:ascii="宋体" w:hAnsi="宋体" w:eastAsia="宋体" w:cs="宋体"/>
                <w:color w:val="auto"/>
                <w:sz w:val="24"/>
                <w:szCs w:val="24"/>
                <w:highlight w:val="none"/>
              </w:rPr>
              <w:t xml:space="preserve">以下</w:t>
            </w:r>
            <w:r>
              <w:rPr>
                <w:rFonts w:hint="eastAsia" w:ascii="宋体" w:hAnsi="宋体" w:cs="宋体"/>
                <w:color w:val="auto"/>
                <w:sz w:val="24"/>
                <w:szCs w:val="24"/>
                <w:highlight w:val="none"/>
                <w:lang w:eastAsia="zh-CN"/>
              </w:rPr>
              <w:t xml:space="preserve">（含</w:t>
            </w:r>
            <w:r>
              <w:rPr>
                <w:rFonts w:hint="eastAsia" w:ascii="宋体" w:hAnsi="宋体" w:cs="宋体"/>
                <w:color w:val="auto"/>
                <w:sz w:val="24"/>
                <w:szCs w:val="24"/>
                <w:highlight w:val="none"/>
                <w:lang w:val="en-US" w:eastAsia="zh-CN"/>
              </w:rPr>
              <w:t xml:space="preserve">50万元</w:t>
            </w:r>
            <w:r>
              <w:rPr>
                <w:rFonts w:hint="eastAsia" w:ascii="宋体" w:hAnsi="宋体" w:cs="宋体"/>
                <w:color w:val="auto"/>
                <w:sz w:val="24"/>
                <w:szCs w:val="24"/>
                <w:highlight w:val="none"/>
                <w:lang w:eastAsia="zh-CN"/>
              </w:rPr>
              <w:t xml:space="preserve">）</w:t>
            </w:r>
            <w:r/>
          </w:p>
        </w:tc>
        <w:tc>
          <w:tcPr>
            <w:tcW w:w="336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0%</w:t>
            </w:r>
            <w:r/>
          </w:p>
        </w:tc>
      </w:tr>
      <w:tr>
        <w:trPr>
          <w:jc w:val="center"/>
          <w:trHeight w:val="399"/>
        </w:trPr>
        <w:tc>
          <w:tcPr>
            <w:tcW w:w="525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00万</w:t>
            </w:r>
            <w:r>
              <w:rPr>
                <w:rFonts w:hint="eastAsia" w:ascii="宋体" w:hAnsi="宋体" w:cs="宋体"/>
                <w:color w:val="auto"/>
                <w:sz w:val="24"/>
                <w:szCs w:val="24"/>
                <w:highlight w:val="none"/>
                <w:lang w:eastAsia="zh-CN"/>
              </w:rPr>
              <w:t xml:space="preserve">元（含</w:t>
            </w:r>
            <w:r>
              <w:rPr>
                <w:rFonts w:hint="eastAsia" w:ascii="宋体" w:hAnsi="宋体" w:cs="宋体"/>
                <w:color w:val="auto"/>
                <w:sz w:val="24"/>
                <w:szCs w:val="24"/>
                <w:highlight w:val="none"/>
                <w:lang w:val="en-US" w:eastAsia="zh-CN"/>
              </w:rPr>
              <w:t xml:space="preserve">400万元</w:t>
            </w:r>
            <w:r>
              <w:rPr>
                <w:rFonts w:hint="eastAsia" w:ascii="宋体" w:hAnsi="宋体" w:cs="宋体"/>
                <w:color w:val="auto"/>
                <w:sz w:val="24"/>
                <w:szCs w:val="24"/>
                <w:highlight w:val="none"/>
                <w:lang w:eastAsia="zh-CN"/>
              </w:rPr>
              <w:t xml:space="preserve">）</w:t>
            </w:r>
            <w:r/>
          </w:p>
        </w:tc>
        <w:tc>
          <w:tcPr>
            <w:tcW w:w="336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w:t>
            </w:r>
            <w:r/>
          </w:p>
        </w:tc>
      </w:tr>
      <w:tr>
        <w:trPr>
          <w:jc w:val="center"/>
          <w:trHeight w:val="399"/>
        </w:trPr>
        <w:tc>
          <w:tcPr>
            <w:tcW w:w="525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rPr>
              <w:t xml:space="preserve">0~</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00万</w:t>
            </w:r>
            <w:r>
              <w:rPr>
                <w:rFonts w:hint="eastAsia" w:ascii="宋体" w:hAnsi="宋体" w:cs="宋体"/>
                <w:color w:val="auto"/>
                <w:sz w:val="24"/>
                <w:szCs w:val="24"/>
                <w:highlight w:val="none"/>
                <w:lang w:eastAsia="zh-CN"/>
              </w:rPr>
              <w:t xml:space="preserve">元（含</w:t>
            </w:r>
            <w:r>
              <w:rPr>
                <w:rFonts w:hint="eastAsia" w:ascii="宋体" w:hAnsi="宋体" w:cs="宋体"/>
                <w:color w:val="auto"/>
                <w:sz w:val="24"/>
                <w:szCs w:val="24"/>
                <w:highlight w:val="none"/>
                <w:lang w:val="en-US" w:eastAsia="zh-CN"/>
              </w:rPr>
              <w:t xml:space="preserve">1000万元</w:t>
            </w:r>
            <w:r>
              <w:rPr>
                <w:rFonts w:hint="eastAsia" w:ascii="宋体" w:hAnsi="宋体" w:cs="宋体"/>
                <w:color w:val="auto"/>
                <w:sz w:val="24"/>
                <w:szCs w:val="24"/>
                <w:highlight w:val="none"/>
                <w:lang w:eastAsia="zh-CN"/>
              </w:rPr>
              <w:t xml:space="preserve">）</w:t>
            </w:r>
            <w:r/>
          </w:p>
        </w:tc>
        <w:tc>
          <w:tcPr>
            <w:tcW w:w="336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w:t>
            </w:r>
            <w:r/>
          </w:p>
        </w:tc>
      </w:tr>
      <w:tr>
        <w:trPr>
          <w:jc w:val="center"/>
          <w:trHeight w:val="399"/>
        </w:trPr>
        <w:tc>
          <w:tcPr>
            <w:tcW w:w="525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100</w:t>
            </w:r>
            <w:r>
              <w:rPr>
                <w:rFonts w:hint="eastAsia" w:ascii="宋体" w:hAnsi="宋体" w:eastAsia="宋体" w:cs="宋体"/>
                <w:color w:val="auto"/>
                <w:sz w:val="24"/>
                <w:szCs w:val="24"/>
                <w:highlight w:val="none"/>
              </w:rPr>
              <w:t xml:space="preserve">0~</w:t>
            </w: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00万</w:t>
            </w:r>
            <w:r>
              <w:rPr>
                <w:rFonts w:hint="eastAsia" w:ascii="宋体" w:hAnsi="宋体" w:cs="宋体"/>
                <w:color w:val="auto"/>
                <w:sz w:val="24"/>
                <w:szCs w:val="24"/>
                <w:highlight w:val="none"/>
                <w:lang w:eastAsia="zh-CN"/>
              </w:rPr>
              <w:t xml:space="preserve">元（含</w:t>
            </w:r>
            <w:r>
              <w:rPr>
                <w:rFonts w:hint="eastAsia" w:ascii="宋体" w:hAnsi="宋体" w:cs="宋体"/>
                <w:color w:val="auto"/>
                <w:sz w:val="24"/>
                <w:szCs w:val="24"/>
                <w:highlight w:val="none"/>
                <w:lang w:val="en-US" w:eastAsia="zh-CN"/>
              </w:rPr>
              <w:t xml:space="preserve">5000万元</w:t>
            </w:r>
            <w:r>
              <w:rPr>
                <w:rFonts w:hint="eastAsia" w:ascii="宋体" w:hAnsi="宋体" w:cs="宋体"/>
                <w:color w:val="auto"/>
                <w:sz w:val="24"/>
                <w:szCs w:val="24"/>
                <w:highlight w:val="none"/>
                <w:lang w:eastAsia="zh-CN"/>
              </w:rPr>
              <w:t xml:space="preserve">）</w:t>
            </w:r>
            <w:r/>
          </w:p>
        </w:tc>
        <w:tc>
          <w:tcPr>
            <w:tcW w:w="336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0.80</w:t>
            </w:r>
            <w:r>
              <w:rPr>
                <w:rFonts w:hint="eastAsia" w:ascii="宋体" w:hAnsi="宋体" w:eastAsia="宋体" w:cs="宋体"/>
                <w:color w:val="auto"/>
                <w:sz w:val="24"/>
                <w:szCs w:val="24"/>
                <w:highlight w:val="none"/>
              </w:rPr>
              <w:t xml:space="preserve">%</w:t>
            </w:r>
            <w:r/>
          </w:p>
        </w:tc>
      </w:tr>
      <w:tr>
        <w:trPr>
          <w:jc w:val="center"/>
          <w:trHeight w:val="409"/>
        </w:trPr>
        <w:tc>
          <w:tcPr>
            <w:tcW w:w="525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val="en-US" w:eastAsia="zh-CN"/>
              </w:rPr>
              <w:t xml:space="preserve">00</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1亿</w:t>
            </w:r>
            <w:r>
              <w:rPr>
                <w:rFonts w:hint="eastAsia" w:ascii="宋体" w:hAnsi="宋体" w:cs="宋体"/>
                <w:color w:val="auto"/>
                <w:sz w:val="24"/>
                <w:szCs w:val="24"/>
                <w:highlight w:val="none"/>
                <w:lang w:eastAsia="zh-CN"/>
              </w:rPr>
              <w:t xml:space="preserve">元（含</w:t>
            </w:r>
            <w:r>
              <w:rPr>
                <w:rFonts w:hint="eastAsia" w:ascii="宋体" w:hAnsi="宋体" w:cs="宋体"/>
                <w:color w:val="auto"/>
                <w:sz w:val="24"/>
                <w:szCs w:val="24"/>
                <w:highlight w:val="none"/>
                <w:lang w:val="en-US" w:eastAsia="zh-CN"/>
              </w:rPr>
              <w:t xml:space="preserve">1亿</w:t>
            </w:r>
            <w:r>
              <w:rPr>
                <w:rFonts w:hint="eastAsia" w:ascii="宋体" w:hAnsi="宋体" w:cs="宋体"/>
                <w:color w:val="auto"/>
                <w:sz w:val="24"/>
                <w:szCs w:val="24"/>
                <w:highlight w:val="none"/>
                <w:lang w:eastAsia="zh-CN"/>
              </w:rPr>
              <w:t xml:space="preserve">元）</w:t>
            </w:r>
            <w:r/>
          </w:p>
        </w:tc>
        <w:tc>
          <w:tcPr>
            <w:tcW w:w="336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0.25</w:t>
            </w:r>
            <w:r>
              <w:rPr>
                <w:rFonts w:hint="eastAsia" w:ascii="宋体" w:hAnsi="宋体" w:eastAsia="宋体" w:cs="宋体"/>
                <w:color w:val="auto"/>
                <w:sz w:val="24"/>
                <w:szCs w:val="24"/>
                <w:highlight w:val="none"/>
              </w:rPr>
              <w:t xml:space="preserve">%</w:t>
            </w:r>
            <w:r/>
          </w:p>
        </w:tc>
      </w:tr>
      <w:tr>
        <w:trPr>
          <w:jc w:val="center"/>
          <w:trHeight w:val="399"/>
        </w:trPr>
        <w:tc>
          <w:tcPr>
            <w:tcW w:w="525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10亿</w:t>
            </w:r>
            <w:r>
              <w:rPr>
                <w:rFonts w:hint="eastAsia" w:ascii="宋体" w:hAnsi="宋体" w:cs="宋体"/>
                <w:color w:val="auto"/>
                <w:sz w:val="24"/>
                <w:szCs w:val="24"/>
                <w:highlight w:val="none"/>
                <w:lang w:eastAsia="zh-CN"/>
              </w:rPr>
              <w:t xml:space="preserve">元（含</w:t>
            </w:r>
            <w:r>
              <w:rPr>
                <w:rFonts w:hint="eastAsia" w:ascii="宋体" w:hAnsi="宋体" w:cs="宋体"/>
                <w:color w:val="auto"/>
                <w:sz w:val="24"/>
                <w:szCs w:val="24"/>
                <w:highlight w:val="none"/>
                <w:lang w:val="en-US" w:eastAsia="zh-CN"/>
              </w:rPr>
              <w:t xml:space="preserve">10亿</w:t>
            </w:r>
            <w:r>
              <w:rPr>
                <w:rFonts w:hint="eastAsia" w:ascii="宋体" w:hAnsi="宋体" w:cs="宋体"/>
                <w:color w:val="auto"/>
                <w:sz w:val="24"/>
                <w:szCs w:val="24"/>
                <w:highlight w:val="none"/>
                <w:lang w:eastAsia="zh-CN"/>
              </w:rPr>
              <w:t xml:space="preserve">元）</w:t>
            </w:r>
            <w:r/>
          </w:p>
        </w:tc>
        <w:tc>
          <w:tcPr>
            <w:tcW w:w="336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0.05</w:t>
            </w:r>
            <w:r>
              <w:rPr>
                <w:rFonts w:hint="eastAsia" w:ascii="宋体" w:hAnsi="宋体" w:eastAsia="宋体" w:cs="宋体"/>
                <w:color w:val="auto"/>
                <w:sz w:val="24"/>
                <w:szCs w:val="24"/>
                <w:highlight w:val="none"/>
              </w:rPr>
              <w:t xml:space="preserve">%</w:t>
            </w:r>
            <w:r/>
          </w:p>
        </w:tc>
      </w:tr>
      <w:tr>
        <w:trPr>
          <w:jc w:val="center"/>
          <w:trHeight w:val="399"/>
        </w:trPr>
        <w:tc>
          <w:tcPr>
            <w:tcW w:w="525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50亿</w:t>
            </w:r>
            <w:r>
              <w:rPr>
                <w:rFonts w:hint="eastAsia" w:ascii="宋体" w:hAnsi="宋体" w:cs="宋体"/>
                <w:color w:val="auto"/>
                <w:sz w:val="24"/>
                <w:szCs w:val="24"/>
                <w:highlight w:val="none"/>
                <w:lang w:eastAsia="zh-CN"/>
              </w:rPr>
              <w:t xml:space="preserve">元（含</w:t>
            </w:r>
            <w:r>
              <w:rPr>
                <w:rFonts w:hint="eastAsia" w:ascii="宋体" w:hAnsi="宋体" w:cs="宋体"/>
                <w:color w:val="auto"/>
                <w:sz w:val="24"/>
                <w:szCs w:val="24"/>
                <w:highlight w:val="none"/>
                <w:lang w:val="en-US" w:eastAsia="zh-CN"/>
              </w:rPr>
              <w:t xml:space="preserve">50亿</w:t>
            </w:r>
            <w:r>
              <w:rPr>
                <w:rFonts w:hint="eastAsia" w:ascii="宋体" w:hAnsi="宋体" w:cs="宋体"/>
                <w:color w:val="auto"/>
                <w:sz w:val="24"/>
                <w:szCs w:val="24"/>
                <w:highlight w:val="none"/>
                <w:lang w:eastAsia="zh-CN"/>
              </w:rPr>
              <w:t xml:space="preserve">元）</w:t>
            </w:r>
            <w:r/>
          </w:p>
        </w:tc>
        <w:tc>
          <w:tcPr>
            <w:tcW w:w="336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0.01</w:t>
            </w:r>
            <w:r>
              <w:rPr>
                <w:rFonts w:hint="eastAsia" w:ascii="宋体" w:hAnsi="宋体" w:eastAsia="宋体" w:cs="宋体"/>
                <w:color w:val="auto"/>
                <w:sz w:val="24"/>
                <w:szCs w:val="24"/>
                <w:highlight w:val="none"/>
              </w:rPr>
              <w:t xml:space="preserve">%</w:t>
            </w:r>
            <w:r/>
          </w:p>
        </w:tc>
      </w:tr>
      <w:tr>
        <w:trPr>
          <w:jc w:val="center"/>
          <w:trHeight w:val="455"/>
        </w:trPr>
        <w:tc>
          <w:tcPr>
            <w:tcW w:w="5257" w:type="dxa"/>
            <w:vAlign w:val="center"/>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50亿</w:t>
            </w:r>
            <w:r>
              <w:rPr>
                <w:rFonts w:hint="eastAsia" w:ascii="宋体" w:hAnsi="宋体" w:cs="宋体"/>
                <w:color w:val="auto"/>
                <w:sz w:val="24"/>
                <w:szCs w:val="24"/>
                <w:highlight w:val="none"/>
                <w:lang w:eastAsia="zh-CN"/>
              </w:rPr>
              <w:t xml:space="preserve">元</w:t>
            </w:r>
            <w:r>
              <w:rPr>
                <w:rFonts w:hint="eastAsia" w:ascii="宋体" w:hAnsi="宋体" w:eastAsia="宋体" w:cs="宋体"/>
                <w:color w:val="auto"/>
                <w:sz w:val="24"/>
                <w:szCs w:val="24"/>
                <w:highlight w:val="none"/>
                <w:lang w:val="en-US" w:eastAsia="zh-CN"/>
              </w:rPr>
              <w:t xml:space="preserve">以上</w:t>
            </w:r>
            <w:r/>
          </w:p>
        </w:tc>
        <w:tc>
          <w:tcPr>
            <w:tcW w:w="336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0.00</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p>
        </w:tc>
      </w:tr>
    </w:tbl>
    <w:p>
      <w:pPr>
        <w:pStyle w:val="821"/>
        <w:ind w:left="0" w:firstLine="0"/>
        <w:keepLines w:val="0"/>
        <w:keepNext w:val="0"/>
        <w:spacing w:beforeAutospacing="1" w:afterAutospacing="1"/>
        <w:widowControl/>
        <w:rPr>
          <w:rFonts w:hint="eastAsia" w:ascii="宋体" w:hAnsi="宋体" w:eastAsia="Arial" w:cs="宋体"/>
          <w:color w:val="auto"/>
          <w:spacing w:val="6"/>
          <w:sz w:val="24"/>
          <w:szCs w:val="22"/>
          <w:highlight w:val="none"/>
          <w:lang w:val="en-US" w:eastAsia="zh-CN" w:bidi="ar-SA"/>
        </w:rPr>
        <w:suppressLineNumbers w:val="0"/>
      </w:pPr>
      <w:r>
        <w:rPr>
          <w:rFonts w:hint="eastAsia" w:ascii="宋体" w:hAnsi="宋体" w:eastAsia="Arial" w:cs="宋体"/>
          <w:color w:val="auto"/>
          <w:spacing w:val="6"/>
          <w:sz w:val="24"/>
          <w:szCs w:val="22"/>
          <w:highlight w:val="none"/>
          <w:lang w:val="en-US" w:eastAsia="zh-CN" w:bidi="ar-SA"/>
        </w:rPr>
        <w:t xml:space="preserve">说明:</w:t>
      </w:r>
      <w:r/>
    </w:p>
    <w:p>
      <w:pPr>
        <w:pStyle w:val="821"/>
        <w:ind w:left="0" w:firstLine="0"/>
        <w:keepLines w:val="0"/>
        <w:keepNext w:val="0"/>
        <w:spacing w:beforeAutospacing="1" w:afterAutospacing="1"/>
        <w:widowControl/>
        <w:rPr>
          <w:rFonts w:hint="eastAsia" w:ascii="宋体" w:hAnsi="宋体" w:eastAsia="Arial" w:cs="宋体"/>
          <w:color w:val="auto"/>
          <w:spacing w:val="6"/>
          <w:sz w:val="24"/>
          <w:szCs w:val="22"/>
          <w:highlight w:val="none"/>
          <w:lang w:val="en-US" w:eastAsia="zh-CN" w:bidi="ar-SA"/>
        </w:rPr>
        <w:suppressLineNumbers w:val="0"/>
      </w:pPr>
      <w:r>
        <w:rPr>
          <w:rFonts w:hint="eastAsia" w:ascii="宋体" w:hAnsi="宋体" w:eastAsia="Arial" w:cs="宋体"/>
          <w:color w:val="auto"/>
          <w:spacing w:val="6"/>
          <w:sz w:val="24"/>
          <w:szCs w:val="22"/>
          <w:highlight w:val="none"/>
          <w:lang w:val="en-US" w:eastAsia="zh-CN" w:bidi="ar-SA"/>
        </w:rPr>
        <w:t xml:space="preserve">1.按上表计算的收费为代理服务全过程的收费金额。代理机构不再收取采购文件制作售卖费用。</w:t>
      </w:r>
      <w:r/>
    </w:p>
    <w:p>
      <w:pPr>
        <w:pStyle w:val="821"/>
        <w:ind w:left="0" w:firstLine="0"/>
        <w:keepLines w:val="0"/>
        <w:keepNext w:val="0"/>
        <w:spacing w:beforeAutospacing="1" w:afterAutospacing="1"/>
        <w:widowControl/>
        <w:rPr>
          <w:rFonts w:hint="eastAsia" w:ascii="宋体" w:hAnsi="宋体" w:eastAsia="Arial" w:cs="宋体"/>
          <w:color w:val="auto"/>
          <w:spacing w:val="6"/>
          <w:sz w:val="24"/>
          <w:szCs w:val="22"/>
          <w:highlight w:val="none"/>
          <w:lang w:val="en-US" w:eastAsia="zh-CN" w:bidi="ar-SA"/>
        </w:rPr>
        <w:suppressLineNumbers w:val="0"/>
      </w:pPr>
      <w:r>
        <w:rPr>
          <w:rFonts w:hint="eastAsia" w:ascii="宋体" w:hAnsi="宋体" w:eastAsia="Arial" w:cs="宋体"/>
          <w:color w:val="auto"/>
          <w:spacing w:val="6"/>
          <w:sz w:val="24"/>
          <w:szCs w:val="22"/>
          <w:highlight w:val="none"/>
          <w:lang w:val="en-US" w:eastAsia="zh-CN" w:bidi="ar-SA"/>
        </w:rPr>
        <w:t xml:space="preserve">2.代理服务费按差额定率累进法计算。</w:t>
      </w:r>
      <w:r/>
    </w:p>
    <w:p>
      <w:pPr>
        <w:pStyle w:val="821"/>
        <w:ind w:left="0" w:firstLine="0"/>
        <w:keepLines w:val="0"/>
        <w:keepNext w:val="0"/>
        <w:spacing w:beforeAutospacing="1" w:afterAutospacing="1"/>
        <w:widowControl/>
        <w:rPr>
          <w:rFonts w:hint="eastAsia" w:ascii="宋体" w:hAnsi="宋体" w:eastAsia="Arial" w:cs="宋体"/>
          <w:color w:val="auto"/>
          <w:spacing w:val="6"/>
          <w:sz w:val="24"/>
          <w:szCs w:val="22"/>
          <w:highlight w:val="none"/>
          <w:lang w:val="en-US" w:eastAsia="zh-CN" w:bidi="ar-SA"/>
        </w:rPr>
        <w:suppressLineNumbers w:val="0"/>
      </w:pPr>
      <w:r>
        <w:rPr>
          <w:rFonts w:hint="eastAsia" w:ascii="宋体" w:hAnsi="宋体" w:eastAsia="Arial" w:cs="宋体"/>
          <w:color w:val="auto"/>
          <w:spacing w:val="6"/>
          <w:sz w:val="24"/>
          <w:szCs w:val="22"/>
          <w:highlight w:val="none"/>
          <w:lang w:val="en-US" w:eastAsia="zh-CN" w:bidi="ar-SA"/>
        </w:rPr>
        <w:t xml:space="preserve">3.代理服务费基准金额(按差额定率累进法计算的)=中标金额(按差额定率累进法计算的)*费率(%)。</w:t>
      </w:r>
      <w:r/>
    </w:p>
    <w:p>
      <w:pPr>
        <w:pStyle w:val="821"/>
        <w:ind w:left="0" w:firstLine="0"/>
        <w:keepLines w:val="0"/>
        <w:keepNext w:val="0"/>
        <w:spacing w:beforeAutospacing="1" w:afterAutospacing="1"/>
        <w:widowControl/>
        <w:rPr>
          <w:rFonts w:hint="eastAsia" w:ascii="宋体" w:hAnsi="宋体" w:eastAsia="Arial" w:cs="宋体"/>
          <w:color w:val="auto"/>
          <w:spacing w:val="6"/>
          <w:sz w:val="24"/>
          <w:szCs w:val="22"/>
          <w:highlight w:val="none"/>
          <w:lang w:val="en-US" w:eastAsia="zh-CN" w:bidi="ar-SA"/>
        </w:rPr>
        <w:suppressLineNumbers w:val="0"/>
      </w:pPr>
      <w:r>
        <w:rPr>
          <w:rFonts w:hint="eastAsia" w:ascii="宋体" w:hAnsi="宋体" w:eastAsia="Arial" w:cs="宋体"/>
          <w:color w:val="auto"/>
          <w:spacing w:val="6"/>
          <w:sz w:val="24"/>
          <w:szCs w:val="22"/>
          <w:highlight w:val="none"/>
          <w:lang w:val="en-US" w:eastAsia="zh-CN" w:bidi="ar-SA"/>
        </w:rPr>
        <w:t xml:space="preserve">4.代理服务费应收取金额=代理服务费基准金额(按差额定率累进法计算的)的合计数。</w:t>
      </w:r>
      <w:r/>
    </w:p>
    <w:p>
      <w:pPr>
        <w:pStyle w:val="821"/>
        <w:ind w:left="0" w:firstLine="0"/>
        <w:keepLines w:val="0"/>
        <w:keepNext w:val="0"/>
        <w:spacing w:beforeAutospacing="1" w:afterAutospacing="1"/>
        <w:widowControl/>
        <w:rPr>
          <w:rFonts w:hint="eastAsia" w:ascii="宋体" w:hAnsi="宋体" w:eastAsia="Arial" w:cs="宋体"/>
          <w:color w:val="auto"/>
          <w:spacing w:val="6"/>
          <w:sz w:val="24"/>
          <w:szCs w:val="22"/>
          <w:highlight w:val="none"/>
          <w:lang w:val="en-US" w:eastAsia="zh-CN" w:bidi="ar-SA"/>
        </w:rPr>
        <w:suppressLineNumbers w:val="0"/>
      </w:pPr>
      <w:r>
        <w:rPr>
          <w:rFonts w:hint="eastAsia" w:ascii="宋体" w:hAnsi="宋体" w:eastAsia="Arial" w:cs="宋体"/>
          <w:color w:val="auto"/>
          <w:spacing w:val="6"/>
          <w:sz w:val="24"/>
          <w:szCs w:val="22"/>
          <w:highlight w:val="none"/>
          <w:lang w:val="en-US" w:eastAsia="zh-CN" w:bidi="ar-SA"/>
        </w:rPr>
        <w:t xml:space="preserve">5.定点类等无金额或事先不能计算出价格总额的项目，按中标(成交)金额100万元计算。</w:t>
      </w:r>
      <w:r/>
    </w:p>
    <w:p>
      <w:pPr>
        <w:pStyle w:val="821"/>
        <w:ind w:left="0" w:firstLine="0"/>
        <w:keepLines w:val="0"/>
        <w:keepNext w:val="0"/>
        <w:spacing w:beforeAutospacing="1" w:afterAutospacing="1"/>
        <w:widowControl/>
        <w:rPr>
          <w:rFonts w:hint="eastAsia" w:ascii="宋体" w:hAnsi="宋体" w:eastAsia="Arial" w:cs="宋体"/>
          <w:color w:val="auto"/>
          <w:spacing w:val="6"/>
          <w:sz w:val="24"/>
          <w:szCs w:val="22"/>
          <w:highlight w:val="none"/>
          <w:lang w:val="en-US" w:eastAsia="zh-CN" w:bidi="ar-SA"/>
        </w:rPr>
        <w:suppressLineNumbers w:val="0"/>
      </w:pPr>
      <w:r>
        <w:rPr>
          <w:rFonts w:hint="eastAsia" w:ascii="宋体" w:hAnsi="宋体" w:eastAsia="Arial" w:cs="宋体"/>
          <w:color w:val="auto"/>
          <w:spacing w:val="6"/>
          <w:sz w:val="24"/>
          <w:szCs w:val="22"/>
          <w:highlight w:val="none"/>
          <w:lang w:val="en-US" w:eastAsia="zh-CN" w:bidi="ar-SA"/>
        </w:rPr>
        <w:t xml:space="preserve">6.有分包(分标段)的按一个项目计算。</w:t>
      </w:r>
      <w:r/>
    </w:p>
    <w:p>
      <w:pPr>
        <w:pStyle w:val="821"/>
        <w:ind w:left="0" w:firstLine="0"/>
        <w:keepLines w:val="0"/>
        <w:keepNext w:val="0"/>
        <w:spacing w:beforeAutospacing="1" w:afterAutospacing="1"/>
        <w:widowControl/>
        <w:rPr>
          <w:rFonts w:hint="eastAsia" w:ascii="宋体" w:hAnsi="宋体" w:eastAsia="Arial" w:cs="宋体"/>
          <w:color w:val="auto"/>
          <w:spacing w:val="6"/>
          <w:sz w:val="24"/>
          <w:szCs w:val="22"/>
          <w:highlight w:val="none"/>
          <w:lang w:val="en-US" w:eastAsia="zh-CN" w:bidi="ar-SA"/>
        </w:rPr>
        <w:suppressLineNumbers w:val="0"/>
      </w:pPr>
      <w:r>
        <w:rPr>
          <w:rFonts w:hint="eastAsia" w:ascii="宋体" w:hAnsi="宋体" w:eastAsia="Arial" w:cs="宋体"/>
          <w:color w:val="auto"/>
          <w:spacing w:val="6"/>
          <w:sz w:val="24"/>
          <w:szCs w:val="22"/>
          <w:highlight w:val="none"/>
          <w:lang w:val="en-US" w:eastAsia="zh-CN" w:bidi="ar-SA"/>
        </w:rPr>
        <w:t xml:space="preserve">7.以上价格为协会指导价，双方可根据项目难易程度和优质优价原则协商确定。</w:t>
      </w:r>
      <w:r/>
    </w:p>
    <w:p>
      <w:pPr>
        <w:spacing w:line="520" w:lineRule="exact"/>
        <w:widowControl/>
        <w:rPr>
          <w:rFonts w:hint="eastAsia" w:ascii="宋体" w:hAnsi="宋体" w:eastAsia="Arial" w:cs="宋体"/>
          <w:color w:val="auto"/>
          <w:spacing w:val="6"/>
          <w:sz w:val="24"/>
          <w:szCs w:val="22"/>
          <w:highlight w:val="none"/>
          <w:lang w:val="en-US" w:eastAsia="zh-CN" w:bidi="ar-SA"/>
        </w:rPr>
      </w:pPr>
      <w:r>
        <w:rPr>
          <w:rFonts w:hint="eastAsia" w:ascii="宋体" w:hAnsi="宋体" w:eastAsia="Arial" w:cs="宋体"/>
          <w:color w:val="auto"/>
          <w:spacing w:val="6"/>
          <w:sz w:val="24"/>
          <w:szCs w:val="22"/>
          <w:highlight w:val="none"/>
          <w:lang w:val="en-US" w:eastAsia="zh-CN" w:bidi="ar-SA"/>
        </w:rPr>
        <w:t xml:space="preserve">8.根据苏财规[2026]1号文件有关规定，本项目代理服务费由招标人支付，各投标人在投标报价时应充分考虑在内。</w:t>
      </w:r>
      <w:r/>
    </w:p>
    <w:p>
      <w:pPr>
        <w:pStyle w:val="803"/>
        <w:rPr>
          <w:rFonts w:hint="eastAsia" w:ascii="宋体" w:hAnsi="宋体" w:eastAsia="Arial" w:cs="宋体"/>
          <w:color w:val="auto"/>
          <w:spacing w:val="6"/>
          <w:sz w:val="24"/>
          <w:szCs w:val="22"/>
          <w:highlight w:val="none"/>
          <w:lang w:val="en-US" w:eastAsia="zh-CN" w:bidi="ar-SA"/>
        </w:rPr>
      </w:pPr>
      <w:r>
        <w:rPr>
          <w:rFonts w:hint="eastAsia" w:ascii="宋体" w:hAnsi="宋体" w:eastAsia="Arial" w:cs="宋体"/>
          <w:color w:val="auto"/>
          <w:spacing w:val="6"/>
          <w:sz w:val="24"/>
          <w:szCs w:val="22"/>
          <w:highlight w:val="none"/>
          <w:lang w:val="en-US" w:eastAsia="zh-CN" w:bidi="ar-SA"/>
        </w:rPr>
      </w:r>
      <w:r/>
    </w:p>
    <w:p>
      <w:pPr>
        <w:rPr>
          <w:rFonts w:hint="eastAsia" w:ascii="宋体" w:hAnsi="宋体" w:eastAsia="Arial" w:cs="宋体"/>
          <w:color w:val="auto"/>
          <w:spacing w:val="6"/>
          <w:sz w:val="24"/>
          <w:szCs w:val="22"/>
          <w:highlight w:val="none"/>
          <w:lang w:val="en-US" w:eastAsia="zh-CN" w:bidi="ar-SA"/>
        </w:rPr>
      </w:pPr>
      <w:r>
        <w:rPr>
          <w:rFonts w:hint="eastAsia" w:ascii="宋体" w:hAnsi="宋体" w:eastAsia="Arial" w:cs="宋体"/>
          <w:color w:val="auto"/>
          <w:spacing w:val="6"/>
          <w:sz w:val="24"/>
          <w:szCs w:val="22"/>
          <w:highlight w:val="none"/>
          <w:lang w:val="en-US" w:eastAsia="zh-CN" w:bidi="ar-SA"/>
        </w:rPr>
      </w:r>
      <w:r/>
    </w:p>
    <w:p>
      <w:pPr>
        <w:pStyle w:val="803"/>
        <w:rPr>
          <w:rFonts w:hint="eastAsia"/>
          <w:highlight w:val="none"/>
        </w:rPr>
      </w:pPr>
      <w:r>
        <w:rPr>
          <w:rFonts w:hint="eastAsia"/>
          <w:highlight w:val="none"/>
        </w:rPr>
      </w:r>
      <w:r/>
    </w:p>
    <w:p>
      <w:pPr>
        <w:numPr>
          <w:ilvl w:val="0"/>
          <w:numId w:val="3"/>
        </w:numPr>
        <w:jc w:val="center"/>
        <w:spacing w:line="360" w:lineRule="auto"/>
        <w:rPr>
          <w:rFonts w:hint="eastAsia" w:ascii="宋体" w:hAnsi="宋体" w:cs="宋体"/>
          <w:b/>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szCs w:val="32"/>
          <w:highlight w:val="none"/>
        </w:rPr>
        <w:t xml:space="preserve">评标标准</w:t>
      </w:r>
      <w:r/>
    </w:p>
    <w:tbl>
      <w:tblPr>
        <w:tblStyle w:val="802"/>
        <w:tblW w:w="5021" w:type="pct"/>
        <w:tblInd w:w="-178" w:type="dxa"/>
        <w:tblLayout w:type="autofit"/>
        <w:tblCellMar>
          <w:left w:w="108" w:type="dxa"/>
          <w:top w:w="0" w:type="dxa"/>
          <w:right w:w="108" w:type="dxa"/>
          <w:bottom w:w="0" w:type="dxa"/>
        </w:tblCellMar>
        <w:tblLook w:val="04A0" w:firstRow="1" w:lastRow="0" w:firstColumn="1" w:lastColumn="0" w:noHBand="0" w:noVBand="1"/>
      </w:tblPr>
      <w:tblGrid>
        <w:gridCol w:w="999"/>
        <w:gridCol w:w="1327"/>
        <w:gridCol w:w="6009"/>
      </w:tblGrid>
      <w:tr>
        <w:trPr>
          <w:trHeight w:val="630"/>
        </w:trPr>
        <w:tc>
          <w:tcPr>
            <w:tcBorders>
              <w:top w:val="single" w:color="auto" w:sz="4" w:space="0"/>
              <w:left w:val="single" w:color="auto" w:sz="4" w:space="0"/>
              <w:bottom w:val="single" w:color="auto" w:sz="4" w:space="0"/>
              <w:right w:val="single" w:color="auto" w:sz="4" w:space="0"/>
            </w:tcBorders>
            <w:tcW w:w="599" w:type="pct"/>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w:t>
            </w:r>
            <w:r/>
          </w:p>
        </w:tc>
        <w:tc>
          <w:tcPr>
            <w:tcBorders>
              <w:top w:val="single" w:color="auto" w:sz="4" w:space="0"/>
              <w:left w:val="none" w:color="000000" w:sz="4" w:space="0"/>
              <w:bottom w:val="single" w:color="auto" w:sz="4" w:space="0"/>
              <w:right w:val="single" w:color="auto" w:sz="4" w:space="0"/>
            </w:tcBorders>
            <w:tcW w:w="796" w:type="pct"/>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细化项目及分值</w:t>
            </w:r>
            <w:r/>
          </w:p>
        </w:tc>
        <w:tc>
          <w:tcPr>
            <w:tcBorders>
              <w:top w:val="single" w:color="auto" w:sz="4" w:space="0"/>
              <w:left w:val="none" w:color="000000" w:sz="4" w:space="0"/>
              <w:bottom w:val="single" w:color="auto" w:sz="4" w:space="0"/>
              <w:right w:val="single" w:color="auto" w:sz="4" w:space="0"/>
            </w:tcBorders>
            <w:tcW w:w="3604" w:type="pct"/>
            <w:vAlign w:val="center"/>
            <w:textDirection w:val="lrTb"/>
            <w:noWrap w:val="false"/>
          </w:tcPr>
          <w:p>
            <w:pPr>
              <w:ind w:firstLine="200"/>
              <w:jc w:val="cente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评分办法</w:t>
            </w:r>
            <w:r/>
          </w:p>
        </w:tc>
      </w:tr>
      <w:tr>
        <w:trPr>
          <w:trHeight w:val="1765"/>
        </w:trPr>
        <w:tc>
          <w:tcPr>
            <w:tcBorders>
              <w:top w:val="none" w:color="000000" w:sz="4" w:space="0"/>
              <w:left w:val="single" w:color="auto" w:sz="4" w:space="0"/>
              <w:bottom w:val="single" w:color="auto" w:sz="4" w:space="0"/>
              <w:right w:val="single" w:color="auto" w:sz="4" w:space="0"/>
            </w:tcBorders>
            <w:tcW w:w="599" w:type="pct"/>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价</w:t>
            </w:r>
            <w:r>
              <w:rPr>
                <w:rFonts w:hint="eastAsia" w:ascii="宋体" w:hAnsi="宋体" w:eastAsia="宋体" w:cs="宋体"/>
                <w:color w:val="auto"/>
                <w:sz w:val="21"/>
                <w:szCs w:val="21"/>
                <w:highlight w:val="none"/>
              </w:rPr>
              <w:t xml:space="preserve">格部</w:t>
            </w:r>
            <w:r>
              <w:rPr>
                <w:rFonts w:hint="eastAsia" w:ascii="宋体" w:hAnsi="宋体" w:eastAsia="宋体" w:cs="宋体"/>
                <w:color w:val="auto"/>
                <w:sz w:val="21"/>
                <w:szCs w:val="21"/>
                <w:highlight w:val="none"/>
                <w:lang w:val="en-US" w:eastAsia="zh-CN"/>
              </w:rPr>
              <w:t xml:space="preserve">分（30分）</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w:t>
            </w:r>
            <w:r/>
          </w:p>
          <w:p>
            <w:pPr>
              <w:ind w:firstLine="21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w:t>
            </w:r>
            <w:r/>
          </w:p>
        </w:tc>
        <w:tc>
          <w:tcPr>
            <w:tcBorders>
              <w:top w:val="none" w:color="000000" w:sz="4" w:space="0"/>
              <w:left w:val="none" w:color="000000" w:sz="4" w:space="0"/>
              <w:bottom w:val="single" w:color="auto" w:sz="4" w:space="0"/>
              <w:right w:val="single" w:color="auto" w:sz="4" w:space="0"/>
            </w:tcBorders>
            <w:tcW w:w="3604" w:type="pct"/>
            <w:vAlign w:val="center"/>
            <w:textDirection w:val="lrTb"/>
            <w:noWrap w:val="false"/>
          </w:tcPr>
          <w:p>
            <w:pP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各投标人价格得分=最低报价（投标人的最低评审价格）÷各投标人评审价格×30</w:t>
            </w:r>
            <w:r/>
          </w:p>
          <w:p>
            <w:pPr>
              <w:keepLines w:val="0"/>
              <w:keepNext w:val="0"/>
              <w:pageBreakBefore w:val="0"/>
              <w:spacing w:line="360" w:lineRule="auto"/>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注：</w:t>
            </w:r>
            <w:r/>
          </w:p>
          <w:p>
            <w:pP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该投标人的评审价格=《开标一览表》中的“总价”*（100%-10%）</w:t>
            </w:r>
            <w:r/>
          </w:p>
          <w:p>
            <w:pP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2、政府采购活动中既有本国产品又有非本国产品参与竞争的，依法对本国产品给予价格评审优惠，对本国产品的报价给予20%的价格扣除，用扣除后的价格参与评审。</w:t>
            </w:r>
            <w:r/>
          </w:p>
          <w:p>
            <w:pP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该投标人的评审价格=《开标一览表》中的“总价”*（100%-20%）</w:t>
            </w:r>
            <w:r/>
          </w:p>
          <w:p>
            <w:pP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3、上述1、2项评审优惠可同时享受，分别在供应商报价基础上予以扣除，用扣除后的价格参与评审，即该投标人的评审价格=《开标一览表》中的“总价”*（100%-30%）。</w:t>
            </w:r>
            <w:r/>
          </w:p>
          <w:p>
            <w:pPr>
              <w:keepLines w:val="0"/>
              <w:keepNext w:val="0"/>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享受价格评审优惠不改变最终中标价格，政府采购合同仍按照中标供应商的报价签订。</w:t>
            </w:r>
            <w:r/>
          </w:p>
        </w:tc>
      </w:tr>
      <w:tr>
        <w:trPr>
          <w:trHeight w:val="856"/>
        </w:trPr>
        <w:tc>
          <w:tcPr>
            <w:tcBorders>
              <w:top w:val="none" w:color="000000" w:sz="4" w:space="0"/>
              <w:left w:val="single" w:color="auto" w:sz="4" w:space="0"/>
              <w:right w:val="single" w:color="auto" w:sz="4" w:space="0"/>
            </w:tcBorders>
            <w:tcW w:w="599" w:type="pct"/>
            <w:vAlign w:val="center"/>
            <w:vMerge w:val="restart"/>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商务部分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分）</w:t>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投标人</w:t>
            </w:r>
            <w:r>
              <w:rPr>
                <w:rFonts w:hint="eastAsia" w:ascii="宋体" w:hAnsi="宋体" w:eastAsia="宋体" w:cs="宋体"/>
                <w:sz w:val="21"/>
                <w:szCs w:val="21"/>
                <w:highlight w:val="none"/>
              </w:rPr>
              <w:t xml:space="preserve">业绩</w:t>
            </w:r>
            <w:r/>
          </w:p>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（4分）</w:t>
            </w:r>
            <w:r/>
          </w:p>
        </w:tc>
        <w:tc>
          <w:tcPr>
            <w:tcBorders>
              <w:top w:val="none" w:color="000000" w:sz="4" w:space="0"/>
              <w:left w:val="none" w:color="000000" w:sz="4" w:space="0"/>
              <w:bottom w:val="single" w:color="auto" w:sz="4" w:space="0"/>
              <w:right w:val="single" w:color="auto" w:sz="4" w:space="0"/>
            </w:tcBorders>
            <w:tcW w:w="3604" w:type="pct"/>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自</w:t>
            </w:r>
            <w:r>
              <w:rPr>
                <w:rFonts w:hint="eastAsia" w:ascii="宋体" w:hAnsi="宋体" w:cs="宋体"/>
                <w:color w:val="000000"/>
                <w:sz w:val="21"/>
                <w:szCs w:val="21"/>
                <w:highlight w:val="none"/>
                <w:lang w:val="en-US" w:eastAsia="zh-CN"/>
              </w:rPr>
              <w:t xml:space="preserve">2023</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月1日</w:t>
            </w:r>
            <w:r>
              <w:rPr>
                <w:rFonts w:hint="eastAsia" w:ascii="宋体" w:hAnsi="宋体" w:eastAsia="宋体" w:cs="宋体"/>
                <w:sz w:val="21"/>
                <w:szCs w:val="21"/>
                <w:highlight w:val="none"/>
              </w:rPr>
              <w:t xml:space="preserve">（以合同签订日期为准）以后，合同内容为本项目相同或类似合同扫描件的，</w:t>
            </w:r>
            <w:r>
              <w:rPr>
                <w:rFonts w:hint="eastAsia" w:ascii="宋体" w:hAnsi="宋体" w:eastAsia="宋体" w:cs="宋体"/>
                <w:color w:val="auto"/>
                <w:sz w:val="21"/>
                <w:szCs w:val="21"/>
                <w:highlight w:val="none"/>
              </w:rPr>
              <w:t xml:space="preserve">每项得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分，最高得4分。</w:t>
            </w:r>
            <w:r/>
          </w:p>
          <w:p>
            <w:pPr>
              <w:keepLines w:val="0"/>
              <w:keepNext w:val="0"/>
              <w:pageBreakBefore w:val="0"/>
              <w:spacing w:line="360" w:lineRule="auto"/>
              <w:rPr>
                <w:rFonts w:hint="eastAsia" w:ascii="宋体" w:hAnsi="宋体" w:eastAsia="宋体" w:cs="宋体"/>
                <w:sz w:val="21"/>
                <w:szCs w:val="21"/>
                <w:highlight w:val="none"/>
                <w:lang w:eastAsia="zh-CN"/>
              </w:rPr>
            </w:pPr>
            <w:r>
              <w:rPr>
                <w:rFonts w:hint="eastAsia" w:ascii="宋体" w:hAnsi="宋体" w:cs="宋体"/>
                <w:b/>
                <w:bCs/>
                <w:sz w:val="21"/>
                <w:szCs w:val="21"/>
                <w:highlight w:val="none"/>
                <w:lang w:val="en-US" w:eastAsia="zh-CN"/>
              </w:rPr>
              <w:t xml:space="preserve">投标</w:t>
            </w:r>
            <w:r>
              <w:rPr>
                <w:rFonts w:hint="eastAsia" w:ascii="宋体" w:hAnsi="宋体" w:eastAsia="宋体" w:cs="宋体"/>
                <w:b/>
                <w:bCs/>
                <w:sz w:val="21"/>
                <w:szCs w:val="21"/>
                <w:highlight w:val="none"/>
              </w:rPr>
              <w:t xml:space="preserve">文件中提供</w:t>
            </w:r>
            <w:r>
              <w:rPr>
                <w:rFonts w:hint="eastAsia" w:ascii="宋体" w:hAnsi="宋体" w:eastAsia="宋体" w:cs="宋体"/>
                <w:b/>
                <w:bCs/>
                <w:sz w:val="21"/>
                <w:szCs w:val="21"/>
                <w:highlight w:val="none"/>
                <w:lang w:val="en-US" w:eastAsia="zh-CN"/>
              </w:rPr>
              <w:t xml:space="preserve">合同</w:t>
            </w:r>
            <w:r>
              <w:rPr>
                <w:rFonts w:hint="eastAsia" w:ascii="宋体" w:hAnsi="宋体" w:eastAsia="宋体" w:cs="宋体"/>
                <w:b/>
                <w:bCs/>
                <w:sz w:val="21"/>
                <w:szCs w:val="21"/>
                <w:highlight w:val="none"/>
              </w:rPr>
              <w:t xml:space="preserve">扫描件加盖电子</w:t>
            </w:r>
            <w:r>
              <w:rPr>
                <w:rFonts w:hint="eastAsia" w:ascii="宋体" w:hAnsi="宋体" w:eastAsia="宋体" w:cs="宋体"/>
                <w:b/>
                <w:bCs/>
                <w:sz w:val="21"/>
                <w:szCs w:val="21"/>
                <w:highlight w:val="none"/>
                <w:lang w:val="en-US" w:eastAsia="zh-CN"/>
              </w:rPr>
              <w:t xml:space="preserve">签章。</w:t>
            </w:r>
            <w:r/>
          </w:p>
        </w:tc>
      </w:tr>
      <w:tr>
        <w:trPr>
          <w:trHeight w:val="422"/>
        </w:trPr>
        <w:tc>
          <w:tcPr>
            <w:tcBorders>
              <w:left w:val="single" w:color="auto" w:sz="4" w:space="0"/>
              <w:right w:val="single" w:color="auto" w:sz="4" w:space="0"/>
            </w:tcBorders>
            <w:tcW w:w="599" w:type="pct"/>
            <w:vAlign w:val="center"/>
            <w:vMerge w:val="continue"/>
            <w:textDirection w:val="lrTb"/>
            <w:noWrap w:val="false"/>
          </w:tcPr>
          <w:p>
            <w:pPr>
              <w:ind w:firstLine="20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ind w:left="480" w:hanging="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投标人</w:t>
            </w:r>
            <w:r>
              <w:rPr>
                <w:rFonts w:hint="eastAsia" w:ascii="宋体" w:hAnsi="宋体" w:cs="宋体"/>
                <w:sz w:val="21"/>
                <w:szCs w:val="21"/>
                <w:highlight w:val="none"/>
                <w:lang w:val="en-US" w:eastAsia="zh-CN"/>
              </w:rPr>
              <w:t xml:space="preserve">评</w:t>
            </w:r>
            <w:r>
              <w:rPr>
                <w:rFonts w:hint="eastAsia" w:ascii="宋体" w:hAnsi="宋体" w:eastAsia="宋体" w:cs="宋体"/>
                <w:sz w:val="21"/>
                <w:szCs w:val="21"/>
                <w:highlight w:val="none"/>
              </w:rPr>
              <w:t xml:space="preserve">价</w:t>
            </w:r>
            <w:r/>
          </w:p>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p>
        </w:tc>
        <w:tc>
          <w:tcPr>
            <w:tcBorders>
              <w:top w:val="none" w:color="000000" w:sz="4" w:space="0"/>
              <w:left w:val="none" w:color="000000" w:sz="4" w:space="0"/>
              <w:bottom w:val="single" w:color="auto" w:sz="4" w:space="0"/>
              <w:right w:val="single" w:color="auto" w:sz="4" w:space="0"/>
            </w:tcBorders>
            <w:tcW w:w="3604" w:type="pct"/>
            <w:vAlign w:val="center"/>
            <w:textDirection w:val="lrTb"/>
            <w:noWrap w:val="false"/>
          </w:tcPr>
          <w:p>
            <w:pPr>
              <w:ind w:left="0" w:right="0" w:firstLine="0"/>
              <w:jc w:val="both"/>
              <w:spacing w:before="0" w:after="0" w:line="360" w:lineRule="auto"/>
              <w:rPr>
                <w:rFonts w:hint="eastAsia" w:ascii="宋体" w:hAnsi="宋体" w:eastAsia="宋体" w:cs="宋体"/>
                <w:b w:val="0"/>
                <w:bCs w:val="0"/>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highlight w:val="none"/>
                <w:lang w:val="en-US" w:eastAsia="zh-CN"/>
              </w:rPr>
              <w:t xml:space="preserve">（1）投标人（或所投大流量排水抢险车生产商）具有质量管理体系认证证书（认证范围包含专业作业车（救险车）和排涝抢险水泵的销售）得 1分；</w:t>
            </w:r>
            <w:r/>
          </w:p>
          <w:p>
            <w:pPr>
              <w:ind w:left="0" w:right="0" w:firstLine="0"/>
              <w:jc w:val="both"/>
              <w:spacing w:before="0" w:after="0" w:line="360" w:lineRule="auto"/>
              <w:rPr>
                <w:rFonts w:hint="eastAsia" w:ascii="宋体" w:hAnsi="宋体" w:eastAsia="宋体" w:cs="宋体"/>
                <w:b w:val="0"/>
                <w:bCs w:val="0"/>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highlight w:val="none"/>
                <w:lang w:val="en-US" w:eastAsia="zh-CN"/>
              </w:rPr>
              <w:t xml:space="preserve">（2）投标人（或所投大流量排水抢险车生产商）具有环境管理体系认证证书（认证范围包含专业作业车（救险车）和排涝抢险水泵的销售所涉及的环境管理活动）得1分；</w:t>
            </w:r>
            <w:r/>
          </w:p>
          <w:p>
            <w:pPr>
              <w:ind w:left="0" w:right="0" w:firstLine="0"/>
              <w:jc w:val="both"/>
              <w:spacing w:before="0" w:after="0" w:line="360" w:lineRule="auto"/>
              <w:rPr>
                <w:rFonts w:hint="eastAsia" w:ascii="宋体" w:hAnsi="宋体" w:eastAsia="宋体" w:cs="宋体"/>
                <w:b w:val="0"/>
                <w:bCs w:val="0"/>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highlight w:val="none"/>
                <w:lang w:val="en-US" w:eastAsia="zh-CN"/>
              </w:rPr>
              <w:t xml:space="preserve">（3）投标人（或所投大流量排水抢险车生产商）具有职业健康安全管理体系认证证书（认证范围包含专业作业车（救险车）和排涝抢险水泵的销售所涉及的职业健康安全管理活动）得1分；</w:t>
            </w:r>
            <w:r/>
          </w:p>
          <w:p>
            <w:pPr>
              <w:ind w:left="0" w:right="0" w:firstLine="0"/>
              <w:jc w:val="both"/>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highlight w:val="none"/>
                <w:lang w:val="en-US" w:eastAsia="zh-CN"/>
              </w:rPr>
              <w:t xml:space="preserve">注：投标文件中提供相关证书扫描件，证书中应能体现发证机构已获认证认可信息公共服务平台认证网站截图或能体现该证书可在认证认可信息公共服务平台网站查询截图，否则不得分。</w:t>
            </w:r>
            <w:r/>
          </w:p>
        </w:tc>
      </w:tr>
      <w:tr>
        <w:trPr>
          <w:trHeight w:val="90"/>
        </w:trPr>
        <w:tc>
          <w:tcPr>
            <w:tcBorders>
              <w:top w:val="single" w:color="auto" w:sz="4" w:space="0"/>
              <w:left w:val="single" w:color="auto" w:sz="4" w:space="0"/>
              <w:right w:val="single" w:color="auto" w:sz="4" w:space="0"/>
            </w:tcBorders>
            <w:tcW w:w="599" w:type="pct"/>
            <w:vAlign w:val="center"/>
            <w:vMerge w:val="restart"/>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技术部分</w:t>
            </w: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63</w:t>
            </w:r>
            <w:r>
              <w:rPr>
                <w:rFonts w:hint="eastAsia" w:ascii="宋体" w:hAnsi="宋体" w:eastAsia="宋体" w:cs="宋体"/>
                <w:color w:val="000000"/>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796" w:type="pct"/>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技术</w:t>
            </w:r>
            <w:r>
              <w:rPr>
                <w:rFonts w:hint="eastAsia" w:ascii="宋体" w:hAnsi="宋体" w:eastAsia="宋体" w:cs="宋体"/>
                <w:sz w:val="21"/>
                <w:szCs w:val="21"/>
                <w:highlight w:val="none"/>
                <w:lang w:val="en-US" w:eastAsia="zh-CN"/>
              </w:rPr>
              <w:t xml:space="preserve">参数</w:t>
            </w:r>
            <w:r>
              <w:rPr>
                <w:rFonts w:hint="eastAsia" w:ascii="宋体" w:hAnsi="宋体" w:eastAsia="宋体" w:cs="宋体"/>
                <w:sz w:val="21"/>
                <w:szCs w:val="21"/>
                <w:highlight w:val="none"/>
              </w:rPr>
              <w:t xml:space="preserve">响应（</w:t>
            </w:r>
            <w:r>
              <w:rPr>
                <w:rFonts w:hint="eastAsia" w:ascii="宋体" w:hAnsi="宋体" w:eastAsia="宋体" w:cs="宋体"/>
                <w:sz w:val="21"/>
                <w:szCs w:val="21"/>
                <w:highlight w:val="none"/>
                <w:lang w:val="en-US" w:eastAsia="zh-CN"/>
              </w:rPr>
              <w:t xml:space="preserve">2</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p>
          <w:p>
            <w:pP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带“★”条款为重要指标，如有负偏离，则投标无效；每有一项带“▲”响应指标不满足或负偏离的，从基础分中减3分；非带“▲”响应指标不满足或负偏离的，从基础分中减1分。扣完为止扣完为止。</w:t>
            </w:r>
            <w:r/>
          </w:p>
          <w:p>
            <w:pPr>
              <w:ind w:left="0" w:right="0" w:firstLine="0"/>
              <w:jc w:val="both"/>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val="en-US" w:eastAsia="zh-CN"/>
              </w:rPr>
              <w:t xml:space="preserve">本项最高得23分，最低得0分。注：1、《技术参数偏离表》需逐条应答详细参数要求，不能实现的需特别注明负偏离，提供虚假证明或虚假响应指标参数要求的，将按政府采购法的相关规定进行处理。注：正负偏离需在《偏离表》中详细列出。</w:t>
            </w:r>
            <w:r/>
          </w:p>
        </w:tc>
      </w:tr>
      <w:tr>
        <w:trPr>
          <w:trHeight w:val="3340"/>
        </w:trPr>
        <w:tc>
          <w:tcPr>
            <w:tcBorders>
              <w:left w:val="single" w:color="auto" w:sz="4" w:space="0"/>
              <w:right w:val="single" w:color="auto" w:sz="4" w:space="0"/>
            </w:tcBorders>
            <w:tcW w:w="599" w:type="pct"/>
            <w:vAlign w:val="center"/>
            <w:vMerge w:val="continue"/>
            <w:textDirection w:val="lrTb"/>
            <w:noWrap w:val="false"/>
          </w:tcPr>
          <w:p>
            <w:p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796" w:type="pct"/>
            <w:vAlign w:val="center"/>
            <w:textDirection w:val="lrTb"/>
            <w:noWrap w:val="false"/>
          </w:tcPr>
          <w:p>
            <w:pPr>
              <w:jc w:val="both"/>
              <w:rPr>
                <w:rFonts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 xml:space="preserve">项目</w:t>
            </w:r>
            <w:r>
              <w:rPr>
                <w:rFonts w:hint="eastAsia" w:ascii="宋体" w:hAnsi="宋体" w:cs="宋体"/>
                <w:color w:val="000000"/>
                <w:sz w:val="21"/>
                <w:szCs w:val="21"/>
                <w:highlight w:val="none"/>
                <w:lang w:val="en-US" w:eastAsia="zh-CN" w:bidi="ar"/>
              </w:rPr>
              <w:t xml:space="preserve">总体</w:t>
            </w:r>
            <w:r>
              <w:rPr>
                <w:rFonts w:hint="eastAsia" w:ascii="宋体" w:hAnsi="宋体" w:eastAsia="宋体" w:cs="宋体"/>
                <w:color w:val="000000"/>
                <w:sz w:val="21"/>
                <w:szCs w:val="21"/>
                <w:highlight w:val="none"/>
                <w:lang w:bidi="ar"/>
              </w:rPr>
              <w:t xml:space="preserve">实施方案</w:t>
            </w:r>
            <w:r/>
          </w:p>
          <w:p>
            <w:pPr>
              <w:keepLines w:val="0"/>
              <w:keepNext w:val="0"/>
              <w:pageBreakBefore w:val="0"/>
              <w:spacing w:line="360" w:lineRule="auto"/>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hint="eastAsia" w:ascii="宋体" w:hAnsi="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numPr>
                <w:ilvl w:val="0"/>
                <w:numId w:val="0"/>
              </w:numPr>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根据</w:t>
            </w:r>
            <w:r>
              <w:rPr>
                <w:rFonts w:hint="eastAsia" w:ascii="宋体" w:hAnsi="宋体" w:cs="宋体"/>
                <w:sz w:val="21"/>
                <w:szCs w:val="21"/>
                <w:highlight w:val="none"/>
                <w:lang w:val="en-US" w:eastAsia="zh-CN"/>
              </w:rPr>
              <w:t xml:space="preserve">投标人</w:t>
            </w:r>
            <w:r>
              <w:rPr>
                <w:rFonts w:hint="eastAsia" w:ascii="宋体" w:hAnsi="宋体" w:eastAsia="宋体" w:cs="宋体"/>
                <w:sz w:val="21"/>
                <w:szCs w:val="21"/>
                <w:highlight w:val="none"/>
                <w:lang w:val="en-US" w:eastAsia="zh-CN"/>
              </w:rPr>
              <w:t xml:space="preserve">提供的项目</w:t>
            </w:r>
            <w:r>
              <w:rPr>
                <w:rFonts w:hint="eastAsia" w:ascii="宋体" w:hAnsi="宋体" w:cs="宋体"/>
                <w:sz w:val="21"/>
                <w:szCs w:val="21"/>
                <w:highlight w:val="none"/>
                <w:lang w:val="en-US" w:eastAsia="zh-CN"/>
              </w:rPr>
              <w:t xml:space="preserve">总体</w:t>
            </w:r>
            <w:r>
              <w:rPr>
                <w:rFonts w:hint="eastAsia" w:ascii="宋体" w:hAnsi="宋体" w:eastAsia="宋体" w:cs="宋体"/>
                <w:sz w:val="21"/>
                <w:szCs w:val="21"/>
                <w:highlight w:val="none"/>
                <w:lang w:val="en-US" w:eastAsia="zh-CN"/>
              </w:rPr>
              <w:t xml:space="preserve">实施方案的合理可行性、针对性进行评分</w:t>
            </w:r>
            <w:r/>
          </w:p>
          <w:p>
            <w:pPr>
              <w:numPr>
                <w:ilvl w:val="0"/>
                <w:numId w:val="4"/>
              </w:numPr>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方案</w:t>
            </w:r>
            <w:r>
              <w:rPr>
                <w:rFonts w:hint="eastAsia" w:ascii="宋体" w:hAnsi="宋体" w:eastAsia="宋体" w:cs="宋体"/>
                <w:sz w:val="21"/>
                <w:szCs w:val="21"/>
                <w:highlight w:val="none"/>
                <w:lang w:val="en-US" w:eastAsia="zh-CN"/>
              </w:rPr>
              <w:t xml:space="preserve">全面</w:t>
            </w:r>
            <w:r>
              <w:rPr>
                <w:rFonts w:hint="eastAsia" w:ascii="宋体" w:hAnsi="宋体" w:cs="宋体"/>
                <w:sz w:val="21"/>
                <w:szCs w:val="21"/>
                <w:highlight w:val="none"/>
                <w:lang w:val="en-US" w:eastAsia="zh-CN"/>
              </w:rPr>
              <w:t xml:space="preserve">性（4</w:t>
            </w:r>
            <w:r>
              <w:rPr>
                <w:rFonts w:hint="eastAsia" w:ascii="宋体" w:hAnsi="宋体" w:eastAsia="宋体" w:cs="宋体"/>
                <w:sz w:val="21"/>
                <w:szCs w:val="21"/>
                <w:highlight w:val="none"/>
                <w:lang w:val="en-US" w:eastAsia="zh-CN"/>
              </w:rPr>
              <w:t xml:space="preserve">分</w:t>
            </w:r>
            <w:r>
              <w:rPr>
                <w:rFonts w:hint="eastAsia" w:ascii="宋体" w:hAnsi="宋体" w:cs="宋体"/>
                <w:sz w:val="21"/>
                <w:szCs w:val="21"/>
                <w:highlight w:val="none"/>
                <w:lang w:val="en-US" w:eastAsia="zh-CN"/>
              </w:rPr>
              <w:t xml:space="preserve">）</w:t>
            </w:r>
            <w:r/>
          </w:p>
          <w:p>
            <w:pPr>
              <w:numPr>
                <w:ilvl w:val="0"/>
                <w:numId w:val="0"/>
              </w:numPr>
              <w:keepLines w:val="0"/>
              <w:keepNext w:val="0"/>
              <w:pageBreakBefore w:val="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方案</w:t>
            </w:r>
            <w:r>
              <w:rPr>
                <w:rFonts w:hint="eastAsia" w:ascii="宋体" w:hAnsi="宋体" w:eastAsia="宋体" w:cs="宋体"/>
                <w:sz w:val="21"/>
                <w:szCs w:val="21"/>
                <w:highlight w:val="none"/>
                <w:lang w:val="en-US" w:eastAsia="zh-CN"/>
              </w:rPr>
              <w:t xml:space="preserve">全面</w:t>
            </w:r>
            <w:r>
              <w:rPr>
                <w:rFonts w:hint="eastAsia" w:ascii="宋体" w:hAnsi="宋体" w:cs="宋体"/>
                <w:sz w:val="21"/>
                <w:szCs w:val="21"/>
                <w:highlight w:val="none"/>
                <w:lang w:val="en-US" w:eastAsia="zh-CN"/>
              </w:rPr>
              <w:t xml:space="preserve">性强</w:t>
            </w:r>
            <w:r>
              <w:rPr>
                <w:rFonts w:hint="eastAsia" w:ascii="宋体" w:hAnsi="宋体" w:eastAsia="宋体" w:cs="宋体"/>
                <w:sz w:val="21"/>
                <w:szCs w:val="21"/>
                <w:highlight w:val="none"/>
                <w:lang w:val="en-US" w:eastAsia="zh-CN"/>
              </w:rPr>
              <w:t xml:space="preserve">得</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lang w:val="en-US" w:eastAsia="zh-CN"/>
              </w:rPr>
              <w:t xml:space="preserve">分；方案全面</w:t>
            </w:r>
            <w:r>
              <w:rPr>
                <w:rFonts w:hint="eastAsia" w:ascii="宋体" w:hAnsi="宋体" w:cs="宋体"/>
                <w:sz w:val="21"/>
                <w:szCs w:val="21"/>
                <w:highlight w:val="none"/>
                <w:lang w:val="en-US" w:eastAsia="zh-CN"/>
              </w:rPr>
              <w:t xml:space="preserve">性一般</w:t>
            </w:r>
            <w:r>
              <w:rPr>
                <w:rFonts w:hint="eastAsia" w:ascii="宋体" w:hAnsi="宋体" w:eastAsia="宋体" w:cs="宋体"/>
                <w:sz w:val="21"/>
                <w:szCs w:val="21"/>
                <w:highlight w:val="none"/>
                <w:lang w:val="en-US" w:eastAsia="zh-CN"/>
              </w:rPr>
              <w:t xml:space="preserve">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t xml:space="preserve">分；</w:t>
            </w:r>
            <w:r>
              <w:rPr>
                <w:rFonts w:hint="eastAsia"/>
                <w:sz w:val="21"/>
                <w:szCs w:val="21"/>
                <w:highlight w:val="none"/>
                <w:lang w:val="en-US" w:eastAsia="zh-CN"/>
              </w:rPr>
              <w:t xml:space="preserve">方案全面性较差得2</w:t>
            </w:r>
            <w:r>
              <w:rPr>
                <w:rFonts w:hint="eastAsia" w:ascii="宋体" w:hAnsi="宋体" w:eastAsia="宋体" w:cs="宋体"/>
                <w:sz w:val="21"/>
                <w:szCs w:val="21"/>
                <w:highlight w:val="none"/>
                <w:lang w:val="en-US" w:eastAsia="zh-CN" w:bidi="ar-SA"/>
              </w:rPr>
              <w:t xml:space="preserve">分</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未提供的不得分</w:t>
            </w:r>
            <w:r>
              <w:rPr>
                <w:rFonts w:hint="eastAsia" w:ascii="宋体" w:hAnsi="宋体" w:eastAsia="宋体" w:cs="宋体"/>
                <w:sz w:val="21"/>
                <w:szCs w:val="21"/>
                <w:highlight w:val="none"/>
                <w:lang w:eastAsia="zh-CN"/>
              </w:rPr>
              <w:t xml:space="preserve">。</w:t>
            </w:r>
            <w:r/>
          </w:p>
          <w:p>
            <w:pPr>
              <w:numPr>
                <w:ilvl w:val="0"/>
                <w:numId w:val="0"/>
              </w:numPr>
              <w:keepLines w:val="0"/>
              <w:keepNext w:val="0"/>
              <w:pageBreakBefore w:val="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方案针对性</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lang w:val="en-US" w:eastAsia="zh-CN"/>
              </w:rPr>
              <w:t xml:space="preserve">分</w:t>
            </w:r>
            <w:r>
              <w:rPr>
                <w:rFonts w:hint="eastAsia" w:ascii="宋体" w:hAnsi="宋体" w:cs="宋体"/>
                <w:sz w:val="21"/>
                <w:szCs w:val="21"/>
                <w:highlight w:val="none"/>
                <w:lang w:val="en-US" w:eastAsia="zh-CN"/>
              </w:rPr>
              <w:t xml:space="preserve">）</w:t>
            </w:r>
            <w:r/>
          </w:p>
          <w:p>
            <w:pPr>
              <w:numPr>
                <w:ilvl w:val="0"/>
                <w:numId w:val="0"/>
              </w:numPr>
              <w:keepLines w:val="0"/>
              <w:keepNext w:val="0"/>
              <w:pageBreakBefore w:val="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方案针对性</w:t>
            </w:r>
            <w:r>
              <w:rPr>
                <w:rFonts w:hint="eastAsia" w:ascii="宋体" w:hAnsi="宋体" w:cs="宋体"/>
                <w:sz w:val="21"/>
                <w:szCs w:val="21"/>
                <w:highlight w:val="none"/>
                <w:lang w:val="en-US" w:eastAsia="zh-CN"/>
              </w:rPr>
              <w:t xml:space="preserve">强</w:t>
            </w:r>
            <w:r>
              <w:rPr>
                <w:rFonts w:hint="eastAsia" w:ascii="宋体" w:hAnsi="宋体" w:eastAsia="宋体" w:cs="宋体"/>
                <w:sz w:val="21"/>
                <w:szCs w:val="21"/>
                <w:highlight w:val="none"/>
                <w:lang w:val="en-US" w:eastAsia="zh-CN"/>
              </w:rPr>
              <w:t xml:space="preserve">得</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lang w:val="en-US" w:eastAsia="zh-CN"/>
              </w:rPr>
              <w:t xml:space="preserve">分</w:t>
            </w:r>
            <w:r>
              <w:rPr>
                <w:rFonts w:hint="eastAsia" w:ascii="宋体" w:hAnsi="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t xml:space="preserve">方案</w:t>
            </w:r>
            <w:r>
              <w:rPr>
                <w:rFonts w:hint="eastAsia" w:ascii="宋体" w:hAnsi="宋体" w:eastAsia="宋体" w:cs="宋体"/>
                <w:sz w:val="21"/>
                <w:szCs w:val="21"/>
                <w:highlight w:val="none"/>
              </w:rPr>
              <w:t xml:space="preserve">较齐全、可行</w:t>
            </w:r>
            <w:r>
              <w:rPr>
                <w:rFonts w:hint="eastAsia" w:ascii="宋体" w:hAnsi="宋体" w:eastAsia="宋体" w:cs="宋体"/>
                <w:sz w:val="21"/>
                <w:szCs w:val="21"/>
                <w:highlight w:val="none"/>
                <w:lang w:val="en-US" w:eastAsia="zh-CN"/>
              </w:rPr>
              <w:t xml:space="preserve">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t xml:space="preserve">分</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方案一般</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可行</w:t>
            </w:r>
            <w:r>
              <w:rPr>
                <w:rFonts w:hint="eastAsia" w:ascii="宋体" w:hAnsi="宋体" w:eastAsia="宋体" w:cs="宋体"/>
                <w:sz w:val="21"/>
                <w:szCs w:val="21"/>
                <w:highlight w:val="none"/>
                <w:lang w:val="en-US" w:eastAsia="zh-CN"/>
              </w:rPr>
              <w:t xml:space="preserve">得</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t xml:space="preserve">分</w:t>
            </w:r>
            <w:r>
              <w:rPr>
                <w:rFonts w:hint="eastAsia" w:ascii="宋体" w:hAnsi="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t xml:space="preserve">方案不</w:t>
            </w:r>
            <w:r>
              <w:rPr>
                <w:rFonts w:hint="eastAsia" w:ascii="宋体" w:hAnsi="宋体" w:eastAsia="宋体" w:cs="宋体"/>
                <w:sz w:val="21"/>
                <w:szCs w:val="21"/>
                <w:highlight w:val="none"/>
              </w:rPr>
              <w:t xml:space="preserve">可行</w:t>
            </w:r>
            <w:r>
              <w:rPr>
                <w:rFonts w:hint="eastAsia" w:ascii="宋体" w:hAnsi="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t xml:space="preserve">方案</w:t>
            </w:r>
            <w:r>
              <w:rPr>
                <w:rFonts w:hint="eastAsia"/>
                <w:sz w:val="21"/>
                <w:szCs w:val="21"/>
                <w:highlight w:val="none"/>
                <w:lang w:val="en-US" w:eastAsia="zh-CN"/>
              </w:rPr>
              <w:t xml:space="preserve">欠缺</w:t>
            </w:r>
            <w:r>
              <w:rPr>
                <w:rFonts w:hint="eastAsia" w:ascii="宋体" w:hAnsi="宋体" w:eastAsia="宋体" w:cs="宋体"/>
                <w:sz w:val="21"/>
                <w:szCs w:val="21"/>
                <w:highlight w:val="none"/>
                <w:lang w:val="en-US" w:eastAsia="zh-CN" w:bidi="ar-SA"/>
              </w:rPr>
              <w:t xml:space="preserve">得1分</w:t>
            </w:r>
            <w:r>
              <w:rPr>
                <w:rFonts w:hint="eastAsia" w:ascii="宋体" w:hAnsi="宋体" w:cs="宋体"/>
                <w:sz w:val="21"/>
                <w:szCs w:val="21"/>
                <w:highlight w:val="none"/>
                <w:lang w:val="en-US" w:eastAsia="zh-CN"/>
              </w:rPr>
              <w:t xml:space="preserve">；</w:t>
            </w:r>
            <w:r>
              <w:rPr>
                <w:rFonts w:hint="eastAsia" w:ascii="宋体" w:hAnsi="宋体" w:eastAsia="宋体" w:cs="宋体"/>
                <w:sz w:val="21"/>
                <w:szCs w:val="21"/>
                <w:highlight w:val="none"/>
              </w:rPr>
              <w:t xml:space="preserve">未提供的不得分</w:t>
            </w:r>
            <w:r>
              <w:rPr>
                <w:rFonts w:hint="eastAsia" w:ascii="宋体" w:hAnsi="宋体" w:eastAsia="宋体" w:cs="宋体"/>
                <w:sz w:val="21"/>
                <w:szCs w:val="21"/>
                <w:highlight w:val="none"/>
                <w:lang w:eastAsia="zh-CN"/>
              </w:rPr>
              <w:t xml:space="preserve">。</w:t>
            </w:r>
            <w:r/>
          </w:p>
          <w:p>
            <w:pPr>
              <w:numPr>
                <w:ilvl w:val="0"/>
                <w:numId w:val="0"/>
              </w:numPr>
              <w:keepLines w:val="0"/>
              <w:keepNext w:val="0"/>
              <w:pageBreakBefore w:val="0"/>
              <w:spacing w:line="360" w:lineRule="auto"/>
              <w:rPr>
                <w:rFonts w:hint="default"/>
                <w:sz w:val="21"/>
                <w:szCs w:val="21"/>
                <w:highlight w:val="none"/>
                <w:lang w:val="en-US" w:eastAsia="zh-CN"/>
              </w:rPr>
            </w:pPr>
            <w:r>
              <w:rPr>
                <w:rFonts w:hint="default"/>
                <w:sz w:val="21"/>
                <w:szCs w:val="21"/>
                <w:highlight w:val="none"/>
                <w:lang w:val="en-US" w:eastAsia="zh-CN"/>
              </w:rPr>
            </w:r>
            <w:r/>
          </w:p>
        </w:tc>
      </w:tr>
      <w:tr>
        <w:trPr>
          <w:trHeight w:val="90"/>
        </w:trPr>
        <w:tc>
          <w:tcPr>
            <w:tcBorders>
              <w:left w:val="single" w:color="auto" w:sz="4" w:space="0"/>
              <w:right w:val="single" w:color="auto" w:sz="4" w:space="0"/>
            </w:tcBorders>
            <w:tcW w:w="599" w:type="pct"/>
            <w:vAlign w:val="center"/>
            <w:vMerge w:val="continue"/>
            <w:textDirection w:val="lrTb"/>
            <w:noWrap w:val="false"/>
          </w:tcPr>
          <w:p>
            <w:pPr>
              <w:ind w:firstLine="20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none" w:color="000000" w:sz="4" w:space="0"/>
              <w:bottom w:val="single" w:color="auto" w:sz="4" w:space="0"/>
              <w:right w:val="single" w:color="auto" w:sz="4" w:space="0"/>
            </w:tcBorders>
            <w:tcW w:w="796" w:type="pct"/>
            <w:vAlign w:val="center"/>
            <w:textDirection w:val="lrTb"/>
            <w:noWrap w:val="false"/>
          </w:tcPr>
          <w:p>
            <w:pPr>
              <w:numPr>
                <w:ilvl w:val="0"/>
                <w:numId w:val="0"/>
              </w:numPr>
              <w:keepLines w:val="0"/>
              <w:keepNext w:val="0"/>
              <w:pageBreakBefore w:val="0"/>
              <w:spacing w:line="360"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供货方案（</w:t>
            </w:r>
            <w:r>
              <w:rPr>
                <w:rFonts w:hint="eastAsia" w:ascii="宋体" w:hAnsi="宋体" w:cs="宋体"/>
                <w:sz w:val="21"/>
                <w:szCs w:val="21"/>
                <w:highlight w:val="none"/>
                <w:lang w:val="en-US" w:eastAsia="zh-CN"/>
              </w:rPr>
              <w:t xml:space="preserve">10</w:t>
            </w:r>
            <w:r>
              <w:rPr>
                <w:rFonts w:hint="eastAsia" w:ascii="宋体" w:hAnsi="宋体" w:eastAsia="宋体" w:cs="宋体"/>
                <w:sz w:val="21"/>
                <w:szCs w:val="21"/>
                <w:highlight w:val="none"/>
                <w:lang w:val="en-US" w:eastAsia="zh-CN"/>
              </w:rPr>
              <w:t xml:space="preserve">）</w:t>
            </w:r>
            <w:r/>
          </w:p>
        </w:tc>
        <w:tc>
          <w:tcPr>
            <w:tcBorders>
              <w:top w:val="single" w:color="auto" w:sz="4" w:space="0"/>
              <w:left w:val="none" w:color="000000" w:sz="4" w:space="0"/>
              <w:bottom w:val="single" w:color="auto" w:sz="4" w:space="0"/>
              <w:right w:val="single" w:color="auto" w:sz="4" w:space="0"/>
            </w:tcBorders>
            <w:tcW w:w="3604" w:type="pct"/>
            <w:vAlign w:val="center"/>
            <w:textDirection w:val="lrTb"/>
            <w:noWrap w:val="false"/>
          </w:tcPr>
          <w:p>
            <w:pPr>
              <w:numPr>
                <w:ilvl w:val="0"/>
                <w:numId w:val="0"/>
              </w:numPr>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根据投标人供货保障能力、交货服务方案、质量管理方案进行评审。</w:t>
            </w:r>
            <w:r/>
          </w:p>
          <w:p>
            <w:pPr>
              <w:numPr>
                <w:ilvl w:val="0"/>
                <w:numId w:val="0"/>
              </w:numPr>
              <w:keepLines w:val="0"/>
              <w:keepNext w:val="0"/>
              <w:pageBreakBefore w:val="0"/>
              <w:spacing w:line="360"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1、方案合理可行性（</w:t>
            </w: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lang w:val="en-US" w:eastAsia="zh-CN"/>
              </w:rPr>
              <w:t xml:space="preserve">分）</w:t>
            </w:r>
            <w:r/>
          </w:p>
          <w:p>
            <w:pPr>
              <w:numPr>
                <w:ilvl w:val="0"/>
                <w:numId w:val="0"/>
              </w:numPr>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方案合理可行性强得</w:t>
            </w: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lang w:val="en-US" w:eastAsia="zh-CN"/>
              </w:rPr>
              <w:t xml:space="preserve">分；方案合理可行性较强得</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lang w:val="en-US" w:eastAsia="zh-CN"/>
              </w:rPr>
              <w:t xml:space="preserve">分；方案合理可行性一般得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t xml:space="preserve">分；方案合理可行性差得</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t xml:space="preserve">分；未提供的不得分。</w:t>
            </w:r>
            <w:r/>
          </w:p>
          <w:p>
            <w:pPr>
              <w:numPr>
                <w:ilvl w:val="0"/>
                <w:numId w:val="0"/>
              </w:numPr>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方案针对性（</w:t>
            </w: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lang w:val="en-US" w:eastAsia="zh-CN"/>
              </w:rPr>
              <w:t xml:space="preserve">分）</w:t>
            </w:r>
            <w:r/>
          </w:p>
          <w:p>
            <w:pPr>
              <w:numPr>
                <w:ilvl w:val="0"/>
                <w:numId w:val="0"/>
              </w:numPr>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方案针对性强得</w:t>
            </w: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lang w:val="en-US" w:eastAsia="zh-CN"/>
              </w:rPr>
              <w:t xml:space="preserve">分；方案针对性较强得</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lang w:val="en-US" w:eastAsia="zh-CN"/>
              </w:rPr>
              <w:t xml:space="preserve">分；方案针对性一般得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t xml:space="preserve">分；方案针对性差得</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t xml:space="preserve">分；未提供的不得分。</w:t>
            </w:r>
            <w:r/>
          </w:p>
        </w:tc>
      </w:tr>
      <w:tr>
        <w:trPr>
          <w:trHeight w:val="450"/>
        </w:trPr>
        <w:tc>
          <w:tcPr>
            <w:tcBorders>
              <w:left w:val="single" w:color="auto" w:sz="4" w:space="0"/>
              <w:right w:val="single" w:color="auto" w:sz="4" w:space="0"/>
            </w:tcBorders>
            <w:tcW w:w="599" w:type="pct"/>
            <w:vAlign w:val="center"/>
            <w:vMerge w:val="continue"/>
            <w:textDirection w:val="lrTb"/>
            <w:noWrap w:val="false"/>
          </w:tcPr>
          <w:p>
            <w:pPr>
              <w:ind w:firstLine="20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none" w:color="000000" w:sz="4" w:space="0"/>
              <w:bottom w:val="single" w:color="auto" w:sz="4" w:space="0"/>
              <w:right w:val="single" w:color="auto" w:sz="4" w:space="0"/>
            </w:tcBorders>
            <w:tcW w:w="796" w:type="pct"/>
            <w:vAlign w:val="center"/>
            <w:textDirection w:val="lrTb"/>
            <w:noWrap w:val="false"/>
          </w:tcPr>
          <w:p>
            <w:pPr>
              <w:numPr>
                <w:ilvl w:val="0"/>
                <w:numId w:val="0"/>
              </w:numPr>
              <w:keepLines w:val="0"/>
              <w:keepNext w:val="0"/>
              <w:pageBreakBefore w:val="0"/>
              <w:spacing w:line="360"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安装调试方案（</w:t>
            </w:r>
            <w:r>
              <w:rPr>
                <w:rFonts w:hint="eastAsia" w:ascii="宋体" w:hAnsi="宋体" w:cs="宋体"/>
                <w:sz w:val="21"/>
                <w:szCs w:val="21"/>
                <w:highlight w:val="none"/>
                <w:lang w:val="en-US" w:eastAsia="zh-CN"/>
              </w:rPr>
              <w:t xml:space="preserve">10</w:t>
            </w:r>
            <w:r>
              <w:rPr>
                <w:rFonts w:hint="eastAsia" w:ascii="宋体" w:hAnsi="宋体" w:eastAsia="宋体" w:cs="宋体"/>
                <w:sz w:val="21"/>
                <w:szCs w:val="21"/>
                <w:highlight w:val="none"/>
                <w:lang w:val="en-US" w:eastAsia="zh-CN"/>
              </w:rPr>
              <w:t xml:space="preserve">）</w:t>
            </w:r>
            <w:r/>
          </w:p>
        </w:tc>
        <w:tc>
          <w:tcPr>
            <w:tcBorders>
              <w:top w:val="single" w:color="auto" w:sz="4" w:space="0"/>
              <w:left w:val="none" w:color="000000" w:sz="4" w:space="0"/>
              <w:bottom w:val="single" w:color="auto" w:sz="4" w:space="0"/>
              <w:right w:val="single" w:color="auto" w:sz="4" w:space="0"/>
            </w:tcBorders>
            <w:tcW w:w="3604" w:type="pct"/>
            <w:vAlign w:val="center"/>
            <w:textDirection w:val="lrTb"/>
            <w:noWrap w:val="false"/>
          </w:tcPr>
          <w:p>
            <w:pPr>
              <w:numPr>
                <w:ilvl w:val="0"/>
                <w:numId w:val="0"/>
              </w:numPr>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评委根据投标人所投车辆的质量性能、技术先进性、安全稳定性、故障率及生产厂家综合实力等进行评审；</w:t>
            </w:r>
            <w:r/>
          </w:p>
          <w:p>
            <w:pPr>
              <w:numPr>
                <w:ilvl w:val="0"/>
                <w:numId w:val="0"/>
              </w:numPr>
              <w:keepLines w:val="0"/>
              <w:keepNext w:val="0"/>
              <w:pageBreakBefore w:val="0"/>
              <w:spacing w:line="360"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1、方案合理可行性（</w:t>
            </w: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lang w:val="en-US" w:eastAsia="zh-CN"/>
              </w:rPr>
              <w:t xml:space="preserve">分）</w:t>
            </w:r>
            <w:r/>
          </w:p>
          <w:p>
            <w:pPr>
              <w:numPr>
                <w:ilvl w:val="0"/>
                <w:numId w:val="0"/>
              </w:numPr>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方案合理可行性强得</w:t>
            </w: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lang w:val="en-US" w:eastAsia="zh-CN"/>
              </w:rPr>
              <w:t xml:space="preserve">分；方案合理可行性较强得</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lang w:val="en-US" w:eastAsia="zh-CN"/>
              </w:rPr>
              <w:t xml:space="preserve">分；方案合理可行性一般得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t xml:space="preserve">分；方案合理可行性差得</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t xml:space="preserve">分；未提供的不得分。</w:t>
            </w:r>
            <w:r/>
          </w:p>
          <w:p>
            <w:pPr>
              <w:numPr>
                <w:ilvl w:val="0"/>
                <w:numId w:val="0"/>
              </w:numPr>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方案针对性（</w:t>
            </w: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lang w:val="en-US" w:eastAsia="zh-CN"/>
              </w:rPr>
              <w:t xml:space="preserve">分）</w:t>
            </w:r>
            <w:r/>
          </w:p>
          <w:p>
            <w:pPr>
              <w:numPr>
                <w:ilvl w:val="0"/>
                <w:numId w:val="0"/>
              </w:numPr>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方案针对性强得</w:t>
            </w: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lang w:val="en-US" w:eastAsia="zh-CN"/>
              </w:rPr>
              <w:t xml:space="preserve">分；方案针对性较强得</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lang w:val="en-US" w:eastAsia="zh-CN"/>
              </w:rPr>
              <w:t xml:space="preserve">分；方案针对性一般得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t xml:space="preserve">分；方案针对性差得</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t xml:space="preserve">分；未提供的不得分。</w:t>
            </w:r>
            <w:r/>
          </w:p>
        </w:tc>
      </w:tr>
      <w:tr>
        <w:trPr>
          <w:trHeight w:val="450"/>
        </w:trPr>
        <w:tc>
          <w:tcPr>
            <w:tcBorders>
              <w:left w:val="single" w:color="auto" w:sz="4" w:space="0"/>
              <w:right w:val="single" w:color="auto" w:sz="4" w:space="0"/>
            </w:tcBorders>
            <w:tcW w:w="599" w:type="pct"/>
            <w:vAlign w:val="center"/>
            <w:vMerge w:val="continue"/>
            <w:textDirection w:val="lrTb"/>
            <w:noWrap w:val="false"/>
          </w:tcPr>
          <w:p>
            <w:pPr>
              <w:ind w:firstLine="20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none" w:color="000000" w:sz="4" w:space="0"/>
              <w:bottom w:val="single" w:color="auto" w:sz="4" w:space="0"/>
              <w:right w:val="single" w:color="auto" w:sz="4" w:space="0"/>
            </w:tcBorders>
            <w:tcW w:w="796" w:type="pct"/>
            <w:vAlign w:val="center"/>
            <w:textDirection w:val="lrTb"/>
            <w:noWrap w:val="false"/>
          </w:tcPr>
          <w:p>
            <w:pPr>
              <w:numPr>
                <w:ilvl w:val="0"/>
                <w:numId w:val="0"/>
              </w:numPr>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numPr>
                <w:ilvl w:val="0"/>
                <w:numId w:val="0"/>
              </w:numPr>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numPr>
                <w:ilvl w:val="0"/>
                <w:numId w:val="0"/>
              </w:numPr>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numPr>
                <w:ilvl w:val="0"/>
                <w:numId w:val="0"/>
              </w:numPr>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numPr>
                <w:ilvl w:val="0"/>
                <w:numId w:val="0"/>
              </w:numPr>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numPr>
                <w:ilvl w:val="0"/>
                <w:numId w:val="0"/>
              </w:numPr>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售后服务方案</w:t>
            </w:r>
            <w:r/>
          </w:p>
          <w:p>
            <w:pPr>
              <w:numPr>
                <w:ilvl w:val="0"/>
                <w:numId w:val="0"/>
              </w:numPr>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（6分）</w:t>
            </w:r>
            <w:r/>
          </w:p>
          <w:p>
            <w:pPr>
              <w:numPr>
                <w:ilvl w:val="0"/>
                <w:numId w:val="0"/>
              </w:numPr>
              <w:keepLines w:val="0"/>
              <w:keepNext w:val="0"/>
              <w:pageBreakBefore w:val="0"/>
              <w:spacing w:line="360" w:lineRule="auto"/>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r>
            <w:r/>
          </w:p>
        </w:tc>
        <w:tc>
          <w:tcPr>
            <w:tcBorders>
              <w:top w:val="single" w:color="auto" w:sz="4" w:space="0"/>
              <w:left w:val="none" w:color="000000" w:sz="4" w:space="0"/>
              <w:bottom w:val="single" w:color="auto" w:sz="4" w:space="0"/>
              <w:right w:val="single" w:color="auto" w:sz="4" w:space="0"/>
            </w:tcBorders>
            <w:tcW w:w="3604" w:type="pct"/>
            <w:vAlign w:val="center"/>
            <w:textDirection w:val="lrTb"/>
            <w:noWrap w:val="false"/>
          </w:tcPr>
          <w:p>
            <w:pPr>
              <w:numPr>
                <w:ilvl w:val="0"/>
                <w:numId w:val="0"/>
              </w:numPr>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根据投标人提供的售后服务方案中的服务流程及内容，响应时间迅速，服务人员具备等方面的全面性、针对性、合理性进行综合性评分</w:t>
            </w:r>
            <w:r/>
          </w:p>
          <w:p>
            <w:pPr>
              <w:numPr>
                <w:ilvl w:val="0"/>
                <w:numId w:val="0"/>
              </w:numPr>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1、方案全面性（2分）</w:t>
            </w:r>
            <w:r/>
          </w:p>
          <w:p>
            <w:pPr>
              <w:numPr>
                <w:ilvl w:val="0"/>
                <w:numId w:val="0"/>
              </w:numPr>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方案全面性强得2分；方案全面性较强得1.5分；方案全面性一般得1分；方案全面性较差得0.5分；未提供的不得分。</w:t>
            </w:r>
            <w:r/>
          </w:p>
          <w:p>
            <w:pPr>
              <w:numPr>
                <w:ilvl w:val="0"/>
                <w:numId w:val="0"/>
              </w:numPr>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2、方案合理可行性（2分）</w:t>
            </w:r>
            <w:r/>
          </w:p>
          <w:p>
            <w:pPr>
              <w:numPr>
                <w:ilvl w:val="0"/>
                <w:numId w:val="0"/>
              </w:numPr>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方案合理可行性强得2分；方案合理可行性较强得1.5分；方案合理可行性一般得1分；方案合理可行性较差得0.5分；未提供的不得分。</w:t>
            </w:r>
            <w:r/>
          </w:p>
          <w:p>
            <w:pPr>
              <w:numPr>
                <w:ilvl w:val="0"/>
                <w:numId w:val="0"/>
              </w:numPr>
              <w:keepLines w:val="0"/>
              <w:keepNext w:val="0"/>
              <w:pageBreakBefore w:val="0"/>
              <w:spacing w:line="360" w:lineRule="auto"/>
              <w:tabs>
                <w:tab w:val="left" w:pos="840" w:leader="none"/>
              </w:tabs>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3、方案针对性（2分）方案针对性强得2分；方案针对性较强得1.5分；方案针对性一般得1分；方案针对性较差得0.5分；未提供的不得分。</w:t>
            </w:r>
            <w:r/>
          </w:p>
        </w:tc>
      </w:tr>
      <w:tr>
        <w:trPr>
          <w:trHeight w:val="1320"/>
        </w:trPr>
        <w:tc>
          <w:tcPr>
            <w:tcBorders>
              <w:left w:val="single" w:color="auto" w:sz="4" w:space="0"/>
              <w:right w:val="single" w:color="auto" w:sz="4" w:space="0"/>
            </w:tcBorders>
            <w:tcW w:w="599" w:type="pct"/>
            <w:vAlign w:val="center"/>
            <w:vMerge w:val="continue"/>
            <w:textDirection w:val="lrTb"/>
            <w:noWrap w:val="false"/>
          </w:tcPr>
          <w:p>
            <w:pPr>
              <w:ind w:firstLine="20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796" w:type="pct"/>
            <w:vAlign w:val="center"/>
            <w:textDirection w:val="lrTb"/>
            <w:noWrap w:val="false"/>
          </w:tcPr>
          <w:p>
            <w:pP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cs="Times New Roman"/>
                <w:color w:val="auto"/>
                <w:sz w:val="21"/>
                <w:szCs w:val="21"/>
                <w:highlight w:val="none"/>
                <w:lang w:val="en-US" w:eastAsia="zh-CN"/>
              </w:rPr>
              <w:t xml:space="preserve">培训</w:t>
            </w:r>
            <w:r>
              <w:rPr>
                <w:rFonts w:ascii="Times New Roman" w:hAnsi="Times New Roman" w:eastAsia="宋体" w:cs="Times New Roman"/>
                <w:color w:val="auto"/>
                <w:sz w:val="21"/>
                <w:szCs w:val="21"/>
                <w:highlight w:val="none"/>
              </w:rPr>
              <w:t xml:space="preserve">方案</w:t>
            </w:r>
            <w:r>
              <w:rPr>
                <w:rFonts w:hint="eastAsia" w:ascii="宋体" w:hAnsi="宋体" w:eastAsia="宋体" w:cs="宋体"/>
                <w:color w:val="000000"/>
                <w:sz w:val="21"/>
                <w:szCs w:val="21"/>
                <w:highlight w:val="none"/>
                <w:lang w:val="en-US" w:eastAsia="zh-CN" w:bidi="ar"/>
              </w:rPr>
              <w:t xml:space="preserve">（</w:t>
            </w:r>
            <w:r>
              <w:rPr>
                <w:rFonts w:hint="eastAsia" w:ascii="宋体" w:hAnsi="宋体" w:cs="宋体"/>
                <w:color w:val="000000"/>
                <w:sz w:val="21"/>
                <w:szCs w:val="21"/>
                <w:highlight w:val="none"/>
                <w:lang w:val="en-US" w:eastAsia="zh-CN" w:bidi="ar"/>
              </w:rPr>
              <w:t xml:space="preserve">6分</w:t>
            </w:r>
            <w:r>
              <w:rPr>
                <w:rFonts w:hint="eastAsia" w:ascii="宋体" w:hAnsi="宋体" w:eastAsia="宋体" w:cs="宋体"/>
                <w:color w:val="000000"/>
                <w:sz w:val="21"/>
                <w:szCs w:val="21"/>
                <w:highlight w:val="none"/>
                <w:lang w:val="en-US" w:eastAsia="zh-CN" w:bidi="ar"/>
              </w:rPr>
              <w:t xml:space="preserve">）</w:t>
            </w:r>
            <w:r/>
          </w:p>
        </w:tc>
        <w:tc>
          <w:tcPr>
            <w:tcBorders>
              <w:top w:val="none" w:color="000000" w:sz="4" w:space="0"/>
              <w:left w:val="none" w:color="000000" w:sz="4" w:space="0"/>
              <w:bottom w:val="single" w:color="auto" w:sz="4" w:space="0"/>
              <w:right w:val="single" w:color="auto" w:sz="4" w:space="0"/>
            </w:tcBorders>
            <w:tcW w:w="3604" w:type="pct"/>
            <w:vAlign w:val="center"/>
            <w:textDirection w:val="lrTb"/>
            <w:noWrap w:val="false"/>
          </w:tcPr>
          <w:p>
            <w:pPr>
              <w:numPr>
                <w:ilvl w:val="0"/>
                <w:numId w:val="0"/>
              </w:numPr>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根据</w:t>
            </w:r>
            <w:r>
              <w:rPr>
                <w:rFonts w:hint="eastAsia" w:ascii="宋体" w:hAnsi="宋体" w:cs="宋体"/>
                <w:sz w:val="21"/>
                <w:szCs w:val="21"/>
                <w:highlight w:val="none"/>
                <w:lang w:val="en-US" w:eastAsia="zh-CN"/>
              </w:rPr>
              <w:t xml:space="preserve">投标人</w:t>
            </w:r>
            <w:r>
              <w:rPr>
                <w:rFonts w:hint="eastAsia" w:ascii="宋体" w:hAnsi="宋体" w:eastAsia="宋体" w:cs="宋体"/>
                <w:sz w:val="21"/>
                <w:szCs w:val="21"/>
                <w:highlight w:val="none"/>
                <w:lang w:val="en-US" w:eastAsia="zh-CN"/>
              </w:rPr>
              <w:t xml:space="preserve">提供的</w:t>
            </w:r>
            <w:r>
              <w:rPr>
                <w:rFonts w:hint="eastAsia" w:ascii="宋体" w:hAnsi="宋体" w:cs="宋体"/>
                <w:sz w:val="21"/>
                <w:szCs w:val="21"/>
                <w:highlight w:val="none"/>
                <w:lang w:val="en-US" w:eastAsia="zh-CN"/>
              </w:rPr>
              <w:t xml:space="preserve">培训</w:t>
            </w:r>
            <w:r>
              <w:rPr>
                <w:rFonts w:hint="eastAsia" w:ascii="宋体" w:hAnsi="宋体" w:eastAsia="宋体" w:cs="宋体"/>
                <w:sz w:val="21"/>
                <w:szCs w:val="21"/>
                <w:highlight w:val="none"/>
                <w:lang w:val="en-US" w:eastAsia="zh-CN"/>
              </w:rPr>
              <w:t xml:space="preserve">方案的合理可行性、针对性进行评分</w:t>
            </w:r>
            <w:r/>
          </w:p>
          <w:p>
            <w:pPr>
              <w:numPr>
                <w:ilvl w:val="0"/>
                <w:numId w:val="0"/>
              </w:numPr>
              <w:keepLines w:val="0"/>
              <w:keepNext w:val="0"/>
              <w:pageBreakBefore w:val="0"/>
              <w:spacing w:line="360"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1、方案合理可行</w:t>
            </w:r>
            <w:r>
              <w:rPr>
                <w:rFonts w:hint="eastAsia" w:ascii="宋体" w:hAnsi="宋体" w:cs="宋体"/>
                <w:sz w:val="21"/>
                <w:szCs w:val="21"/>
                <w:highlight w:val="none"/>
                <w:lang w:val="en-US" w:eastAsia="zh-CN"/>
              </w:rPr>
              <w:t xml:space="preserve">性（3</w:t>
            </w:r>
            <w:r>
              <w:rPr>
                <w:rFonts w:hint="eastAsia" w:ascii="宋体" w:hAnsi="宋体" w:eastAsia="宋体" w:cs="宋体"/>
                <w:sz w:val="21"/>
                <w:szCs w:val="21"/>
                <w:highlight w:val="none"/>
                <w:lang w:val="en-US" w:eastAsia="zh-CN"/>
              </w:rPr>
              <w:t xml:space="preserve">分</w:t>
            </w:r>
            <w:r>
              <w:rPr>
                <w:rFonts w:hint="eastAsia" w:ascii="宋体" w:hAnsi="宋体" w:cs="宋体"/>
                <w:sz w:val="21"/>
                <w:szCs w:val="21"/>
                <w:highlight w:val="none"/>
                <w:lang w:val="en-US" w:eastAsia="zh-CN"/>
              </w:rPr>
              <w:t xml:space="preserve">）</w:t>
            </w:r>
            <w:r/>
          </w:p>
          <w:p>
            <w:pPr>
              <w:numPr>
                <w:ilvl w:val="0"/>
                <w:numId w:val="0"/>
              </w:numPr>
              <w:keepLines w:val="0"/>
              <w:keepNext w:val="0"/>
              <w:pageBreakBefore w:val="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方案合理可行性</w:t>
            </w:r>
            <w:r>
              <w:rPr>
                <w:rFonts w:hint="eastAsia" w:ascii="宋体" w:hAnsi="宋体" w:cs="宋体"/>
                <w:sz w:val="21"/>
                <w:szCs w:val="21"/>
                <w:highlight w:val="none"/>
                <w:lang w:val="en-US" w:eastAsia="zh-CN"/>
              </w:rPr>
              <w:t xml:space="preserve">强得3</w:t>
            </w:r>
            <w:r>
              <w:rPr>
                <w:rFonts w:hint="eastAsia" w:ascii="宋体" w:hAnsi="宋体" w:eastAsia="宋体" w:cs="宋体"/>
                <w:sz w:val="21"/>
                <w:szCs w:val="21"/>
                <w:highlight w:val="none"/>
                <w:lang w:val="en-US" w:eastAsia="zh-CN"/>
              </w:rPr>
              <w:t xml:space="preserve">分；方案合理可行性</w:t>
            </w:r>
            <w:r>
              <w:rPr>
                <w:rFonts w:hint="eastAsia" w:ascii="宋体" w:hAnsi="宋体" w:cs="宋体"/>
                <w:sz w:val="21"/>
                <w:szCs w:val="21"/>
                <w:highlight w:val="none"/>
                <w:lang w:val="en-US" w:eastAsia="zh-CN"/>
              </w:rPr>
              <w:t xml:space="preserve">较</w:t>
            </w:r>
            <w:r>
              <w:rPr>
                <w:rFonts w:hint="eastAsia" w:ascii="宋体" w:hAnsi="宋体" w:eastAsia="宋体" w:cs="宋体"/>
                <w:sz w:val="21"/>
                <w:szCs w:val="21"/>
                <w:highlight w:val="none"/>
                <w:lang w:val="en-US" w:eastAsia="zh-CN"/>
              </w:rPr>
              <w:t xml:space="preserve">强得</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t xml:space="preserve">分；方案合理可行性</w:t>
            </w:r>
            <w:r>
              <w:rPr>
                <w:rFonts w:hint="eastAsia" w:ascii="宋体" w:hAnsi="宋体" w:cs="宋体"/>
                <w:sz w:val="21"/>
                <w:szCs w:val="21"/>
                <w:highlight w:val="none"/>
                <w:lang w:val="en-US" w:eastAsia="zh-CN"/>
              </w:rPr>
              <w:t xml:space="preserve">一般</w:t>
            </w:r>
            <w:r>
              <w:rPr>
                <w:rFonts w:hint="eastAsia" w:ascii="宋体" w:hAnsi="宋体" w:eastAsia="宋体" w:cs="宋体"/>
                <w:sz w:val="21"/>
                <w:szCs w:val="21"/>
                <w:highlight w:val="none"/>
                <w:lang w:val="en-US" w:eastAsia="zh-CN"/>
              </w:rPr>
              <w:t xml:space="preserve">得</w:t>
            </w:r>
            <w:r>
              <w:rPr>
                <w:rFonts w:hint="eastAsia" w:ascii="宋体" w:hAnsi="宋体" w:cs="宋体"/>
                <w:sz w:val="21"/>
                <w:szCs w:val="21"/>
                <w:highlight w:val="none"/>
                <w:lang w:val="en-US" w:eastAsia="zh-CN"/>
              </w:rPr>
              <w:t xml:space="preserve">1.5</w:t>
            </w:r>
            <w:r>
              <w:rPr>
                <w:rFonts w:hint="eastAsia" w:ascii="宋体" w:hAnsi="宋体" w:eastAsia="宋体" w:cs="宋体"/>
                <w:sz w:val="21"/>
                <w:szCs w:val="21"/>
                <w:highlight w:val="none"/>
                <w:lang w:val="en-US" w:eastAsia="zh-CN"/>
              </w:rPr>
              <w:t xml:space="preserve">分；方案合理可行性</w:t>
            </w:r>
            <w:r>
              <w:rPr>
                <w:rFonts w:hint="eastAsia" w:ascii="宋体" w:hAnsi="宋体" w:cs="宋体"/>
                <w:sz w:val="21"/>
                <w:szCs w:val="21"/>
                <w:highlight w:val="none"/>
                <w:lang w:val="en-US" w:eastAsia="zh-CN"/>
              </w:rPr>
              <w:t xml:space="preserve">差</w:t>
            </w:r>
            <w:r>
              <w:rPr>
                <w:rFonts w:hint="eastAsia" w:ascii="宋体" w:hAnsi="宋体" w:eastAsia="宋体" w:cs="宋体"/>
                <w:sz w:val="21"/>
                <w:szCs w:val="21"/>
                <w:highlight w:val="none"/>
                <w:lang w:val="en-US" w:eastAsia="zh-CN"/>
              </w:rPr>
              <w:t xml:space="preserve">得1分；</w:t>
            </w:r>
            <w:r>
              <w:rPr>
                <w:rFonts w:hint="eastAsia" w:ascii="宋体" w:hAnsi="宋体" w:eastAsia="宋体" w:cs="宋体"/>
                <w:sz w:val="21"/>
                <w:szCs w:val="21"/>
                <w:highlight w:val="none"/>
                <w:lang w:eastAsia="zh-CN"/>
              </w:rPr>
              <w:t xml:space="preserve">未提供的不得分。</w:t>
            </w:r>
            <w:r/>
          </w:p>
          <w:p>
            <w:pPr>
              <w:numPr>
                <w:ilvl w:val="0"/>
                <w:numId w:val="4"/>
              </w:numPr>
              <w:ind w:left="0" w:firstLine="0"/>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方案针对性</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t xml:space="preserve">分</w:t>
            </w:r>
            <w:r>
              <w:rPr>
                <w:rFonts w:hint="eastAsia" w:ascii="宋体" w:hAnsi="宋体" w:cs="宋体"/>
                <w:sz w:val="21"/>
                <w:szCs w:val="21"/>
                <w:highlight w:val="none"/>
                <w:lang w:val="en-US" w:eastAsia="zh-CN"/>
              </w:rPr>
              <w:t xml:space="preserve">）</w:t>
            </w:r>
            <w:r/>
          </w:p>
          <w:p>
            <w:pPr>
              <w:numPr>
                <w:ilvl w:val="0"/>
                <w:numId w:val="0"/>
              </w:numPr>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sz w:val="21"/>
                <w:szCs w:val="21"/>
                <w:highlight w:val="none"/>
                <w:lang w:val="en-US" w:eastAsia="zh-CN"/>
              </w:rPr>
              <w:t xml:space="preserve">方案针对性</w:t>
            </w:r>
            <w:r>
              <w:rPr>
                <w:rFonts w:hint="eastAsia" w:ascii="宋体" w:hAnsi="宋体" w:cs="宋体"/>
                <w:sz w:val="21"/>
                <w:szCs w:val="21"/>
                <w:highlight w:val="none"/>
                <w:lang w:val="en-US" w:eastAsia="zh-CN"/>
              </w:rPr>
              <w:t xml:space="preserve">强得3</w:t>
            </w:r>
            <w:r>
              <w:rPr>
                <w:rFonts w:hint="eastAsia" w:ascii="宋体" w:hAnsi="宋体" w:eastAsia="宋体" w:cs="宋体"/>
                <w:sz w:val="21"/>
                <w:szCs w:val="21"/>
                <w:highlight w:val="none"/>
                <w:lang w:val="en-US" w:eastAsia="zh-CN"/>
              </w:rPr>
              <w:t xml:space="preserve">分</w:t>
            </w:r>
            <w:r>
              <w:rPr>
                <w:rFonts w:hint="eastAsia" w:ascii="宋体" w:hAnsi="宋体" w:cs="宋体"/>
                <w:sz w:val="21"/>
                <w:szCs w:val="21"/>
                <w:highlight w:val="none"/>
                <w:lang w:val="en-US" w:eastAsia="zh-CN"/>
              </w:rPr>
              <w:t xml:space="preserve">；</w:t>
            </w:r>
            <w:r>
              <w:rPr>
                <w:rFonts w:hint="eastAsia" w:ascii="宋体" w:hAnsi="宋体" w:eastAsia="宋体" w:cs="宋体"/>
                <w:sz w:val="21"/>
                <w:szCs w:val="21"/>
                <w:highlight w:val="none"/>
                <w:lang w:val="en-US" w:eastAsia="zh-CN"/>
              </w:rPr>
              <w:t xml:space="preserve">方案针对性</w:t>
            </w:r>
            <w:r>
              <w:rPr>
                <w:rFonts w:hint="eastAsia" w:ascii="宋体" w:hAnsi="宋体" w:cs="宋体"/>
                <w:sz w:val="21"/>
                <w:szCs w:val="21"/>
                <w:highlight w:val="none"/>
                <w:lang w:val="en-US" w:eastAsia="zh-CN"/>
              </w:rPr>
              <w:t xml:space="preserve">较</w:t>
            </w:r>
            <w:r>
              <w:rPr>
                <w:rFonts w:hint="eastAsia" w:ascii="宋体" w:hAnsi="宋体" w:eastAsia="宋体" w:cs="宋体"/>
                <w:sz w:val="21"/>
                <w:szCs w:val="21"/>
                <w:highlight w:val="none"/>
                <w:lang w:val="en-US" w:eastAsia="zh-CN"/>
              </w:rPr>
              <w:t xml:space="preserve">强得</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t xml:space="preserve">分；方案针对性</w:t>
            </w:r>
            <w:r>
              <w:rPr>
                <w:rFonts w:hint="eastAsia" w:ascii="宋体" w:hAnsi="宋体" w:cs="宋体"/>
                <w:sz w:val="21"/>
                <w:szCs w:val="21"/>
                <w:highlight w:val="none"/>
                <w:lang w:val="en-US" w:eastAsia="zh-CN"/>
              </w:rPr>
              <w:t xml:space="preserve">一般</w:t>
            </w:r>
            <w:r>
              <w:rPr>
                <w:rFonts w:hint="eastAsia" w:ascii="宋体" w:hAnsi="宋体" w:eastAsia="宋体" w:cs="宋体"/>
                <w:sz w:val="21"/>
                <w:szCs w:val="21"/>
                <w:highlight w:val="none"/>
                <w:lang w:val="en-US" w:eastAsia="zh-CN"/>
              </w:rPr>
              <w:t xml:space="preserve">得</w:t>
            </w:r>
            <w:r>
              <w:rPr>
                <w:rFonts w:hint="eastAsia" w:ascii="宋体" w:hAnsi="宋体" w:cs="宋体"/>
                <w:sz w:val="21"/>
                <w:szCs w:val="21"/>
                <w:highlight w:val="none"/>
                <w:lang w:val="en-US" w:eastAsia="zh-CN"/>
              </w:rPr>
              <w:t xml:space="preserve">1.5</w:t>
            </w:r>
            <w:r>
              <w:rPr>
                <w:rFonts w:hint="eastAsia" w:ascii="宋体" w:hAnsi="宋体" w:eastAsia="宋体" w:cs="宋体"/>
                <w:sz w:val="21"/>
                <w:szCs w:val="21"/>
                <w:highlight w:val="none"/>
                <w:lang w:val="en-US" w:eastAsia="zh-CN"/>
              </w:rPr>
              <w:t xml:space="preserve">分；方案针对性</w:t>
            </w:r>
            <w:r>
              <w:rPr>
                <w:rFonts w:hint="eastAsia" w:ascii="宋体" w:hAnsi="宋体" w:cs="宋体"/>
                <w:sz w:val="21"/>
                <w:szCs w:val="21"/>
                <w:highlight w:val="none"/>
                <w:lang w:val="en-US" w:eastAsia="zh-CN"/>
              </w:rPr>
              <w:t xml:space="preserve">差</w:t>
            </w:r>
            <w:r>
              <w:rPr>
                <w:rFonts w:hint="eastAsia" w:ascii="宋体" w:hAnsi="宋体" w:eastAsia="宋体" w:cs="宋体"/>
                <w:sz w:val="21"/>
                <w:szCs w:val="21"/>
                <w:highlight w:val="none"/>
                <w:lang w:val="en-US" w:eastAsia="zh-CN"/>
              </w:rPr>
              <w:t xml:space="preserve">得</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t xml:space="preserve">分；</w:t>
            </w:r>
            <w:r>
              <w:rPr>
                <w:rFonts w:hint="eastAsia" w:ascii="宋体" w:hAnsi="宋体" w:eastAsia="宋体" w:cs="宋体"/>
                <w:sz w:val="21"/>
                <w:szCs w:val="21"/>
                <w:highlight w:val="none"/>
                <w:lang w:eastAsia="zh-CN"/>
              </w:rPr>
              <w:t xml:space="preserve">未提供的不得分。</w:t>
            </w:r>
            <w:r/>
          </w:p>
        </w:tc>
      </w:tr>
    </w:tbl>
    <w:p>
      <w:pPr>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sz w:val="24"/>
          <w:szCs w:val="24"/>
          <w:highlight w:val="none"/>
        </w:rPr>
        <w:t xml:space="preserve">本章说明：本项目采用综合评分法，结果保留2位小数</w:t>
      </w:r>
      <w:r/>
    </w:p>
    <w:p>
      <w:pPr>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第五章 拟签订的合同文本</w:t>
      </w:r>
      <w:r/>
    </w:p>
    <w:p>
      <w:pPr>
        <w:rPr>
          <w:rFonts w:hint="eastAsia" w:ascii="宋体" w:hAnsi="宋体" w:cs="宋体"/>
          <w:b/>
          <w:color w:val="000000"/>
          <w:sz w:val="52"/>
          <w:szCs w:val="36"/>
          <w:highlight w:val="none"/>
        </w:rPr>
      </w:pPr>
      <w:r>
        <w:rPr>
          <w:rFonts w:hint="eastAsia" w:ascii="宋体" w:hAnsi="宋体" w:cs="宋体"/>
          <w:b/>
          <w:color w:val="000000"/>
          <w:sz w:val="52"/>
          <w:szCs w:val="36"/>
          <w:highlight w:val="none"/>
        </w:rPr>
      </w:r>
      <w:r/>
    </w:p>
    <w:p>
      <w:pPr>
        <w:jc w:val="center"/>
        <w:rPr>
          <w:rFonts w:hint="eastAsia" w:ascii="宋体" w:hAnsi="宋体" w:cs="宋体"/>
          <w:b/>
          <w:color w:val="000000"/>
          <w:sz w:val="72"/>
          <w:szCs w:val="72"/>
          <w:highlight w:val="none"/>
        </w:rPr>
      </w:pPr>
      <w:r>
        <w:rPr>
          <w:rFonts w:hint="eastAsia" w:ascii="宋体" w:hAnsi="宋体" w:cs="宋体"/>
          <w:b/>
          <w:color w:val="000000"/>
          <w:sz w:val="72"/>
          <w:szCs w:val="72"/>
          <w:highlight w:val="none"/>
        </w:rPr>
        <w:t xml:space="preserve">政 府 采 购 合 同</w:t>
      </w:r>
      <w:r/>
    </w:p>
    <w:p>
      <w:pPr>
        <w:jc w:val="left"/>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jc w:val="left"/>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left"/>
        <w:spacing w:line="360" w:lineRule="auto"/>
        <w:rPr>
          <w:rFonts w:hint="eastAsia" w:ascii="宋体" w:hAnsi="宋体" w:eastAsia="宋体" w:cs="宋体"/>
          <w:b/>
          <w:color w:val="000000"/>
          <w:sz w:val="30"/>
          <w:szCs w:val="30"/>
          <w:highlight w:val="none"/>
          <w:lang w:eastAsia="zh-CN"/>
        </w:rPr>
      </w:pPr>
      <w:r>
        <w:rPr>
          <w:rFonts w:hint="eastAsia" w:ascii="宋体" w:hAnsi="宋体" w:cs="宋体"/>
          <w:b/>
          <w:color w:val="000000"/>
          <w:sz w:val="30"/>
          <w:szCs w:val="30"/>
          <w:highlight w:val="none"/>
        </w:rPr>
        <w:t xml:space="preserve">项目编号：</w:t>
      </w:r>
      <w:r>
        <w:rPr>
          <w:rFonts w:hint="eastAsia" w:ascii="宋体" w:hAnsi="宋体" w:cs="宋体"/>
          <w:b/>
          <w:color w:val="000000"/>
          <w:sz w:val="30"/>
          <w:szCs w:val="30"/>
          <w:highlight w:val="none"/>
          <w:lang w:eastAsia="zh-CN"/>
        </w:rPr>
        <w:t xml:space="preserve">JSZC-320300-ZZHQ-G2026-0002</w:t>
      </w:r>
      <w:r/>
    </w:p>
    <w:p>
      <w:pPr>
        <w:jc w:val="left"/>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jc w:val="left"/>
        <w:spacing w:line="360" w:lineRule="auto"/>
        <w:rPr>
          <w:rFonts w:hint="eastAsia" w:ascii="宋体" w:hAnsi="宋体" w:eastAsia="宋体" w:cs="宋体"/>
          <w:b/>
          <w:color w:val="000000"/>
          <w:sz w:val="30"/>
          <w:szCs w:val="30"/>
          <w:highlight w:val="none"/>
          <w:lang w:eastAsia="zh-CN"/>
        </w:rPr>
      </w:pPr>
      <w:r>
        <w:rPr>
          <w:rFonts w:hint="eastAsia" w:ascii="宋体" w:hAnsi="宋体" w:cs="宋体"/>
          <w:b/>
          <w:color w:val="000000"/>
          <w:sz w:val="30"/>
          <w:szCs w:val="30"/>
          <w:highlight w:val="none"/>
        </w:rPr>
        <w:t xml:space="preserve">项目名称：</w:t>
      </w:r>
      <w:r>
        <w:rPr>
          <w:rFonts w:hint="eastAsia" w:ascii="宋体" w:hAnsi="宋体" w:cs="宋体"/>
          <w:b/>
          <w:color w:val="000000"/>
          <w:sz w:val="30"/>
          <w:szCs w:val="30"/>
          <w:highlight w:val="none"/>
          <w:lang w:eastAsia="zh-CN"/>
        </w:rPr>
        <w:t xml:space="preserve">徐州市供排水管理中心防汛车辆购置</w:t>
      </w:r>
      <w:r/>
    </w:p>
    <w:p>
      <w:pPr>
        <w:jc w:val="left"/>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jc w:val="left"/>
        <w:spacing w:line="360" w:lineRule="auto"/>
        <w:rPr>
          <w:rFonts w:hint="eastAsia" w:ascii="宋体" w:hAnsi="宋体" w:eastAsia="宋体" w:cs="宋体"/>
          <w:b/>
          <w:color w:val="000000"/>
          <w:sz w:val="30"/>
          <w:szCs w:val="30"/>
          <w:highlight w:val="none"/>
          <w:lang w:eastAsia="zh-CN"/>
        </w:rPr>
      </w:pPr>
      <w:r>
        <w:rPr>
          <w:rFonts w:hint="eastAsia" w:ascii="宋体" w:hAnsi="宋体" w:cs="宋体"/>
          <w:b/>
          <w:color w:val="000000"/>
          <w:sz w:val="30"/>
          <w:szCs w:val="30"/>
          <w:highlight w:val="none"/>
        </w:rPr>
        <w:t xml:space="preserve">采购单位：</w:t>
      </w:r>
      <w:r>
        <w:rPr>
          <w:rFonts w:hint="eastAsia" w:ascii="宋体" w:hAnsi="宋体" w:cs="宋体"/>
          <w:b/>
          <w:color w:val="000000"/>
          <w:sz w:val="30"/>
          <w:szCs w:val="30"/>
          <w:highlight w:val="none"/>
          <w:lang w:eastAsia="zh-CN"/>
        </w:rPr>
        <w:t xml:space="preserve">徐州市供排水管理中心</w:t>
      </w:r>
      <w:r/>
    </w:p>
    <w:p>
      <w:pPr>
        <w:jc w:val="left"/>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jc w:val="left"/>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中标供应商（乙方）：</w:t>
      </w:r>
      <w:r/>
    </w:p>
    <w:p>
      <w:pPr>
        <w:jc w:val="left"/>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jc w:val="left"/>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签订日期：    年  月  日</w:t>
      </w:r>
      <w:r/>
    </w:p>
    <w:p>
      <w:pP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42"/>
        <w:ind w:left="0" w:right="0"/>
        <w:spacing w:after="0"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42"/>
        <w:ind w:left="0" w:right="0"/>
        <w:spacing w:after="0"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友情提醒：采购人与中标、成交供应商应当在中标、成交通知书发出之日起三十日内，按照采购文件确定的事项签订政府采购合同。</w:t>
      </w:r>
      <w:r/>
    </w:p>
    <w:p>
      <w:pPr>
        <w:pStyle w:val="842"/>
        <w:ind w:left="0" w:right="0"/>
        <w:spacing w:after="0" w:line="360" w:lineRule="auto"/>
        <w:rPr>
          <w:rFonts w:hint="eastAsia" w:ascii="宋体" w:hAnsi="宋体" w:cs="宋体"/>
          <w:b/>
          <w:color w:val="000000"/>
          <w:sz w:val="24"/>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color w:val="000000"/>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买　 方：</w:t>
      </w:r>
      <w:r>
        <w:rPr>
          <w:rFonts w:hint="eastAsia" w:ascii="宋体" w:hAnsi="宋体" w:cs="宋体"/>
          <w:color w:val="000000"/>
          <w:sz w:val="24"/>
          <w:szCs w:val="24"/>
          <w:highlight w:val="none"/>
          <w:lang w:eastAsia="zh-CN"/>
        </w:rPr>
        <w:t xml:space="preserve">徐州市供排水管理中心</w:t>
      </w:r>
      <w:r>
        <w:rPr>
          <w:rFonts w:hint="eastAsia" w:ascii="宋体" w:hAnsi="宋体" w:eastAsia="宋体" w:cs="宋体"/>
          <w:color w:val="000000"/>
          <w:sz w:val="24"/>
          <w:szCs w:val="24"/>
          <w:highlight w:val="none"/>
        </w:rPr>
        <w:t xml:space="preserve">（以下简称买方）</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卖   方：</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（以下简称卖方）</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根据《中华人民共和国</w:t>
      </w:r>
      <w:r>
        <w:rPr>
          <w:rFonts w:hint="eastAsia" w:ascii="宋体" w:hAnsi="宋体" w:eastAsia="宋体" w:cs="宋体"/>
          <w:color w:val="000000"/>
          <w:sz w:val="24"/>
          <w:szCs w:val="24"/>
          <w:highlight w:val="none"/>
          <w:lang w:val="en-US" w:eastAsia="zh-CN"/>
        </w:rPr>
        <w:t xml:space="preserve">民法典</w:t>
      </w:r>
      <w:r>
        <w:rPr>
          <w:rFonts w:hint="eastAsia" w:ascii="宋体" w:hAnsi="宋体" w:eastAsia="宋体" w:cs="宋体"/>
          <w:color w:val="000000"/>
          <w:sz w:val="24"/>
          <w:szCs w:val="24"/>
          <w:highlight w:val="none"/>
        </w:rPr>
        <w:t xml:space="preserve">》和其他相关法律的有关规定，买卖双方本着平等互利、诚实信用的原则，就买方向卖方采购</w:t>
      </w:r>
      <w:r>
        <w:rPr>
          <w:rFonts w:hint="eastAsia" w:ascii="宋体" w:hAnsi="宋体" w:eastAsia="宋体" w:cs="宋体"/>
          <w:b/>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相关事宜，经协商一致签订本合同，双方共同遵守。</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一、合同的组成</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以下文件是本合同不可分割的组成部分，如果不同文件的条款之间有冲突，文件之间的优先顺序如下：</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1、本合同及附件</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2、中标通知书</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3、标准、规范及有关技术文件</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4、技术交底材料</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5、投标文件</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6、招标文件</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7、形成合同的其他有关文件</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上述文件互为补充和解释，如有不清或相互矛盾之处，以所列顺序在前的为准。</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二、设备名称、数量、价款</w:t>
      </w:r>
      <w:r/>
    </w:p>
    <w:tbl>
      <w:tblPr>
        <w:tblStyle w:val="802"/>
        <w:tblW w:w="103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3"/>
        <w:gridCol w:w="877"/>
        <w:gridCol w:w="1200"/>
        <w:gridCol w:w="1282"/>
        <w:gridCol w:w="3382"/>
        <w:gridCol w:w="654"/>
        <w:gridCol w:w="830"/>
        <w:gridCol w:w="712"/>
        <w:gridCol w:w="627"/>
        <w:gridCol w:w="340"/>
      </w:tblGrid>
      <w:tr>
        <w:trPr>
          <w:jc w:val="center"/>
          <w:trHeight w:val="547"/>
        </w:trPr>
        <w:tc>
          <w:tcPr>
            <w:tcW w:w="413" w:type="dxa"/>
            <w:vAlign w:val="center"/>
            <w:textDirection w:val="lrTb"/>
            <w:noWrap w:val="false"/>
          </w:tcPr>
          <w:p>
            <w:pPr>
              <w:jc w:val="center"/>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p>
        </w:tc>
        <w:tc>
          <w:tcPr>
            <w:tcW w:w="877" w:type="dxa"/>
            <w:vAlign w:val="center"/>
            <w:textDirection w:val="lrTb"/>
            <w:noWrap w:val="false"/>
          </w:tcPr>
          <w:p>
            <w:pPr>
              <w:jc w:val="center"/>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名称</w:t>
            </w:r>
            <w:r/>
          </w:p>
        </w:tc>
        <w:tc>
          <w:tcPr>
            <w:tcW w:w="1200" w:type="dxa"/>
            <w:vAlign w:val="center"/>
            <w:textDirection w:val="lrTb"/>
            <w:noWrap w:val="false"/>
          </w:tcPr>
          <w:p>
            <w:pPr>
              <w:jc w:val="center"/>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品牌、</w:t>
            </w:r>
            <w:r>
              <w:rPr>
                <w:rFonts w:hint="eastAsia" w:ascii="宋体" w:hAnsi="宋体" w:eastAsia="宋体" w:cs="宋体"/>
                <w:b/>
                <w:color w:val="000000"/>
                <w:sz w:val="24"/>
                <w:szCs w:val="24"/>
                <w:highlight w:val="none"/>
              </w:rPr>
              <w:t xml:space="preserve">规格</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型号</w:t>
            </w:r>
            <w:r/>
          </w:p>
        </w:tc>
        <w:tc>
          <w:tcPr>
            <w:tcW w:w="1282" w:type="dxa"/>
            <w:vAlign w:val="center"/>
            <w:textDirection w:val="lrTb"/>
            <w:noWrap w:val="false"/>
          </w:tcPr>
          <w:p>
            <w:pPr>
              <w:jc w:val="center"/>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产品制造</w:t>
            </w:r>
            <w:r/>
          </w:p>
          <w:p>
            <w:pPr>
              <w:jc w:val="center"/>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企业名称</w:t>
            </w:r>
            <w:r/>
          </w:p>
          <w:p>
            <w:pPr>
              <w:jc w:val="center"/>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（全称）</w:t>
            </w:r>
            <w:r/>
          </w:p>
        </w:tc>
        <w:tc>
          <w:tcPr>
            <w:tcW w:w="3382" w:type="dxa"/>
            <w:vAlign w:val="center"/>
            <w:textDirection w:val="lrTb"/>
            <w:noWrap w:val="false"/>
          </w:tcPr>
          <w:p>
            <w:pPr>
              <w:jc w:val="center"/>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产品制造企业的划分（大型、</w:t>
            </w:r>
            <w:r/>
          </w:p>
          <w:p>
            <w:pPr>
              <w:jc w:val="both"/>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中型、小型、微型、监狱企</w:t>
            </w:r>
            <w:r/>
          </w:p>
          <w:p>
            <w:pPr>
              <w:jc w:val="both"/>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业、享受政府采购支持政策</w:t>
            </w:r>
            <w:r/>
          </w:p>
          <w:p>
            <w:pPr>
              <w:jc w:val="both"/>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的残疾人福利性单位）</w:t>
            </w:r>
            <w:r/>
          </w:p>
        </w:tc>
        <w:tc>
          <w:tcPr>
            <w:tcW w:w="654" w:type="dxa"/>
            <w:vAlign w:val="center"/>
            <w:textDirection w:val="lrTb"/>
            <w:noWrap w:val="false"/>
          </w:tcPr>
          <w:p>
            <w:pPr>
              <w:jc w:val="center"/>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数量</w:t>
            </w:r>
            <w:r/>
          </w:p>
        </w:tc>
        <w:tc>
          <w:tcPr>
            <w:tcW w:w="830" w:type="dxa"/>
            <w:vAlign w:val="center"/>
            <w:textDirection w:val="lrTb"/>
            <w:noWrap w:val="false"/>
          </w:tcPr>
          <w:p>
            <w:pPr>
              <w:jc w:val="center"/>
              <w:spacing w:line="400" w:lineRule="exac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数量单位</w:t>
            </w:r>
            <w:r/>
          </w:p>
        </w:tc>
        <w:tc>
          <w:tcPr>
            <w:tcW w:w="712" w:type="dxa"/>
            <w:vAlign w:val="center"/>
            <w:textDirection w:val="lrTb"/>
            <w:noWrap w:val="false"/>
          </w:tcPr>
          <w:p>
            <w:pPr>
              <w:jc w:val="center"/>
              <w:spacing w:line="400" w:lineRule="exac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单价</w:t>
            </w:r>
            <w:r/>
          </w:p>
        </w:tc>
        <w:tc>
          <w:tcPr>
            <w:tcW w:w="627" w:type="dxa"/>
            <w:vAlign w:val="center"/>
            <w:textDirection w:val="lrTb"/>
            <w:noWrap w:val="false"/>
          </w:tcPr>
          <w:p>
            <w:pPr>
              <w:jc w:val="center"/>
              <w:spacing w:line="400" w:lineRule="exact"/>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val="en-US" w:eastAsia="zh-CN"/>
              </w:rPr>
              <w:t xml:space="preserve">总价</w:t>
            </w:r>
            <w:r/>
          </w:p>
        </w:tc>
        <w:tc>
          <w:tcPr>
            <w:tcW w:w="340" w:type="dxa"/>
            <w:vAlign w:val="center"/>
            <w:textDirection w:val="lrTb"/>
            <w:noWrap w:val="false"/>
          </w:tcPr>
          <w:p>
            <w:pPr>
              <w:jc w:val="center"/>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备注</w:t>
            </w:r>
            <w:r/>
          </w:p>
        </w:tc>
      </w:tr>
      <w:tr>
        <w:trPr>
          <w:jc w:val="center"/>
          <w:trHeight w:val="534"/>
        </w:trPr>
        <w:tc>
          <w:tcPr>
            <w:tcW w:w="413"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877"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0"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2"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82"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4" w:type="dxa"/>
            <w:vAlign w:val="center"/>
            <w:textDirection w:val="lrTb"/>
            <w:noWrap w:val="false"/>
          </w:tcPr>
          <w:p>
            <w:pPr>
              <w:jc w:val="center"/>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30" w:type="dxa"/>
            <w:vAlign w:val="center"/>
            <w:textDirection w:val="lrTb"/>
            <w:noWrap w:val="false"/>
          </w:tcPr>
          <w:p>
            <w:pPr>
              <w:ind w:right="-205"/>
              <w:jc w:val="both"/>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W w:w="712" w:type="dxa"/>
            <w:vAlign w:val="center"/>
            <w:textDirection w:val="lrTb"/>
            <w:noWrap w:val="false"/>
          </w:tcPr>
          <w:p>
            <w:pPr>
              <w:ind w:right="-205"/>
              <w:jc w:val="center"/>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627" w:type="dxa"/>
            <w:vAlign w:val="center"/>
            <w:textDirection w:val="lrTb"/>
            <w:noWrap w:val="false"/>
          </w:tcPr>
          <w:p>
            <w:pPr>
              <w:ind w:right="-161"/>
              <w:jc w:val="center"/>
              <w:spacing w:line="400" w:lineRule="exact"/>
              <w:tabs>
                <w:tab w:val="left" w:pos="42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340" w:type="dxa"/>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534"/>
        </w:trPr>
        <w:tc>
          <w:tcPr>
            <w:tcW w:w="413" w:type="dxa"/>
            <w:vAlign w:val="center"/>
            <w:textDirection w:val="lrTb"/>
            <w:noWrap w:val="false"/>
          </w:tcPr>
          <w:p>
            <w:pPr>
              <w:jc w:val="center"/>
              <w:spacing w:line="40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w:t>
            </w:r>
            <w:r/>
          </w:p>
        </w:tc>
        <w:tc>
          <w:tcPr>
            <w:tcW w:w="877"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0"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2"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82"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4" w:type="dxa"/>
            <w:vAlign w:val="center"/>
            <w:textDirection w:val="lrTb"/>
            <w:noWrap w:val="false"/>
          </w:tcPr>
          <w:p>
            <w:pPr>
              <w:jc w:val="center"/>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30" w:type="dxa"/>
            <w:vAlign w:val="center"/>
            <w:textDirection w:val="lrTb"/>
            <w:noWrap w:val="false"/>
          </w:tcPr>
          <w:p>
            <w:pPr>
              <w:ind w:right="-205"/>
              <w:jc w:val="both"/>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W w:w="712" w:type="dxa"/>
            <w:vAlign w:val="center"/>
            <w:textDirection w:val="lrTb"/>
            <w:noWrap w:val="false"/>
          </w:tcPr>
          <w:p>
            <w:pPr>
              <w:ind w:right="-205"/>
              <w:jc w:val="center"/>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627" w:type="dxa"/>
            <w:vAlign w:val="center"/>
            <w:textDirection w:val="lrTb"/>
            <w:noWrap w:val="false"/>
          </w:tcPr>
          <w:p>
            <w:pPr>
              <w:ind w:right="-161"/>
              <w:jc w:val="center"/>
              <w:spacing w:line="400" w:lineRule="exact"/>
              <w:tabs>
                <w:tab w:val="left" w:pos="42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340" w:type="dxa"/>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534"/>
        </w:trPr>
        <w:tc>
          <w:tcPr>
            <w:tcW w:w="413" w:type="dxa"/>
            <w:vAlign w:val="center"/>
            <w:textDirection w:val="lrTb"/>
            <w:noWrap w:val="false"/>
          </w:tcPr>
          <w:p>
            <w:pPr>
              <w:jc w:val="center"/>
              <w:spacing w:line="40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w:t>
            </w:r>
            <w:r/>
          </w:p>
        </w:tc>
        <w:tc>
          <w:tcPr>
            <w:tcW w:w="877"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0"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2"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82"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54" w:type="dxa"/>
            <w:vAlign w:val="center"/>
            <w:textDirection w:val="lrTb"/>
            <w:noWrap w:val="false"/>
          </w:tcPr>
          <w:p>
            <w:pPr>
              <w:jc w:val="center"/>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30" w:type="dxa"/>
            <w:vAlign w:val="center"/>
            <w:textDirection w:val="lrTb"/>
            <w:noWrap w:val="false"/>
          </w:tcPr>
          <w:p>
            <w:pPr>
              <w:ind w:right="-205"/>
              <w:jc w:val="both"/>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W w:w="712" w:type="dxa"/>
            <w:vAlign w:val="center"/>
            <w:textDirection w:val="lrTb"/>
            <w:noWrap w:val="false"/>
          </w:tcPr>
          <w:p>
            <w:pPr>
              <w:ind w:right="-205"/>
              <w:jc w:val="center"/>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627" w:type="dxa"/>
            <w:vAlign w:val="center"/>
            <w:textDirection w:val="lrTb"/>
            <w:noWrap w:val="false"/>
          </w:tcPr>
          <w:p>
            <w:pPr>
              <w:ind w:right="-161"/>
              <w:jc w:val="center"/>
              <w:spacing w:line="400" w:lineRule="exact"/>
              <w:tabs>
                <w:tab w:val="left" w:pos="42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340" w:type="dxa"/>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534"/>
        </w:trPr>
        <w:tc>
          <w:tcPr>
            <w:gridSpan w:val="2"/>
            <w:tcW w:w="1290"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合计</w:t>
            </w:r>
            <w:r/>
          </w:p>
        </w:tc>
        <w:tc>
          <w:tcPr>
            <w:gridSpan w:val="8"/>
            <w:tcW w:w="9027" w:type="dxa"/>
            <w:vAlign w:val="center"/>
            <w:textDirection w:val="lrTb"/>
            <w:noWrap w:val="false"/>
          </w:tcPr>
          <w:p>
            <w:pPr>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人民币大写：</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小写： 元</w:t>
            </w:r>
            <w:r/>
          </w:p>
        </w:tc>
      </w:tr>
    </w:tbl>
    <w:p>
      <w:pPr>
        <w:tabs>
          <w:tab w:val="left" w:pos="12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spacing w:line="360" w:lineRule="auto"/>
        <w:rPr>
          <w:rFonts w:hint="eastAsia" w:ascii="宋体" w:hAnsi="宋体" w:eastAsia="宋体" w:cs="宋体"/>
          <w:b/>
          <w:color w:val="000000"/>
          <w:sz w:val="24"/>
          <w:szCs w:val="24"/>
          <w:highlight w:val="none"/>
          <w:u w:val="single"/>
        </w:rPr>
      </w:pPr>
      <w:r>
        <w:rPr>
          <w:rFonts w:hint="eastAsia" w:ascii="宋体" w:hAnsi="宋体" w:eastAsia="宋体" w:cs="宋体"/>
          <w:color w:val="000000"/>
          <w:sz w:val="24"/>
          <w:szCs w:val="24"/>
          <w:highlight w:val="none"/>
        </w:rPr>
        <w:t xml:space="preserve"> 2、合同价款：</w:t>
      </w:r>
      <w:r/>
    </w:p>
    <w:p>
      <w:pPr>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u w:val="single"/>
        </w:rPr>
        <w:t xml:space="preserve">人民币：</w:t>
      </w:r>
      <w:r>
        <w:rPr>
          <w:rFonts w:hint="eastAsia" w:ascii="宋体" w:hAnsi="宋体" w:eastAsia="宋体" w:cs="宋体"/>
          <w:b/>
          <w:color w:val="000000"/>
          <w:sz w:val="24"/>
          <w:szCs w:val="24"/>
          <w:highlight w:val="none"/>
          <w:u w:val="single"/>
          <w:lang w:val="en-US" w:eastAsia="zh-CN"/>
        </w:rPr>
        <w:t xml:space="preserve">                </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u w:val="single"/>
          <w:lang w:val="en-US" w:eastAsia="zh-CN"/>
        </w:rPr>
        <w:t xml:space="preserve">      </w:t>
      </w:r>
      <w:r>
        <w:rPr>
          <w:rFonts w:hint="eastAsia" w:ascii="宋体" w:hAnsi="宋体" w:eastAsia="宋体" w:cs="宋体"/>
          <w:b/>
          <w:color w:val="000000"/>
          <w:sz w:val="24"/>
          <w:szCs w:val="24"/>
          <w:highlight w:val="none"/>
          <w:u w:val="single"/>
        </w:rPr>
        <w:t xml:space="preserve">元）</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（1）价格包含成套设备本身及送达买方指定地点、卸货、机组安装、系统安装、税金、验收、系统调试、售后服务等所有费用。</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（2）如卖方在投标时设备清单内出现没有报价的漏项配件，卖方按照招标文件要求提供相应货物，不再另外收取任何费用。</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（3）在合同履行过程中，若买方提出相关变更，买方提前15日通知卖方，结算时调整合同价，变更部分结算单价格投标文件包含的，参照投标文件单价进行调整，投标文件不包含的，由审计部门审定后进行调整。</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（4）技术交底、联系单、签证单作为结算依据。</w:t>
      </w:r>
      <w:r/>
    </w:p>
    <w:p>
      <w:pPr>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禁止各种形式的转包分包，若私下进行转包分包产生纠纷导致的各类费用直接从该项目工程款中提前支付，同时处以合同价的10%的罚款</w:t>
      </w:r>
      <w:r>
        <w:rPr>
          <w:rFonts w:hint="eastAsia" w:ascii="宋体" w:hAnsi="宋体" w:eastAsia="宋体" w:cs="宋体"/>
          <w:color w:val="000000"/>
          <w:sz w:val="24"/>
          <w:szCs w:val="24"/>
          <w:highlight w:val="none"/>
          <w:lang w:eastAsia="zh-CN"/>
        </w:rPr>
        <w:t xml:space="preserve">。</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3、技术参数</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三、付款</w:t>
      </w:r>
      <w:r/>
    </w:p>
    <w:p>
      <w:pPr>
        <w:ind w:left="0" w:right="0" w:firstLine="630"/>
        <w:jc w:val="both"/>
        <w:keepLines w:val="0"/>
        <w:keepNext w:val="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outlineLvl w:val="9"/>
      </w:pP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结算金额的计算方式</w:t>
      </w:r>
      <w:r/>
    </w:p>
    <w:p>
      <w:pPr>
        <w:ind w:left="0"/>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经双方协商一致，选择以下第</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种付款方式：</w:t>
      </w:r>
      <w:r/>
    </w:p>
    <w:p>
      <w:pPr>
        <w:ind w:left="0" w:right="0" w:firstLine="562"/>
        <w:keepLines w:val="0"/>
        <w:keepNext w:val="0"/>
        <w:pageBreakBefore w:val="0"/>
        <w:spacing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付款方式一：提交预付款保函的</w:t>
      </w:r>
      <w:r/>
    </w:p>
    <w:p>
      <w:pPr>
        <w:ind w:left="0" w:right="0" w:firstLine="560"/>
        <w:keepLines w:val="0"/>
        <w:keepNext w:val="0"/>
        <w:pageBreakBefore w:val="0"/>
        <w:spacing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合同总价的百分之</w:t>
      </w:r>
      <w:r>
        <w:rPr>
          <w:rFonts w:hint="eastAsia" w:ascii="宋体" w:hAnsi="宋体" w:cs="宋体"/>
          <w:color w:val="auto"/>
          <w:sz w:val="24"/>
          <w:szCs w:val="24"/>
          <w:highlight w:val="none"/>
          <w:lang w:val="en-US" w:eastAsia="zh-CN"/>
        </w:rPr>
        <w:t xml:space="preserve">五</w:t>
      </w:r>
      <w:r>
        <w:rPr>
          <w:rFonts w:ascii="宋体" w:hAnsi="宋体" w:eastAsia="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5</w:t>
      </w:r>
      <w:r>
        <w:rPr>
          <w:rFonts w:ascii="宋体" w:hAnsi="宋体" w:eastAsia="宋体" w:cs="宋体"/>
          <w:color w:val="auto"/>
          <w:sz w:val="24"/>
          <w:szCs w:val="24"/>
          <w:highlight w:val="none"/>
        </w:rPr>
        <w:t xml:space="preserve">0%)即￥</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，大写：人民币</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元整，在双方签订合同后</w:t>
      </w:r>
      <w:r>
        <w:rPr>
          <w:rFonts w:hint="eastAsia" w:ascii="宋体" w:hAnsi="宋体" w:cs="宋体"/>
          <w:color w:val="auto"/>
          <w:sz w:val="24"/>
          <w:szCs w:val="24"/>
          <w:highlight w:val="none"/>
          <w:lang w:val="en-US" w:eastAsia="zh-CN"/>
        </w:rPr>
        <w:t xml:space="preserve">10个工作</w:t>
      </w:r>
      <w:r>
        <w:rPr>
          <w:rFonts w:ascii="宋体" w:hAnsi="宋体" w:eastAsia="宋体" w:cs="宋体"/>
          <w:color w:val="auto"/>
          <w:sz w:val="24"/>
          <w:szCs w:val="24"/>
          <w:highlight w:val="none"/>
        </w:rPr>
        <w:t xml:space="preserve">日内，</w:t>
      </w:r>
      <w:r>
        <w:rPr>
          <w:rFonts w:hint="eastAsia" w:ascii="宋体" w:hAnsi="宋体" w:cs="宋体"/>
          <w:color w:val="auto"/>
          <w:sz w:val="24"/>
          <w:szCs w:val="24"/>
          <w:highlight w:val="none"/>
          <w:lang w:val="en-US" w:eastAsia="zh-CN"/>
        </w:rPr>
        <w:t xml:space="preserve">卖</w:t>
      </w:r>
      <w:r>
        <w:rPr>
          <w:rFonts w:ascii="宋体" w:hAnsi="宋体" w:eastAsia="宋体" w:cs="宋体"/>
          <w:color w:val="auto"/>
          <w:sz w:val="24"/>
          <w:szCs w:val="24"/>
          <w:highlight w:val="none"/>
        </w:rPr>
        <w:t xml:space="preserve">方向甲方出具等额预付款保函后，办理政府采购资金结算手续支付给</w:t>
      </w:r>
      <w:r>
        <w:rPr>
          <w:rFonts w:hint="eastAsia" w:ascii="宋体" w:hAnsi="宋体" w:cs="宋体"/>
          <w:color w:val="auto"/>
          <w:sz w:val="24"/>
          <w:szCs w:val="24"/>
          <w:highlight w:val="none"/>
          <w:lang w:val="en-US" w:eastAsia="zh-CN"/>
        </w:rPr>
        <w:t xml:space="preserve">卖</w:t>
      </w:r>
      <w:r>
        <w:rPr>
          <w:rFonts w:ascii="宋体" w:hAnsi="宋体" w:eastAsia="宋体" w:cs="宋体"/>
          <w:color w:val="auto"/>
          <w:sz w:val="24"/>
          <w:szCs w:val="24"/>
          <w:highlight w:val="none"/>
        </w:rPr>
        <w:t xml:space="preserve">方。</w:t>
      </w:r>
      <w:r/>
    </w:p>
    <w:p>
      <w:pPr>
        <w:ind w:left="0" w:right="0" w:firstLine="560"/>
        <w:keepLines w:val="0"/>
        <w:keepNext w:val="0"/>
        <w:pageBreakBefore w:val="0"/>
        <w:spacing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合同总价的百分之</w:t>
      </w:r>
      <w:r>
        <w:rPr>
          <w:rFonts w:hint="eastAsia" w:ascii="宋体" w:hAnsi="宋体" w:cs="宋体"/>
          <w:color w:val="auto"/>
          <w:sz w:val="24"/>
          <w:szCs w:val="24"/>
          <w:highlight w:val="none"/>
          <w:lang w:val="en-US" w:eastAsia="zh-CN"/>
        </w:rPr>
        <w:t xml:space="preserve">五</w:t>
      </w:r>
      <w:r>
        <w:rPr>
          <w:rFonts w:ascii="宋体" w:hAnsi="宋体" w:eastAsia="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5</w:t>
      </w:r>
      <w:r>
        <w:rPr>
          <w:rFonts w:ascii="宋体" w:hAnsi="宋体" w:eastAsia="宋体" w:cs="宋体"/>
          <w:color w:val="auto"/>
          <w:sz w:val="24"/>
          <w:szCs w:val="24"/>
          <w:highlight w:val="none"/>
        </w:rPr>
        <w:t xml:space="preserve">0%)即￥</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，大写：人民币</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元整，合同标的全部交付并安装完毕验收后</w:t>
      </w:r>
      <w:r>
        <w:rPr>
          <w:rFonts w:hint="eastAsia" w:ascii="宋体" w:hAnsi="宋体" w:cs="宋体"/>
          <w:color w:val="auto"/>
          <w:sz w:val="24"/>
          <w:szCs w:val="24"/>
          <w:highlight w:val="none"/>
          <w:lang w:val="en-US" w:eastAsia="zh-CN"/>
        </w:rPr>
        <w:t xml:space="preserve">，产品无任何问题，</w:t>
      </w:r>
      <w:r>
        <w:rPr>
          <w:rFonts w:ascii="宋体" w:hAnsi="宋体" w:eastAsia="宋体" w:cs="宋体"/>
          <w:color w:val="auto"/>
          <w:sz w:val="24"/>
          <w:szCs w:val="24"/>
          <w:highlight w:val="none"/>
        </w:rPr>
        <w:t xml:space="preserve">由买方办理政府采购资金结算手续，经审核后支付给卖方。</w:t>
      </w:r>
      <w:r/>
    </w:p>
    <w:p>
      <w:pPr>
        <w:ind w:left="0" w:right="0" w:firstLine="562"/>
        <w:keepLines w:val="0"/>
        <w:keepNext w:val="0"/>
        <w:pageBreakBefore w:val="0"/>
        <w:spacing w:line="360" w:lineRule="auto"/>
        <w:widowControl/>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rPr>
        <w:t xml:space="preserve">付款方式二：不提交预付款保函的</w:t>
      </w:r>
      <w:r/>
    </w:p>
    <w:p>
      <w:pPr>
        <w:ind w:left="0" w:right="0" w:firstLine="560"/>
        <w:keepLines w:val="0"/>
        <w:keepNext w:val="0"/>
        <w:pageBreakBefore w:val="0"/>
        <w:spacing w:line="360" w:lineRule="auto"/>
        <w:widowControl/>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合同总价的百分之</w:t>
      </w:r>
      <w:r>
        <w:rPr>
          <w:rFonts w:hint="eastAsia" w:ascii="宋体" w:hAnsi="宋体" w:cs="宋体"/>
          <w:color w:val="auto"/>
          <w:sz w:val="24"/>
          <w:szCs w:val="24"/>
          <w:highlight w:val="none"/>
          <w:lang w:val="en-US" w:eastAsia="zh-CN"/>
        </w:rPr>
        <w:t xml:space="preserve">四</w:t>
      </w:r>
      <w:r>
        <w:rPr>
          <w:rFonts w:ascii="宋体" w:hAnsi="宋体" w:eastAsia="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4</w:t>
      </w:r>
      <w:r>
        <w:rPr>
          <w:rFonts w:ascii="宋体" w:hAnsi="宋体" w:eastAsia="宋体" w:cs="宋体"/>
          <w:color w:val="auto"/>
          <w:sz w:val="24"/>
          <w:szCs w:val="24"/>
          <w:highlight w:val="none"/>
        </w:rPr>
        <w:t xml:space="preserve">0%)即￥</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，大写：人民币</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元整，在双方签订合同后</w:t>
      </w:r>
      <w:r>
        <w:rPr>
          <w:rFonts w:hint="eastAsia" w:ascii="宋体" w:hAnsi="宋体" w:cs="宋体"/>
          <w:color w:val="auto"/>
          <w:sz w:val="24"/>
          <w:szCs w:val="24"/>
          <w:highlight w:val="none"/>
          <w:lang w:val="en-US" w:eastAsia="zh-CN"/>
        </w:rPr>
        <w:t xml:space="preserve">10个工作</w:t>
      </w:r>
      <w:r>
        <w:rPr>
          <w:rFonts w:ascii="宋体" w:hAnsi="宋体" w:eastAsia="宋体" w:cs="宋体"/>
          <w:color w:val="auto"/>
          <w:sz w:val="24"/>
          <w:szCs w:val="24"/>
          <w:highlight w:val="none"/>
        </w:rPr>
        <w:t xml:space="preserve">日内，由买方办理政府采购资金结算手续支付给乙方。</w:t>
      </w:r>
      <w:r/>
    </w:p>
    <w:p>
      <w:pPr>
        <w:ind w:left="0" w:right="0" w:firstLine="561"/>
        <w:keepLines w:val="0"/>
        <w:keepNext w:val="0"/>
        <w:pageBreakBefore w:val="0"/>
        <w:spacing w:line="360" w:lineRule="auto"/>
        <w:widowControl/>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合同总价的百分之</w:t>
      </w:r>
      <w:r>
        <w:rPr>
          <w:rFonts w:hint="eastAsia" w:ascii="宋体" w:hAnsi="宋体" w:cs="宋体"/>
          <w:color w:val="auto"/>
          <w:sz w:val="24"/>
          <w:szCs w:val="24"/>
          <w:highlight w:val="none"/>
          <w:lang w:val="en-US" w:eastAsia="zh-CN"/>
        </w:rPr>
        <w:t xml:space="preserve">六</w:t>
      </w:r>
      <w:r>
        <w:rPr>
          <w:rFonts w:ascii="宋体" w:hAnsi="宋体" w:eastAsia="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0%)即￥</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，大写：人民币</w:t>
      </w:r>
      <w:r>
        <w:rPr>
          <w:rFonts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元整，合同标的全部交付并安装完毕验收后</w:t>
      </w:r>
      <w:r>
        <w:rPr>
          <w:rFonts w:hint="eastAsia" w:ascii="宋体" w:hAnsi="宋体" w:cs="宋体"/>
          <w:color w:val="auto"/>
          <w:sz w:val="24"/>
          <w:szCs w:val="24"/>
          <w:highlight w:val="none"/>
          <w:lang w:val="en-US" w:eastAsia="zh-CN"/>
        </w:rPr>
        <w:t xml:space="preserve">，产品无任何问题，</w:t>
      </w:r>
      <w:r>
        <w:rPr>
          <w:rFonts w:ascii="宋体" w:hAnsi="宋体" w:eastAsia="宋体" w:cs="宋体"/>
          <w:color w:val="auto"/>
          <w:sz w:val="24"/>
          <w:szCs w:val="24"/>
          <w:highlight w:val="none"/>
        </w:rPr>
        <w:t xml:space="preserve">由买方办理政府采购资金结算手续</w:t>
      </w:r>
      <w:r>
        <w:rPr>
          <w:rFonts w:hint="eastAsia" w:ascii="宋体" w:hAnsi="宋体" w:cs="宋体"/>
          <w:color w:val="auto"/>
          <w:sz w:val="24"/>
          <w:szCs w:val="24"/>
          <w:highlight w:val="none"/>
          <w:lang w:eastAsia="zh-CN"/>
        </w:rPr>
        <w:t xml:space="preserve">，</w:t>
      </w:r>
      <w:r>
        <w:rPr>
          <w:rFonts w:ascii="宋体" w:hAnsi="宋体" w:eastAsia="宋体" w:cs="宋体"/>
          <w:color w:val="auto"/>
          <w:sz w:val="24"/>
          <w:szCs w:val="24"/>
          <w:highlight w:val="none"/>
        </w:rPr>
        <w:t xml:space="preserve">经审核后支付给卖方。</w:t>
      </w:r>
      <w:r/>
    </w:p>
    <w:p>
      <w:pPr>
        <w:ind w:left="0" w:right="0" w:firstLine="561"/>
        <w:keepLines w:val="0"/>
        <w:keepNext w:val="0"/>
        <w:pageBreakBefore w:val="0"/>
        <w:spacing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（在签订合同时，如乙方明确表示无需预付款的，甲方可凭最终验收报告，按实际的采购数量进行结算，并一次性支付乙方服务费用。（注：此条符合苏财购〔2020〕52号文件要求）</w:t>
      </w:r>
      <w:r>
        <w:rPr>
          <w:rFonts w:hint="eastAsia" w:ascii="宋体" w:hAnsi="宋体" w:cs="宋体"/>
          <w:color w:val="auto"/>
          <w:sz w:val="24"/>
          <w:szCs w:val="24"/>
          <w:highlight w:val="none"/>
          <w:lang w:eastAsia="zh-CN"/>
        </w:rPr>
        <w:t xml:space="preserve">。</w:t>
      </w:r>
      <w:r/>
    </w:p>
    <w:p>
      <w:pPr>
        <w:pStyle w:val="821"/>
        <w:ind w:left="0" w:right="0" w:firstLine="54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卖</w:t>
      </w:r>
      <w:r>
        <w:rPr>
          <w:rFonts w:hint="eastAsia" w:ascii="宋体" w:hAnsi="宋体" w:eastAsia="宋体" w:cs="宋体"/>
          <w:color w:val="000000"/>
          <w:sz w:val="24"/>
          <w:szCs w:val="24"/>
          <w:highlight w:val="none"/>
        </w:rPr>
        <w:t xml:space="preserve">方需提交的申请支付文件包括：</w:t>
      </w:r>
      <w:r/>
    </w:p>
    <w:p>
      <w:pPr>
        <w:pStyle w:val="821"/>
        <w:ind w:left="0" w:right="0" w:firstLine="540"/>
        <w:jc w:val="both"/>
        <w:keepLines w:val="0"/>
        <w:keepNext w:val="0"/>
        <w:spacing w:before="0" w:beforeAutospacing="0" w:after="0" w:afterAutospacing="0" w:line="360" w:lineRule="auto"/>
        <w:widowControl w:val="off"/>
        <w:rPr>
          <w:rFonts w:hint="eastAsia" w:ascii="宋体" w:hAnsi="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卖方出具的全额正式发票；</w:t>
      </w:r>
      <w:r/>
    </w:p>
    <w:p>
      <w:pPr>
        <w:pStyle w:val="1128"/>
        <w:ind w:left="0" w:right="0" w:firstLine="480"/>
        <w:jc w:val="both"/>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上述费用</w:t>
      </w:r>
      <w:r>
        <w:rPr>
          <w:rFonts w:hint="eastAsia" w:ascii="宋体" w:hAnsi="宋体" w:cs="宋体"/>
          <w:color w:val="auto"/>
          <w:sz w:val="24"/>
          <w:szCs w:val="24"/>
          <w:highlight w:val="none"/>
          <w:lang w:eastAsia="zh-CN"/>
        </w:rPr>
        <w:t xml:space="preserve">买方</w:t>
      </w:r>
      <w:r>
        <w:rPr>
          <w:rFonts w:hint="eastAsia" w:ascii="宋体" w:hAnsi="宋体" w:cs="宋体"/>
          <w:color w:val="auto"/>
          <w:sz w:val="24"/>
          <w:szCs w:val="24"/>
          <w:highlight w:val="none"/>
        </w:rPr>
        <w:t xml:space="preserve">支付至</w:t>
      </w:r>
      <w:r>
        <w:rPr>
          <w:rFonts w:hint="eastAsia" w:ascii="宋体" w:hAnsi="宋体" w:cs="宋体"/>
          <w:color w:val="auto"/>
          <w:sz w:val="24"/>
          <w:szCs w:val="24"/>
          <w:highlight w:val="none"/>
          <w:lang w:eastAsia="zh-CN"/>
        </w:rPr>
        <w:t xml:space="preserve">卖方</w:t>
      </w:r>
      <w:r>
        <w:rPr>
          <w:rFonts w:hint="eastAsia" w:ascii="宋体" w:hAnsi="宋体" w:cs="宋体"/>
          <w:color w:val="auto"/>
          <w:sz w:val="24"/>
          <w:szCs w:val="24"/>
          <w:highlight w:val="none"/>
        </w:rPr>
        <w:t xml:space="preserve">指定账户内。除</w:t>
      </w:r>
      <w:r>
        <w:rPr>
          <w:rFonts w:hint="eastAsia" w:ascii="宋体" w:hAnsi="宋体" w:cs="宋体"/>
          <w:color w:val="auto"/>
          <w:sz w:val="24"/>
          <w:szCs w:val="24"/>
          <w:highlight w:val="none"/>
          <w:lang w:eastAsia="zh-CN"/>
        </w:rPr>
        <w:t xml:space="preserve">卖方</w:t>
      </w:r>
      <w:r>
        <w:rPr>
          <w:rFonts w:hint="eastAsia" w:ascii="宋体" w:hAnsi="宋体" w:cs="宋体"/>
          <w:color w:val="auto"/>
          <w:sz w:val="24"/>
          <w:szCs w:val="24"/>
          <w:highlight w:val="none"/>
        </w:rPr>
        <w:t xml:space="preserve">另行指定外，该指定账户信息为：</w:t>
      </w:r>
      <w:r/>
    </w:p>
    <w:p>
      <w:pPr>
        <w:pStyle w:val="1128"/>
        <w:ind w:left="0" w:right="0" w:firstLine="480"/>
        <w:jc w:val="both"/>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户名： </w:t>
      </w:r>
      <w:r/>
    </w:p>
    <w:p>
      <w:pPr>
        <w:pStyle w:val="1128"/>
        <w:ind w:left="0" w:right="0" w:firstLine="480"/>
        <w:jc w:val="both"/>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账号：</w:t>
      </w:r>
      <w:r/>
    </w:p>
    <w:p>
      <w:pPr>
        <w:ind w:left="0" w:right="0" w:firstLine="480"/>
        <w:jc w:val="both"/>
        <w:keepLines w:val="0"/>
        <w:keepNext w:val="0"/>
        <w:pageBreakBefore w:val="0"/>
        <w:spacing w:line="360" w:lineRule="auto"/>
        <w:widowControl w:val="off"/>
        <w:rPr>
          <w:rFonts w:hint="default" w:eastAsia="宋体"/>
          <w:color w:val="auto"/>
          <w:highlight w:val="none"/>
          <w:lang w:val="en-US" w:eastAsia="zh-CN"/>
        </w:rPr>
        <w:outlineLvl w:val="9"/>
      </w:pPr>
      <w:r>
        <w:rPr>
          <w:rFonts w:hint="eastAsia" w:ascii="宋体" w:hAnsi="宋体" w:cs="宋体"/>
          <w:color w:val="auto"/>
          <w:sz w:val="24"/>
          <w:szCs w:val="24"/>
          <w:highlight w:val="none"/>
        </w:rPr>
        <w:t xml:space="preserve">开户行： </w:t>
      </w:r>
      <w:r/>
    </w:p>
    <w:p>
      <w:pPr>
        <w:ind w:firstLine="482"/>
        <w:spacing w:line="360" w:lineRule="auto"/>
        <w:rPr>
          <w:rFonts w:hint="eastAsia" w:ascii="宋体" w:hAnsi="宋体" w:eastAsia="宋体" w:cs="宋体"/>
          <w:b/>
          <w:bCs/>
          <w:i w:val="0"/>
          <w:iCs w:val="0"/>
          <w:caps w:val="0"/>
          <w:color w:val="000000"/>
          <w:spacing w:val="0"/>
          <w:sz w:val="24"/>
          <w:szCs w:val="24"/>
          <w:highlight w:val="none"/>
          <w:shd w:val="clear" w:color="auto" w:fill="auto"/>
          <w:lang w:eastAsia="zh-CN"/>
        </w:rPr>
      </w:pP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i w:val="0"/>
          <w:iCs w:val="0"/>
          <w:caps w:val="0"/>
          <w:color w:val="000000"/>
          <w:spacing w:val="0"/>
          <w:sz w:val="24"/>
          <w:szCs w:val="24"/>
          <w:highlight w:val="none"/>
          <w:shd w:val="clear" w:color="auto" w:fill="auto"/>
          <w:lang w:val="en-US" w:eastAsia="zh-CN"/>
        </w:rPr>
        <w:t xml:space="preserve">卖</w:t>
      </w:r>
      <w:r>
        <w:rPr>
          <w:rFonts w:hint="eastAsia" w:ascii="宋体" w:hAnsi="宋体" w:eastAsia="宋体" w:cs="宋体"/>
          <w:b/>
          <w:bCs/>
          <w:i w:val="0"/>
          <w:iCs w:val="0"/>
          <w:caps w:val="0"/>
          <w:color w:val="000000"/>
          <w:spacing w:val="0"/>
          <w:sz w:val="24"/>
          <w:szCs w:val="24"/>
          <w:highlight w:val="none"/>
          <w:shd w:val="clear" w:color="auto" w:fill="auto"/>
        </w:rPr>
        <w:t xml:space="preserve">方在签订合同前须向发包方缴纳成交金额的</w:t>
      </w:r>
      <w:r>
        <w:rPr>
          <w:rFonts w:hint="eastAsia" w:ascii="宋体" w:hAnsi="宋体" w:cs="宋体"/>
          <w:b/>
          <w:bCs/>
          <w:i w:val="0"/>
          <w:iCs w:val="0"/>
          <w:caps w:val="0"/>
          <w:color w:val="000000"/>
          <w:spacing w:val="0"/>
          <w:sz w:val="24"/>
          <w:szCs w:val="24"/>
          <w:highlight w:val="none"/>
          <w:shd w:val="clear" w:color="auto" w:fill="auto"/>
          <w:lang w:val="en-US" w:eastAsia="zh-CN"/>
        </w:rPr>
        <w:t xml:space="preserve">5</w:t>
      </w:r>
      <w:r>
        <w:rPr>
          <w:rFonts w:hint="eastAsia" w:ascii="宋体" w:hAnsi="宋体" w:eastAsia="宋体" w:cs="宋体"/>
          <w:b/>
          <w:bCs/>
          <w:i w:val="0"/>
          <w:iCs w:val="0"/>
          <w:caps w:val="0"/>
          <w:color w:val="000000"/>
          <w:spacing w:val="0"/>
          <w:sz w:val="24"/>
          <w:szCs w:val="24"/>
          <w:highlight w:val="none"/>
          <w:shd w:val="clear" w:color="auto" w:fill="auto"/>
        </w:rPr>
        <w:t xml:space="preserve">%作为履约保证金。</w:t>
      </w:r>
      <w:r/>
    </w:p>
    <w:p>
      <w:pPr>
        <w:ind w:firstLine="482"/>
        <w:spacing w:line="360" w:lineRule="auto"/>
        <w:rPr>
          <w:rFonts w:hint="eastAsia" w:ascii="宋体" w:hAnsi="宋体" w:eastAsia="宋体" w:cs="宋体"/>
          <w:b/>
          <w:bCs/>
          <w:i w:val="0"/>
          <w:iCs w:val="0"/>
          <w:caps w:val="0"/>
          <w:color w:val="000000"/>
          <w:spacing w:val="0"/>
          <w:sz w:val="24"/>
          <w:szCs w:val="24"/>
          <w:highlight w:val="none"/>
          <w:shd w:val="clear" w:color="auto" w:fill="auto"/>
          <w:lang w:eastAsia="zh-CN"/>
        </w:rPr>
      </w:pPr>
      <w:r>
        <w:rPr>
          <w:rFonts w:hint="eastAsia" w:ascii="宋体" w:hAnsi="宋体" w:eastAsia="宋体" w:cs="宋体"/>
          <w:b/>
          <w:bCs/>
          <w:i w:val="0"/>
          <w:iCs w:val="0"/>
          <w:caps w:val="0"/>
          <w:color w:val="000000"/>
          <w:spacing w:val="0"/>
          <w:sz w:val="24"/>
          <w:szCs w:val="24"/>
          <w:highlight w:val="none"/>
          <w:shd w:val="clear" w:color="auto" w:fill="auto"/>
        </w:rPr>
        <w:t xml:space="preserve">履约保证金的返还：待</w:t>
      </w:r>
      <w:r>
        <w:rPr>
          <w:rFonts w:hint="eastAsia" w:ascii="宋体" w:hAnsi="宋体" w:cs="宋体"/>
          <w:b/>
          <w:bCs/>
          <w:i w:val="0"/>
          <w:iCs w:val="0"/>
          <w:caps w:val="0"/>
          <w:color w:val="000000"/>
          <w:spacing w:val="0"/>
          <w:sz w:val="24"/>
          <w:szCs w:val="24"/>
          <w:highlight w:val="none"/>
          <w:shd w:val="clear" w:color="auto" w:fill="auto"/>
          <w:lang w:val="en-US" w:eastAsia="zh-CN"/>
        </w:rPr>
        <w:t xml:space="preserve">项目验收合格</w:t>
      </w:r>
      <w:r>
        <w:rPr>
          <w:rFonts w:hint="eastAsia" w:ascii="宋体" w:hAnsi="宋体" w:eastAsia="宋体" w:cs="宋体"/>
          <w:b/>
          <w:bCs/>
          <w:i w:val="0"/>
          <w:iCs w:val="0"/>
          <w:caps w:val="0"/>
          <w:color w:val="000000"/>
          <w:spacing w:val="0"/>
          <w:sz w:val="24"/>
          <w:szCs w:val="24"/>
          <w:highlight w:val="none"/>
          <w:shd w:val="clear" w:color="auto" w:fill="auto"/>
        </w:rPr>
        <w:t xml:space="preserve">后按</w:t>
      </w:r>
      <w:r>
        <w:rPr>
          <w:rFonts w:hint="eastAsia" w:ascii="宋体" w:hAnsi="宋体" w:eastAsia="宋体" w:cs="宋体"/>
          <w:b/>
          <w:bCs/>
          <w:i w:val="0"/>
          <w:iCs w:val="0"/>
          <w:caps w:val="0"/>
          <w:color w:val="000000"/>
          <w:spacing w:val="0"/>
          <w:sz w:val="24"/>
          <w:szCs w:val="24"/>
          <w:highlight w:val="none"/>
          <w:shd w:val="clear" w:color="auto" w:fill="auto"/>
          <w:lang w:val="en-US" w:eastAsia="zh-CN"/>
        </w:rPr>
        <w:t xml:space="preserve">买</w:t>
      </w:r>
      <w:r>
        <w:rPr>
          <w:rFonts w:hint="eastAsia" w:ascii="宋体" w:hAnsi="宋体" w:eastAsia="宋体" w:cs="宋体"/>
          <w:b/>
          <w:bCs/>
          <w:i w:val="0"/>
          <w:iCs w:val="0"/>
          <w:caps w:val="0"/>
          <w:color w:val="000000"/>
          <w:spacing w:val="0"/>
          <w:sz w:val="24"/>
          <w:szCs w:val="24"/>
          <w:highlight w:val="none"/>
          <w:shd w:val="clear" w:color="auto" w:fill="auto"/>
        </w:rPr>
        <w:t xml:space="preserve">方支付流程启动履约保证金返还程序无息退还。</w:t>
      </w:r>
      <w:r/>
    </w:p>
    <w:p>
      <w:pPr>
        <w:ind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2、每笔款项支付前，乙方需提供相应的发票，否则，甲方有权拒绝付款。</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四、质保期</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质保期自产品安装调试完成验收合格之日起满</w:t>
      </w:r>
      <w:r>
        <w:rPr>
          <w:rFonts w:hint="eastAsia" w:ascii="宋体" w:hAnsi="宋体" w:eastAsia="宋体" w:cs="宋体"/>
          <w:b/>
          <w:color w:val="000000"/>
          <w:sz w:val="24"/>
          <w:szCs w:val="24"/>
          <w:highlight w:val="none"/>
          <w:u w:val="single"/>
          <w:lang w:val="en-US" w:eastAsia="zh-CN"/>
        </w:rPr>
        <w:t xml:space="preserve"> </w:t>
      </w:r>
      <w:r>
        <w:rPr>
          <w:rFonts w:hint="eastAsia" w:ascii="宋体" w:hAnsi="宋体" w:cs="宋体"/>
          <w:b/>
          <w:color w:val="000000"/>
          <w:sz w:val="24"/>
          <w:szCs w:val="24"/>
          <w:highlight w:val="none"/>
          <w:u w:val="single"/>
          <w:lang w:val="en-US" w:eastAsia="zh-CN"/>
        </w:rPr>
        <w:t xml:space="preserve">  </w:t>
      </w:r>
      <w:r>
        <w:rPr>
          <w:rFonts w:hint="eastAsia" w:ascii="宋体" w:hAnsi="宋体" w:eastAsia="宋体" w:cs="宋体"/>
          <w:b/>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年。</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五、交货</w:t>
      </w:r>
      <w:r/>
    </w:p>
    <w:p>
      <w:pPr>
        <w:pStyle w:val="873"/>
        <w:ind w:firstLine="540"/>
        <w:spacing w:line="520" w:lineRule="exact"/>
        <w:rPr>
          <w:rFonts w:hAnsi="宋体" w:cs="宋体"/>
          <w:highlight w:val="none"/>
        </w:rPr>
      </w:pPr>
      <w:r>
        <w:rPr>
          <w:rFonts w:hint="eastAsia" w:hAnsi="宋体" w:cs="宋体"/>
          <w:highlight w:val="none"/>
          <w:lang w:val="en-US" w:eastAsia="zh-CN"/>
        </w:rPr>
        <w:t xml:space="preserve">1、</w:t>
      </w:r>
      <w:r>
        <w:rPr>
          <w:rFonts w:hint="eastAsia" w:hAnsi="宋体" w:cs="宋体"/>
          <w:highlight w:val="none"/>
        </w:rPr>
        <w:t xml:space="preserve">卖方应于合同生效日后，</w:t>
      </w:r>
      <w:r>
        <w:rPr>
          <w:rFonts w:hint="eastAsia" w:hAnsi="宋体" w:cs="宋体"/>
          <w:highlight w:val="none"/>
          <w:lang w:val="en-US" w:eastAsia="zh-CN"/>
        </w:rPr>
        <w:t xml:space="preserve">在接到买方供货通知之日起</w:t>
      </w:r>
      <w:r>
        <w:rPr>
          <w:rFonts w:hint="eastAsia" w:hAnsi="宋体" w:cs="宋体"/>
          <w:highlight w:val="none"/>
          <w:u w:val="single"/>
          <w:lang w:val="en-US" w:eastAsia="zh-CN"/>
        </w:rPr>
        <w:t xml:space="preserve">  30  </w:t>
      </w:r>
      <w:r>
        <w:rPr>
          <w:rFonts w:hint="eastAsia" w:hAnsi="宋体" w:cs="宋体"/>
          <w:highlight w:val="none"/>
          <w:lang w:val="en-US" w:eastAsia="zh-CN"/>
        </w:rPr>
        <w:t xml:space="preserve">个日历日内供货及安装调试完毕</w:t>
      </w:r>
      <w:r>
        <w:rPr>
          <w:rFonts w:hint="eastAsia" w:hAnsi="宋体" w:cs="宋体"/>
          <w:highlight w:val="none"/>
        </w:rPr>
        <w:t xml:space="preserve">。</w:t>
      </w:r>
      <w:r/>
    </w:p>
    <w:p>
      <w:pPr>
        <w:pStyle w:val="873"/>
        <w:ind w:firstLine="540"/>
        <w:spacing w:line="520" w:lineRule="exact"/>
        <w:rPr>
          <w:rFonts w:hAnsi="宋体" w:cs="宋体"/>
          <w:highlight w:val="none"/>
        </w:rPr>
      </w:pPr>
      <w:r>
        <w:rPr>
          <w:rFonts w:hint="eastAsia" w:hAnsi="宋体" w:cs="宋体"/>
          <w:highlight w:val="none"/>
          <w:lang w:val="en-US" w:eastAsia="zh-CN"/>
        </w:rPr>
        <w:t xml:space="preserve">2、</w:t>
      </w:r>
      <w:r>
        <w:rPr>
          <w:rFonts w:hint="eastAsia" w:hAnsi="宋体" w:cs="宋体"/>
          <w:highlight w:val="none"/>
        </w:rPr>
        <w:t xml:space="preserve"> 交货地点为买方指定地点。</w:t>
      </w:r>
      <w:r/>
    </w:p>
    <w:p>
      <w:pPr>
        <w:pStyle w:val="873"/>
        <w:ind w:firstLine="540"/>
        <w:spacing w:line="520" w:lineRule="exact"/>
        <w:rPr>
          <w:rFonts w:hAnsi="宋体" w:cs="宋体"/>
          <w:highlight w:val="none"/>
        </w:rPr>
      </w:pPr>
      <w:r>
        <w:rPr>
          <w:rFonts w:hint="eastAsia" w:hAnsi="宋体" w:cs="宋体"/>
          <w:highlight w:val="none"/>
          <w:lang w:val="en-US" w:eastAsia="zh-CN"/>
        </w:rPr>
        <w:t xml:space="preserve">3、</w:t>
      </w:r>
      <w:r>
        <w:rPr>
          <w:rFonts w:hint="eastAsia" w:hAnsi="宋体" w:cs="宋体"/>
          <w:highlight w:val="none"/>
        </w:rPr>
        <w:t xml:space="preserve">卖方应在不迟于每批合同标的备妥待运前</w:t>
      </w:r>
      <w:r>
        <w:rPr>
          <w:rFonts w:hint="eastAsia" w:hAnsi="宋体" w:cs="宋体"/>
          <w:highlight w:val="none"/>
          <w:u w:val="single"/>
        </w:rPr>
        <w:t xml:space="preserve"> 5</w:t>
      </w:r>
      <w:r>
        <w:rPr>
          <w:rFonts w:hint="eastAsia" w:hAnsi="宋体" w:cs="宋体"/>
          <w:highlight w:val="none"/>
        </w:rPr>
        <w:t xml:space="preserve">日通知买方。</w:t>
      </w:r>
      <w:r/>
    </w:p>
    <w:p>
      <w:pPr>
        <w:pStyle w:val="873"/>
        <w:ind w:firstLine="540"/>
        <w:spacing w:line="520" w:lineRule="exact"/>
        <w:rPr>
          <w:rFonts w:hAnsi="宋体" w:cs="宋体"/>
          <w:highlight w:val="none"/>
        </w:rPr>
      </w:pPr>
      <w:r>
        <w:rPr>
          <w:rFonts w:hint="eastAsia" w:hAnsi="宋体" w:cs="宋体"/>
          <w:highlight w:val="none"/>
          <w:lang w:val="en-US" w:eastAsia="zh-CN"/>
        </w:rPr>
        <w:t xml:space="preserve">4、</w:t>
      </w:r>
      <w:r>
        <w:rPr>
          <w:rFonts w:hint="eastAsia" w:hAnsi="宋体" w:cs="宋体"/>
          <w:highlight w:val="none"/>
        </w:rPr>
        <w:t xml:space="preserve">如果卖方未能按照合同规定的交货期限交货，卖方应按每天迟交合同标的金额的百分之</w:t>
      </w:r>
      <w:r>
        <w:rPr>
          <w:rFonts w:hint="eastAsia" w:hAnsi="宋体" w:cs="宋体"/>
          <w:highlight w:val="none"/>
          <w:u w:val="single"/>
        </w:rPr>
        <w:t xml:space="preserve">一</w:t>
      </w:r>
      <w:r>
        <w:rPr>
          <w:rFonts w:hint="eastAsia" w:hAnsi="宋体" w:cs="宋体"/>
          <w:highlight w:val="none"/>
        </w:rPr>
        <w:t xml:space="preserve">(</w:t>
      </w:r>
      <w:r>
        <w:rPr>
          <w:rFonts w:hint="eastAsia" w:hAnsi="宋体" w:cs="宋体"/>
          <w:highlight w:val="none"/>
          <w:u w:val="single"/>
        </w:rPr>
        <w:t xml:space="preserve">1</w:t>
      </w:r>
      <w:r>
        <w:rPr>
          <w:rFonts w:hint="eastAsia" w:hAnsi="宋体" w:cs="宋体"/>
          <w:highlight w:val="none"/>
        </w:rPr>
        <w:t xml:space="preserve">%)的比率支付违约金。违约金的总金额不超过合同总价的百分之</w:t>
      </w:r>
      <w:r>
        <w:rPr>
          <w:rFonts w:hint="eastAsia" w:hAnsi="宋体" w:cs="宋体"/>
          <w:highlight w:val="none"/>
          <w:u w:val="single"/>
        </w:rPr>
        <w:t xml:space="preserve">十</w:t>
      </w:r>
      <w:r>
        <w:rPr>
          <w:rFonts w:hint="eastAsia" w:hAnsi="宋体" w:cs="宋体"/>
          <w:highlight w:val="none"/>
        </w:rPr>
        <w:t xml:space="preserve">(</w:t>
      </w:r>
      <w:r>
        <w:rPr>
          <w:rFonts w:hint="eastAsia" w:hAnsi="宋体" w:cs="宋体"/>
          <w:highlight w:val="none"/>
          <w:u w:val="single"/>
        </w:rPr>
        <w:t xml:space="preserve">10</w:t>
      </w:r>
      <w:r>
        <w:rPr>
          <w:rFonts w:hint="eastAsia" w:hAnsi="宋体" w:cs="宋体"/>
          <w:highlight w:val="none"/>
        </w:rPr>
        <w:t xml:space="preserve">%) ，违约金的支付不能免除卖方继续交付相关合同标的的义务。</w:t>
      </w:r>
      <w:r/>
    </w:p>
    <w:p>
      <w:pPr>
        <w:pStyle w:val="873"/>
        <w:ind w:firstLine="540"/>
        <w:spacing w:line="520" w:lineRule="exact"/>
        <w:rPr>
          <w:rFonts w:hAnsi="宋体" w:cs="宋体"/>
          <w:highlight w:val="none"/>
        </w:rPr>
      </w:pPr>
      <w:r>
        <w:rPr>
          <w:rFonts w:hint="eastAsia" w:hAnsi="宋体" w:cs="宋体"/>
          <w:highlight w:val="none"/>
        </w:rPr>
        <w:t xml:space="preserve">如果卖方在合同规定的交货期限后</w:t>
      </w:r>
      <w:r>
        <w:rPr>
          <w:rFonts w:hint="eastAsia" w:hAnsi="宋体" w:cs="宋体"/>
          <w:highlight w:val="none"/>
          <w:u w:val="single"/>
        </w:rPr>
        <w:t xml:space="preserve">十</w:t>
      </w:r>
      <w:r>
        <w:rPr>
          <w:rFonts w:hint="eastAsia" w:hAnsi="宋体" w:cs="宋体"/>
          <w:highlight w:val="none"/>
        </w:rPr>
        <w:t xml:space="preserve">日内仍未能交付全部或部分标的，在不妨碍买方采取其他救济手段的情况下，买方可以向卖方发出书面违约通知从而全部或部分地终止合同。</w:t>
      </w:r>
      <w:r/>
    </w:p>
    <w:p>
      <w:pPr>
        <w:ind w:firstLine="480"/>
        <w:spacing w:line="360" w:lineRule="auto"/>
        <w:rPr>
          <w:rFonts w:hint="eastAsia" w:ascii="宋体" w:hAnsi="宋体" w:eastAsia="宋体" w:cs="宋体"/>
          <w:color w:val="000000"/>
          <w:sz w:val="24"/>
          <w:szCs w:val="24"/>
          <w:highlight w:val="none"/>
          <w:u w:val="none"/>
          <w:lang w:val="en-US" w:eastAsia="zh-CN"/>
        </w:rPr>
      </w:pPr>
      <w:r>
        <w:rPr>
          <w:rFonts w:hint="eastAsia" w:ascii="宋体" w:hAnsi="宋体" w:cs="宋体"/>
          <w:color w:val="000000"/>
          <w:sz w:val="24"/>
          <w:szCs w:val="24"/>
          <w:highlight w:val="none"/>
          <w:u w:val="none"/>
          <w:lang w:val="en-US" w:eastAsia="zh-CN"/>
        </w:rPr>
        <w:t xml:space="preserve">5</w:t>
      </w:r>
      <w:r>
        <w:rPr>
          <w:rFonts w:hint="eastAsia" w:ascii="宋体" w:hAnsi="宋体" w:eastAsia="宋体" w:cs="宋体"/>
          <w:color w:val="000000"/>
          <w:sz w:val="24"/>
          <w:szCs w:val="24"/>
          <w:highlight w:val="none"/>
          <w:u w:val="none"/>
          <w:lang w:val="en-US" w:eastAsia="zh-CN"/>
        </w:rPr>
        <w:t xml:space="preserve">、联系方式</w:t>
      </w:r>
      <w:r/>
    </w:p>
    <w:p>
      <w:pPr>
        <w:ind w:firstLine="480"/>
        <w:spacing w:line="360" w:lineRule="auto"/>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买方现场负责人：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    联系电话：</w:t>
      </w:r>
      <w:r>
        <w:rPr>
          <w:rFonts w:hint="eastAsia" w:ascii="宋体" w:hAnsi="宋体" w:eastAsia="宋体" w:cs="宋体"/>
          <w:color w:val="000000"/>
          <w:sz w:val="24"/>
          <w:szCs w:val="24"/>
          <w:highlight w:val="none"/>
          <w:u w:val="single"/>
          <w:lang w:val="en-US" w:eastAsia="zh-CN"/>
        </w:rPr>
        <w:t xml:space="preserve">               。</w:t>
      </w:r>
      <w:r/>
    </w:p>
    <w:p>
      <w:pPr>
        <w:ind w:firstLine="480"/>
        <w:spacing w:line="360" w:lineRule="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none"/>
          <w:lang w:val="en-US" w:eastAsia="zh-CN"/>
        </w:rPr>
        <w:t xml:space="preserve">卖方现场负责人：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    联系电话：</w:t>
      </w:r>
      <w:r>
        <w:rPr>
          <w:rFonts w:hint="eastAsia" w:ascii="宋体" w:hAnsi="宋体" w:eastAsia="宋体" w:cs="宋体"/>
          <w:color w:val="000000"/>
          <w:sz w:val="24"/>
          <w:szCs w:val="24"/>
          <w:highlight w:val="none"/>
          <w:u w:val="single"/>
          <w:lang w:val="en-US" w:eastAsia="zh-CN"/>
        </w:rPr>
        <w:t xml:space="preserve">               。</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六、设备验收</w:t>
      </w:r>
      <w:r/>
    </w:p>
    <w:p>
      <w:pPr>
        <w:ind w:firstLine="1116"/>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由买方组织相关验收小组人员和卖方共同现场进行验收。</w:t>
      </w:r>
      <w:r/>
    </w:p>
    <w:p>
      <w:pPr>
        <w:ind w:firstLine="560"/>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验收内容：</w:t>
      </w:r>
      <w:r>
        <w:rPr>
          <w:rFonts w:hint="eastAsia" w:ascii="宋体" w:hAnsi="宋体" w:eastAsia="宋体" w:cs="宋体"/>
          <w:color w:val="000000"/>
          <w:sz w:val="24"/>
          <w:szCs w:val="24"/>
          <w:highlight w:val="none"/>
          <w:lang w:val="en-US" w:eastAsia="zh-CN"/>
        </w:rPr>
        <w:t xml:space="preserve">1、车辆的漆面必须清洁光亮，不得有脱漆、划痕和瘪窝。车辆内部的座椅及其他内饰件应完整清洁，不得有划伤、污点。车辆内、外部的灯光齐全、有效。空调完好无损，效果应达到国家标准。车辆在行</w:t>
      </w:r>
      <w:r>
        <w:rPr>
          <w:rFonts w:hint="eastAsia" w:ascii="宋体" w:hAnsi="宋体" w:eastAsia="宋体" w:cs="宋体"/>
          <w:color w:val="000000"/>
          <w:sz w:val="24"/>
          <w:szCs w:val="24"/>
          <w:highlight w:val="none"/>
          <w:lang w:val="en-US" w:eastAsia="zh-CN"/>
        </w:rPr>
        <w:t xml:space="preserve">驶过程中不得有异常响声，制动、转向应灵活、有效。车辆配置和随车配件符合出厂标准，齐全完备。2、货物到达现场（买方指定地点）后，卖方应提供详细的发货清单、有关测试报告、制造厂家出具的产品合格证书，提供有关货物的操作规程和使用说明书，维护手册、保养修理所需的各种随机工具及相关设计、制造、检验、安装、技术性指导等文件和应由卖方提供的必要文件。如果货物质量或技术规格与要求不符，或货物有明显损坏，买方有权提出索赔；3、买方在验收中发现产品达不到验收标准或合同规定的性能指标，卖方必须更换，并且赔偿由此给买方造成的损失。</w:t>
      </w:r>
      <w:r/>
    </w:p>
    <w:p>
      <w:pPr>
        <w:ind w:firstLine="560"/>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验收标准：车辆须为国家工信部颁布的《车辆生产企业及产品公告》公告车型，所有设备均在公告覆盖范围内，不得采用分离式车辆，符合整车的正常上牌及年检。验货合格后，双方共同签署验收合格证明。</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七、质量保证与售后服务</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1、本项目最终安装调试验收合格，卖方应提供</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年的质保期（质保期自验收合格之日算起。质保期内免费更换所有非人为造成的损坏部件，更换的损坏部件应与投标时的质量相同或高于投标时的质量，同时质保期内免费提供维修保养（卖方承担所有维保费用），内容包括但不限于以下内容：</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1）每</w:t>
      </w:r>
      <w:r>
        <w:rPr>
          <w:rFonts w:hint="eastAsia" w:ascii="宋体" w:hAnsi="宋体" w:eastAsia="宋体" w:cs="宋体"/>
          <w:color w:val="000000"/>
          <w:sz w:val="24"/>
          <w:szCs w:val="24"/>
          <w:highlight w:val="none"/>
          <w:lang w:val="en-US" w:eastAsia="zh-CN"/>
        </w:rPr>
        <w:t xml:space="preserve">季度</w:t>
      </w:r>
      <w:r>
        <w:rPr>
          <w:rFonts w:hint="eastAsia" w:ascii="宋体" w:hAnsi="宋体" w:eastAsia="宋体" w:cs="宋体"/>
          <w:color w:val="000000"/>
          <w:sz w:val="24"/>
          <w:szCs w:val="24"/>
          <w:highlight w:val="none"/>
        </w:rPr>
        <w:t xml:space="preserve">提供一次以上定期检修（由使用单位签字认可）。</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保修期内故障响应：卖方所提供的设备发生故障后，买方应立即通知卖方。卖方做出速度响应要求：故障反应时间：小于30分钟；一般故障（不需要更换零部件）修复时间：小于6小时；较大故障修复时间：小于7个工作日。</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在接到故障通知后，若卖方在应该到达现场的情况下而未能在24小时内到达现场，买方有权要卖方给予赔偿，具体做法是：从接到买方故障通知之日的第二天起，卖方每天赔偿买方质量保证金的0.1%。</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3）24小时应急服务，并不收取法定工作日和日常工作时间以外的附加服务费用。</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4）在故障修理之后，卖方应将成因、补救措施、恢复正常的时间和日期等报告给买方，报告一式两份。</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5）在免费保修期结束时，卖方需安排专业工程师对所提供的设备进行一次全面测试，任何缺陷须由卖方免费修理，并得到买方认可。</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2、技术培训：卖方应对用户指定相关人员在现场进行操作、日常维护和应急救援等培训，以满足他们日常工作的需要。培训的费用含在合同总价内。</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3.质保期满后的维修保养服务</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卖方须在设备的寿命期内，除质保期内的免费维修保养服务外，始终能以市场上最优惠的价格提供优质的维修保养服务。</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八、安全责任</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卖方及卖方派到买方现场的人员应遵守安全规范，卖方对其在买方服务期间发生的任何意外承担全部责任。</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如因卖方设备质量原因导致发生的任何意外，则由卖方承担全部责任。</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九、违约责任</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1、设备在验收、安装调试、质保期间，如果买方发现采购设备的质量或性能存在缺陷，可视问题的严重性选择以下合理的处理措施之一：</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要求卖方在发现缺陷后3日内修复或更换，修复或更换后仍然不能满足设计要求，买方有权解除合同，由卖方退还所有已收取的价款及费用并承担由此给买方造成的一切损失和费用，包括延误项目实施造成的经济损失；</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（2）如因卖方提供的设备完全不符合双方于合同附件约定的技术要求，致使买方不能实现合同目的，买方有权立即解除合同，并由卖方退还所有已收取的价款及费用，同时承担给买方造成的经济损失。 </w:t>
      </w:r>
      <w:r/>
    </w:p>
    <w:p>
      <w:pPr>
        <w:ind w:left="105"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2、误期违约金：卖方未在本合同约定时间内完成相应设备供货，除了合同条款规定的情况外，每拖延一天按合同总价款的千分之一计算违约金。买方可以从</w:t>
      </w:r>
      <w:r>
        <w:rPr>
          <w:rFonts w:hint="eastAsia" w:ascii="宋体" w:hAnsi="宋体" w:eastAsia="宋体" w:cs="宋体"/>
          <w:color w:val="000000"/>
          <w:sz w:val="24"/>
          <w:szCs w:val="24"/>
          <w:highlight w:val="none"/>
          <w:lang w:val="en-US" w:eastAsia="zh-CN"/>
        </w:rPr>
        <w:t xml:space="preserve">合同</w:t>
      </w:r>
      <w:r>
        <w:rPr>
          <w:rFonts w:hint="eastAsia" w:ascii="宋体" w:hAnsi="宋体" w:eastAsia="宋体" w:cs="宋体"/>
          <w:color w:val="000000"/>
          <w:sz w:val="24"/>
          <w:szCs w:val="24"/>
          <w:highlight w:val="none"/>
        </w:rPr>
        <w:t xml:space="preserve">支付款中直接扣除。</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十、不可抗力</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可抗力是指合同订立以后发生的双方当事人订立合同时不能预见的、不能避免的，人力不可控制的意外事故，导致合同不能履行或不能按期履行。不可抗力主要包括水灾、旱灾、地震、海啸、泥石流等自然条件引起的事故以及战争、暴动、罢工、政府禁令等社会条件引起的事故。</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任何一方由于不可抗力且自身无过错造成的延迟履行、不能履行或部分不能履行本合同的义务将不视为违约，但应在条件允许下采取一切必要的救济措施，减少因不可抗力造成的损失。</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遇有不可抗力的一方应在不可抗力发生之日起十五日内，向合同另一方提交不能履行或部分不能履行以及需要延期履行本合同义务的理由的报告，及有关部门出具的证明。</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十一、解决合同纠纷的方法</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1、在执行本合同中所发生的或与本合同有关的一切争端，买卖双方应通过友好协商解决；如协商不能解决，双方可直接向买方所在地的人民法院起诉。</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2、任何一方违约由违约方承担涉及诉讼的一切费用（包括律师费、差旅费等）。</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十二、合同的终止</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如卖方无法履行合同规定的义务或者在合同实施过程中有谎报事实，损害买方利益的等欺诈行为；或买方违反合同约定，不履行给付义务。守约一方有权选择解除合同。</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十三、合同附件</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招标文件、投标文件及中标通知书均为本合同的法定附件，属本合同不可分割部分，具有同等效力。</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十四、合同的生效</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1、本合同经双方法定代表人或授权代理人签字并加盖公章后生效。</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2、本合同一式伍份，买方执贰份，卖方执叁份，均具同等法律效力。</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3、本合同未尽事宜，按中华人民共和国有关法律、法规办理。</w:t>
      </w:r>
      <w:r/>
    </w:p>
    <w:p>
      <w:pPr>
        <w:ind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bl>
      <w:tblPr>
        <w:tblStyle w:val="802"/>
        <w:tblW w:w="10072"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86"/>
        <w:gridCol w:w="4786"/>
      </w:tblGrid>
      <w:tr>
        <w:trPr>
          <w:trHeight w:val="340"/>
        </w:trPr>
        <w:tc>
          <w:tcPr>
            <w:tcW w:w="5286" w:type="dxa"/>
            <w:vAlign w:val="top"/>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买方</w:t>
            </w:r>
            <w:r/>
          </w:p>
        </w:tc>
        <w:tc>
          <w:tcPr>
            <w:tcW w:w="4786" w:type="dxa"/>
            <w:vAlign w:val="top"/>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卖方</w:t>
            </w:r>
            <w:r/>
          </w:p>
        </w:tc>
      </w:tr>
      <w:tr>
        <w:trPr>
          <w:trHeight w:val="1959"/>
        </w:trPr>
        <w:tc>
          <w:tcPr>
            <w:tcW w:w="5286" w:type="dxa"/>
            <w:vAlign w:val="top"/>
            <w:textDirection w:val="lrTb"/>
            <w:noWrap w:val="false"/>
          </w:tcPr>
          <w:p>
            <w:pPr>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买方（章）：</w:t>
            </w:r>
            <w:r>
              <w:rPr>
                <w:rFonts w:hint="eastAsia" w:ascii="宋体" w:hAnsi="宋体" w:cs="宋体"/>
                <w:color w:val="000000"/>
                <w:sz w:val="24"/>
                <w:szCs w:val="24"/>
                <w:highlight w:val="none"/>
                <w:lang w:eastAsia="zh-CN"/>
              </w:rPr>
              <w:t xml:space="preserve">徐州市供排水管理中心</w:t>
            </w:r>
            <w:r/>
          </w:p>
          <w:p>
            <w:pPr>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住所：</w:t>
            </w:r>
            <w:r>
              <w:rPr>
                <w:rFonts w:hint="eastAsia" w:ascii="宋体" w:hAnsi="宋体" w:eastAsia="宋体" w:cs="宋体"/>
                <w:bCs/>
                <w:color w:val="000000"/>
                <w:sz w:val="24"/>
                <w:szCs w:val="24"/>
                <w:highlight w:val="none"/>
              </w:rPr>
              <w:t xml:space="preserve">江苏</w:t>
            </w:r>
            <w:r>
              <w:rPr>
                <w:rFonts w:hint="eastAsia" w:ascii="宋体" w:hAnsi="宋体" w:cs="宋体"/>
                <w:bCs/>
                <w:color w:val="000000"/>
                <w:sz w:val="24"/>
                <w:szCs w:val="24"/>
                <w:highlight w:val="none"/>
                <w:lang w:eastAsia="zh-CN"/>
              </w:rPr>
              <w:t xml:space="preserve">徐州市泉山区泰山商贸城C1座</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委托代理人：</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p>
          <w:p>
            <w:pPr>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帐号</w:t>
            </w:r>
            <w:r>
              <w:rPr>
                <w:rFonts w:hint="eastAsia" w:ascii="宋体" w:hAnsi="宋体" w:eastAsia="宋体" w:cs="宋体"/>
                <w:color w:val="000000"/>
                <w:sz w:val="24"/>
                <w:szCs w:val="24"/>
                <w:highlight w:val="none"/>
                <w:u w:val="single"/>
              </w:rPr>
              <w:t xml:space="preserve">：</w:t>
            </w:r>
            <w:r/>
          </w:p>
          <w:p>
            <w:pPr>
              <w:pStyle w:val="842"/>
              <w:ind w:left="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u w:val="single"/>
                <w:lang w:val="en-US" w:eastAsia="zh-CN"/>
              </w:rPr>
              <w:t xml:space="preserve">联行号：</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邮政编码：</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订立日期：                                      </w:t>
            </w:r>
            <w:r/>
          </w:p>
        </w:tc>
        <w:tc>
          <w:tcPr>
            <w:tcW w:w="4786" w:type="dxa"/>
            <w:vAlign w:val="top"/>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卖方（章）：</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住所：</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委托代理人：</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         </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帐号：</w:t>
            </w:r>
            <w:r/>
          </w:p>
          <w:p>
            <w:pPr>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lang w:val="en-US" w:eastAsia="zh-CN"/>
              </w:rPr>
              <w:t xml:space="preserve">联行号</w:t>
            </w:r>
            <w:r>
              <w:rPr>
                <w:rFonts w:hint="eastAsia" w:ascii="宋体" w:hAnsi="宋体" w:eastAsia="宋体" w:cs="宋体"/>
                <w:color w:val="000000"/>
                <w:sz w:val="24"/>
                <w:szCs w:val="24"/>
                <w:highlight w:val="none"/>
              </w:rPr>
              <w:t xml:space="preserve">：</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邮政编码：</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订立日期：</w:t>
            </w:r>
            <w:r/>
          </w:p>
        </w:tc>
      </w:tr>
    </w:tbl>
    <w:p>
      <w:pPr>
        <w:spacing w:line="360" w:lineRule="auto"/>
        <w:rPr>
          <w:rFonts w:hint="eastAsia" w:ascii="宋体" w:hAnsi="宋体" w:eastAsia="宋体" w:cs="宋体"/>
          <w:color w:val="000000"/>
          <w:sz w:val="24"/>
          <w:szCs w:val="24"/>
          <w:highlight w:val="none"/>
        </w:rPr>
        <w:sectPr>
          <w:headerReference w:type="default" r:id="rId10"/>
          <w:footerReference w:type="default" r:id="rId13"/>
          <w:footnotePr/>
          <w:endnotePr/>
          <w:type w:val="nextPage"/>
          <w:pgSz w:w="11906" w:h="16838" w:orient="portrait"/>
          <w:pgMar w:top="1440" w:right="1800" w:bottom="1440" w:left="1800" w:header="851" w:footer="992" w:gutter="0"/>
          <w:pgNumType w:start="37"/>
          <w:cols w:num="1" w:sep="0" w:space="1701" w:equalWidth="1"/>
          <w:docGrid w:linePitch="360"/>
        </w:sectPr>
      </w:pPr>
      <w:r>
        <w:rPr>
          <w:rFonts w:hint="eastAsia" w:ascii="宋体" w:hAnsi="宋体" w:eastAsia="宋体" w:cs="宋体"/>
          <w:color w:val="000000"/>
          <w:sz w:val="24"/>
          <w:szCs w:val="24"/>
          <w:highlight w:val="none"/>
        </w:rPr>
      </w:r>
      <w:r/>
    </w:p>
    <w:p>
      <w:pPr>
        <w:jc w:val="center"/>
        <w:spacing w:line="360" w:lineRule="auto"/>
        <w:rPr>
          <w:rStyle w:val="1088"/>
          <w:rFonts w:hint="eastAsia" w:ascii="宋体" w:hAnsi="宋体" w:cs="宋体"/>
          <w:b/>
          <w:bCs/>
          <w:color w:val="000000"/>
          <w:sz w:val="32"/>
          <w:szCs w:val="32"/>
          <w:highlight w:val="none"/>
        </w:rPr>
      </w:pPr>
      <w:r>
        <w:rPr>
          <w:rFonts w:hint="eastAsia" w:ascii="宋体" w:hAnsi="宋体" w:cs="宋体"/>
          <w:b/>
          <w:color w:val="000000"/>
          <w:sz w:val="32"/>
          <w:szCs w:val="32"/>
          <w:highlight w:val="none"/>
        </w:rPr>
        <w:t xml:space="preserve">第六章 采购需求</w:t>
      </w:r>
      <w:bookmarkStart w:id="3" w:name="_Toc322457054"/>
      <w:r/>
      <w:bookmarkEnd w:id="3"/>
      <w:r/>
      <w:bookmarkStart w:id="4" w:name="_Toc324452802"/>
      <w:r/>
      <w:bookmarkEnd w:id="4"/>
      <w:r/>
      <w:r/>
    </w:p>
    <w:p>
      <w:pPr>
        <w:pStyle w:val="827"/>
        <w:numPr>
          <w:ilvl w:val="0"/>
          <w:numId w:val="0"/>
        </w:numPr>
        <w:ind w:left="480"/>
        <w:spacing w:line="380" w:lineRule="exact"/>
        <w:rPr>
          <w:rFonts w:hint="default" w:ascii="宋体" w:hAnsi="宋体" w:eastAsia="宋体" w:cs="宋体"/>
          <w:color w:val="auto"/>
          <w:sz w:val="24"/>
          <w:szCs w:val="24"/>
          <w:highlight w:val="none"/>
          <w:lang w:val="en-US" w:eastAsia="zh-CN"/>
        </w:rPr>
      </w:pPr>
      <w:r>
        <w:rPr>
          <w:rFonts w:hint="eastAsia" w:ascii="宋体" w:hAnsi="宋体" w:eastAsia="宋体" w:cs="宋体"/>
          <w:b/>
          <w:bCs/>
          <w:sz w:val="24"/>
          <w:szCs w:val="24"/>
          <w:highlight w:val="none"/>
        </w:rPr>
        <w:t xml:space="preserve">一、</w:t>
      </w:r>
      <w:r>
        <w:rPr>
          <w:rFonts w:hint="eastAsia" w:ascii="宋体" w:hAnsi="宋体" w:eastAsia="宋体" w:cs="宋体"/>
          <w:b/>
          <w:bCs/>
          <w:sz w:val="24"/>
          <w:szCs w:val="24"/>
          <w:highlight w:val="none"/>
          <w:lang w:val="en-US" w:eastAsia="zh-CN"/>
        </w:rPr>
        <w:t xml:space="preserve">项目名称</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徐州市供排水管理中心防汛车辆购置</w:t>
      </w:r>
      <w:r/>
    </w:p>
    <w:p>
      <w:pPr>
        <w:pStyle w:val="827"/>
        <w:numPr>
          <w:ilvl w:val="0"/>
          <w:numId w:val="0"/>
        </w:numPr>
        <w:ind w:left="480"/>
        <w:spacing w:line="38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二、项目预算</w:t>
      </w:r>
      <w:r>
        <w:rPr>
          <w:rFonts w:hint="eastAsia" w:ascii="宋体" w:hAnsi="宋体" w:eastAsia="宋体" w:cs="宋体"/>
          <w:color w:val="auto"/>
          <w:sz w:val="24"/>
          <w:szCs w:val="24"/>
          <w:highlight w:val="none"/>
          <w:lang w:val="en-US" w:eastAsia="zh-CN"/>
        </w:rPr>
        <w:t xml:space="preserve">：本项目不接受超过</w:t>
      </w:r>
      <w:r>
        <w:rPr>
          <w:rFonts w:hint="eastAsia" w:ascii="宋体" w:hAnsi="宋体" w:cs="宋体"/>
          <w:color w:val="auto"/>
          <w:sz w:val="24"/>
          <w:szCs w:val="24"/>
          <w:highlight w:val="none"/>
          <w:lang w:val="en-US" w:eastAsia="zh-CN"/>
        </w:rPr>
        <w:t xml:space="preserve">126.7</w:t>
      </w:r>
      <w:r>
        <w:rPr>
          <w:rFonts w:hint="eastAsia" w:ascii="宋体" w:hAnsi="宋体" w:eastAsia="宋体" w:cs="宋体"/>
          <w:color w:val="auto"/>
          <w:sz w:val="24"/>
          <w:szCs w:val="24"/>
          <w:highlight w:val="none"/>
          <w:lang w:val="en-US" w:eastAsia="zh-CN"/>
        </w:rPr>
        <w:t xml:space="preserve">万元人民币（采购项目预算金额）的报价。报价包括产品价、人工费、安装调试、售后服务、运费、投标人利润、税费、等完成本项目的所有费用，采购人不再支付报价以外的任何费用。</w:t>
      </w:r>
      <w:r/>
    </w:p>
    <w:p>
      <w:pPr>
        <w:pStyle w:val="827"/>
        <w:numPr>
          <w:ilvl w:val="0"/>
          <w:numId w:val="0"/>
        </w:numPr>
        <w:ind w:left="480"/>
        <w:spacing w:line="38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三、供货内容</w:t>
      </w:r>
      <w:r>
        <w:rPr>
          <w:rFonts w:hint="eastAsia" w:ascii="宋体" w:hAnsi="宋体" w:eastAsia="宋体" w:cs="宋体"/>
          <w:color w:val="auto"/>
          <w:sz w:val="24"/>
          <w:szCs w:val="24"/>
          <w:highlight w:val="none"/>
          <w:lang w:val="en-US" w:eastAsia="zh-CN"/>
        </w:rPr>
        <w:t xml:space="preserve">：采购7辆防汛车辆，用于保障中心防汛业务运转。</w:t>
      </w:r>
      <w:r/>
    </w:p>
    <w:p>
      <w:pPr>
        <w:pStyle w:val="827"/>
        <w:numPr>
          <w:ilvl w:val="0"/>
          <w:numId w:val="0"/>
        </w:numPr>
        <w:ind w:left="480"/>
        <w:spacing w:line="38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四、供货要求：</w:t>
      </w:r>
      <w:r>
        <w:rPr>
          <w:rFonts w:hint="eastAsia" w:ascii="宋体" w:hAnsi="宋体" w:eastAsia="宋体" w:cs="宋体"/>
          <w:color w:val="auto"/>
          <w:sz w:val="24"/>
          <w:szCs w:val="24"/>
          <w:highlight w:val="none"/>
          <w:lang w:val="en-US" w:eastAsia="zh-CN"/>
        </w:rPr>
        <w:t xml:space="preserve">1、自合同签订时间之日起</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lang w:val="en-US" w:eastAsia="zh-CN"/>
        </w:rPr>
        <w:t xml:space="preserve">日内将合同标的全部交付完成；</w:t>
      </w:r>
      <w:r/>
    </w:p>
    <w:p>
      <w:pPr>
        <w:pStyle w:val="827"/>
        <w:numPr>
          <w:ilvl w:val="0"/>
          <w:numId w:val="0"/>
        </w:numPr>
        <w:ind w:left="480"/>
        <w:spacing w:line="38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              2、</w:t>
      </w:r>
      <w:r>
        <w:rPr>
          <w:rFonts w:hint="eastAsia" w:ascii="宋体" w:hAnsi="宋体" w:eastAsia="宋体" w:cs="宋体"/>
          <w:color w:val="auto"/>
          <w:sz w:val="24"/>
          <w:szCs w:val="24"/>
          <w:highlight w:val="none"/>
          <w:lang w:val="en-US" w:eastAsia="zh-CN"/>
        </w:rPr>
        <w:t xml:space="preserve">供货地点：采购人指定地点。</w:t>
      </w:r>
      <w:r/>
    </w:p>
    <w:p>
      <w:pPr>
        <w:pStyle w:val="827"/>
        <w:numPr>
          <w:ilvl w:val="0"/>
          <w:numId w:val="0"/>
        </w:numPr>
        <w:contextualSpacing/>
        <w:ind w:firstLine="482"/>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五</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、项目</w:t>
      </w:r>
      <w:r>
        <w:rPr>
          <w:rFonts w:hint="eastAsia" w:ascii="宋体" w:hAnsi="宋体" w:eastAsia="宋体" w:cs="宋体"/>
          <w:b/>
          <w:color w:val="000000" w:themeColor="text1"/>
          <w:sz w:val="24"/>
          <w:szCs w:val="24"/>
          <w:highlight w:val="none"/>
          <w14:textFill>
            <w14:solidFill>
              <w14:schemeClr w14:val="tx1"/>
            </w14:solidFill>
          </w14:textFill>
        </w:rPr>
        <w:t xml:space="preserve">技术要求</w:t>
      </w:r>
      <w:r/>
    </w:p>
    <w:p>
      <w:pPr>
        <w:pStyle w:val="827"/>
        <w:numPr>
          <w:ilvl w:val="0"/>
          <w:numId w:val="0"/>
        </w:numPr>
        <w:ind w:left="480"/>
        <w:spacing w:line="3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1、600型排水抢险车（1辆）</w:t>
      </w:r>
      <w:r/>
    </w:p>
    <w:tbl>
      <w:tblPr>
        <w:tblStyle w:val="1123"/>
        <w:tblW w:w="85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11"/>
        <w:gridCol w:w="1620"/>
        <w:gridCol w:w="6155"/>
      </w:tblGrid>
      <w:tr>
        <w:trPr>
          <w:jc w:val="center"/>
          <w:trHeight w:val="495"/>
        </w:trPr>
        <w:tc>
          <w:tcPr>
            <w:tcW w:w="811" w:type="dxa"/>
            <w:vAlign w:val="top"/>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序号</w:t>
            </w:r>
            <w:r/>
          </w:p>
        </w:tc>
        <w:tc>
          <w:tcPr>
            <w:tcW w:w="1620" w:type="dxa"/>
            <w:vAlign w:val="top"/>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 目</w:t>
            </w:r>
            <w:r/>
          </w:p>
        </w:tc>
        <w:tc>
          <w:tcPr>
            <w:tcW w:w="6155" w:type="dxa"/>
            <w:vAlign w:val="top"/>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主要参数</w:t>
            </w:r>
            <w:r/>
          </w:p>
        </w:tc>
      </w:tr>
      <w:tr>
        <w:trPr>
          <w:jc w:val="center"/>
          <w:trHeight w:val="90"/>
        </w:trPr>
        <w:tc>
          <w:tcPr>
            <w:tcW w:w="811" w:type="dxa"/>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tcW w:w="1620" w:type="dxa"/>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★公告型号</w:t>
            </w:r>
            <w:r/>
          </w:p>
        </w:tc>
        <w:tc>
          <w:tcPr>
            <w:tcW w:w="6155" w:type="dxa"/>
            <w:vAlign w:val="top"/>
            <w:textDirection w:val="lrTb"/>
            <w:noWrap w:val="false"/>
          </w:tcPr>
          <w:p>
            <w:pPr>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）整车须为国家工业和信息化部《道路机动车辆生产企业及产品》公告中的车型，技术参数和外形结构必须与公告中的车型的技术参数和外形结构一致，并确保符合车辆上牌要求。</w:t>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）须提供所投车辆已纳入《免征车辆购置税的设有固定装置的非运输专用作业车辆目录》的相关证明材料。</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）响应文件中提供所投车辆</w:t>
            </w:r>
            <w:r>
              <w:rPr>
                <w:rFonts w:hint="eastAsia" w:ascii="宋体" w:hAnsi="宋体" w:eastAsia="宋体" w:cs="宋体"/>
                <w:sz w:val="24"/>
                <w:szCs w:val="24"/>
                <w:highlight w:val="none"/>
                <w:lang w:val="en-US" w:eastAsia="zh-CN"/>
              </w:rPr>
              <w:t xml:space="preserve">在</w:t>
            </w:r>
            <w:r>
              <w:rPr>
                <w:rFonts w:hint="eastAsia" w:ascii="宋体" w:hAnsi="宋体" w:eastAsia="宋体" w:cs="宋体"/>
                <w:color w:val="auto"/>
                <w:sz w:val="24"/>
                <w:szCs w:val="24"/>
                <w:highlight w:val="none"/>
                <w:lang w:val="en-US" w:eastAsia="zh-CN" w:bidi="ar-SA"/>
              </w:rPr>
              <w:t xml:space="preserve">工信部道路机动车辆生产企业及产品信息查询系统公告参数</w:t>
            </w:r>
            <w:r>
              <w:rPr>
                <w:rFonts w:hint="eastAsia" w:ascii="宋体" w:hAnsi="宋体" w:eastAsia="宋体" w:cs="宋体"/>
                <w:sz w:val="24"/>
                <w:szCs w:val="24"/>
                <w:highlight w:val="none"/>
                <w:lang w:eastAsia="zh-CN"/>
              </w:rPr>
              <w:t xml:space="preserve">页面截图扫描件或影印件，公告批次证明文件以国家工信部网站为准。</w:t>
            </w:r>
            <w:r/>
          </w:p>
        </w:tc>
      </w:tr>
      <w:tr>
        <w:trPr>
          <w:jc w:val="center"/>
          <w:trHeight w:val="495"/>
        </w:trPr>
        <w:tc>
          <w:tcPr>
            <w:tcW w:w="811" w:type="dxa"/>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tcW w:w="1620" w:type="dxa"/>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排放标准</w:t>
            </w:r>
            <w:r/>
          </w:p>
        </w:tc>
        <w:tc>
          <w:tcPr>
            <w:tcW w:w="6155" w:type="dxa"/>
            <w:vAlign w:val="center"/>
            <w:textDirection w:val="lrTb"/>
            <w:noWrap w:val="false"/>
          </w:tcPr>
          <w:p>
            <w:pPr>
              <w:ind w:firstLine="240"/>
              <w:jc w:val="left"/>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国六排放标准</w:t>
            </w:r>
            <w:r/>
          </w:p>
        </w:tc>
      </w:tr>
      <w:tr>
        <w:trPr>
          <w:jc w:val="center"/>
          <w:trHeight w:val="495"/>
        </w:trPr>
        <w:tc>
          <w:tcPr>
            <w:tcW w:w="811" w:type="dxa"/>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tcW w:w="1620" w:type="dxa"/>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1"/>
                <w:szCs w:val="21"/>
                <w:highlight w:val="none"/>
                <w:lang w:val="en-US" w:eastAsia="zh-CN"/>
              </w:rPr>
              <w:t xml:space="preserve">▲</w:t>
            </w:r>
            <w:r>
              <w:rPr>
                <w:rFonts w:hint="eastAsia" w:ascii="宋体" w:hAnsi="宋体" w:eastAsia="宋体" w:cs="宋体"/>
                <w:color w:val="auto"/>
                <w:sz w:val="24"/>
                <w:szCs w:val="24"/>
                <w:highlight w:val="none"/>
                <w:lang w:val="en-US" w:eastAsia="zh-CN" w:bidi="ar-SA"/>
              </w:rPr>
              <w:t xml:space="preserve">发动机功率（kW）</w:t>
            </w:r>
            <w:r/>
          </w:p>
        </w:tc>
        <w:tc>
          <w:tcPr>
            <w:tcW w:w="6155" w:type="dxa"/>
            <w:vAlign w:val="center"/>
            <w:textDirection w:val="lrTb"/>
            <w:noWrap w:val="false"/>
          </w:tcPr>
          <w:p>
            <w:pPr>
              <w:ind w:firstLine="480"/>
              <w:jc w:val="left"/>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10</w:t>
            </w:r>
            <w:r>
              <w:rPr>
                <w:rFonts w:hint="eastAsia" w:ascii="宋体" w:hAnsi="宋体" w:eastAsia="宋体" w:cs="宋体"/>
                <w:color w:val="auto"/>
                <w:sz w:val="24"/>
                <w:szCs w:val="24"/>
                <w:highlight w:val="none"/>
                <w:lang w:val="en-US" w:eastAsia="zh-CN" w:bidi="ar-SA"/>
              </w:rPr>
              <w:t xml:space="preserve">(提供工信部道路机动车辆生产企业及产品信息查询系统公告参数页作为佐证材料)</w:t>
            </w:r>
            <w:r/>
          </w:p>
        </w:tc>
      </w:tr>
      <w:tr>
        <w:trPr>
          <w:jc w:val="center"/>
          <w:trHeight w:val="495"/>
        </w:trPr>
        <w:tc>
          <w:tcPr>
            <w:tcW w:w="811" w:type="dxa"/>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p>
        </w:tc>
        <w:tc>
          <w:tcPr>
            <w:tcW w:w="1620" w:type="dxa"/>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燃料</w:t>
            </w:r>
            <w:r/>
          </w:p>
        </w:tc>
        <w:tc>
          <w:tcPr>
            <w:tcW w:w="6155" w:type="dxa"/>
            <w:vAlign w:val="center"/>
            <w:textDirection w:val="lrTb"/>
            <w:noWrap w:val="false"/>
          </w:tcPr>
          <w:p>
            <w:pPr>
              <w:ind w:firstLine="480"/>
              <w:jc w:val="left"/>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柴油</w:t>
            </w:r>
            <w:r/>
          </w:p>
        </w:tc>
      </w:tr>
      <w:tr>
        <w:trPr>
          <w:jc w:val="center"/>
          <w:trHeight w:val="495"/>
        </w:trPr>
        <w:tc>
          <w:tcPr>
            <w:tcW w:w="811" w:type="dxa"/>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c>
          <w:tcPr>
            <w:tcW w:w="1620" w:type="dxa"/>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1"/>
                <w:szCs w:val="21"/>
                <w:highlight w:val="none"/>
                <w:lang w:val="en-US" w:eastAsia="zh-CN"/>
              </w:rPr>
              <w:t xml:space="preserve">▲</w:t>
            </w:r>
            <w:r>
              <w:rPr>
                <w:rFonts w:hint="eastAsia" w:ascii="宋体" w:hAnsi="宋体" w:eastAsia="宋体" w:cs="宋体"/>
                <w:color w:val="auto"/>
                <w:sz w:val="24"/>
                <w:szCs w:val="24"/>
                <w:highlight w:val="none"/>
                <w:lang w:val="en-US" w:eastAsia="zh-CN" w:bidi="ar-SA"/>
              </w:rPr>
              <w:t xml:space="preserve">总质量（kg）</w:t>
            </w:r>
            <w:r/>
          </w:p>
        </w:tc>
        <w:tc>
          <w:tcPr>
            <w:tcW w:w="6155" w:type="dxa"/>
            <w:vAlign w:val="center"/>
            <w:textDirection w:val="lrTb"/>
            <w:noWrap w:val="false"/>
          </w:tcPr>
          <w:p>
            <w:pPr>
              <w:ind w:firstLine="480"/>
              <w:jc w:val="left"/>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3515</w:t>
            </w:r>
            <w:r>
              <w:rPr>
                <w:rFonts w:hint="eastAsia" w:ascii="宋体" w:hAnsi="宋体" w:eastAsia="宋体" w:cs="宋体"/>
                <w:color w:val="auto"/>
                <w:sz w:val="24"/>
                <w:szCs w:val="24"/>
                <w:highlight w:val="none"/>
                <w:lang w:val="en-US" w:eastAsia="zh-CN" w:bidi="ar-SA"/>
              </w:rPr>
              <w:t xml:space="preserve">(提供工信部道路机动车辆生产企业及产品信息查询系统公告参数页作为佐证材料)</w:t>
            </w:r>
            <w:r/>
          </w:p>
        </w:tc>
      </w:tr>
      <w:tr>
        <w:trPr>
          <w:jc w:val="center"/>
          <w:trHeight w:val="495"/>
        </w:trPr>
        <w:tc>
          <w:tcPr>
            <w:tcW w:w="811" w:type="dxa"/>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p>
        </w:tc>
        <w:tc>
          <w:tcPr>
            <w:tcW w:w="1620" w:type="dxa"/>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1"/>
                <w:szCs w:val="21"/>
                <w:highlight w:val="none"/>
                <w:lang w:val="en-US" w:eastAsia="zh-CN"/>
              </w:rPr>
              <w:t xml:space="preserve">▲</w:t>
            </w:r>
            <w:r>
              <w:rPr>
                <w:rFonts w:hint="eastAsia" w:ascii="宋体" w:hAnsi="宋体" w:eastAsia="宋体" w:cs="宋体"/>
                <w:color w:val="auto"/>
                <w:sz w:val="24"/>
                <w:szCs w:val="24"/>
                <w:highlight w:val="none"/>
                <w:lang w:val="en-US" w:eastAsia="zh-CN" w:bidi="ar-SA"/>
              </w:rPr>
              <w:t xml:space="preserve">整备质量（kg）</w:t>
            </w:r>
            <w:r/>
          </w:p>
        </w:tc>
        <w:tc>
          <w:tcPr>
            <w:tcW w:w="6155" w:type="dxa"/>
            <w:vAlign w:val="center"/>
            <w:textDirection w:val="lrTb"/>
            <w:noWrap w:val="false"/>
          </w:tcPr>
          <w:p>
            <w:pPr>
              <w:ind w:firstLine="480"/>
              <w:jc w:val="left"/>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≤3190</w:t>
            </w:r>
            <w:r>
              <w:rPr>
                <w:rFonts w:hint="eastAsia" w:ascii="宋体" w:hAnsi="宋体" w:eastAsia="宋体" w:cs="宋体"/>
                <w:color w:val="auto"/>
                <w:sz w:val="24"/>
                <w:szCs w:val="24"/>
                <w:highlight w:val="none"/>
                <w:lang w:val="en-US" w:eastAsia="zh-CN" w:bidi="ar-SA"/>
              </w:rPr>
              <w:t xml:space="preserve">(提供工信部道路机动车辆生产企业及产品信息查询系统公告参数页作为佐证材料)</w:t>
            </w:r>
            <w:r/>
          </w:p>
        </w:tc>
      </w:tr>
      <w:tr>
        <w:trPr>
          <w:jc w:val="center"/>
          <w:trHeight w:val="495"/>
        </w:trPr>
        <w:tc>
          <w:tcPr>
            <w:tcW w:w="811" w:type="dxa"/>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w:t>
            </w:r>
            <w:r/>
          </w:p>
        </w:tc>
        <w:tc>
          <w:tcPr>
            <w:tcW w:w="1620" w:type="dxa"/>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准乘人数</w:t>
            </w:r>
            <w:r/>
          </w:p>
        </w:tc>
        <w:tc>
          <w:tcPr>
            <w:tcW w:w="6155" w:type="dxa"/>
            <w:vAlign w:val="center"/>
            <w:textDirection w:val="lrTb"/>
            <w:noWrap w:val="false"/>
          </w:tcPr>
          <w:p>
            <w:pPr>
              <w:ind w:firstLine="480"/>
              <w:jc w:val="left"/>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5人</w:t>
            </w:r>
            <w:r/>
          </w:p>
        </w:tc>
      </w:tr>
      <w:tr>
        <w:trPr>
          <w:jc w:val="center"/>
          <w:trHeight w:val="495"/>
        </w:trPr>
        <w:tc>
          <w:tcPr>
            <w:tcW w:w="811" w:type="dxa"/>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w:t>
            </w:r>
            <w:r/>
          </w:p>
        </w:tc>
        <w:tc>
          <w:tcPr>
            <w:tcW w:w="1620" w:type="dxa"/>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★驱动</w:t>
            </w:r>
            <w:r/>
          </w:p>
        </w:tc>
        <w:tc>
          <w:tcPr>
            <w:tcW w:w="6155" w:type="dxa"/>
            <w:vAlign w:val="center"/>
            <w:textDirection w:val="lrTb"/>
            <w:noWrap w:val="false"/>
          </w:tcPr>
          <w:p>
            <w:pPr>
              <w:ind w:firstLine="240"/>
              <w:jc w:val="left"/>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自动挡</w:t>
            </w:r>
            <w:r>
              <w:rPr>
                <w:rFonts w:hint="eastAsia" w:ascii="宋体" w:hAnsi="宋体" w:eastAsia="宋体" w:cs="宋体"/>
                <w:color w:val="auto"/>
                <w:sz w:val="24"/>
                <w:szCs w:val="24"/>
                <w:highlight w:val="none"/>
                <w:lang w:val="en-US" w:eastAsia="zh-CN" w:bidi="ar-SA"/>
              </w:rPr>
              <w:t xml:space="preserve">四驱</w:t>
            </w:r>
            <w:r/>
          </w:p>
        </w:tc>
      </w:tr>
      <w:tr>
        <w:trPr>
          <w:jc w:val="center"/>
          <w:trHeight w:val="495"/>
        </w:trPr>
        <w:tc>
          <w:tcPr>
            <w:tcW w:w="811" w:type="dxa"/>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w:t>
            </w:r>
            <w:r/>
          </w:p>
        </w:tc>
        <w:tc>
          <w:tcPr>
            <w:tcW w:w="1620" w:type="dxa"/>
            <w:vAlign w:val="center"/>
            <w:textDirection w:val="lrTb"/>
            <w:noWrap w:val="false"/>
          </w:tcPr>
          <w:p>
            <w:pPr>
              <w:jc w:val="center"/>
              <w:keepLines w:val="0"/>
              <w:keepNext w:val="0"/>
              <w:pageBreakBefore w:val="0"/>
              <w:spacing w:after="0"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接近角/离去角（°）</w:t>
            </w:r>
            <w:r/>
          </w:p>
        </w:tc>
        <w:tc>
          <w:tcPr>
            <w:tcW w:w="6155" w:type="dxa"/>
            <w:vAlign w:val="center"/>
            <w:textDirection w:val="lrTb"/>
            <w:noWrap w:val="false"/>
          </w:tcPr>
          <w:p>
            <w:pPr>
              <w:ind w:firstLine="480"/>
              <w:jc w:val="left"/>
              <w:keepLines w:val="0"/>
              <w:keepNext w:val="0"/>
              <w:pageBreakBefore w:val="0"/>
              <w:spacing w:after="0"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33/20</w:t>
            </w:r>
            <w:r/>
          </w:p>
        </w:tc>
      </w:tr>
      <w:tr>
        <w:trPr>
          <w:jc w:val="center"/>
          <w:trHeight w:val="90"/>
        </w:trPr>
        <w:tc>
          <w:tcPr>
            <w:tcW w:w="811" w:type="dxa"/>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w:t>
            </w:r>
            <w:r/>
          </w:p>
        </w:tc>
        <w:tc>
          <w:tcPr>
            <w:tcW w:w="1620" w:type="dxa"/>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空调</w:t>
            </w:r>
            <w:r/>
          </w:p>
        </w:tc>
        <w:tc>
          <w:tcPr>
            <w:tcW w:w="6155" w:type="dxa"/>
            <w:vAlign w:val="center"/>
            <w:textDirection w:val="lrTb"/>
            <w:noWrap w:val="false"/>
          </w:tcPr>
          <w:p>
            <w:pPr>
              <w:ind w:firstLine="480"/>
              <w:jc w:val="left"/>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配备冷暖空调</w:t>
            </w:r>
            <w:r/>
          </w:p>
        </w:tc>
      </w:tr>
      <w:tr>
        <w:trPr>
          <w:jc w:val="center"/>
          <w:trHeight w:val="495"/>
        </w:trPr>
        <w:tc>
          <w:tcPr>
            <w:tcW w:w="811" w:type="dxa"/>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w:t>
            </w:r>
            <w:r/>
          </w:p>
        </w:tc>
        <w:tc>
          <w:tcPr>
            <w:tcW w:w="1620" w:type="dxa"/>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行车记录仪</w:t>
            </w:r>
            <w:r/>
          </w:p>
        </w:tc>
        <w:tc>
          <w:tcPr>
            <w:tcW w:w="6155" w:type="dxa"/>
            <w:vAlign w:val="center"/>
            <w:textDirection w:val="lrTb"/>
            <w:noWrap w:val="false"/>
          </w:tcPr>
          <w:p>
            <w:pPr>
              <w:ind w:firstLine="480"/>
              <w:jc w:val="left"/>
              <w:keepLines w:val="0"/>
              <w:keepNext w:val="0"/>
              <w:pageBreakBefore w:val="0"/>
              <w:spacing w:after="0"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1080</w:t>
            </w:r>
            <w:r>
              <w:rPr>
                <w:rFonts w:hint="eastAsia" w:ascii="宋体" w:hAnsi="宋体" w:cs="宋体"/>
                <w:color w:val="auto"/>
                <w:sz w:val="24"/>
                <w:szCs w:val="24"/>
                <w:highlight w:val="none"/>
                <w:lang w:val="en-US" w:eastAsia="zh-CN" w:bidi="ar-SA"/>
              </w:rPr>
              <w:t xml:space="preserve">p</w:t>
            </w:r>
            <w:r/>
          </w:p>
        </w:tc>
      </w:tr>
      <w:tr>
        <w:trPr>
          <w:jc w:val="center"/>
          <w:trHeight w:val="495"/>
        </w:trPr>
        <w:tc>
          <w:tcPr>
            <w:tcW w:w="811" w:type="dxa"/>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w:t>
            </w:r>
            <w:r/>
          </w:p>
        </w:tc>
        <w:tc>
          <w:tcPr>
            <w:tcW w:w="1620" w:type="dxa"/>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辅助驾驶</w:t>
            </w:r>
            <w:r/>
          </w:p>
        </w:tc>
        <w:tc>
          <w:tcPr>
            <w:tcW w:w="6155" w:type="dxa"/>
            <w:vAlign w:val="center"/>
            <w:textDirection w:val="lrTb"/>
            <w:noWrap w:val="false"/>
          </w:tcPr>
          <w:p>
            <w:pPr>
              <w:ind w:firstLine="480"/>
              <w:jc w:val="left"/>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配备可视倒车雷达或倒车影像（≥七英寸显示屏）</w:t>
            </w:r>
            <w:r/>
          </w:p>
        </w:tc>
      </w:tr>
      <w:tr>
        <w:trPr>
          <w:jc w:val="center"/>
          <w:trHeight w:val="495"/>
        </w:trPr>
        <w:tc>
          <w:tcPr>
            <w:tcW w:w="811" w:type="dxa"/>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w:t>
            </w:r>
            <w:r/>
          </w:p>
        </w:tc>
        <w:tc>
          <w:tcPr>
            <w:tcW w:w="1620" w:type="dxa"/>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1"/>
                <w:szCs w:val="21"/>
                <w:highlight w:val="none"/>
                <w:lang w:val="en-US" w:eastAsia="zh-CN"/>
              </w:rPr>
              <w:t xml:space="preserve">▲</w:t>
            </w:r>
            <w:r>
              <w:rPr>
                <w:rFonts w:hint="eastAsia" w:ascii="宋体" w:hAnsi="宋体" w:eastAsia="宋体" w:cs="宋体"/>
                <w:color w:val="auto"/>
                <w:sz w:val="24"/>
                <w:szCs w:val="24"/>
                <w:highlight w:val="none"/>
                <w:lang w:val="en-US" w:eastAsia="zh-CN" w:bidi="ar-SA"/>
              </w:rPr>
              <w:t xml:space="preserve">车身尺寸</w:t>
            </w:r>
            <w:r/>
          </w:p>
        </w:tc>
        <w:tc>
          <w:tcPr>
            <w:tcW w:w="6155" w:type="dxa"/>
            <w:vAlign w:val="center"/>
            <w:textDirection w:val="lrTb"/>
            <w:noWrap w:val="false"/>
          </w:tcPr>
          <w:p>
            <w:pPr>
              <w:ind w:firstLine="480"/>
              <w:jc w:val="left"/>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≤5660</w:t>
            </w:r>
            <w:r>
              <w:rPr>
                <w:rFonts w:hint="eastAsia" w:ascii="宋体" w:hAnsi="宋体" w:eastAsia="宋体" w:cs="宋体"/>
                <w:color w:val="auto"/>
                <w:sz w:val="24"/>
                <w:szCs w:val="24"/>
                <w:highlight w:val="none"/>
                <w:lang w:val="en-US" w:eastAsia="zh-CN" w:bidi="ar-SA"/>
              </w:rPr>
              <w:t xml:space="preserve">mm*</w:t>
            </w:r>
            <w:r>
              <w:rPr>
                <w:rFonts w:hint="eastAsia" w:ascii="宋体" w:hAnsi="宋体" w:cs="宋体"/>
                <w:color w:val="auto"/>
                <w:sz w:val="24"/>
                <w:szCs w:val="24"/>
                <w:highlight w:val="none"/>
                <w:lang w:val="en-US" w:eastAsia="zh-CN" w:bidi="ar-SA"/>
              </w:rPr>
              <w:t xml:space="preserve">1900</w:t>
            </w:r>
            <w:r>
              <w:rPr>
                <w:rFonts w:hint="eastAsia" w:ascii="宋体" w:hAnsi="宋体" w:eastAsia="宋体" w:cs="宋体"/>
                <w:color w:val="auto"/>
                <w:sz w:val="24"/>
                <w:szCs w:val="24"/>
                <w:highlight w:val="none"/>
                <w:lang w:val="en-US" w:eastAsia="zh-CN" w:bidi="ar-SA"/>
              </w:rPr>
              <w:t xml:space="preserve">mm*2</w:t>
            </w:r>
            <w:r>
              <w:rPr>
                <w:rFonts w:hint="eastAsia" w:ascii="宋体" w:hAnsi="宋体" w:cs="宋体"/>
                <w:color w:val="auto"/>
                <w:sz w:val="24"/>
                <w:szCs w:val="24"/>
                <w:highlight w:val="none"/>
                <w:lang w:val="en-US" w:eastAsia="zh-CN" w:bidi="ar-SA"/>
              </w:rPr>
              <w:t xml:space="preserve">15</w:t>
            </w:r>
            <w:r>
              <w:rPr>
                <w:rFonts w:hint="eastAsia" w:ascii="宋体" w:hAnsi="宋体" w:eastAsia="宋体" w:cs="宋体"/>
                <w:color w:val="auto"/>
                <w:sz w:val="24"/>
                <w:szCs w:val="24"/>
                <w:highlight w:val="none"/>
                <w:lang w:val="en-US" w:eastAsia="zh-CN" w:bidi="ar-SA"/>
              </w:rPr>
              <w:t xml:space="preserve">0mm（长*宽*高）(提供工信部道路机动车辆生产企业及产品信息查询系统公告参数页作为佐证材料)</w:t>
            </w:r>
            <w:r/>
          </w:p>
        </w:tc>
      </w:tr>
      <w:tr>
        <w:trPr>
          <w:jc w:val="center"/>
          <w:trHeight w:val="443"/>
        </w:trPr>
        <w:tc>
          <w:tcPr>
            <w:tcW w:w="811" w:type="dxa"/>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w:t>
            </w:r>
            <w:r/>
          </w:p>
        </w:tc>
        <w:tc>
          <w:tcPr>
            <w:tcW w:w="1620" w:type="dxa"/>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1"/>
                <w:szCs w:val="21"/>
                <w:highlight w:val="none"/>
                <w:lang w:val="en-US" w:eastAsia="zh-CN"/>
              </w:rPr>
              <w:t xml:space="preserve">▲</w:t>
            </w:r>
            <w:r>
              <w:rPr>
                <w:rFonts w:hint="eastAsia" w:ascii="宋体" w:hAnsi="宋体" w:eastAsia="宋体" w:cs="宋体"/>
                <w:color w:val="auto"/>
                <w:sz w:val="24"/>
                <w:szCs w:val="24"/>
                <w:highlight w:val="none"/>
                <w:lang w:val="en-US" w:eastAsia="zh-CN" w:bidi="ar-SA"/>
              </w:rPr>
              <w:t xml:space="preserve">发电系统</w:t>
            </w:r>
            <w:r/>
          </w:p>
        </w:tc>
        <w:tc>
          <w:tcPr>
            <w:tcW w:w="6155" w:type="dxa"/>
            <w:vAlign w:val="top"/>
            <w:textDirection w:val="lrTb"/>
            <w:noWrap w:val="false"/>
          </w:tcPr>
          <w:p>
            <w:pPr>
              <w:numPr>
                <w:ilvl w:val="0"/>
                <w:numId w:val="0"/>
              </w:numPr>
              <w:jc w:val="left"/>
              <w:keepLines w:val="0"/>
              <w:keepNext w:val="0"/>
              <w:pageBreakBefore w:val="0"/>
              <w:spacing w:after="0" w:line="400" w:lineRule="exact"/>
              <w:widowControl w:val="off"/>
              <w:rPr>
                <w:rFonts w:hint="eastAsia" w:ascii="宋体" w:hAnsi="宋体" w:cs="宋体"/>
                <w:color w:val="auto"/>
                <w:sz w:val="24"/>
                <w:highlight w:val="none"/>
                <w:lang w:val="en-US" w:eastAsia="zh-CN"/>
              </w:rPr>
            </w:pP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额定输出功率≥</w:t>
            </w:r>
            <w:r>
              <w:rPr>
                <w:rFonts w:hint="eastAsia" w:ascii="宋体" w:hAnsi="宋体" w:cs="宋体"/>
                <w:color w:val="auto"/>
                <w:sz w:val="24"/>
                <w:szCs w:val="24"/>
                <w:highlight w:val="none"/>
                <w:lang w:val="en-US" w:eastAsia="zh-CN" w:bidi="ar-SA"/>
              </w:rPr>
              <w:t xml:space="preserve">48</w:t>
            </w:r>
            <w:r>
              <w:rPr>
                <w:rFonts w:hint="eastAsia" w:ascii="宋体" w:hAnsi="宋体" w:eastAsia="宋体" w:cs="宋体"/>
                <w:color w:val="auto"/>
                <w:sz w:val="24"/>
                <w:szCs w:val="24"/>
                <w:highlight w:val="none"/>
                <w:lang w:val="en-US" w:eastAsia="zh-CN" w:bidi="ar-SA"/>
              </w:rPr>
              <w:t xml:space="preserve">kW，满足整车满负荷运行所需功率，机组运行稳定，系统三相四线制；</w:t>
            </w:r>
            <w:r>
              <w:rPr>
                <w:rFonts w:hint="eastAsia" w:ascii="宋体" w:hAnsi="宋体" w:cs="宋体"/>
                <w:color w:val="auto"/>
                <w:sz w:val="24"/>
                <w:highlight w:val="none"/>
              </w:rPr>
              <w:t xml:space="preserve">柴油机排放：</w:t>
            </w:r>
            <w:r>
              <w:rPr>
                <w:rFonts w:hint="eastAsia" w:ascii="宋体" w:hAnsi="宋体" w:cs="宋体"/>
                <w:color w:val="auto"/>
                <w:sz w:val="24"/>
                <w:highlight w:val="none"/>
                <w:lang w:val="en-US" w:eastAsia="zh-CN"/>
              </w:rPr>
              <w:t xml:space="preserve">国三及以上；</w:t>
            </w:r>
            <w:r/>
          </w:p>
          <w:p>
            <w:pPr>
              <w:numPr>
                <w:ilvl w:val="0"/>
                <w:numId w:val="0"/>
              </w:numPr>
              <w:jc w:val="left"/>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2、额定电压：线电压380V±10%，相电压220V±10%</w:t>
            </w:r>
            <w:r/>
          </w:p>
          <w:p>
            <w:pPr>
              <w:jc w:val="left"/>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3、带有自动调速功能，输出稳定，在最大排水量的工况下连续工作8小时及以上。</w:t>
            </w:r>
            <w:r/>
          </w:p>
          <w:p>
            <w:pPr>
              <w:jc w:val="left"/>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4、机组配备职能液晶操作屏幕，控制机组的启停，显示水温、油压、速度、电流、电压等，出现异常会报警直至停机，有效保护发电机组。</w:t>
            </w:r>
            <w:r/>
          </w:p>
        </w:tc>
      </w:tr>
      <w:tr>
        <w:trPr>
          <w:jc w:val="center"/>
          <w:trHeight w:val="2543"/>
        </w:trPr>
        <w:tc>
          <w:tcPr>
            <w:tcW w:w="811" w:type="dxa"/>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w:t>
            </w:r>
            <w:r/>
          </w:p>
        </w:tc>
        <w:tc>
          <w:tcPr>
            <w:tcW w:w="1620" w:type="dxa"/>
            <w:vAlign w:val="center"/>
            <w:vMerge w:val="restart"/>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排水系统</w:t>
            </w:r>
            <w:r/>
          </w:p>
        </w:tc>
        <w:tc>
          <w:tcPr>
            <w:tcW w:w="6155" w:type="dxa"/>
            <w:vAlign w:val="top"/>
            <w:textDirection w:val="lrTb"/>
            <w:noWrap w:val="false"/>
          </w:tcPr>
          <w:p>
            <w:pPr>
              <w:ind w:firstLine="560"/>
              <w:jc w:val="left"/>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ascii="宋体" w:hAnsi="宋体" w:eastAsia="宋体" w:cs="宋体"/>
                <w:color w:val="000000"/>
                <w:sz w:val="28"/>
                <w:highlight w:val="none"/>
              </w:rPr>
              <w:t xml:space="preserve">▲</w:t>
            </w:r>
            <w:r>
              <w:rPr>
                <w:rFonts w:hint="eastAsia" w:ascii="宋体" w:hAnsi="宋体" w:eastAsia="宋体" w:cs="宋体"/>
                <w:color w:val="auto"/>
                <w:sz w:val="24"/>
                <w:szCs w:val="24"/>
                <w:highlight w:val="none"/>
                <w:lang w:val="en-US" w:eastAsia="zh-CN" w:bidi="ar-SA"/>
              </w:rPr>
              <w:t xml:space="preserve">总排水量≥600m³/h</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排水系统采用大流量轻量化永磁变频潜水电泵1台，便携式防汛抢险潜水泵需具备高安全性，适用于恶劣天气户外抢险作业，具有防水防尘能力防护等级IP68，下潜深度≥20m，（投标文件中便携式防汛抢险潜水泵投标人获得的第三方检测机构出具的具有CMA或CNAS标识的防护等级检测报告为佐证材料）</w:t>
            </w:r>
            <w:r>
              <w:rPr>
                <w:rFonts w:hint="eastAsia" w:ascii="宋体" w:hAnsi="宋体" w:cs="宋体"/>
                <w:color w:val="auto"/>
                <w:sz w:val="24"/>
                <w:szCs w:val="24"/>
                <w:highlight w:val="none"/>
                <w:lang w:val="en-US" w:eastAsia="zh-CN" w:bidi="ar-SA"/>
              </w:rPr>
              <w:t xml:space="preserve">。</w:t>
            </w:r>
            <w:r/>
          </w:p>
        </w:tc>
      </w:tr>
      <w:tr>
        <w:trPr>
          <w:jc w:val="center"/>
          <w:trHeight w:val="1918"/>
        </w:trPr>
        <w:tc>
          <w:tcPr>
            <w:tcW w:w="811" w:type="dxa"/>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w:t>
            </w:r>
            <w:r/>
          </w:p>
        </w:tc>
        <w:tc>
          <w:tcPr>
            <w:tcW w:w="1620" w:type="dxa"/>
            <w:vAlign w:val="center"/>
            <w:vMerge w:val="continue"/>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6155" w:type="dxa"/>
            <w:vAlign w:val="top"/>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1"/>
                <w:szCs w:val="21"/>
                <w:highlight w:val="none"/>
                <w:lang w:val="en-US" w:eastAsia="zh-CN"/>
              </w:rPr>
              <w:t xml:space="preserve">▲</w:t>
            </w:r>
            <w:r>
              <w:rPr>
                <w:rFonts w:hint="eastAsia" w:ascii="宋体" w:hAnsi="宋体" w:eastAsia="宋体" w:cs="宋体"/>
                <w:sz w:val="24"/>
                <w:szCs w:val="24"/>
                <w:highlight w:val="none"/>
              </w:rPr>
              <w:t xml:space="preserve">便携式潜水泵单泵规定点流量≥600m³/h</w:t>
            </w:r>
            <w:r>
              <w:rPr>
                <w:rFonts w:hint="eastAsia" w:ascii="宋体" w:hAnsi="宋体" w:eastAsia="宋体" w:cs="宋体"/>
                <w:sz w:val="24"/>
                <w:szCs w:val="24"/>
                <w:highlight w:val="none"/>
                <w:lang w:val="en-US" w:eastAsia="zh-CN"/>
              </w:rPr>
              <w:t xml:space="preserve">时</w:t>
            </w:r>
            <w:r>
              <w:rPr>
                <w:rFonts w:hint="eastAsia" w:ascii="宋体" w:hAnsi="宋体" w:eastAsia="宋体" w:cs="宋体"/>
                <w:sz w:val="24"/>
                <w:szCs w:val="24"/>
                <w:highlight w:val="none"/>
              </w:rPr>
              <w:t xml:space="preserve">，扬程≥8m  ；当便携式潜水泵单泵规定点流量≥</w:t>
            </w:r>
            <w:r>
              <w:rPr>
                <w:rFonts w:hint="eastAsia" w:ascii="宋体" w:hAnsi="宋体" w:eastAsia="宋体" w:cs="宋体"/>
                <w:sz w:val="24"/>
                <w:szCs w:val="24"/>
                <w:highlight w:val="none"/>
                <w:lang w:val="en-US" w:eastAsia="zh-CN"/>
              </w:rPr>
              <w:t xml:space="preserve">360</w:t>
            </w:r>
            <w:r>
              <w:rPr>
                <w:rFonts w:hint="eastAsia" w:ascii="宋体" w:hAnsi="宋体" w:eastAsia="宋体" w:cs="宋体"/>
                <w:sz w:val="24"/>
                <w:szCs w:val="24"/>
                <w:highlight w:val="none"/>
              </w:rPr>
              <w:t xml:space="preserve">m³/h</w:t>
            </w:r>
            <w:r>
              <w:rPr>
                <w:rFonts w:hint="eastAsia" w:ascii="宋体" w:hAnsi="宋体" w:eastAsia="宋体" w:cs="宋体"/>
                <w:sz w:val="24"/>
                <w:szCs w:val="24"/>
                <w:highlight w:val="none"/>
                <w:lang w:val="en-US" w:eastAsia="zh-CN"/>
              </w:rPr>
              <w:t xml:space="preserve">时</w:t>
            </w:r>
            <w:r>
              <w:rPr>
                <w:rFonts w:hint="eastAsia" w:ascii="宋体" w:hAnsi="宋体" w:eastAsia="宋体" w:cs="宋体"/>
                <w:sz w:val="24"/>
                <w:szCs w:val="24"/>
                <w:highlight w:val="none"/>
              </w:rPr>
              <w:t xml:space="preserve">，扬程 ≥</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5m </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单泵重量≤25kg。</w:t>
            </w:r>
            <w:r>
              <w:rPr>
                <w:rFonts w:hint="eastAsia" w:ascii="宋体" w:hAnsi="宋体" w:eastAsia="宋体" w:cs="宋体"/>
                <w:b/>
                <w:bCs/>
                <w:sz w:val="24"/>
                <w:szCs w:val="24"/>
                <w:highlight w:val="none"/>
              </w:rPr>
              <w:t xml:space="preserve">（以上所有数据为实测数据，投标人提供具有 CNAS 或 CMA标识的第三方检测报告复印件。检验报告须具有实验记录数据，流量、扬程和效率曲线）</w:t>
            </w:r>
            <w:r/>
          </w:p>
        </w:tc>
      </w:tr>
      <w:tr>
        <w:trPr>
          <w:jc w:val="center"/>
          <w:trHeight w:val="1918"/>
        </w:trPr>
        <w:tc>
          <w:tcPr>
            <w:tcW w:w="811" w:type="dxa"/>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w:t>
            </w:r>
            <w:r/>
          </w:p>
        </w:tc>
        <w:tc>
          <w:tcPr>
            <w:tcW w:w="1620" w:type="dxa"/>
            <w:vAlign w:val="center"/>
            <w:vMerge w:val="continue"/>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6155" w:type="dxa"/>
            <w:vAlign w:val="top"/>
            <w:textDirection w:val="lrTb"/>
            <w:noWrap w:val="false"/>
          </w:tcPr>
          <w:p>
            <w:pPr>
              <w:numPr>
                <w:ilvl w:val="0"/>
                <w:numId w:val="0"/>
              </w:numPr>
              <w:ind w:firstLine="480"/>
              <w:jc w:val="left"/>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1.潜水电泵最大通过颗粒≥20mm，每台水泵配备专用延长电缆长度</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0m，电缆之间配备快速接头，接头防护等级≥IP68；</w:t>
            </w:r>
            <w:r/>
          </w:p>
          <w:p>
            <w:pPr>
              <w:numPr>
                <w:ilvl w:val="0"/>
                <w:numId w:val="0"/>
              </w:numPr>
              <w:ind w:firstLine="420"/>
              <w:jc w:val="left"/>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1"/>
                <w:szCs w:val="21"/>
                <w:highlight w:val="none"/>
                <w:lang w:val="en-US" w:eastAsia="zh-CN"/>
              </w:rPr>
              <w:t xml:space="preserve">▲</w:t>
            </w:r>
            <w:r>
              <w:rPr>
                <w:rFonts w:hint="eastAsia" w:ascii="宋体" w:hAnsi="宋体" w:eastAsia="宋体" w:cs="宋体"/>
                <w:color w:val="auto"/>
                <w:sz w:val="24"/>
                <w:szCs w:val="24"/>
                <w:highlight w:val="none"/>
                <w:lang w:val="en-US" w:eastAsia="zh-CN" w:bidi="ar-SA"/>
              </w:rPr>
              <w:t xml:space="preserve">2.便携泵航空快插具备高安全性，适用于恶劣天气户外抢险作业，具有防水防尘能力，防护等级≥IP68；（投标文件中提供投标人获得的具有CMA或CNAS认证的第三方检验机构出具的防护等级检验报告为佐证材料）</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p>
            <w:pPr>
              <w:spacing w:line="360" w:lineRule="auto"/>
              <w:rPr>
                <w:rFonts w:hint="eastAsia" w:ascii="宋体" w:hAnsi="宋体" w:eastAsia="宋体" w:cs="宋体"/>
                <w:color w:val="auto"/>
                <w:sz w:val="24"/>
                <w:szCs w:val="24"/>
                <w:highlight w:val="none"/>
                <w:lang w:val="en-US" w:eastAsia="zh-CN" w:bidi="ar-SA"/>
              </w:rPr>
            </w:pPr>
            <w:r>
              <w:rPr>
                <w:rFonts w:ascii="宋体" w:hAnsi="宋体" w:eastAsia="宋体" w:cs="宋体"/>
                <w:color w:val="000000"/>
                <w:sz w:val="28"/>
                <w:highlight w:val="none"/>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水泵材质：外壳</w:t>
            </w:r>
            <w:r>
              <w:rPr>
                <w:rFonts w:hint="eastAsia" w:ascii="宋体" w:hAnsi="宋体" w:eastAsia="宋体" w:cs="宋体"/>
                <w:sz w:val="24"/>
                <w:szCs w:val="24"/>
                <w:highlight w:val="none"/>
                <w:lang w:val="en-US" w:eastAsia="zh-CN"/>
              </w:rPr>
              <w:t xml:space="preserve">为铝合金材质，叶轮为</w:t>
            </w:r>
            <w:r>
              <w:rPr>
                <w:rFonts w:hint="eastAsia" w:ascii="宋体" w:hAnsi="宋体" w:eastAsia="宋体" w:cs="宋体"/>
                <w:sz w:val="24"/>
                <w:szCs w:val="24"/>
                <w:highlight w:val="none"/>
              </w:rPr>
              <w:t xml:space="preserve">不锈钢（不低于 304）。</w:t>
            </w:r>
            <w:r/>
          </w:p>
        </w:tc>
      </w:tr>
      <w:tr>
        <w:trPr>
          <w:jc w:val="center"/>
          <w:trHeight w:val="1428"/>
        </w:trPr>
        <w:tc>
          <w:tcPr>
            <w:tcW w:w="811" w:type="dxa"/>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w:t>
            </w:r>
            <w:r/>
          </w:p>
        </w:tc>
        <w:tc>
          <w:tcPr>
            <w:tcW w:w="1620" w:type="dxa"/>
            <w:vAlign w:val="center"/>
            <w:vMerge w:val="continue"/>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6155" w:type="dxa"/>
            <w:vAlign w:val="center"/>
            <w:textDirection w:val="lrTb"/>
            <w:noWrap w:val="false"/>
          </w:tcPr>
          <w:p>
            <w:pPr>
              <w:ind w:firstLine="480"/>
              <w:jc w:val="left"/>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每台水泵配备水带长度≥</w:t>
            </w:r>
            <w:r>
              <w:rPr>
                <w:rFonts w:hint="eastAsia" w:ascii="宋体" w:hAnsi="宋体" w:cs="宋体"/>
                <w:color w:val="auto"/>
                <w:sz w:val="24"/>
                <w:szCs w:val="24"/>
                <w:highlight w:val="none"/>
                <w:lang w:val="en-US" w:eastAsia="zh-CN" w:bidi="ar-SA"/>
              </w:rPr>
              <w:t xml:space="preserve">10</w:t>
            </w:r>
            <w:r>
              <w:rPr>
                <w:rFonts w:hint="eastAsia" w:ascii="宋体" w:hAnsi="宋体" w:eastAsia="宋体" w:cs="宋体"/>
                <w:color w:val="auto"/>
                <w:sz w:val="24"/>
                <w:szCs w:val="24"/>
                <w:highlight w:val="none"/>
                <w:lang w:val="en-US" w:eastAsia="zh-CN" w:bidi="ar-SA"/>
              </w:rPr>
              <w:t xml:space="preserve">0m，出水口DN200mm，排水泵均配套不锈钢丝（不低于304标准）滤网。</w:t>
            </w:r>
            <w:r/>
          </w:p>
        </w:tc>
      </w:tr>
      <w:tr>
        <w:trPr>
          <w:jc w:val="center"/>
          <w:trHeight w:val="788"/>
        </w:trPr>
        <w:tc>
          <w:tcPr>
            <w:tcW w:w="811" w:type="dxa"/>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w:t>
            </w:r>
            <w:r/>
          </w:p>
        </w:tc>
        <w:tc>
          <w:tcPr>
            <w:tcW w:w="1620" w:type="dxa"/>
            <w:vAlign w:val="center"/>
            <w:vMerge w:val="continue"/>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6155" w:type="dxa"/>
            <w:vAlign w:val="center"/>
            <w:textDirection w:val="lrTb"/>
            <w:noWrap w:val="false"/>
          </w:tcPr>
          <w:p>
            <w:pPr>
              <w:jc w:val="left"/>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潜水电泵配备1个聚氨酯高强度浮圈，一体成型，带有卡口不锈钢（不低于304标准）吊环连接软性固定吊索。</w:t>
            </w:r>
            <w:r/>
          </w:p>
        </w:tc>
      </w:tr>
      <w:tr>
        <w:trPr>
          <w:jc w:val="center"/>
          <w:trHeight w:val="923"/>
        </w:trPr>
        <w:tc>
          <w:tcPr>
            <w:tcW w:w="811" w:type="dxa"/>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w:t>
            </w:r>
            <w:r/>
          </w:p>
        </w:tc>
        <w:tc>
          <w:tcPr>
            <w:tcW w:w="1620" w:type="dxa"/>
            <w:vAlign w:val="top"/>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控制系统</w:t>
            </w:r>
            <w:r/>
          </w:p>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6155" w:type="dxa"/>
            <w:vAlign w:val="top"/>
            <w:textDirection w:val="lrTb"/>
            <w:noWrap w:val="false"/>
          </w:tcPr>
          <w:p>
            <w:pPr>
              <w:ind w:firstLine="480"/>
              <w:jc w:val="left"/>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1.轻型泵配有单独的变频器控制柜，方便从车厢内取出，能接入市电使用。</w:t>
            </w:r>
            <w:r/>
          </w:p>
          <w:p>
            <w:pPr>
              <w:ind w:firstLine="480"/>
              <w:jc w:val="left"/>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2.控制系统采用集中操控,方便操作，实现一键启动</w:t>
            </w:r>
            <w:r/>
          </w:p>
          <w:p>
            <w:pPr>
              <w:ind w:firstLine="480"/>
              <w:jc w:val="left"/>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3.在机组方面显示水温、油压、速度、电流、电压等，出现异常会报警直至停机，有效保护发电机组。</w:t>
            </w:r>
            <w:r/>
          </w:p>
          <w:p>
            <w:pPr>
              <w:ind w:firstLine="420"/>
              <w:jc w:val="left"/>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1"/>
                <w:szCs w:val="21"/>
                <w:highlight w:val="none"/>
                <w:lang w:val="en-US" w:eastAsia="zh-CN"/>
              </w:rPr>
              <w:t xml:space="preserve">▲</w:t>
            </w:r>
            <w:r>
              <w:rPr>
                <w:rFonts w:hint="eastAsia" w:ascii="宋体" w:hAnsi="宋体" w:eastAsia="宋体" w:cs="宋体"/>
                <w:color w:val="auto"/>
                <w:sz w:val="24"/>
                <w:szCs w:val="24"/>
                <w:highlight w:val="none"/>
                <w:lang w:val="en-US" w:eastAsia="zh-CN" w:bidi="ar-SA"/>
              </w:rPr>
              <w:t xml:space="preserve">4.控制柜防护等级≥IP66。（投标文件中提供投标人获得的具有CMA或 CNAS 认证的第三方检验机构出具的防护等级检验报告为佐证材料）；</w:t>
            </w:r>
            <w:r/>
          </w:p>
        </w:tc>
      </w:tr>
      <w:tr>
        <w:trPr>
          <w:jc w:val="center"/>
          <w:trHeight w:val="1117"/>
        </w:trPr>
        <w:tc>
          <w:tcPr>
            <w:tcW w:w="811" w:type="dxa"/>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w:t>
            </w:r>
            <w:r/>
          </w:p>
        </w:tc>
        <w:tc>
          <w:tcPr>
            <w:tcW w:w="1620" w:type="dxa"/>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辅助系统</w:t>
            </w:r>
            <w:r/>
          </w:p>
        </w:tc>
        <w:tc>
          <w:tcPr>
            <w:tcW w:w="6155" w:type="dxa"/>
            <w:vAlign w:val="top"/>
            <w:textDirection w:val="lrTb"/>
            <w:noWrap w:val="false"/>
          </w:tcPr>
          <w:p>
            <w:pPr>
              <w:ind w:firstLine="480"/>
              <w:jc w:val="left"/>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1.车</w:t>
            </w:r>
            <w:r>
              <w:rPr>
                <w:rFonts w:hint="eastAsia" w:ascii="宋体" w:hAnsi="宋体" w:cs="宋体"/>
                <w:color w:val="auto"/>
                <w:sz w:val="24"/>
                <w:szCs w:val="24"/>
                <w:highlight w:val="none"/>
                <w:lang w:val="en-US" w:eastAsia="zh-CN" w:bidi="ar-SA"/>
              </w:rPr>
              <w:t xml:space="preserve">辆顶部</w:t>
            </w:r>
            <w:r>
              <w:rPr>
                <w:rFonts w:hint="eastAsia" w:ascii="宋体" w:hAnsi="宋体" w:eastAsia="宋体" w:cs="宋体"/>
                <w:color w:val="auto"/>
                <w:sz w:val="24"/>
                <w:szCs w:val="24"/>
                <w:highlight w:val="none"/>
                <w:lang w:val="en-US" w:eastAsia="zh-CN" w:bidi="ar-SA"/>
              </w:rPr>
              <w:t xml:space="preserve">安装高杆照明灯不使用时收回。升降高度≥1.8米，遥控操作；系统工作电压：220V,水平旋转380°，LED光源聚泛光结合、发光角度30垂直旋转330°，功率2X250W，光通量40000LM。具有无线遥控和有线两种控制方式。</w:t>
            </w:r>
            <w:r/>
          </w:p>
          <w:p>
            <w:pPr>
              <w:ind w:firstLine="420"/>
              <w:jc w:val="left"/>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1"/>
                <w:szCs w:val="21"/>
                <w:highlight w:val="none"/>
                <w:lang w:val="en-US" w:eastAsia="zh-CN"/>
              </w:rPr>
              <w:t xml:space="preserve">▲</w:t>
            </w:r>
            <w:r>
              <w:rPr>
                <w:rFonts w:hint="eastAsia" w:ascii="宋体" w:hAnsi="宋体" w:eastAsia="宋体" w:cs="宋体"/>
                <w:color w:val="auto"/>
                <w:sz w:val="24"/>
                <w:szCs w:val="24"/>
                <w:highlight w:val="none"/>
                <w:lang w:val="en-US" w:eastAsia="zh-CN" w:bidi="ar-SA"/>
              </w:rPr>
              <w:t xml:space="preserve">(提供工信部道路机动车辆生产企业及产品信息查询系统公告参数页并标注</w:t>
            </w:r>
            <w:r>
              <w:rPr>
                <w:rFonts w:hint="eastAsia" w:ascii="宋体" w:hAnsi="宋体" w:cs="宋体"/>
                <w:color w:val="auto"/>
                <w:sz w:val="24"/>
                <w:szCs w:val="24"/>
                <w:highlight w:val="none"/>
                <w:lang w:val="en-US" w:eastAsia="zh-CN" w:bidi="ar-SA"/>
              </w:rPr>
              <w:t xml:space="preserve">照明灯</w:t>
            </w:r>
            <w:r>
              <w:rPr>
                <w:rFonts w:hint="eastAsia" w:ascii="宋体" w:hAnsi="宋体" w:eastAsia="宋体" w:cs="宋体"/>
                <w:color w:val="auto"/>
                <w:sz w:val="24"/>
                <w:szCs w:val="24"/>
                <w:highlight w:val="none"/>
                <w:lang w:val="en-US" w:eastAsia="zh-CN" w:bidi="ar-SA"/>
              </w:rPr>
              <w:t xml:space="preserve">位置作为佐证材料)</w:t>
            </w:r>
            <w:r/>
          </w:p>
          <w:p>
            <w:pPr>
              <w:ind w:firstLine="480"/>
              <w:jc w:val="left"/>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2.车辆外部应按照国家标准安装相关信号装置如侧标志灯、反光标志等。</w:t>
            </w:r>
            <w:r/>
          </w:p>
          <w:p>
            <w:pPr>
              <w:ind w:firstLine="480"/>
              <w:jc w:val="left"/>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3.车载配有两个手提式干粉灭火器（单个5kg）;</w:t>
            </w:r>
            <w:r/>
          </w:p>
          <w:p>
            <w:pPr>
              <w:ind w:firstLine="480"/>
              <w:jc w:val="left"/>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4.整车接地电线采用低压接地线，截面积不小于16mm2</w:t>
            </w:r>
            <w:r/>
          </w:p>
          <w:p>
            <w:pPr>
              <w:ind w:firstLine="480"/>
              <w:jc w:val="left"/>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5.车载应配有常用维修工具和专用工具，满足日常检修维护需要。</w:t>
            </w:r>
            <w:r/>
          </w:p>
        </w:tc>
      </w:tr>
      <w:tr>
        <w:trPr>
          <w:jc w:val="center"/>
          <w:trHeight w:val="1117"/>
        </w:trPr>
        <w:tc>
          <w:tcPr>
            <w:tcW w:w="811" w:type="dxa"/>
            <w:vAlign w:val="center"/>
            <w:textDirection w:val="lrTb"/>
            <w:noWrap w:val="false"/>
          </w:tcPr>
          <w:p>
            <w:pPr>
              <w:jc w:val="center"/>
              <w:keepLines w:val="0"/>
              <w:keepNext w:val="0"/>
              <w:pageBreakBefore w:val="0"/>
              <w:spacing w:after="0"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22</w:t>
            </w:r>
            <w:r/>
          </w:p>
        </w:tc>
        <w:tc>
          <w:tcPr>
            <w:tcW w:w="1620" w:type="dxa"/>
            <w:vAlign w:val="center"/>
            <w:textDirection w:val="lrTb"/>
            <w:noWrap w:val="false"/>
          </w:tcPr>
          <w:p>
            <w:pPr>
              <w:jc w:val="left"/>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1"/>
                <w:szCs w:val="21"/>
                <w:highlight w:val="none"/>
                <w:lang w:val="en-US" w:eastAsia="zh-CN"/>
              </w:rPr>
              <w:t xml:space="preserve">▲</w:t>
            </w:r>
            <w:r>
              <w:rPr>
                <w:rFonts w:hint="eastAsia" w:ascii="宋体" w:hAnsi="宋体" w:eastAsia="宋体" w:cs="宋体"/>
                <w:color w:val="auto"/>
                <w:sz w:val="24"/>
                <w:szCs w:val="24"/>
                <w:highlight w:val="none"/>
                <w:lang w:val="en-US" w:eastAsia="zh-CN" w:bidi="ar-SA"/>
              </w:rPr>
              <w:t xml:space="preserve">整车结构</w:t>
            </w:r>
            <w:r/>
          </w:p>
        </w:tc>
        <w:tc>
          <w:tcPr>
            <w:tcW w:w="6155" w:type="dxa"/>
            <w:vAlign w:val="top"/>
            <w:textDirection w:val="lrTb"/>
            <w:noWrap w:val="false"/>
          </w:tcPr>
          <w:p>
            <w:pPr>
              <w:ind w:firstLine="480"/>
              <w:jc w:val="left"/>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1、车厢采用框架式封闭结构，车厢设计储物仓，开门形式为上扇门，配有进排风系统，有隔音功能；</w:t>
            </w:r>
            <w:r/>
          </w:p>
          <w:p>
            <w:pPr>
              <w:ind w:firstLine="480"/>
              <w:jc w:val="left"/>
              <w:keepLines w:val="0"/>
              <w:keepNext w:val="0"/>
              <w:pageBreakBefore w:val="0"/>
              <w:spacing w:after="0"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2.顶部安装行李架，用于摆放浮圈水带等物品。</w:t>
            </w:r>
            <w:r/>
          </w:p>
          <w:p>
            <w:pPr>
              <w:jc w:val="left"/>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（提供工信部道路机动车辆生产企业及产品信息查询系统公告参数页并标注车厢样式及行李架作为佐证材料)</w:t>
            </w:r>
            <w:r/>
          </w:p>
        </w:tc>
      </w:tr>
    </w:tbl>
    <w:p>
      <w:pPr>
        <w:rPr>
          <w:highlight w:val="none"/>
        </w:rPr>
      </w:pPr>
      <w:r>
        <w:rPr>
          <w:highlight w:val="none"/>
        </w:rPr>
      </w:r>
      <w:r/>
    </w:p>
    <w:p>
      <w:pPr>
        <w:pStyle w:val="827"/>
        <w:numPr>
          <w:ilvl w:val="0"/>
          <w:numId w:val="0"/>
        </w:numPr>
        <w:ind w:left="480"/>
        <w:spacing w:line="3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2、四门六座栏板式货车（1辆）</w:t>
      </w:r>
      <w:r/>
    </w:p>
    <w:tbl>
      <w:tblPr>
        <w:tblStyle w:val="823"/>
        <w:tblW w:w="8820" w:type="dxa"/>
        <w:tblInd w:w="30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1474"/>
        <w:gridCol w:w="2050"/>
        <w:gridCol w:w="4456"/>
      </w:tblGrid>
      <w:tr>
        <w:trPr/>
        <w:tc>
          <w:tcPr>
            <w:tcW w:w="840" w:type="dxa"/>
            <w:textDirection w:val="lrTb"/>
            <w:noWrap w:val="false"/>
          </w:tcPr>
          <w:p>
            <w:pPr>
              <w:jc w:val="center"/>
              <w:spacing w:after="0" w:line="240" w:lineRule="auto"/>
              <w:rPr>
                <w:rFonts w:hint="eastAsia"/>
                <w:highlight w:val="none"/>
                <w:lang w:val="en-US" w:eastAsia="zh-CN"/>
              </w:rPr>
            </w:pPr>
            <w:r>
              <w:rPr>
                <w:rFonts w:hint="eastAsia"/>
                <w:highlight w:val="none"/>
                <w:lang w:val="en-US" w:eastAsia="zh-CN"/>
              </w:rPr>
              <w:t xml:space="preserve">序号</w:t>
            </w:r>
            <w:r/>
          </w:p>
        </w:tc>
        <w:tc>
          <w:tcPr>
            <w:tcW w:w="1474" w:type="dxa"/>
            <w:textDirection w:val="lrTb"/>
            <w:noWrap w:val="false"/>
          </w:tcPr>
          <w:p>
            <w:pPr>
              <w:ind w:firstLine="480"/>
              <w:jc w:val="left"/>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类别</w:t>
            </w:r>
            <w:r/>
          </w:p>
        </w:tc>
        <w:tc>
          <w:tcPr>
            <w:tcW w:w="2050" w:type="dxa"/>
            <w:textDirection w:val="lrTb"/>
            <w:noWrap w:val="false"/>
          </w:tcPr>
          <w:p>
            <w:pPr>
              <w:ind w:firstLine="480"/>
              <w:jc w:val="left"/>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技术参数项</w:t>
            </w:r>
            <w:r/>
          </w:p>
        </w:tc>
        <w:tc>
          <w:tcPr>
            <w:tcW w:w="4456" w:type="dxa"/>
            <w:textDirection w:val="lrTb"/>
            <w:noWrap w:val="false"/>
          </w:tcPr>
          <w:p>
            <w:pPr>
              <w:ind w:firstLine="480"/>
              <w:jc w:val="left"/>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技术指标要求</w:t>
            </w:r>
            <w:r/>
          </w:p>
        </w:tc>
      </w:tr>
      <w:tr>
        <w:trPr>
          <w:trHeight w:val="327"/>
        </w:trPr>
        <w:tc>
          <w:tcPr>
            <w:tcW w:w="840" w:type="dxa"/>
            <w:textDirection w:val="lrTb"/>
            <w:noWrap w:val="false"/>
          </w:tcPr>
          <w:p>
            <w:pPr>
              <w:jc w:val="center"/>
              <w:spacing w:after="0" w:line="240" w:lineRule="auto"/>
              <w:rPr>
                <w:rFonts w:hint="eastAsia"/>
                <w:highlight w:val="none"/>
                <w:lang w:val="en-US" w:eastAsia="zh-CN"/>
              </w:rPr>
            </w:pPr>
            <w:r>
              <w:rPr>
                <w:rFonts w:hint="eastAsia"/>
                <w:highlight w:val="none"/>
                <w:lang w:val="en-US" w:eastAsia="zh-CN"/>
              </w:rPr>
              <w:t xml:space="preserve">1</w:t>
            </w:r>
            <w:r/>
          </w:p>
        </w:tc>
        <w:tc>
          <w:tcPr>
            <w:tcW w:w="1474" w:type="dxa"/>
            <w:textDirection w:val="lrTb"/>
            <w:noWrap w:val="false"/>
          </w:tcPr>
          <w:p>
            <w:pPr>
              <w:ind w:firstLine="420"/>
              <w:jc w:val="left"/>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1"/>
                <w:szCs w:val="21"/>
                <w:highlight w:val="none"/>
                <w:lang w:val="en-US" w:eastAsia="zh-CN"/>
              </w:rPr>
              <w:t xml:space="preserve">▲</w:t>
            </w:r>
            <w:r>
              <w:rPr>
                <w:rFonts w:hint="eastAsia" w:ascii="宋体" w:hAnsi="宋体" w:eastAsia="宋体" w:cs="宋体"/>
                <w:color w:val="auto"/>
                <w:sz w:val="24"/>
                <w:szCs w:val="24"/>
                <w:highlight w:val="none"/>
                <w:lang w:val="en-US" w:eastAsia="zh-CN" w:bidi="ar-SA"/>
              </w:rPr>
              <w:t xml:space="preserve">基本</w:t>
            </w:r>
            <w:r/>
          </w:p>
        </w:tc>
        <w:tc>
          <w:tcPr>
            <w:tcW w:w="2050" w:type="dxa"/>
            <w:textDirection w:val="lrTb"/>
            <w:noWrap w:val="false"/>
          </w:tcPr>
          <w:p>
            <w:pPr>
              <w:ind w:firstLine="480"/>
              <w:jc w:val="left"/>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车辆类型</w:t>
            </w:r>
            <w:r/>
          </w:p>
        </w:tc>
        <w:tc>
          <w:tcPr>
            <w:tcW w:w="4456" w:type="dxa"/>
            <w:textDirection w:val="lrTb"/>
            <w:noWrap w:val="false"/>
          </w:tcPr>
          <w:p>
            <w:pPr>
              <w:ind w:firstLine="480"/>
              <w:jc w:val="left"/>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准乘人数≧6人</w:t>
            </w:r>
            <w:r/>
          </w:p>
        </w:tc>
      </w:tr>
      <w:tr>
        <w:trPr>
          <w:trHeight w:val="414"/>
        </w:trPr>
        <w:tc>
          <w:tcPr>
            <w:tcW w:w="840" w:type="dxa"/>
            <w:textDirection w:val="lrTb"/>
            <w:noWrap w:val="false"/>
          </w:tcPr>
          <w:p>
            <w:pPr>
              <w:jc w:val="center"/>
              <w:spacing w:after="0" w:line="240" w:lineRule="auto"/>
              <w:rPr>
                <w:rFonts w:hint="eastAsia"/>
                <w:highlight w:val="none"/>
                <w:lang w:val="en-US" w:eastAsia="zh-CN"/>
              </w:rPr>
            </w:pPr>
            <w:r>
              <w:rPr>
                <w:rFonts w:hint="eastAsia"/>
                <w:highlight w:val="none"/>
                <w:lang w:val="en-US" w:eastAsia="zh-CN"/>
              </w:rPr>
              <w:t xml:space="preserve">2</w:t>
            </w:r>
            <w:r/>
          </w:p>
        </w:tc>
        <w:tc>
          <w:tcPr>
            <w:tcW w:w="1474" w:type="dxa"/>
            <w:textDirection w:val="lrTb"/>
            <w:noWrap w:val="false"/>
          </w:tcPr>
          <w:p>
            <w:pPr>
              <w:ind w:firstLine="480"/>
              <w:jc w:val="left"/>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基本</w:t>
            </w:r>
            <w:r/>
          </w:p>
        </w:tc>
        <w:tc>
          <w:tcPr>
            <w:tcW w:w="2050" w:type="dxa"/>
            <w:textDirection w:val="lrTb"/>
            <w:noWrap w:val="false"/>
          </w:tcPr>
          <w:p>
            <w:pPr>
              <w:ind w:firstLine="480"/>
              <w:jc w:val="left"/>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车身颜色</w:t>
            </w:r>
            <w:r/>
          </w:p>
        </w:tc>
        <w:tc>
          <w:tcPr>
            <w:tcW w:w="4456" w:type="dxa"/>
            <w:textDirection w:val="lrTb"/>
            <w:noWrap w:val="false"/>
          </w:tcPr>
          <w:p>
            <w:pPr>
              <w:ind w:firstLine="480"/>
              <w:jc w:val="left"/>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工程黄</w:t>
            </w:r>
            <w:r/>
          </w:p>
        </w:tc>
      </w:tr>
      <w:tr>
        <w:trPr/>
        <w:tc>
          <w:tcPr>
            <w:tcW w:w="840" w:type="dxa"/>
            <w:textDirection w:val="lrTb"/>
            <w:noWrap w:val="false"/>
          </w:tcPr>
          <w:p>
            <w:pPr>
              <w:jc w:val="center"/>
              <w:spacing w:after="0" w:line="240" w:lineRule="auto"/>
              <w:rPr>
                <w:rFonts w:hint="default"/>
                <w:highlight w:val="none"/>
                <w:lang w:val="en-US" w:eastAsia="zh-CN"/>
              </w:rPr>
            </w:pPr>
            <w:r>
              <w:rPr>
                <w:rFonts w:hint="eastAsia"/>
                <w:highlight w:val="none"/>
                <w:lang w:val="en-US" w:eastAsia="zh-CN"/>
              </w:rPr>
              <w:t xml:space="preserve">3</w:t>
            </w:r>
            <w:r/>
          </w:p>
        </w:tc>
        <w:tc>
          <w:tcPr>
            <w:tcW w:w="1474" w:type="dxa"/>
            <w:textDirection w:val="lrTb"/>
            <w:noWrap w:val="false"/>
          </w:tcPr>
          <w:p>
            <w:pPr>
              <w:jc w:val="left"/>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1"/>
                <w:szCs w:val="21"/>
                <w:highlight w:val="none"/>
                <w:lang w:val="en-US" w:eastAsia="zh-CN"/>
              </w:rPr>
              <w:t xml:space="preserve">▲</w:t>
            </w:r>
            <w:r>
              <w:rPr>
                <w:rFonts w:hint="eastAsia" w:ascii="宋体" w:hAnsi="宋体" w:eastAsia="宋体" w:cs="宋体"/>
                <w:color w:val="auto"/>
                <w:sz w:val="24"/>
                <w:szCs w:val="24"/>
                <w:highlight w:val="none"/>
                <w:lang w:val="en-US" w:eastAsia="zh-CN" w:bidi="ar-SA"/>
              </w:rPr>
              <w:t xml:space="preserve">外廓尺寸</w:t>
            </w:r>
            <w:r/>
          </w:p>
        </w:tc>
        <w:tc>
          <w:tcPr>
            <w:tcW w:w="2050" w:type="dxa"/>
            <w:textDirection w:val="lrTb"/>
            <w:noWrap w:val="false"/>
          </w:tcPr>
          <w:p>
            <w:pPr>
              <w:jc w:val="left"/>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长×宽×高(mm)</w:t>
            </w:r>
            <w:r/>
          </w:p>
        </w:tc>
        <w:tc>
          <w:tcPr>
            <w:tcW w:w="4456" w:type="dxa"/>
            <w:textDirection w:val="lrTb"/>
            <w:noWrap w:val="false"/>
          </w:tcPr>
          <w:p>
            <w:pPr>
              <w:jc w:val="left"/>
              <w:keepLines w:val="0"/>
              <w:keepNext w:val="0"/>
              <w:pageBreakBefore w:val="0"/>
              <w:spacing w:after="0"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≥59</w:t>
            </w:r>
            <w:r>
              <w:rPr>
                <w:rFonts w:hint="eastAsia" w:ascii="宋体" w:hAnsi="宋体" w:cs="宋体"/>
                <w:color w:val="auto"/>
                <w:sz w:val="24"/>
                <w:szCs w:val="24"/>
                <w:highlight w:val="none"/>
                <w:lang w:val="en-US" w:eastAsia="zh-CN" w:bidi="ar-SA"/>
              </w:rPr>
              <w:t xml:space="preserve">95</w:t>
            </w:r>
            <w:r>
              <w:rPr>
                <w:rFonts w:hint="eastAsia" w:ascii="宋体" w:hAnsi="宋体" w:eastAsia="宋体" w:cs="宋体"/>
                <w:color w:val="auto"/>
                <w:sz w:val="24"/>
                <w:szCs w:val="24"/>
                <w:highlight w:val="none"/>
                <w:lang w:val="en-US" w:eastAsia="zh-CN" w:bidi="ar-SA"/>
              </w:rPr>
              <w:t xml:space="preserve">≥2</w:t>
            </w:r>
            <w:r>
              <w:rPr>
                <w:rFonts w:hint="eastAsia" w:ascii="宋体" w:hAnsi="宋体" w:cs="宋体"/>
                <w:color w:val="auto"/>
                <w:sz w:val="24"/>
                <w:szCs w:val="24"/>
                <w:highlight w:val="none"/>
                <w:lang w:val="en-US" w:eastAsia="zh-CN" w:bidi="ar-SA"/>
              </w:rPr>
              <w:t xml:space="preserve">180</w:t>
            </w:r>
            <w:r>
              <w:rPr>
                <w:rFonts w:hint="eastAsia" w:ascii="宋体" w:hAnsi="宋体" w:eastAsia="宋体" w:cs="宋体"/>
                <w:color w:val="auto"/>
                <w:sz w:val="24"/>
                <w:szCs w:val="24"/>
                <w:highlight w:val="none"/>
                <w:lang w:val="en-US" w:eastAsia="zh-CN" w:bidi="ar-SA"/>
              </w:rPr>
              <w:t xml:space="preserve">≥2400提供工信部截图证明</w:t>
            </w:r>
            <w:r/>
          </w:p>
        </w:tc>
      </w:tr>
      <w:tr>
        <w:trPr>
          <w:trHeight w:val="414"/>
        </w:trPr>
        <w:tc>
          <w:tcPr>
            <w:tcW w:w="840" w:type="dxa"/>
            <w:textDirection w:val="lrTb"/>
            <w:noWrap w:val="false"/>
          </w:tcPr>
          <w:p>
            <w:pPr>
              <w:jc w:val="center"/>
              <w:spacing w:after="0" w:line="240" w:lineRule="auto"/>
              <w:rPr>
                <w:rFonts w:hint="default"/>
                <w:highlight w:val="none"/>
                <w:lang w:val="en-US" w:eastAsia="zh-CN"/>
              </w:rPr>
            </w:pPr>
            <w:r>
              <w:rPr>
                <w:rFonts w:hint="eastAsia"/>
                <w:highlight w:val="none"/>
                <w:lang w:val="en-US" w:eastAsia="zh-CN"/>
              </w:rPr>
              <w:t xml:space="preserve">4</w:t>
            </w:r>
            <w:r/>
          </w:p>
        </w:tc>
        <w:tc>
          <w:tcPr>
            <w:tcW w:w="1474" w:type="dxa"/>
            <w:textDirection w:val="lrTb"/>
            <w:noWrap w:val="false"/>
          </w:tcPr>
          <w:p>
            <w:pPr>
              <w:jc w:val="left"/>
              <w:keepLines w:val="0"/>
              <w:keepNext w:val="0"/>
              <w:pageBreakBefore w:val="0"/>
              <w:spacing w:after="0"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sz w:val="21"/>
                <w:szCs w:val="21"/>
                <w:highlight w:val="none"/>
                <w:lang w:val="en-US" w:eastAsia="zh-CN"/>
              </w:rPr>
              <w:t xml:space="preserve">▲</w:t>
            </w:r>
            <w:r>
              <w:rPr>
                <w:rFonts w:hint="eastAsia" w:ascii="宋体" w:hAnsi="宋体" w:eastAsia="宋体" w:cs="宋体"/>
                <w:color w:val="auto"/>
                <w:sz w:val="24"/>
                <w:szCs w:val="24"/>
                <w:highlight w:val="none"/>
                <w:lang w:val="en-US" w:eastAsia="zh-CN" w:bidi="ar-SA"/>
              </w:rPr>
              <w:t xml:space="preserve">货箱尺寸</w:t>
            </w:r>
            <w:r/>
          </w:p>
        </w:tc>
        <w:tc>
          <w:tcPr>
            <w:tcW w:w="2050" w:type="dxa"/>
            <w:textDirection w:val="lrTb"/>
            <w:noWrap w:val="false"/>
          </w:tcPr>
          <w:p>
            <w:pPr>
              <w:jc w:val="left"/>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长×宽×高(mm)</w:t>
            </w:r>
            <w:r/>
          </w:p>
        </w:tc>
        <w:tc>
          <w:tcPr>
            <w:tcW w:w="4456" w:type="dxa"/>
            <w:textDirection w:val="lrTb"/>
            <w:noWrap w:val="false"/>
          </w:tcPr>
          <w:p>
            <w:pPr>
              <w:jc w:val="left"/>
              <w:keepLines w:val="0"/>
              <w:keepNext w:val="0"/>
              <w:pageBreakBefore w:val="0"/>
              <w:spacing w:after="0"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cs="宋体"/>
                <w:color w:val="auto"/>
                <w:sz w:val="24"/>
                <w:szCs w:val="24"/>
                <w:highlight w:val="none"/>
                <w:lang w:val="en-US" w:eastAsia="zh-CN" w:bidi="ar-SA"/>
              </w:rPr>
              <w:t xml:space="preserve">61</w:t>
            </w:r>
            <w:r>
              <w:rPr>
                <w:rFonts w:hint="eastAsia" w:ascii="宋体" w:hAnsi="宋体" w:eastAsia="宋体" w:cs="宋体"/>
                <w:color w:val="auto"/>
                <w:sz w:val="24"/>
                <w:szCs w:val="24"/>
                <w:highlight w:val="none"/>
                <w:lang w:val="en-US" w:eastAsia="zh-CN" w:bidi="ar-SA"/>
              </w:rPr>
              <w:t xml:space="preserve">0≥</w:t>
            </w:r>
            <w:r>
              <w:rPr>
                <w:rFonts w:hint="eastAsia" w:ascii="宋体" w:hAnsi="宋体" w:cs="宋体"/>
                <w:color w:val="auto"/>
                <w:sz w:val="24"/>
                <w:szCs w:val="24"/>
                <w:highlight w:val="none"/>
                <w:lang w:val="en-US" w:eastAsia="zh-CN" w:bidi="ar-SA"/>
              </w:rPr>
              <w:t xml:space="preserve">21</w:t>
            </w:r>
            <w:r>
              <w:rPr>
                <w:rFonts w:hint="eastAsia" w:ascii="宋体" w:hAnsi="宋体" w:eastAsia="宋体" w:cs="宋体"/>
                <w:color w:val="auto"/>
                <w:sz w:val="24"/>
                <w:szCs w:val="24"/>
                <w:highlight w:val="none"/>
                <w:lang w:val="en-US" w:eastAsia="zh-CN" w:bidi="ar-SA"/>
              </w:rPr>
              <w:t xml:space="preserve">00≥</w:t>
            </w:r>
            <w:r>
              <w:rPr>
                <w:rFonts w:hint="eastAsia" w:ascii="宋体" w:hAnsi="宋体" w:cs="宋体"/>
                <w:color w:val="auto"/>
                <w:sz w:val="24"/>
                <w:szCs w:val="24"/>
                <w:highlight w:val="none"/>
                <w:lang w:val="en-US" w:eastAsia="zh-CN" w:bidi="ar-SA"/>
              </w:rPr>
              <w:t xml:space="preserve">44</w:t>
            </w:r>
            <w:r>
              <w:rPr>
                <w:rFonts w:hint="eastAsia" w:ascii="宋体" w:hAnsi="宋体" w:eastAsia="宋体" w:cs="宋体"/>
                <w:color w:val="auto"/>
                <w:sz w:val="24"/>
                <w:szCs w:val="24"/>
                <w:highlight w:val="none"/>
                <w:lang w:val="en-US" w:eastAsia="zh-CN" w:bidi="ar-SA"/>
              </w:rPr>
              <w:t xml:space="preserve">0提供工信部截图证明</w:t>
            </w:r>
            <w:r/>
          </w:p>
        </w:tc>
      </w:tr>
      <w:tr>
        <w:trPr>
          <w:trHeight w:val="352"/>
        </w:trPr>
        <w:tc>
          <w:tcPr>
            <w:tcW w:w="840" w:type="dxa"/>
            <w:textDirection w:val="lrTb"/>
            <w:noWrap w:val="false"/>
          </w:tcPr>
          <w:p>
            <w:pPr>
              <w:jc w:val="center"/>
              <w:spacing w:after="0" w:line="240" w:lineRule="auto"/>
              <w:rPr>
                <w:rFonts w:hint="eastAsia"/>
                <w:highlight w:val="none"/>
                <w:lang w:val="en-US" w:eastAsia="zh-CN"/>
              </w:rPr>
            </w:pPr>
            <w:r>
              <w:rPr>
                <w:rFonts w:hint="eastAsia"/>
                <w:highlight w:val="none"/>
                <w:lang w:val="en-US" w:eastAsia="zh-CN"/>
              </w:rPr>
              <w:t xml:space="preserve">5</w:t>
            </w:r>
            <w:r/>
          </w:p>
        </w:tc>
        <w:tc>
          <w:tcPr>
            <w:tcW w:w="1474" w:type="dxa"/>
            <w:textDirection w:val="lrTb"/>
            <w:noWrap w:val="false"/>
          </w:tcPr>
          <w:p>
            <w:pPr>
              <w:ind w:firstLine="480"/>
              <w:jc w:val="left"/>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尺寸</w:t>
            </w:r>
            <w:r/>
          </w:p>
        </w:tc>
        <w:tc>
          <w:tcPr>
            <w:tcW w:w="2050" w:type="dxa"/>
            <w:textDirection w:val="lrTb"/>
            <w:noWrap w:val="false"/>
          </w:tcPr>
          <w:p>
            <w:pPr>
              <w:ind w:firstLine="480"/>
              <w:jc w:val="left"/>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轴距(mm)</w:t>
            </w:r>
            <w:r/>
          </w:p>
        </w:tc>
        <w:tc>
          <w:tcPr>
            <w:tcW w:w="4456" w:type="dxa"/>
            <w:textDirection w:val="lrTb"/>
            <w:noWrap w:val="false"/>
          </w:tcPr>
          <w:p>
            <w:pPr>
              <w:ind w:firstLine="480"/>
              <w:jc w:val="left"/>
              <w:keepLines w:val="0"/>
              <w:keepNext w:val="0"/>
              <w:pageBreakBefore w:val="0"/>
              <w:spacing w:after="0"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≥3360</w:t>
            </w:r>
            <w:r/>
          </w:p>
        </w:tc>
      </w:tr>
      <w:tr>
        <w:trPr/>
        <w:tc>
          <w:tcPr>
            <w:tcW w:w="840" w:type="dxa"/>
            <w:textDirection w:val="lrTb"/>
            <w:noWrap w:val="false"/>
          </w:tcPr>
          <w:p>
            <w:pPr>
              <w:jc w:val="center"/>
              <w:spacing w:after="0" w:line="240" w:lineRule="auto"/>
              <w:rPr>
                <w:rFonts w:hint="eastAsia"/>
                <w:highlight w:val="none"/>
                <w:lang w:val="en-US" w:eastAsia="zh-CN"/>
              </w:rPr>
            </w:pPr>
            <w:r>
              <w:rPr>
                <w:rFonts w:hint="eastAsia"/>
                <w:highlight w:val="none"/>
                <w:lang w:val="en-US" w:eastAsia="zh-CN"/>
              </w:rPr>
              <w:t xml:space="preserve">6</w:t>
            </w:r>
            <w:r/>
          </w:p>
        </w:tc>
        <w:tc>
          <w:tcPr>
            <w:tcW w:w="1474" w:type="dxa"/>
            <w:textDirection w:val="lrTb"/>
            <w:noWrap w:val="false"/>
          </w:tcPr>
          <w:p>
            <w:pPr>
              <w:ind w:firstLine="480"/>
              <w:jc w:val="left"/>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动力</w:t>
            </w:r>
            <w:r/>
          </w:p>
        </w:tc>
        <w:tc>
          <w:tcPr>
            <w:tcW w:w="2050" w:type="dxa"/>
            <w:textDirection w:val="lrTb"/>
            <w:noWrap w:val="false"/>
          </w:tcPr>
          <w:p>
            <w:pPr>
              <w:ind w:firstLine="480"/>
              <w:jc w:val="left"/>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排量（燃油）</w:t>
            </w:r>
            <w:r/>
          </w:p>
        </w:tc>
        <w:tc>
          <w:tcPr>
            <w:tcW w:w="4456" w:type="dxa"/>
            <w:textDirection w:val="lrTb"/>
            <w:noWrap w:val="false"/>
          </w:tcPr>
          <w:p>
            <w:pPr>
              <w:ind w:firstLine="480"/>
              <w:jc w:val="left"/>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≤2.5</w:t>
            </w:r>
            <w:r/>
          </w:p>
        </w:tc>
      </w:tr>
      <w:tr>
        <w:trPr/>
        <w:tc>
          <w:tcPr>
            <w:tcW w:w="840" w:type="dxa"/>
            <w:textDirection w:val="lrTb"/>
            <w:noWrap w:val="false"/>
          </w:tcPr>
          <w:p>
            <w:pPr>
              <w:jc w:val="center"/>
              <w:spacing w:after="0" w:line="240" w:lineRule="auto"/>
              <w:rPr>
                <w:rFonts w:hint="default"/>
                <w:highlight w:val="none"/>
                <w:lang w:val="en-US" w:eastAsia="zh-CN"/>
              </w:rPr>
            </w:pPr>
            <w:r>
              <w:rPr>
                <w:rFonts w:hint="eastAsia"/>
                <w:highlight w:val="none"/>
                <w:lang w:val="en-US" w:eastAsia="zh-CN"/>
              </w:rPr>
              <w:t xml:space="preserve">7</w:t>
            </w:r>
            <w:r/>
          </w:p>
        </w:tc>
        <w:tc>
          <w:tcPr>
            <w:tcW w:w="1474" w:type="dxa"/>
            <w:textDirection w:val="lrTb"/>
            <w:noWrap w:val="false"/>
          </w:tcPr>
          <w:p>
            <w:pPr>
              <w:ind w:firstLine="480"/>
              <w:jc w:val="left"/>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动力</w:t>
            </w:r>
            <w:r/>
          </w:p>
        </w:tc>
        <w:tc>
          <w:tcPr>
            <w:tcW w:w="2050" w:type="dxa"/>
            <w:textDirection w:val="lrTb"/>
            <w:noWrap w:val="false"/>
          </w:tcPr>
          <w:p>
            <w:pPr>
              <w:ind w:firstLine="480"/>
              <w:jc w:val="left"/>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最大马力</w:t>
            </w:r>
            <w:r/>
          </w:p>
        </w:tc>
        <w:tc>
          <w:tcPr>
            <w:tcW w:w="4456" w:type="dxa"/>
            <w:textDirection w:val="lrTb"/>
            <w:noWrap w:val="false"/>
          </w:tcPr>
          <w:p>
            <w:pPr>
              <w:ind w:firstLine="480"/>
              <w:jc w:val="left"/>
              <w:keepLines w:val="0"/>
              <w:keepNext w:val="0"/>
              <w:pageBreakBefore w:val="0"/>
              <w:spacing w:after="0"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≥140</w:t>
            </w:r>
            <w:r/>
          </w:p>
        </w:tc>
      </w:tr>
      <w:tr>
        <w:trPr/>
        <w:tc>
          <w:tcPr>
            <w:tcW w:w="840" w:type="dxa"/>
            <w:textDirection w:val="lrTb"/>
            <w:noWrap w:val="false"/>
          </w:tcPr>
          <w:p>
            <w:pPr>
              <w:jc w:val="center"/>
              <w:spacing w:after="0" w:line="240" w:lineRule="auto"/>
              <w:rPr>
                <w:rFonts w:hint="default"/>
                <w:highlight w:val="none"/>
                <w:lang w:val="en-US" w:eastAsia="zh-CN"/>
              </w:rPr>
            </w:pPr>
            <w:r>
              <w:rPr>
                <w:rFonts w:hint="eastAsia"/>
                <w:highlight w:val="none"/>
                <w:lang w:val="en-US" w:eastAsia="zh-CN"/>
              </w:rPr>
              <w:t xml:space="preserve">8</w:t>
            </w:r>
            <w:r/>
          </w:p>
        </w:tc>
        <w:tc>
          <w:tcPr>
            <w:tcW w:w="1474" w:type="dxa"/>
            <w:textDirection w:val="lrTb"/>
            <w:noWrap w:val="false"/>
          </w:tcPr>
          <w:p>
            <w:pPr>
              <w:jc w:val="left"/>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ascii="宋体" w:hAnsi="宋体" w:eastAsia="宋体" w:cs="宋体"/>
                <w:color w:val="000000"/>
                <w:sz w:val="28"/>
                <w:highlight w:val="none"/>
              </w:rPr>
              <w:t xml:space="preserve">▲</w:t>
            </w:r>
            <w:r>
              <w:rPr>
                <w:rFonts w:hint="eastAsia" w:ascii="宋体" w:hAnsi="宋体" w:eastAsia="宋体" w:cs="宋体"/>
                <w:color w:val="auto"/>
                <w:sz w:val="24"/>
                <w:szCs w:val="24"/>
                <w:highlight w:val="none"/>
                <w:lang w:val="en-US" w:eastAsia="zh-CN" w:bidi="ar-SA"/>
              </w:rPr>
              <w:t xml:space="preserve">动力</w:t>
            </w:r>
            <w:r/>
          </w:p>
        </w:tc>
        <w:tc>
          <w:tcPr>
            <w:tcW w:w="2050" w:type="dxa"/>
            <w:textDirection w:val="lrTb"/>
            <w:noWrap w:val="false"/>
          </w:tcPr>
          <w:p>
            <w:pPr>
              <w:ind w:firstLine="480"/>
              <w:jc w:val="left"/>
              <w:keepLines w:val="0"/>
              <w:keepNext w:val="0"/>
              <w:pageBreakBefore w:val="0"/>
              <w:spacing w:after="0"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功率</w:t>
            </w:r>
            <w:r/>
          </w:p>
        </w:tc>
        <w:tc>
          <w:tcPr>
            <w:tcW w:w="4456" w:type="dxa"/>
            <w:textDirection w:val="lrTb"/>
            <w:noWrap w:val="false"/>
          </w:tcPr>
          <w:p>
            <w:pPr>
              <w:ind w:firstLine="480"/>
              <w:jc w:val="left"/>
              <w:keepLines w:val="0"/>
              <w:keepNext w:val="0"/>
              <w:pageBreakBefore w:val="0"/>
              <w:spacing w:after="0"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≤105</w:t>
            </w:r>
            <w:r/>
          </w:p>
        </w:tc>
      </w:tr>
      <w:tr>
        <w:trPr/>
        <w:tc>
          <w:tcPr>
            <w:tcW w:w="840" w:type="dxa"/>
            <w:textDirection w:val="lrTb"/>
            <w:noWrap w:val="false"/>
          </w:tcPr>
          <w:p>
            <w:pPr>
              <w:jc w:val="center"/>
              <w:spacing w:after="0" w:line="240" w:lineRule="auto"/>
              <w:rPr>
                <w:rFonts w:hint="default"/>
                <w:highlight w:val="none"/>
                <w:lang w:val="en-US" w:eastAsia="zh-CN"/>
              </w:rPr>
            </w:pPr>
            <w:r>
              <w:rPr>
                <w:rFonts w:hint="eastAsia"/>
                <w:highlight w:val="none"/>
                <w:lang w:val="en-US" w:eastAsia="zh-CN"/>
              </w:rPr>
              <w:t xml:space="preserve">9</w:t>
            </w:r>
            <w:r/>
          </w:p>
        </w:tc>
        <w:tc>
          <w:tcPr>
            <w:tcW w:w="1474" w:type="dxa"/>
            <w:textDirection w:val="lrTb"/>
            <w:noWrap w:val="false"/>
          </w:tcPr>
          <w:p>
            <w:pPr>
              <w:ind w:firstLine="480"/>
              <w:jc w:val="left"/>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速比</w:t>
            </w:r>
            <w:r/>
          </w:p>
        </w:tc>
        <w:tc>
          <w:tcPr>
            <w:tcW w:w="2050" w:type="dxa"/>
            <w:textDirection w:val="lrTb"/>
            <w:noWrap w:val="false"/>
          </w:tcPr>
          <w:p>
            <w:pPr>
              <w:ind w:firstLine="480"/>
              <w:jc w:val="left"/>
              <w:keepLines w:val="0"/>
              <w:keepNext w:val="0"/>
              <w:pageBreakBefore w:val="0"/>
              <w:spacing w:after="0"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速比</w:t>
            </w:r>
            <w:r/>
          </w:p>
        </w:tc>
        <w:tc>
          <w:tcPr>
            <w:tcW w:w="4456" w:type="dxa"/>
            <w:textDirection w:val="lrTb"/>
            <w:noWrap w:val="false"/>
          </w:tcPr>
          <w:p>
            <w:pPr>
              <w:ind w:firstLine="480"/>
              <w:jc w:val="left"/>
              <w:keepLines w:val="0"/>
              <w:keepNext w:val="0"/>
              <w:pageBreakBefore w:val="0"/>
              <w:spacing w:after="0"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≥4.8</w:t>
            </w:r>
            <w:r/>
          </w:p>
        </w:tc>
      </w:tr>
      <w:tr>
        <w:trPr/>
        <w:tc>
          <w:tcPr>
            <w:tcW w:w="840" w:type="dxa"/>
            <w:textDirection w:val="lrTb"/>
            <w:noWrap w:val="false"/>
          </w:tcPr>
          <w:p>
            <w:pPr>
              <w:jc w:val="center"/>
              <w:spacing w:after="0" w:line="240" w:lineRule="auto"/>
              <w:rPr>
                <w:rFonts w:hint="default"/>
                <w:highlight w:val="none"/>
                <w:lang w:val="en-US" w:eastAsia="zh-CN"/>
              </w:rPr>
            </w:pPr>
            <w:r>
              <w:rPr>
                <w:rFonts w:hint="eastAsia"/>
                <w:highlight w:val="none"/>
                <w:lang w:val="en-US" w:eastAsia="zh-CN"/>
              </w:rPr>
              <w:t xml:space="preserve">10</w:t>
            </w:r>
            <w:r/>
          </w:p>
        </w:tc>
        <w:tc>
          <w:tcPr>
            <w:tcW w:w="1474" w:type="dxa"/>
            <w:textDirection w:val="lrTb"/>
            <w:noWrap w:val="false"/>
          </w:tcPr>
          <w:p>
            <w:pPr>
              <w:ind w:firstLine="480"/>
              <w:jc w:val="left"/>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油箱</w:t>
            </w:r>
            <w:r/>
          </w:p>
        </w:tc>
        <w:tc>
          <w:tcPr>
            <w:tcW w:w="2050" w:type="dxa"/>
            <w:textDirection w:val="lrTb"/>
            <w:noWrap w:val="false"/>
          </w:tcPr>
          <w:p>
            <w:pPr>
              <w:ind w:firstLine="480"/>
              <w:jc w:val="left"/>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油箱容积</w:t>
            </w:r>
            <w:r/>
          </w:p>
        </w:tc>
        <w:tc>
          <w:tcPr>
            <w:tcW w:w="4456" w:type="dxa"/>
            <w:textDirection w:val="lrTb"/>
            <w:noWrap w:val="false"/>
          </w:tcPr>
          <w:p>
            <w:pPr>
              <w:ind w:firstLine="480"/>
              <w:jc w:val="left"/>
              <w:keepLines w:val="0"/>
              <w:keepNext w:val="0"/>
              <w:pageBreakBefore w:val="0"/>
              <w:spacing w:after="0"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≥100（升）</w:t>
            </w:r>
            <w:r/>
          </w:p>
        </w:tc>
      </w:tr>
      <w:tr>
        <w:trPr/>
        <w:tc>
          <w:tcPr>
            <w:tcW w:w="840" w:type="dxa"/>
            <w:textDirection w:val="lrTb"/>
            <w:noWrap w:val="false"/>
          </w:tcPr>
          <w:p>
            <w:pPr>
              <w:jc w:val="center"/>
              <w:spacing w:after="0" w:line="240" w:lineRule="auto"/>
              <w:rPr>
                <w:rFonts w:hint="default"/>
                <w:highlight w:val="none"/>
                <w:lang w:val="en-US" w:eastAsia="zh-CN"/>
              </w:rPr>
            </w:pPr>
            <w:r>
              <w:rPr>
                <w:rFonts w:hint="eastAsia"/>
                <w:highlight w:val="none"/>
                <w:lang w:val="en-US" w:eastAsia="zh-CN"/>
              </w:rPr>
              <w:t xml:space="preserve">11</w:t>
            </w:r>
            <w:r/>
          </w:p>
        </w:tc>
        <w:tc>
          <w:tcPr>
            <w:tcW w:w="1474" w:type="dxa"/>
            <w:textDirection w:val="lrTb"/>
            <w:noWrap w:val="false"/>
          </w:tcPr>
          <w:p>
            <w:pPr>
              <w:jc w:val="left"/>
              <w:keepLines w:val="0"/>
              <w:keepNext w:val="0"/>
              <w:pageBreakBefore w:val="0"/>
              <w:spacing w:after="0" w:line="400" w:lineRule="exact"/>
              <w:widowControl w:val="off"/>
              <w:rPr>
                <w:rFonts w:hint="default" w:ascii="宋体" w:hAnsi="宋体" w:eastAsia="宋体" w:cs="宋体"/>
                <w:color w:val="auto"/>
                <w:sz w:val="24"/>
                <w:szCs w:val="24"/>
                <w:highlight w:val="none"/>
                <w:lang w:val="en-US" w:eastAsia="zh-CN" w:bidi="ar-SA"/>
              </w:rPr>
            </w:pPr>
            <w:r>
              <w:rPr>
                <w:rFonts w:ascii="宋体" w:hAnsi="宋体" w:eastAsia="宋体" w:cs="宋体"/>
                <w:color w:val="000000"/>
                <w:sz w:val="28"/>
                <w:highlight w:val="none"/>
              </w:rPr>
              <w:t xml:space="preserve">▲</w:t>
            </w:r>
            <w:r>
              <w:rPr>
                <w:rFonts w:hint="eastAsia" w:ascii="宋体" w:hAnsi="宋体" w:eastAsia="宋体" w:cs="宋体"/>
                <w:color w:val="auto"/>
                <w:sz w:val="24"/>
                <w:szCs w:val="24"/>
                <w:highlight w:val="none"/>
                <w:lang w:val="en-US" w:eastAsia="zh-CN" w:bidi="ar-SA"/>
              </w:rPr>
              <w:t xml:space="preserve">载重</w:t>
            </w:r>
            <w:r/>
          </w:p>
        </w:tc>
        <w:tc>
          <w:tcPr>
            <w:tcW w:w="2050" w:type="dxa"/>
            <w:textDirection w:val="lrTb"/>
            <w:noWrap w:val="false"/>
          </w:tcPr>
          <w:p>
            <w:pPr>
              <w:ind w:firstLine="480"/>
              <w:jc w:val="left"/>
              <w:keepLines w:val="0"/>
              <w:keepNext w:val="0"/>
              <w:pageBreakBefore w:val="0"/>
              <w:spacing w:after="0"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额定载质量</w:t>
            </w:r>
            <w:r/>
          </w:p>
        </w:tc>
        <w:tc>
          <w:tcPr>
            <w:tcW w:w="4456" w:type="dxa"/>
            <w:textDirection w:val="lrTb"/>
            <w:noWrap w:val="false"/>
          </w:tcPr>
          <w:p>
            <w:pPr>
              <w:ind w:firstLine="480"/>
              <w:jc w:val="left"/>
              <w:keepLines w:val="0"/>
              <w:keepNext w:val="0"/>
              <w:pageBreakBefore w:val="0"/>
              <w:spacing w:after="0"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≥1500(KG)</w:t>
            </w:r>
            <w:r/>
          </w:p>
        </w:tc>
      </w:tr>
      <w:tr>
        <w:trPr/>
        <w:tc>
          <w:tcPr>
            <w:tcW w:w="840" w:type="dxa"/>
            <w:textDirection w:val="lrTb"/>
            <w:noWrap w:val="false"/>
          </w:tcPr>
          <w:p>
            <w:pPr>
              <w:jc w:val="center"/>
              <w:spacing w:after="0" w:line="240" w:lineRule="auto"/>
              <w:rPr>
                <w:rFonts w:hint="default"/>
                <w:highlight w:val="none"/>
                <w:lang w:val="en-US" w:eastAsia="zh-CN"/>
              </w:rPr>
            </w:pPr>
            <w:r>
              <w:rPr>
                <w:rFonts w:hint="eastAsia"/>
                <w:highlight w:val="none"/>
                <w:lang w:val="en-US" w:eastAsia="zh-CN"/>
              </w:rPr>
              <w:t xml:space="preserve">12</w:t>
            </w:r>
            <w:r/>
          </w:p>
        </w:tc>
        <w:tc>
          <w:tcPr>
            <w:tcW w:w="1474" w:type="dxa"/>
            <w:textDirection w:val="lrTb"/>
            <w:noWrap w:val="false"/>
          </w:tcPr>
          <w:p>
            <w:pPr>
              <w:jc w:val="left"/>
              <w:keepLines w:val="0"/>
              <w:keepNext w:val="0"/>
              <w:pageBreakBefore w:val="0"/>
              <w:spacing w:after="0" w:line="400" w:lineRule="exact"/>
              <w:widowControl w:val="off"/>
              <w:rPr>
                <w:rFonts w:hint="default" w:ascii="宋体" w:hAnsi="宋体" w:eastAsia="宋体" w:cs="宋体"/>
                <w:color w:val="auto"/>
                <w:sz w:val="24"/>
                <w:szCs w:val="24"/>
                <w:highlight w:val="none"/>
                <w:lang w:val="en-US" w:eastAsia="zh-CN" w:bidi="ar-SA"/>
              </w:rPr>
            </w:pPr>
            <w:r>
              <w:rPr>
                <w:rFonts w:ascii="宋体" w:hAnsi="宋体" w:eastAsia="宋体" w:cs="宋体"/>
                <w:color w:val="000000"/>
                <w:sz w:val="28"/>
                <w:highlight w:val="none"/>
              </w:rPr>
              <w:t xml:space="preserve">▲</w:t>
            </w:r>
            <w:r>
              <w:rPr>
                <w:rFonts w:hint="eastAsia" w:ascii="宋体" w:hAnsi="宋体" w:eastAsia="宋体" w:cs="宋体"/>
                <w:color w:val="auto"/>
                <w:sz w:val="24"/>
                <w:szCs w:val="24"/>
                <w:highlight w:val="none"/>
                <w:lang w:val="en-US" w:eastAsia="zh-CN" w:bidi="ar-SA"/>
              </w:rPr>
              <w:t xml:space="preserve">载重</w:t>
            </w:r>
            <w:r/>
          </w:p>
        </w:tc>
        <w:tc>
          <w:tcPr>
            <w:tcW w:w="2050" w:type="dxa"/>
            <w:textDirection w:val="lrTb"/>
            <w:noWrap w:val="false"/>
          </w:tcPr>
          <w:p>
            <w:pPr>
              <w:ind w:firstLine="480"/>
              <w:jc w:val="left"/>
              <w:keepLines w:val="0"/>
              <w:keepNext w:val="0"/>
              <w:pageBreakBefore w:val="0"/>
              <w:spacing w:after="0"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总质量</w:t>
            </w:r>
            <w:r/>
          </w:p>
        </w:tc>
        <w:tc>
          <w:tcPr>
            <w:tcW w:w="4456" w:type="dxa"/>
            <w:textDirection w:val="lrTb"/>
            <w:noWrap w:val="false"/>
          </w:tcPr>
          <w:p>
            <w:pPr>
              <w:ind w:firstLine="480"/>
              <w:jc w:val="left"/>
              <w:keepLines w:val="0"/>
              <w:keepNext w:val="0"/>
              <w:pageBreakBefore w:val="0"/>
              <w:spacing w:after="0"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≥4495（kg）</w:t>
            </w:r>
            <w:r/>
          </w:p>
        </w:tc>
      </w:tr>
      <w:tr>
        <w:trPr/>
        <w:tc>
          <w:tcPr>
            <w:tcW w:w="840" w:type="dxa"/>
            <w:textDirection w:val="lrTb"/>
            <w:noWrap w:val="false"/>
          </w:tcPr>
          <w:p>
            <w:pPr>
              <w:jc w:val="center"/>
              <w:spacing w:after="0" w:line="240" w:lineRule="auto"/>
              <w:rPr>
                <w:rFonts w:hint="default"/>
                <w:highlight w:val="none"/>
                <w:lang w:val="en-US" w:eastAsia="zh-CN"/>
              </w:rPr>
            </w:pPr>
            <w:r>
              <w:rPr>
                <w:rFonts w:hint="eastAsia"/>
                <w:highlight w:val="none"/>
                <w:lang w:val="en-US" w:eastAsia="zh-CN"/>
              </w:rPr>
              <w:t xml:space="preserve">13</w:t>
            </w:r>
            <w:r/>
          </w:p>
        </w:tc>
        <w:tc>
          <w:tcPr>
            <w:tcW w:w="1474" w:type="dxa"/>
            <w:textDirection w:val="lrTb"/>
            <w:noWrap w:val="false"/>
          </w:tcPr>
          <w:p>
            <w:pPr>
              <w:ind w:firstLine="480"/>
              <w:jc w:val="left"/>
              <w:keepLines w:val="0"/>
              <w:keepNext w:val="0"/>
              <w:pageBreakBefore w:val="0"/>
              <w:spacing w:after="0"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安全</w:t>
            </w:r>
            <w:r/>
          </w:p>
        </w:tc>
        <w:tc>
          <w:tcPr>
            <w:tcW w:w="2050" w:type="dxa"/>
            <w:textDirection w:val="lrTb"/>
            <w:noWrap w:val="false"/>
          </w:tcPr>
          <w:p>
            <w:pPr>
              <w:ind w:firstLine="480"/>
              <w:jc w:val="left"/>
              <w:keepLines w:val="0"/>
              <w:keepNext w:val="0"/>
              <w:pageBreakBefore w:val="0"/>
              <w:spacing w:after="0"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安全</w:t>
            </w:r>
            <w:r/>
          </w:p>
        </w:tc>
        <w:tc>
          <w:tcPr>
            <w:tcW w:w="4456" w:type="dxa"/>
            <w:textDirection w:val="lrTb"/>
            <w:noWrap w:val="false"/>
          </w:tcPr>
          <w:p>
            <w:pPr>
              <w:ind w:firstLine="480"/>
              <w:jc w:val="left"/>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ABS+EBD</w:t>
            </w:r>
            <w:r/>
          </w:p>
        </w:tc>
      </w:tr>
      <w:tr>
        <w:trPr>
          <w:trHeight w:val="490"/>
        </w:trPr>
        <w:tc>
          <w:tcPr>
            <w:tcW w:w="840" w:type="dxa"/>
            <w:textDirection w:val="lrTb"/>
            <w:noWrap w:val="false"/>
          </w:tcPr>
          <w:p>
            <w:pPr>
              <w:jc w:val="center"/>
              <w:spacing w:after="0" w:line="240" w:lineRule="auto"/>
              <w:rPr>
                <w:rFonts w:hint="default"/>
                <w:highlight w:val="none"/>
                <w:lang w:val="en-US" w:eastAsia="zh-CN"/>
              </w:rPr>
            </w:pPr>
            <w:r>
              <w:rPr>
                <w:rFonts w:hint="eastAsia"/>
                <w:highlight w:val="none"/>
                <w:lang w:val="en-US" w:eastAsia="zh-CN"/>
              </w:rPr>
              <w:t xml:space="preserve">14</w:t>
            </w:r>
            <w:r/>
          </w:p>
        </w:tc>
        <w:tc>
          <w:tcPr>
            <w:tcW w:w="1474" w:type="dxa"/>
            <w:textDirection w:val="lrTb"/>
            <w:noWrap w:val="false"/>
          </w:tcPr>
          <w:p>
            <w:pPr>
              <w:jc w:val="both"/>
              <w:keepLines w:val="0"/>
              <w:keepNext w:val="0"/>
              <w:pageBreakBefore w:val="0"/>
              <w:spacing w:after="0" w:line="400" w:lineRule="exact"/>
              <w:widowControl w:val="off"/>
              <w:rPr>
                <w:rFonts w:hint="default" w:ascii="宋体" w:hAnsi="宋体" w:eastAsia="宋体" w:cs="宋体"/>
                <w:color w:val="auto"/>
                <w:sz w:val="24"/>
                <w:szCs w:val="24"/>
                <w:highlight w:val="none"/>
                <w:lang w:val="en-US" w:eastAsia="zh-CN" w:bidi="ar-SA"/>
              </w:rPr>
            </w:pPr>
            <w:r>
              <w:rPr>
                <w:rFonts w:ascii="宋体" w:hAnsi="宋体" w:eastAsia="宋体" w:cs="宋体"/>
                <w:color w:val="000000"/>
                <w:sz w:val="28"/>
                <w:highlight w:val="none"/>
              </w:rPr>
              <w:t xml:space="preserve">▲</w:t>
            </w:r>
            <w:r>
              <w:rPr>
                <w:rFonts w:hint="eastAsia" w:ascii="宋体" w:hAnsi="宋体" w:eastAsia="宋体" w:cs="宋体"/>
                <w:color w:val="auto"/>
                <w:sz w:val="24"/>
                <w:szCs w:val="24"/>
                <w:highlight w:val="none"/>
                <w:lang w:val="en-US" w:eastAsia="zh-CN" w:bidi="ar-SA"/>
              </w:rPr>
              <w:t xml:space="preserve">辅助驾驶</w:t>
            </w:r>
            <w:r/>
          </w:p>
        </w:tc>
        <w:tc>
          <w:tcPr>
            <w:tcW w:w="2050" w:type="dxa"/>
            <w:textDirection w:val="lrTb"/>
            <w:noWrap w:val="false"/>
          </w:tcPr>
          <w:p>
            <w:pPr>
              <w:ind w:firstLine="480"/>
              <w:jc w:val="left"/>
              <w:keepLines w:val="0"/>
              <w:keepNext w:val="0"/>
              <w:pageBreakBefore w:val="0"/>
              <w:spacing w:after="0"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功能</w:t>
            </w:r>
            <w:r/>
          </w:p>
        </w:tc>
        <w:tc>
          <w:tcPr>
            <w:tcW w:w="4456" w:type="dxa"/>
            <w:textDirection w:val="lrTb"/>
            <w:noWrap w:val="false"/>
          </w:tcPr>
          <w:p>
            <w:pPr>
              <w:ind w:firstLine="480"/>
              <w:jc w:val="left"/>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倒车雷达、倒车影像、定速巡航、防超速提示</w:t>
            </w:r>
            <w:r/>
          </w:p>
          <w:p>
            <w:pPr>
              <w:ind w:firstLine="480"/>
              <w:jc w:val="left"/>
              <w:keepLines w:val="0"/>
              <w:keepNext w:val="0"/>
              <w:pageBreakBefore w:val="0"/>
              <w:spacing w:after="0"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远程解锁、远程寻车、E.S.P模式、疲劳报警、4G网络</w:t>
            </w:r>
            <w:r/>
          </w:p>
        </w:tc>
      </w:tr>
      <w:tr>
        <w:trPr>
          <w:trHeight w:val="402"/>
        </w:trPr>
        <w:tc>
          <w:tcPr>
            <w:tcW w:w="840" w:type="dxa"/>
            <w:textDirection w:val="lrTb"/>
            <w:noWrap w:val="false"/>
          </w:tcPr>
          <w:p>
            <w:pPr>
              <w:jc w:val="center"/>
              <w:spacing w:after="0" w:line="240" w:lineRule="auto"/>
              <w:rPr>
                <w:rFonts w:hint="default"/>
                <w:highlight w:val="none"/>
                <w:lang w:val="en-US" w:eastAsia="zh-CN"/>
              </w:rPr>
            </w:pPr>
            <w:r>
              <w:rPr>
                <w:rFonts w:hint="eastAsia"/>
                <w:highlight w:val="none"/>
                <w:lang w:val="en-US" w:eastAsia="zh-CN"/>
              </w:rPr>
              <w:t xml:space="preserve">15</w:t>
            </w:r>
            <w:r/>
          </w:p>
        </w:tc>
        <w:tc>
          <w:tcPr>
            <w:tcW w:w="1474" w:type="dxa"/>
            <w:textDirection w:val="lrTb"/>
            <w:noWrap w:val="false"/>
          </w:tcPr>
          <w:p>
            <w:pPr>
              <w:jc w:val="left"/>
              <w:keepLines w:val="0"/>
              <w:keepNext w:val="0"/>
              <w:pageBreakBefore w:val="0"/>
              <w:spacing w:after="0"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舒适配置</w:t>
            </w:r>
            <w:r/>
          </w:p>
        </w:tc>
        <w:tc>
          <w:tcPr>
            <w:tcW w:w="2050" w:type="dxa"/>
            <w:textDirection w:val="lrTb"/>
            <w:noWrap w:val="false"/>
          </w:tcPr>
          <w:p>
            <w:pPr>
              <w:ind w:firstLine="480"/>
              <w:jc w:val="left"/>
              <w:keepLines w:val="0"/>
              <w:keepNext w:val="0"/>
              <w:pageBreakBefore w:val="0"/>
              <w:spacing w:after="0"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功能</w:t>
            </w:r>
            <w:r/>
          </w:p>
        </w:tc>
        <w:tc>
          <w:tcPr>
            <w:tcW w:w="4456" w:type="dxa"/>
            <w:textDirection w:val="lrTb"/>
            <w:noWrap w:val="false"/>
          </w:tcPr>
          <w:p>
            <w:pPr>
              <w:ind w:firstLine="480"/>
              <w:jc w:val="left"/>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转向助力、离合助力</w:t>
            </w:r>
            <w:r/>
          </w:p>
          <w:p>
            <w:pPr>
              <w:ind w:firstLine="480"/>
              <w:jc w:val="left"/>
              <w:keepLines w:val="0"/>
              <w:keepNext w:val="0"/>
              <w:pageBreakBefore w:val="0"/>
              <w:spacing w:after="0"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≥10英寸屏幕、后视镜电加热</w:t>
            </w:r>
            <w:r/>
          </w:p>
        </w:tc>
      </w:tr>
    </w:tbl>
    <w:p>
      <w:pPr>
        <w:pStyle w:val="827"/>
        <w:numPr>
          <w:ilvl w:val="0"/>
          <w:numId w:val="4"/>
        </w:numPr>
        <w:ind w:left="0" w:firstLine="0"/>
        <w:spacing w:line="3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新能源货车（5辆）</w:t>
      </w:r>
      <w:r/>
    </w:p>
    <w:tbl>
      <w:tblPr>
        <w:tblStyle w:val="823"/>
        <w:tblW w:w="9775" w:type="dxa"/>
        <w:tblInd w:w="-2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1600"/>
        <w:gridCol w:w="2300"/>
        <w:gridCol w:w="5175"/>
      </w:tblGrid>
      <w:tr>
        <w:trPr/>
        <w:tc>
          <w:tcPr>
            <w:tcW w:w="700" w:type="dxa"/>
            <w:textDirection w:val="lrTb"/>
            <w:noWrap w:val="false"/>
          </w:tcPr>
          <w:p>
            <w:pPr>
              <w:jc w:val="both"/>
              <w:keepLines w:val="0"/>
              <w:keepNext w:val="0"/>
              <w:pageBreakBefore w:val="0"/>
              <w:spacing w:after="0"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序号</w:t>
            </w:r>
            <w:r/>
          </w:p>
        </w:tc>
        <w:tc>
          <w:tcPr>
            <w:tcW w:w="1600" w:type="dxa"/>
            <w:textDirection w:val="lrTb"/>
            <w:noWrap w:val="false"/>
          </w:tcPr>
          <w:p>
            <w:pPr>
              <w:ind w:firstLine="240"/>
              <w:jc w:val="center"/>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类别</w:t>
            </w:r>
            <w:r/>
          </w:p>
        </w:tc>
        <w:tc>
          <w:tcPr>
            <w:tcW w:w="2300" w:type="dxa"/>
            <w:textDirection w:val="lrTb"/>
            <w:noWrap w:val="false"/>
          </w:tcPr>
          <w:p>
            <w:pPr>
              <w:jc w:val="left"/>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技术参数项</w:t>
            </w:r>
            <w:r/>
          </w:p>
        </w:tc>
        <w:tc>
          <w:tcPr>
            <w:tcW w:w="5175" w:type="dxa"/>
            <w:textDirection w:val="lrTb"/>
            <w:noWrap w:val="false"/>
          </w:tcPr>
          <w:p>
            <w:pPr>
              <w:ind w:firstLine="480"/>
              <w:jc w:val="left"/>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技术指标要求</w:t>
            </w:r>
            <w:r/>
          </w:p>
        </w:tc>
      </w:tr>
      <w:tr>
        <w:trPr>
          <w:trHeight w:val="327"/>
        </w:trPr>
        <w:tc>
          <w:tcPr>
            <w:tcW w:w="700" w:type="dxa"/>
            <w:vAlign w:val="center"/>
            <w:textDirection w:val="lrTb"/>
            <w:noWrap w:val="false"/>
          </w:tcPr>
          <w:p>
            <w:pPr>
              <w:jc w:val="center"/>
              <w:spacing w:after="0" w:line="240" w:lineRule="auto"/>
              <w:rPr>
                <w:rFonts w:hint="default"/>
                <w:highlight w:val="none"/>
                <w:lang w:val="en-US" w:eastAsia="zh-CN"/>
              </w:rPr>
            </w:pPr>
            <w:r>
              <w:rPr>
                <w:rFonts w:hint="eastAsia"/>
                <w:highlight w:val="none"/>
                <w:lang w:val="en-US" w:eastAsia="zh-CN"/>
              </w:rPr>
              <w:t xml:space="preserve">1</w:t>
            </w:r>
            <w:r/>
          </w:p>
        </w:tc>
        <w:tc>
          <w:tcPr>
            <w:tcW w:w="1600" w:type="dxa"/>
            <w:textDirection w:val="lrTb"/>
            <w:noWrap w:val="false"/>
          </w:tcPr>
          <w:p>
            <w:pPr>
              <w:ind w:firstLine="240"/>
              <w:jc w:val="center"/>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基本</w:t>
            </w:r>
            <w:r/>
          </w:p>
        </w:tc>
        <w:tc>
          <w:tcPr>
            <w:tcW w:w="2300" w:type="dxa"/>
            <w:textDirection w:val="lrTb"/>
            <w:noWrap w:val="false"/>
          </w:tcPr>
          <w:p>
            <w:pPr>
              <w:jc w:val="left"/>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车辆类型</w:t>
            </w:r>
            <w:r/>
          </w:p>
        </w:tc>
        <w:tc>
          <w:tcPr>
            <w:tcW w:w="5175" w:type="dxa"/>
            <w:textDirection w:val="lrTb"/>
            <w:noWrap w:val="false"/>
          </w:tcPr>
          <w:p>
            <w:pPr>
              <w:ind w:firstLine="480"/>
              <w:jc w:val="left"/>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4门5座新能源</w:t>
            </w:r>
            <w:r>
              <w:rPr>
                <w:rFonts w:hint="eastAsia" w:ascii="宋体" w:hAnsi="宋体" w:cs="宋体"/>
                <w:color w:val="auto"/>
                <w:sz w:val="24"/>
                <w:szCs w:val="24"/>
                <w:highlight w:val="none"/>
                <w:lang w:val="en-US" w:eastAsia="zh-CN" w:bidi="ar-SA"/>
              </w:rPr>
              <w:t xml:space="preserve">货车</w:t>
            </w:r>
            <w:r/>
          </w:p>
        </w:tc>
      </w:tr>
      <w:tr>
        <w:trPr>
          <w:trHeight w:val="414"/>
        </w:trPr>
        <w:tc>
          <w:tcPr>
            <w:tcW w:w="700" w:type="dxa"/>
            <w:vAlign w:val="center"/>
            <w:textDirection w:val="lrTb"/>
            <w:noWrap w:val="false"/>
          </w:tcPr>
          <w:p>
            <w:pPr>
              <w:jc w:val="center"/>
              <w:spacing w:after="0" w:line="240" w:lineRule="auto"/>
              <w:rPr>
                <w:rFonts w:hint="default"/>
                <w:highlight w:val="none"/>
                <w:lang w:val="en-US" w:eastAsia="zh-CN"/>
              </w:rPr>
            </w:pPr>
            <w:r>
              <w:rPr>
                <w:rFonts w:hint="eastAsia"/>
                <w:highlight w:val="none"/>
                <w:lang w:val="en-US" w:eastAsia="zh-CN"/>
              </w:rPr>
              <w:t xml:space="preserve">2</w:t>
            </w:r>
            <w:r/>
          </w:p>
        </w:tc>
        <w:tc>
          <w:tcPr>
            <w:tcW w:w="1600" w:type="dxa"/>
            <w:textDirection w:val="lrTb"/>
            <w:noWrap w:val="false"/>
          </w:tcPr>
          <w:p>
            <w:pPr>
              <w:ind w:firstLine="240"/>
              <w:jc w:val="center"/>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基本</w:t>
            </w:r>
            <w:r/>
          </w:p>
        </w:tc>
        <w:tc>
          <w:tcPr>
            <w:tcW w:w="2300" w:type="dxa"/>
            <w:textDirection w:val="lrTb"/>
            <w:noWrap w:val="false"/>
          </w:tcPr>
          <w:p>
            <w:pPr>
              <w:jc w:val="left"/>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车身颜色</w:t>
            </w:r>
            <w:r/>
          </w:p>
        </w:tc>
        <w:tc>
          <w:tcPr>
            <w:tcW w:w="5175" w:type="dxa"/>
            <w:textDirection w:val="lrTb"/>
            <w:noWrap w:val="false"/>
          </w:tcPr>
          <w:p>
            <w:pPr>
              <w:ind w:firstLine="480"/>
              <w:jc w:val="left"/>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工程黄</w:t>
            </w:r>
            <w:r/>
          </w:p>
        </w:tc>
      </w:tr>
      <w:tr>
        <w:trPr/>
        <w:tc>
          <w:tcPr>
            <w:tcW w:w="700" w:type="dxa"/>
            <w:vAlign w:val="center"/>
            <w:textDirection w:val="lrTb"/>
            <w:noWrap w:val="false"/>
          </w:tcPr>
          <w:p>
            <w:pPr>
              <w:jc w:val="center"/>
              <w:spacing w:after="0" w:line="240" w:lineRule="auto"/>
              <w:rPr>
                <w:rFonts w:hint="default"/>
                <w:highlight w:val="none"/>
                <w:lang w:val="en-US" w:eastAsia="zh-CN"/>
              </w:rPr>
            </w:pPr>
            <w:r>
              <w:rPr>
                <w:rFonts w:hint="eastAsia"/>
                <w:highlight w:val="none"/>
                <w:lang w:val="en-US" w:eastAsia="zh-CN"/>
              </w:rPr>
              <w:t xml:space="preserve">3</w:t>
            </w:r>
            <w:r/>
          </w:p>
        </w:tc>
        <w:tc>
          <w:tcPr>
            <w:tcW w:w="1600" w:type="dxa"/>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1"/>
                <w:szCs w:val="21"/>
                <w:highlight w:val="none"/>
                <w:lang w:val="en-US" w:eastAsia="zh-CN"/>
              </w:rPr>
              <w:t xml:space="preserve">▲</w:t>
            </w:r>
            <w:r>
              <w:rPr>
                <w:rFonts w:hint="eastAsia" w:ascii="宋体" w:hAnsi="宋体" w:eastAsia="宋体" w:cs="宋体"/>
                <w:color w:val="auto"/>
                <w:sz w:val="24"/>
                <w:szCs w:val="24"/>
                <w:highlight w:val="none"/>
                <w:lang w:val="en-US" w:eastAsia="zh-CN" w:bidi="ar-SA"/>
              </w:rPr>
              <w:t xml:space="preserve">外廓尺寸</w:t>
            </w:r>
            <w:r/>
          </w:p>
        </w:tc>
        <w:tc>
          <w:tcPr>
            <w:tcW w:w="2300" w:type="dxa"/>
            <w:textDirection w:val="lrTb"/>
            <w:noWrap w:val="false"/>
          </w:tcPr>
          <w:p>
            <w:pPr>
              <w:jc w:val="left"/>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长×宽×高(mm)</w:t>
            </w:r>
            <w:r/>
          </w:p>
        </w:tc>
        <w:tc>
          <w:tcPr>
            <w:tcW w:w="5175" w:type="dxa"/>
            <w:textDirection w:val="lrTb"/>
            <w:noWrap w:val="false"/>
          </w:tcPr>
          <w:p>
            <w:pPr>
              <w:jc w:val="left"/>
              <w:keepLines w:val="0"/>
              <w:keepNext w:val="0"/>
              <w:pageBreakBefore w:val="0"/>
              <w:spacing w:after="0"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≤5400 ≥1900 ≥1800提供工信部截图证明</w:t>
            </w:r>
            <w:r/>
          </w:p>
        </w:tc>
      </w:tr>
      <w:tr>
        <w:trPr/>
        <w:tc>
          <w:tcPr>
            <w:tcW w:w="700" w:type="dxa"/>
            <w:vAlign w:val="center"/>
            <w:textDirection w:val="lrTb"/>
            <w:noWrap w:val="false"/>
          </w:tcPr>
          <w:p>
            <w:pPr>
              <w:jc w:val="center"/>
              <w:spacing w:after="0" w:line="240" w:lineRule="auto"/>
              <w:rPr>
                <w:rFonts w:hint="default"/>
                <w:highlight w:val="none"/>
                <w:lang w:val="en-US" w:eastAsia="zh-CN"/>
              </w:rPr>
            </w:pPr>
            <w:r>
              <w:rPr>
                <w:rFonts w:hint="eastAsia"/>
                <w:highlight w:val="none"/>
                <w:lang w:val="en-US" w:eastAsia="zh-CN"/>
              </w:rPr>
              <w:t xml:space="preserve">4</w:t>
            </w:r>
            <w:r/>
          </w:p>
        </w:tc>
        <w:tc>
          <w:tcPr>
            <w:tcW w:w="1600" w:type="dxa"/>
            <w:textDirection w:val="lrTb"/>
            <w:noWrap w:val="false"/>
          </w:tcPr>
          <w:p>
            <w:pPr>
              <w:jc w:val="center"/>
              <w:keepLines w:val="0"/>
              <w:keepNext w:val="0"/>
              <w:pageBreakBefore w:val="0"/>
              <w:spacing w:after="0"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sz w:val="21"/>
                <w:szCs w:val="21"/>
                <w:highlight w:val="none"/>
                <w:lang w:val="en-US" w:eastAsia="zh-CN"/>
              </w:rPr>
              <w:t xml:space="preserve">▲</w:t>
            </w:r>
            <w:r>
              <w:rPr>
                <w:rFonts w:hint="eastAsia" w:ascii="宋体" w:hAnsi="宋体" w:eastAsia="宋体" w:cs="宋体"/>
                <w:color w:val="auto"/>
                <w:sz w:val="24"/>
                <w:szCs w:val="24"/>
                <w:highlight w:val="none"/>
                <w:lang w:val="en-US" w:eastAsia="zh-CN" w:bidi="ar-SA"/>
              </w:rPr>
              <w:t xml:space="preserve">货箱尺寸</w:t>
            </w:r>
            <w:r/>
          </w:p>
        </w:tc>
        <w:tc>
          <w:tcPr>
            <w:tcW w:w="2300" w:type="dxa"/>
            <w:textDirection w:val="lrTb"/>
            <w:noWrap w:val="false"/>
          </w:tcPr>
          <w:p>
            <w:pPr>
              <w:jc w:val="left"/>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长×宽×高(mm)</w:t>
            </w:r>
            <w:r/>
          </w:p>
        </w:tc>
        <w:tc>
          <w:tcPr>
            <w:tcW w:w="5175" w:type="dxa"/>
            <w:textDirection w:val="lrTb"/>
            <w:noWrap w:val="false"/>
          </w:tcPr>
          <w:p>
            <w:pPr>
              <w:jc w:val="left"/>
              <w:keepLines w:val="0"/>
              <w:keepNext w:val="0"/>
              <w:pageBreakBefore w:val="0"/>
              <w:spacing w:after="0"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≥1600 ≥1500 ≥500提供工信部截图证明</w:t>
            </w:r>
            <w:r/>
          </w:p>
        </w:tc>
      </w:tr>
      <w:tr>
        <w:trPr/>
        <w:tc>
          <w:tcPr>
            <w:tcW w:w="700" w:type="dxa"/>
            <w:vAlign w:val="center"/>
            <w:textDirection w:val="lrTb"/>
            <w:noWrap w:val="false"/>
          </w:tcPr>
          <w:p>
            <w:pPr>
              <w:jc w:val="center"/>
              <w:spacing w:after="0" w:line="240" w:lineRule="auto"/>
              <w:rPr>
                <w:rFonts w:hint="default"/>
                <w:highlight w:val="none"/>
                <w:lang w:val="en-US" w:eastAsia="zh-CN"/>
              </w:rPr>
            </w:pPr>
            <w:r>
              <w:rPr>
                <w:rFonts w:hint="eastAsia"/>
                <w:highlight w:val="none"/>
                <w:lang w:val="en-US" w:eastAsia="zh-CN"/>
              </w:rPr>
              <w:t xml:space="preserve">5</w:t>
            </w:r>
            <w:r/>
          </w:p>
        </w:tc>
        <w:tc>
          <w:tcPr>
            <w:tcW w:w="1600" w:type="dxa"/>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尺寸</w:t>
            </w:r>
            <w:r/>
          </w:p>
        </w:tc>
        <w:tc>
          <w:tcPr>
            <w:tcW w:w="2300" w:type="dxa"/>
            <w:textDirection w:val="lrTb"/>
            <w:noWrap w:val="false"/>
          </w:tcPr>
          <w:p>
            <w:pPr>
              <w:jc w:val="left"/>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轴距(mm)</w:t>
            </w:r>
            <w:r/>
          </w:p>
        </w:tc>
        <w:tc>
          <w:tcPr>
            <w:tcW w:w="5175" w:type="dxa"/>
            <w:textDirection w:val="lrTb"/>
            <w:noWrap w:val="false"/>
          </w:tcPr>
          <w:p>
            <w:pPr>
              <w:jc w:val="left"/>
              <w:keepLines w:val="0"/>
              <w:keepNext w:val="0"/>
              <w:pageBreakBefore w:val="0"/>
              <w:spacing w:after="0"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≥3100</w:t>
            </w:r>
            <w:r/>
          </w:p>
        </w:tc>
      </w:tr>
      <w:tr>
        <w:trPr/>
        <w:tc>
          <w:tcPr>
            <w:tcW w:w="700" w:type="dxa"/>
            <w:vAlign w:val="center"/>
            <w:textDirection w:val="lrTb"/>
            <w:noWrap w:val="false"/>
          </w:tcPr>
          <w:p>
            <w:pPr>
              <w:jc w:val="center"/>
              <w:spacing w:after="0" w:line="240" w:lineRule="auto"/>
              <w:rPr>
                <w:rFonts w:hint="default"/>
                <w:highlight w:val="none"/>
                <w:lang w:val="en-US" w:eastAsia="zh-CN"/>
              </w:rPr>
            </w:pPr>
            <w:r>
              <w:rPr>
                <w:rFonts w:hint="eastAsia"/>
                <w:highlight w:val="none"/>
                <w:lang w:val="en-US" w:eastAsia="zh-CN"/>
              </w:rPr>
              <w:t xml:space="preserve">6</w:t>
            </w:r>
            <w:r/>
          </w:p>
        </w:tc>
        <w:tc>
          <w:tcPr>
            <w:tcW w:w="1600" w:type="dxa"/>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1"/>
                <w:szCs w:val="21"/>
                <w:highlight w:val="none"/>
                <w:lang w:val="en-US" w:eastAsia="zh-CN"/>
              </w:rPr>
              <w:t xml:space="preserve">▲</w:t>
            </w:r>
            <w:r>
              <w:rPr>
                <w:rFonts w:hint="eastAsia" w:ascii="宋体" w:hAnsi="宋体" w:eastAsia="宋体" w:cs="宋体"/>
                <w:color w:val="auto"/>
                <w:sz w:val="24"/>
                <w:szCs w:val="24"/>
                <w:highlight w:val="none"/>
                <w:lang w:val="en-US" w:eastAsia="zh-CN" w:bidi="ar-SA"/>
              </w:rPr>
              <w:t xml:space="preserve">动力</w:t>
            </w:r>
            <w:r/>
          </w:p>
        </w:tc>
        <w:tc>
          <w:tcPr>
            <w:tcW w:w="2300" w:type="dxa"/>
            <w:textDirection w:val="lrTb"/>
            <w:noWrap w:val="false"/>
          </w:tcPr>
          <w:p>
            <w:pPr>
              <w:jc w:val="left"/>
              <w:keepLines w:val="0"/>
              <w:keepNext w:val="0"/>
              <w:pageBreakBefore w:val="0"/>
              <w:spacing w:after="0"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动力形式</w:t>
            </w:r>
            <w:r/>
          </w:p>
        </w:tc>
        <w:tc>
          <w:tcPr>
            <w:tcW w:w="5175" w:type="dxa"/>
            <w:textDirection w:val="lrTb"/>
            <w:noWrap w:val="false"/>
          </w:tcPr>
          <w:p>
            <w:pPr>
              <w:jc w:val="left"/>
              <w:keepLines w:val="0"/>
              <w:keepNext w:val="0"/>
              <w:pageBreakBefore w:val="0"/>
              <w:spacing w:after="0"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增程  提供工信部截图证明</w:t>
            </w:r>
            <w:r/>
          </w:p>
        </w:tc>
      </w:tr>
      <w:tr>
        <w:trPr>
          <w:trHeight w:val="477"/>
        </w:trPr>
        <w:tc>
          <w:tcPr>
            <w:tcW w:w="700" w:type="dxa"/>
            <w:vAlign w:val="center"/>
            <w:textDirection w:val="lrTb"/>
            <w:noWrap w:val="false"/>
          </w:tcPr>
          <w:p>
            <w:pPr>
              <w:jc w:val="center"/>
              <w:spacing w:after="0" w:line="240" w:lineRule="auto"/>
              <w:rPr>
                <w:rFonts w:hint="default"/>
                <w:highlight w:val="none"/>
                <w:lang w:val="en-US" w:eastAsia="zh-CN"/>
              </w:rPr>
            </w:pPr>
            <w:r>
              <w:rPr>
                <w:rFonts w:hint="eastAsia"/>
                <w:highlight w:val="none"/>
                <w:lang w:val="en-US" w:eastAsia="zh-CN"/>
              </w:rPr>
              <w:t xml:space="preserve">7</w:t>
            </w:r>
            <w:r/>
          </w:p>
        </w:tc>
        <w:tc>
          <w:tcPr>
            <w:tcW w:w="1600" w:type="dxa"/>
            <w:textDirection w:val="lrTb"/>
            <w:noWrap w:val="false"/>
          </w:tcPr>
          <w:p>
            <w:pPr>
              <w:jc w:val="center"/>
              <w:keepLines w:val="0"/>
              <w:keepNext w:val="0"/>
              <w:pageBreakBefore w:val="0"/>
              <w:spacing w:after="0"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动力</w:t>
            </w:r>
            <w:r/>
          </w:p>
        </w:tc>
        <w:tc>
          <w:tcPr>
            <w:tcW w:w="2300" w:type="dxa"/>
            <w:textDirection w:val="lrTb"/>
            <w:noWrap w:val="false"/>
          </w:tcPr>
          <w:p>
            <w:pPr>
              <w:jc w:val="center"/>
              <w:keepLines w:val="0"/>
              <w:keepNext w:val="0"/>
              <w:pageBreakBefore w:val="0"/>
              <w:spacing w:after="0"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排量（燃油）</w:t>
            </w:r>
            <w:r/>
          </w:p>
        </w:tc>
        <w:tc>
          <w:tcPr>
            <w:tcW w:w="5175" w:type="dxa"/>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≤2.0T</w:t>
            </w:r>
            <w:r/>
          </w:p>
        </w:tc>
      </w:tr>
      <w:tr>
        <w:trPr/>
        <w:tc>
          <w:tcPr>
            <w:tcW w:w="700" w:type="dxa"/>
            <w:vAlign w:val="center"/>
            <w:textDirection w:val="lrTb"/>
            <w:noWrap w:val="false"/>
          </w:tcPr>
          <w:p>
            <w:pPr>
              <w:jc w:val="center"/>
              <w:spacing w:after="0" w:line="240" w:lineRule="auto"/>
              <w:rPr>
                <w:rFonts w:hint="default"/>
                <w:highlight w:val="none"/>
                <w:lang w:val="en-US" w:eastAsia="zh-CN"/>
              </w:rPr>
            </w:pPr>
            <w:r>
              <w:rPr>
                <w:rFonts w:hint="eastAsia"/>
                <w:highlight w:val="none"/>
                <w:lang w:val="en-US" w:eastAsia="zh-CN"/>
              </w:rPr>
              <w:t xml:space="preserve">8</w:t>
            </w:r>
            <w:r/>
          </w:p>
        </w:tc>
        <w:tc>
          <w:tcPr>
            <w:tcW w:w="1600" w:type="dxa"/>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动力</w:t>
            </w:r>
            <w:r/>
          </w:p>
        </w:tc>
        <w:tc>
          <w:tcPr>
            <w:tcW w:w="2300" w:type="dxa"/>
            <w:textDirection w:val="lrTb"/>
            <w:noWrap w:val="false"/>
          </w:tcPr>
          <w:p>
            <w:pPr>
              <w:jc w:val="left"/>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最大功率</w:t>
            </w:r>
            <w:r/>
          </w:p>
        </w:tc>
        <w:tc>
          <w:tcPr>
            <w:tcW w:w="5175" w:type="dxa"/>
            <w:textDirection w:val="lrTb"/>
            <w:noWrap w:val="false"/>
          </w:tcPr>
          <w:p>
            <w:pPr>
              <w:jc w:val="left"/>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≥140kW</w:t>
            </w:r>
            <w:r/>
          </w:p>
        </w:tc>
      </w:tr>
      <w:tr>
        <w:trPr/>
        <w:tc>
          <w:tcPr>
            <w:tcW w:w="700" w:type="dxa"/>
            <w:vAlign w:val="center"/>
            <w:textDirection w:val="lrTb"/>
            <w:noWrap w:val="false"/>
          </w:tcPr>
          <w:p>
            <w:pPr>
              <w:jc w:val="center"/>
              <w:spacing w:after="0" w:line="240" w:lineRule="auto"/>
              <w:rPr>
                <w:rFonts w:hint="default"/>
                <w:highlight w:val="none"/>
                <w:lang w:val="en-US" w:eastAsia="zh-CN"/>
              </w:rPr>
            </w:pPr>
            <w:r>
              <w:rPr>
                <w:rFonts w:hint="eastAsia"/>
                <w:highlight w:val="none"/>
                <w:lang w:val="en-US" w:eastAsia="zh-CN"/>
              </w:rPr>
              <w:t xml:space="preserve">9</w:t>
            </w:r>
            <w:r/>
          </w:p>
        </w:tc>
        <w:tc>
          <w:tcPr>
            <w:tcW w:w="1600" w:type="dxa"/>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1"/>
                <w:szCs w:val="21"/>
                <w:highlight w:val="none"/>
                <w:lang w:val="en-US" w:eastAsia="zh-CN"/>
              </w:rPr>
              <w:t xml:space="preserve">▲</w:t>
            </w:r>
            <w:r>
              <w:rPr>
                <w:rFonts w:hint="eastAsia" w:ascii="宋体" w:hAnsi="宋体" w:eastAsia="宋体" w:cs="宋体"/>
                <w:color w:val="auto"/>
                <w:sz w:val="24"/>
                <w:szCs w:val="24"/>
                <w:highlight w:val="none"/>
                <w:lang w:val="en-US" w:eastAsia="zh-CN" w:bidi="ar-SA"/>
              </w:rPr>
              <w:t xml:space="preserve">新能源</w:t>
            </w:r>
            <w:r/>
          </w:p>
        </w:tc>
        <w:tc>
          <w:tcPr>
            <w:tcW w:w="2300" w:type="dxa"/>
            <w:textDirection w:val="lrTb"/>
            <w:noWrap w:val="false"/>
          </w:tcPr>
          <w:p>
            <w:pPr>
              <w:jc w:val="left"/>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续航里程</w:t>
            </w:r>
            <w:r/>
          </w:p>
        </w:tc>
        <w:tc>
          <w:tcPr>
            <w:tcW w:w="5175" w:type="dxa"/>
            <w:textDirection w:val="lrTb"/>
            <w:noWrap w:val="false"/>
          </w:tcPr>
          <w:p>
            <w:pPr>
              <w:jc w:val="left"/>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≥1000 km（CLTC工况）提供有效证明</w:t>
            </w:r>
            <w:r/>
          </w:p>
        </w:tc>
      </w:tr>
      <w:tr>
        <w:trPr/>
        <w:tc>
          <w:tcPr>
            <w:tcW w:w="700" w:type="dxa"/>
            <w:vAlign w:val="center"/>
            <w:textDirection w:val="lrTb"/>
            <w:noWrap w:val="false"/>
          </w:tcPr>
          <w:p>
            <w:pPr>
              <w:jc w:val="center"/>
              <w:spacing w:after="0" w:line="240" w:lineRule="auto"/>
              <w:rPr>
                <w:rFonts w:hint="default"/>
                <w:highlight w:val="none"/>
                <w:lang w:val="en-US" w:eastAsia="zh-CN"/>
              </w:rPr>
            </w:pPr>
            <w:r>
              <w:rPr>
                <w:rFonts w:hint="eastAsia"/>
                <w:highlight w:val="none"/>
                <w:lang w:val="en-US" w:eastAsia="zh-CN"/>
              </w:rPr>
              <w:t xml:space="preserve">10</w:t>
            </w:r>
            <w:r/>
          </w:p>
        </w:tc>
        <w:tc>
          <w:tcPr>
            <w:tcW w:w="1600" w:type="dxa"/>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新能源</w:t>
            </w:r>
            <w:r/>
          </w:p>
        </w:tc>
        <w:tc>
          <w:tcPr>
            <w:tcW w:w="2300" w:type="dxa"/>
            <w:textDirection w:val="lrTb"/>
            <w:noWrap w:val="false"/>
          </w:tcPr>
          <w:p>
            <w:pPr>
              <w:jc w:val="left"/>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充电</w:t>
            </w:r>
            <w:r/>
          </w:p>
        </w:tc>
        <w:tc>
          <w:tcPr>
            <w:tcW w:w="5175" w:type="dxa"/>
            <w:textDirection w:val="lrTb"/>
            <w:noWrap w:val="false"/>
          </w:tcPr>
          <w:p>
            <w:pPr>
              <w:ind w:firstLine="480"/>
              <w:jc w:val="left"/>
              <w:keepLines w:val="0"/>
              <w:keepNext w:val="0"/>
              <w:pageBreakBefore w:val="0"/>
              <w:spacing w:after="0"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支持快慢充</w:t>
            </w:r>
            <w:r/>
          </w:p>
        </w:tc>
      </w:tr>
      <w:tr>
        <w:trPr/>
        <w:tc>
          <w:tcPr>
            <w:tcW w:w="700" w:type="dxa"/>
            <w:vAlign w:val="center"/>
            <w:textDirection w:val="lrTb"/>
            <w:noWrap w:val="false"/>
          </w:tcPr>
          <w:p>
            <w:pPr>
              <w:jc w:val="center"/>
              <w:spacing w:after="0" w:line="240" w:lineRule="auto"/>
              <w:rPr>
                <w:rFonts w:hint="default"/>
                <w:highlight w:val="none"/>
                <w:lang w:val="en-US" w:eastAsia="zh-CN"/>
              </w:rPr>
            </w:pPr>
            <w:r>
              <w:rPr>
                <w:rFonts w:hint="eastAsia"/>
                <w:highlight w:val="none"/>
                <w:lang w:val="en-US" w:eastAsia="zh-CN"/>
              </w:rPr>
              <w:t xml:space="preserve">11</w:t>
            </w:r>
            <w:r/>
          </w:p>
        </w:tc>
        <w:tc>
          <w:tcPr>
            <w:tcW w:w="1600" w:type="dxa"/>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底盘</w:t>
            </w:r>
            <w:r/>
          </w:p>
        </w:tc>
        <w:tc>
          <w:tcPr>
            <w:tcW w:w="2300" w:type="dxa"/>
            <w:textDirection w:val="lrTb"/>
            <w:noWrap w:val="false"/>
          </w:tcPr>
          <w:p>
            <w:pPr>
              <w:jc w:val="left"/>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变速箱</w:t>
            </w:r>
            <w:r/>
          </w:p>
        </w:tc>
        <w:tc>
          <w:tcPr>
            <w:tcW w:w="5175" w:type="dxa"/>
            <w:textDirection w:val="lrTb"/>
            <w:noWrap w:val="false"/>
          </w:tcPr>
          <w:p>
            <w:pPr>
              <w:ind w:firstLine="480"/>
              <w:jc w:val="left"/>
              <w:keepLines w:val="0"/>
              <w:keepNext w:val="0"/>
              <w:pageBreakBefore w:val="0"/>
              <w:spacing w:after="0"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固定齿比/8AT</w:t>
            </w:r>
            <w:r/>
          </w:p>
        </w:tc>
      </w:tr>
      <w:tr>
        <w:trPr/>
        <w:tc>
          <w:tcPr>
            <w:tcW w:w="700" w:type="dxa"/>
            <w:vAlign w:val="center"/>
            <w:textDirection w:val="lrTb"/>
            <w:noWrap w:val="false"/>
          </w:tcPr>
          <w:p>
            <w:pPr>
              <w:jc w:val="center"/>
              <w:spacing w:after="0" w:line="240" w:lineRule="auto"/>
              <w:rPr>
                <w:rFonts w:hint="default"/>
                <w:highlight w:val="none"/>
                <w:lang w:val="en-US" w:eastAsia="zh-CN"/>
              </w:rPr>
            </w:pPr>
            <w:r>
              <w:rPr>
                <w:rFonts w:hint="eastAsia"/>
                <w:highlight w:val="none"/>
                <w:lang w:val="en-US" w:eastAsia="zh-CN"/>
              </w:rPr>
              <w:t xml:space="preserve">12</w:t>
            </w:r>
            <w:r/>
          </w:p>
        </w:tc>
        <w:tc>
          <w:tcPr>
            <w:tcW w:w="1600" w:type="dxa"/>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安全</w:t>
            </w:r>
            <w:r/>
          </w:p>
        </w:tc>
        <w:tc>
          <w:tcPr>
            <w:tcW w:w="2300" w:type="dxa"/>
            <w:textDirection w:val="lrTb"/>
            <w:noWrap w:val="false"/>
          </w:tcPr>
          <w:p>
            <w:pPr>
              <w:ind w:firstLine="480"/>
              <w:jc w:val="left"/>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囊</w:t>
            </w:r>
            <w:r/>
          </w:p>
        </w:tc>
        <w:tc>
          <w:tcPr>
            <w:tcW w:w="5175" w:type="dxa"/>
            <w:textDirection w:val="lrTb"/>
            <w:noWrap w:val="false"/>
          </w:tcPr>
          <w:p>
            <w:pPr>
              <w:ind w:firstLine="480"/>
              <w:jc w:val="left"/>
              <w:keepLines w:val="0"/>
              <w:keepNext w:val="0"/>
              <w:pageBreakBefore w:val="0"/>
              <w:spacing w:after="0"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主副驾安全气囊</w:t>
            </w:r>
            <w:r/>
          </w:p>
        </w:tc>
      </w:tr>
      <w:tr>
        <w:trPr/>
        <w:tc>
          <w:tcPr>
            <w:tcW w:w="700" w:type="dxa"/>
            <w:vAlign w:val="center"/>
            <w:textDirection w:val="lrTb"/>
            <w:noWrap w:val="false"/>
          </w:tcPr>
          <w:p>
            <w:pPr>
              <w:jc w:val="center"/>
              <w:spacing w:after="0" w:line="240" w:lineRule="auto"/>
              <w:rPr>
                <w:rFonts w:hint="default"/>
                <w:highlight w:val="none"/>
                <w:lang w:val="en-US" w:eastAsia="zh-CN"/>
              </w:rPr>
            </w:pPr>
            <w:r>
              <w:rPr>
                <w:rFonts w:hint="eastAsia"/>
                <w:highlight w:val="none"/>
                <w:lang w:val="en-US" w:eastAsia="zh-CN"/>
              </w:rPr>
              <w:t xml:space="preserve">13</w:t>
            </w:r>
            <w:r/>
          </w:p>
        </w:tc>
        <w:tc>
          <w:tcPr>
            <w:tcW w:w="1600" w:type="dxa"/>
            <w:textDirection w:val="lrTb"/>
            <w:noWrap w:val="false"/>
          </w:tcPr>
          <w:p>
            <w:pPr>
              <w:jc w:val="center"/>
              <w:keepLines w:val="0"/>
              <w:keepNext w:val="0"/>
              <w:pageBreakBefore w:val="0"/>
              <w:spacing w:after="0" w:line="400" w:lineRule="exact"/>
              <w:widowControl w:val="off"/>
              <w:rPr>
                <w:rFonts w:ascii="宋体" w:hAnsi="宋体" w:eastAsia="宋体" w:cs="宋体"/>
                <w:color w:val="000000"/>
                <w:sz w:val="28"/>
                <w:highlight w:val="none"/>
              </w:rPr>
            </w:pPr>
            <w:r>
              <w:rPr>
                <w:rFonts w:ascii="宋体" w:hAnsi="宋体" w:eastAsia="宋体" w:cs="宋体"/>
                <w:color w:val="000000"/>
                <w:sz w:val="28"/>
                <w:highlight w:val="none"/>
              </w:rPr>
            </w:r>
            <w:r/>
          </w:p>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ascii="宋体" w:hAnsi="宋体" w:eastAsia="宋体" w:cs="宋体"/>
                <w:color w:val="000000"/>
                <w:sz w:val="28"/>
                <w:highlight w:val="none"/>
              </w:rPr>
              <w:t xml:space="preserve">▲</w:t>
            </w:r>
            <w:r>
              <w:rPr>
                <w:rFonts w:hint="eastAsia" w:ascii="宋体" w:hAnsi="宋体" w:eastAsia="宋体" w:cs="宋体"/>
                <w:color w:val="auto"/>
                <w:sz w:val="24"/>
                <w:szCs w:val="24"/>
                <w:highlight w:val="none"/>
                <w:lang w:val="en-US" w:eastAsia="zh-CN" w:bidi="ar-SA"/>
              </w:rPr>
              <w:t xml:space="preserve">安全</w:t>
            </w:r>
            <w:r/>
          </w:p>
        </w:tc>
        <w:tc>
          <w:tcPr>
            <w:tcW w:w="2300" w:type="dxa"/>
            <w:textDirection w:val="lrTb"/>
            <w:noWrap w:val="false"/>
          </w:tcPr>
          <w:p>
            <w:pPr>
              <w:jc w:val="left"/>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left"/>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主动安全</w:t>
            </w:r>
            <w:r/>
          </w:p>
        </w:tc>
        <w:tc>
          <w:tcPr>
            <w:tcW w:w="5175" w:type="dxa"/>
            <w:textDirection w:val="lrTb"/>
            <w:noWrap w:val="false"/>
          </w:tcPr>
          <w:p>
            <w:pPr>
              <w:ind w:firstLine="480"/>
              <w:jc w:val="left"/>
              <w:keepLines w:val="0"/>
              <w:keepNext w:val="0"/>
              <w:pageBreakBefore w:val="0"/>
              <w:spacing w:after="0"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车身稳定系统、ABS防抱死、制动力分配、刹车辅助、牵引力控制、胎压监测、低速行车警告</w:t>
            </w:r>
            <w:r/>
          </w:p>
        </w:tc>
      </w:tr>
      <w:tr>
        <w:trPr/>
        <w:tc>
          <w:tcPr>
            <w:tcW w:w="700" w:type="dxa"/>
            <w:vAlign w:val="center"/>
            <w:textDirection w:val="lrTb"/>
            <w:noWrap w:val="false"/>
          </w:tcPr>
          <w:p>
            <w:pPr>
              <w:jc w:val="center"/>
              <w:spacing w:after="0" w:line="240" w:lineRule="auto"/>
              <w:rPr>
                <w:rFonts w:hint="default"/>
                <w:highlight w:val="none"/>
                <w:lang w:val="en-US" w:eastAsia="zh-CN"/>
              </w:rPr>
            </w:pPr>
            <w:r>
              <w:rPr>
                <w:rFonts w:hint="eastAsia"/>
                <w:highlight w:val="none"/>
                <w:lang w:val="en-US" w:eastAsia="zh-CN"/>
              </w:rPr>
              <w:t xml:space="preserve">14</w:t>
            </w:r>
            <w:r/>
          </w:p>
        </w:tc>
        <w:tc>
          <w:tcPr>
            <w:tcW w:w="1600" w:type="dxa"/>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辅助驾驶</w:t>
            </w:r>
            <w:r/>
          </w:p>
        </w:tc>
        <w:tc>
          <w:tcPr>
            <w:tcW w:w="2300" w:type="dxa"/>
            <w:textDirection w:val="lrTb"/>
            <w:noWrap w:val="false"/>
          </w:tcPr>
          <w:p>
            <w:pPr>
              <w:ind w:firstLine="480"/>
              <w:jc w:val="left"/>
              <w:keepLines w:val="0"/>
              <w:keepNext w:val="0"/>
              <w:pageBreakBefore w:val="0"/>
              <w:spacing w:after="0"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功能</w:t>
            </w:r>
            <w:r/>
          </w:p>
        </w:tc>
        <w:tc>
          <w:tcPr>
            <w:tcW w:w="5175" w:type="dxa"/>
            <w:textDirection w:val="lrTb"/>
            <w:noWrap w:val="false"/>
          </w:tcPr>
          <w:p>
            <w:pPr>
              <w:ind w:firstLine="480"/>
              <w:jc w:val="left"/>
              <w:keepLines w:val="0"/>
              <w:keepNext w:val="0"/>
              <w:pageBreakBefore w:val="0"/>
              <w:spacing w:after="0"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倒车雷达、倒车影响、定速巡航</w:t>
            </w:r>
            <w:r/>
          </w:p>
        </w:tc>
      </w:tr>
      <w:tr>
        <w:trPr/>
        <w:tc>
          <w:tcPr>
            <w:tcW w:w="700" w:type="dxa"/>
            <w:vAlign w:val="center"/>
            <w:textDirection w:val="lrTb"/>
            <w:noWrap w:val="false"/>
          </w:tcPr>
          <w:p>
            <w:pPr>
              <w:jc w:val="center"/>
              <w:spacing w:after="0" w:line="240" w:lineRule="auto"/>
              <w:rPr>
                <w:rFonts w:hint="default"/>
                <w:highlight w:val="none"/>
                <w:lang w:val="en-US" w:eastAsia="zh-CN"/>
              </w:rPr>
            </w:pPr>
            <w:r>
              <w:rPr>
                <w:rFonts w:hint="eastAsia"/>
                <w:highlight w:val="none"/>
                <w:lang w:val="en-US" w:eastAsia="zh-CN"/>
              </w:rPr>
              <w:t xml:space="preserve">15</w:t>
            </w:r>
            <w:r/>
          </w:p>
        </w:tc>
        <w:tc>
          <w:tcPr>
            <w:tcW w:w="1600" w:type="dxa"/>
            <w:textDirection w:val="lrTb"/>
            <w:noWrap w:val="false"/>
          </w:tcPr>
          <w:p>
            <w:pPr>
              <w:jc w:val="center"/>
              <w:keepLines w:val="0"/>
              <w:keepNext w:val="0"/>
              <w:pageBreakBefore w:val="0"/>
              <w:spacing w:after="0"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舒适配置</w:t>
            </w:r>
            <w:r/>
          </w:p>
        </w:tc>
        <w:tc>
          <w:tcPr>
            <w:tcW w:w="2300" w:type="dxa"/>
            <w:textDirection w:val="lrTb"/>
            <w:noWrap w:val="false"/>
          </w:tcPr>
          <w:p>
            <w:pPr>
              <w:ind w:firstLine="480"/>
              <w:jc w:val="left"/>
              <w:keepLines w:val="0"/>
              <w:keepNext w:val="0"/>
              <w:pageBreakBefore w:val="0"/>
              <w:spacing w:after="0"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功能</w:t>
            </w:r>
            <w:r/>
          </w:p>
        </w:tc>
        <w:tc>
          <w:tcPr>
            <w:tcW w:w="5175" w:type="dxa"/>
            <w:textDirection w:val="lrTb"/>
            <w:noWrap w:val="false"/>
          </w:tcPr>
          <w:p>
            <w:pPr>
              <w:ind w:firstLine="480"/>
              <w:jc w:val="left"/>
              <w:keepLines w:val="0"/>
              <w:keepNext w:val="0"/>
              <w:pageBreakBefore w:val="0"/>
              <w:spacing w:after="0"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怀挡、无钥匙进入、无钥匙启动、≥12英寸屏幕</w:t>
            </w:r>
            <w:r/>
          </w:p>
        </w:tc>
      </w:tr>
      <w:tr>
        <w:trPr/>
        <w:tc>
          <w:tcPr>
            <w:tcW w:w="700" w:type="dxa"/>
            <w:vAlign w:val="center"/>
            <w:textDirection w:val="lrTb"/>
            <w:noWrap w:val="false"/>
          </w:tcPr>
          <w:p>
            <w:pPr>
              <w:jc w:val="center"/>
              <w:spacing w:after="0" w:line="240" w:lineRule="auto"/>
              <w:rPr>
                <w:rFonts w:hint="default"/>
                <w:highlight w:val="none"/>
                <w:lang w:val="en-US" w:eastAsia="zh-CN"/>
              </w:rPr>
            </w:pPr>
            <w:r>
              <w:rPr>
                <w:rFonts w:hint="eastAsia"/>
                <w:highlight w:val="none"/>
                <w:lang w:val="en-US" w:eastAsia="zh-CN"/>
              </w:rPr>
              <w:t xml:space="preserve">16</w:t>
            </w:r>
            <w:r/>
          </w:p>
        </w:tc>
        <w:tc>
          <w:tcPr>
            <w:tcW w:w="1600" w:type="dxa"/>
            <w:textDirection w:val="lrTb"/>
            <w:noWrap w:val="false"/>
          </w:tcPr>
          <w:p>
            <w:pPr>
              <w:jc w:val="center"/>
              <w:keepLines w:val="0"/>
              <w:keepNext w:val="0"/>
              <w:pageBreakBefore w:val="0"/>
              <w:spacing w:after="0"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充电桩</w:t>
            </w:r>
            <w:r/>
          </w:p>
        </w:tc>
        <w:tc>
          <w:tcPr>
            <w:tcW w:w="2300" w:type="dxa"/>
            <w:textDirection w:val="lrTb"/>
            <w:noWrap w:val="false"/>
          </w:tcPr>
          <w:p>
            <w:pPr>
              <w:ind w:firstLine="480"/>
              <w:jc w:val="left"/>
              <w:keepLines w:val="0"/>
              <w:keepNext w:val="0"/>
              <w:pageBreakBefore w:val="0"/>
              <w:spacing w:after="0"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功率</w:t>
            </w:r>
            <w:r/>
          </w:p>
        </w:tc>
        <w:tc>
          <w:tcPr>
            <w:tcW w:w="5175" w:type="dxa"/>
            <w:textDirection w:val="lrTb"/>
            <w:noWrap w:val="false"/>
          </w:tcPr>
          <w:p>
            <w:pPr>
              <w:ind w:firstLine="480"/>
              <w:jc w:val="left"/>
              <w:keepLines w:val="0"/>
              <w:keepNext w:val="0"/>
              <w:pageBreakBefore w:val="0"/>
              <w:spacing w:after="0"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3000w （提供5个）</w:t>
            </w:r>
            <w:r/>
          </w:p>
        </w:tc>
      </w:tr>
    </w:tbl>
    <w:p>
      <w:pPr>
        <w:pStyle w:val="821"/>
        <w:ind w:left="0" w:right="0"/>
        <w:jc w:val="both"/>
        <w:keepLines w:val="0"/>
        <w:keepNext w:val="0"/>
        <w:spacing w:before="0" w:beforeAutospacing="0" w:after="0" w:afterAutospacing="0" w:line="360" w:lineRule="auto"/>
        <w:widowControl/>
        <w:rPr>
          <w:rFonts w:hint="eastAsia" w:ascii="宋体" w:hAnsi="宋体" w:cs="宋体"/>
          <w:b/>
          <w:bCs/>
          <w:color w:val="000000"/>
          <w:sz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000000"/>
          <w:sz w:val="24"/>
          <w:lang w:val="en-US" w:eastAsia="zh-CN"/>
        </w:rPr>
      </w:r>
      <w:r/>
    </w:p>
    <w:p>
      <w:pPr>
        <w:pStyle w:val="821"/>
        <w:ind w:left="0" w:right="0"/>
        <w:jc w:val="both"/>
        <w:keepLines w:val="0"/>
        <w:keepNext w:val="0"/>
        <w:spacing w:before="0" w:beforeAutospacing="0" w:after="0" w:afterAutospacing="0" w:line="360" w:lineRule="auto"/>
        <w:widowControl/>
        <w:rPr>
          <w:rFonts w:hint="eastAsia" w:ascii="宋体" w:hAnsi="宋体" w:eastAsia="宋体" w:cs="宋体"/>
          <w:b/>
          <w:bCs/>
          <w:color w:val="000000"/>
          <w:sz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000000"/>
          <w:sz w:val="24"/>
          <w:highlight w:val="none"/>
          <w:lang w:val="en-US" w:eastAsia="zh-CN"/>
        </w:rPr>
        <w:t xml:space="preserve">六</w:t>
      </w:r>
      <w:r>
        <w:rPr>
          <w:rFonts w:hint="eastAsia" w:ascii="宋体" w:hAnsi="宋体" w:eastAsia="宋体" w:cs="宋体"/>
          <w:b/>
          <w:bCs/>
          <w:color w:val="000000"/>
          <w:sz w:val="24"/>
          <w:highlight w:val="none"/>
          <w:lang w:val="en-US" w:eastAsia="zh-CN"/>
        </w:rPr>
        <w:t xml:space="preserve">、项目实施要求</w:t>
      </w:r>
      <w:r/>
    </w:p>
    <w:p>
      <w:pPr>
        <w:pStyle w:val="821"/>
        <w:ind w:left="0" w:firstLine="480"/>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提供的货物应符合国家规定的标准、行业标准、招标文件及合同约定。为保证本项目的顺利实施，投标人应结合各自产品特点，自行设计实施方案。</w:t>
      </w:r>
      <w:r/>
    </w:p>
    <w:p>
      <w:pPr>
        <w:pStyle w:val="821"/>
        <w:ind w:left="0" w:firstLine="480"/>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2、全部货物运抵现场后，中标人与采购人一起按合同货物清单依合同标准进行货采购人对货物验收合格后，双方共同签署货物验收合格证明。验收中发现货物达不到验收标准或合同规定的性能指标，成交供应商必须更换，并且赔偿由此给采购人造成的损失。</w:t>
      </w:r>
      <w:r/>
    </w:p>
    <w:p>
      <w:pPr>
        <w:pStyle w:val="821"/>
        <w:ind w:left="0" w:firstLine="480"/>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3、中标人所投产品需进行现场安装调试，验收中发现设备达不到验收标准或合同规定的性能指标，中标人必须更换，并且赔偿由此给采购人造成的损失。</w:t>
      </w:r>
      <w:r/>
    </w:p>
    <w:p>
      <w:pPr>
        <w:pStyle w:val="821"/>
        <w:ind w:left="0" w:firstLine="480"/>
        <w:keepLines w:val="0"/>
        <w:keepNext w:val="0"/>
        <w:spacing w:before="0" w:beforeAutospacing="0" w:after="0" w:afterAutospacing="0" w:line="360" w:lineRule="auto"/>
        <w:widowControl/>
        <w:rPr>
          <w:rFonts w:hint="eastAsia" w:ascii="宋体" w:hAnsi="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val="en-US" w:eastAsia="zh-CN"/>
        </w:rPr>
        <w:t xml:space="preserve">在服务期内，解决涉及本项目的全部技术问题。对采购人在项目</w:t>
      </w:r>
      <w:r>
        <w:rPr>
          <w:rFonts w:hint="eastAsia" w:ascii="宋体" w:hAnsi="宋体" w:cs="宋体"/>
          <w:color w:val="auto"/>
          <w:sz w:val="24"/>
          <w:szCs w:val="24"/>
          <w:highlight w:val="none"/>
          <w:lang w:val="en-US" w:eastAsia="zh-CN"/>
        </w:rPr>
        <w:t xml:space="preserve">实施</w:t>
      </w:r>
      <w:r>
        <w:rPr>
          <w:rFonts w:hint="eastAsia" w:ascii="宋体" w:hAnsi="宋体" w:eastAsia="宋体" w:cs="宋体"/>
          <w:color w:val="auto"/>
          <w:sz w:val="24"/>
          <w:szCs w:val="24"/>
          <w:highlight w:val="none"/>
          <w:lang w:val="en-US" w:eastAsia="zh-CN"/>
        </w:rPr>
        <w:t xml:space="preserve">中碰到的其他技术问题，有责任和义务提供咨询和帮助</w:t>
      </w:r>
      <w:r>
        <w:rPr>
          <w:rFonts w:hint="eastAsia" w:ascii="宋体" w:hAnsi="宋体" w:cs="宋体"/>
          <w:color w:val="auto"/>
          <w:sz w:val="24"/>
          <w:szCs w:val="24"/>
          <w:highlight w:val="none"/>
          <w:lang w:val="en-US" w:eastAsia="zh-CN"/>
        </w:rPr>
        <w:t xml:space="preserve">。</w:t>
      </w:r>
      <w:r/>
    </w:p>
    <w:p>
      <w:pPr>
        <w:ind w:right="0" w:firstLine="480"/>
        <w:keepLines w:val="0"/>
        <w:keepNext w:val="0"/>
        <w:pageBreakBefore w:val="0"/>
        <w:spacing w:line="240" w:lineRule="auto"/>
        <w:tabs>
          <w:tab w:val="left" w:pos="1140" w:leader="none"/>
        </w:tabs>
        <w:rPr>
          <w:rFonts w:hint="eastAsia" w:ascii="宋体" w:hAnsi="宋体" w:eastAsia="宋体" w:cs="宋体"/>
          <w:color w:val="000000"/>
          <w:sz w:val="24"/>
          <w:szCs w:val="24"/>
          <w:highlight w:val="none"/>
          <w:shd w:val="clear" w:color="auto" w:fill="auto"/>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b/>
          <w:bCs/>
          <w:color w:val="000000"/>
          <w:sz w:val="24"/>
          <w:szCs w:val="24"/>
          <w:highlight w:val="none"/>
          <w:shd w:val="clear" w:color="auto" w:fill="auto"/>
          <w:lang w:val="en-US" w:eastAsia="zh-CN"/>
        </w:rPr>
        <w:t xml:space="preserve">投标人须在投标文件中提供（或承诺合同签订后5个工作日向采购人提供）以下资料</w:t>
      </w:r>
      <w:r>
        <w:rPr>
          <w:rFonts w:hint="eastAsia" w:ascii="宋体" w:hAnsi="宋体" w:eastAsia="宋体" w:cs="宋体"/>
          <w:color w:val="000000"/>
          <w:sz w:val="24"/>
          <w:szCs w:val="24"/>
          <w:highlight w:val="none"/>
          <w:shd w:val="clear" w:color="auto" w:fill="auto"/>
          <w:lang w:val="en-US" w:eastAsia="zh-CN"/>
        </w:rPr>
        <w:t xml:space="preserve">： </w:t>
      </w:r>
      <w:r/>
    </w:p>
    <w:p>
      <w:pPr>
        <w:ind w:right="0"/>
        <w:keepLines w:val="0"/>
        <w:keepNext w:val="0"/>
        <w:pageBreakBefore w:val="0"/>
        <w:spacing w:line="240" w:lineRule="auto"/>
        <w:tabs>
          <w:tab w:val="left" w:pos="1140" w:leader="none"/>
        </w:tabs>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（1）所投整车 3C 认证证书扫描件； </w:t>
      </w:r>
      <w:r/>
    </w:p>
    <w:p>
      <w:pPr>
        <w:ind w:right="0"/>
        <w:keepLines w:val="0"/>
        <w:keepNext w:val="0"/>
        <w:pageBreakBefore w:val="0"/>
        <w:spacing w:line="240" w:lineRule="auto"/>
        <w:tabs>
          <w:tab w:val="left" w:pos="1140" w:leader="none"/>
        </w:tabs>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（2）所投车辆在中华人民共和国工业和信息化部官网《道路机动车辆生产企业及产品》公告内的公告批次或详细数据页面截图； </w:t>
      </w:r>
      <w:r/>
    </w:p>
    <w:p>
      <w:pPr>
        <w:ind w:right="0"/>
        <w:keepLines w:val="0"/>
        <w:keepNext w:val="0"/>
        <w:pageBreakBefore w:val="0"/>
        <w:spacing w:line="240" w:lineRule="auto"/>
        <w:tabs>
          <w:tab w:val="left" w:pos="1140" w:leader="none"/>
        </w:tabs>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（3）所投车辆符合上牌环保要求，提供中华人民共和国生态环境部或机动车环保网的页面截图； </w:t>
      </w:r>
      <w:r/>
    </w:p>
    <w:p>
      <w:pPr>
        <w:ind w:right="0"/>
        <w:keepLines w:val="0"/>
        <w:keepNext w:val="0"/>
        <w:pageBreakBefore w:val="0"/>
        <w:spacing w:line="240" w:lineRule="auto"/>
        <w:tabs>
          <w:tab w:val="left" w:pos="1140" w:leader="none"/>
        </w:tabs>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注：</w:t>
      </w:r>
      <w:r>
        <w:rPr>
          <w:rFonts w:hint="eastAsia" w:ascii="宋体" w:hAnsi="宋体" w:eastAsia="宋体" w:cs="宋体"/>
          <w:b/>
          <w:bCs/>
          <w:color w:val="000000"/>
          <w:sz w:val="24"/>
          <w:szCs w:val="24"/>
          <w:highlight w:val="none"/>
          <w:shd w:val="clear" w:color="auto" w:fill="auto"/>
          <w:lang w:val="en-US" w:eastAsia="zh-CN"/>
        </w:rPr>
        <w:t xml:space="preserve">如投标文件中提供承诺的，格式自拟。逾期未提供的，采购人有权终止合同并上报监管部门依规处理，由此产生的一切相关责任和损失均由中标人承担。</w:t>
      </w:r>
      <w:r/>
    </w:p>
    <w:p>
      <w:pPr>
        <w:pStyle w:val="863"/>
        <w:ind w:firstLine="480"/>
        <w:jc w:val="left"/>
        <w:widowControl/>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、投标人所投产品应能够至少达到以上技术参数要求，同时明确所投产品的品牌、型号、规格及一些必须说明的技术参数，以及设备配置清单，并提供详细的技术参数及性能说明书。</w:t>
      </w:r>
      <w:r/>
    </w:p>
    <w:p>
      <w:pPr>
        <w:pStyle w:val="863"/>
        <w:ind w:firstLine="480"/>
        <w:jc w:val="left"/>
        <w:widowControl/>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、本项目免费质保期要求：不低于</w:t>
      </w:r>
      <w:r>
        <w:rPr>
          <w:rFonts w:hint="eastAsia" w:ascii="宋体" w:hAnsi="宋体" w:cs="宋体"/>
          <w:i/>
          <w:iCs/>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lang w:val="en-US" w:eastAsia="zh-CN"/>
        </w:rPr>
        <w:t xml:space="preserve">3 </w:t>
      </w:r>
      <w:r>
        <w:rPr>
          <w:rFonts w:hint="eastAsia" w:ascii="宋体" w:hAnsi="宋体" w:cs="宋体"/>
          <w:color w:val="000000"/>
          <w:sz w:val="24"/>
          <w:szCs w:val="24"/>
          <w:highlight w:val="none"/>
        </w:rPr>
        <w:t xml:space="preserve">年。免费质量保证期从货物供货、安装、调试正常且经采购人综合运行验收合格后开始计算。免费质量保证期以整个项目为单位进行响应。</w:t>
      </w:r>
      <w:r/>
    </w:p>
    <w:p>
      <w:pPr>
        <w:pStyle w:val="863"/>
        <w:ind w:firstLine="480"/>
        <w:jc w:val="left"/>
        <w:widowControl/>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、售后及服务标准要求：                                    </w:t>
      </w:r>
      <w:r/>
    </w:p>
    <w:p>
      <w:pPr>
        <w:pStyle w:val="863"/>
        <w:ind w:firstLine="480"/>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本项目的设备产品及软件在质保期内均需提供7×24小时电话服务，在质量保证期内，发生硬件、软件故障，在接到报修电话后，非紧急情况24小时内维修技术人员到达现场，紧急情况12小时内维修技术人员到达现场，到达现场后4小时内排除故障，不能排除故障的，须提供备用品，不影响采购人使用。</w:t>
      </w:r>
      <w:r/>
    </w:p>
    <w:p>
      <w:pPr>
        <w:pStyle w:val="863"/>
        <w:ind w:firstLine="480"/>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（2）保修期外，设备产品及软件出现故障，中标人收到通知后应主动提供维修方案及报价，</w:t>
      </w:r>
      <w:r>
        <w:rPr>
          <w:rFonts w:hint="eastAsia" w:ascii="宋体" w:hAnsi="宋体" w:eastAsia="宋体" w:cs="宋体"/>
          <w:color w:val="000000"/>
          <w:sz w:val="24"/>
          <w:szCs w:val="24"/>
          <w:highlight w:val="none"/>
          <w:lang w:val="en-US" w:eastAsia="zh-CN"/>
        </w:rPr>
        <w:t xml:space="preserve">确保以优惠价格提供零部件，</w:t>
      </w:r>
      <w:r>
        <w:rPr>
          <w:rFonts w:hint="eastAsia" w:ascii="宋体" w:hAnsi="宋体" w:eastAsia="宋体" w:cs="宋体"/>
          <w:color w:val="000000"/>
          <w:sz w:val="24"/>
          <w:szCs w:val="24"/>
          <w:highlight w:val="none"/>
        </w:rPr>
        <w:t xml:space="preserve">并取得采购人同意后7天内予以解决。</w:t>
      </w:r>
      <w:r/>
    </w:p>
    <w:p>
      <w:pPr>
        <w:pStyle w:val="863"/>
        <w:ind w:firstLine="480"/>
        <w:jc w:val="left"/>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中标人须在交货时安排技术人员为采购人提供免费现场培训。</w:t>
      </w:r>
      <w:r/>
    </w:p>
    <w:p>
      <w:pPr>
        <w:ind w:right="0"/>
        <w:keepLines w:val="0"/>
        <w:keepNext w:val="0"/>
        <w:pageBreakBefore w:val="0"/>
        <w:spacing w:line="240" w:lineRule="auto"/>
        <w:tabs>
          <w:tab w:val="left" w:pos="1140" w:leader="none"/>
        </w:tabs>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lang w:val="en-US" w:eastAsia="zh-CN"/>
        </w:rPr>
      </w:r>
      <w:r/>
    </w:p>
    <w:p>
      <w:pPr>
        <w:spacing w:line="380" w:lineRule="exact"/>
        <w:rPr>
          <w:rFonts w:ascii="宋体" w:hAnsi="宋体"/>
          <w:b/>
          <w:bCs/>
          <w:sz w:val="24"/>
          <w:highlight w:val="none"/>
        </w:rPr>
      </w:pPr>
      <w:r/>
      <w:bookmarkStart w:id="5" w:name="_Toc249150915"/>
      <w:r/>
      <w:bookmarkStart w:id="6" w:name="_Toc199988043"/>
      <w:r>
        <w:rPr>
          <w:rFonts w:hint="eastAsia" w:ascii="宋体" w:hAnsi="宋体"/>
          <w:b/>
          <w:bCs/>
          <w:sz w:val="24"/>
          <w:highlight w:val="none"/>
          <w:lang w:val="en-US" w:eastAsia="zh-CN"/>
        </w:rPr>
        <w:t xml:space="preserve">七</w:t>
      </w:r>
      <w:r>
        <w:rPr>
          <w:rFonts w:hint="eastAsia" w:ascii="宋体" w:hAnsi="宋体"/>
          <w:b/>
          <w:bCs/>
          <w:sz w:val="24"/>
          <w:highlight w:val="none"/>
        </w:rPr>
        <w:t xml:space="preserve">、培训要求：</w:t>
      </w:r>
      <w:bookmarkEnd w:id="5"/>
      <w:r/>
      <w:bookmarkEnd w:id="6"/>
      <w:r/>
      <w:r/>
    </w:p>
    <w:p>
      <w:pPr>
        <w:pStyle w:val="827"/>
        <w:numPr>
          <w:ilvl w:val="0"/>
          <w:numId w:val="0"/>
        </w:numPr>
        <w:ind w:left="480"/>
        <w:spacing w:line="360" w:lineRule="auto"/>
        <w:rPr>
          <w:rFonts w:ascii="宋体" w:hAnsi="宋体"/>
          <w:sz w:val="24"/>
          <w:highlight w:val="none"/>
        </w:rPr>
      </w:pPr>
      <w:r>
        <w:rPr>
          <w:rFonts w:hint="eastAsia" w:ascii="宋体" w:hAnsi="宋体"/>
          <w:sz w:val="24"/>
          <w:highlight w:val="none"/>
          <w:lang w:val="en-US" w:eastAsia="zh-CN"/>
        </w:rPr>
        <w:t xml:space="preserve">1、投标人</w:t>
      </w:r>
      <w:r>
        <w:rPr>
          <w:rFonts w:hint="eastAsia" w:ascii="宋体" w:hAnsi="宋体"/>
          <w:sz w:val="24"/>
          <w:highlight w:val="none"/>
        </w:rPr>
        <w:t xml:space="preserve">必须为采购人提供现场</w:t>
      </w:r>
      <w:r>
        <w:rPr>
          <w:rFonts w:hint="eastAsia" w:ascii="宋体" w:hAnsi="宋体"/>
          <w:color w:val="000000"/>
          <w:sz w:val="24"/>
          <w:highlight w:val="none"/>
        </w:rPr>
        <w:t xml:space="preserve">培</w:t>
      </w:r>
      <w:r>
        <w:rPr>
          <w:rFonts w:hint="eastAsia" w:ascii="宋体" w:hAnsi="宋体"/>
          <w:sz w:val="24"/>
          <w:highlight w:val="none"/>
        </w:rPr>
        <w:t xml:space="preserve">训服务。</w:t>
      </w:r>
      <w:r/>
    </w:p>
    <w:p>
      <w:pPr>
        <w:pStyle w:val="827"/>
        <w:numPr>
          <w:ilvl w:val="0"/>
          <w:numId w:val="0"/>
        </w:numPr>
        <w:ind w:left="480"/>
        <w:spacing w:line="360" w:lineRule="auto"/>
        <w:rPr>
          <w:rFonts w:hint="eastAsia" w:ascii="宋体" w:hAnsi="宋体" w:eastAsia="宋体" w:cs="Times New Roman"/>
          <w:sz w:val="24"/>
          <w:highlight w:val="none"/>
        </w:rPr>
      </w:pPr>
      <w:r>
        <w:rPr>
          <w:rFonts w:hint="eastAsia" w:ascii="宋体" w:hAnsi="宋体" w:cs="Times New Roman"/>
          <w:sz w:val="24"/>
          <w:highlight w:val="none"/>
          <w:lang w:val="en-US" w:eastAsia="zh-CN"/>
        </w:rPr>
        <w:t xml:space="preserve">2、</w:t>
      </w:r>
      <w:r>
        <w:rPr>
          <w:rFonts w:hint="eastAsia" w:ascii="宋体" w:hAnsi="宋体" w:eastAsia="宋体" w:cs="Times New Roman"/>
          <w:sz w:val="24"/>
          <w:highlight w:val="none"/>
        </w:rPr>
        <w:t xml:space="preserve">内容：操作、维保护、简单的故障诊断与排除。</w:t>
      </w:r>
      <w:r/>
    </w:p>
    <w:p>
      <w:pPr>
        <w:pStyle w:val="827"/>
        <w:numPr>
          <w:ilvl w:val="0"/>
          <w:numId w:val="0"/>
        </w:numPr>
        <w:ind w:left="0"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3、效果：能够独立操作；能够独立日常维护与保养；能够进行简单的故障诊断与排除。</w:t>
      </w:r>
      <w:r/>
    </w:p>
    <w:p>
      <w:pPr>
        <w:pStyle w:val="827"/>
        <w:numPr>
          <w:ilvl w:val="0"/>
          <w:numId w:val="0"/>
        </w:numPr>
        <w:ind w:left="0" w:firstLine="480"/>
        <w:spacing w:line="360" w:lineRule="auto"/>
        <w:rPr>
          <w:rFonts w:hint="eastAsia" w:ascii="宋体" w:hAnsi="宋体"/>
          <w:color w:val="000000"/>
          <w:sz w:val="24"/>
          <w:highlight w:val="none"/>
        </w:rPr>
      </w:pPr>
      <w:r>
        <w:rPr>
          <w:rFonts w:hint="eastAsia" w:ascii="宋体" w:hAnsi="宋体"/>
          <w:sz w:val="24"/>
          <w:highlight w:val="none"/>
          <w:lang w:val="en-US" w:eastAsia="zh-CN"/>
        </w:rPr>
        <w:t xml:space="preserve">4、</w:t>
      </w:r>
      <w:r>
        <w:rPr>
          <w:rFonts w:hint="eastAsia" w:ascii="宋体" w:hAnsi="宋体"/>
          <w:sz w:val="24"/>
          <w:highlight w:val="none"/>
        </w:rPr>
        <w:t xml:space="preserve">必须提供详细培训计划，并按此计划进行培训。培训所产生的所有费用（路费、食宿、授课费等）均由</w:t>
      </w:r>
      <w:r>
        <w:rPr>
          <w:rFonts w:hint="eastAsia" w:ascii="宋体" w:hAnsi="宋体"/>
          <w:sz w:val="24"/>
          <w:highlight w:val="none"/>
          <w:lang w:val="en-US" w:eastAsia="zh-CN"/>
        </w:rPr>
        <w:t xml:space="preserve">投标人</w:t>
      </w:r>
      <w:r>
        <w:rPr>
          <w:rFonts w:hint="eastAsia" w:ascii="宋体" w:hAnsi="宋体"/>
          <w:sz w:val="24"/>
          <w:highlight w:val="none"/>
        </w:rPr>
        <w:t xml:space="preserve">承担。</w:t>
      </w:r>
      <w:r/>
    </w:p>
    <w:p>
      <w:pPr>
        <w:pStyle w:val="827"/>
        <w:numPr>
          <w:ilvl w:val="0"/>
          <w:numId w:val="0"/>
        </w:numPr>
        <w:ind w:left="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5、能够遇到突发情况的应急处理能力。</w:t>
      </w:r>
      <w:r/>
    </w:p>
    <w:p>
      <w:pPr>
        <w:spacing w:line="360" w:lineRule="auto"/>
        <w:rPr>
          <w:rFonts w:hint="eastAsia" w:ascii="宋体" w:hAnsi="宋体" w:cs="宋体"/>
          <w:color w:val="auto"/>
          <w:sz w:val="28"/>
          <w:szCs w:val="28"/>
          <w:highlight w:val="none"/>
        </w:rPr>
      </w:pPr>
      <w:r>
        <w:rPr>
          <w:rFonts w:hint="eastAsia" w:ascii="宋体" w:hAnsi="宋体" w:cs="宋体"/>
          <w:b/>
          <w:bCs/>
          <w:sz w:val="24"/>
          <w:highlight w:val="none"/>
          <w:lang w:val="en-US" w:eastAsia="zh-CN"/>
        </w:rPr>
        <w:t xml:space="preserve">八</w:t>
      </w:r>
      <w:r>
        <w:rPr>
          <w:rFonts w:hint="eastAsia" w:ascii="宋体" w:hAnsi="宋体" w:cs="宋体"/>
          <w:b/>
          <w:bCs/>
          <w:sz w:val="24"/>
          <w:highlight w:val="none"/>
        </w:rPr>
        <w:t xml:space="preserve">、</w:t>
      </w:r>
      <w:r>
        <w:rPr>
          <w:rFonts w:hint="eastAsia" w:ascii="宋体" w:hAnsi="宋体" w:eastAsia="宋体" w:cs="Times New Roman"/>
          <w:b/>
          <w:bCs/>
          <w:sz w:val="24"/>
          <w:highlight w:val="none"/>
        </w:rPr>
        <w:t xml:space="preserve">验收标准（验收要求、验收标准和程序）要求：</w:t>
      </w:r>
      <w:r/>
    </w:p>
    <w:p>
      <w:pPr>
        <w:numPr>
          <w:ilvl w:val="0"/>
          <w:numId w:val="0"/>
        </w:numPr>
        <w:spacing w:line="360" w:lineRule="auto"/>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(一)项目验收标准：</w:t>
      </w:r>
      <w:r/>
    </w:p>
    <w:p>
      <w:pPr>
        <w:numPr>
          <w:ilvl w:val="0"/>
          <w:numId w:val="0"/>
        </w:numPr>
        <w:spacing w:line="360" w:lineRule="auto"/>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w:t>
      </w:r>
      <w:r>
        <w:rPr>
          <w:rFonts w:hint="eastAsia" w:ascii="宋体" w:hAnsi="宋体" w:cs="Times New Roman"/>
          <w:sz w:val="24"/>
          <w:szCs w:val="24"/>
          <w:highlight w:val="none"/>
          <w:lang w:val="en-US" w:eastAsia="zh-CN" w:bidi="ar-SA"/>
        </w:rPr>
        <w:t xml:space="preserve">、</w:t>
      </w:r>
      <w:r>
        <w:rPr>
          <w:rFonts w:hint="eastAsia" w:ascii="宋体" w:hAnsi="宋体" w:eastAsia="宋体" w:cs="Times New Roman"/>
          <w:sz w:val="24"/>
          <w:szCs w:val="24"/>
          <w:highlight w:val="none"/>
          <w:lang w:val="en-US" w:eastAsia="zh-CN" w:bidi="ar-SA"/>
        </w:rPr>
        <w:t xml:space="preserve">车辆的漆面必须清洁光亮，不得有脱漆、划痕和瘪窝。车辆内部的座椅及其他</w:t>
      </w:r>
      <w:r/>
    </w:p>
    <w:p>
      <w:pPr>
        <w:numPr>
          <w:ilvl w:val="0"/>
          <w:numId w:val="0"/>
        </w:numPr>
        <w:spacing w:line="360" w:lineRule="auto"/>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内饰件应完整清洁，不得有划伤、污点。车辆内、外部的灯光齐全、有效。空调完好无损，效果应达到国家标准。车辆在行驶过程中不得有异常响声，制动、转向应灵活、有效。</w:t>
      </w:r>
      <w:r/>
    </w:p>
    <w:p>
      <w:pPr>
        <w:numPr>
          <w:ilvl w:val="0"/>
          <w:numId w:val="0"/>
        </w:numPr>
        <w:spacing w:line="360" w:lineRule="auto"/>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w:t>
      </w:r>
      <w:r>
        <w:rPr>
          <w:rFonts w:hint="eastAsia" w:ascii="宋体" w:hAnsi="宋体" w:cs="Times New Roman"/>
          <w:sz w:val="24"/>
          <w:szCs w:val="24"/>
          <w:highlight w:val="none"/>
          <w:lang w:val="en-US" w:eastAsia="zh-CN" w:bidi="ar-SA"/>
        </w:rPr>
        <w:t xml:space="preserve">、</w:t>
      </w:r>
      <w:r>
        <w:rPr>
          <w:rFonts w:hint="eastAsia" w:ascii="宋体" w:hAnsi="宋体" w:eastAsia="宋体" w:cs="Times New Roman"/>
          <w:sz w:val="24"/>
          <w:szCs w:val="24"/>
          <w:highlight w:val="none"/>
          <w:lang w:val="en-US" w:eastAsia="zh-CN" w:bidi="ar-SA"/>
        </w:rPr>
        <w:t xml:space="preserve">车辆配置和随车配件符合出厂标准，齐全完备。</w:t>
      </w:r>
      <w:r/>
    </w:p>
    <w:p>
      <w:pPr>
        <w:numPr>
          <w:ilvl w:val="0"/>
          <w:numId w:val="0"/>
        </w:numPr>
        <w:spacing w:line="360" w:lineRule="auto"/>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(二)验收时需提交的书面文件：</w:t>
      </w:r>
      <w:r/>
    </w:p>
    <w:p>
      <w:pPr>
        <w:numPr>
          <w:ilvl w:val="0"/>
          <w:numId w:val="0"/>
        </w:numPr>
        <w:spacing w:line="360" w:lineRule="auto"/>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w:t>
      </w:r>
      <w:r>
        <w:rPr>
          <w:rFonts w:hint="eastAsia" w:ascii="宋体" w:hAnsi="宋体" w:cs="Times New Roman"/>
          <w:sz w:val="24"/>
          <w:szCs w:val="24"/>
          <w:highlight w:val="none"/>
          <w:lang w:val="en-US" w:eastAsia="zh-CN" w:bidi="ar-SA"/>
        </w:rPr>
        <w:t xml:space="preserve">、</w:t>
      </w:r>
      <w:r>
        <w:rPr>
          <w:rFonts w:hint="eastAsia" w:ascii="宋体" w:hAnsi="宋体" w:eastAsia="宋体" w:cs="Times New Roman"/>
          <w:sz w:val="24"/>
          <w:szCs w:val="24"/>
          <w:highlight w:val="none"/>
          <w:lang w:val="en-US" w:eastAsia="zh-CN" w:bidi="ar-SA"/>
        </w:rPr>
        <w:t xml:space="preserve">机动车销售统一发票；</w:t>
      </w:r>
      <w:r/>
    </w:p>
    <w:p>
      <w:pPr>
        <w:numPr>
          <w:ilvl w:val="0"/>
          <w:numId w:val="0"/>
        </w:numPr>
        <w:spacing w:line="360" w:lineRule="auto"/>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w:t>
      </w:r>
      <w:r>
        <w:rPr>
          <w:rFonts w:hint="eastAsia" w:ascii="宋体" w:hAnsi="宋体" w:cs="Times New Roman"/>
          <w:sz w:val="24"/>
          <w:szCs w:val="24"/>
          <w:highlight w:val="none"/>
          <w:lang w:val="en-US" w:eastAsia="zh-CN" w:bidi="ar-SA"/>
        </w:rPr>
        <w:t xml:space="preserve">、</w:t>
      </w:r>
      <w:r>
        <w:rPr>
          <w:rFonts w:hint="eastAsia" w:ascii="宋体" w:hAnsi="宋体" w:eastAsia="宋体" w:cs="Times New Roman"/>
          <w:sz w:val="24"/>
          <w:szCs w:val="24"/>
          <w:highlight w:val="none"/>
          <w:lang w:val="en-US" w:eastAsia="zh-CN" w:bidi="ar-SA"/>
        </w:rPr>
        <w:t xml:space="preserve">车辆合格证；</w:t>
      </w:r>
      <w:r/>
    </w:p>
    <w:p>
      <w:pPr>
        <w:numPr>
          <w:ilvl w:val="0"/>
          <w:numId w:val="0"/>
        </w:numPr>
        <w:spacing w:line="360" w:lineRule="auto"/>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3</w:t>
      </w:r>
      <w:r>
        <w:rPr>
          <w:rFonts w:hint="eastAsia" w:ascii="宋体" w:hAnsi="宋体" w:cs="Times New Roman"/>
          <w:sz w:val="24"/>
          <w:szCs w:val="24"/>
          <w:highlight w:val="none"/>
          <w:lang w:val="en-US" w:eastAsia="zh-CN" w:bidi="ar-SA"/>
        </w:rPr>
        <w:t xml:space="preserve">、</w:t>
      </w:r>
      <w:r>
        <w:rPr>
          <w:rFonts w:hint="eastAsia" w:ascii="宋体" w:hAnsi="宋体" w:eastAsia="宋体" w:cs="Times New Roman"/>
          <w:sz w:val="24"/>
          <w:szCs w:val="24"/>
          <w:highlight w:val="none"/>
          <w:lang w:val="en-US" w:eastAsia="zh-CN" w:bidi="ar-SA"/>
        </w:rPr>
        <w:t xml:space="preserve">底盘合格证；</w:t>
      </w:r>
      <w:r/>
    </w:p>
    <w:p>
      <w:pPr>
        <w:numPr>
          <w:ilvl w:val="0"/>
          <w:numId w:val="0"/>
        </w:numPr>
        <w:spacing w:line="360" w:lineRule="auto"/>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4</w:t>
      </w:r>
      <w:r>
        <w:rPr>
          <w:rFonts w:hint="eastAsia" w:ascii="宋体" w:hAnsi="宋体" w:cs="Times New Roman"/>
          <w:sz w:val="24"/>
          <w:szCs w:val="24"/>
          <w:highlight w:val="none"/>
          <w:lang w:val="en-US" w:eastAsia="zh-CN" w:bidi="ar-SA"/>
        </w:rPr>
        <w:t xml:space="preserve">、</w:t>
      </w:r>
      <w:r>
        <w:rPr>
          <w:rFonts w:hint="eastAsia" w:ascii="宋体" w:hAnsi="宋体" w:eastAsia="宋体" w:cs="Times New Roman"/>
          <w:sz w:val="24"/>
          <w:szCs w:val="24"/>
          <w:highlight w:val="none"/>
          <w:lang w:val="en-US" w:eastAsia="zh-CN" w:bidi="ar-SA"/>
        </w:rPr>
        <w:t xml:space="preserve">保修卡或保修手册；</w:t>
      </w:r>
      <w:r/>
    </w:p>
    <w:p>
      <w:pPr>
        <w:numPr>
          <w:ilvl w:val="0"/>
          <w:numId w:val="0"/>
        </w:numPr>
        <w:spacing w:line="360" w:lineRule="auto"/>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5</w:t>
      </w:r>
      <w:r>
        <w:rPr>
          <w:rFonts w:hint="eastAsia" w:ascii="宋体" w:hAnsi="宋体" w:cs="Times New Roman"/>
          <w:sz w:val="24"/>
          <w:szCs w:val="24"/>
          <w:highlight w:val="none"/>
          <w:lang w:val="en-US" w:eastAsia="zh-CN" w:bidi="ar-SA"/>
        </w:rPr>
        <w:t xml:space="preserve">、</w:t>
      </w:r>
      <w:r>
        <w:rPr>
          <w:rFonts w:hint="eastAsia" w:ascii="宋体" w:hAnsi="宋体" w:eastAsia="宋体" w:cs="Times New Roman"/>
          <w:sz w:val="24"/>
          <w:szCs w:val="24"/>
          <w:highlight w:val="none"/>
          <w:lang w:val="en-US" w:eastAsia="zh-CN" w:bidi="ar-SA"/>
        </w:rPr>
        <w:t xml:space="preserve">使用说明手册（中文）；</w:t>
      </w:r>
      <w:r/>
    </w:p>
    <w:p>
      <w:pPr>
        <w:numPr>
          <w:ilvl w:val="0"/>
          <w:numId w:val="0"/>
        </w:numPr>
        <w:spacing w:line="360" w:lineRule="auto"/>
        <w:rPr>
          <w:rFonts w:hint="eastAsia" w:ascii="宋体" w:hAnsi="宋体" w:cs="宋体"/>
          <w:color w:val="auto"/>
          <w:sz w:val="28"/>
          <w:szCs w:val="28"/>
          <w:highlight w:val="none"/>
        </w:rPr>
      </w:pPr>
      <w:r>
        <w:rPr>
          <w:rFonts w:hint="eastAsia" w:ascii="宋体" w:hAnsi="宋体" w:eastAsia="宋体" w:cs="Times New Roman"/>
          <w:sz w:val="24"/>
          <w:szCs w:val="24"/>
          <w:highlight w:val="none"/>
          <w:lang w:val="en-US" w:eastAsia="zh-CN" w:bidi="ar-SA"/>
        </w:rPr>
        <w:t xml:space="preserve">6</w:t>
      </w:r>
      <w:r>
        <w:rPr>
          <w:rFonts w:hint="eastAsia" w:ascii="宋体" w:hAnsi="宋体" w:cs="Times New Roman"/>
          <w:sz w:val="24"/>
          <w:szCs w:val="24"/>
          <w:highlight w:val="none"/>
          <w:lang w:val="en-US" w:eastAsia="zh-CN" w:bidi="ar-SA"/>
        </w:rPr>
        <w:t xml:space="preserve">、</w:t>
      </w:r>
      <w:r>
        <w:rPr>
          <w:rFonts w:hint="eastAsia" w:ascii="宋体" w:hAnsi="宋体" w:eastAsia="宋体" w:cs="Times New Roman"/>
          <w:sz w:val="24"/>
          <w:szCs w:val="24"/>
          <w:highlight w:val="none"/>
          <w:lang w:val="en-US" w:eastAsia="zh-CN" w:bidi="ar-SA"/>
        </w:rPr>
        <w:t xml:space="preserve">车辆配置详单</w:t>
      </w:r>
      <w:r>
        <w:rPr>
          <w:rFonts w:hint="eastAsia" w:ascii="宋体" w:hAnsi="宋体" w:cs="宋体"/>
          <w:color w:val="auto"/>
          <w:sz w:val="28"/>
          <w:szCs w:val="28"/>
          <w:highlight w:val="none"/>
        </w:rPr>
        <w:t xml:space="preserve">。</w:t>
      </w:r>
      <w:r/>
    </w:p>
    <w:p>
      <w:pPr>
        <w:pStyle w:val="806"/>
        <w:ind w:left="0" w:firstLine="0"/>
        <w:spacing w:line="360" w:lineRule="auto"/>
        <w:rPr>
          <w:highlight w:val="none"/>
        </w:rPr>
      </w:pPr>
      <w:r>
        <w:rPr>
          <w:rFonts w:hint="eastAsia" w:ascii="宋体" w:hAnsi="宋体" w:cs="宋体"/>
          <w:b/>
          <w:bCs/>
          <w:color w:val="000000"/>
          <w:sz w:val="24"/>
          <w:highlight w:val="none"/>
          <w:lang w:val="en-US" w:eastAsia="zh-CN"/>
        </w:rPr>
        <w:t xml:space="preserve">九</w:t>
      </w:r>
      <w:r>
        <w:rPr>
          <w:rFonts w:hint="eastAsia" w:ascii="宋体" w:hAnsi="宋体" w:eastAsia="宋体" w:cs="宋体"/>
          <w:b/>
          <w:bCs/>
          <w:color w:val="000000"/>
          <w:sz w:val="24"/>
          <w:highlight w:val="none"/>
          <w:lang w:val="en-US" w:eastAsia="zh-CN"/>
        </w:rPr>
        <w:t xml:space="preserve">、其他要求：</w:t>
      </w:r>
      <w:r>
        <w:rPr>
          <w:rFonts w:hint="eastAsia" w:ascii="宋体" w:hAnsi="宋体" w:eastAsia="宋体" w:cs="宋体"/>
          <w:color w:val="000000"/>
          <w:sz w:val="24"/>
          <w:highlight w:val="none"/>
          <w:lang w:eastAsia="zh-CN"/>
        </w:rPr>
        <w:t xml:space="preserve">见</w:t>
      </w:r>
      <w:r>
        <w:rPr>
          <w:rFonts w:hint="eastAsia" w:ascii="宋体" w:hAnsi="宋体" w:cs="宋体"/>
          <w:color w:val="000000"/>
          <w:sz w:val="24"/>
          <w:highlight w:val="none"/>
          <w:lang w:val="en-US" w:eastAsia="zh-CN"/>
        </w:rPr>
        <w:t xml:space="preserve">招标</w:t>
      </w:r>
      <w:r>
        <w:rPr>
          <w:rFonts w:hint="eastAsia" w:ascii="宋体" w:hAnsi="宋体" w:eastAsia="宋体" w:cs="宋体"/>
          <w:color w:val="000000"/>
          <w:sz w:val="24"/>
          <w:highlight w:val="none"/>
          <w:lang w:eastAsia="zh-CN"/>
        </w:rPr>
        <w:t xml:space="preserve">文件第五章《拟签订的合同文本》</w:t>
      </w:r>
      <w:r/>
    </w:p>
    <w:p>
      <w:pPr>
        <w:pStyle w:val="806"/>
        <w:ind w:left="0" w:firstLine="0"/>
        <w:rPr>
          <w:rFonts w:hint="eastAsia" w:ascii="宋体" w:hAnsi="宋体" w:eastAsia="宋体" w:cs="宋体"/>
          <w:sz w:val="24"/>
          <w:szCs w:val="24"/>
          <w:highlight w:val="none"/>
          <w:lang w:val="en-US" w:eastAsia="zh-CN"/>
        </w:rPr>
        <w:sectPr>
          <w:footnotePr/>
          <w:endnotePr/>
          <w:type w:val="nextPage"/>
          <w:pgSz w:w="11906" w:h="16838" w:orient="portrait"/>
          <w:pgMar w:top="1588" w:right="1418" w:bottom="1474" w:left="1474" w:header="851" w:footer="992" w:gutter="0"/>
          <w:cols w:num="1" w:sep="0" w:space="720" w:equalWidth="1"/>
          <w:docGrid w:linePitch="360"/>
        </w:sectPr>
      </w:pPr>
      <w:r>
        <w:rPr>
          <w:rFonts w:hint="eastAsia" w:ascii="宋体" w:hAnsi="宋体" w:eastAsia="宋体" w:cs="宋体"/>
          <w:sz w:val="24"/>
          <w:szCs w:val="24"/>
          <w:highlight w:val="none"/>
          <w:lang w:val="en-US" w:eastAsia="zh-CN"/>
        </w:rPr>
      </w:r>
      <w:r/>
    </w:p>
    <w:p>
      <w:pPr>
        <w:jc w:val="center"/>
        <w:spacing w:line="360" w:lineRule="auto"/>
        <w:rPr>
          <w:rFonts w:hint="eastAsia" w:ascii="宋体" w:hAnsi="宋体" w:cs="宋体"/>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0"/>
          <w:highlight w:val="none"/>
        </w:rPr>
        <w:t xml:space="preserve">第七章 投标文件相关格式</w:t>
      </w:r>
      <w:r/>
    </w:p>
    <w:p>
      <w:pPr>
        <w:ind w:firstLine="640"/>
        <w:jc w:val="center"/>
        <w:spacing w:line="360" w:lineRule="auto"/>
        <w:rPr>
          <w:rFonts w:hint="eastAsia" w:ascii="宋体" w:hAnsi="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highlight w:val="none"/>
        </w:rPr>
        <w:t xml:space="preserve">一、投标函格式</w:t>
      </w:r>
      <w:r/>
    </w:p>
    <w:p>
      <w:pPr>
        <w:spacing w:line="460" w:lineRule="exac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lang w:eastAsia="zh-CN"/>
        </w:rPr>
        <w:t xml:space="preserve">徐州市供排水管理中心</w:t>
      </w:r>
      <w:r/>
    </w:p>
    <w:p>
      <w:pPr>
        <w:ind w:firstLine="600"/>
        <w:spacing w:line="46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根据</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项目[项目编号：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]招标文件，</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(姓名)代表我方</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（投标人的名称）全权处理本次投标的有关事宜。</w:t>
      </w:r>
      <w:r/>
    </w:p>
    <w:p>
      <w:pPr>
        <w:ind w:firstLine="600"/>
        <w:spacing w:line="46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据此函，投标人承诺并同意如下： </w:t>
      </w:r>
      <w:r/>
    </w:p>
    <w:p>
      <w:pPr>
        <w:ind w:firstLine="480"/>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 投标人唯一投标报价见《开标一览表》。</w:t>
      </w:r>
      <w:r/>
    </w:p>
    <w:p>
      <w:pPr>
        <w:ind w:firstLine="480"/>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 投标人将按招标文件的规定履行合同责任和义务。</w:t>
      </w:r>
      <w:r/>
    </w:p>
    <w:p>
      <w:pPr>
        <w:ind w:firstLine="480"/>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 投标人已详细审查全部招标文件，包括第[插入编号] [补遗书][如果有的话]。投标人完全理解并同意放弃对这方面有不明及误解的权力。</w:t>
      </w:r>
      <w:r/>
    </w:p>
    <w:p>
      <w:pPr>
        <w:ind w:firstLine="480"/>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 投标有效期为开标之日后90天。</w:t>
      </w:r>
      <w:r/>
    </w:p>
    <w:p>
      <w:pPr>
        <w:ind w:firstLine="480"/>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 投标人同意提供按照贵方可能要求的与其投标有关的一切数据或资料，完全理解贵方不一定接受最低价的投标或收到的任何投标。</w:t>
      </w:r>
      <w:r/>
    </w:p>
    <w:p>
      <w:pPr>
        <w:ind w:firstLine="480"/>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 投标人同意按照招标文件规定支付招标代理服务费。</w:t>
      </w:r>
      <w:r/>
    </w:p>
    <w:p>
      <w:pPr>
        <w:ind w:firstLine="480"/>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8. 采购人有权对投标人投标文件的真实性进行核实，如投标人不能在采购人规定的时间内向采购人提供有效的证明文件，将被采购人视为放弃中标资格。</w:t>
      </w:r>
      <w:r/>
    </w:p>
    <w:p>
      <w:pPr>
        <w:ind w:firstLine="480"/>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9. 与本投标有关的一切正式往来信函请寄：</w:t>
      </w:r>
      <w:r/>
    </w:p>
    <w:p>
      <w:pPr>
        <w:ind w:firstLine="1200"/>
        <w:spacing w:line="46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地址： </w:t>
      </w:r>
      <w:r/>
    </w:p>
    <w:p>
      <w:pPr>
        <w:ind w:firstLine="1200"/>
        <w:spacing w:line="46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电话： </w:t>
      </w:r>
      <w:r/>
    </w:p>
    <w:p>
      <w:pPr>
        <w:ind w:firstLine="1200"/>
        <w:spacing w:line="46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传真： </w:t>
      </w:r>
      <w:r/>
    </w:p>
    <w:p>
      <w:pPr>
        <w:ind w:firstLine="3360"/>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（电子签章）</w:t>
      </w:r>
      <w:r/>
    </w:p>
    <w:p>
      <w:pPr>
        <w:ind w:firstLine="3360"/>
        <w:spacing w:line="440" w:lineRule="exac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日期：  年 月 日</w:t>
      </w:r>
      <w:r/>
    </w:p>
    <w:p>
      <w:pPr>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br w:type="page" w:clear="all"/>
      </w:r>
      <w:r/>
    </w:p>
    <w:p>
      <w:pPr>
        <w:ind w:firstLine="640"/>
        <w:jc w:val="center"/>
        <w:spacing w:line="360" w:lineRule="auto"/>
        <w:rPr>
          <w:rFonts w:hint="eastAsia" w:ascii="宋体" w:hAnsi="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highlight w:val="none"/>
        </w:rPr>
        <w:t xml:space="preserve">二、开标一览表格式 </w:t>
      </w:r>
      <w:r/>
    </w:p>
    <w:p>
      <w:pPr>
        <w:ind w:firstLine="480"/>
        <w:jc w:val="center"/>
        <w:spacing w:line="360" w:lineRule="auto"/>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p>
      <w:pPr>
        <w:ind w:firstLine="480"/>
        <w:jc w:val="center"/>
        <w:spacing w:line="360" w:lineRule="auto"/>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p>
      <w:pPr>
        <w:ind w:firstLine="480"/>
        <w:jc w:val="center"/>
        <w:spacing w:line="360" w:lineRule="auto"/>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p>
      <w:pPr>
        <w:ind w:firstLine="480"/>
        <w:jc w:val="center"/>
        <w:spacing w:line="360" w:lineRule="auto"/>
        <w:widowControl/>
        <w:rPr>
          <w:rFonts w:ascii="宋体" w:hAnsi="宋体"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hint="eastAsia" w:ascii="宋体" w:hAnsi="宋体" w:cs="宋体"/>
          <w:i/>
          <w:iCs/>
          <w:color w:val="000000"/>
          <w:sz w:val="24"/>
          <w:highlight w:val="none"/>
          <w:u w:val="single"/>
        </w:rPr>
        <w:t xml:space="preserve">政府采购客户端工具输入报价自动生成</w:t>
      </w:r>
      <w:r/>
    </w:p>
    <w:p>
      <w:pPr>
        <w:ind w:firstLine="600"/>
        <w:jc w:val="center"/>
        <w:spacing w:line="360" w:lineRule="auto"/>
        <w:rPr>
          <w:rFonts w:hint="eastAsia" w:ascii="宋体" w:hAnsi="宋体" w:cs="宋体"/>
          <w:b/>
          <w:bCs/>
          <w:color w:val="000000"/>
          <w:sz w:val="32"/>
          <w:szCs w:val="32"/>
          <w:highlight w:val="none"/>
        </w:rPr>
        <w:pBdr>
          <w:top w:val="none" w:color="000000" w:sz="0" w:space="0"/>
          <w:left w:val="none" w:color="000000" w:sz="0" w:space="0"/>
          <w:bottom w:val="none" w:color="000000" w:sz="0" w:space="0"/>
          <w:right w:val="none" w:color="000000" w:sz="0" w:space="0"/>
        </w:pBdr>
        <w:sectPr>
          <w:headerReference w:type="default" r:id="rId11"/>
          <w:footerReference w:type="default" r:id="rId14"/>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bCs/>
          <w:color w:val="000000"/>
          <w:sz w:val="32"/>
          <w:szCs w:val="32"/>
          <w:highlight w:val="none"/>
        </w:rPr>
      </w:r>
      <w:r/>
    </w:p>
    <w:p>
      <w:pPr>
        <w:ind w:firstLine="600"/>
        <w:jc w:val="center"/>
        <w:spacing w:line="360" w:lineRule="auto"/>
        <w:rPr>
          <w:rFonts w:hint="eastAsia" w:ascii="宋体" w:hAnsi="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highlight w:val="none"/>
        </w:rPr>
        <w:t xml:space="preserve">三、分项价格表格式</w:t>
      </w:r>
      <w:r/>
    </w:p>
    <w:p>
      <w:pPr>
        <w:ind w:firstLine="600"/>
        <w:spacing w:line="479" w:lineRule="atLeast"/>
        <w:rPr>
          <w:rFonts w:hint="eastAsia" w:ascii="宋体" w:hAnsi="宋体" w:cs="宋体"/>
          <w:color w:val="000000"/>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highlight w:val="none"/>
        </w:rPr>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项目编号：</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项目名称：</w:t>
      </w:r>
      <w:r/>
    </w:p>
    <w:p>
      <w:pPr>
        <w:jc w:val="right"/>
        <w:rPr>
          <w:rFonts w:hint="eastAsia" w:ascii="宋体" w:hAnsi="宋体" w:cs="宋体"/>
          <w:color w:val="000000"/>
          <w:sz w:val="24"/>
          <w:highlight w:val="none"/>
        </w:rPr>
      </w:pPr>
      <w:r>
        <w:rPr>
          <w:rFonts w:hint="eastAsia" w:ascii="宋体" w:hAnsi="宋体" w:cs="宋体"/>
          <w:color w:val="000000"/>
          <w:sz w:val="24"/>
          <w:highlight w:val="none"/>
        </w:rPr>
        <w:t xml:space="preserve">          　 货币单位：人民币元</w:t>
      </w:r>
      <w:r/>
    </w:p>
    <w:p>
      <w:pPr>
        <w:ind w:firstLine="3120"/>
        <w:rPr>
          <w:rFonts w:hint="eastAsia" w:ascii="宋体" w:hAnsi="宋体" w:cs="宋体"/>
          <w:color w:val="000000"/>
          <w:sz w:val="24"/>
          <w:highlight w:val="none"/>
        </w:rPr>
      </w:pPr>
      <w:r>
        <w:rPr>
          <w:rFonts w:hint="eastAsia" w:ascii="宋体" w:hAnsi="宋体" w:cs="宋体"/>
          <w:color w:val="000000"/>
          <w:sz w:val="24"/>
          <w:highlight w:val="none"/>
        </w:rPr>
      </w:r>
      <w:r/>
    </w:p>
    <w:tbl>
      <w:tblPr>
        <w:tblStyle w:val="802"/>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tcMar>
              <w:left w:w="15" w:type="dxa"/>
              <w:top w:w="15" w:type="dxa"/>
              <w:right w:w="15" w:type="dxa"/>
              <w:bottom w:w="0" w:type="dxa"/>
            </w:tcMar>
            <w:tcW w:w="505" w:type="dxa"/>
            <w:vAlign w:val="center"/>
            <w:textDirection w:val="lrTb"/>
            <w:noWrap w:val="false"/>
          </w:tcPr>
          <w:p>
            <w:pPr>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序号</w:t>
            </w:r>
            <w:r/>
          </w:p>
        </w:tc>
        <w:tc>
          <w:tcPr>
            <w:tcMar>
              <w:left w:w="15" w:type="dxa"/>
              <w:top w:w="15" w:type="dxa"/>
              <w:right w:w="15" w:type="dxa"/>
              <w:bottom w:w="0" w:type="dxa"/>
            </w:tcMar>
            <w:tcW w:w="975" w:type="dxa"/>
            <w:vAlign w:val="center"/>
            <w:textDirection w:val="lrTb"/>
            <w:noWrap w:val="false"/>
          </w:tcPr>
          <w:p>
            <w:pPr>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名称</w:t>
            </w:r>
            <w:r/>
          </w:p>
        </w:tc>
        <w:tc>
          <w:tcPr>
            <w:tcMar>
              <w:left w:w="15" w:type="dxa"/>
              <w:top w:w="15" w:type="dxa"/>
              <w:right w:w="15" w:type="dxa"/>
              <w:bottom w:w="0" w:type="dxa"/>
            </w:tcMar>
            <w:tcW w:w="1005" w:type="dxa"/>
            <w:vAlign w:val="center"/>
            <w:textDirection w:val="lrTb"/>
            <w:noWrap w:val="false"/>
          </w:tcPr>
          <w:p>
            <w:pPr>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品牌、规格、型号</w:t>
            </w:r>
            <w:r/>
          </w:p>
        </w:tc>
        <w:tc>
          <w:tcPr>
            <w:tcMar>
              <w:left w:w="15" w:type="dxa"/>
              <w:top w:w="15" w:type="dxa"/>
              <w:right w:w="15" w:type="dxa"/>
              <w:bottom w:w="0" w:type="dxa"/>
            </w:tcMar>
            <w:tcW w:w="1346" w:type="dxa"/>
            <w:vAlign w:val="center"/>
            <w:textDirection w:val="lrTb"/>
            <w:noWrap w:val="false"/>
          </w:tcPr>
          <w:p>
            <w:pPr>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产品制造企业名称（全称）</w:t>
            </w:r>
            <w:r/>
          </w:p>
        </w:tc>
        <w:tc>
          <w:tcPr>
            <w:tcMar>
              <w:left w:w="15" w:type="dxa"/>
              <w:top w:w="15" w:type="dxa"/>
              <w:right w:w="15" w:type="dxa"/>
              <w:bottom w:w="0" w:type="dxa"/>
            </w:tcMar>
            <w:tcW w:w="1999" w:type="dxa"/>
            <w:vAlign w:val="center"/>
            <w:textDirection w:val="lrTb"/>
            <w:noWrap w:val="false"/>
          </w:tcPr>
          <w:p>
            <w:pPr>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产品制造企业的划分（大型、中型、小型、微型、监狱企业、享受政府采购支持政策的残疾人福利性单位）</w:t>
            </w:r>
            <w:r/>
          </w:p>
        </w:tc>
        <w:tc>
          <w:tcPr>
            <w:tcMar>
              <w:left w:w="15" w:type="dxa"/>
              <w:top w:w="15" w:type="dxa"/>
              <w:right w:w="15" w:type="dxa"/>
              <w:bottom w:w="0" w:type="dxa"/>
            </w:tcMar>
            <w:tcW w:w="750" w:type="dxa"/>
            <w:vAlign w:val="center"/>
            <w:textDirection w:val="lrTb"/>
            <w:noWrap w:val="false"/>
          </w:tcPr>
          <w:p>
            <w:pPr>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数量</w:t>
            </w:r>
            <w:r/>
          </w:p>
        </w:tc>
        <w:tc>
          <w:tcPr>
            <w:tcMar>
              <w:left w:w="15" w:type="dxa"/>
              <w:top w:w="15" w:type="dxa"/>
              <w:right w:w="15" w:type="dxa"/>
              <w:bottom w:w="0" w:type="dxa"/>
            </w:tcMar>
            <w:tcW w:w="862" w:type="dxa"/>
            <w:vAlign w:val="center"/>
            <w:textDirection w:val="lrTb"/>
            <w:noWrap w:val="false"/>
          </w:tcPr>
          <w:p>
            <w:pPr>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数量单位</w:t>
            </w:r>
            <w:r/>
          </w:p>
        </w:tc>
        <w:tc>
          <w:tcPr>
            <w:tcMar>
              <w:left w:w="15" w:type="dxa"/>
              <w:top w:w="15" w:type="dxa"/>
              <w:right w:w="15" w:type="dxa"/>
              <w:bottom w:w="0" w:type="dxa"/>
            </w:tcMar>
            <w:tcW w:w="807" w:type="dxa"/>
            <w:vAlign w:val="center"/>
            <w:textDirection w:val="lrTb"/>
            <w:noWrap w:val="false"/>
          </w:tcPr>
          <w:p>
            <w:pPr>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单价</w:t>
            </w:r>
            <w:r/>
          </w:p>
        </w:tc>
        <w:tc>
          <w:tcPr>
            <w:tcW w:w="806" w:type="dxa"/>
            <w:vAlign w:val="center"/>
            <w:textDirection w:val="lrTb"/>
            <w:noWrap w:val="false"/>
          </w:tcPr>
          <w:p>
            <w:pPr>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总价</w:t>
            </w:r>
            <w:r/>
          </w:p>
        </w:tc>
        <w:tc>
          <w:tcPr>
            <w:tcMar>
              <w:left w:w="15" w:type="dxa"/>
              <w:top w:w="15" w:type="dxa"/>
              <w:right w:w="15" w:type="dxa"/>
              <w:bottom w:w="0" w:type="dxa"/>
            </w:tcMar>
            <w:tcW w:w="784" w:type="dxa"/>
            <w:vAlign w:val="center"/>
            <w:textDirection w:val="lrTb"/>
            <w:noWrap w:val="false"/>
          </w:tcPr>
          <w:p>
            <w:pPr>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806" w:type="dxa"/>
            <w:vAlign w:val="top"/>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806" w:type="dxa"/>
            <w:vAlign w:val="top"/>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806" w:type="dxa"/>
            <w:vAlign w:val="top"/>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806" w:type="dxa"/>
            <w:vAlign w:val="top"/>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806" w:type="dxa"/>
            <w:vAlign w:val="top"/>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1999" w:type="dxa"/>
            <w:vAlign w:val="top"/>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750" w:type="dxa"/>
            <w:vAlign w:val="bottom"/>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862" w:type="dxa"/>
            <w:vAlign w:val="bottom"/>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807" w:type="dxa"/>
            <w:vAlign w:val="bottom"/>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806" w:type="dxa"/>
            <w:vAlign w:val="top"/>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784" w:type="dxa"/>
            <w:vAlign w:val="bottom"/>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总价合计（即《开标一览表》中的“总价”）</w:t>
            </w:r>
            <w:r/>
          </w:p>
        </w:tc>
        <w:tc>
          <w:tcPr>
            <w:gridSpan w:val="6"/>
            <w:tcW w:w="6008" w:type="dxa"/>
            <w:vAlign w:val="top"/>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r>
    </w:tbl>
    <w:p>
      <w:pPr>
        <w:rPr>
          <w:rFonts w:hint="eastAsia" w:ascii="宋体" w:hAnsi="宋体" w:cs="宋体"/>
          <w:color w:val="000000"/>
          <w:sz w:val="24"/>
          <w:highlight w:val="none"/>
        </w:rPr>
      </w:pPr>
      <w:r>
        <w:rPr>
          <w:rFonts w:hint="eastAsia" w:ascii="宋体" w:hAnsi="宋体" w:cs="宋体"/>
          <w:color w:val="000000"/>
          <w:sz w:val="24"/>
          <w:highlight w:val="none"/>
        </w:rPr>
      </w:r>
      <w:r/>
    </w:p>
    <w:p>
      <w:pPr>
        <w:ind w:firstLine="364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（电子签章）</w:t>
      </w:r>
      <w:r/>
    </w:p>
    <w:p>
      <w:pPr>
        <w:ind w:firstLine="36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p>
    <w:p>
      <w:pPr>
        <w:rPr>
          <w:rFonts w:hint="eastAsia" w:ascii="宋体" w:hAnsi="宋体" w:cs="宋体"/>
          <w:color w:val="000000"/>
          <w:sz w:val="24"/>
          <w:highlight w:val="none"/>
        </w:rPr>
      </w:pPr>
      <w:r>
        <w:rPr>
          <w:rFonts w:hint="eastAsia" w:ascii="宋体" w:hAnsi="宋体" w:cs="宋体"/>
          <w:color w:val="000000"/>
          <w:sz w:val="24"/>
          <w:highlight w:val="none"/>
        </w:rPr>
      </w:r>
      <w:r/>
    </w:p>
    <w:p>
      <w:pPr>
        <w:ind w:firstLine="560"/>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注：</w:t>
      </w:r>
      <w:r/>
    </w:p>
    <w:p>
      <w:pPr>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1、如果不提供详细分项报价将视为没有实质性响应招标文件。</w:t>
      </w:r>
      <w:r/>
    </w:p>
    <w:p>
      <w:pPr>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2、投标人对以上数据的真实性负责。</w:t>
      </w:r>
      <w:r/>
    </w:p>
    <w:p>
      <w:pPr>
        <w:jc w:val="lef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采购人或采购代理机构有权将以上内容进行公示。</w:t>
      </w:r>
      <w:r/>
    </w:p>
    <w:p>
      <w:pPr>
        <w:jc w:val="center"/>
        <w:spacing w:line="479" w:lineRule="atLeast"/>
        <w:rPr>
          <w:rFonts w:hint="eastAsia" w:ascii="宋体" w:hAnsi="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br w:type="page" w:clear="all"/>
      </w:r>
      <w:r>
        <w:rPr>
          <w:rFonts w:hint="eastAsia" w:ascii="宋体" w:hAnsi="宋体" w:cs="宋体"/>
          <w:b/>
          <w:bCs/>
          <w:color w:val="000000"/>
          <w:sz w:val="32"/>
          <w:szCs w:val="32"/>
          <w:highlight w:val="none"/>
        </w:rPr>
        <w:t xml:space="preserve">四、偏离表格式</w:t>
      </w:r>
      <w:r/>
    </w:p>
    <w:p>
      <w:pPr>
        <w:spacing w:line="479" w:lineRule="atLeas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项目编号：</w:t>
      </w:r>
      <w:r/>
    </w:p>
    <w:p>
      <w:pPr>
        <w:spacing w:line="479" w:lineRule="atLeas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项目名称：</w:t>
      </w:r>
      <w:r/>
    </w:p>
    <w:tbl>
      <w:tblPr>
        <w:tblStyle w:val="802"/>
        <w:tblW w:w="851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序号</w:t>
            </w:r>
            <w:r/>
          </w:p>
        </w:tc>
        <w:tc>
          <w:tcPr>
            <w:tcMar>
              <w:left w:w="108" w:type="dxa"/>
              <w:top w:w="0" w:type="dxa"/>
              <w:right w:w="108" w:type="dxa"/>
              <w:bottom w:w="0" w:type="dxa"/>
            </w:tcMar>
            <w:tcW w:w="1514" w:type="dxa"/>
            <w:vAlign w:val="center"/>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偏离内容</w:t>
            </w:r>
            <w:r/>
          </w:p>
        </w:tc>
        <w:tc>
          <w:tcPr>
            <w:tcMar>
              <w:left w:w="108" w:type="dxa"/>
              <w:top w:w="0" w:type="dxa"/>
              <w:right w:w="108" w:type="dxa"/>
              <w:bottom w:w="0" w:type="dxa"/>
            </w:tcMar>
            <w:tcW w:w="1500" w:type="dxa"/>
            <w:vAlign w:val="center"/>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招标文件的要求</w:t>
            </w:r>
            <w:r/>
          </w:p>
        </w:tc>
        <w:tc>
          <w:tcPr>
            <w:tcMar>
              <w:left w:w="108" w:type="dxa"/>
              <w:top w:w="0" w:type="dxa"/>
              <w:right w:w="108" w:type="dxa"/>
              <w:bottom w:w="0" w:type="dxa"/>
            </w:tcMar>
            <w:tcW w:w="1681" w:type="dxa"/>
            <w:vAlign w:val="center"/>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说明</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514"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500"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681"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380"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c>
          <w:tcPr>
            <w:tcMar>
              <w:left w:w="108" w:type="dxa"/>
              <w:top w:w="0" w:type="dxa"/>
              <w:right w:w="108" w:type="dxa"/>
              <w:bottom w:w="0" w:type="dxa"/>
            </w:tcMar>
            <w:tcW w:w="1597"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c>
          <w:tcPr>
            <w:tcMar>
              <w:left w:w="108" w:type="dxa"/>
              <w:top w:w="0" w:type="dxa"/>
              <w:right w:w="108" w:type="dxa"/>
              <w:bottom w:w="0" w:type="dxa"/>
            </w:tcMar>
            <w:tcW w:w="1514"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c>
          <w:tcPr>
            <w:tcMar>
              <w:left w:w="108" w:type="dxa"/>
              <w:top w:w="0" w:type="dxa"/>
              <w:right w:w="108" w:type="dxa"/>
              <w:bottom w:w="0" w:type="dxa"/>
            </w:tcMar>
            <w:tcW w:w="1500"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c>
          <w:tcPr>
            <w:tcMar>
              <w:left w:w="108" w:type="dxa"/>
              <w:top w:w="0" w:type="dxa"/>
              <w:right w:w="108" w:type="dxa"/>
              <w:bottom w:w="0" w:type="dxa"/>
            </w:tcMar>
            <w:tcW w:w="1681"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c>
          <w:tcPr>
            <w:tcMar>
              <w:left w:w="108" w:type="dxa"/>
              <w:top w:w="0" w:type="dxa"/>
              <w:right w:w="108" w:type="dxa"/>
              <w:bottom w:w="0" w:type="dxa"/>
            </w:tcMar>
            <w:tcW w:w="1380"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c>
          <w:tcPr>
            <w:tcMar>
              <w:left w:w="108" w:type="dxa"/>
              <w:top w:w="0" w:type="dxa"/>
              <w:right w:w="108" w:type="dxa"/>
              <w:bottom w:w="0" w:type="dxa"/>
            </w:tcMar>
            <w:tcW w:w="1597"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c>
          <w:tcPr>
            <w:tcMar>
              <w:left w:w="108" w:type="dxa"/>
              <w:top w:w="0" w:type="dxa"/>
              <w:right w:w="108" w:type="dxa"/>
              <w:bottom w:w="0" w:type="dxa"/>
            </w:tcMar>
            <w:tcW w:w="1514"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c>
          <w:tcPr>
            <w:tcMar>
              <w:left w:w="108" w:type="dxa"/>
              <w:top w:w="0" w:type="dxa"/>
              <w:right w:w="108" w:type="dxa"/>
              <w:bottom w:w="0" w:type="dxa"/>
            </w:tcMar>
            <w:tcW w:w="1500"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c>
          <w:tcPr>
            <w:tcMar>
              <w:left w:w="108" w:type="dxa"/>
              <w:top w:w="0" w:type="dxa"/>
              <w:right w:w="108" w:type="dxa"/>
              <w:bottom w:w="0" w:type="dxa"/>
            </w:tcMar>
            <w:tcW w:w="1681"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c>
          <w:tcPr>
            <w:tcMar>
              <w:left w:w="108" w:type="dxa"/>
              <w:top w:w="0" w:type="dxa"/>
              <w:right w:w="108" w:type="dxa"/>
              <w:bottom w:w="0" w:type="dxa"/>
            </w:tcMar>
            <w:tcW w:w="1380"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c>
          <w:tcPr>
            <w:tcMar>
              <w:left w:w="108" w:type="dxa"/>
              <w:top w:w="0" w:type="dxa"/>
              <w:right w:w="108" w:type="dxa"/>
              <w:bottom w:w="0" w:type="dxa"/>
            </w:tcMar>
            <w:tcW w:w="1597"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r>
      <w:tr>
        <w:trPr>
          <w:trHeight w:val="794"/>
        </w:trPr>
        <w:tc>
          <w:tcPr>
            <w:tcMar>
              <w:left w:w="108" w:type="dxa"/>
              <w:top w:w="0" w:type="dxa"/>
              <w:right w:w="108" w:type="dxa"/>
              <w:bottom w:w="0" w:type="dxa"/>
            </w:tcMar>
            <w:tcW w:w="844"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c>
          <w:tcPr>
            <w:tcMar>
              <w:left w:w="108" w:type="dxa"/>
              <w:top w:w="0" w:type="dxa"/>
              <w:right w:w="108" w:type="dxa"/>
              <w:bottom w:w="0" w:type="dxa"/>
            </w:tcMar>
            <w:tcW w:w="1514"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c>
          <w:tcPr>
            <w:tcMar>
              <w:left w:w="108" w:type="dxa"/>
              <w:top w:w="0" w:type="dxa"/>
              <w:right w:w="108" w:type="dxa"/>
              <w:bottom w:w="0" w:type="dxa"/>
            </w:tcMar>
            <w:tcW w:w="1500"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c>
          <w:tcPr>
            <w:tcMar>
              <w:left w:w="108" w:type="dxa"/>
              <w:top w:w="0" w:type="dxa"/>
              <w:right w:w="108" w:type="dxa"/>
              <w:bottom w:w="0" w:type="dxa"/>
            </w:tcMar>
            <w:tcW w:w="1681"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c>
          <w:tcPr>
            <w:tcMar>
              <w:left w:w="108" w:type="dxa"/>
              <w:top w:w="0" w:type="dxa"/>
              <w:right w:w="108" w:type="dxa"/>
              <w:bottom w:w="0" w:type="dxa"/>
            </w:tcMar>
            <w:tcW w:w="1380"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c>
          <w:tcPr>
            <w:tcMar>
              <w:left w:w="108" w:type="dxa"/>
              <w:top w:w="0" w:type="dxa"/>
              <w:right w:w="108" w:type="dxa"/>
              <w:bottom w:w="0" w:type="dxa"/>
            </w:tcMar>
            <w:tcW w:w="1597" w:type="dxa"/>
            <w:vAlign w:val="top"/>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tc>
      </w:tr>
    </w:tbl>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注</w:t>
      </w:r>
      <w:r>
        <w:rPr>
          <w:rFonts w:hint="eastAsia" w:ascii="宋体" w:hAnsi="宋体" w:cs="宋体"/>
          <w:color w:val="000000"/>
          <w:sz w:val="24"/>
          <w:highlight w:val="none"/>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p>
      <w:pPr>
        <w:spacing w:line="71" w:lineRule="atLeas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（电子签章）</w:t>
      </w:r>
      <w:r/>
    </w:p>
    <w:p>
      <w:pPr>
        <w:ind w:firstLine="3900"/>
        <w:spacing w:line="85" w:lineRule="atLeas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p>
      <w:pPr>
        <w:spacing w:line="85" w:lineRule="atLeas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日期： 年 月 日</w:t>
      </w:r>
      <w:r/>
    </w:p>
    <w:p>
      <w:pPr>
        <w:ind w:firstLine="600"/>
        <w:spacing w:line="479"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highlight w:val="none"/>
        </w:rPr>
        <w:t xml:space="preserve">  </w:t>
      </w:r>
      <w:r/>
    </w:p>
    <w:p>
      <w:pPr>
        <w:jc w:val="center"/>
        <w:spacing w:line="479" w:lineRule="atLeast"/>
        <w:rPr>
          <w:rFonts w:hint="eastAsia" w:ascii="宋体" w:hAnsi="宋体" w:cs="宋体"/>
          <w:b/>
          <w:bCs/>
          <w:color w:val="000000"/>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bCs/>
          <w:color w:val="000000"/>
          <w:sz w:val="32"/>
          <w:szCs w:val="32"/>
          <w:highlight w:val="none"/>
        </w:rPr>
      </w:r>
      <w:r/>
    </w:p>
    <w:p>
      <w:pPr>
        <w:jc w:val="center"/>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highlight w:val="none"/>
        </w:rPr>
        <w:t xml:space="preserve">五、授权委托书格式</w:t>
      </w:r>
      <w:r/>
    </w:p>
    <w:p>
      <w:pPr>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r>
      <w:r/>
    </w:p>
    <w:p>
      <w:pPr>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委托人：</w:t>
      </w:r>
      <w:r/>
    </w:p>
    <w:p>
      <w:pPr>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地址：</w:t>
      </w:r>
      <w:r/>
    </w:p>
    <w:p>
      <w:pPr>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法定代表人：</w:t>
      </w:r>
      <w:r/>
    </w:p>
    <w:p>
      <w:pPr>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职务：</w:t>
      </w:r>
      <w:r/>
    </w:p>
    <w:p>
      <w:pPr>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统一社会信用代码：</w:t>
      </w:r>
      <w:r/>
    </w:p>
    <w:p>
      <w:pPr>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受托人：        性别：男（女）</w:t>
      </w:r>
      <w:r/>
    </w:p>
    <w:p>
      <w:pPr>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年龄：  岁      民族：  族</w:t>
      </w:r>
      <w:r/>
    </w:p>
    <w:p>
      <w:pPr>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职务：</w:t>
      </w:r>
      <w:r/>
    </w:p>
    <w:p>
      <w:pPr>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身份证号：</w:t>
      </w:r>
      <w:r/>
    </w:p>
    <w:p>
      <w:pPr>
        <w:ind w:firstLine="600"/>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兹委托（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）全权代表我企业（公司）参与（</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）项目（项目编号：</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）的招、投标活动及签订合同。（</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）以我企业（公司）名义所为的法律行为及签署的文件，我企业（公司）均予以认可。有关法律责任均由我企业（公司）承担。（</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）无转委托权。</w:t>
      </w:r>
      <w:r/>
    </w:p>
    <w:p>
      <w:pPr>
        <w:ind w:firstLine="600"/>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委托期限自</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年</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月</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日起至</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年</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月</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日止。</w:t>
      </w:r>
      <w:r/>
    </w:p>
    <w:p>
      <w:pPr>
        <w:ind w:firstLine="630"/>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特此授权委托。</w:t>
      </w:r>
      <w:r/>
    </w:p>
    <w:p>
      <w:pPr>
        <w:ind w:firstLine="600"/>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r>
      <w:r/>
    </w:p>
    <w:p>
      <w:pPr>
        <w:ind w:firstLine="600"/>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rPr>
        <w:t xml:space="preserve">委托人（电子签章）：</w:t>
      </w:r>
      <w:r/>
    </w:p>
    <w:p>
      <w:pPr>
        <w:ind w:firstLine="600"/>
        <w:spacing w:line="360" w:lineRule="auto"/>
        <w:rPr>
          <w:rFonts w:hint="eastAsia" w:ascii="宋体" w:hAnsi="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rPr>
        <w:t xml:space="preserve">法定代表人（签字或盖章）： </w:t>
      </w:r>
      <w:r/>
    </w:p>
    <w:p>
      <w:pPr>
        <w:ind w:firstLine="600"/>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rPr>
        <w:t xml:space="preserve">受托人（签字或盖章）：</w:t>
      </w:r>
      <w:r/>
    </w:p>
    <w:p>
      <w:pPr>
        <w:pStyle w:val="842"/>
        <w:ind w:left="0" w:firstLine="602"/>
        <w:spacing w:line="360" w:lineRule="auto"/>
        <w:rPr>
          <w:rFonts w:hint="eastAsia" w:ascii="宋体" w:hAnsi="宋体" w:cs="宋体"/>
          <w:color w:val="000000"/>
          <w:sz w:val="28"/>
          <w:szCs w:val="28"/>
          <w:highlight w:val="none"/>
        </w:rPr>
      </w:pPr>
      <w:r>
        <w:rPr>
          <w:rFonts w:hint="eastAsia" w:ascii="宋体" w:hAnsi="宋体" w:cs="宋体"/>
          <w:b/>
          <w:bCs/>
          <w:color w:val="000000"/>
          <w:sz w:val="28"/>
          <w:szCs w:val="28"/>
          <w:highlight w:val="none"/>
        </w:rPr>
        <w:t xml:space="preserve">受托人联系方式：                   邮箱：</w:t>
      </w:r>
      <w:r/>
    </w:p>
    <w:p>
      <w:pPr>
        <w:ind w:right="600" w:firstLine="6150"/>
        <w:spacing w:line="360" w:lineRule="auto"/>
        <w:rPr>
          <w:rFonts w:hint="eastAsia" w:ascii="宋体" w:hAnsi="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年  月  日 </w:t>
      </w:r>
      <w:r/>
    </w:p>
    <w:p>
      <w:pPr>
        <w:spacing w:line="360" w:lineRule="auto"/>
        <w:rPr>
          <w:rFonts w:hint="eastAsia" w:ascii="宋体" w:hAnsi="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rPr>
        <w:t xml:space="preserve">(</w:t>
      </w:r>
      <w:r>
        <w:rPr>
          <w:rFonts w:hint="eastAsia" w:ascii="宋体" w:hAnsi="宋体" w:cs="宋体"/>
          <w:b/>
          <w:bCs/>
          <w:color w:val="000000"/>
          <w:sz w:val="28"/>
          <w:szCs w:val="28"/>
          <w:highlight w:val="none"/>
          <w:lang w:val="en-US" w:eastAsia="zh-CN"/>
        </w:rPr>
        <w:t xml:space="preserve">有效期内的</w:t>
      </w:r>
      <w:r>
        <w:rPr>
          <w:rFonts w:hint="eastAsia" w:ascii="宋体" w:hAnsi="宋体" w:cs="宋体"/>
          <w:b/>
          <w:bCs/>
          <w:color w:val="000000"/>
          <w:sz w:val="28"/>
          <w:szCs w:val="28"/>
          <w:highlight w:val="none"/>
        </w:rPr>
        <w:t xml:space="preserve">受托人身份证扫描件附后)</w:t>
      </w:r>
      <w:r/>
    </w:p>
    <w:p>
      <w:pPr>
        <w:jc w:val="center"/>
        <w:spacing w:before="100" w:after="100" w:line="479" w:lineRule="atLeast"/>
        <w:rPr>
          <w:rFonts w:hint="eastAsia" w:ascii="宋体" w:hAnsi="宋体" w:cs="宋体"/>
          <w:b/>
          <w:bCs/>
          <w:color w:val="000000"/>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bCs/>
          <w:color w:val="000000"/>
          <w:sz w:val="28"/>
          <w:szCs w:val="28"/>
          <w:highlight w:val="none"/>
        </w:rPr>
      </w:r>
      <w:r/>
    </w:p>
    <w:p>
      <w:pPr>
        <w:ind w:firstLine="600"/>
        <w:jc w:val="center"/>
        <w:spacing w:before="100" w:after="100" w:line="360" w:lineRule="auto"/>
        <w:rPr>
          <w:rFonts w:hint="eastAsia" w:ascii="宋体" w:hAnsi="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highlight w:val="none"/>
        </w:rPr>
        <w:t xml:space="preserve">六、中小企业声明函格式</w:t>
      </w:r>
      <w:r/>
    </w:p>
    <w:p>
      <w:pPr>
        <w:jc w:val="center"/>
        <w:spacing w:line="24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中小企业声明函</w:t>
      </w:r>
      <w:r/>
    </w:p>
    <w:p>
      <w:pPr>
        <w:spacing w:line="24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项目编号：</w:t>
      </w:r>
      <w:r/>
    </w:p>
    <w:p>
      <w:pPr>
        <w:spacing w:line="24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项目名称：</w:t>
      </w:r>
      <w:r/>
    </w:p>
    <w:p>
      <w:pPr>
        <w:ind w:firstLine="480"/>
        <w:spacing w:line="24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本公司郑重声明，根据《政府采购促进中小企业发展管理办法》（财库[2020]46号）的规定，本公司参</w:t>
      </w:r>
      <w:bookmarkStart w:id="7" w:name="_GoBack"/>
      <w:r/>
      <w:bookmarkEnd w:id="7"/>
      <w:r>
        <w:rPr>
          <w:rFonts w:hint="eastAsia" w:ascii="宋体" w:hAnsi="宋体" w:cs="宋体"/>
          <w:color w:val="000000"/>
          <w:sz w:val="28"/>
          <w:szCs w:val="28"/>
          <w:highlight w:val="none"/>
        </w:rPr>
        <w:t xml:space="preserve">加（</w:t>
      </w:r>
      <w:r>
        <w:rPr>
          <w:rFonts w:hint="eastAsia" w:ascii="宋体" w:hAnsi="宋体" w:cs="宋体"/>
          <w:color w:val="000000"/>
          <w:sz w:val="28"/>
          <w:szCs w:val="28"/>
          <w:highlight w:val="none"/>
          <w:u w:val="single"/>
          <w:lang w:eastAsia="zh-CN"/>
        </w:rPr>
        <w:t xml:space="preserve">徐州市供排水管理中心</w:t>
      </w:r>
      <w:r>
        <w:rPr>
          <w:rFonts w:hint="eastAsia" w:ascii="宋体" w:hAnsi="宋体" w:cs="宋体"/>
          <w:color w:val="000000"/>
          <w:sz w:val="28"/>
          <w:szCs w:val="28"/>
          <w:highlight w:val="none"/>
        </w:rPr>
        <w:t xml:space="preserve">）的（</w:t>
      </w:r>
      <w:r>
        <w:rPr>
          <w:rFonts w:hint="eastAsia" w:ascii="宋体" w:hAnsi="宋体" w:cs="宋体"/>
          <w:color w:val="000000"/>
          <w:sz w:val="28"/>
          <w:szCs w:val="28"/>
          <w:highlight w:val="none"/>
          <w:u w:val="single"/>
          <w:lang w:eastAsia="zh-CN"/>
        </w:rPr>
        <w:t xml:space="preserve">徐州市供排水管理中心防汛车辆购置</w:t>
      </w:r>
      <w:r>
        <w:rPr>
          <w:rFonts w:hint="eastAsia" w:ascii="宋体" w:hAnsi="宋体" w:cs="宋体"/>
          <w:color w:val="000000"/>
          <w:sz w:val="28"/>
          <w:szCs w:val="28"/>
          <w:highlight w:val="none"/>
        </w:rPr>
        <w:t xml:space="preserve">）采购活动，提供的货物全部由符合政策要求的中小企业制造。相关企业的具体情况如下：</w:t>
      </w:r>
      <w:r/>
    </w:p>
    <w:p>
      <w:pPr>
        <w:pStyle w:val="881"/>
        <w:ind w:left="0" w:firstLine="560"/>
        <w:spacing w:after="0" w:line="24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w:t>
      </w:r>
      <w:r>
        <w:rPr>
          <w:rFonts w:ascii="宋体" w:hAnsi="宋体"/>
          <w:color w:val="000000" w:themeColor="text1"/>
          <w:sz w:val="24"/>
          <w:highlight w:val="none"/>
          <w:u w:val="single"/>
          <w14:textFill>
            <w14:solidFill>
              <w14:schemeClr w14:val="tx1"/>
            </w14:solidFill>
          </w14:textFill>
        </w:rPr>
        <w:t xml:space="preserve">（标的名称）</w:t>
      </w:r>
      <w:r>
        <w:rPr>
          <w:rFonts w:hint="eastAsia" w:ascii="宋体" w:hAnsi="宋体" w:cs="宋体"/>
          <w:color w:val="000000"/>
          <w:sz w:val="28"/>
          <w:szCs w:val="28"/>
          <w:highlight w:val="none"/>
        </w:rPr>
        <w:t xml:space="preserve">，属于（</w:t>
      </w:r>
      <w:r>
        <w:rPr>
          <w:rFonts w:hint="eastAsia" w:ascii="宋体" w:hAnsi="宋体" w:cs="宋体"/>
          <w:color w:val="000000"/>
          <w:sz w:val="28"/>
          <w:szCs w:val="28"/>
          <w:highlight w:val="none"/>
          <w:u w:val="single"/>
          <w:lang w:val="en-US" w:eastAsia="zh-CN"/>
        </w:rPr>
        <w:t xml:space="preserve">    </w:t>
      </w:r>
      <w:r>
        <w:rPr>
          <w:rFonts w:hint="eastAsia" w:ascii="宋体" w:hAnsi="宋体" w:cs="宋体"/>
          <w:color w:val="000000"/>
          <w:sz w:val="28"/>
          <w:szCs w:val="28"/>
          <w:highlight w:val="none"/>
          <w:lang w:val="en-US" w:eastAsia="zh-CN"/>
        </w:rPr>
        <w:t xml:space="preserve"> </w:t>
      </w:r>
      <w:r>
        <w:rPr>
          <w:rFonts w:hint="eastAsia" w:ascii="宋体" w:hAnsi="宋体" w:cs="宋体"/>
          <w:color w:val="000000"/>
          <w:sz w:val="28"/>
          <w:szCs w:val="28"/>
          <w:highlight w:val="none"/>
        </w:rPr>
        <w:t xml:space="preserve">）行业；制造商为（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u w:val="single"/>
          <w:lang w:val="en-US" w:eastAsia="zh-CN"/>
        </w:rPr>
        <w:t xml:space="preserve"> </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）（企业名称），从业人员（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（□中型企业、□小型企业、□微型企业，请填写或勾选！）；</w:t>
      </w:r>
      <w:r/>
    </w:p>
    <w:p>
      <w:pPr>
        <w:pStyle w:val="881"/>
        <w:ind w:left="0" w:firstLine="560"/>
        <w:spacing w:after="0" w:line="24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w:t>
      </w:r>
      <w:r/>
    </w:p>
    <w:p>
      <w:pPr>
        <w:pStyle w:val="881"/>
        <w:ind w:left="0" w:firstLine="560"/>
        <w:spacing w:after="0" w:line="24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以上企业，不属于大企业的分支机构，不存在控股股东为大企业的情形，也不存在与大企业的负责人为同一人的情形。</w:t>
      </w:r>
      <w:r/>
    </w:p>
    <w:p>
      <w:pPr>
        <w:ind w:firstLine="560"/>
        <w:spacing w:line="24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本企业对上述声明内容的真实性负责。如有虚假，将依法承担相应责任。</w:t>
      </w:r>
      <w:r/>
    </w:p>
    <w:p>
      <w:pPr>
        <w:pStyle w:val="881"/>
        <w:ind w:left="0"/>
        <w:spacing w:after="0" w:line="24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881"/>
        <w:ind w:left="0"/>
        <w:spacing w:after="0" w:line="24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881"/>
        <w:ind w:left="0"/>
        <w:spacing w:after="0" w:line="24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企业名称（电子签章）：</w:t>
      </w:r>
      <w:r/>
    </w:p>
    <w:p>
      <w:pPr>
        <w:pStyle w:val="881"/>
        <w:ind w:left="0"/>
        <w:spacing w:after="0" w:line="24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日期：  年  月  日</w:t>
      </w:r>
      <w:r/>
    </w:p>
    <w:p>
      <w:pPr>
        <w:pStyle w:val="881"/>
        <w:ind w:left="0"/>
        <w:jc w:val="left"/>
        <w:spacing w:after="0" w:line="24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881"/>
        <w:ind w:left="0"/>
        <w:jc w:val="left"/>
        <w:spacing w:after="0" w:line="24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81"/>
        <w:ind w:left="0"/>
        <w:jc w:val="left"/>
        <w:spacing w:after="0" w:line="24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81"/>
        <w:ind w:left="0"/>
        <w:jc w:val="left"/>
        <w:spacing w:after="0"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说明：</w:t>
      </w:r>
      <w:r/>
    </w:p>
    <w:p>
      <w:pPr>
        <w:pStyle w:val="881"/>
        <w:ind w:left="0"/>
        <w:spacing w:after="0"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81"/>
        <w:ind w:left="0"/>
        <w:spacing w:after="0"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2、从业人员、营业收入、资产总额填报供应商上一年度数据，无上一年度数据的新成立企业可不填报。</w:t>
      </w:r>
      <w:r/>
    </w:p>
    <w:p>
      <w:pPr>
        <w:pStyle w:val="881"/>
        <w:ind w:left="0"/>
        <w:spacing w:after="0"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3、中标、成交供应商为小型、微型企业的，采购人或者其委托的采购代理机构有权随中标、成交结果同时公告其《中小企业声明函》，接受社会监督。</w:t>
      </w:r>
      <w:r/>
    </w:p>
    <w:p>
      <w:pPr>
        <w:pStyle w:val="881"/>
        <w:ind w:left="0"/>
        <w:spacing w:after="0"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4、执行江苏省财政厅关于进一步加大政府采购支持中小企业力度的通知（苏财购〔2022〕45号）的规定。</w:t>
      </w:r>
      <w:r/>
    </w:p>
    <w:p>
      <w:pPr>
        <w:pStyle w:val="881"/>
        <w:ind w:left="0"/>
        <w:spacing w:after="0"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5、供应商提供的《中小企业声明函》与事实不符的，依照《中华人民共和国政府采购法》第七十七条第一款的规定追究法律责任。</w:t>
      </w:r>
      <w:r/>
    </w:p>
    <w:p>
      <w:pPr>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numPr>
          <w:ilvl w:val="0"/>
          <w:numId w:val="0"/>
        </w:numPr>
        <w:jc w:val="center"/>
        <w:spacing w:line="360" w:lineRule="auto"/>
        <w:rPr>
          <w:rFonts w:hint="eastAsia" w:ascii="宋体" w:hAnsi="宋体" w:cs="宋体"/>
          <w:b/>
          <w:bCs/>
          <w:color w:val="000000"/>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color w:val="000000"/>
          <w:sz w:val="24"/>
          <w:highlight w:val="none"/>
        </w:rPr>
        <mc:AlternateContent>
          <mc:Choice Requires="wpg">
            <w:drawing>
              <wp:inline xmlns:wp="http://schemas.openxmlformats.org/drawingml/2006/wordprocessingDrawing" distT="0" distB="0" distL="0" distR="0">
                <wp:extent cx="2439670" cy="4506595"/>
                <wp:effectExtent l="0" t="0" r="17780" b="8255"/>
                <wp:docPr id="5" name="图片 16"/>
                <wp:cNvGraphicFramePr/>
                <a:graphic xmlns:a="http://schemas.openxmlformats.org/drawingml/2006/main">
                  <a:graphicData uri="http://schemas.openxmlformats.org/drawingml/2006/picture">
                    <pic:pic xmlns:pic="http://schemas.openxmlformats.org/drawingml/2006/picture">
                      <pic:nvPicPr>
                        <pic:cNvPr id="5" name="图片 16"/>
                        <pic:cNvPicPr/>
                        <pic:nvPr/>
                      </pic:nvPicPr>
                      <pic:blipFill>
                        <a:blip r:embed="rId17"/>
                        <a:stretch/>
                      </pic:blipFill>
                      <pic:spPr bwMode="auto">
                        <a:xfrm>
                          <a:off x="0" y="0"/>
                          <a:ext cx="2439670" cy="45065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92.1pt;height:354.8pt;mso-wrap-distance-left:0.0pt;mso-wrap-distance-top:0.0pt;mso-wrap-distance-right:0.0pt;mso-wrap-distance-bottom:0.0pt;" stroked="f">
                <v:path textboxrect="0,0,0,0"/>
                <v:imagedata r:id="rId17" o:title=""/>
              </v:shape>
            </w:pict>
          </mc:Fallback>
        </mc:AlternateContent>
      </w:r>
      <w:r/>
    </w:p>
    <w:p>
      <w:pPr>
        <w:numPr>
          <w:ilvl w:val="0"/>
          <w:numId w:val="5"/>
        </w:numPr>
        <w:ind w:firstLine="600"/>
        <w:jc w:val="center"/>
        <w:spacing w:line="360" w:lineRule="auto"/>
        <w:rPr>
          <w:rFonts w:hint="eastAsia" w:ascii="宋体" w:hAnsi="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highlight w:val="none"/>
        </w:rPr>
        <w:t xml:space="preserve">残疾人福利性单位声明函格式</w:t>
      </w:r>
      <w:r/>
    </w:p>
    <w:p>
      <w:pPr>
        <w:pStyle w:val="930"/>
        <w:ind w:firstLine="0"/>
        <w:jc w:val="both"/>
        <w:rPr>
          <w:rFonts w:hint="eastAsia"/>
          <w:color w:val="000000"/>
          <w:highlight w:val="none"/>
        </w:rPr>
      </w:pPr>
      <w:r>
        <w:rPr>
          <w:rFonts w:hint="eastAsia"/>
          <w:color w:val="000000"/>
          <w:highlight w:val="none"/>
        </w:rPr>
      </w:r>
      <w:r/>
    </w:p>
    <w:p>
      <w:pPr>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8"/>
          <w:szCs w:val="28"/>
          <w:highlight w:val="none"/>
        </w:rPr>
        <w:t xml:space="preserve">项目编号：</w:t>
      </w:r>
      <w:r/>
    </w:p>
    <w:p>
      <w:pPr>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8"/>
          <w:szCs w:val="28"/>
          <w:highlight w:val="none"/>
        </w:rPr>
        <w:t xml:space="preserve">项目名称：</w:t>
      </w:r>
      <w:r/>
    </w:p>
    <w:p>
      <w:pPr>
        <w:ind w:firstLine="624"/>
        <w:spacing w:line="360" w:lineRule="auto"/>
        <w:rPr>
          <w:rFonts w:hint="eastAsia" w:ascii="宋体" w:hAnsi="宋体" w:cs="宋体"/>
          <w:color w:val="000000"/>
          <w:spacing w:val="6"/>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8"/>
          <w:szCs w:val="28"/>
          <w:highlight w:val="none"/>
        </w:rPr>
      </w:r>
      <w:r/>
    </w:p>
    <w:p>
      <w:pPr>
        <w:ind w:firstLine="624"/>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8"/>
          <w:szCs w:val="28"/>
          <w:highlight w:val="none"/>
        </w:rPr>
        <w:t xml:space="preserve">本单位郑重声明，根据《财政部 民政部 中国残疾人联合会关于促进残疾人就业政府采购政策的通知》（财库</w:t>
      </w:r>
      <w:r>
        <w:rPr>
          <w:rFonts w:hint="eastAsia" w:ascii="宋体" w:hAnsi="宋体" w:cs="宋体"/>
          <w:color w:val="000000"/>
          <w:sz w:val="28"/>
          <w:szCs w:val="28"/>
          <w:highlight w:val="none"/>
        </w:rPr>
        <w:t xml:space="preserve">〔2017〕141</w:t>
      </w:r>
      <w:r>
        <w:rPr>
          <w:rFonts w:hint="eastAsia" w:ascii="宋体" w:hAnsi="宋体" w:cs="宋体"/>
          <w:color w:val="000000"/>
          <w:spacing w:val="6"/>
          <w:sz w:val="28"/>
          <w:szCs w:val="28"/>
          <w:highlight w:val="none"/>
        </w:rPr>
        <w:t xml:space="preserve">号）的规定，本单位为符合条件的残疾人福利性单位，且本单位参加</w:t>
      </w:r>
      <w:r>
        <w:rPr>
          <w:rFonts w:hint="eastAsia" w:ascii="宋体" w:hAnsi="宋体" w:cs="宋体"/>
          <w:color w:val="000000"/>
          <w:sz w:val="28"/>
          <w:szCs w:val="28"/>
          <w:highlight w:val="none"/>
          <w:u w:val="single"/>
        </w:rPr>
        <w:t xml:space="preserve">    </w:t>
      </w:r>
      <w:r>
        <w:rPr>
          <w:rFonts w:hint="eastAsia" w:ascii="宋体" w:hAnsi="宋体" w:cs="宋体"/>
          <w:color w:val="000000"/>
          <w:spacing w:val="6"/>
          <w:sz w:val="28"/>
          <w:szCs w:val="28"/>
          <w:highlight w:val="none"/>
        </w:rPr>
        <w:t xml:space="preserve">单位的</w:t>
      </w:r>
      <w:r>
        <w:rPr>
          <w:rFonts w:hint="eastAsia" w:ascii="宋体" w:hAnsi="宋体" w:cs="宋体"/>
          <w:color w:val="000000"/>
          <w:sz w:val="28"/>
          <w:szCs w:val="28"/>
          <w:highlight w:val="none"/>
          <w:u w:val="single"/>
        </w:rPr>
        <w:t xml:space="preserve">       </w:t>
      </w:r>
      <w:r>
        <w:rPr>
          <w:rFonts w:hint="eastAsia" w:ascii="宋体" w:hAnsi="宋体" w:cs="宋体"/>
          <w:color w:val="000000"/>
          <w:spacing w:val="6"/>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8"/>
          <w:szCs w:val="28"/>
          <w:highlight w:val="none"/>
        </w:rPr>
        <w:t xml:space="preserve">本单位对上述声明的真实性负责。如有虚假，将依法承担相应责任。</w:t>
      </w:r>
      <w:r/>
    </w:p>
    <w:p>
      <w:pPr>
        <w:ind w:firstLine="624"/>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8"/>
          <w:szCs w:val="28"/>
          <w:highlight w:val="none"/>
        </w:rPr>
        <w:t xml:space="preserve"> </w:t>
      </w:r>
      <w:r/>
    </w:p>
    <w:p>
      <w:pPr>
        <w:ind w:firstLine="624"/>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8"/>
          <w:szCs w:val="28"/>
          <w:highlight w:val="none"/>
        </w:rPr>
        <w:t xml:space="preserve"> </w:t>
      </w:r>
      <w:r/>
    </w:p>
    <w:p>
      <w:pPr>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投标人：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（电子签章）</w:t>
      </w:r>
      <w:r/>
    </w:p>
    <w:p>
      <w:pPr>
        <w:ind w:firstLine="4500"/>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 </w:t>
      </w:r>
      <w:r/>
    </w:p>
    <w:p>
      <w:pPr>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日期： 年 月 日</w:t>
      </w:r>
      <w:r/>
    </w:p>
    <w:p>
      <w:pPr>
        <w:ind w:firstLine="4500"/>
        <w:spacing w:line="479"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highlight w:val="none"/>
        </w:rPr>
        <w:t xml:space="preserve"> </w:t>
      </w:r>
      <w:r/>
    </w:p>
    <w:p>
      <w:pPr>
        <w:ind w:firstLine="600"/>
        <w:spacing w:line="479"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highlight w:val="none"/>
        </w:rPr>
        <w:t xml:space="preserve"> </w:t>
      </w:r>
      <w:r/>
    </w:p>
    <w:p>
      <w:pPr>
        <w:ind w:firstLine="600"/>
        <w:jc w:val="center"/>
        <w:spacing w:line="479" w:lineRule="atLeast"/>
        <w:rPr>
          <w:rFonts w:hint="eastAsia" w:ascii="宋体" w:hAnsi="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br w:type="page" w:clear="all"/>
      </w:r>
      <w:r>
        <w:rPr>
          <w:rFonts w:hint="eastAsia" w:ascii="宋体" w:hAnsi="宋体" w:cs="宋体"/>
          <w:b/>
          <w:bCs/>
          <w:color w:val="000000"/>
          <w:sz w:val="32"/>
          <w:szCs w:val="32"/>
          <w:highlight w:val="none"/>
        </w:rPr>
        <w:t xml:space="preserve">八、投标人参加政府采购活动前3年内在经营活动中没有重大违法记录的书面声明格式</w:t>
      </w:r>
      <w:r/>
    </w:p>
    <w:p>
      <w:pPr>
        <w:ind w:firstLine="600"/>
        <w:spacing w:line="479"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highlight w:val="none"/>
        </w:rPr>
        <w:t xml:space="preserve"> </w:t>
      </w:r>
      <w:r/>
    </w:p>
    <w:p>
      <w:pPr>
        <w:ind w:firstLine="600"/>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我单位在参加</w:t>
      </w:r>
      <w:r>
        <w:rPr>
          <w:rFonts w:hint="eastAsia" w:ascii="宋体" w:hAnsi="宋体" w:cs="宋体"/>
          <w:color w:val="000000"/>
          <w:sz w:val="28"/>
          <w:szCs w:val="28"/>
          <w:highlight w:val="none"/>
          <w:u w:val="single"/>
          <w:lang w:eastAsia="zh-CN"/>
        </w:rPr>
        <w:t xml:space="preserve">徐州市供排水管理中心防汛车辆购置</w:t>
      </w:r>
      <w:r>
        <w:rPr>
          <w:rFonts w:hint="eastAsia" w:ascii="宋体" w:hAnsi="宋体" w:cs="宋体"/>
          <w:color w:val="000000"/>
          <w:sz w:val="28"/>
          <w:szCs w:val="28"/>
          <w:highlight w:val="none"/>
        </w:rPr>
        <w:t xml:space="preserve">（项目编号：</w:t>
      </w:r>
      <w:r>
        <w:rPr>
          <w:rFonts w:hint="eastAsia" w:ascii="宋体" w:hAnsi="宋体" w:cs="宋体"/>
          <w:color w:val="000000"/>
          <w:sz w:val="28"/>
          <w:szCs w:val="28"/>
          <w:highlight w:val="none"/>
          <w:u w:val="single"/>
          <w:lang w:val="en-US" w:eastAsia="zh-CN"/>
        </w:rPr>
        <w:t xml:space="preserve">JSZC-320300-ZZHQ-G2026-0002</w:t>
      </w:r>
      <w:r>
        <w:rPr>
          <w:rFonts w:hint="eastAsia" w:ascii="宋体" w:hAnsi="宋体" w:cs="宋体"/>
          <w:color w:val="000000"/>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我单位对上述声明的真实性负责。如有虚假，将依法承担相应责任。</w:t>
      </w:r>
      <w:r/>
    </w:p>
    <w:p>
      <w:pPr>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 </w:t>
      </w:r>
      <w:r/>
    </w:p>
    <w:p>
      <w:pPr>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 </w:t>
      </w:r>
      <w:r/>
    </w:p>
    <w:p>
      <w:pPr>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投标人：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（电子签章）</w:t>
      </w:r>
      <w:r/>
    </w:p>
    <w:p>
      <w:pPr>
        <w:ind w:firstLine="4500"/>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 </w:t>
      </w:r>
      <w:r/>
    </w:p>
    <w:p>
      <w:pPr>
        <w:spacing w:line="360" w:lineRule="auto"/>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日期： 年 月 日</w:t>
      </w:r>
      <w:r/>
    </w:p>
    <w:p>
      <w:pPr>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p>
    <w:p>
      <w:pPr>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p>
    <w:p>
      <w:pPr>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p>
    <w:p>
      <w:pPr>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p>
    <w:p>
      <w:pPr>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p>
    <w:p>
      <w:pPr>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p>
    <w:p>
      <w:pPr>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p>
    <w:p>
      <w:pPr>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p>
    <w:p>
      <w:pPr>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p>
    <w:p>
      <w:pPr>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p>
    <w:p>
      <w:pPr>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p>
    <w:p>
      <w:pPr>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p>
    <w:p>
      <w:pPr>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p>
    <w:p>
      <w:pPr>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p>
    <w:p>
      <w:pPr>
        <w:jc w:val="center"/>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 </w:t>
      </w:r>
      <w:r/>
    </w:p>
    <w:p>
      <w:pPr>
        <w:ind w:firstLine="600"/>
        <w:jc w:val="center"/>
        <w:spacing w:line="479" w:lineRule="atLeast"/>
        <w:rPr>
          <w:rFonts w:hint="eastAsia" w:ascii="宋体" w:hAnsi="宋体" w:cs="宋体"/>
          <w:color w:val="000000"/>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color w:val="000000"/>
          <w:sz w:val="30"/>
          <w:highlight w:val="none"/>
        </w:rPr>
      </w:r>
      <w:r/>
    </w:p>
    <w:p>
      <w:pPr>
        <w:jc w:val="center"/>
        <w:spacing w:line="360" w:lineRule="auto"/>
        <w:rPr>
          <w:rFonts w:hint="eastAsia"/>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highlight w:val="none"/>
        </w:rPr>
        <w:t xml:space="preserve">九、关于符合本国产品标准的声明函</w:t>
      </w:r>
      <w:r>
        <w:rPr>
          <w:rFonts w:hint="eastAsia"/>
          <w:color w:val="000000"/>
          <w:highlight w:val="none"/>
        </w:rPr>
        <w:t xml:space="preserve"> </w:t>
      </w:r>
      <w:r/>
    </w:p>
    <w:p>
      <w:pPr>
        <w:pStyle w:val="906"/>
        <w:jc w:val="center"/>
        <w:spacing w:before="0" w:beforeAutospacing="0" w:after="0" w:afterAutospacing="0"/>
        <w:shd w:val="clear" w:color="auto" w:fill="ffffff"/>
        <w:rPr>
          <w:rFonts w:hint="eastAsia" w:eastAsia="宋体"/>
          <w:b/>
          <w:bCs/>
          <w:color w:val="000000"/>
          <w:highlight w:val="none"/>
          <w:lang w:eastAsia="zh-CN"/>
        </w:rPr>
      </w:pPr>
      <w:r>
        <w:rPr>
          <w:rFonts w:hint="eastAsia" w:ascii="宋体" w:hAnsi="宋体" w:cs="宋体"/>
          <w:b/>
          <w:bCs/>
          <w:color w:val="000000"/>
          <w:sz w:val="32"/>
          <w:szCs w:val="32"/>
          <w:highlight w:val="none"/>
        </w:rPr>
        <w:t xml:space="preserve">关于符合本国产品标准的声明函</w:t>
      </w:r>
      <w:r/>
    </w:p>
    <w:p>
      <w:pPr>
        <w:pStyle w:val="906"/>
        <w:ind w:firstLine="420"/>
        <w:spacing w:before="0" w:beforeAutospacing="0" w:after="0" w:afterAutospacing="0" w:line="360" w:lineRule="auto"/>
        <w:shd w:val="clear" w:color="auto" w:fill="ffffff"/>
        <w:rPr>
          <w:rFonts w:hint="eastAsia"/>
          <w:color w:val="000000"/>
          <w:highlight w:val="none"/>
          <w:shd w:val="clear" w:color="auto" w:fill="ffffff"/>
        </w:rPr>
      </w:pPr>
      <w:r>
        <w:rPr>
          <w:rFonts w:hint="eastAsia"/>
          <w:color w:val="000000"/>
          <w:highlight w:val="none"/>
          <w:shd w:val="clear" w:color="auto" w:fill="ffffff"/>
        </w:rPr>
      </w:r>
      <w:r/>
    </w:p>
    <w:p>
      <w:pPr>
        <w:pStyle w:val="906"/>
        <w:ind w:firstLine="420"/>
        <w:spacing w:before="0" w:beforeAutospacing="0" w:after="0"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6"/>
        <w:numPr>
          <w:ilvl w:val="0"/>
          <w:numId w:val="6"/>
        </w:numPr>
        <w:ind w:firstLine="420"/>
        <w:spacing w:before="0" w:beforeAutospacing="0" w:after="0" w:afterAutospacing="0" w:line="360" w:lineRule="auto"/>
        <w:shd w:val="clear" w:color="auto" w:fill="ffffff"/>
        <w:rPr>
          <w:rFonts w:hint="eastAsia"/>
          <w:color w:val="000000"/>
          <w:highlight w:val="none"/>
        </w:rPr>
      </w:pPr>
      <w:r>
        <w:rPr>
          <w:rFonts w:hint="eastAsia"/>
          <w:b/>
          <w:bCs/>
          <w:color w:val="000000"/>
          <w:highlight w:val="none"/>
          <w:u w:val="single"/>
        </w:rPr>
        <w:t xml:space="preserve">600型排水抢险车</w:t>
      </w:r>
      <w:r>
        <w:rPr>
          <w:rFonts w:hint="eastAsia"/>
          <w:b/>
          <w:bCs/>
          <w:color w:val="000000"/>
          <w:highlight w:val="none"/>
          <w:vertAlign w:val="superscript"/>
          <w:lang w:val="en-US" w:eastAsia="zh-CN"/>
        </w:rPr>
        <w:t xml:space="preserve">  </w:t>
      </w:r>
      <w:r>
        <w:rPr>
          <w:b/>
          <w:bCs/>
          <w:color w:val="000000"/>
          <w:highlight w:val="none"/>
          <w:vertAlign w:val="superscript"/>
        </w:rPr>
        <w:t xml:space="preserve">1</w:t>
      </w:r>
      <w:r>
        <w:rPr>
          <w:color w:val="000000"/>
          <w:highlight w:val="none"/>
        </w:rPr>
        <w:t xml:space="preserve">，生产厂为</w:t>
      </w:r>
      <w:r>
        <w:rPr>
          <w:color w:val="000000"/>
          <w:highlight w:val="none"/>
          <w:u w:val="single"/>
        </w:rPr>
        <w:t xml:space="preserve">（</w:t>
      </w:r>
      <w:r>
        <w:rPr>
          <w:b/>
          <w:bCs/>
          <w:color w:val="000000"/>
          <w:highlight w:val="none"/>
          <w:u w:val="single"/>
        </w:rPr>
        <w:t xml:space="preserve">厂名</w:t>
      </w:r>
      <w:r>
        <w:rPr>
          <w:color w:val="000000"/>
          <w:highlight w:val="none"/>
          <w:u w:val="single"/>
        </w:rPr>
        <w:t xml:space="preserve">）</w:t>
      </w:r>
      <w:r>
        <w:rPr>
          <w:b/>
          <w:bCs/>
          <w:color w:val="000000"/>
          <w:highlight w:val="none"/>
          <w:vertAlign w:val="superscript"/>
        </w:rPr>
        <w:t xml:space="preserve">2</w:t>
      </w:r>
      <w:r>
        <w:rPr>
          <w:color w:val="000000"/>
          <w:highlight w:val="none"/>
        </w:rPr>
        <w:t xml:space="preserve">，厂址为</w:t>
      </w:r>
      <w:r>
        <w:rPr>
          <w:color w:val="000000"/>
          <w:highlight w:val="none"/>
          <w:u w:val="single"/>
        </w:rPr>
        <w:t xml:space="preserve">（</w:t>
      </w:r>
      <w:r>
        <w:rPr>
          <w:b/>
          <w:bCs/>
          <w:color w:val="000000"/>
          <w:highlight w:val="none"/>
          <w:u w:val="single"/>
        </w:rPr>
        <w:t xml:space="preserve">生产厂址</w:t>
      </w:r>
      <w:r>
        <w:rPr>
          <w:color w:val="000000"/>
          <w:highlight w:val="none"/>
          <w:u w:val="single"/>
        </w:rPr>
        <w:t xml:space="preserve">）</w:t>
      </w:r>
      <w:r>
        <w:rPr>
          <w:color w:val="000000"/>
          <w:highlight w:val="none"/>
        </w:rPr>
        <w:t xml:space="preserve">。</w:t>
      </w:r>
      <w:r>
        <w:rPr>
          <w:color w:val="000000"/>
          <w:highlight w:val="none"/>
          <w:u w:val="single"/>
        </w:rPr>
        <w:t xml:space="preserve"> / </w:t>
      </w:r>
      <w:r>
        <w:rPr>
          <w:color w:val="000000"/>
          <w:highlight w:val="none"/>
        </w:rPr>
        <w:t xml:space="preserve">的中国境内生产的组件成本占比≥</w:t>
      </w:r>
      <w:r>
        <w:rPr>
          <w:color w:val="000000"/>
          <w:highlight w:val="none"/>
          <w:u w:val="single"/>
        </w:rPr>
        <w:t xml:space="preserve">  /  </w:t>
      </w:r>
      <w:r>
        <w:rPr>
          <w:b/>
          <w:bCs/>
          <w:color w:val="000000"/>
          <w:highlight w:val="none"/>
          <w:vertAlign w:val="superscript"/>
        </w:rPr>
        <w:t xml:space="preserve">3</w:t>
      </w:r>
      <w:r>
        <w:rPr>
          <w:color w:val="000000"/>
          <w:highlight w:val="none"/>
        </w:rPr>
        <w:t xml:space="preserve">。</w:t>
      </w:r>
      <w:r>
        <w:rPr>
          <w:color w:val="000000"/>
          <w:highlight w:val="none"/>
          <w:u w:val="single"/>
        </w:rPr>
        <w:t xml:space="preserve">  /  </w:t>
      </w:r>
      <w:r>
        <w:rPr>
          <w:color w:val="000000"/>
          <w:highlight w:val="none"/>
        </w:rPr>
        <w:t xml:space="preserve">的</w:t>
      </w:r>
      <w:r>
        <w:rPr>
          <w:color w:val="000000"/>
          <w:highlight w:val="none"/>
          <w:u w:val="single"/>
        </w:rPr>
        <w:t xml:space="preserve">  /  </w:t>
      </w:r>
      <w:r>
        <w:rPr>
          <w:b/>
          <w:bCs/>
          <w:color w:val="000000"/>
          <w:highlight w:val="none"/>
          <w:vertAlign w:val="superscript"/>
        </w:rPr>
        <w:t xml:space="preserve">4</w:t>
      </w:r>
      <w:r>
        <w:rPr>
          <w:color w:val="000000"/>
          <w:highlight w:val="none"/>
        </w:rPr>
        <w:t xml:space="preserve">在中国境内生产。</w:t>
      </w:r>
      <w:r>
        <w:rPr>
          <w:color w:val="000000"/>
          <w:highlight w:val="none"/>
          <w:u w:val="single"/>
        </w:rPr>
        <w:t xml:space="preserve">  /  </w:t>
      </w:r>
      <w:r>
        <w:rPr>
          <w:color w:val="000000"/>
          <w:highlight w:val="none"/>
        </w:rPr>
        <w:t xml:space="preserve">的</w:t>
      </w:r>
      <w:r>
        <w:rPr>
          <w:color w:val="000000"/>
          <w:highlight w:val="none"/>
          <w:u w:val="single"/>
        </w:rPr>
        <w:t xml:space="preserve">  /  </w:t>
      </w:r>
      <w:r>
        <w:rPr>
          <w:b/>
          <w:bCs/>
          <w:color w:val="000000"/>
          <w:highlight w:val="none"/>
          <w:vertAlign w:val="superscript"/>
        </w:rPr>
        <w:t xml:space="preserve">5</w:t>
      </w:r>
      <w:r>
        <w:rPr>
          <w:color w:val="000000"/>
          <w:highlight w:val="none"/>
        </w:rPr>
        <w:t xml:space="preserve">在中国境内完成</w:t>
      </w:r>
      <w:r>
        <w:rPr>
          <w:rFonts w:hint="eastAsia"/>
          <w:color w:val="000000"/>
          <w:highlight w:val="none"/>
        </w:rPr>
        <w:t xml:space="preserve">。</w:t>
      </w:r>
      <w:r/>
    </w:p>
    <w:p>
      <w:pPr>
        <w:pStyle w:val="906"/>
        <w:numPr>
          <w:ilvl w:val="0"/>
          <w:numId w:val="6"/>
        </w:numPr>
        <w:ind w:left="0" w:firstLine="420"/>
        <w:spacing w:before="0" w:beforeAutospacing="0" w:after="0" w:afterAutospacing="0" w:line="360" w:lineRule="auto"/>
        <w:shd w:val="clear" w:color="auto" w:fill="ffffff"/>
        <w:rPr>
          <w:rFonts w:hint="eastAsia"/>
          <w:color w:val="000000"/>
          <w:highlight w:val="none"/>
        </w:rPr>
      </w:pPr>
      <w:r>
        <w:rPr>
          <w:rFonts w:hint="eastAsia"/>
          <w:b/>
          <w:bCs/>
          <w:color w:val="000000"/>
          <w:highlight w:val="none"/>
          <w:u w:val="single"/>
          <w:lang w:val="en-US" w:eastAsia="zh-CN"/>
        </w:rPr>
        <w:t xml:space="preserve">四门六座栏板式货车 </w:t>
      </w:r>
      <w:r>
        <w:rPr>
          <w:b/>
          <w:bCs/>
          <w:color w:val="000000"/>
          <w:highlight w:val="none"/>
          <w:vertAlign w:val="superscript"/>
        </w:rPr>
        <w:t xml:space="preserve">1</w:t>
      </w:r>
      <w:r>
        <w:rPr>
          <w:color w:val="000000"/>
          <w:highlight w:val="none"/>
        </w:rPr>
        <w:t xml:space="preserve">，生产厂为</w:t>
      </w:r>
      <w:r>
        <w:rPr>
          <w:color w:val="000000"/>
          <w:highlight w:val="none"/>
          <w:u w:val="single"/>
        </w:rPr>
        <w:t xml:space="preserve">（</w:t>
      </w:r>
      <w:r>
        <w:rPr>
          <w:b/>
          <w:bCs/>
          <w:color w:val="000000"/>
          <w:highlight w:val="none"/>
          <w:u w:val="single"/>
        </w:rPr>
        <w:t xml:space="preserve">厂名</w:t>
      </w:r>
      <w:r>
        <w:rPr>
          <w:color w:val="000000"/>
          <w:highlight w:val="none"/>
          <w:u w:val="single"/>
        </w:rPr>
        <w:t xml:space="preserve">）</w:t>
      </w:r>
      <w:r>
        <w:rPr>
          <w:b/>
          <w:bCs/>
          <w:color w:val="000000"/>
          <w:highlight w:val="none"/>
          <w:vertAlign w:val="superscript"/>
        </w:rPr>
        <w:t xml:space="preserve">2</w:t>
      </w:r>
      <w:r>
        <w:rPr>
          <w:color w:val="000000"/>
          <w:highlight w:val="none"/>
        </w:rPr>
        <w:t xml:space="preserve">，厂址为</w:t>
      </w:r>
      <w:r>
        <w:rPr>
          <w:color w:val="000000"/>
          <w:highlight w:val="none"/>
          <w:u w:val="single"/>
        </w:rPr>
        <w:t xml:space="preserve">（</w:t>
      </w:r>
      <w:r>
        <w:rPr>
          <w:b/>
          <w:bCs/>
          <w:color w:val="000000"/>
          <w:highlight w:val="none"/>
          <w:u w:val="single"/>
        </w:rPr>
        <w:t xml:space="preserve">生产厂址</w:t>
      </w:r>
      <w:r>
        <w:rPr>
          <w:color w:val="000000"/>
          <w:highlight w:val="none"/>
          <w:u w:val="single"/>
        </w:rPr>
        <w:t xml:space="preserve">）</w:t>
      </w:r>
      <w:r>
        <w:rPr>
          <w:color w:val="000000"/>
          <w:highlight w:val="none"/>
        </w:rPr>
        <w:t xml:space="preserve">。</w:t>
      </w:r>
      <w:r>
        <w:rPr>
          <w:color w:val="000000"/>
          <w:highlight w:val="none"/>
          <w:u w:val="single"/>
        </w:rPr>
        <w:t xml:space="preserve"> / </w:t>
      </w:r>
      <w:r>
        <w:rPr>
          <w:color w:val="000000"/>
          <w:highlight w:val="none"/>
        </w:rPr>
        <w:t xml:space="preserve">的中国境内生产的组件成本占比≥</w:t>
      </w:r>
      <w:r>
        <w:rPr>
          <w:color w:val="000000"/>
          <w:highlight w:val="none"/>
          <w:u w:val="single"/>
        </w:rPr>
        <w:t xml:space="preserve">  /  </w:t>
      </w:r>
      <w:r>
        <w:rPr>
          <w:b/>
          <w:bCs/>
          <w:color w:val="000000"/>
          <w:highlight w:val="none"/>
          <w:vertAlign w:val="superscript"/>
        </w:rPr>
        <w:t xml:space="preserve">3</w:t>
      </w:r>
      <w:r>
        <w:rPr>
          <w:color w:val="000000"/>
          <w:highlight w:val="none"/>
        </w:rPr>
        <w:t xml:space="preserve">。</w:t>
      </w:r>
      <w:r>
        <w:rPr>
          <w:color w:val="000000"/>
          <w:highlight w:val="none"/>
          <w:u w:val="single"/>
        </w:rPr>
        <w:t xml:space="preserve">  /  </w:t>
      </w:r>
      <w:r>
        <w:rPr>
          <w:color w:val="000000"/>
          <w:highlight w:val="none"/>
        </w:rPr>
        <w:t xml:space="preserve">的</w:t>
      </w:r>
      <w:r>
        <w:rPr>
          <w:color w:val="000000"/>
          <w:highlight w:val="none"/>
          <w:u w:val="single"/>
        </w:rPr>
        <w:t xml:space="preserve">  /  </w:t>
      </w:r>
      <w:r>
        <w:rPr>
          <w:b/>
          <w:bCs/>
          <w:color w:val="000000"/>
          <w:highlight w:val="none"/>
          <w:vertAlign w:val="superscript"/>
        </w:rPr>
        <w:t xml:space="preserve">4</w:t>
      </w:r>
      <w:r>
        <w:rPr>
          <w:color w:val="000000"/>
          <w:highlight w:val="none"/>
        </w:rPr>
        <w:t xml:space="preserve">在中国境内生产。</w:t>
      </w:r>
      <w:r>
        <w:rPr>
          <w:color w:val="000000"/>
          <w:highlight w:val="none"/>
          <w:u w:val="single"/>
        </w:rPr>
        <w:t xml:space="preserve">  /  </w:t>
      </w:r>
      <w:r>
        <w:rPr>
          <w:color w:val="000000"/>
          <w:highlight w:val="none"/>
        </w:rPr>
        <w:t xml:space="preserve">的</w:t>
      </w:r>
      <w:r>
        <w:rPr>
          <w:color w:val="000000"/>
          <w:highlight w:val="none"/>
          <w:u w:val="single"/>
        </w:rPr>
        <w:t xml:space="preserve">  /  </w:t>
      </w:r>
      <w:r>
        <w:rPr>
          <w:b/>
          <w:bCs/>
          <w:color w:val="000000"/>
          <w:highlight w:val="none"/>
          <w:vertAlign w:val="superscript"/>
        </w:rPr>
        <w:t xml:space="preserve">5</w:t>
      </w:r>
      <w:r>
        <w:rPr>
          <w:color w:val="000000"/>
          <w:highlight w:val="none"/>
        </w:rPr>
        <w:t xml:space="preserve">在中国境内完成</w:t>
      </w:r>
      <w:r>
        <w:rPr>
          <w:rFonts w:hint="eastAsia"/>
          <w:color w:val="000000"/>
          <w:highlight w:val="none"/>
        </w:rPr>
        <w:t xml:space="preserve">。</w:t>
      </w:r>
      <w:r/>
    </w:p>
    <w:p>
      <w:pPr>
        <w:pStyle w:val="906"/>
        <w:numPr>
          <w:ilvl w:val="0"/>
          <w:numId w:val="6"/>
        </w:numPr>
        <w:ind w:left="0" w:firstLine="420"/>
        <w:spacing w:before="0" w:beforeAutospacing="0" w:after="0" w:afterAutospacing="0" w:line="360" w:lineRule="auto"/>
        <w:shd w:val="clear" w:color="auto" w:fill="ffffff"/>
        <w:rPr>
          <w:rFonts w:hint="eastAsia"/>
          <w:color w:val="000000"/>
          <w:highlight w:val="none"/>
        </w:rPr>
      </w:pPr>
      <w:r>
        <w:rPr>
          <w:rFonts w:hint="eastAsia"/>
          <w:b/>
          <w:bCs/>
          <w:color w:val="000000"/>
          <w:highlight w:val="none"/>
          <w:u w:val="single"/>
        </w:rPr>
        <w:t xml:space="preserve"> 新能源货车</w:t>
      </w:r>
      <w:r>
        <w:rPr>
          <w:rFonts w:hint="eastAsia"/>
          <w:b/>
          <w:bCs/>
          <w:color w:val="000000"/>
          <w:highlight w:val="none"/>
          <w:vertAlign w:val="superscript"/>
          <w:lang w:val="en-US" w:eastAsia="zh-CN"/>
        </w:rPr>
        <w:t xml:space="preserve"> </w:t>
      </w:r>
      <w:r>
        <w:rPr>
          <w:b/>
          <w:bCs/>
          <w:color w:val="000000"/>
          <w:highlight w:val="none"/>
          <w:vertAlign w:val="superscript"/>
        </w:rPr>
        <w:t xml:space="preserve">1</w:t>
      </w:r>
      <w:r>
        <w:rPr>
          <w:color w:val="000000"/>
          <w:highlight w:val="none"/>
        </w:rPr>
        <w:t xml:space="preserve">，生产厂为</w:t>
      </w:r>
      <w:r>
        <w:rPr>
          <w:color w:val="000000"/>
          <w:highlight w:val="none"/>
          <w:u w:val="single"/>
        </w:rPr>
        <w:t xml:space="preserve">（</w:t>
      </w:r>
      <w:r>
        <w:rPr>
          <w:b/>
          <w:bCs/>
          <w:color w:val="000000"/>
          <w:highlight w:val="none"/>
          <w:u w:val="single"/>
        </w:rPr>
        <w:t xml:space="preserve">厂名</w:t>
      </w:r>
      <w:r>
        <w:rPr>
          <w:color w:val="000000"/>
          <w:highlight w:val="none"/>
          <w:u w:val="single"/>
        </w:rPr>
        <w:t xml:space="preserve">）</w:t>
      </w:r>
      <w:r>
        <w:rPr>
          <w:b/>
          <w:bCs/>
          <w:color w:val="000000"/>
          <w:highlight w:val="none"/>
          <w:vertAlign w:val="superscript"/>
        </w:rPr>
        <w:t xml:space="preserve">2</w:t>
      </w:r>
      <w:r>
        <w:rPr>
          <w:color w:val="000000"/>
          <w:highlight w:val="none"/>
        </w:rPr>
        <w:t xml:space="preserve">，厂址为</w:t>
      </w:r>
      <w:r>
        <w:rPr>
          <w:color w:val="000000"/>
          <w:highlight w:val="none"/>
          <w:u w:val="single"/>
        </w:rPr>
        <w:t xml:space="preserve">（</w:t>
      </w:r>
      <w:r>
        <w:rPr>
          <w:b/>
          <w:bCs/>
          <w:color w:val="000000"/>
          <w:highlight w:val="none"/>
          <w:u w:val="single"/>
        </w:rPr>
        <w:t xml:space="preserve">生产厂址</w:t>
      </w:r>
      <w:r>
        <w:rPr>
          <w:color w:val="000000"/>
          <w:highlight w:val="none"/>
          <w:u w:val="single"/>
        </w:rPr>
        <w:t xml:space="preserve">）</w:t>
      </w:r>
      <w:r>
        <w:rPr>
          <w:color w:val="000000"/>
          <w:highlight w:val="none"/>
        </w:rPr>
        <w:t xml:space="preserve">。</w:t>
      </w:r>
      <w:r>
        <w:rPr>
          <w:color w:val="000000"/>
          <w:highlight w:val="none"/>
          <w:u w:val="single"/>
        </w:rPr>
        <w:t xml:space="preserve"> / </w:t>
      </w:r>
      <w:r>
        <w:rPr>
          <w:color w:val="000000"/>
          <w:highlight w:val="none"/>
        </w:rPr>
        <w:t xml:space="preserve">的中国境内生产的组件成本占比≥</w:t>
      </w:r>
      <w:r>
        <w:rPr>
          <w:color w:val="000000"/>
          <w:highlight w:val="none"/>
          <w:u w:val="single"/>
        </w:rPr>
        <w:t xml:space="preserve">  /  </w:t>
      </w:r>
      <w:r>
        <w:rPr>
          <w:b/>
          <w:bCs/>
          <w:color w:val="000000"/>
          <w:highlight w:val="none"/>
          <w:vertAlign w:val="superscript"/>
        </w:rPr>
        <w:t xml:space="preserve">3</w:t>
      </w:r>
      <w:r>
        <w:rPr>
          <w:color w:val="000000"/>
          <w:highlight w:val="none"/>
        </w:rPr>
        <w:t xml:space="preserve">。</w:t>
      </w:r>
      <w:r>
        <w:rPr>
          <w:color w:val="000000"/>
          <w:highlight w:val="none"/>
          <w:u w:val="single"/>
        </w:rPr>
        <w:t xml:space="preserve">  /  </w:t>
      </w:r>
      <w:r>
        <w:rPr>
          <w:color w:val="000000"/>
          <w:highlight w:val="none"/>
        </w:rPr>
        <w:t xml:space="preserve">的</w:t>
      </w:r>
      <w:r>
        <w:rPr>
          <w:color w:val="000000"/>
          <w:highlight w:val="none"/>
          <w:u w:val="single"/>
        </w:rPr>
        <w:t xml:space="preserve">  /  </w:t>
      </w:r>
      <w:r>
        <w:rPr>
          <w:b/>
          <w:bCs/>
          <w:color w:val="000000"/>
          <w:highlight w:val="none"/>
          <w:vertAlign w:val="superscript"/>
        </w:rPr>
        <w:t xml:space="preserve">4</w:t>
      </w:r>
      <w:r>
        <w:rPr>
          <w:color w:val="000000"/>
          <w:highlight w:val="none"/>
        </w:rPr>
        <w:t xml:space="preserve">在中国境内生产。</w:t>
      </w:r>
      <w:r>
        <w:rPr>
          <w:color w:val="000000"/>
          <w:highlight w:val="none"/>
          <w:u w:val="single"/>
        </w:rPr>
        <w:t xml:space="preserve">  /  </w:t>
      </w:r>
      <w:r>
        <w:rPr>
          <w:color w:val="000000"/>
          <w:highlight w:val="none"/>
        </w:rPr>
        <w:t xml:space="preserve">的</w:t>
      </w:r>
      <w:r>
        <w:rPr>
          <w:color w:val="000000"/>
          <w:highlight w:val="none"/>
          <w:u w:val="single"/>
        </w:rPr>
        <w:t xml:space="preserve">  /  </w:t>
      </w:r>
      <w:r>
        <w:rPr>
          <w:b/>
          <w:bCs/>
          <w:color w:val="000000"/>
          <w:highlight w:val="none"/>
          <w:vertAlign w:val="superscript"/>
        </w:rPr>
        <w:t xml:space="preserve">5</w:t>
      </w:r>
      <w:r>
        <w:rPr>
          <w:color w:val="000000"/>
          <w:highlight w:val="none"/>
        </w:rPr>
        <w:t xml:space="preserve">在中国境内完成</w:t>
      </w:r>
      <w:r>
        <w:rPr>
          <w:rFonts w:hint="eastAsia"/>
          <w:color w:val="000000"/>
          <w:highlight w:val="none"/>
        </w:rPr>
        <w:t xml:space="preserve">。</w:t>
      </w:r>
      <w:r/>
    </w:p>
    <w:p>
      <w:pPr>
        <w:pStyle w:val="906"/>
        <w:ind w:firstLine="420"/>
        <w:spacing w:before="0" w:beforeAutospacing="0" w:after="0"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w:t>
      </w:r>
      <w:r/>
    </w:p>
    <w:p>
      <w:pPr>
        <w:pStyle w:val="906"/>
        <w:ind w:firstLine="420"/>
        <w:spacing w:before="0" w:beforeAutospacing="0" w:after="0"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本公司（单位）对上述声明内容的真实性负责。如有虚假，愿承担相应法律责任。</w:t>
      </w:r>
      <w:r/>
    </w:p>
    <w:p>
      <w:pPr>
        <w:pStyle w:val="906"/>
        <w:spacing w:before="0" w:beforeAutospacing="0" w:after="0" w:afterAutospacing="0" w:line="360" w:lineRule="auto"/>
        <w:shd w:val="clear" w:color="auto" w:fill="ffffff"/>
        <w:rPr>
          <w:rFonts w:hint="eastAsia"/>
          <w:b/>
          <w:bCs/>
          <w:color w:val="000000"/>
          <w:highlight w:val="none"/>
        </w:rPr>
      </w:pPr>
      <w:r>
        <w:rPr>
          <w:rFonts w:hint="eastAsia"/>
          <w:color w:val="000000"/>
          <w:highlight w:val="none"/>
          <w:shd w:val="clear" w:color="auto" w:fill="ffffff"/>
        </w:rPr>
        <w:t xml:space="preserve"> </w:t>
      </w:r>
      <w:r>
        <w:rPr>
          <w:rFonts w:hint="eastAsia"/>
          <w:b/>
          <w:bCs/>
          <w:color w:val="000000"/>
          <w:highlight w:val="none"/>
          <w:shd w:val="clear" w:color="auto" w:fill="ffffff"/>
        </w:rPr>
        <w:t xml:space="preserve">公司（单位）名称（电子签章）：　        </w:t>
      </w:r>
      <w:r/>
    </w:p>
    <w:p>
      <w:pPr>
        <w:pStyle w:val="906"/>
        <w:jc w:val="both"/>
        <w:spacing w:before="0" w:beforeAutospacing="0" w:after="0" w:afterAutospacing="0" w:line="240" w:lineRule="auto"/>
        <w:shd w:val="clear" w:color="auto" w:fill="ffffff"/>
        <w:rPr>
          <w:rFonts w:hint="eastAsia"/>
          <w:b/>
          <w:bCs/>
          <w:color w:val="000000"/>
          <w:highlight w:val="none"/>
          <w:shd w:val="clear" w:color="auto" w:fill="ffffff"/>
        </w:rPr>
      </w:pPr>
      <w:r>
        <w:rPr>
          <w:rFonts w:hint="eastAsia"/>
          <w:b/>
          <w:bCs/>
          <w:color w:val="000000"/>
          <w:highlight w:val="none"/>
          <w:shd w:val="clear" w:color="auto" w:fill="ffffff"/>
        </w:rPr>
      </w:r>
      <w:r/>
    </w:p>
    <w:p>
      <w:pPr>
        <w:pStyle w:val="906"/>
        <w:jc w:val="both"/>
        <w:spacing w:before="0" w:beforeAutospacing="0" w:after="0" w:afterAutospacing="0" w:line="360" w:lineRule="auto"/>
        <w:shd w:val="clear" w:color="auto" w:fill="ffffff"/>
        <w:rPr>
          <w:rFonts w:hint="eastAsia"/>
          <w:b/>
          <w:bCs/>
          <w:color w:val="000000"/>
          <w:highlight w:val="none"/>
        </w:rPr>
      </w:pPr>
      <w:r>
        <w:rPr>
          <w:rFonts w:hint="eastAsia"/>
          <w:b/>
          <w:bCs/>
          <w:color w:val="000000"/>
          <w:highlight w:val="none"/>
          <w:shd w:val="clear" w:color="auto" w:fill="ffffff"/>
        </w:rPr>
        <w:t xml:space="preserve">日期：  年  月  日</w:t>
      </w:r>
      <w:r/>
    </w:p>
    <w:p>
      <w:pPr>
        <w:pStyle w:val="906"/>
        <w:spacing w:before="30" w:beforeAutospacing="0" w:after="30" w:afterAutospacing="0" w:line="360" w:lineRule="auto"/>
        <w:shd w:val="clear" w:color="auto" w:fill="ffffff"/>
        <w:rPr>
          <w:rFonts w:hint="eastAsia"/>
          <w:color w:val="000000"/>
          <w:highlight w:val="none"/>
          <w:shd w:val="clear" w:color="auto" w:fill="ffffff"/>
        </w:rPr>
      </w:pPr>
      <w:r>
        <w:rPr>
          <w:rFonts w:hint="eastAsia"/>
          <w:color w:val="000000"/>
          <w:highlight w:val="none"/>
          <w:shd w:val="clear" w:color="auto" w:fill="ffffff"/>
        </w:rPr>
        <w:t xml:space="preserve">注：</w:t>
      </w:r>
      <w:r/>
    </w:p>
    <w:p>
      <w:pPr>
        <w:pStyle w:val="906"/>
        <w:ind w:firstLine="420"/>
        <w:spacing w:before="30" w:beforeAutospacing="0" w:after="30"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1.产品如有型号，请在“产品名称”栏一并填写。</w:t>
      </w:r>
      <w:r/>
    </w:p>
    <w:p>
      <w:pPr>
        <w:pStyle w:val="906"/>
        <w:ind w:firstLine="420"/>
        <w:spacing w:before="30" w:beforeAutospacing="0" w:after="30"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2.生产厂名与厂址应与生产厂营业执照载明的相关信息保持一致。</w:t>
      </w:r>
      <w:r/>
    </w:p>
    <w:p>
      <w:pPr>
        <w:pStyle w:val="906"/>
        <w:ind w:firstLine="420"/>
        <w:spacing w:before="30" w:beforeAutospacing="0" w:after="30"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3.该产品的中国境内生产的组件成本占比相关要求实施前，“规定比例”栏可不填，下同。</w:t>
      </w:r>
      <w:r/>
    </w:p>
    <w:p>
      <w:pPr>
        <w:pStyle w:val="906"/>
        <w:ind w:firstLine="420"/>
        <w:spacing w:before="30" w:beforeAutospacing="0" w:after="30"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4.该产品的关键组件要求实施前，“关键组件”栏可不填，下同。</w:t>
      </w:r>
      <w:r/>
    </w:p>
    <w:p>
      <w:pPr>
        <w:pStyle w:val="906"/>
        <w:ind w:firstLine="420"/>
        <w:spacing w:before="30" w:beforeAutospacing="0" w:after="30"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5.该产品的关键工序要求实施前，“关键工序”栏可不填，下同。</w:t>
      </w:r>
      <w:r/>
    </w:p>
    <w:p>
      <w:pPr>
        <w:pStyle w:val="906"/>
        <w:ind w:firstLine="420"/>
        <w:spacing w:before="30" w:beforeAutospacing="0" w:after="30" w:afterAutospacing="0" w:line="360" w:lineRule="auto"/>
        <w:shd w:val="clear" w:color="auto" w:fill="ffffff"/>
        <w:rPr>
          <w:rFonts w:hint="eastAsia"/>
          <w:b/>
          <w:bCs/>
          <w:color w:val="000000"/>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b/>
          <w:bCs/>
          <w:color w:val="000000"/>
          <w:highlight w:val="none"/>
        </w:rPr>
        <w:t xml:space="preserve">6</w:t>
      </w:r>
      <w:r>
        <w:rPr>
          <w:b/>
          <w:bCs/>
          <w:color w:val="000000"/>
          <w:highlight w:val="none"/>
        </w:rPr>
        <w:t xml:space="preserve">.《声明函》中标注“</w:t>
      </w:r>
      <w:r>
        <w:rPr>
          <w:b/>
          <w:bCs/>
          <w:color w:val="000000"/>
          <w:highlight w:val="none"/>
          <w:u w:val="single"/>
        </w:rPr>
        <w:t xml:space="preserve">  / </w:t>
      </w:r>
      <w:r>
        <w:rPr>
          <w:b/>
          <w:bCs/>
          <w:color w:val="000000"/>
          <w:highlight w:val="none"/>
        </w:rPr>
        <w:t xml:space="preserve">”的地方无需填写</w:t>
      </w:r>
      <w:r>
        <w:rPr>
          <w:rFonts w:hint="eastAsia"/>
          <w:b/>
          <w:bCs/>
          <w:color w:val="000000"/>
          <w:highlight w:val="none"/>
        </w:rPr>
        <w:t xml:space="preserve">。</w:t>
      </w:r>
      <w:r/>
    </w:p>
    <w:p>
      <w:pPr>
        <w:jc w:val="center"/>
        <w:spacing w:line="360" w:lineRule="auto"/>
        <w:rPr>
          <w:rFonts w:ascii="宋体" w:hAnsi="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highlight w:val="none"/>
        </w:rPr>
        <w:t xml:space="preserve">十、具备履行合同所必需的设备和专业技术能力的书面声明（附证明材料扫描件）格式（投标人可自行拟定）</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项目编号：</w:t>
      </w:r>
      <w:r/>
    </w:p>
    <w:p>
      <w:pP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项目名称：</w:t>
      </w:r>
      <w:r/>
    </w:p>
    <w:p>
      <w:pPr>
        <w:ind w:firstLine="5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投标人郑重声明：投标人具备履行合同（项目名称：</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，项目编号：</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所必需的设备和专业技术能力， 具体为：</w:t>
      </w:r>
      <w:r/>
    </w:p>
    <w:p>
      <w:pPr>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设备：</w:t>
      </w:r>
      <w:r/>
    </w:p>
    <w:p>
      <w:pPr>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1、</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（证明材料扫描件附后）</w:t>
      </w:r>
      <w:r/>
    </w:p>
    <w:p>
      <w:pPr>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2、</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（证明材料扫描件附后）</w:t>
      </w:r>
      <w:r/>
    </w:p>
    <w:p>
      <w:pP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w:t>
      </w:r>
      <w:r/>
    </w:p>
    <w:p>
      <w:pPr>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专业技术能力：</w:t>
      </w:r>
      <w:r/>
    </w:p>
    <w:p>
      <w:pPr>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1、</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（证明材料扫描件附后）</w:t>
      </w:r>
      <w:r/>
    </w:p>
    <w:p>
      <w:pPr>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2、</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（证明材料扫描件附后）</w:t>
      </w:r>
      <w:r/>
    </w:p>
    <w:p>
      <w:pPr>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w:t>
      </w:r>
      <w:r/>
    </w:p>
    <w:p>
      <w:pPr>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特此声明。</w:t>
      </w:r>
      <w:r/>
    </w:p>
    <w:p>
      <w:pPr>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投标人对上述声明的真实性负责。如有虚假，将依法承担相应责任。</w:t>
      </w:r>
      <w:r/>
    </w:p>
    <w:p>
      <w:pPr>
        <w:ind w:right="29"/>
        <w:spacing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ind w:right="29"/>
        <w:spacing w:line="360" w:lineRule="auto"/>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投标人（电子签章）：</w:t>
      </w:r>
      <w:r/>
    </w:p>
    <w:p>
      <w:pPr>
        <w:spacing w:line="360" w:lineRule="auto"/>
        <w:rPr>
          <w:rFonts w:hint="eastAsia" w:ascii="宋体" w:hAnsi="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rPr>
        <w:t xml:space="preserve">日期：  年  月  日</w:t>
      </w:r>
      <w:r/>
    </w:p>
    <w:p>
      <w:pPr>
        <w:spacing w:line="360" w:lineRule="auto"/>
        <w:rPr>
          <w:rFonts w:hint="eastAsia" w:ascii="宋体" w:hAnsi="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rPr>
      </w:r>
      <w:r/>
    </w:p>
    <w:p>
      <w:pPr>
        <w:spacing w:line="360" w:lineRule="auto"/>
        <w:rPr>
          <w:rFonts w:hint="eastAsia" w:ascii="宋体" w:hAnsi="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rPr>
      </w:r>
      <w:r/>
    </w:p>
    <w:p>
      <w:pPr>
        <w:spacing w:line="360" w:lineRule="auto"/>
        <w:rPr>
          <w:rFonts w:hint="eastAsia" w:ascii="宋体" w:hAnsi="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rPr>
      </w:r>
      <w:r/>
    </w:p>
    <w:p>
      <w:pPr>
        <w:spacing w:line="360" w:lineRule="auto"/>
        <w:rPr>
          <w:rFonts w:hint="eastAsia" w:ascii="宋体" w:hAnsi="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rPr>
      </w:r>
      <w:r/>
    </w:p>
    <w:p>
      <w:pPr>
        <w:spacing w:line="360" w:lineRule="auto"/>
        <w:rPr>
          <w:rFonts w:hint="eastAsia" w:ascii="宋体" w:hAnsi="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rPr>
      </w:r>
      <w:r/>
    </w:p>
    <w:p>
      <w:pPr>
        <w:pStyle w:val="1129"/>
        <w:ind w:firstLine="420"/>
        <w:jc w:val="center"/>
        <w:spacing w:before="0" w:beforeAutospacing="0" w:after="0" w:afterAutospacing="0" w:line="520" w:lineRule="atLeast"/>
        <w:shd w:val="clear" w:color="auto" w:fill="ffffff"/>
        <w:rPr>
          <w:b/>
          <w:bCs/>
          <w:color w:val="000000" w:themeColor="text1"/>
          <w:sz w:val="36"/>
          <w:szCs w:val="36"/>
          <w:highlight w:val="none"/>
          <w14:textFill>
            <w14:solidFill>
              <w14:schemeClr w14:val="tx1"/>
            </w14:solidFill>
          </w14:textFill>
        </w:rPr>
      </w:pPr>
      <w:r>
        <w:rPr>
          <w:rStyle w:val="1130"/>
          <w:rFonts w:hint="eastAsia" w:ascii="宋体" w:hAnsi="宋体" w:eastAsia="宋体" w:cs="宋体"/>
          <w:b/>
          <w:bCs/>
          <w:color w:val="000000" w:themeColor="text1"/>
          <w:sz w:val="36"/>
          <w:szCs w:val="36"/>
          <w:highlight w:val="none"/>
          <w:lang w:val="en-US" w:eastAsia="zh-CN"/>
          <w14:textFill>
            <w14:solidFill>
              <w14:schemeClr w14:val="tx1"/>
            </w14:solidFill>
          </w14:textFill>
        </w:rPr>
        <w:t xml:space="preserve">十</w:t>
      </w:r>
      <w:r>
        <w:rPr>
          <w:rStyle w:val="1130"/>
          <w:rFonts w:hint="eastAsia" w:eastAsia="宋体" w:cs="宋体"/>
          <w:b/>
          <w:bCs/>
          <w:color w:val="000000" w:themeColor="text1"/>
          <w:sz w:val="36"/>
          <w:szCs w:val="36"/>
          <w:highlight w:val="none"/>
          <w:lang w:val="en-US" w:eastAsia="zh-CN"/>
          <w14:textFill>
            <w14:solidFill>
              <w14:schemeClr w14:val="tx1"/>
            </w14:solidFill>
          </w14:textFill>
        </w:rPr>
        <w:t xml:space="preserve">一</w:t>
      </w:r>
      <w:r>
        <w:rPr>
          <w:rStyle w:val="1130"/>
          <w:rFonts w:hint="eastAsia" w:ascii="宋体" w:hAnsi="宋体" w:eastAsia="宋体" w:cs="宋体"/>
          <w:b/>
          <w:bCs/>
          <w:color w:val="000000" w:themeColor="text1"/>
          <w:sz w:val="36"/>
          <w:szCs w:val="36"/>
          <w:highlight w:val="none"/>
          <w:lang w:val="en-US" w:eastAsia="zh-CN"/>
          <w14:textFill>
            <w14:solidFill>
              <w14:schemeClr w14:val="tx1"/>
            </w14:solidFill>
          </w14:textFill>
        </w:rPr>
        <w:t xml:space="preserve">、</w:t>
      </w:r>
      <w:r>
        <w:rPr>
          <w:b/>
          <w:bCs/>
          <w:color w:val="000000" w:themeColor="text1"/>
          <w:sz w:val="36"/>
          <w:szCs w:val="36"/>
          <w:highlight w:val="none"/>
          <w14:textFill>
            <w14:solidFill>
              <w14:schemeClr w14:val="tx1"/>
            </w14:solidFill>
          </w14:textFill>
        </w:rPr>
        <w:t xml:space="preserve">预付款保函支付条款模板</w:t>
      </w:r>
      <w:r/>
    </w:p>
    <w:p>
      <w:pPr>
        <w:pStyle w:val="865"/>
        <w:ind w:firstLine="484"/>
        <w:spacing w:line="480" w:lineRule="atLeast"/>
        <w:shd w:val="clear" w:color="auto" w:fill="ffffff"/>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符合条件一：提交预付款保函的</w:t>
      </w:r>
      <w:r/>
    </w:p>
    <w:p>
      <w:pPr>
        <w:pStyle w:val="865"/>
        <w:ind w:firstLine="482"/>
        <w:jc w:val="both"/>
        <w:spacing w:line="480" w:lineRule="atLeast"/>
        <w:shd w:val="clear" w:color="auto" w:fill="ffffff"/>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（1）合同签订且乙方向甲方出具预付款保函后</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8"/>
          <w:szCs w:val="28"/>
          <w:highlight w:val="none"/>
          <w:u w:val="single"/>
          <w14:textFill>
            <w14:solidFill>
              <w14:schemeClr w14:val="tx1"/>
            </w14:solidFill>
          </w14:textFill>
        </w:rPr>
        <w:t xml:space="preserve"> XX（ XX%），</w:t>
      </w:r>
      <w:r>
        <w:rPr>
          <w:rFonts w:hint="eastAsia" w:ascii="宋体" w:hAnsi="宋体" w:eastAsia="宋体" w:cs="宋体"/>
          <w:color w:val="000000" w:themeColor="text1"/>
          <w:sz w:val="28"/>
          <w:szCs w:val="28"/>
          <w:highlight w:val="none"/>
          <w14:textFill>
            <w14:solidFill>
              <w14:schemeClr w14:val="tx1"/>
            </w14:solidFill>
          </w14:textFill>
        </w:rPr>
        <w:t xml:space="preserve">小写￥</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大写：人民币</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w:t>
      </w:r>
      <w:r/>
    </w:p>
    <w:p>
      <w:pPr>
        <w:pStyle w:val="865"/>
        <w:ind w:left="140" w:firstLine="482"/>
        <w:jc w:val="left"/>
        <w:spacing w:line="480" w:lineRule="atLeast"/>
        <w:shd w:val="clear" w:color="auto" w:fill="ffffff"/>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乙方需提交的支付文件：乙方出具的全额正式发票。（2）验收合格后</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8"/>
          <w:szCs w:val="28"/>
          <w:highlight w:val="none"/>
          <w:u w:val="single"/>
          <w14:textFill>
            <w14:solidFill>
              <w14:schemeClr w14:val="tx1"/>
            </w14:solidFill>
          </w14:textFill>
        </w:rPr>
        <w:t xml:space="preserve">XX（ XX%），</w:t>
      </w:r>
      <w:r>
        <w:rPr>
          <w:rFonts w:hint="eastAsia" w:ascii="宋体" w:hAnsi="宋体" w:eastAsia="宋体" w:cs="宋体"/>
          <w:color w:val="000000" w:themeColor="text1"/>
          <w:sz w:val="28"/>
          <w:szCs w:val="28"/>
          <w:highlight w:val="none"/>
          <w14:textFill>
            <w14:solidFill>
              <w14:schemeClr w14:val="tx1"/>
            </w14:solidFill>
          </w14:textFill>
        </w:rPr>
        <w:t xml:space="preserve">小写￥</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大写：人民币</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w:t>
      </w:r>
      <w:r/>
    </w:p>
    <w:p>
      <w:pPr>
        <w:pStyle w:val="865"/>
        <w:ind w:firstLine="484"/>
        <w:jc w:val="left"/>
        <w:spacing w:line="480" w:lineRule="atLeast"/>
        <w:shd w:val="clear" w:color="auto" w:fill="ffffff"/>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w:t>
      </w:r>
      <w:r/>
    </w:p>
    <w:p>
      <w:pPr>
        <w:pStyle w:val="865"/>
        <w:ind w:firstLine="484"/>
        <w:spacing w:line="480" w:lineRule="atLeast"/>
        <w:shd w:val="clear" w:color="auto" w:fill="ffffff"/>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符合条件二：不提交预付款保函的</w:t>
      </w:r>
      <w:r/>
    </w:p>
    <w:p>
      <w:pPr>
        <w:pStyle w:val="865"/>
        <w:ind w:firstLine="482"/>
        <w:spacing w:line="480" w:lineRule="atLeast"/>
        <w:shd w:val="clear" w:color="auto" w:fill="ffffff"/>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（1）合同签订后</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8"/>
          <w:szCs w:val="28"/>
          <w:highlight w:val="none"/>
          <w:u w:val="single"/>
          <w14:textFill>
            <w14:solidFill>
              <w14:schemeClr w14:val="tx1"/>
            </w14:solidFill>
          </w14:textFill>
        </w:rPr>
        <w:t xml:space="preserve">XX（ XX%），</w:t>
      </w:r>
      <w:r>
        <w:rPr>
          <w:rFonts w:hint="eastAsia" w:ascii="宋体" w:hAnsi="宋体" w:eastAsia="宋体" w:cs="宋体"/>
          <w:color w:val="000000" w:themeColor="text1"/>
          <w:sz w:val="28"/>
          <w:szCs w:val="28"/>
          <w:highlight w:val="none"/>
          <w14:textFill>
            <w14:solidFill>
              <w14:schemeClr w14:val="tx1"/>
            </w14:solidFill>
          </w14:textFill>
        </w:rPr>
        <w:t xml:space="preserve">小写￥</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大写：人民币</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w:t>
      </w:r>
      <w:r/>
    </w:p>
    <w:p>
      <w:pPr>
        <w:pStyle w:val="865"/>
        <w:ind w:left="140" w:firstLine="482"/>
        <w:jc w:val="both"/>
        <w:spacing w:line="480" w:lineRule="atLeast"/>
        <w:shd w:val="clear" w:color="auto" w:fill="ffffff"/>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乙方需提交的支付文件：乙方出具的全额正式发票。</w:t>
      </w:r>
      <w:r/>
    </w:p>
    <w:p>
      <w:pPr>
        <w:pStyle w:val="865"/>
        <w:ind w:left="140" w:firstLine="240"/>
        <w:jc w:val="left"/>
        <w:spacing w:line="480" w:lineRule="atLeast"/>
        <w:shd w:val="clear" w:color="auto" w:fill="ffffff"/>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（2）验收合格后</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8"/>
          <w:szCs w:val="28"/>
          <w:highlight w:val="none"/>
          <w:u w:val="single"/>
          <w14:textFill>
            <w14:solidFill>
              <w14:schemeClr w14:val="tx1"/>
            </w14:solidFill>
          </w14:textFill>
        </w:rPr>
        <w:t xml:space="preserve">XX（ XX%），</w:t>
      </w:r>
      <w:r>
        <w:rPr>
          <w:rFonts w:hint="eastAsia" w:ascii="宋体" w:hAnsi="宋体" w:eastAsia="宋体" w:cs="宋体"/>
          <w:color w:val="000000" w:themeColor="text1"/>
          <w:sz w:val="28"/>
          <w:szCs w:val="28"/>
          <w:highlight w:val="none"/>
          <w14:textFill>
            <w14:solidFill>
              <w14:schemeClr w14:val="tx1"/>
            </w14:solidFill>
          </w14:textFill>
        </w:rPr>
        <w:t xml:space="preserve">小写￥</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大写：人民币</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w:t>
      </w:r>
      <w:r/>
    </w:p>
    <w:p>
      <w:pPr>
        <w:pStyle w:val="865"/>
        <w:ind w:left="140" w:firstLine="484"/>
        <w:jc w:val="left"/>
        <w:spacing w:line="480" w:lineRule="atLeast"/>
        <w:shd w:val="clear" w:color="auto" w:fill="ffffff"/>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注:</w:t>
      </w:r>
      <w:r/>
    </w:p>
    <w:p>
      <w:pPr>
        <w:pStyle w:val="865"/>
        <w:ind w:firstLine="480"/>
        <w:jc w:val="left"/>
        <w:spacing w:line="480" w:lineRule="atLeast"/>
        <w:shd w:val="clear" w:color="auto" w:fill="ffffff"/>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1、付款条件一中，出具预付款保函后支付的合同款应当与保函金额一致。 </w:t>
      </w:r>
      <w:r/>
    </w:p>
    <w:p>
      <w:pPr>
        <w:pStyle w:val="865"/>
        <w:ind w:firstLine="480"/>
        <w:jc w:val="left"/>
        <w:spacing w:line="52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2、付款条件二中，预付款比例设定应符合《关于做好政府采购支持企业发展有关事项的通知》(苏财购〔2020〕52号)要求。</w:t>
      </w:r>
      <w:r/>
    </w:p>
    <w:p>
      <w:pPr>
        <w:spacing w:line="360" w:lineRule="auto"/>
        <w:rPr>
          <w:rFonts w:hint="eastAsia" w:ascii="宋体" w:hAnsi="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rPr>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PMingLiU">
    <w:panose1 w:val="02020500000000000000"/>
  </w:font>
  <w:font w:name="Tahoma">
    <w:panose1 w:val="020B0604030504040204"/>
  </w:font>
  <w:font w:name="Courier New">
    <w:panose1 w:val="02070309020205020404"/>
  </w:font>
  <w:font w:name="仿宋">
    <w:panose1 w:val="02010609060101010101"/>
  </w:font>
  <w:font w:name="等线">
    <w:panose1 w:val="02010600030101010101"/>
  </w:font>
  <w:font w:name="Calibri">
    <w:panose1 w:val="020F0502020204030204"/>
  </w:font>
  <w:font w:name="微软雅黑">
    <w:panose1 w:val="020B0503020204020204"/>
  </w:font>
  <w:font w:name="仿宋_GB2312">
    <w:panose1 w:val="02010609060101010101"/>
  </w:font>
  <w:font w:name="黑体">
    <w:panose1 w:val="02010609060101010101"/>
  </w:font>
  <w:font w:name="Calibri Light">
    <w:panose1 w:val="020F0302020204030204"/>
  </w:font>
  <w:font w:name="新宋体">
    <w:panose1 w:val="02010609030101010101"/>
  </w:font>
  <w:font w:name="Symbol">
    <w:panose1 w:val="05050102010706020507"/>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93"/>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93"/>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320"/>
      <w:jc w:val="both"/>
      <w:spacing w:line="209" w:lineRule="auto"/>
      <w:rPr>
        <w:rFonts w:hint="eastAsia" w:ascii="宋体" w:hAnsi="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1"/>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1"/>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93"/>
                            <w:tabs>
                              <w:tab w:val="clear" w:pos="4153" w:leader="none"/>
                              <w:tab w:val="clear" w:pos="8306" w:leader="none"/>
                            </w:tabs>
                          </w:pPr>
                          <w:r>
                            <w:fldChar w:fldCharType="begin"/>
                          </w:r>
                          <w:r>
                            <w:instrText xml:space="preserve"> PAGE  \* MERGEFORMAT </w:instrText>
                          </w:r>
                          <w:r>
                            <w:fldChar w:fldCharType="separate"/>
                          </w:r>
                          <w:r>
                            <w:t xml:space="preserve">72</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93"/>
                      <w:tabs>
                        <w:tab w:val="clear" w:pos="4153" w:leader="none"/>
                        <w:tab w:val="clear" w:pos="8306" w:leader="none"/>
                      </w:tabs>
                    </w:pPr>
                    <w:r>
                      <w:fldChar w:fldCharType="begin"/>
                    </w:r>
                    <w:r>
                      <w:instrText xml:space="preserve"> PAGE  \* MERGEFORMAT </w:instrText>
                    </w:r>
                    <w:r>
                      <w:fldChar w:fldCharType="separate"/>
                    </w:r>
                    <w:r>
                      <w:t xml:space="preserve">72</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jc w:val="right"/>
      <w:pBdr>
        <w:bottom w:val="single" w:color="000000" w:sz="4" w:space="0"/>
      </w:pBdr>
    </w:pPr>
    <w:r>
      <w:rPr>
        <w:rFonts w:hint="eastAsia" w:ascii="宋体" w:hAnsi="宋体" w:cs="宋体"/>
        <w:lang w:eastAsia="zh-CN"/>
      </w:rPr>
      <w:t xml:space="preserve">徐州市供排水管理中心防汛车辆购置</w:t>
    </w:r>
    <w:r>
      <w:rPr>
        <w:rFonts w:hint="eastAsia" w:ascii="宋体" w:hAnsi="宋体" w:cs="宋体"/>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jc w:val="right"/>
      <w:pBdr>
        <w:bottom w:val="single" w:color="000000" w:sz="4" w:space="0"/>
      </w:pBdr>
    </w:pPr>
    <w:r>
      <w:rPr>
        <w:rFonts w:hint="eastAsia" w:ascii="宋体" w:hAnsi="宋体" w:cs="宋体"/>
        <w:lang w:eastAsia="zh-CN"/>
      </w:rPr>
      <w:t xml:space="preserve">徐州市供排水管理中心防汛车辆购置</w:t>
    </w:r>
    <w:r>
      <w:rPr>
        <w:rFonts w:hint="eastAsia" w:ascii="宋体" w:hAnsi="宋体" w:cs="宋体"/>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000000" w:sz="4" w:space="0"/>
      </w:pBdr>
    </w:pPr>
    <w:r>
      <w:rPr>
        <w:rFonts w:hint="eastAsia" w:ascii="宋体" w:hAnsi="宋体" w:cs="宋体"/>
        <w:sz w:val="18"/>
        <w:szCs w:val="18"/>
        <w:lang w:eastAsia="zh-CN"/>
      </w:rPr>
      <w:t xml:space="preserve">徐州市供排水管理中心防汛车辆购置</w:t>
    </w:r>
    <w:r>
      <w:rPr>
        <w:rFonts w:hint="eastAsia" w:ascii="宋体" w:hAnsi="宋体" w:cs="宋体"/>
        <w:sz w:val="18"/>
        <w:szCs w:val="18"/>
      </w:rPr>
      <w:t xml:space="preserve">项目</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space"/>
      <w:lvlText w:val="%1. "/>
      <w:lvlJc w:val="left"/>
      <w:pPr>
        <w:ind w:left="907" w:hanging="907"/>
      </w:pPr>
    </w:lvl>
    <w:lvl w:ilvl="1">
      <w:start w:val="1"/>
      <w:numFmt w:val="decimal"/>
      <w:isLgl w:val="false"/>
      <w:suff w:val="space"/>
      <w:lvlText w:val="%1.%2 "/>
      <w:lvlJc w:val="left"/>
      <w:pPr>
        <w:ind w:left="794" w:hanging="794"/>
      </w:pPr>
    </w:lvl>
    <w:lvl w:ilvl="2">
      <w:start w:val="0"/>
      <w:numFmt w:val="decimal"/>
      <w:isLgl w:val="false"/>
      <w:suff w:val="tab"/>
      <w:lvlText w:val=""/>
      <w:lvlJc w:val="left"/>
      <w:pPr>
        <w:ind w:left="0" w:firstLine="0"/>
        <w:tabs>
          <w:tab w:val="left" w:pos="360" w:leader="none"/>
        </w:tabs>
      </w:pPr>
      <w:rPr>
        <w:rFonts w:cs="Times New Roman"/>
      </w:rPr>
    </w:lvl>
    <w:lvl w:ilvl="3">
      <w:start w:val="0"/>
      <w:numFmt w:val="decimal"/>
      <w:isLgl w:val="false"/>
      <w:suff w:val="tab"/>
      <w:lvlText w:val=""/>
      <w:lvlJc w:val="left"/>
      <w:pPr>
        <w:ind w:left="0" w:firstLine="0"/>
        <w:tabs>
          <w:tab w:val="left" w:pos="360" w:leader="none"/>
        </w:tabs>
      </w:pPr>
      <w:rPr>
        <w:rFonts w:cs="Times New Roman"/>
      </w:rPr>
    </w:lvl>
    <w:lvl w:ilvl="4">
      <w:start w:val="0"/>
      <w:numFmt w:val="decimal"/>
      <w:pStyle w:val="1100"/>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1" w:default="1">
    <w:name w:val="Normal"/>
    <w:next w:val="803"/>
    <w:link w:val="111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2">
    <w:name w:val="Heading 1"/>
    <w:basedOn w:val="791"/>
    <w:next w:val="791"/>
    <w:uiPriority w:val="9"/>
    <w:qFormat/>
    <w:pPr>
      <w:keepLines/>
      <w:keepNext/>
      <w:spacing w:before="480" w:after="200"/>
      <w:outlineLvl w:val="0"/>
    </w:pPr>
    <w:rPr>
      <w:rFonts w:ascii="Arial" w:hAnsi="Arial" w:eastAsia="Arial" w:cs="Arial"/>
      <w:sz w:val="40"/>
      <w:szCs w:val="40"/>
    </w:rPr>
  </w:style>
  <w:style w:type="paragraph" w:styleId="793">
    <w:name w:val="Heading 2"/>
    <w:basedOn w:val="791"/>
    <w:next w:val="791"/>
    <w:link w:val="1130"/>
    <w:uiPriority w:val="9"/>
    <w:unhideWhenUsed/>
    <w:qFormat/>
    <w:pPr>
      <w:keepLines/>
      <w:keepNext/>
      <w:spacing w:before="360" w:after="200"/>
      <w:outlineLvl w:val="1"/>
    </w:pPr>
    <w:rPr>
      <w:rFonts w:ascii="Arial" w:hAnsi="Arial" w:eastAsia="Arial" w:cs="Arial"/>
      <w:sz w:val="34"/>
    </w:rPr>
  </w:style>
  <w:style w:type="paragraph" w:styleId="794">
    <w:name w:val="Heading 3"/>
    <w:basedOn w:val="791"/>
    <w:next w:val="791"/>
    <w:uiPriority w:val="9"/>
    <w:unhideWhenUsed/>
    <w:qFormat/>
    <w:pPr>
      <w:keepLines/>
      <w:keepNext/>
      <w:spacing w:before="320" w:after="200"/>
      <w:outlineLvl w:val="2"/>
    </w:pPr>
    <w:rPr>
      <w:rFonts w:ascii="Arial" w:hAnsi="Arial" w:eastAsia="Arial" w:cs="Arial"/>
      <w:sz w:val="30"/>
      <w:szCs w:val="30"/>
    </w:rPr>
  </w:style>
  <w:style w:type="paragraph" w:styleId="795">
    <w:name w:val="Heading 4"/>
    <w:basedOn w:val="791"/>
    <w:next w:val="791"/>
    <w:uiPriority w:val="9"/>
    <w:unhideWhenUsed/>
    <w:qFormat/>
    <w:pPr>
      <w:keepLines/>
      <w:keepNext/>
      <w:spacing w:before="320" w:after="200"/>
      <w:outlineLvl w:val="3"/>
    </w:pPr>
    <w:rPr>
      <w:rFonts w:ascii="Arial" w:hAnsi="Arial" w:eastAsia="Arial" w:cs="Arial"/>
      <w:b/>
      <w:bCs/>
      <w:sz w:val="26"/>
      <w:szCs w:val="26"/>
    </w:rPr>
  </w:style>
  <w:style w:type="paragraph" w:styleId="796">
    <w:name w:val="Heading 5"/>
    <w:basedOn w:val="791"/>
    <w:next w:val="791"/>
    <w:uiPriority w:val="9"/>
    <w:unhideWhenUsed/>
    <w:qFormat/>
    <w:pPr>
      <w:keepLines/>
      <w:keepNext/>
      <w:spacing w:before="320" w:after="200"/>
      <w:outlineLvl w:val="4"/>
    </w:pPr>
    <w:rPr>
      <w:rFonts w:ascii="Arial" w:hAnsi="Arial" w:eastAsia="Arial" w:cs="Arial"/>
      <w:b/>
      <w:bCs/>
      <w:sz w:val="24"/>
      <w:szCs w:val="24"/>
    </w:rPr>
  </w:style>
  <w:style w:type="paragraph" w:styleId="797">
    <w:name w:val="Heading 6"/>
    <w:basedOn w:val="791"/>
    <w:next w:val="791"/>
    <w:uiPriority w:val="9"/>
    <w:unhideWhenUsed/>
    <w:qFormat/>
    <w:pPr>
      <w:keepLines/>
      <w:keepNext/>
      <w:spacing w:before="320" w:after="200"/>
      <w:outlineLvl w:val="5"/>
    </w:pPr>
    <w:rPr>
      <w:rFonts w:ascii="Arial" w:hAnsi="Arial" w:eastAsia="Arial" w:cs="Arial"/>
      <w:b/>
      <w:bCs/>
      <w:sz w:val="22"/>
      <w:szCs w:val="22"/>
    </w:rPr>
  </w:style>
  <w:style w:type="paragraph" w:styleId="798">
    <w:name w:val="Heading 7"/>
    <w:basedOn w:val="791"/>
    <w:next w:val="791"/>
    <w:uiPriority w:val="9"/>
    <w:unhideWhenUsed/>
    <w:qFormat/>
    <w:pPr>
      <w:keepLines/>
      <w:keepNext/>
      <w:spacing w:before="320" w:after="200"/>
      <w:outlineLvl w:val="6"/>
    </w:pPr>
    <w:rPr>
      <w:rFonts w:ascii="Arial" w:hAnsi="Arial" w:eastAsia="Arial" w:cs="Arial"/>
      <w:b/>
      <w:bCs/>
      <w:i/>
      <w:iCs/>
      <w:sz w:val="22"/>
      <w:szCs w:val="22"/>
    </w:rPr>
  </w:style>
  <w:style w:type="paragraph" w:styleId="799">
    <w:name w:val="Heading 8"/>
    <w:basedOn w:val="791"/>
    <w:next w:val="791"/>
    <w:uiPriority w:val="9"/>
    <w:unhideWhenUsed/>
    <w:qFormat/>
    <w:pPr>
      <w:keepLines/>
      <w:keepNext/>
      <w:spacing w:before="320" w:after="200"/>
      <w:outlineLvl w:val="7"/>
    </w:pPr>
    <w:rPr>
      <w:rFonts w:ascii="Arial" w:hAnsi="Arial" w:eastAsia="Arial" w:cs="Arial"/>
      <w:i/>
      <w:iCs/>
      <w:sz w:val="22"/>
      <w:szCs w:val="22"/>
    </w:rPr>
  </w:style>
  <w:style w:type="paragraph" w:styleId="800">
    <w:name w:val="Heading 9"/>
    <w:basedOn w:val="791"/>
    <w:next w:val="791"/>
    <w:uiPriority w:val="9"/>
    <w:unhideWhenUsed/>
    <w:qFormat/>
    <w:pPr>
      <w:keepLines/>
      <w:keepNext/>
      <w:spacing w:before="320" w:after="200"/>
      <w:outlineLvl w:val="8"/>
    </w:pPr>
    <w:rPr>
      <w:rFonts w:ascii="Arial" w:hAnsi="Arial" w:eastAsia="Arial" w:cs="Arial"/>
      <w:i/>
      <w:iCs/>
      <w:sz w:val="21"/>
      <w:szCs w:val="21"/>
    </w:rPr>
  </w:style>
  <w:style w:type="character" w:styleId="801" w:default="1">
    <w:name w:val="Default Paragraph Font"/>
    <w:uiPriority w:val="1"/>
    <w:semiHidden/>
    <w:unhideWhenUsed/>
    <w:qFormat/>
  </w:style>
  <w:style w:type="table" w:styleId="802" w:default="1">
    <w:name w:val="Normal Table"/>
    <w:uiPriority w:val="99"/>
    <w:semiHidden/>
    <w:unhideWhenUsed/>
    <w:qFormat/>
    <w:tblPr>
      <w:tblCellMar>
        <w:left w:w="108" w:type="dxa"/>
        <w:top w:w="0" w:type="dxa"/>
        <w:right w:w="108" w:type="dxa"/>
        <w:bottom w:w="0" w:type="dxa"/>
      </w:tblCellMar>
    </w:tblPr>
  </w:style>
  <w:style w:type="paragraph" w:styleId="803">
    <w:name w:val="Block Text"/>
    <w:basedOn w:val="791"/>
    <w:next w:val="791"/>
    <w:uiPriority w:val="99"/>
    <w:semiHidden/>
    <w:unhideWhenUsed/>
    <w:qFormat/>
    <w:pPr>
      <w:ind w:left="1440" w:right="1440"/>
      <w:spacing w:after="120"/>
    </w:pPr>
  </w:style>
  <w:style w:type="paragraph" w:styleId="804">
    <w:name w:val="toc 7"/>
    <w:basedOn w:val="791"/>
    <w:next w:val="791"/>
    <w:uiPriority w:val="39"/>
    <w:unhideWhenUsed/>
    <w:qFormat/>
    <w:pPr>
      <w:ind w:left="1701" w:right="0" w:firstLine="0"/>
      <w:spacing w:after="57"/>
    </w:pPr>
  </w:style>
  <w:style w:type="paragraph" w:styleId="805">
    <w:name w:val="Caption"/>
    <w:basedOn w:val="791"/>
    <w:next w:val="79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6">
    <w:name w:val="Body Text Indent"/>
    <w:basedOn w:val="791"/>
    <w:uiPriority w:val="99"/>
    <w:qFormat/>
    <w:pPr>
      <w:ind w:left="420"/>
      <w:spacing w:after="120"/>
    </w:pPr>
  </w:style>
  <w:style w:type="paragraph" w:styleId="807">
    <w:name w:val="toc 5"/>
    <w:basedOn w:val="791"/>
    <w:next w:val="791"/>
    <w:uiPriority w:val="39"/>
    <w:unhideWhenUsed/>
    <w:qFormat/>
    <w:pPr>
      <w:ind w:left="1134" w:right="0" w:firstLine="0"/>
      <w:spacing w:after="57"/>
    </w:pPr>
  </w:style>
  <w:style w:type="paragraph" w:styleId="808">
    <w:name w:val="toc 3"/>
    <w:basedOn w:val="791"/>
    <w:next w:val="791"/>
    <w:uiPriority w:val="39"/>
    <w:unhideWhenUsed/>
    <w:qFormat/>
    <w:pPr>
      <w:ind w:left="567" w:right="0" w:firstLine="0"/>
      <w:spacing w:after="57"/>
    </w:pPr>
  </w:style>
  <w:style w:type="paragraph" w:styleId="809">
    <w:name w:val="toc 8"/>
    <w:basedOn w:val="791"/>
    <w:next w:val="791"/>
    <w:uiPriority w:val="39"/>
    <w:unhideWhenUsed/>
    <w:qFormat/>
    <w:pPr>
      <w:ind w:left="1984" w:right="0" w:firstLine="0"/>
      <w:spacing w:after="57"/>
    </w:pPr>
  </w:style>
  <w:style w:type="paragraph" w:styleId="810">
    <w:name w:val="endnote text"/>
    <w:basedOn w:val="791"/>
    <w:uiPriority w:val="99"/>
    <w:semiHidden/>
    <w:unhideWhenUsed/>
    <w:qFormat/>
    <w:pPr>
      <w:spacing w:after="0" w:line="240" w:lineRule="auto"/>
    </w:pPr>
    <w:rPr>
      <w:sz w:val="20"/>
    </w:rPr>
  </w:style>
  <w:style w:type="paragraph" w:styleId="811">
    <w:name w:val="Footer"/>
    <w:basedOn w:val="791"/>
    <w:uiPriority w:val="99"/>
    <w:unhideWhenUsed/>
    <w:qFormat/>
    <w:pPr>
      <w:spacing w:after="0" w:line="240" w:lineRule="auto"/>
      <w:tabs>
        <w:tab w:val="center" w:pos="7143" w:leader="none"/>
        <w:tab w:val="right" w:pos="14287" w:leader="none"/>
      </w:tabs>
    </w:pPr>
  </w:style>
  <w:style w:type="paragraph" w:styleId="812">
    <w:name w:val="Header"/>
    <w:basedOn w:val="791"/>
    <w:uiPriority w:val="99"/>
    <w:unhideWhenUsed/>
    <w:qFormat/>
    <w:pPr>
      <w:spacing w:after="0" w:line="240" w:lineRule="auto"/>
      <w:tabs>
        <w:tab w:val="center" w:pos="7143" w:leader="none"/>
        <w:tab w:val="right" w:pos="14287" w:leader="none"/>
      </w:tabs>
    </w:pPr>
  </w:style>
  <w:style w:type="paragraph" w:styleId="813">
    <w:name w:val="toc 1"/>
    <w:basedOn w:val="791"/>
    <w:next w:val="791"/>
    <w:uiPriority w:val="39"/>
    <w:unhideWhenUsed/>
    <w:qFormat/>
    <w:pPr>
      <w:ind w:left="0" w:right="0" w:firstLine="0"/>
      <w:spacing w:after="57"/>
    </w:pPr>
  </w:style>
  <w:style w:type="paragraph" w:styleId="814">
    <w:name w:val="toc 4"/>
    <w:basedOn w:val="791"/>
    <w:next w:val="791"/>
    <w:uiPriority w:val="39"/>
    <w:unhideWhenUsed/>
    <w:qFormat/>
    <w:pPr>
      <w:ind w:left="850" w:right="0" w:firstLine="0"/>
      <w:spacing w:after="57"/>
    </w:pPr>
  </w:style>
  <w:style w:type="paragraph" w:styleId="815">
    <w:name w:val="Subtitle"/>
    <w:basedOn w:val="791"/>
    <w:next w:val="791"/>
    <w:uiPriority w:val="11"/>
    <w:qFormat/>
    <w:pPr>
      <w:spacing w:before="200" w:after="200"/>
    </w:pPr>
    <w:rPr>
      <w:sz w:val="24"/>
      <w:szCs w:val="24"/>
    </w:rPr>
  </w:style>
  <w:style w:type="paragraph" w:styleId="816">
    <w:name w:val="footnote text"/>
    <w:basedOn w:val="791"/>
    <w:uiPriority w:val="99"/>
    <w:semiHidden/>
    <w:unhideWhenUsed/>
    <w:qFormat/>
    <w:pPr>
      <w:spacing w:after="40" w:line="240" w:lineRule="auto"/>
    </w:pPr>
    <w:rPr>
      <w:sz w:val="18"/>
    </w:rPr>
  </w:style>
  <w:style w:type="paragraph" w:styleId="817">
    <w:name w:val="toc 6"/>
    <w:basedOn w:val="791"/>
    <w:next w:val="791"/>
    <w:uiPriority w:val="39"/>
    <w:unhideWhenUsed/>
    <w:qFormat/>
    <w:pPr>
      <w:ind w:left="1417" w:right="0" w:firstLine="0"/>
      <w:spacing w:after="57"/>
    </w:pPr>
  </w:style>
  <w:style w:type="paragraph" w:styleId="818">
    <w:name w:val="table of figures"/>
    <w:basedOn w:val="791"/>
    <w:next w:val="791"/>
    <w:uiPriority w:val="99"/>
    <w:unhideWhenUsed/>
    <w:qFormat/>
    <w:pPr>
      <w:spacing w:after="0" w:afterAutospacing="0"/>
    </w:pPr>
  </w:style>
  <w:style w:type="paragraph" w:styleId="819">
    <w:name w:val="toc 2"/>
    <w:basedOn w:val="791"/>
    <w:next w:val="791"/>
    <w:uiPriority w:val="39"/>
    <w:unhideWhenUsed/>
    <w:qFormat/>
    <w:pPr>
      <w:ind w:left="283" w:right="0" w:firstLine="0"/>
      <w:spacing w:after="57"/>
    </w:pPr>
  </w:style>
  <w:style w:type="paragraph" w:styleId="820">
    <w:name w:val="toc 9"/>
    <w:basedOn w:val="791"/>
    <w:next w:val="791"/>
    <w:uiPriority w:val="39"/>
    <w:unhideWhenUsed/>
    <w:qFormat/>
    <w:pPr>
      <w:ind w:left="2268" w:right="0" w:firstLine="0"/>
      <w:spacing w:after="57"/>
    </w:pPr>
  </w:style>
  <w:style w:type="paragraph" w:styleId="821">
    <w:name w:val="Normal (Web)"/>
    <w:basedOn w:val="791"/>
    <w:uiPriority w:val="99"/>
    <w:semiHidden/>
    <w:unhideWhenUsed/>
    <w:qFormat/>
    <w:pPr>
      <w:ind w:left="0" w:right="0"/>
      <w:jc w:val="left"/>
      <w:spacing w:before="0" w:beforeAutospacing="1" w:after="0" w:afterAutospacing="1"/>
    </w:pPr>
    <w:rPr>
      <w:sz w:val="24"/>
      <w:lang w:val="en-US" w:eastAsia="zh-CN" w:bidi="ar"/>
    </w:rPr>
  </w:style>
  <w:style w:type="paragraph" w:styleId="822">
    <w:name w:val="Title"/>
    <w:basedOn w:val="791"/>
    <w:next w:val="791"/>
    <w:uiPriority w:val="10"/>
    <w:qFormat/>
    <w:pPr>
      <w:contextualSpacing/>
      <w:spacing w:before="300" w:after="200"/>
    </w:pPr>
    <w:rPr>
      <w:sz w:val="48"/>
      <w:szCs w:val="48"/>
    </w:rPr>
  </w:style>
  <w:style w:type="table" w:styleId="82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4">
    <w:name w:val="endnote reference"/>
    <w:uiPriority w:val="99"/>
    <w:semiHidden/>
    <w:unhideWhenUsed/>
    <w:qFormat/>
    <w:rPr>
      <w:vertAlign w:val="superscript"/>
    </w:rPr>
  </w:style>
  <w:style w:type="character" w:styleId="825">
    <w:name w:val="Hyperlink"/>
    <w:uiPriority w:val="99"/>
    <w:unhideWhenUsed/>
    <w:qFormat/>
    <w:rPr>
      <w:color w:val="0000ff" w:themeColor="hyperlink"/>
      <w:u w:val="single"/>
      <w14:textFill>
        <w14:solidFill>
          <w14:schemeClr w14:val="hlink"/>
        </w14:solidFill>
      </w14:textFill>
    </w:rPr>
  </w:style>
  <w:style w:type="character" w:styleId="826">
    <w:name w:val="footnote reference"/>
    <w:uiPriority w:val="99"/>
    <w:unhideWhenUsed/>
    <w:qFormat/>
    <w:rPr>
      <w:vertAlign w:val="superscript"/>
    </w:rPr>
  </w:style>
  <w:style w:type="paragraph" w:styleId="827">
    <w:name w:val="List Paragraph"/>
    <w:basedOn w:val="791"/>
    <w:uiPriority w:val="34"/>
    <w:qFormat/>
    <w:pPr>
      <w:contextualSpacing/>
      <w:ind w:left="720"/>
    </w:pPr>
  </w:style>
  <w:style w:type="paragraph" w:styleId="828">
    <w:name w:val="No Spacing"/>
    <w:uiPriority w:val="1"/>
    <w:qFormat/>
    <w:pPr>
      <w:spacing w:before="0" w:after="0" w:line="240" w:lineRule="auto"/>
    </w:pPr>
    <w:rPr>
      <w:rFonts w:hint="default" w:ascii="Times New Roman" w:hAnsi="Times New Roman" w:eastAsia="宋体" w:cs="Times New Roman"/>
    </w:rPr>
  </w:style>
  <w:style w:type="paragraph" w:styleId="829">
    <w:name w:val="Quote"/>
    <w:basedOn w:val="791"/>
    <w:next w:val="791"/>
    <w:uiPriority w:val="29"/>
    <w:qFormat/>
    <w:pPr>
      <w:ind w:left="720" w:right="720"/>
    </w:pPr>
    <w:rPr>
      <w:i/>
    </w:rPr>
  </w:style>
  <w:style w:type="paragraph" w:styleId="830">
    <w:name w:val="Intense Quote"/>
    <w:basedOn w:val="791"/>
    <w:next w:val="7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31" w:customStyle="1">
    <w:name w:val="标题 11"/>
    <w:basedOn w:val="791"/>
    <w:next w:val="791"/>
    <w:link w:val="843"/>
    <w:uiPriority w:val="0"/>
    <w:qFormat/>
    <w:pPr>
      <w:jc w:val="center"/>
      <w:keepLines/>
      <w:keepNext/>
      <w:spacing w:line="578" w:lineRule="auto"/>
      <w:outlineLvl w:val="0"/>
    </w:pPr>
    <w:rPr>
      <w:rFonts w:eastAsia="新宋体"/>
      <w:b/>
      <w:bCs/>
      <w:sz w:val="30"/>
      <w:szCs w:val="44"/>
    </w:rPr>
  </w:style>
  <w:style w:type="paragraph" w:styleId="832" w:customStyle="1">
    <w:name w:val="标题 211"/>
    <w:basedOn w:val="791"/>
    <w:next w:val="791"/>
    <w:link w:val="844"/>
    <w:uiPriority w:val="9"/>
    <w:qFormat/>
    <w:pPr>
      <w:keepLines/>
      <w:keepNext/>
      <w:spacing w:before="260" w:after="260" w:line="416" w:lineRule="auto"/>
      <w:outlineLvl w:val="1"/>
    </w:pPr>
    <w:rPr>
      <w:rFonts w:ascii="Calibri Light" w:hAnsi="Calibri Light" w:eastAsia="黑体" w:cs="Times New Roman"/>
      <w:b/>
      <w:bCs/>
      <w:sz w:val="32"/>
      <w:szCs w:val="32"/>
    </w:rPr>
  </w:style>
  <w:style w:type="paragraph" w:styleId="833" w:customStyle="1">
    <w:name w:val="标题 31"/>
    <w:basedOn w:val="791"/>
    <w:next w:val="791"/>
    <w:link w:val="845"/>
    <w:uiPriority w:val="9"/>
    <w:qFormat/>
    <w:pPr>
      <w:keepLines/>
      <w:keepNext/>
      <w:spacing w:before="260" w:after="260" w:line="416" w:lineRule="auto"/>
      <w:outlineLvl w:val="2"/>
    </w:pPr>
    <w:rPr>
      <w:b/>
      <w:bCs/>
      <w:sz w:val="32"/>
      <w:szCs w:val="32"/>
    </w:rPr>
  </w:style>
  <w:style w:type="paragraph" w:styleId="834" w:customStyle="1">
    <w:name w:val="标题 41"/>
    <w:basedOn w:val="791"/>
    <w:next w:val="791"/>
    <w:link w:val="846"/>
    <w:uiPriority w:val="9"/>
    <w:qFormat/>
    <w:pPr>
      <w:keepLines/>
      <w:keepNext/>
      <w:spacing w:before="320" w:after="200"/>
      <w:outlineLvl w:val="3"/>
    </w:pPr>
    <w:rPr>
      <w:rFonts w:ascii="Arial" w:hAnsi="Arial" w:eastAsia="Arial" w:cs="Arial"/>
      <w:b/>
      <w:bCs/>
      <w:sz w:val="26"/>
      <w:szCs w:val="26"/>
    </w:rPr>
  </w:style>
  <w:style w:type="paragraph" w:styleId="835" w:customStyle="1">
    <w:name w:val="标题 51"/>
    <w:basedOn w:val="791"/>
    <w:next w:val="791"/>
    <w:link w:val="847"/>
    <w:uiPriority w:val="9"/>
    <w:qFormat/>
    <w:pPr>
      <w:keepLines/>
      <w:keepNext/>
      <w:spacing w:before="320" w:after="200"/>
      <w:outlineLvl w:val="4"/>
    </w:pPr>
    <w:rPr>
      <w:rFonts w:ascii="Arial" w:hAnsi="Arial" w:eastAsia="Arial" w:cs="Arial"/>
      <w:b/>
      <w:bCs/>
      <w:sz w:val="24"/>
    </w:rPr>
  </w:style>
  <w:style w:type="paragraph" w:styleId="836" w:customStyle="1">
    <w:name w:val="标题 61"/>
    <w:basedOn w:val="791"/>
    <w:next w:val="791"/>
    <w:link w:val="848"/>
    <w:uiPriority w:val="9"/>
    <w:qFormat/>
    <w:pPr>
      <w:keepLines/>
      <w:keepNext/>
      <w:spacing w:before="320" w:after="200"/>
      <w:outlineLvl w:val="5"/>
    </w:pPr>
    <w:rPr>
      <w:rFonts w:ascii="Arial" w:hAnsi="Arial" w:eastAsia="Arial" w:cs="Arial"/>
      <w:b/>
      <w:bCs/>
      <w:sz w:val="22"/>
      <w:szCs w:val="22"/>
    </w:rPr>
  </w:style>
  <w:style w:type="paragraph" w:styleId="837" w:customStyle="1">
    <w:name w:val="标题 71"/>
    <w:basedOn w:val="791"/>
    <w:next w:val="791"/>
    <w:link w:val="849"/>
    <w:uiPriority w:val="9"/>
    <w:qFormat/>
    <w:pPr>
      <w:keepLines/>
      <w:keepNext/>
      <w:spacing w:before="320" w:after="200"/>
      <w:outlineLvl w:val="6"/>
    </w:pPr>
    <w:rPr>
      <w:rFonts w:ascii="Arial" w:hAnsi="Arial" w:eastAsia="Arial" w:cs="Arial"/>
      <w:b/>
      <w:bCs/>
      <w:i/>
      <w:iCs/>
      <w:sz w:val="22"/>
      <w:szCs w:val="22"/>
    </w:rPr>
  </w:style>
  <w:style w:type="paragraph" w:styleId="838" w:customStyle="1">
    <w:name w:val="标题 81"/>
    <w:basedOn w:val="791"/>
    <w:next w:val="791"/>
    <w:link w:val="850"/>
    <w:uiPriority w:val="9"/>
    <w:qFormat/>
    <w:pPr>
      <w:keepLines/>
      <w:keepNext/>
      <w:spacing w:before="320" w:after="200"/>
      <w:outlineLvl w:val="7"/>
    </w:pPr>
    <w:rPr>
      <w:rFonts w:ascii="Arial" w:hAnsi="Arial" w:eastAsia="Arial" w:cs="Arial"/>
      <w:i/>
      <w:iCs/>
      <w:sz w:val="22"/>
      <w:szCs w:val="22"/>
    </w:rPr>
  </w:style>
  <w:style w:type="paragraph" w:styleId="839" w:customStyle="1">
    <w:name w:val="标题 91"/>
    <w:basedOn w:val="791"/>
    <w:next w:val="791"/>
    <w:link w:val="851"/>
    <w:uiPriority w:val="9"/>
    <w:qFormat/>
    <w:pPr>
      <w:keepLines/>
      <w:keepNext/>
      <w:spacing w:before="320" w:after="200"/>
      <w:outlineLvl w:val="8"/>
    </w:pPr>
    <w:rPr>
      <w:rFonts w:ascii="Arial" w:hAnsi="Arial" w:eastAsia="Arial" w:cs="Arial"/>
      <w:i/>
      <w:iCs/>
      <w:szCs w:val="21"/>
    </w:rPr>
  </w:style>
  <w:style w:type="character" w:styleId="840" w:customStyle="1">
    <w:name w:val="默认段落字体1"/>
    <w:link w:val="791"/>
    <w:uiPriority w:val="1"/>
    <w:unhideWhenUsed/>
    <w:qFormat/>
  </w:style>
  <w:style w:type="table" w:styleId="841" w:customStyle="1">
    <w:name w:val="普通表格1"/>
    <w:uiPriority w:val="99"/>
    <w:unhideWhenUsed/>
    <w:qFormat/>
    <w:tblPr/>
  </w:style>
  <w:style w:type="paragraph" w:styleId="842" w:customStyle="1">
    <w:name w:val="文本块1"/>
    <w:basedOn w:val="791"/>
    <w:uiPriority w:val="99"/>
    <w:unhideWhenUsed/>
    <w:qFormat/>
    <w:pPr>
      <w:ind w:left="1440" w:right="1440"/>
      <w:spacing w:after="120"/>
    </w:pPr>
  </w:style>
  <w:style w:type="character" w:styleId="843" w:customStyle="1">
    <w:name w:val="标题 1 字符"/>
    <w:link w:val="831"/>
    <w:uiPriority w:val="0"/>
    <w:qFormat/>
    <w:rPr>
      <w:rFonts w:ascii="Times New Roman" w:hAnsi="Times New Roman" w:eastAsia="新宋体" w:cs="Times New Roman"/>
      <w:b/>
      <w:bCs/>
      <w:sz w:val="30"/>
      <w:szCs w:val="44"/>
    </w:rPr>
  </w:style>
  <w:style w:type="character" w:styleId="844" w:customStyle="1">
    <w:name w:val="标题 2 字符"/>
    <w:link w:val="832"/>
    <w:uiPriority w:val="9"/>
    <w:qFormat/>
    <w:rPr>
      <w:rFonts w:ascii="Calibri Light" w:hAnsi="Calibri Light" w:eastAsia="黑体" w:cs="Times New Roman"/>
      <w:b/>
      <w:bCs/>
      <w:sz w:val="32"/>
      <w:szCs w:val="32"/>
    </w:rPr>
  </w:style>
  <w:style w:type="character" w:styleId="845" w:customStyle="1">
    <w:name w:val="标题 3 字符"/>
    <w:link w:val="833"/>
    <w:uiPriority w:val="9"/>
    <w:qFormat/>
    <w:rPr>
      <w:rFonts w:ascii="Times New Roman" w:hAnsi="Times New Roman" w:eastAsia="宋体" w:cs="Times New Roman"/>
      <w:b/>
      <w:bCs/>
      <w:sz w:val="32"/>
      <w:szCs w:val="32"/>
    </w:rPr>
  </w:style>
  <w:style w:type="character" w:styleId="846" w:customStyle="1">
    <w:name w:val="标题 4 字符"/>
    <w:link w:val="834"/>
    <w:uiPriority w:val="9"/>
    <w:qFormat/>
    <w:rPr>
      <w:rFonts w:ascii="Arial" w:hAnsi="Arial" w:eastAsia="Arial" w:cs="Arial"/>
      <w:b/>
      <w:bCs/>
      <w:sz w:val="26"/>
      <w:szCs w:val="26"/>
    </w:rPr>
  </w:style>
  <w:style w:type="character" w:styleId="847" w:customStyle="1">
    <w:name w:val="标题 5 字符"/>
    <w:link w:val="835"/>
    <w:uiPriority w:val="9"/>
    <w:qFormat/>
    <w:rPr>
      <w:rFonts w:ascii="Arial" w:hAnsi="Arial" w:eastAsia="Arial" w:cs="Arial"/>
      <w:b/>
      <w:bCs/>
      <w:sz w:val="24"/>
      <w:szCs w:val="24"/>
    </w:rPr>
  </w:style>
  <w:style w:type="character" w:styleId="848" w:customStyle="1">
    <w:name w:val="标题 6 字符"/>
    <w:link w:val="836"/>
    <w:uiPriority w:val="9"/>
    <w:qFormat/>
    <w:rPr>
      <w:rFonts w:ascii="Arial" w:hAnsi="Arial" w:eastAsia="Arial" w:cs="Arial"/>
      <w:b/>
      <w:bCs/>
      <w:sz w:val="22"/>
      <w:szCs w:val="22"/>
    </w:rPr>
  </w:style>
  <w:style w:type="character" w:styleId="849" w:customStyle="1">
    <w:name w:val="标题 7 字符"/>
    <w:link w:val="837"/>
    <w:uiPriority w:val="9"/>
    <w:qFormat/>
    <w:rPr>
      <w:rFonts w:ascii="Arial" w:hAnsi="Arial" w:eastAsia="Arial" w:cs="Arial"/>
      <w:b/>
      <w:bCs/>
      <w:i/>
      <w:iCs/>
      <w:sz w:val="22"/>
      <w:szCs w:val="22"/>
    </w:rPr>
  </w:style>
  <w:style w:type="character" w:styleId="850" w:customStyle="1">
    <w:name w:val="标题 8 字符"/>
    <w:link w:val="838"/>
    <w:uiPriority w:val="9"/>
    <w:qFormat/>
    <w:rPr>
      <w:rFonts w:ascii="Arial" w:hAnsi="Arial" w:eastAsia="Arial" w:cs="Arial"/>
      <w:i/>
      <w:iCs/>
      <w:sz w:val="22"/>
      <w:szCs w:val="22"/>
    </w:rPr>
  </w:style>
  <w:style w:type="character" w:styleId="851" w:customStyle="1">
    <w:name w:val="标题 9 字符"/>
    <w:link w:val="839"/>
    <w:uiPriority w:val="9"/>
    <w:qFormat/>
    <w:rPr>
      <w:rFonts w:ascii="Arial" w:hAnsi="Arial" w:eastAsia="Arial" w:cs="Arial"/>
      <w:i/>
      <w:iCs/>
      <w:sz w:val="21"/>
      <w:szCs w:val="21"/>
    </w:rPr>
  </w:style>
  <w:style w:type="paragraph" w:styleId="852" w:customStyle="1">
    <w:name w:val="目录 71"/>
    <w:basedOn w:val="791"/>
    <w:next w:val="791"/>
    <w:uiPriority w:val="39"/>
    <w:unhideWhenUsed/>
    <w:qFormat/>
    <w:pPr>
      <w:ind w:left="1701"/>
      <w:spacing w:after="57"/>
    </w:pPr>
  </w:style>
  <w:style w:type="paragraph" w:styleId="853" w:customStyle="1">
    <w:name w:val="正文缩进111"/>
    <w:basedOn w:val="791"/>
    <w:uiPriority w:val="0"/>
    <w:qFormat/>
    <w:pPr>
      <w:ind w:firstLine="420"/>
    </w:pPr>
  </w:style>
  <w:style w:type="paragraph" w:styleId="854" w:customStyle="1">
    <w:name w:val="题注1"/>
    <w:basedOn w:val="791"/>
    <w:next w:val="791"/>
    <w:uiPriority w:val="35"/>
    <w:qFormat/>
    <w:pPr>
      <w:spacing w:line="276" w:lineRule="auto"/>
    </w:pPr>
    <w:rPr>
      <w:b/>
      <w:bCs/>
      <w:color w:val="5b9bd5"/>
      <w:sz w:val="18"/>
      <w:szCs w:val="18"/>
    </w:rPr>
  </w:style>
  <w:style w:type="paragraph" w:styleId="855" w:customStyle="1">
    <w:name w:val="索引 511"/>
    <w:basedOn w:val="791"/>
    <w:next w:val="791"/>
    <w:uiPriority w:val="0"/>
    <w:qFormat/>
    <w:pPr>
      <w:ind w:left="798"/>
      <w:jc w:val="left"/>
    </w:pPr>
    <w:rPr>
      <w:rFonts w:ascii="Calibri" w:hAnsi="Calibri"/>
    </w:rPr>
  </w:style>
  <w:style w:type="paragraph" w:styleId="856" w:customStyle="1">
    <w:name w:val="批注文字1"/>
    <w:basedOn w:val="791"/>
    <w:link w:val="857"/>
    <w:uiPriority w:val="0"/>
    <w:unhideWhenUsed/>
    <w:qFormat/>
    <w:pPr>
      <w:jc w:val="left"/>
    </w:pPr>
  </w:style>
  <w:style w:type="character" w:styleId="857" w:customStyle="1">
    <w:name w:val="批注文字 字符"/>
    <w:link w:val="856"/>
    <w:uiPriority w:val="0"/>
    <w:semiHidden/>
    <w:qFormat/>
    <w:rPr>
      <w:rFonts w:ascii="Times New Roman" w:hAnsi="Times New Roman" w:eastAsia="宋体" w:cs="Times New Roman"/>
      <w:sz w:val="21"/>
      <w:szCs w:val="24"/>
    </w:rPr>
  </w:style>
  <w:style w:type="paragraph" w:styleId="858" w:customStyle="1">
    <w:name w:val="正文文本13"/>
    <w:basedOn w:val="791"/>
    <w:next w:val="859"/>
    <w:link w:val="879"/>
    <w:uiPriority w:val="99"/>
    <w:qFormat/>
    <w:pPr>
      <w:spacing w:after="120"/>
    </w:pPr>
    <w:rPr>
      <w:rFonts w:ascii="Calibri" w:hAnsi="Calibri"/>
    </w:rPr>
  </w:style>
  <w:style w:type="paragraph" w:styleId="859" w:customStyle="1">
    <w:name w:val="一级条标题"/>
    <w:basedOn w:val="860"/>
    <w:next w:val="86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60" w:customStyle="1">
    <w:name w:val="章标题"/>
    <w:basedOn w:val="861"/>
    <w:next w:val="791"/>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61" w:customStyle="1">
    <w:name w:val="正文112"/>
    <w:next w:val="86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2" w:customStyle="1">
    <w:name w:val="正文文本11"/>
    <w:basedOn w:val="863"/>
    <w:next w:val="859"/>
    <w:uiPriority w:val="0"/>
    <w:qFormat/>
    <w:pPr>
      <w:spacing w:after="120"/>
    </w:pPr>
  </w:style>
  <w:style w:type="paragraph" w:styleId="863" w:customStyle="1">
    <w:name w:val="正文12"/>
    <w:next w:val="86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4" w:customStyle="1">
    <w:name w:val="目录 111"/>
    <w:basedOn w:val="865"/>
    <w:next w:val="863"/>
    <w:uiPriority w:val="0"/>
    <w:qFormat/>
    <w:pPr>
      <w:jc w:val="left"/>
      <w:spacing w:after="100" w:line="259" w:lineRule="auto"/>
      <w:widowControl/>
    </w:pPr>
    <w:rPr>
      <w:rFonts w:ascii="Calibri" w:hAnsi="Calibri"/>
      <w:sz w:val="22"/>
      <w:szCs w:val="22"/>
    </w:rPr>
  </w:style>
  <w:style w:type="paragraph" w:styleId="865" w:customStyle="1">
    <w:name w:val="正文111"/>
    <w:next w:val="842"/>
    <w:uiPriority w:val="0"/>
    <w:qFormat/>
    <w:pPr>
      <w:jc w:val="center"/>
      <w:spacing w:line="360" w:lineRule="exact"/>
      <w:widowControl w:val="off"/>
    </w:pPr>
    <w:rPr>
      <w:rFonts w:hint="default" w:ascii="Times New Roman" w:hAnsi="Times New Roman" w:eastAsia="仿宋_GB2312" w:cs="Times New Roman"/>
      <w:sz w:val="28"/>
      <w:szCs w:val="24"/>
      <w:lang w:val="en-US" w:eastAsia="zh-CN" w:bidi="ar-SA"/>
    </w:rPr>
  </w:style>
  <w:style w:type="paragraph" w:styleId="866" w:customStyle="1">
    <w:name w:val="段"/>
    <w:basedOn w:val="867"/>
    <w:next w:val="791"/>
    <w:uiPriority w:val="0"/>
    <w:qFormat/>
    <w:pPr>
      <w:ind w:firstLine="200"/>
      <w:widowControl/>
    </w:pPr>
    <w:rPr>
      <w:sz w:val="20"/>
    </w:rPr>
  </w:style>
  <w:style w:type="paragraph" w:styleId="867" w:customStyle="1">
    <w:name w:val="正文13"/>
    <w:next w:val="86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8" w:customStyle="1">
    <w:name w:val="正文首行缩进1"/>
    <w:basedOn w:val="862"/>
    <w:next w:val="869"/>
    <w:uiPriority w:val="0"/>
    <w:qFormat/>
    <w:pPr>
      <w:ind w:firstLine="200"/>
    </w:pPr>
    <w:rPr>
      <w:rFonts w:ascii="仿宋_GB2312" w:eastAsia="仿宋_GB2312"/>
      <w:sz w:val="30"/>
      <w:szCs w:val="30"/>
    </w:rPr>
  </w:style>
  <w:style w:type="paragraph" w:styleId="869" w:customStyle="1">
    <w:name w:val="正文首行缩进 21"/>
    <w:basedOn w:val="870"/>
    <w:next w:val="865"/>
    <w:uiPriority w:val="0"/>
    <w:qFormat/>
    <w:pPr>
      <w:ind w:firstLine="420"/>
      <w:spacing w:line="360" w:lineRule="auto"/>
    </w:pPr>
    <w:rPr>
      <w:color w:val="000000"/>
      <w:sz w:val="20"/>
    </w:rPr>
  </w:style>
  <w:style w:type="paragraph" w:styleId="870" w:customStyle="1">
    <w:name w:val="正文文本缩进1"/>
    <w:basedOn w:val="871"/>
    <w:uiPriority w:val="0"/>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paragraph" w:styleId="871" w:customStyle="1">
    <w:name w:val="正文11"/>
    <w:next w:val="872"/>
    <w:link w:val="88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2" w:customStyle="1">
    <w:name w:val="目录 11"/>
    <w:basedOn w:val="863"/>
    <w:next w:val="791"/>
    <w:uiPriority w:val="0"/>
    <w:qFormat/>
    <w:pPr>
      <w:jc w:val="left"/>
      <w:spacing w:before="120" w:after="120"/>
      <w:widowControl/>
    </w:pPr>
    <w:rPr>
      <w:rFonts w:ascii="Calibri" w:hAnsi="Calibri" w:cs="Calibri"/>
      <w:b/>
      <w:bCs/>
      <w:caps/>
      <w:sz w:val="20"/>
      <w:szCs w:val="20"/>
    </w:rPr>
  </w:style>
  <w:style w:type="paragraph" w:styleId="873" w:customStyle="1">
    <w:name w:val="正文1"/>
    <w:basedOn w:val="871"/>
    <w:next w:val="874"/>
    <w:uiPriority w:val="0"/>
    <w:qFormat/>
    <w:pPr>
      <w:jc w:val="left"/>
      <w:spacing w:line="360" w:lineRule="atLeast"/>
    </w:pPr>
    <w:rPr>
      <w:rFonts w:ascii="宋体" w:hAnsi="Calibri" w:eastAsia="宋体" w:cs="Times New Roman"/>
      <w:sz w:val="24"/>
      <w:szCs w:val="20"/>
    </w:rPr>
  </w:style>
  <w:style w:type="paragraph" w:styleId="874" w:customStyle="1">
    <w:name w:val="脚注文本1"/>
    <w:basedOn w:val="865"/>
    <w:next w:val="875"/>
    <w:uiPriority w:val="0"/>
    <w:qFormat/>
    <w:rPr>
      <w:rFonts w:eastAsia="Times New Roman"/>
      <w:sz w:val="18"/>
      <w:szCs w:val="18"/>
    </w:rPr>
  </w:style>
  <w:style w:type="paragraph" w:styleId="875" w:customStyle="1">
    <w:name w:val="索引 51"/>
    <w:basedOn w:val="873"/>
    <w:next w:val="873"/>
    <w:uiPriority w:val="0"/>
    <w:qFormat/>
    <w:pPr>
      <w:ind w:left="798"/>
    </w:pPr>
    <w:rPr>
      <w:rFonts w:ascii="Calibri" w:hAnsi="Calibri"/>
    </w:rPr>
  </w:style>
  <w:style w:type="paragraph" w:styleId="876" w:customStyle="1">
    <w:name w:val="正文文本12"/>
    <w:basedOn w:val="791"/>
    <w:next w:val="791"/>
    <w:uiPriority w:val="99"/>
    <w:qFormat/>
    <w:pPr>
      <w:spacing w:after="120"/>
    </w:pPr>
    <w:rPr>
      <w:rFonts w:ascii="Calibri" w:hAnsi="Calibri"/>
    </w:rPr>
  </w:style>
  <w:style w:type="paragraph" w:styleId="877" w:customStyle="1">
    <w:name w:val="正文首行缩进 211"/>
    <w:basedOn w:val="878"/>
    <w:next w:val="861"/>
    <w:uiPriority w:val="99"/>
    <w:qFormat/>
    <w:pPr>
      <w:ind w:left="0" w:firstLine="420"/>
      <w:spacing w:after="0" w:line="360" w:lineRule="auto"/>
    </w:pPr>
    <w:rPr>
      <w:rFonts w:ascii="宋体" w:hAnsi="宋体"/>
    </w:rPr>
  </w:style>
  <w:style w:type="paragraph" w:styleId="878" w:customStyle="1">
    <w:name w:val="正文文本缩进11"/>
    <w:basedOn w:val="861"/>
    <w:next w:val="861"/>
    <w:uiPriority w:val="0"/>
    <w:qFormat/>
    <w:pPr>
      <w:ind w:left="420"/>
      <w:spacing w:after="120"/>
    </w:pPr>
    <w:rPr>
      <w:rFonts w:ascii="Calibri" w:hAnsi="Calibri" w:eastAsia="等线" w:cs="Times New Roman"/>
    </w:rPr>
  </w:style>
  <w:style w:type="character" w:styleId="879" w:customStyle="1">
    <w:name w:val="正文文本 字符"/>
    <w:link w:val="858"/>
    <w:uiPriority w:val="99"/>
    <w:qFormat/>
    <w:rPr>
      <w:rFonts w:ascii="Calibri" w:hAnsi="Calibri" w:eastAsia="宋体" w:cs="Times New Roman"/>
      <w:sz w:val="21"/>
      <w:szCs w:val="24"/>
    </w:rPr>
  </w:style>
  <w:style w:type="character" w:styleId="880" w:customStyle="1">
    <w:name w:val="NormalCharacter1"/>
    <w:link w:val="871"/>
    <w:uiPriority w:val="0"/>
    <w:semiHidden/>
    <w:qFormat/>
    <w:rPr>
      <w:rFonts w:ascii="Times New Roman" w:hAnsi="Times New Roman" w:eastAsia="宋体" w:cs="Times New Roman"/>
      <w:sz w:val="21"/>
      <w:szCs w:val="24"/>
      <w:lang w:val="en-US" w:eastAsia="zh-CN" w:bidi="ar-SA"/>
    </w:rPr>
  </w:style>
  <w:style w:type="paragraph" w:styleId="881" w:customStyle="1">
    <w:name w:val="正文文本缩进12"/>
    <w:basedOn w:val="791"/>
    <w:uiPriority w:val="0"/>
    <w:qFormat/>
    <w:pPr>
      <w:ind w:left="420"/>
      <w:spacing w:after="120"/>
    </w:pPr>
    <w:rPr>
      <w:rFonts w:ascii="Calibri" w:hAnsi="Calibri"/>
    </w:rPr>
  </w:style>
  <w:style w:type="paragraph" w:styleId="882" w:customStyle="1">
    <w:name w:val="索引 41"/>
    <w:basedOn w:val="791"/>
    <w:next w:val="791"/>
    <w:uiPriority w:val="99"/>
    <w:qFormat/>
    <w:pPr>
      <w:ind w:left="600"/>
    </w:pPr>
    <w:rPr>
      <w:rFonts w:ascii="Calibri" w:hAnsi="Calibri"/>
    </w:rPr>
  </w:style>
  <w:style w:type="paragraph" w:styleId="883" w:customStyle="1">
    <w:name w:val="目录 51"/>
    <w:basedOn w:val="791"/>
    <w:next w:val="791"/>
    <w:uiPriority w:val="39"/>
    <w:unhideWhenUsed/>
    <w:qFormat/>
    <w:pPr>
      <w:ind w:left="1134"/>
      <w:spacing w:after="57"/>
    </w:pPr>
  </w:style>
  <w:style w:type="paragraph" w:styleId="884" w:customStyle="1">
    <w:name w:val="目录 31"/>
    <w:basedOn w:val="791"/>
    <w:next w:val="791"/>
    <w:uiPriority w:val="39"/>
    <w:unhideWhenUsed/>
    <w:qFormat/>
    <w:pPr>
      <w:ind w:left="567"/>
      <w:spacing w:after="57"/>
    </w:pPr>
  </w:style>
  <w:style w:type="paragraph" w:styleId="885" w:customStyle="1">
    <w:name w:val="纯文本12"/>
    <w:basedOn w:val="791"/>
    <w:link w:val="886"/>
    <w:uiPriority w:val="0"/>
    <w:qFormat/>
    <w:rPr>
      <w:rFonts w:ascii="宋体" w:hAnsi="Courier New"/>
      <w:sz w:val="20"/>
      <w:szCs w:val="20"/>
    </w:rPr>
  </w:style>
  <w:style w:type="character" w:styleId="886" w:customStyle="1">
    <w:name w:val="纯文本 字符"/>
    <w:link w:val="885"/>
    <w:uiPriority w:val="0"/>
    <w:qFormat/>
    <w:rPr>
      <w:rFonts w:ascii="宋体" w:hAnsi="Courier New"/>
      <w:sz w:val="20"/>
      <w:szCs w:val="20"/>
    </w:rPr>
  </w:style>
  <w:style w:type="paragraph" w:styleId="887" w:customStyle="1">
    <w:name w:val="目录 81"/>
    <w:basedOn w:val="791"/>
    <w:next w:val="791"/>
    <w:uiPriority w:val="39"/>
    <w:unhideWhenUsed/>
    <w:qFormat/>
    <w:pPr>
      <w:ind w:left="1984"/>
      <w:spacing w:after="57"/>
    </w:pPr>
  </w:style>
  <w:style w:type="paragraph" w:styleId="888" w:customStyle="1">
    <w:name w:val="日期1"/>
    <w:basedOn w:val="791"/>
    <w:next w:val="791"/>
    <w:uiPriority w:val="0"/>
    <w:qFormat/>
    <w:rPr>
      <w:rFonts w:eastAsia="仿宋_GB2312"/>
      <w:sz w:val="28"/>
      <w:szCs w:val="20"/>
    </w:rPr>
  </w:style>
  <w:style w:type="paragraph" w:styleId="889" w:customStyle="1">
    <w:name w:val="尾注文本1"/>
    <w:basedOn w:val="791"/>
    <w:link w:val="890"/>
    <w:uiPriority w:val="99"/>
    <w:unhideWhenUsed/>
    <w:qFormat/>
    <w:rPr>
      <w:sz w:val="20"/>
    </w:rPr>
  </w:style>
  <w:style w:type="character" w:styleId="890" w:customStyle="1">
    <w:name w:val="尾注文本 字符"/>
    <w:link w:val="889"/>
    <w:uiPriority w:val="99"/>
    <w:qFormat/>
    <w:rPr>
      <w:sz w:val="20"/>
    </w:rPr>
  </w:style>
  <w:style w:type="paragraph" w:styleId="891" w:customStyle="1">
    <w:name w:val="批注框文本1"/>
    <w:basedOn w:val="791"/>
    <w:link w:val="892"/>
    <w:uiPriority w:val="0"/>
    <w:qFormat/>
    <w:rPr>
      <w:sz w:val="18"/>
      <w:szCs w:val="18"/>
    </w:rPr>
  </w:style>
  <w:style w:type="character" w:styleId="892" w:customStyle="1">
    <w:name w:val="批注框文本 字符"/>
    <w:link w:val="891"/>
    <w:uiPriority w:val="0"/>
    <w:qFormat/>
    <w:rPr>
      <w:rFonts w:ascii="Times New Roman" w:hAnsi="Times New Roman" w:eastAsia="宋体" w:cs="Times New Roman"/>
      <w:sz w:val="18"/>
      <w:szCs w:val="18"/>
    </w:rPr>
  </w:style>
  <w:style w:type="paragraph" w:styleId="893" w:customStyle="1">
    <w:name w:val="页脚11"/>
    <w:basedOn w:val="791"/>
    <w:link w:val="894"/>
    <w:uiPriority w:val="99"/>
    <w:qFormat/>
    <w:pPr>
      <w:jc w:val="left"/>
      <w:tabs>
        <w:tab w:val="center" w:pos="4153" w:leader="none"/>
        <w:tab w:val="right" w:pos="8306" w:leader="none"/>
      </w:tabs>
    </w:pPr>
    <w:rPr>
      <w:sz w:val="18"/>
      <w:szCs w:val="18"/>
    </w:rPr>
  </w:style>
  <w:style w:type="character" w:styleId="894" w:customStyle="1">
    <w:name w:val="页脚 字符"/>
    <w:link w:val="893"/>
    <w:uiPriority w:val="99"/>
    <w:qFormat/>
    <w:rPr>
      <w:rFonts w:ascii="Times New Roman" w:hAnsi="Times New Roman" w:eastAsia="宋体" w:cs="Times New Roman"/>
      <w:sz w:val="18"/>
      <w:szCs w:val="18"/>
    </w:rPr>
  </w:style>
  <w:style w:type="paragraph" w:styleId="895" w:customStyle="1">
    <w:name w:val="页眉1"/>
    <w:basedOn w:val="791"/>
    <w:link w:val="896"/>
    <w:uiPriority w:val="99"/>
    <w:qFormat/>
    <w:pPr>
      <w:jc w:val="center"/>
      <w:tabs>
        <w:tab w:val="center" w:pos="4153" w:leader="none"/>
        <w:tab w:val="right" w:pos="8306" w:leader="none"/>
      </w:tabs>
      <w:pBdr>
        <w:bottom w:val="single" w:color="000000" w:sz="6" w:space="1"/>
      </w:pBdr>
    </w:pPr>
    <w:rPr>
      <w:sz w:val="18"/>
      <w:szCs w:val="18"/>
    </w:rPr>
  </w:style>
  <w:style w:type="character" w:styleId="896" w:customStyle="1">
    <w:name w:val="页眉 字符"/>
    <w:link w:val="895"/>
    <w:uiPriority w:val="99"/>
    <w:qFormat/>
    <w:rPr>
      <w:rFonts w:ascii="Times New Roman" w:hAnsi="Times New Roman" w:eastAsia="宋体" w:cs="Times New Roman"/>
      <w:sz w:val="18"/>
      <w:szCs w:val="18"/>
    </w:rPr>
  </w:style>
  <w:style w:type="paragraph" w:styleId="897" w:customStyle="1">
    <w:name w:val="目录 12"/>
    <w:basedOn w:val="791"/>
    <w:next w:val="791"/>
    <w:uiPriority w:val="39"/>
    <w:qFormat/>
  </w:style>
  <w:style w:type="paragraph" w:styleId="898" w:customStyle="1">
    <w:name w:val="目录 41"/>
    <w:basedOn w:val="791"/>
    <w:next w:val="791"/>
    <w:uiPriority w:val="39"/>
    <w:unhideWhenUsed/>
    <w:qFormat/>
    <w:pPr>
      <w:ind w:left="850"/>
      <w:spacing w:after="57"/>
    </w:pPr>
  </w:style>
  <w:style w:type="paragraph" w:styleId="899" w:customStyle="1">
    <w:name w:val="副标题1"/>
    <w:basedOn w:val="791"/>
    <w:next w:val="791"/>
    <w:link w:val="900"/>
    <w:uiPriority w:val="11"/>
    <w:qFormat/>
    <w:pPr>
      <w:spacing w:before="200" w:after="200"/>
    </w:pPr>
    <w:rPr>
      <w:sz w:val="24"/>
    </w:rPr>
  </w:style>
  <w:style w:type="character" w:styleId="900" w:customStyle="1">
    <w:name w:val="副标题 字符"/>
    <w:link w:val="899"/>
    <w:uiPriority w:val="11"/>
    <w:qFormat/>
    <w:rPr>
      <w:sz w:val="24"/>
      <w:szCs w:val="24"/>
    </w:rPr>
  </w:style>
  <w:style w:type="paragraph" w:styleId="901" w:customStyle="1">
    <w:name w:val="脚注文本2"/>
    <w:basedOn w:val="791"/>
    <w:next w:val="855"/>
    <w:uiPriority w:val="0"/>
    <w:qFormat/>
    <w:pPr>
      <w:jc w:val="left"/>
    </w:pPr>
    <w:rPr>
      <w:rFonts w:ascii="宋体" w:eastAsia="Times New Roman"/>
      <w:sz w:val="18"/>
      <w:szCs w:val="18"/>
    </w:rPr>
  </w:style>
  <w:style w:type="paragraph" w:styleId="902" w:customStyle="1">
    <w:name w:val="目录 61"/>
    <w:basedOn w:val="791"/>
    <w:next w:val="791"/>
    <w:uiPriority w:val="39"/>
    <w:unhideWhenUsed/>
    <w:qFormat/>
    <w:pPr>
      <w:ind w:left="1417"/>
      <w:spacing w:after="57"/>
    </w:pPr>
  </w:style>
  <w:style w:type="paragraph" w:styleId="903" w:customStyle="1">
    <w:name w:val="图表目录1"/>
    <w:basedOn w:val="791"/>
    <w:next w:val="791"/>
    <w:uiPriority w:val="99"/>
    <w:unhideWhenUsed/>
    <w:qFormat/>
  </w:style>
  <w:style w:type="paragraph" w:styleId="904" w:customStyle="1">
    <w:name w:val="目录 21"/>
    <w:basedOn w:val="791"/>
    <w:next w:val="791"/>
    <w:uiPriority w:val="39"/>
    <w:unhideWhenUsed/>
    <w:qFormat/>
    <w:pPr>
      <w:ind w:left="283"/>
      <w:spacing w:after="57"/>
    </w:pPr>
  </w:style>
  <w:style w:type="paragraph" w:styleId="905" w:customStyle="1">
    <w:name w:val="目录 91"/>
    <w:basedOn w:val="791"/>
    <w:next w:val="791"/>
    <w:uiPriority w:val="39"/>
    <w:unhideWhenUsed/>
    <w:qFormat/>
    <w:pPr>
      <w:ind w:left="2268"/>
      <w:spacing w:after="57"/>
    </w:pPr>
  </w:style>
  <w:style w:type="paragraph" w:styleId="906" w:customStyle="1">
    <w:name w:val="普通(网站)11"/>
    <w:basedOn w:val="791"/>
    <w:next w:val="791"/>
    <w:uiPriority w:val="0"/>
    <w:qFormat/>
    <w:pPr>
      <w:jc w:val="left"/>
      <w:spacing w:before="100" w:beforeAutospacing="1" w:after="100" w:afterAutospacing="1"/>
      <w:widowControl/>
    </w:pPr>
    <w:rPr>
      <w:rFonts w:ascii="宋体" w:hAnsi="宋体" w:cs="宋体"/>
      <w:sz w:val="24"/>
    </w:rPr>
  </w:style>
  <w:style w:type="paragraph" w:styleId="907" w:customStyle="1">
    <w:name w:val="标题1"/>
    <w:basedOn w:val="791"/>
    <w:next w:val="791"/>
    <w:link w:val="908"/>
    <w:uiPriority w:val="10"/>
    <w:qFormat/>
    <w:pPr>
      <w:contextualSpacing/>
      <w:spacing w:before="300" w:after="200"/>
    </w:pPr>
    <w:rPr>
      <w:sz w:val="48"/>
      <w:szCs w:val="48"/>
    </w:rPr>
  </w:style>
  <w:style w:type="character" w:styleId="908" w:customStyle="1">
    <w:name w:val="标题 字符"/>
    <w:link w:val="907"/>
    <w:uiPriority w:val="10"/>
    <w:qFormat/>
    <w:rPr>
      <w:sz w:val="48"/>
      <w:szCs w:val="48"/>
    </w:rPr>
  </w:style>
  <w:style w:type="paragraph" w:styleId="909" w:customStyle="1">
    <w:name w:val="批注主题1"/>
    <w:basedOn w:val="856"/>
    <w:next w:val="856"/>
    <w:link w:val="910"/>
    <w:uiPriority w:val="0"/>
    <w:unhideWhenUsed/>
    <w:qFormat/>
    <w:rPr>
      <w:b/>
      <w:bCs/>
    </w:rPr>
  </w:style>
  <w:style w:type="character" w:styleId="910" w:customStyle="1">
    <w:name w:val="批注主题 字符"/>
    <w:link w:val="909"/>
    <w:uiPriority w:val="0"/>
    <w:semiHidden/>
    <w:qFormat/>
    <w:rPr>
      <w:rFonts w:ascii="Times New Roman" w:hAnsi="Times New Roman" w:eastAsia="宋体" w:cs="Times New Roman"/>
      <w:b/>
      <w:bCs/>
      <w:sz w:val="21"/>
      <w:szCs w:val="24"/>
    </w:rPr>
  </w:style>
  <w:style w:type="paragraph" w:styleId="911" w:customStyle="1">
    <w:name w:val="正文首行缩进2"/>
    <w:basedOn w:val="858"/>
    <w:next w:val="869"/>
    <w:uiPriority w:val="0"/>
    <w:qFormat/>
    <w:pPr>
      <w:ind w:firstLine="420"/>
    </w:pPr>
  </w:style>
  <w:style w:type="table" w:styleId="912" w:customStyle="1">
    <w:name w:val="网格型1"/>
    <w:basedOn w:val="841"/>
    <w:uiPriority w:val="39"/>
    <w:qFormat/>
    <w:tblPr/>
  </w:style>
  <w:style w:type="character" w:styleId="913" w:customStyle="1">
    <w:name w:val="要点1"/>
    <w:link w:val="791"/>
    <w:uiPriority w:val="22"/>
    <w:qFormat/>
    <w:rPr>
      <w:b/>
      <w:vanish/>
    </w:rPr>
  </w:style>
  <w:style w:type="character" w:styleId="914" w:customStyle="1">
    <w:name w:val="尾注引用1"/>
    <w:link w:val="791"/>
    <w:uiPriority w:val="99"/>
    <w:unhideWhenUsed/>
    <w:qFormat/>
    <w:rPr>
      <w:vertAlign w:val="superscript"/>
    </w:rPr>
  </w:style>
  <w:style w:type="character" w:styleId="915" w:customStyle="1">
    <w:name w:val="页码1"/>
    <w:link w:val="791"/>
    <w:uiPriority w:val="0"/>
    <w:qFormat/>
  </w:style>
  <w:style w:type="character" w:styleId="916" w:customStyle="1">
    <w:name w:val="已访问的超链接1"/>
    <w:link w:val="791"/>
    <w:uiPriority w:val="99"/>
    <w:unhideWhenUsed/>
    <w:qFormat/>
    <w:rPr>
      <w:color w:val="800080"/>
      <w:u w:val="none"/>
    </w:rPr>
  </w:style>
  <w:style w:type="character" w:styleId="917" w:customStyle="1">
    <w:name w:val="强调1"/>
    <w:link w:val="791"/>
    <w:uiPriority w:val="20"/>
    <w:qFormat/>
    <w:rPr>
      <w:b/>
    </w:rPr>
  </w:style>
  <w:style w:type="character" w:styleId="918" w:customStyle="1">
    <w:name w:val="HTML 定义1"/>
    <w:link w:val="791"/>
    <w:uiPriority w:val="99"/>
    <w:unhideWhenUsed/>
    <w:qFormat/>
  </w:style>
  <w:style w:type="character" w:styleId="919" w:customStyle="1">
    <w:name w:val="HTML 打字机1"/>
    <w:link w:val="791"/>
    <w:uiPriority w:val="99"/>
    <w:unhideWhenUsed/>
    <w:qFormat/>
    <w:rPr>
      <w:rFonts w:ascii="monospace" w:hAnsi="monospace" w:eastAsia="monospace" w:cs="monospace"/>
      <w:sz w:val="20"/>
    </w:rPr>
  </w:style>
  <w:style w:type="character" w:styleId="920" w:customStyle="1">
    <w:name w:val="HTML 缩写1"/>
    <w:link w:val="791"/>
    <w:uiPriority w:val="99"/>
    <w:unhideWhenUsed/>
    <w:qFormat/>
  </w:style>
  <w:style w:type="character" w:styleId="921" w:customStyle="1">
    <w:name w:val="HTML 变量1"/>
    <w:link w:val="791"/>
    <w:uiPriority w:val="99"/>
    <w:unhideWhenUsed/>
    <w:qFormat/>
  </w:style>
  <w:style w:type="character" w:styleId="922" w:customStyle="1">
    <w:name w:val="超链接1"/>
    <w:link w:val="791"/>
    <w:uiPriority w:val="99"/>
    <w:unhideWhenUsed/>
    <w:qFormat/>
    <w:rPr>
      <w:color w:val="0000ff"/>
      <w:u w:val="none"/>
    </w:rPr>
  </w:style>
  <w:style w:type="character" w:styleId="923" w:customStyle="1">
    <w:name w:val="HTML 代码1"/>
    <w:link w:val="791"/>
    <w:uiPriority w:val="99"/>
    <w:unhideWhenUsed/>
    <w:qFormat/>
    <w:rPr>
      <w:rFonts w:ascii="monospace" w:hAnsi="monospace" w:eastAsia="monospace" w:cs="monospace"/>
      <w:sz w:val="20"/>
    </w:rPr>
  </w:style>
  <w:style w:type="character" w:styleId="924" w:customStyle="1">
    <w:name w:val="批注引用1"/>
    <w:link w:val="791"/>
    <w:uiPriority w:val="0"/>
    <w:unhideWhenUsed/>
    <w:qFormat/>
    <w:rPr>
      <w:sz w:val="21"/>
      <w:szCs w:val="21"/>
    </w:rPr>
  </w:style>
  <w:style w:type="character" w:styleId="925" w:customStyle="1">
    <w:name w:val="HTML 引文1"/>
    <w:link w:val="791"/>
    <w:uiPriority w:val="99"/>
    <w:unhideWhenUsed/>
    <w:qFormat/>
  </w:style>
  <w:style w:type="character" w:styleId="926" w:customStyle="1">
    <w:name w:val="脚注引用1"/>
    <w:link w:val="791"/>
    <w:uiPriority w:val="99"/>
    <w:unhideWhenUsed/>
    <w:qFormat/>
    <w:rPr>
      <w:vertAlign w:val="superscript"/>
    </w:rPr>
  </w:style>
  <w:style w:type="character" w:styleId="927" w:customStyle="1">
    <w:name w:val="HTML 键盘1"/>
    <w:link w:val="791"/>
    <w:uiPriority w:val="99"/>
    <w:unhideWhenUsed/>
    <w:qFormat/>
    <w:rPr>
      <w:rFonts w:ascii="monospace" w:hAnsi="monospace" w:eastAsia="monospace" w:cs="monospace"/>
      <w:sz w:val="20"/>
    </w:rPr>
  </w:style>
  <w:style w:type="character" w:styleId="928" w:customStyle="1">
    <w:name w:val="HTML 样本1"/>
    <w:link w:val="791"/>
    <w:uiPriority w:val="99"/>
    <w:unhideWhenUsed/>
    <w:qFormat/>
    <w:rPr>
      <w:rFonts w:ascii="monospace" w:hAnsi="monospace" w:eastAsia="monospace" w:cs="monospace"/>
    </w:rPr>
  </w:style>
  <w:style w:type="paragraph" w:styleId="929" w:customStyle="1">
    <w:name w:val="正文文本1"/>
    <w:basedOn w:val="873"/>
    <w:next w:val="873"/>
    <w:uiPriority w:val="0"/>
    <w:qFormat/>
    <w:pPr>
      <w:spacing w:after="120"/>
    </w:pPr>
    <w:rPr>
      <w:lang w:eastAsia="en-US"/>
    </w:rPr>
  </w:style>
  <w:style w:type="paragraph" w:styleId="930" w:customStyle="1">
    <w:name w:val="列表段落1"/>
    <w:basedOn w:val="873"/>
    <w:next w:val="791"/>
    <w:uiPriority w:val="99"/>
    <w:qFormat/>
    <w:pPr>
      <w:ind w:firstLine="420"/>
    </w:pPr>
  </w:style>
  <w:style w:type="paragraph" w:styleId="931" w:customStyle="1">
    <w:name w:val="标题 21"/>
    <w:basedOn w:val="865"/>
    <w:next w:val="863"/>
    <w:uiPriority w:val="0"/>
    <w:qFormat/>
    <w:pPr>
      <w:jc w:val="left"/>
      <w:keepLines/>
      <w:keepNext/>
      <w:spacing w:before="50"/>
      <w:tabs>
        <w:tab w:val="left" w:pos="0" w:leader="none"/>
      </w:tabs>
    </w:pPr>
    <w:rPr>
      <w:rFonts w:ascii="Arial" w:hAnsi="Arial" w:eastAsia="黑体"/>
      <w:sz w:val="32"/>
      <w:szCs w:val="20"/>
    </w:rPr>
  </w:style>
  <w:style w:type="paragraph" w:styleId="932" w:customStyle="1">
    <w:name w:val="文本块11"/>
    <w:basedOn w:val="863"/>
    <w:uiPriority w:val="6"/>
    <w:unhideWhenUsed/>
    <w:qFormat/>
    <w:pPr>
      <w:ind w:left="1440" w:right="1440"/>
      <w:spacing w:after="120"/>
    </w:pPr>
  </w:style>
  <w:style w:type="character" w:styleId="933" w:customStyle="1">
    <w:name w:val="wyg1"/>
    <w:link w:val="791"/>
    <w:uiPriority w:val="6"/>
    <w:qFormat/>
    <w:rPr>
      <w:rFonts w:ascii="Times New Roman" w:hAnsi="Times New Roman" w:eastAsia="宋体" w:cs="Times New Roman"/>
      <w:sz w:val="21"/>
      <w:szCs w:val="24"/>
      <w:lang w:val="en-US" w:eastAsia="zh-CN" w:bidi="ar-SA"/>
    </w:rPr>
  </w:style>
  <w:style w:type="paragraph" w:styleId="934" w:customStyle="1">
    <w:name w:val="正文缩进1"/>
    <w:basedOn w:val="791"/>
    <w:uiPriority w:val="0"/>
    <w:qFormat/>
    <w:pPr>
      <w:ind w:firstLine="420"/>
    </w:pPr>
  </w:style>
  <w:style w:type="character" w:styleId="935" w:customStyle="1">
    <w:name w:val="Heading 4 Char"/>
    <w:link w:val="791"/>
    <w:uiPriority w:val="9"/>
    <w:qFormat/>
    <w:rPr>
      <w:rFonts w:ascii="Arial" w:hAnsi="Arial" w:eastAsia="Arial" w:cs="Arial"/>
      <w:b/>
      <w:bCs/>
      <w:sz w:val="26"/>
      <w:szCs w:val="26"/>
    </w:rPr>
  </w:style>
  <w:style w:type="character" w:styleId="936" w:customStyle="1">
    <w:name w:val="Heading 5 Char"/>
    <w:link w:val="791"/>
    <w:uiPriority w:val="9"/>
    <w:qFormat/>
    <w:rPr>
      <w:rFonts w:ascii="Arial" w:hAnsi="Arial" w:eastAsia="Arial" w:cs="Arial"/>
      <w:b/>
      <w:bCs/>
      <w:sz w:val="24"/>
      <w:szCs w:val="24"/>
    </w:rPr>
  </w:style>
  <w:style w:type="character" w:styleId="937" w:customStyle="1">
    <w:name w:val="Heading 6 Char"/>
    <w:link w:val="791"/>
    <w:uiPriority w:val="9"/>
    <w:qFormat/>
    <w:rPr>
      <w:rFonts w:ascii="Arial" w:hAnsi="Arial" w:eastAsia="Arial" w:cs="Arial"/>
      <w:b/>
      <w:bCs/>
      <w:sz w:val="22"/>
      <w:szCs w:val="22"/>
    </w:rPr>
  </w:style>
  <w:style w:type="character" w:styleId="938" w:customStyle="1">
    <w:name w:val="Heading 7 Char"/>
    <w:link w:val="791"/>
    <w:uiPriority w:val="9"/>
    <w:qFormat/>
    <w:rPr>
      <w:rFonts w:ascii="Arial" w:hAnsi="Arial" w:eastAsia="Arial" w:cs="Arial"/>
      <w:b/>
      <w:bCs/>
      <w:i/>
      <w:iCs/>
      <w:sz w:val="22"/>
      <w:szCs w:val="22"/>
    </w:rPr>
  </w:style>
  <w:style w:type="character" w:styleId="939" w:customStyle="1">
    <w:name w:val="Heading 8 Char"/>
    <w:link w:val="791"/>
    <w:uiPriority w:val="9"/>
    <w:qFormat/>
    <w:rPr>
      <w:rFonts w:ascii="Arial" w:hAnsi="Arial" w:eastAsia="Arial" w:cs="Arial"/>
      <w:i/>
      <w:iCs/>
      <w:sz w:val="22"/>
      <w:szCs w:val="22"/>
    </w:rPr>
  </w:style>
  <w:style w:type="character" w:styleId="940" w:customStyle="1">
    <w:name w:val="Heading 9 Char"/>
    <w:link w:val="791"/>
    <w:uiPriority w:val="9"/>
    <w:qFormat/>
    <w:rPr>
      <w:rFonts w:ascii="Arial" w:hAnsi="Arial" w:eastAsia="Arial" w:cs="Arial"/>
      <w:i/>
      <w:iCs/>
      <w:sz w:val="21"/>
      <w:szCs w:val="21"/>
    </w:rPr>
  </w:style>
  <w:style w:type="character" w:styleId="941" w:customStyle="1">
    <w:name w:val="Title Char"/>
    <w:link w:val="791"/>
    <w:uiPriority w:val="10"/>
    <w:qFormat/>
    <w:rPr>
      <w:sz w:val="48"/>
      <w:szCs w:val="48"/>
    </w:rPr>
  </w:style>
  <w:style w:type="character" w:styleId="942" w:customStyle="1">
    <w:name w:val="Subtitle Char"/>
    <w:link w:val="791"/>
    <w:uiPriority w:val="11"/>
    <w:qFormat/>
    <w:rPr>
      <w:sz w:val="24"/>
      <w:szCs w:val="24"/>
    </w:rPr>
  </w:style>
  <w:style w:type="character" w:styleId="943" w:customStyle="1">
    <w:name w:val="Quote Char"/>
    <w:link w:val="791"/>
    <w:uiPriority w:val="29"/>
    <w:qFormat/>
    <w:rPr>
      <w:i/>
    </w:rPr>
  </w:style>
  <w:style w:type="character" w:styleId="944" w:customStyle="1">
    <w:name w:val="Intense Quote Char"/>
    <w:link w:val="791"/>
    <w:uiPriority w:val="30"/>
    <w:qFormat/>
    <w:rPr>
      <w:i/>
    </w:rPr>
  </w:style>
  <w:style w:type="character" w:styleId="945" w:customStyle="1">
    <w:name w:val="Endnote Text Char"/>
    <w:link w:val="791"/>
    <w:uiPriority w:val="99"/>
    <w:qFormat/>
    <w:rPr>
      <w:sz w:val="20"/>
    </w:rPr>
  </w:style>
  <w:style w:type="paragraph" w:styleId="946" w:customStyle="1">
    <w:name w:val="TOC Heading"/>
    <w:uiPriority w:val="39"/>
    <w:unhideWhenUsed/>
    <w:qFormat/>
    <w:rPr>
      <w:rFonts w:hint="default" w:ascii="Times New Roman" w:hAnsi="Times New Roman" w:eastAsia="宋体" w:cs="Times New Roman"/>
      <w:lang w:val="en-US" w:eastAsia="zh-CN" w:bidi="ar-SA"/>
    </w:rPr>
  </w:style>
  <w:style w:type="character" w:styleId="947" w:customStyle="1">
    <w:name w:val="Heading 1 Char"/>
    <w:link w:val="791"/>
    <w:uiPriority w:val="9"/>
    <w:qFormat/>
    <w:rPr>
      <w:rFonts w:ascii="Arial" w:hAnsi="Arial" w:eastAsia="Arial" w:cs="Arial"/>
      <w:sz w:val="40"/>
      <w:szCs w:val="40"/>
    </w:rPr>
  </w:style>
  <w:style w:type="character" w:styleId="948" w:customStyle="1">
    <w:name w:val="Heading 2 Char"/>
    <w:link w:val="791"/>
    <w:uiPriority w:val="9"/>
    <w:qFormat/>
    <w:rPr>
      <w:rFonts w:ascii="Arial" w:hAnsi="Arial" w:eastAsia="Arial" w:cs="Arial"/>
      <w:sz w:val="34"/>
    </w:rPr>
  </w:style>
  <w:style w:type="character" w:styleId="949" w:customStyle="1">
    <w:name w:val="Heading 3 Char"/>
    <w:link w:val="791"/>
    <w:uiPriority w:val="9"/>
    <w:qFormat/>
    <w:rPr>
      <w:rFonts w:ascii="Arial" w:hAnsi="Arial" w:eastAsia="Arial" w:cs="Arial"/>
      <w:sz w:val="30"/>
      <w:szCs w:val="30"/>
    </w:rPr>
  </w:style>
  <w:style w:type="paragraph" w:styleId="950" w:customStyle="1">
    <w:name w:val="无间隔"/>
    <w:uiPriority w:val="1"/>
    <w:qFormat/>
    <w:rPr>
      <w:rFonts w:hint="default" w:ascii="Times New Roman" w:hAnsi="Times New Roman" w:eastAsia="宋体" w:cs="Times New Roman"/>
      <w:lang w:val="en-US" w:eastAsia="zh-CN" w:bidi="ar-SA"/>
    </w:rPr>
  </w:style>
  <w:style w:type="paragraph" w:styleId="951" w:customStyle="1">
    <w:name w:val="引用"/>
    <w:basedOn w:val="791"/>
    <w:next w:val="791"/>
    <w:link w:val="952"/>
    <w:uiPriority w:val="29"/>
    <w:qFormat/>
    <w:pPr>
      <w:ind w:left="720" w:right="720"/>
    </w:pPr>
    <w:rPr>
      <w:i/>
    </w:rPr>
  </w:style>
  <w:style w:type="character" w:styleId="952" w:customStyle="1">
    <w:name w:val="引用 字符"/>
    <w:link w:val="951"/>
    <w:uiPriority w:val="29"/>
    <w:qFormat/>
    <w:rPr>
      <w:i/>
    </w:rPr>
  </w:style>
  <w:style w:type="paragraph" w:styleId="953" w:customStyle="1">
    <w:name w:val="明显引用"/>
    <w:basedOn w:val="791"/>
    <w:next w:val="791"/>
    <w:link w:val="9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4" w:customStyle="1">
    <w:name w:val="明显引用 字符"/>
    <w:link w:val="953"/>
    <w:uiPriority w:val="30"/>
    <w:qFormat/>
    <w:rPr>
      <w:i/>
    </w:rPr>
  </w:style>
  <w:style w:type="character" w:styleId="955" w:customStyle="1">
    <w:name w:val="Header Char"/>
    <w:link w:val="791"/>
    <w:uiPriority w:val="99"/>
    <w:qFormat/>
  </w:style>
  <w:style w:type="character" w:styleId="956" w:customStyle="1">
    <w:name w:val="Footer Char"/>
    <w:link w:val="791"/>
    <w:uiPriority w:val="99"/>
    <w:qFormat/>
  </w:style>
  <w:style w:type="character" w:styleId="957" w:customStyle="1">
    <w:name w:val="Caption Char"/>
    <w:link w:val="791"/>
    <w:uiPriority w:val="99"/>
    <w:qFormat/>
  </w:style>
  <w:style w:type="table" w:styleId="958" w:customStyle="1">
    <w:name w:val="Table Grid Light"/>
    <w:basedOn w:val="841"/>
    <w:uiPriority w:val="59"/>
    <w:qFormat/>
    <w:tblPr/>
  </w:style>
  <w:style w:type="table" w:styleId="959" w:customStyle="1">
    <w:name w:val="Plain Table 1"/>
    <w:basedOn w:val="841"/>
    <w:uiPriority w:val="59"/>
    <w:qFormat/>
    <w:tblPr/>
  </w:style>
  <w:style w:type="table" w:styleId="960" w:customStyle="1">
    <w:name w:val="Plain Table 2"/>
    <w:basedOn w:val="841"/>
    <w:uiPriority w:val="59"/>
    <w:qFormat/>
    <w:tblPr/>
  </w:style>
  <w:style w:type="table" w:styleId="961" w:customStyle="1">
    <w:name w:val="Plain Table 3"/>
    <w:basedOn w:val="841"/>
    <w:uiPriority w:val="99"/>
    <w:qFormat/>
    <w:tblPr/>
  </w:style>
  <w:style w:type="table" w:styleId="962" w:customStyle="1">
    <w:name w:val="Plain Table 4"/>
    <w:basedOn w:val="841"/>
    <w:uiPriority w:val="99"/>
    <w:qFormat/>
    <w:tblPr/>
  </w:style>
  <w:style w:type="table" w:styleId="963" w:customStyle="1">
    <w:name w:val="Plain Table 5"/>
    <w:basedOn w:val="841"/>
    <w:uiPriority w:val="99"/>
    <w:qFormat/>
    <w:tblPr/>
  </w:style>
  <w:style w:type="table" w:styleId="964" w:customStyle="1">
    <w:name w:val="Grid Table 1 Light"/>
    <w:basedOn w:val="841"/>
    <w:uiPriority w:val="99"/>
    <w:qFormat/>
    <w:tblPr/>
  </w:style>
  <w:style w:type="table" w:styleId="965" w:customStyle="1">
    <w:name w:val="Grid Table 1 Light - Accent 1"/>
    <w:basedOn w:val="841"/>
    <w:uiPriority w:val="99"/>
    <w:qFormat/>
    <w:tblPr/>
  </w:style>
  <w:style w:type="table" w:styleId="966" w:customStyle="1">
    <w:name w:val="Grid Table 1 Light - Accent 2"/>
    <w:basedOn w:val="841"/>
    <w:uiPriority w:val="99"/>
    <w:qFormat/>
    <w:tblPr/>
  </w:style>
  <w:style w:type="table" w:styleId="967" w:customStyle="1">
    <w:name w:val="Grid Table 1 Light - Accent 3"/>
    <w:basedOn w:val="841"/>
    <w:uiPriority w:val="99"/>
    <w:qFormat/>
    <w:tblPr/>
  </w:style>
  <w:style w:type="table" w:styleId="968" w:customStyle="1">
    <w:name w:val="Grid Table 1 Light - Accent 4"/>
    <w:basedOn w:val="841"/>
    <w:uiPriority w:val="99"/>
    <w:qFormat/>
    <w:tblPr/>
  </w:style>
  <w:style w:type="table" w:styleId="969" w:customStyle="1">
    <w:name w:val="Grid Table 1 Light - Accent 5"/>
    <w:basedOn w:val="841"/>
    <w:uiPriority w:val="99"/>
    <w:qFormat/>
    <w:tblPr/>
  </w:style>
  <w:style w:type="table" w:styleId="970" w:customStyle="1">
    <w:name w:val="Grid Table 1 Light - Accent 6"/>
    <w:basedOn w:val="841"/>
    <w:uiPriority w:val="99"/>
    <w:qFormat/>
    <w:tblPr/>
  </w:style>
  <w:style w:type="table" w:styleId="971" w:customStyle="1">
    <w:name w:val="Grid Table 2"/>
    <w:basedOn w:val="841"/>
    <w:uiPriority w:val="99"/>
    <w:qFormat/>
    <w:tblPr/>
  </w:style>
  <w:style w:type="table" w:styleId="972" w:customStyle="1">
    <w:name w:val="Grid Table 2 - Accent 1"/>
    <w:basedOn w:val="841"/>
    <w:uiPriority w:val="99"/>
    <w:qFormat/>
    <w:tblPr/>
  </w:style>
  <w:style w:type="table" w:styleId="973" w:customStyle="1">
    <w:name w:val="Grid Table 2 - Accent 2"/>
    <w:basedOn w:val="841"/>
    <w:uiPriority w:val="99"/>
    <w:qFormat/>
    <w:tblPr/>
  </w:style>
  <w:style w:type="table" w:styleId="974" w:customStyle="1">
    <w:name w:val="Grid Table 2 - Accent 3"/>
    <w:basedOn w:val="841"/>
    <w:uiPriority w:val="99"/>
    <w:qFormat/>
    <w:tblPr/>
  </w:style>
  <w:style w:type="table" w:styleId="975" w:customStyle="1">
    <w:name w:val="Grid Table 2 - Accent 4"/>
    <w:basedOn w:val="841"/>
    <w:uiPriority w:val="99"/>
    <w:qFormat/>
    <w:tblPr/>
  </w:style>
  <w:style w:type="table" w:styleId="976" w:customStyle="1">
    <w:name w:val="Grid Table 2 - Accent 5"/>
    <w:basedOn w:val="841"/>
    <w:uiPriority w:val="99"/>
    <w:qFormat/>
    <w:tblPr/>
  </w:style>
  <w:style w:type="table" w:styleId="977" w:customStyle="1">
    <w:name w:val="Grid Table 2 - Accent 6"/>
    <w:basedOn w:val="841"/>
    <w:uiPriority w:val="99"/>
    <w:qFormat/>
    <w:tblPr/>
  </w:style>
  <w:style w:type="table" w:styleId="978" w:customStyle="1">
    <w:name w:val="Grid Table 3"/>
    <w:basedOn w:val="841"/>
    <w:uiPriority w:val="99"/>
    <w:qFormat/>
    <w:tblPr/>
  </w:style>
  <w:style w:type="table" w:styleId="979" w:customStyle="1">
    <w:name w:val="Grid Table 3 - Accent 1"/>
    <w:basedOn w:val="841"/>
    <w:uiPriority w:val="99"/>
    <w:qFormat/>
    <w:tblPr/>
  </w:style>
  <w:style w:type="table" w:styleId="980" w:customStyle="1">
    <w:name w:val="Grid Table 3 - Accent 2"/>
    <w:basedOn w:val="841"/>
    <w:uiPriority w:val="99"/>
    <w:qFormat/>
    <w:tblPr/>
  </w:style>
  <w:style w:type="table" w:styleId="981" w:customStyle="1">
    <w:name w:val="Grid Table 3 - Accent 3"/>
    <w:basedOn w:val="841"/>
    <w:uiPriority w:val="99"/>
    <w:qFormat/>
    <w:tblPr/>
  </w:style>
  <w:style w:type="table" w:styleId="982" w:customStyle="1">
    <w:name w:val="Grid Table 3 - Accent 4"/>
    <w:basedOn w:val="841"/>
    <w:uiPriority w:val="99"/>
    <w:qFormat/>
    <w:tblPr/>
  </w:style>
  <w:style w:type="table" w:styleId="983" w:customStyle="1">
    <w:name w:val="Grid Table 3 - Accent 5"/>
    <w:basedOn w:val="841"/>
    <w:uiPriority w:val="99"/>
    <w:qFormat/>
    <w:tblPr/>
  </w:style>
  <w:style w:type="table" w:styleId="984" w:customStyle="1">
    <w:name w:val="Grid Table 3 - Accent 6"/>
    <w:basedOn w:val="841"/>
    <w:uiPriority w:val="99"/>
    <w:qFormat/>
    <w:tblPr/>
  </w:style>
  <w:style w:type="table" w:styleId="985" w:customStyle="1">
    <w:name w:val="Grid Table 4"/>
    <w:basedOn w:val="841"/>
    <w:uiPriority w:val="59"/>
    <w:qFormat/>
    <w:tblPr/>
  </w:style>
  <w:style w:type="table" w:styleId="986" w:customStyle="1">
    <w:name w:val="Grid Table 4 - Accent 1"/>
    <w:basedOn w:val="841"/>
    <w:uiPriority w:val="59"/>
    <w:qFormat/>
    <w:tblPr/>
  </w:style>
  <w:style w:type="table" w:styleId="987" w:customStyle="1">
    <w:name w:val="Grid Table 4 - Accent 2"/>
    <w:basedOn w:val="841"/>
    <w:uiPriority w:val="59"/>
    <w:qFormat/>
    <w:tblPr/>
  </w:style>
  <w:style w:type="table" w:styleId="988" w:customStyle="1">
    <w:name w:val="Grid Table 4 - Accent 3"/>
    <w:basedOn w:val="841"/>
    <w:uiPriority w:val="59"/>
    <w:qFormat/>
    <w:tblPr/>
  </w:style>
  <w:style w:type="table" w:styleId="989" w:customStyle="1">
    <w:name w:val="Grid Table 4 - Accent 4"/>
    <w:basedOn w:val="841"/>
    <w:uiPriority w:val="59"/>
    <w:qFormat/>
    <w:tblPr/>
  </w:style>
  <w:style w:type="table" w:styleId="990" w:customStyle="1">
    <w:name w:val="Grid Table 4 - Accent 5"/>
    <w:basedOn w:val="841"/>
    <w:uiPriority w:val="59"/>
    <w:qFormat/>
    <w:tblPr/>
  </w:style>
  <w:style w:type="table" w:styleId="991" w:customStyle="1">
    <w:name w:val="Grid Table 4 - Accent 6"/>
    <w:basedOn w:val="841"/>
    <w:uiPriority w:val="59"/>
    <w:qFormat/>
    <w:tblPr/>
  </w:style>
  <w:style w:type="table" w:styleId="992" w:customStyle="1">
    <w:name w:val="Grid Table 5 Dark"/>
    <w:basedOn w:val="841"/>
    <w:uiPriority w:val="99"/>
    <w:qFormat/>
    <w:tblPr/>
  </w:style>
  <w:style w:type="table" w:styleId="993" w:customStyle="1">
    <w:name w:val="Grid Table 5 Dark- Accent 1"/>
    <w:basedOn w:val="841"/>
    <w:uiPriority w:val="99"/>
    <w:qFormat/>
    <w:tblPr/>
  </w:style>
  <w:style w:type="table" w:styleId="994" w:customStyle="1">
    <w:name w:val="Grid Table 5 Dark - Accent 2"/>
    <w:basedOn w:val="841"/>
    <w:uiPriority w:val="99"/>
    <w:qFormat/>
    <w:tblPr/>
  </w:style>
  <w:style w:type="table" w:styleId="995" w:customStyle="1">
    <w:name w:val="Grid Table 5 Dark - Accent 3"/>
    <w:basedOn w:val="841"/>
    <w:uiPriority w:val="99"/>
    <w:qFormat/>
    <w:tblPr/>
  </w:style>
  <w:style w:type="table" w:styleId="996" w:customStyle="1">
    <w:name w:val="Grid Table 5 Dark- Accent 4"/>
    <w:basedOn w:val="841"/>
    <w:uiPriority w:val="99"/>
    <w:qFormat/>
    <w:tblPr/>
  </w:style>
  <w:style w:type="table" w:styleId="997" w:customStyle="1">
    <w:name w:val="Grid Table 5 Dark - Accent 5"/>
    <w:basedOn w:val="841"/>
    <w:uiPriority w:val="99"/>
    <w:qFormat/>
    <w:tblPr/>
  </w:style>
  <w:style w:type="table" w:styleId="998" w:customStyle="1">
    <w:name w:val="Grid Table 5 Dark - Accent 6"/>
    <w:basedOn w:val="841"/>
    <w:uiPriority w:val="99"/>
    <w:qFormat/>
    <w:tblPr/>
  </w:style>
  <w:style w:type="table" w:styleId="999" w:customStyle="1">
    <w:name w:val="Grid Table 6 Colorful"/>
    <w:basedOn w:val="841"/>
    <w:uiPriority w:val="99"/>
    <w:qFormat/>
    <w:tblPr/>
  </w:style>
  <w:style w:type="table" w:styleId="1000" w:customStyle="1">
    <w:name w:val="Grid Table 6 Colorful - Accent 1"/>
    <w:basedOn w:val="841"/>
    <w:uiPriority w:val="99"/>
    <w:qFormat/>
    <w:tblPr/>
  </w:style>
  <w:style w:type="table" w:styleId="1001" w:customStyle="1">
    <w:name w:val="Grid Table 6 Colorful - Accent 2"/>
    <w:basedOn w:val="841"/>
    <w:uiPriority w:val="99"/>
    <w:qFormat/>
    <w:tblPr/>
  </w:style>
  <w:style w:type="table" w:styleId="1002" w:customStyle="1">
    <w:name w:val="Grid Table 6 Colorful - Accent 3"/>
    <w:basedOn w:val="841"/>
    <w:uiPriority w:val="99"/>
    <w:qFormat/>
    <w:tblPr/>
  </w:style>
  <w:style w:type="table" w:styleId="1003" w:customStyle="1">
    <w:name w:val="Grid Table 6 Colorful - Accent 4"/>
    <w:basedOn w:val="841"/>
    <w:uiPriority w:val="99"/>
    <w:qFormat/>
    <w:tblPr/>
  </w:style>
  <w:style w:type="table" w:styleId="1004" w:customStyle="1">
    <w:name w:val="Grid Table 6 Colorful - Accent 5"/>
    <w:basedOn w:val="841"/>
    <w:uiPriority w:val="99"/>
    <w:qFormat/>
    <w:tblPr/>
  </w:style>
  <w:style w:type="table" w:styleId="1005" w:customStyle="1">
    <w:name w:val="Grid Table 6 Colorful - Accent 6"/>
    <w:basedOn w:val="841"/>
    <w:uiPriority w:val="99"/>
    <w:qFormat/>
    <w:tblPr/>
  </w:style>
  <w:style w:type="table" w:styleId="1006" w:customStyle="1">
    <w:name w:val="Grid Table 7 Colorful"/>
    <w:basedOn w:val="841"/>
    <w:uiPriority w:val="99"/>
    <w:qFormat/>
    <w:tblPr/>
  </w:style>
  <w:style w:type="table" w:styleId="1007" w:customStyle="1">
    <w:name w:val="Grid Table 7 Colorful - Accent 1"/>
    <w:basedOn w:val="841"/>
    <w:uiPriority w:val="99"/>
    <w:qFormat/>
    <w:tblPr/>
  </w:style>
  <w:style w:type="table" w:styleId="1008" w:customStyle="1">
    <w:name w:val="Grid Table 7 Colorful - Accent 2"/>
    <w:basedOn w:val="841"/>
    <w:uiPriority w:val="99"/>
    <w:qFormat/>
    <w:tblPr/>
  </w:style>
  <w:style w:type="table" w:styleId="1009" w:customStyle="1">
    <w:name w:val="Grid Table 7 Colorful - Accent 3"/>
    <w:basedOn w:val="841"/>
    <w:uiPriority w:val="99"/>
    <w:qFormat/>
    <w:tblPr/>
  </w:style>
  <w:style w:type="table" w:styleId="1010" w:customStyle="1">
    <w:name w:val="Grid Table 7 Colorful - Accent 4"/>
    <w:basedOn w:val="841"/>
    <w:uiPriority w:val="99"/>
    <w:qFormat/>
    <w:tblPr/>
  </w:style>
  <w:style w:type="table" w:styleId="1011" w:customStyle="1">
    <w:name w:val="Grid Table 7 Colorful - Accent 5"/>
    <w:basedOn w:val="841"/>
    <w:uiPriority w:val="99"/>
    <w:qFormat/>
    <w:tblPr/>
  </w:style>
  <w:style w:type="table" w:styleId="1012" w:customStyle="1">
    <w:name w:val="Grid Table 7 Colorful - Accent 6"/>
    <w:basedOn w:val="841"/>
    <w:uiPriority w:val="99"/>
    <w:qFormat/>
    <w:tblPr/>
  </w:style>
  <w:style w:type="table" w:styleId="1013" w:customStyle="1">
    <w:name w:val="List Table 1 Light"/>
    <w:basedOn w:val="841"/>
    <w:uiPriority w:val="99"/>
    <w:qFormat/>
    <w:tblPr/>
  </w:style>
  <w:style w:type="table" w:styleId="1014" w:customStyle="1">
    <w:name w:val="List Table 1 Light - Accent 1"/>
    <w:basedOn w:val="841"/>
    <w:uiPriority w:val="99"/>
    <w:qFormat/>
    <w:tblPr/>
  </w:style>
  <w:style w:type="table" w:styleId="1015" w:customStyle="1">
    <w:name w:val="List Table 1 Light - Accent 2"/>
    <w:basedOn w:val="841"/>
    <w:uiPriority w:val="99"/>
    <w:qFormat/>
    <w:tblPr/>
  </w:style>
  <w:style w:type="table" w:styleId="1016" w:customStyle="1">
    <w:name w:val="List Table 1 Light - Accent 3"/>
    <w:basedOn w:val="841"/>
    <w:uiPriority w:val="99"/>
    <w:qFormat/>
    <w:tblPr/>
  </w:style>
  <w:style w:type="table" w:styleId="1017" w:customStyle="1">
    <w:name w:val="List Table 1 Light - Accent 4"/>
    <w:basedOn w:val="841"/>
    <w:uiPriority w:val="99"/>
    <w:qFormat/>
    <w:tblPr/>
  </w:style>
  <w:style w:type="table" w:styleId="1018" w:customStyle="1">
    <w:name w:val="List Table 1 Light - Accent 5"/>
    <w:basedOn w:val="841"/>
    <w:uiPriority w:val="99"/>
    <w:qFormat/>
    <w:tblPr/>
  </w:style>
  <w:style w:type="table" w:styleId="1019" w:customStyle="1">
    <w:name w:val="List Table 1 Light - Accent 6"/>
    <w:basedOn w:val="841"/>
    <w:uiPriority w:val="99"/>
    <w:qFormat/>
    <w:tblPr/>
  </w:style>
  <w:style w:type="table" w:styleId="1020" w:customStyle="1">
    <w:name w:val="List Table 2"/>
    <w:basedOn w:val="841"/>
    <w:uiPriority w:val="99"/>
    <w:qFormat/>
    <w:tblPr/>
  </w:style>
  <w:style w:type="table" w:styleId="1021" w:customStyle="1">
    <w:name w:val="List Table 2 - Accent 1"/>
    <w:basedOn w:val="841"/>
    <w:uiPriority w:val="99"/>
    <w:qFormat/>
    <w:tblPr/>
  </w:style>
  <w:style w:type="table" w:styleId="1022" w:customStyle="1">
    <w:name w:val="List Table 2 - Accent 2"/>
    <w:basedOn w:val="841"/>
    <w:uiPriority w:val="99"/>
    <w:qFormat/>
    <w:tblPr/>
  </w:style>
  <w:style w:type="table" w:styleId="1023" w:customStyle="1">
    <w:name w:val="List Table 2 - Accent 3"/>
    <w:basedOn w:val="841"/>
    <w:uiPriority w:val="99"/>
    <w:qFormat/>
    <w:tblPr/>
  </w:style>
  <w:style w:type="table" w:styleId="1024" w:customStyle="1">
    <w:name w:val="List Table 2 - Accent 4"/>
    <w:basedOn w:val="841"/>
    <w:uiPriority w:val="99"/>
    <w:qFormat/>
    <w:tblPr/>
  </w:style>
  <w:style w:type="table" w:styleId="1025" w:customStyle="1">
    <w:name w:val="List Table 2 - Accent 5"/>
    <w:basedOn w:val="841"/>
    <w:uiPriority w:val="99"/>
    <w:qFormat/>
    <w:tblPr/>
  </w:style>
  <w:style w:type="table" w:styleId="1026" w:customStyle="1">
    <w:name w:val="List Table 2 - Accent 6"/>
    <w:basedOn w:val="841"/>
    <w:uiPriority w:val="99"/>
    <w:qFormat/>
    <w:tblPr/>
  </w:style>
  <w:style w:type="table" w:styleId="1027" w:customStyle="1">
    <w:name w:val="List Table 3"/>
    <w:basedOn w:val="841"/>
    <w:uiPriority w:val="99"/>
    <w:qFormat/>
    <w:tblPr/>
  </w:style>
  <w:style w:type="table" w:styleId="1028" w:customStyle="1">
    <w:name w:val="List Table 3 - Accent 1"/>
    <w:basedOn w:val="841"/>
    <w:uiPriority w:val="99"/>
    <w:qFormat/>
    <w:tblPr/>
  </w:style>
  <w:style w:type="table" w:styleId="1029" w:customStyle="1">
    <w:name w:val="List Table 3 - Accent 2"/>
    <w:basedOn w:val="841"/>
    <w:uiPriority w:val="99"/>
    <w:qFormat/>
    <w:tblPr/>
  </w:style>
  <w:style w:type="table" w:styleId="1030" w:customStyle="1">
    <w:name w:val="List Table 3 - Accent 3"/>
    <w:basedOn w:val="841"/>
    <w:uiPriority w:val="99"/>
    <w:qFormat/>
    <w:tblPr/>
  </w:style>
  <w:style w:type="table" w:styleId="1031" w:customStyle="1">
    <w:name w:val="List Table 3 - Accent 4"/>
    <w:basedOn w:val="841"/>
    <w:uiPriority w:val="99"/>
    <w:qFormat/>
    <w:tblPr/>
  </w:style>
  <w:style w:type="table" w:styleId="1032" w:customStyle="1">
    <w:name w:val="List Table 3 - Accent 5"/>
    <w:basedOn w:val="841"/>
    <w:uiPriority w:val="99"/>
    <w:qFormat/>
    <w:tblPr/>
  </w:style>
  <w:style w:type="table" w:styleId="1033" w:customStyle="1">
    <w:name w:val="List Table 3 - Accent 6"/>
    <w:basedOn w:val="841"/>
    <w:uiPriority w:val="99"/>
    <w:qFormat/>
    <w:tblPr/>
  </w:style>
  <w:style w:type="table" w:styleId="1034" w:customStyle="1">
    <w:name w:val="List Table 4"/>
    <w:basedOn w:val="841"/>
    <w:uiPriority w:val="99"/>
    <w:qFormat/>
    <w:tblPr/>
  </w:style>
  <w:style w:type="table" w:styleId="1035" w:customStyle="1">
    <w:name w:val="List Table 4 - Accent 1"/>
    <w:basedOn w:val="841"/>
    <w:uiPriority w:val="99"/>
    <w:qFormat/>
    <w:tblPr/>
  </w:style>
  <w:style w:type="table" w:styleId="1036" w:customStyle="1">
    <w:name w:val="List Table 4 - Accent 2"/>
    <w:basedOn w:val="841"/>
    <w:uiPriority w:val="99"/>
    <w:qFormat/>
    <w:tblPr/>
  </w:style>
  <w:style w:type="table" w:styleId="1037" w:customStyle="1">
    <w:name w:val="List Table 4 - Accent 3"/>
    <w:basedOn w:val="841"/>
    <w:uiPriority w:val="99"/>
    <w:qFormat/>
    <w:tblPr/>
  </w:style>
  <w:style w:type="table" w:styleId="1038" w:customStyle="1">
    <w:name w:val="List Table 4 - Accent 4"/>
    <w:basedOn w:val="841"/>
    <w:uiPriority w:val="99"/>
    <w:qFormat/>
    <w:tblPr/>
  </w:style>
  <w:style w:type="table" w:styleId="1039" w:customStyle="1">
    <w:name w:val="List Table 4 - Accent 5"/>
    <w:basedOn w:val="841"/>
    <w:uiPriority w:val="99"/>
    <w:qFormat/>
    <w:tblPr/>
  </w:style>
  <w:style w:type="table" w:styleId="1040" w:customStyle="1">
    <w:name w:val="List Table 4 - Accent 6"/>
    <w:basedOn w:val="841"/>
    <w:uiPriority w:val="99"/>
    <w:qFormat/>
    <w:tblPr/>
  </w:style>
  <w:style w:type="table" w:styleId="1041" w:customStyle="1">
    <w:name w:val="List Table 5 Dark"/>
    <w:basedOn w:val="841"/>
    <w:uiPriority w:val="99"/>
    <w:qFormat/>
    <w:tblPr/>
  </w:style>
  <w:style w:type="table" w:styleId="1042" w:customStyle="1">
    <w:name w:val="List Table 5 Dark - Accent 1"/>
    <w:basedOn w:val="841"/>
    <w:uiPriority w:val="99"/>
    <w:qFormat/>
    <w:tblPr/>
  </w:style>
  <w:style w:type="table" w:styleId="1043" w:customStyle="1">
    <w:name w:val="List Table 5 Dark - Accent 2"/>
    <w:basedOn w:val="841"/>
    <w:uiPriority w:val="99"/>
    <w:qFormat/>
    <w:tblPr/>
  </w:style>
  <w:style w:type="table" w:styleId="1044" w:customStyle="1">
    <w:name w:val="List Table 5 Dark - Accent 3"/>
    <w:basedOn w:val="841"/>
    <w:uiPriority w:val="99"/>
    <w:qFormat/>
    <w:tblPr/>
  </w:style>
  <w:style w:type="table" w:styleId="1045" w:customStyle="1">
    <w:name w:val="List Table 5 Dark - Accent 4"/>
    <w:basedOn w:val="841"/>
    <w:uiPriority w:val="99"/>
    <w:qFormat/>
    <w:tblPr/>
  </w:style>
  <w:style w:type="table" w:styleId="1046" w:customStyle="1">
    <w:name w:val="List Table 5 Dark - Accent 5"/>
    <w:basedOn w:val="841"/>
    <w:uiPriority w:val="99"/>
    <w:qFormat/>
    <w:tblPr/>
  </w:style>
  <w:style w:type="table" w:styleId="1047" w:customStyle="1">
    <w:name w:val="List Table 5 Dark - Accent 6"/>
    <w:basedOn w:val="841"/>
    <w:uiPriority w:val="99"/>
    <w:qFormat/>
    <w:tblPr/>
  </w:style>
  <w:style w:type="table" w:styleId="1048" w:customStyle="1">
    <w:name w:val="List Table 6 Colorful"/>
    <w:basedOn w:val="841"/>
    <w:uiPriority w:val="99"/>
    <w:qFormat/>
    <w:tblPr/>
  </w:style>
  <w:style w:type="table" w:styleId="1049" w:customStyle="1">
    <w:name w:val="List Table 6 Colorful - Accent 1"/>
    <w:basedOn w:val="841"/>
    <w:uiPriority w:val="99"/>
    <w:qFormat/>
    <w:tblPr/>
  </w:style>
  <w:style w:type="table" w:styleId="1050" w:customStyle="1">
    <w:name w:val="List Table 6 Colorful - Accent 2"/>
    <w:basedOn w:val="841"/>
    <w:uiPriority w:val="99"/>
    <w:qFormat/>
    <w:tblPr/>
  </w:style>
  <w:style w:type="table" w:styleId="1051" w:customStyle="1">
    <w:name w:val="List Table 6 Colorful - Accent 3"/>
    <w:basedOn w:val="841"/>
    <w:uiPriority w:val="99"/>
    <w:qFormat/>
    <w:tblPr/>
  </w:style>
  <w:style w:type="table" w:styleId="1052" w:customStyle="1">
    <w:name w:val="List Table 6 Colorful - Accent 4"/>
    <w:basedOn w:val="841"/>
    <w:uiPriority w:val="99"/>
    <w:qFormat/>
    <w:tblPr/>
  </w:style>
  <w:style w:type="table" w:styleId="1053" w:customStyle="1">
    <w:name w:val="List Table 6 Colorful - Accent 5"/>
    <w:basedOn w:val="841"/>
    <w:uiPriority w:val="99"/>
    <w:qFormat/>
    <w:tblPr/>
  </w:style>
  <w:style w:type="table" w:styleId="1054" w:customStyle="1">
    <w:name w:val="List Table 6 Colorful - Accent 6"/>
    <w:basedOn w:val="841"/>
    <w:uiPriority w:val="99"/>
    <w:qFormat/>
    <w:tblPr/>
  </w:style>
  <w:style w:type="table" w:styleId="1055" w:customStyle="1">
    <w:name w:val="List Table 7 Colorful"/>
    <w:basedOn w:val="841"/>
    <w:uiPriority w:val="99"/>
    <w:qFormat/>
    <w:tblPr/>
  </w:style>
  <w:style w:type="table" w:styleId="1056" w:customStyle="1">
    <w:name w:val="List Table 7 Colorful - Accent 1"/>
    <w:basedOn w:val="841"/>
    <w:uiPriority w:val="99"/>
    <w:qFormat/>
    <w:tblPr/>
  </w:style>
  <w:style w:type="table" w:styleId="1057" w:customStyle="1">
    <w:name w:val="List Table 7 Colorful - Accent 2"/>
    <w:basedOn w:val="841"/>
    <w:uiPriority w:val="99"/>
    <w:qFormat/>
    <w:tblPr/>
  </w:style>
  <w:style w:type="table" w:styleId="1058" w:customStyle="1">
    <w:name w:val="List Table 7 Colorful - Accent 3"/>
    <w:basedOn w:val="841"/>
    <w:uiPriority w:val="99"/>
    <w:qFormat/>
    <w:tblPr/>
  </w:style>
  <w:style w:type="table" w:styleId="1059" w:customStyle="1">
    <w:name w:val="List Table 7 Colorful - Accent 4"/>
    <w:basedOn w:val="841"/>
    <w:uiPriority w:val="99"/>
    <w:qFormat/>
    <w:tblPr/>
  </w:style>
  <w:style w:type="table" w:styleId="1060" w:customStyle="1">
    <w:name w:val="List Table 7 Colorful - Accent 5"/>
    <w:basedOn w:val="841"/>
    <w:uiPriority w:val="99"/>
    <w:qFormat/>
    <w:tblPr/>
  </w:style>
  <w:style w:type="table" w:styleId="1061" w:customStyle="1">
    <w:name w:val="List Table 7 Colorful - Accent 6"/>
    <w:basedOn w:val="841"/>
    <w:uiPriority w:val="99"/>
    <w:qFormat/>
    <w:tblPr/>
  </w:style>
  <w:style w:type="table" w:styleId="1062" w:customStyle="1">
    <w:name w:val="Lined - Accent"/>
    <w:basedOn w:val="841"/>
    <w:uiPriority w:val="99"/>
    <w:qFormat/>
    <w:rPr>
      <w:color w:val="404040"/>
    </w:rPr>
    <w:tblPr/>
  </w:style>
  <w:style w:type="table" w:styleId="1063" w:customStyle="1">
    <w:name w:val="Lined - Accent 1"/>
    <w:basedOn w:val="841"/>
    <w:uiPriority w:val="99"/>
    <w:qFormat/>
    <w:rPr>
      <w:color w:val="404040"/>
    </w:rPr>
    <w:tblPr/>
  </w:style>
  <w:style w:type="table" w:styleId="1064" w:customStyle="1">
    <w:name w:val="Lined - Accent 2"/>
    <w:basedOn w:val="841"/>
    <w:uiPriority w:val="99"/>
    <w:qFormat/>
    <w:rPr>
      <w:color w:val="404040"/>
    </w:rPr>
    <w:tblPr/>
  </w:style>
  <w:style w:type="table" w:styleId="1065" w:customStyle="1">
    <w:name w:val="Lined - Accent 3"/>
    <w:basedOn w:val="841"/>
    <w:uiPriority w:val="99"/>
    <w:qFormat/>
    <w:rPr>
      <w:color w:val="404040"/>
    </w:rPr>
    <w:tblPr/>
  </w:style>
  <w:style w:type="table" w:styleId="1066" w:customStyle="1">
    <w:name w:val="Lined - Accent 4"/>
    <w:basedOn w:val="841"/>
    <w:uiPriority w:val="99"/>
    <w:qFormat/>
    <w:rPr>
      <w:color w:val="404040"/>
    </w:rPr>
    <w:tblPr/>
  </w:style>
  <w:style w:type="table" w:styleId="1067" w:customStyle="1">
    <w:name w:val="Lined - Accent 5"/>
    <w:basedOn w:val="841"/>
    <w:uiPriority w:val="99"/>
    <w:qFormat/>
    <w:rPr>
      <w:color w:val="404040"/>
    </w:rPr>
    <w:tblPr/>
  </w:style>
  <w:style w:type="table" w:styleId="1068" w:customStyle="1">
    <w:name w:val="Lined - Accent 6"/>
    <w:basedOn w:val="841"/>
    <w:uiPriority w:val="99"/>
    <w:qFormat/>
    <w:rPr>
      <w:color w:val="404040"/>
    </w:rPr>
    <w:tblPr/>
  </w:style>
  <w:style w:type="table" w:styleId="1069" w:customStyle="1">
    <w:name w:val="Bordered &amp; Lined - Accent"/>
    <w:basedOn w:val="841"/>
    <w:uiPriority w:val="99"/>
    <w:qFormat/>
    <w:rPr>
      <w:color w:val="404040"/>
    </w:rPr>
    <w:tblPr/>
  </w:style>
  <w:style w:type="table" w:styleId="1070" w:customStyle="1">
    <w:name w:val="Bordered &amp; Lined - Accent 1"/>
    <w:basedOn w:val="841"/>
    <w:uiPriority w:val="99"/>
    <w:qFormat/>
    <w:rPr>
      <w:color w:val="404040"/>
    </w:rPr>
    <w:tblPr/>
  </w:style>
  <w:style w:type="table" w:styleId="1071" w:customStyle="1">
    <w:name w:val="Bordered &amp; Lined - Accent 2"/>
    <w:basedOn w:val="841"/>
    <w:uiPriority w:val="99"/>
    <w:qFormat/>
    <w:rPr>
      <w:color w:val="404040"/>
    </w:rPr>
    <w:tblPr/>
  </w:style>
  <w:style w:type="table" w:styleId="1072" w:customStyle="1">
    <w:name w:val="Bordered &amp; Lined - Accent 3"/>
    <w:basedOn w:val="841"/>
    <w:uiPriority w:val="99"/>
    <w:qFormat/>
    <w:rPr>
      <w:color w:val="404040"/>
    </w:rPr>
    <w:tblPr/>
  </w:style>
  <w:style w:type="table" w:styleId="1073" w:customStyle="1">
    <w:name w:val="Bordered &amp; Lined - Accent 4"/>
    <w:basedOn w:val="841"/>
    <w:uiPriority w:val="99"/>
    <w:qFormat/>
    <w:rPr>
      <w:color w:val="404040"/>
    </w:rPr>
    <w:tblPr/>
  </w:style>
  <w:style w:type="table" w:styleId="1074" w:customStyle="1">
    <w:name w:val="Bordered &amp; Lined - Accent 5"/>
    <w:basedOn w:val="841"/>
    <w:uiPriority w:val="99"/>
    <w:qFormat/>
    <w:rPr>
      <w:color w:val="404040"/>
    </w:rPr>
    <w:tblPr/>
  </w:style>
  <w:style w:type="table" w:styleId="1075" w:customStyle="1">
    <w:name w:val="Bordered &amp; Lined - Accent 6"/>
    <w:basedOn w:val="841"/>
    <w:uiPriority w:val="99"/>
    <w:qFormat/>
    <w:rPr>
      <w:color w:val="404040"/>
    </w:rPr>
    <w:tblPr/>
  </w:style>
  <w:style w:type="table" w:styleId="1076" w:customStyle="1">
    <w:name w:val="Bordered"/>
    <w:basedOn w:val="841"/>
    <w:uiPriority w:val="99"/>
    <w:qFormat/>
    <w:tblPr/>
  </w:style>
  <w:style w:type="table" w:styleId="1077" w:customStyle="1">
    <w:name w:val="Bordered - Accent 1"/>
    <w:basedOn w:val="841"/>
    <w:uiPriority w:val="99"/>
    <w:qFormat/>
    <w:tblPr/>
  </w:style>
  <w:style w:type="table" w:styleId="1078" w:customStyle="1">
    <w:name w:val="Bordered - Accent 2"/>
    <w:basedOn w:val="841"/>
    <w:uiPriority w:val="99"/>
    <w:qFormat/>
    <w:tblPr/>
  </w:style>
  <w:style w:type="table" w:styleId="1079" w:customStyle="1">
    <w:name w:val="Bordered - Accent 3"/>
    <w:basedOn w:val="841"/>
    <w:uiPriority w:val="99"/>
    <w:qFormat/>
    <w:tblPr/>
  </w:style>
  <w:style w:type="table" w:styleId="1080" w:customStyle="1">
    <w:name w:val="Bordered - Accent 4"/>
    <w:basedOn w:val="841"/>
    <w:uiPriority w:val="99"/>
    <w:qFormat/>
    <w:tblPr/>
  </w:style>
  <w:style w:type="table" w:styleId="1081" w:customStyle="1">
    <w:name w:val="Bordered - Accent 5"/>
    <w:basedOn w:val="841"/>
    <w:uiPriority w:val="99"/>
    <w:qFormat/>
    <w:tblPr/>
  </w:style>
  <w:style w:type="table" w:styleId="1082" w:customStyle="1">
    <w:name w:val="Bordered - Accent 6"/>
    <w:basedOn w:val="841"/>
    <w:uiPriority w:val="99"/>
    <w:qFormat/>
    <w:tblPr/>
  </w:style>
  <w:style w:type="character" w:styleId="1083" w:customStyle="1">
    <w:name w:val="Footnote Text Char"/>
    <w:link w:val="791"/>
    <w:uiPriority w:val="99"/>
    <w:qFormat/>
    <w:rPr>
      <w:sz w:val="18"/>
    </w:rPr>
  </w:style>
  <w:style w:type="paragraph" w:styleId="1084" w:customStyle="1">
    <w:name w:val="TOC 标题1"/>
    <w:uiPriority w:val="39"/>
    <w:unhideWhenUsed/>
    <w:qFormat/>
    <w:rPr>
      <w:rFonts w:hint="default" w:ascii="Times New Roman" w:hAnsi="Times New Roman" w:eastAsia="宋体" w:cs="Times New Roman"/>
      <w:lang w:val="en-US" w:eastAsia="zh-CN" w:bidi="ar-SA"/>
    </w:rPr>
  </w:style>
  <w:style w:type="paragraph" w:styleId="1085" w:customStyle="1">
    <w:name w:val="p0"/>
    <w:basedOn w:val="873"/>
    <w:uiPriority w:val="0"/>
    <w:qFormat/>
    <w:pPr>
      <w:widowControl/>
    </w:pPr>
    <w:rPr>
      <w:szCs w:val="21"/>
    </w:rPr>
  </w:style>
  <w:style w:type="paragraph" w:styleId="1086" w:customStyle="1">
    <w:name w:val="列出段落"/>
    <w:basedOn w:val="791"/>
    <w:uiPriority w:val="1"/>
    <w:qFormat/>
    <w:pPr>
      <w:ind w:firstLine="420"/>
    </w:pPr>
  </w:style>
  <w:style w:type="paragraph" w:styleId="1087"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1088" w:customStyle="1">
    <w:name w:val="NormalCharacter11"/>
    <w:link w:val="791"/>
    <w:uiPriority w:val="0"/>
    <w:semiHidden/>
    <w:qFormat/>
    <w:rPr>
      <w:sz w:val="28"/>
      <w:lang w:val="en-US" w:eastAsia="zh-CN" w:bidi="ar-SA"/>
    </w:rPr>
  </w:style>
  <w:style w:type="paragraph" w:styleId="1089" w:customStyle="1">
    <w:name w:val="179"/>
    <w:basedOn w:val="791"/>
    <w:uiPriority w:val="0"/>
    <w:qFormat/>
    <w:pPr>
      <w:ind w:firstLine="420"/>
      <w:jc w:val="left"/>
      <w:widowControl/>
    </w:pPr>
    <w:rPr>
      <w:rFonts w:ascii="宋体" w:hAnsi="宋体"/>
      <w:sz w:val="24"/>
    </w:rPr>
  </w:style>
  <w:style w:type="paragraph" w:styleId="1090"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91" w:customStyle="1">
    <w:name w:val="标准"/>
    <w:basedOn w:val="791"/>
    <w:uiPriority w:val="0"/>
    <w:qFormat/>
    <w:pPr>
      <w:ind w:firstLine="200"/>
      <w:spacing w:line="360" w:lineRule="auto"/>
    </w:pPr>
    <w:rPr>
      <w:rFonts w:cs="宋体"/>
      <w:sz w:val="20"/>
      <w:szCs w:val="20"/>
    </w:rPr>
  </w:style>
  <w:style w:type="paragraph" w:styleId="1092" w:customStyle="1">
    <w:name w:val="_Style 11"/>
    <w:basedOn w:val="791"/>
    <w:next w:val="1086"/>
    <w:uiPriority w:val="34"/>
    <w:qFormat/>
    <w:pPr>
      <w:ind w:firstLine="420"/>
    </w:pPr>
    <w:rPr>
      <w:color w:val="000000"/>
      <w:szCs w:val="21"/>
    </w:rPr>
  </w:style>
  <w:style w:type="paragraph" w:styleId="1093" w:customStyle="1">
    <w:name w:val="BodyText1I21"/>
    <w:basedOn w:val="791"/>
    <w:uiPriority w:val="0"/>
    <w:qFormat/>
    <w:pPr>
      <w:ind w:firstLine="420"/>
      <w:spacing w:line="360" w:lineRule="auto"/>
      <w:widowControl/>
    </w:pPr>
    <w:rPr>
      <w:rFonts w:ascii="宋体" w:hAnsi="宋体" w:cs="Times New Roman"/>
      <w:sz w:val="20"/>
      <w:szCs w:val="20"/>
    </w:rPr>
  </w:style>
  <w:style w:type="paragraph" w:styleId="1094" w:customStyle="1">
    <w:name w:val="UserStyle_133"/>
    <w:basedOn w:val="791"/>
    <w:uiPriority w:val="0"/>
    <w:qFormat/>
    <w:pPr>
      <w:widowControl/>
    </w:pPr>
    <w:rPr>
      <w:rFonts w:ascii="Tahoma" w:hAnsi="Tahoma" w:cs="Times New Roman"/>
      <w:sz w:val="24"/>
    </w:rPr>
  </w:style>
  <w:style w:type="paragraph" w:styleId="1095" w:customStyle="1">
    <w:name w:val="AnnotationText1"/>
    <w:basedOn w:val="791"/>
    <w:link w:val="1096"/>
    <w:uiPriority w:val="0"/>
    <w:qFormat/>
    <w:pPr>
      <w:jc w:val="left"/>
      <w:widowControl/>
    </w:pPr>
    <w:rPr>
      <w:rFonts w:cs="Times New Roman"/>
    </w:rPr>
  </w:style>
  <w:style w:type="character" w:styleId="1096" w:customStyle="1">
    <w:name w:val="UserStyle_12"/>
    <w:link w:val="1095"/>
    <w:uiPriority w:val="0"/>
    <w:qFormat/>
    <w:rPr>
      <w:rFonts w:ascii="Times New Roman" w:hAnsi="Times New Roman" w:eastAsia="宋体"/>
      <w:sz w:val="21"/>
      <w:szCs w:val="24"/>
    </w:rPr>
  </w:style>
  <w:style w:type="paragraph" w:styleId="1097" w:customStyle="1">
    <w:name w:val="UserStyle_115"/>
    <w:uiPriority w:val="0"/>
    <w:qFormat/>
    <w:rPr>
      <w:rFonts w:hint="default" w:ascii="Times New Roman" w:hAnsi="Times New Roman" w:eastAsia="宋体" w:cs="Times New Roman"/>
      <w:color w:val="000000"/>
      <w:sz w:val="24"/>
      <w:szCs w:val="24"/>
      <w:lang w:val="en-US" w:eastAsia="zh-CN" w:bidi="ar-SA"/>
    </w:rPr>
  </w:style>
  <w:style w:type="paragraph" w:styleId="1098" w:customStyle="1">
    <w:name w:val="*正文-表格"/>
    <w:basedOn w:val="791"/>
    <w:uiPriority w:val="0"/>
    <w:qFormat/>
    <w:rPr>
      <w:sz w:val="24"/>
      <w:szCs w:val="20"/>
    </w:rPr>
  </w:style>
  <w:style w:type="character" w:styleId="1099" w:customStyle="1">
    <w:name w:val="font21"/>
    <w:link w:val="791"/>
    <w:uiPriority w:val="0"/>
    <w:qFormat/>
    <w:rPr>
      <w:rFonts w:hint="eastAsia" w:ascii="宋体" w:hAnsi="宋体" w:eastAsia="宋体" w:cs="宋体"/>
      <w:b/>
      <w:bCs/>
      <w:color w:val="000000"/>
      <w:sz w:val="28"/>
      <w:szCs w:val="28"/>
      <w:u w:val="none"/>
    </w:rPr>
  </w:style>
  <w:style w:type="paragraph" w:styleId="1100" w:customStyle="1">
    <w:name w:val="标题 5（有编号）（绿盟科技）"/>
    <w:basedOn w:val="791"/>
    <w:next w:val="1101"/>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1101" w:customStyle="1">
    <w:name w:val="正文（绿盟科技）"/>
    <w:uiPriority w:val="99"/>
    <w:qFormat/>
    <w:pPr>
      <w:spacing w:line="300" w:lineRule="auto"/>
    </w:pPr>
    <w:rPr>
      <w:rFonts w:hint="default" w:ascii="Arial" w:hAnsi="Arial" w:eastAsia="宋体" w:cs="黑体"/>
      <w:sz w:val="21"/>
      <w:szCs w:val="21"/>
      <w:lang w:val="en-US" w:eastAsia="zh-CN" w:bidi="ar-SA"/>
    </w:rPr>
  </w:style>
  <w:style w:type="paragraph" w:styleId="1102" w:customStyle="1">
    <w:name w:val="投标文件正文"/>
    <w:basedOn w:val="791"/>
    <w:uiPriority w:val="0"/>
    <w:qFormat/>
    <w:pPr>
      <w:ind w:firstLine="200"/>
      <w:spacing w:before="40" w:after="40" w:line="400" w:lineRule="exact"/>
    </w:pPr>
    <w:rPr>
      <w:sz w:val="24"/>
    </w:rPr>
  </w:style>
  <w:style w:type="paragraph" w:styleId="1103" w:customStyle="1">
    <w:name w:val="BodyTextIndent1"/>
    <w:basedOn w:val="791"/>
    <w:next w:val="1104"/>
    <w:uiPriority w:val="0"/>
    <w:qFormat/>
    <w:pPr>
      <w:ind w:left="420"/>
      <w:spacing w:after="120"/>
    </w:pPr>
  </w:style>
  <w:style w:type="paragraph" w:styleId="1104" w:customStyle="1">
    <w:name w:val="EnvelopeReturn1"/>
    <w:basedOn w:val="791"/>
    <w:uiPriority w:val="0"/>
    <w:qFormat/>
    <w:rPr>
      <w:rFonts w:ascii="Arial" w:hAnsi="Arial"/>
    </w:rPr>
  </w:style>
  <w:style w:type="paragraph" w:styleId="1105" w:customStyle="1">
    <w:name w:val="Table Paragraph"/>
    <w:basedOn w:val="791"/>
    <w:uiPriority w:val="1"/>
    <w:qFormat/>
    <w:pPr>
      <w:ind w:left="107"/>
    </w:pPr>
    <w:rPr>
      <w:rFonts w:ascii="宋体" w:hAnsi="宋体" w:cs="宋体"/>
    </w:rPr>
  </w:style>
  <w:style w:type="paragraph" w:styleId="1106" w:customStyle="1">
    <w:name w:val="列出段落1"/>
    <w:basedOn w:val="791"/>
    <w:uiPriority w:val="34"/>
    <w:qFormat/>
    <w:pPr>
      <w:ind w:left="480"/>
      <w:jc w:val="left"/>
    </w:pPr>
    <w:rPr>
      <w:rFonts w:ascii="Calibri" w:hAnsi="Calibri" w:eastAsia="PMingLiU"/>
      <w:sz w:val="24"/>
      <w:szCs w:val="20"/>
      <w:lang w:eastAsia="zh-TW"/>
    </w:rPr>
  </w:style>
  <w:style w:type="character" w:styleId="1107" w:customStyle="1">
    <w:name w:val="font51"/>
    <w:link w:val="791"/>
    <w:uiPriority w:val="0"/>
    <w:qFormat/>
    <w:rPr>
      <w:rFonts w:hint="eastAsia" w:ascii="微软雅黑" w:hAnsi="微软雅黑" w:eastAsia="微软雅黑" w:cs="微软雅黑"/>
      <w:color w:val="000000"/>
      <w:sz w:val="16"/>
      <w:szCs w:val="16"/>
      <w:u w:val="none"/>
    </w:rPr>
  </w:style>
  <w:style w:type="character" w:styleId="1108" w:customStyle="1">
    <w:name w:val="font01"/>
    <w:link w:val="791"/>
    <w:uiPriority w:val="0"/>
    <w:qFormat/>
    <w:rPr>
      <w:rFonts w:hint="eastAsia" w:ascii="微软雅黑" w:hAnsi="微软雅黑" w:eastAsia="微软雅黑" w:cs="微软雅黑"/>
      <w:color w:val="000000"/>
      <w:sz w:val="16"/>
      <w:szCs w:val="16"/>
      <w:u w:val="none"/>
    </w:rPr>
  </w:style>
  <w:style w:type="character" w:styleId="1109" w:customStyle="1">
    <w:name w:val="font31"/>
    <w:link w:val="791"/>
    <w:uiPriority w:val="0"/>
    <w:qFormat/>
    <w:rPr>
      <w:rFonts w:hint="eastAsia" w:ascii="微软雅黑" w:hAnsi="微软雅黑" w:eastAsia="微软雅黑" w:cs="微软雅黑"/>
      <w:color w:val="000000"/>
      <w:sz w:val="16"/>
      <w:szCs w:val="16"/>
      <w:u w:val="none"/>
    </w:rPr>
  </w:style>
  <w:style w:type="character" w:styleId="1110" w:customStyle="1">
    <w:name w:val="font41"/>
    <w:link w:val="791"/>
    <w:uiPriority w:val="0"/>
    <w:qFormat/>
    <w:rPr>
      <w:rFonts w:hint="eastAsia" w:ascii="宋体" w:hAnsi="宋体" w:eastAsia="宋体" w:cs="宋体"/>
      <w:color w:val="000000"/>
      <w:sz w:val="22"/>
      <w:szCs w:val="22"/>
      <w:u w:val="none"/>
    </w:rPr>
  </w:style>
  <w:style w:type="character" w:styleId="1111" w:customStyle="1">
    <w:name w:val="font61"/>
    <w:link w:val="791"/>
    <w:uiPriority w:val="0"/>
    <w:qFormat/>
    <w:rPr>
      <w:rFonts w:hint="eastAsia" w:ascii="宋体" w:hAnsi="宋体" w:eastAsia="宋体" w:cs="宋体"/>
      <w:color w:val="000000"/>
      <w:sz w:val="20"/>
      <w:szCs w:val="20"/>
      <w:u w:val="none"/>
    </w:rPr>
  </w:style>
  <w:style w:type="character" w:styleId="1112" w:customStyle="1">
    <w:name w:val="font11"/>
    <w:link w:val="791"/>
    <w:uiPriority w:val="0"/>
    <w:qFormat/>
    <w:rPr>
      <w:rFonts w:hint="eastAsia" w:ascii="宋体" w:hAnsi="宋体" w:eastAsia="宋体" w:cs="宋体"/>
      <w:color w:val="000000"/>
      <w:sz w:val="20"/>
      <w:szCs w:val="20"/>
      <w:u w:val="none"/>
    </w:rPr>
  </w:style>
  <w:style w:type="character" w:styleId="1113" w:customStyle="1">
    <w:name w:val="font71"/>
    <w:link w:val="791"/>
    <w:uiPriority w:val="0"/>
    <w:qFormat/>
    <w:rPr>
      <w:rFonts w:hint="eastAsia" w:ascii="宋体" w:hAnsi="宋体" w:eastAsia="宋体" w:cs="宋体"/>
      <w:color w:val="000000"/>
      <w:sz w:val="21"/>
      <w:szCs w:val="21"/>
      <w:u w:val="none"/>
    </w:rPr>
  </w:style>
  <w:style w:type="character" w:styleId="1114" w:customStyle="1">
    <w:name w:val="font81"/>
    <w:link w:val="791"/>
    <w:uiPriority w:val="0"/>
    <w:qFormat/>
    <w:rPr>
      <w:rFonts w:ascii="Times New Roman" w:hAnsi="Times New Roman" w:cs="Times New Roman"/>
      <w:color w:val="000000"/>
      <w:sz w:val="21"/>
      <w:szCs w:val="21"/>
      <w:u w:val="none"/>
    </w:rPr>
  </w:style>
  <w:style w:type="character" w:styleId="1115" w:customStyle="1">
    <w:name w:val="font91"/>
    <w:link w:val="791"/>
    <w:uiPriority w:val="0"/>
    <w:qFormat/>
    <w:rPr>
      <w:rFonts w:hint="eastAsia" w:ascii="宋体" w:hAnsi="宋体" w:eastAsia="宋体" w:cs="宋体"/>
      <w:color w:val="000000"/>
      <w:sz w:val="21"/>
      <w:szCs w:val="21"/>
      <w:u w:val="none"/>
    </w:rPr>
  </w:style>
  <w:style w:type="paragraph" w:styleId="1116" w:customStyle="1">
    <w:name w:val="页脚1"/>
    <w:basedOn w:val="791"/>
    <w:uiPriority w:val="0"/>
    <w:qFormat/>
    <w:pPr>
      <w:jc w:val="left"/>
      <w:tabs>
        <w:tab w:val="center" w:pos="4153" w:leader="none"/>
        <w:tab w:val="right" w:pos="8306" w:leader="none"/>
      </w:tabs>
    </w:pPr>
    <w:rPr>
      <w:sz w:val="18"/>
      <w:szCs w:val="18"/>
    </w:rPr>
  </w:style>
  <w:style w:type="paragraph" w:styleId="1117" w:customStyle="1">
    <w:name w:val="正文缩进11"/>
    <w:basedOn w:val="791"/>
    <w:uiPriority w:val="0"/>
    <w:unhideWhenUsed/>
    <w:qFormat/>
    <w:pPr>
      <w:ind w:firstLine="420"/>
    </w:pPr>
  </w:style>
  <w:style w:type="paragraph" w:styleId="1118" w:customStyle="1">
    <w:name w:val="列表段落"/>
    <w:basedOn w:val="791"/>
    <w:uiPriority w:val="34"/>
    <w:qFormat/>
    <w:pPr>
      <w:contextualSpacing/>
      <w:ind w:left="720"/>
    </w:pPr>
  </w:style>
  <w:style w:type="paragraph" w:styleId="1119" w:customStyle="1">
    <w:name w:val="普通(网站)1"/>
    <w:basedOn w:val="791"/>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1120" w:customStyle="1">
    <w:name w:val="纯文本11"/>
    <w:basedOn w:val="791"/>
    <w:uiPriority w:val="0"/>
    <w:qFormat/>
    <w:rPr>
      <w:rFonts w:ascii="宋体" w:hAnsi="Courier New"/>
      <w:szCs w:val="20"/>
    </w:rPr>
  </w:style>
  <w:style w:type="paragraph" w:styleId="1121" w:customStyle="1">
    <w:name w:val="纯文本1"/>
    <w:basedOn w:val="873"/>
    <w:uiPriority w:val="0"/>
    <w:qFormat/>
    <w:rPr>
      <w:rFonts w:hAnsi="Courier New"/>
      <w:sz w:val="20"/>
    </w:rPr>
  </w:style>
  <w:style w:type="paragraph" w:styleId="1122" w:customStyle="1">
    <w:name w:val="Body text|21"/>
    <w:basedOn w:val="791"/>
    <w:uiPriority w:val="0"/>
    <w:qFormat/>
    <w:pPr>
      <w:spacing w:before="500" w:after="260" w:line="200" w:lineRule="exact"/>
      <w:shd w:val="clear" w:color="auto" w:fill="ffffff"/>
    </w:pPr>
    <w:rPr>
      <w:rFonts w:ascii="PMingLiU" w:hAnsi="PMingLiU" w:eastAsia="PMingLiU" w:cs="PMingLiU"/>
      <w:spacing w:val="10"/>
      <w:sz w:val="20"/>
      <w:szCs w:val="20"/>
    </w:rPr>
  </w:style>
  <w:style w:type="table" w:styleId="1123" w:customStyle="1">
    <w:name w:val="Table Normal"/>
    <w:uiPriority w:val="0"/>
    <w:unhideWhenUsed/>
    <w:qFormat/>
    <w:rPr>
      <w:lang w:val="en-US" w:eastAsia="zh-CN" w:bidi="ar-SA"/>
    </w:rPr>
    <w:tblPr/>
  </w:style>
  <w:style w:type="paragraph" w:styleId="1124" w:customStyle="1">
    <w:name w:val="Table Text"/>
    <w:basedOn w:val="791"/>
    <w:uiPriority w:val="0"/>
    <w:semiHidden/>
    <w:qFormat/>
    <w:rPr>
      <w:rFonts w:ascii="Arial" w:hAnsi="Arial" w:eastAsia="Arial" w:cs="Arial"/>
      <w:sz w:val="21"/>
      <w:szCs w:val="21"/>
      <w:lang w:eastAsia="en-US"/>
    </w:rPr>
  </w:style>
  <w:style w:type="paragraph" w:styleId="1125" w:customStyle="1">
    <w:name w:val="BlockQuote1"/>
    <w:basedOn w:val="791"/>
    <w:uiPriority w:val="0"/>
    <w:qFormat/>
    <w:pPr>
      <w:ind w:left="256" w:right="6" w:firstLine="624"/>
    </w:pPr>
    <w:rPr>
      <w:rFonts w:eastAsia="仿宋_GB2312"/>
      <w:sz w:val="28"/>
    </w:rPr>
  </w:style>
  <w:style w:type="paragraph" w:styleId="1126" w:customStyle="1">
    <w:name w:val="reader-word-layer reader-word-s1-7"/>
    <w:basedOn w:val="791"/>
    <w:uiPriority w:val="0"/>
    <w:qFormat/>
    <w:pPr>
      <w:jc w:val="left"/>
      <w:spacing w:before="100" w:beforeAutospacing="1" w:after="100" w:afterAutospacing="1"/>
      <w:widowControl/>
    </w:pPr>
    <w:rPr>
      <w:rFonts w:ascii="宋体" w:hAnsi="宋体" w:cs="宋体"/>
      <w:sz w:val="24"/>
    </w:rPr>
  </w:style>
  <w:style w:type="paragraph" w:styleId="1127" w:customStyle="1">
    <w:name w:val="首行缩进"/>
    <w:basedOn w:val="791"/>
    <w:uiPriority w:val="99"/>
    <w:qFormat/>
    <w:pPr>
      <w:ind w:firstLine="480"/>
      <w:spacing w:line="360" w:lineRule="auto"/>
    </w:pPr>
    <w:rPr>
      <w:rFonts w:ascii="Calibri" w:hAnsi="Calibri" w:eastAsia="微软雅黑"/>
      <w:sz w:val="24"/>
      <w:szCs w:val="22"/>
      <w:lang w:val="zh-CN"/>
    </w:rPr>
  </w:style>
  <w:style w:type="paragraph" w:styleId="1128" w:customStyle="1">
    <w:name w:val="_HT_正文"/>
    <w:basedOn w:val="791"/>
    <w:uiPriority w:val="0"/>
    <w:qFormat/>
    <w:pPr>
      <w:ind w:firstLine="200"/>
      <w:jc w:val="both"/>
      <w:spacing w:line="360" w:lineRule="auto"/>
    </w:pPr>
    <w:rPr>
      <w:sz w:val="24"/>
    </w:rPr>
  </w:style>
  <w:style w:type="paragraph" w:styleId="1129" w:customStyle="1">
    <w:name w:val="qowt-stl-正文"/>
    <w:basedOn w:val="865"/>
    <w:uiPriority w:val="0"/>
    <w:qFormat/>
    <w:pPr>
      <w:jc w:val="left"/>
      <w:spacing w:before="100" w:beforeAutospacing="1" w:after="100" w:afterAutospacing="1"/>
      <w:widowControl/>
    </w:pPr>
    <w:rPr>
      <w:rFonts w:ascii="宋体" w:hAnsi="宋体"/>
      <w:sz w:val="24"/>
    </w:rPr>
  </w:style>
  <w:style w:type="character" w:styleId="1130" w:customStyle="1">
    <w:name w:val="标题 2 Char"/>
    <w:link w:val="793"/>
    <w:uiPriority w:val="0"/>
    <w:qFormat/>
    <w:rPr>
      <w:rFonts w:ascii="Arial" w:hAnsi="Arial" w:eastAsia="Arial" w:cs="Arial"/>
      <w:sz w:val="34"/>
    </w:rPr>
  </w:style>
  <w:style w:type="numbering" w:styleId="11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魏鑫</cp:lastModifiedBy>
  <cp:revision>18</cp:revision>
  <dcterms:created xsi:type="dcterms:W3CDTF">2021-06-29T14:28:00Z</dcterms:created>
  <dcterms:modified xsi:type="dcterms:W3CDTF">2026-07-27T06:10:46Z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eyJoZGlkIjoiMDljYzUzMWQ4OWI0YzBkYjYzMDRhZTY5ZjZkYmFmYTgiLCJ1c2VySWQiOiIxMzc1NTQ2OTE2In0=</vt:lpwstr>
  </property>
  <property fmtid="{D5CDD505-2E9C-101B-9397-08002B2CF9AE}" pid="3" name="KSOProductBuildVer">
    <vt:lpwstr>2052-12.1.0.26895</vt:lpwstr>
  </property>
  <property fmtid="{D5CDD505-2E9C-101B-9397-08002B2CF9AE}" pid="4" name="ICV">
    <vt:lpwstr>7FBC89AD511D4BEDA891967BFAAACEA6_13</vt:lpwstr>
  </property>
</Properties>
</file>