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66"/>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66"/>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eastAsia" w:ascii="宋体" w:hAnsi="宋体" w:eastAsia="宋体" w:cs="宋体"/>
          <w:b w:val="0"/>
          <w:bCs w:val="0"/>
          <w:color w:val="auto"/>
          <w:sz w:val="32"/>
          <w:szCs w:val="24"/>
          <w:highlight w:val="none"/>
          <w:lang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JSZC-320300-JSZG-G2026-0024</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徐州市妇幼保健院数据资产管理平台及运营管理平台建设项目</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徐州市妇幼保健院</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20"/>
          <w:szCs w:val="22"/>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2158365</wp:posOffset>
                </wp:positionH>
                <wp:positionV relativeFrom="page">
                  <wp:posOffset>6468745</wp:posOffset>
                </wp:positionV>
                <wp:extent cx="1241425" cy="842645"/>
                <wp:effectExtent l="0" t="0" r="15875" b="14604"/>
                <wp:wrapNone/>
                <wp:docPr id="3" name="图片 2" descr="177571490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775714904280"/>
                        <pic:cNvPicPr>
                          <a:picLocks noChangeAspect="1"/>
                        </pic:cNvPicPr>
                        <pic:nvPr/>
                      </pic:nvPicPr>
                      <pic:blipFill>
                        <a:blip r:embed="rId14"/>
                        <a:stretch/>
                      </pic:blipFill>
                      <pic:spPr bwMode="auto">
                        <a:xfrm>
                          <a:off x="0" y="0"/>
                          <a:ext cx="1241425" cy="84264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9.9pt;mso-position-horizontal:absolute;mso-position-vertical-relative:page;margin-top:509.3pt;mso-position-vertical:absolute;width:97.8pt;height:66.3pt;mso-wrap-distance-left:9.0pt;mso-wrap-distance-top:0.0pt;mso-wrap-distance-right:9.0pt;mso-wrap-distance-bottom:0.0pt;" stroked="false">
                <v:path textboxrect="0,0,0,0"/>
                <v:imagedata r:id="rId14" o:title=""/>
              </v:shape>
            </w:pict>
          </mc:Fallback>
        </mc:AlternateConten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860"/>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pStyle w:val="861"/>
        <w:rPr>
          <w:rFonts w:hint="eastAsia"/>
          <w:color w:val="auto"/>
          <w:highlight w:val="none"/>
          <w:lang w:eastAsia="zh-CN"/>
        </w:rPr>
      </w:pPr>
      <w:r>
        <w:rPr>
          <w:rFonts w:hint="eastAsia"/>
          <w:color w:val="auto"/>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eastAsia="zh-CN"/>
        </w:rPr>
        <w:t xml:space="preserve">六</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931"/>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931"/>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931"/>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931"/>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931"/>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931"/>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931"/>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pageBreakBefore w:val="0"/>
        <w:spacing w:line="360" w:lineRule="auto"/>
        <w:widowControl w:val="off"/>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徐州市妇幼保健院数据资产管理平台及运营管理平台建设项目</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94"/>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第一章</w:t>
      </w:r>
      <w:r>
        <w:rPr>
          <w:rFonts w:hint="eastAsia"/>
          <w:color w:val="auto"/>
          <w:sz w:val="24"/>
          <w:szCs w:val="24"/>
          <w:highlight w:val="none"/>
          <w:lang w:val="en-US" w:eastAsia="zh-CN"/>
        </w:rPr>
        <w:t xml:space="preserve"> </w:t>
      </w:r>
      <w:r>
        <w:rPr>
          <w:rFonts w:hint="eastAsia"/>
          <w:color w:val="auto"/>
          <w:sz w:val="24"/>
          <w:szCs w:val="24"/>
          <w:highlight w:val="none"/>
        </w:rPr>
        <w:t xml:space="preserve">投标邀请</w:t>
      </w:r>
      <w:r/>
    </w:p>
    <w:p>
      <w:pPr>
        <w:ind w:firstLine="60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江苏中冠工程咨询有限公司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徐州市妇幼保健院数据资产管理平台及运营管理平台建设项目</w:t>
      </w:r>
      <w:r>
        <w:rPr>
          <w:rFonts w:hint="eastAsia" w:ascii="宋体" w:hAnsi="宋体" w:eastAsia="宋体" w:cs="宋体"/>
          <w:color w:val="auto"/>
          <w:sz w:val="24"/>
          <w:szCs w:val="24"/>
          <w:highlight w:val="none"/>
        </w:rPr>
        <w:t xml:space="preserve">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一、项目名称和项目编号</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徐州市妇幼保健院数据资产管理平台及运营管理平台建设项目</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(二)项目编号：</w:t>
      </w:r>
      <w:r>
        <w:rPr>
          <w:rFonts w:hint="eastAsia" w:ascii="宋体" w:hAnsi="宋体" w:cs="宋体"/>
          <w:color w:val="auto"/>
          <w:sz w:val="24"/>
          <w:szCs w:val="24"/>
          <w:highlight w:val="none"/>
          <w:lang w:eastAsia="zh-CN"/>
        </w:rPr>
        <w:t xml:space="preserve">JSZC-320300-JSZG-G2026-0024</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p>
    <w:p>
      <w:pPr>
        <w:ind w:firstLine="301"/>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pStyle w:val="845"/>
        <w:ind w:firstLine="28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（1）潜在供应商访问电子招标投标交易平台的网络地址和方法：</w:t>
      </w:r>
      <w:r/>
    </w:p>
    <w:p>
      <w:pPr>
        <w:pStyle w:val="845"/>
        <w:ind w:firstLine="621"/>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①</w:t>
      </w:r>
      <w:r>
        <w:rPr>
          <w:rFonts w:hint="eastAsia" w:ascii="宋体" w:hAnsi="宋体"/>
          <w:bCs/>
          <w:color w:val="auto"/>
          <w:sz w:val="24"/>
          <w:szCs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45"/>
        <w:ind w:firstLine="621"/>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45"/>
        <w:ind w:firstLine="621"/>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③“CA数字证书”的获取：</w:t>
      </w:r>
      <w:r/>
    </w:p>
    <w:p>
      <w:pPr>
        <w:pStyle w:val="845"/>
        <w:ind w:firstLine="621"/>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45"/>
        <w:ind w:firstLine="621"/>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45"/>
        <w:ind w:firstLine="621"/>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采购代理机构将数据电文形式的招标文件加载至电子招标投标交易平台，供潜在供应商下载或者查阅</w:t>
      </w:r>
      <w:r>
        <w:rPr>
          <w:rFonts w:hint="eastAsia" w:ascii="宋体" w:hAnsi="宋体"/>
          <w:bCs/>
          <w:color w:val="auto"/>
          <w:sz w:val="24"/>
          <w:szCs w:val="24"/>
          <w:highlight w:val="none"/>
        </w:rPr>
        <w:t xml:space="preserve">。</w:t>
      </w:r>
      <w:r/>
    </w:p>
    <w:p>
      <w:pPr>
        <w:pStyle w:val="845"/>
        <w:ind w:firstLine="621"/>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（3）苏采云系统使用谷歌浏览器参与不见面开标</w:t>
      </w:r>
      <w:r>
        <w:rPr>
          <w:rFonts w:ascii="宋体" w:hAnsi="宋体"/>
          <w:bCs/>
          <w:color w:val="auto"/>
          <w:sz w:val="24"/>
          <w:szCs w:val="24"/>
          <w:highlight w:val="none"/>
        </w:rPr>
        <w:t xml:space="preserve">。</w:t>
      </w:r>
      <w:r/>
    </w:p>
    <w:p>
      <w:pPr>
        <w:ind w:firstLine="579"/>
        <w:keepLines w:val="0"/>
        <w:keepNext w:val="0"/>
        <w:pageBreakBefore w:val="0"/>
        <w:spacing w:line="360" w:lineRule="auto"/>
        <w:widowControl w:val="off"/>
        <w:rPr>
          <w:rFonts w:ascii="宋体" w:hAnsi="宋体"/>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）售价：免费。</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2026年7月9日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2026年7月9日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（一）名称：徐州市妇幼保健院</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（二）地址：徐州市云龙区和平路46号</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）采购项目联系人：付世鹏</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）联系</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0516-83821852</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（二）地址：徐州市高新区康宁路1号高科金汇大厦A座13楼</w:t>
      </w:r>
      <w:r/>
    </w:p>
    <w:p>
      <w:pPr>
        <w:ind w:firstLine="30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）采购项目联系人：</w:t>
      </w:r>
      <w:r>
        <w:rPr>
          <w:rFonts w:hint="eastAsia" w:ascii="宋体" w:hAnsi="宋体" w:cs="宋体"/>
          <w:color w:val="auto"/>
          <w:sz w:val="24"/>
          <w:szCs w:val="24"/>
          <w:highlight w:val="none"/>
          <w:lang w:val="en-US" w:eastAsia="zh-CN"/>
        </w:rPr>
        <w:t xml:space="preserve">孟巍</w:t>
      </w:r>
      <w:r/>
    </w:p>
    <w:p>
      <w:pPr>
        <w:ind w:firstLine="30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0516-85187599 </w:t>
      </w:r>
      <w:r/>
    </w:p>
    <w:p>
      <w:pPr>
        <w:rPr>
          <w:rFonts w:hint="eastAsia"/>
          <w:color w:val="auto"/>
          <w:highlight w:val="none"/>
        </w:rPr>
      </w:pPr>
      <w:r>
        <w:rPr>
          <w:rFonts w:hint="eastAsia"/>
          <w:color w:val="auto"/>
          <w:highlight w:val="none"/>
        </w:rPr>
        <w:br w:type="page" w:clear="all"/>
      </w:r>
      <w:r/>
    </w:p>
    <w:p>
      <w:pPr>
        <w:pStyle w:val="794"/>
        <w:rPr>
          <w:rFonts w:hint="eastAsia"/>
          <w:color w:val="auto"/>
          <w:highlight w:val="none"/>
        </w:rPr>
      </w:pPr>
      <w:r>
        <w:rPr>
          <w:rFonts w:hint="eastAsia"/>
          <w:color w:val="auto"/>
          <w:highlight w:val="none"/>
        </w:rPr>
        <w:t xml:space="preserve">第二章 投标人须知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rPr>
          <w:rFonts w:hint="eastAsia" w:ascii="宋体" w:hAnsi="宋体" w:eastAsia="宋体" w:cs="宋体"/>
          <w:color w:val="auto"/>
          <w:sz w:val="24"/>
          <w:szCs w:val="24"/>
          <w:highlight w:val="none"/>
          <w:lang w:eastAsia="zh-CN"/>
        </w:rPr>
        <w:t xml:space="preserve">，</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.不具备招标文件中规定的资格要求的；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931"/>
          <w:rFonts w:hint="eastAsia" w:ascii="宋体" w:hAnsi="宋体" w:eastAsia="宋体" w:cs="宋体"/>
          <w:color w:val="auto"/>
          <w:sz w:val="24"/>
          <w:szCs w:val="24"/>
          <w:highlight w:val="none"/>
          <w:u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①资格审查。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931"/>
          <w:rFonts w:hint="eastAsia" w:ascii="宋体" w:hAnsi="宋体" w:eastAsia="宋体" w:cs="宋体"/>
          <w:color w:val="auto"/>
          <w:sz w:val="24"/>
          <w:szCs w:val="24"/>
          <w:highlight w:val="none"/>
          <w:u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931"/>
          <w:rFonts w:hint="eastAsia" w:ascii="宋体" w:hAnsi="宋体" w:eastAsia="宋体" w:cs="宋体"/>
          <w:color w:val="auto"/>
          <w:sz w:val="24"/>
          <w:szCs w:val="24"/>
          <w:highlight w:val="none"/>
          <w:u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keepLines w:val="0"/>
        <w:keepNext w:val="0"/>
        <w:pageBreakBefore w:val="0"/>
        <w:spacing w:line="360" w:lineRule="auto"/>
        <w:widowControl/>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，即投标报价&lt;全部通过符合性审查供应商投标报价平均值</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，即投标报价&lt;通过符合性审查的次低报价供应商投标报价</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3.投标报价低于采购项目最高限价（未设定最高限价的采购项目，以采购项目预算金额作为最高限价）</w:t>
      </w:r>
      <w:r>
        <w:rPr>
          <w:rFonts w:hint="eastAsia" w:ascii="宋体" w:hAnsi="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%的，</w:t>
      </w:r>
      <w:r>
        <w:rPr>
          <w:rFonts w:hint="eastAsia" w:ascii="宋体" w:hAnsi="宋体" w:eastAsia="宋体" w:cs="宋体"/>
          <w:color w:val="auto"/>
          <w:sz w:val="24"/>
          <w:szCs w:val="24"/>
          <w:highlight w:val="none"/>
        </w:rPr>
        <w:t xml:space="preserve">即投标报价&lt;采购项目最高限价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lang w:eastAsia="zh-CN"/>
        </w:rPr>
        <w:t xml:space="preserve">。</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w:t>
      </w:r>
      <w:r>
        <w:rPr>
          <w:rFonts w:hint="eastAsia" w:ascii="宋体" w:hAnsi="宋体" w:eastAsia="宋体" w:cs="宋体"/>
          <w:b w:val="0"/>
          <w:bCs/>
          <w:color w:val="auto"/>
          <w:sz w:val="24"/>
          <w:szCs w:val="24"/>
          <w:highlight w:val="none"/>
        </w:rPr>
        <w:t xml:space="preserve">详见《第三章 投标资料表》</w:t>
      </w:r>
      <w:r>
        <w:rPr>
          <w:rFonts w:hint="eastAsia" w:ascii="宋体" w:hAnsi="宋体" w:eastAsia="宋体" w:cs="宋体"/>
          <w:color w:val="auto"/>
          <w:sz w:val="24"/>
          <w:szCs w:val="24"/>
          <w:highlight w:val="none"/>
        </w:rPr>
        <w:t xml:space="preserve">。</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w:t>
      </w:r>
      <w:r>
        <w:rPr>
          <w:rFonts w:hint="eastAsia" w:ascii="宋体" w:hAnsi="宋体" w:eastAsia="宋体" w:cs="宋体"/>
          <w:color w:val="auto"/>
          <w:sz w:val="24"/>
          <w:szCs w:val="24"/>
          <w:highlight w:val="none"/>
          <w:lang w:val="en-US" w:eastAsia="zh-CN"/>
        </w:rPr>
        <w:t xml:space="preserve">真相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其已签署的合同。</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600"/>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0"/>
        <w:jc w:val="left"/>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p>
    <w:p>
      <w:pPr>
        <w:rPr>
          <w:rStyle w:val="868"/>
          <w:rFonts w:hint="eastAsia"/>
          <w:color w:val="auto"/>
          <w:highlight w:val="none"/>
        </w:rPr>
      </w:pPr>
      <w:r>
        <w:rPr>
          <w:rStyle w:val="868"/>
          <w:rFonts w:hint="eastAsia"/>
          <w:color w:val="auto"/>
          <w:highlight w:val="none"/>
        </w:rPr>
        <w:br w:type="page" w:clear="all"/>
      </w:r>
      <w:r/>
    </w:p>
    <w:p>
      <w:pPr>
        <w:jc w:val="center"/>
        <w:spacing w:line="720" w:lineRule="atLeast"/>
        <w:rPr>
          <w:rStyle w:val="868"/>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68"/>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left="0" w:firstLine="480"/>
        <w:keepLines w:val="0"/>
        <w:keepNext w:val="0"/>
        <w:pageBreakBefore w:val="0"/>
        <w:widowControl w:val="off"/>
        <w:rPr>
          <w:rFonts w:hint="eastAsia"/>
          <w:color w:val="auto"/>
          <w:sz w:val="24"/>
          <w:szCs w:val="24"/>
          <w:highlight w:val="none"/>
        </w:rPr>
      </w:pPr>
      <w:r>
        <w:rPr>
          <w:rFonts w:hint="eastAsia"/>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04"/>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Height w:val="567"/>
        </w:trPr>
        <w:tc>
          <w:tcPr>
            <w:tcMar>
              <w:left w:w="108" w:type="dxa"/>
              <w:top w:w="0" w:type="dxa"/>
              <w:right w:w="108" w:type="dxa"/>
              <w:bottom w:w="0" w:type="dxa"/>
            </w:tcMar>
            <w:tcW w:w="1367"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Height w:val="567"/>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Height w:val="567"/>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徐州市妇幼保健院</w:t>
            </w:r>
            <w:r/>
          </w:p>
        </w:tc>
      </w:tr>
      <w:tr>
        <w:trPr>
          <w:jc w:val="center"/>
          <w:trHeight w:val="567"/>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Height w:val="567"/>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w:t>
            </w:r>
            <w:r>
              <w:rPr>
                <w:rFonts w:hint="eastAsia" w:ascii="宋体" w:hAnsi="宋体" w:eastAsia="宋体" w:cs="宋体"/>
                <w:b/>
                <w:bCs/>
                <w:color w:val="auto"/>
                <w:sz w:val="24"/>
                <w:szCs w:val="24"/>
                <w:highlight w:val="none"/>
                <w:lang w:eastAsia="zh-CN"/>
              </w:rPr>
              <w:t xml:space="preserve">服务</w:t>
            </w:r>
            <w:r/>
          </w:p>
        </w:tc>
      </w:tr>
      <w:tr>
        <w:trPr>
          <w:jc w:val="center"/>
          <w:trHeight w:val="567"/>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3233"/>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ind w:lef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一、符合《中华人民共和国政府采购法》第二十二条的规定。</w:t>
            </w:r>
            <w:r/>
          </w:p>
          <w:p>
            <w:pPr>
              <w:ind w:lef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二、本项目不属于专门面向中小微企业采购的项目</w:t>
            </w:r>
            <w:r>
              <w:rPr>
                <w:rFonts w:hint="eastAsia" w:ascii="宋体" w:hAnsi="宋体" w:eastAsia="宋体" w:cs="宋体"/>
                <w:b/>
                <w:bCs/>
                <w:color w:val="auto"/>
                <w:sz w:val="24"/>
                <w:szCs w:val="24"/>
                <w:highlight w:val="none"/>
                <w:lang w:eastAsia="zh-CN"/>
              </w:rPr>
              <w:t xml:space="preserve">。</w:t>
            </w:r>
            <w:r/>
          </w:p>
          <w:p>
            <w:pPr>
              <w:ind w:lef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同时明确相关事项如下：</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查询及使用供应商信用记录：</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ind w:lef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(三)截止时点（查询环节）：评标结束前。</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567"/>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招标代理服务费由中标人支付。按《招标代理服务收费标准》收取（见附件）。</w:t>
            </w:r>
            <w:r/>
          </w:p>
        </w:tc>
      </w:tr>
      <w:tr>
        <w:trPr>
          <w:jc w:val="center"/>
          <w:trHeight w:val="567"/>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center"/>
            <w:textDirection w:val="lrTb"/>
            <w:noWrap w:val="false"/>
          </w:tcPr>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center"/>
            <w:textDirection w:val="lrTb"/>
            <w:noWrap w:val="false"/>
          </w:tcPr>
          <w:p>
            <w:pPr>
              <w:ind w:left="0" w:firstLine="0"/>
              <w:jc w:val="both"/>
              <w:keepLines w:val="0"/>
              <w:keepNext w:val="0"/>
              <w:pageBreakBefore w:val="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ind w:left="0" w:firstLine="0"/>
              <w:jc w:val="both"/>
              <w:keepLines w:val="0"/>
              <w:keepNext w:val="0"/>
              <w:pageBreakBefore w:val="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ind w:left="0" w:firstLine="0"/>
              <w:jc w:val="both"/>
              <w:keepLines w:val="0"/>
              <w:keepNext w:val="0"/>
              <w:pageBreakBefore w:val="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ind w:left="0" w:firstLine="0"/>
              <w:jc w:val="both"/>
              <w:keepLines w:val="0"/>
              <w:keepNext w:val="0"/>
              <w:pageBreakBefore w:val="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《开标一览表》（加盖电子签章，政府采购客户端工具输入报价自动生成）；</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宋体" w:hAnsi="宋体" w:eastAsia="宋体" w:cs="宋体"/>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；或提供投标人2025年度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宋体" w:hAnsi="宋体" w:eastAsia="宋体" w:cs="宋体"/>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eastAsia="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有依法缴纳税收和社会保障资金的良好记录：</w:t>
            </w:r>
            <w:r>
              <w:rPr>
                <w:rFonts w:hint="eastAsia" w:ascii="宋体" w:hAnsi="宋体" w:eastAsia="宋体" w:cs="宋体"/>
                <w:color w:val="auto"/>
                <w:sz w:val="24"/>
                <w:szCs w:val="24"/>
                <w:highlight w:val="none"/>
              </w:rPr>
              <w:t xml:space="preserve">即提供投标人的本项目开标时间</w:t>
            </w:r>
            <w:r>
              <w:rPr>
                <w:rFonts w:hint="eastAsia" w:ascii="宋体" w:hAnsi="宋体" w:eastAsia="宋体" w:cs="宋体"/>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ind w:left="0" w:right="28" w:firstLine="0"/>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四)具备履行合同所必需的设备和专业技术能力的证明材料（</w:t>
            </w:r>
            <w:r>
              <w:rPr>
                <w:rFonts w:hint="eastAsia" w:asciiTheme="minorEastAsia" w:hAnsiTheme="minorEastAsia" w:eastAsiaTheme="minorEastAsia" w:cstheme="minorEastAsia"/>
                <w:b w:val="0"/>
                <w:bCs w:val="0"/>
                <w:color w:val="auto"/>
                <w:sz w:val="24"/>
                <w:szCs w:val="24"/>
                <w:highlight w:val="none"/>
              </w:rPr>
              <w:t xml:space="preserve">即投标文件中提供：</w:t>
            </w:r>
            <w:r>
              <w:rPr>
                <w:rFonts w:hint="eastAsia" w:ascii="宋体" w:hAnsi="宋体" w:cs="宋体"/>
                <w:b w:val="0"/>
                <w:bCs w:val="0"/>
                <w:color w:val="auto"/>
                <w:sz w:val="24"/>
                <w:szCs w:val="24"/>
                <w:highlight w:val="none"/>
              </w:rPr>
              <w:t xml:space="preserve">《具备履行合同所必需的设备和专业技术能力的书面声明》（加盖电子签章，格式见招标文件第七章《投标文件相关格式》</w:t>
            </w:r>
            <w:r>
              <w:rPr>
                <w:rFonts w:hint="eastAsia" w:ascii="宋体" w:hAnsi="宋体" w:eastAsia="宋体" w:cs="宋体"/>
                <w:color w:val="auto"/>
                <w:sz w:val="24"/>
                <w:szCs w:val="24"/>
                <w:highlight w:val="none"/>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供应商关于单位负责人为同一人或者存在直接控股、管理关系的不同供应商，不得参加同一合同项下的政府采购活动的承诺。（加盖电子签章，格式见招标文件第七章《投标文件相关格式》）。</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供应商不是为本采购项目提供整体设计、规范编制或者项目管理、监理、检测等服务的供应商的书面声明。（加盖电子签章，格式见招标文件第七章《投标文件相关格式》）。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ind w:left="0" w:firstLine="0"/>
              <w:jc w:val="both"/>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ind w:left="0" w:firstLine="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w:t>
            </w:r>
            <w:r>
              <w:rPr>
                <w:rFonts w:hint="eastAsia" w:ascii="宋体" w:hAnsi="宋体" w:eastAsia="宋体" w:cs="宋体"/>
                <w:color w:val="auto"/>
                <w:sz w:val="24"/>
                <w:szCs w:val="24"/>
                <w:highlight w:val="none"/>
              </w:rPr>
              <w:t xml:space="preserve">政府采购客户端工具输入报价自动生成。</w:t>
            </w:r>
            <w:r/>
          </w:p>
          <w:p>
            <w:pPr>
              <w:ind w:left="0" w:firstLine="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ind w:left="0" w:firstLine="0"/>
              <w:jc w:val="both"/>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left="0" w:firstLine="0"/>
              <w:jc w:val="both"/>
              <w:keepLines w:val="0"/>
              <w:keepNext w:val="0"/>
              <w:pageBreakBefore w:val="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ind w:left="0" w:firstLine="0"/>
              <w:jc w:val="both"/>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3、法律、法规和招标文件规定的无效情形。</w:t>
            </w:r>
            <w:r/>
          </w:p>
          <w:p>
            <w:pPr>
              <w:ind w:left="0" w:firstLine="0"/>
              <w:jc w:val="both"/>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ind w:left="0" w:firstLine="0"/>
              <w:jc w:val="both"/>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ind w:left="0" w:firstLine="0"/>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技术部分</w:t>
            </w:r>
            <w:r/>
          </w:p>
          <w:p>
            <w:pPr>
              <w:ind w:left="0" w:firstLine="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要求见招标文件第六章《采购需求》及第四章《评标标准》中《评分细则》；</w:t>
            </w:r>
            <w:r/>
          </w:p>
          <w:p>
            <w:pPr>
              <w:ind w:left="0" w:firstLine="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ind w:left="0" w:firstLine="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要求见本文件第四章《评标标准》中《评分细则》）；</w:t>
            </w:r>
            <w:r/>
          </w:p>
          <w:p>
            <w:pPr>
              <w:ind w:left="0" w:right="28" w:firstLine="0"/>
              <w:jc w:val="both"/>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ind w:left="0" w:right="28" w:firstLine="482"/>
              <w:jc w:val="both"/>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不属于</w:t>
            </w:r>
            <w:r>
              <w:rPr>
                <w:rFonts w:hint="eastAsia" w:ascii="宋体" w:hAnsi="宋体" w:eastAsia="宋体" w:cs="宋体"/>
                <w:b/>
                <w:bCs/>
                <w:color w:val="auto"/>
                <w:sz w:val="24"/>
                <w:szCs w:val="24"/>
                <w:highlight w:val="none"/>
              </w:rPr>
              <w:t xml:space="preserve">专门面向中小微企业采购的项目</w:t>
            </w:r>
            <w:r>
              <w:rPr>
                <w:rFonts w:hint="eastAsia" w:ascii="宋体" w:hAnsi="宋体" w:eastAsia="宋体" w:cs="宋体"/>
                <w:b/>
                <w:bCs/>
                <w:color w:val="auto"/>
                <w:sz w:val="24"/>
                <w:szCs w:val="24"/>
                <w:highlight w:val="none"/>
                <w:lang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提供的服务全部由符合政策要求的中小企业承接的，提供《中小企业声明函》（加盖电子签章，填写完整。格式见招标文件第七章《投标文件相关格式》）。《中小企业声明函》查询渠道参考工业和信息化部发布的中小企业规模自测小程序。</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注：监狱企业和残疾人福利性单位等同于小微企业。</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投标人为监狱企业的，提供省级以上监狱管理局、戒毒管理局（含新疆生产建设兵团）出具的属于监狱企业的证明文件原件的扫描件。</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具体以《财政部 司法部关于政府采购支持监狱企业发展有关问题的通知》（财库〔2014〕68号）的规定为准。</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投标人为享受政府采购支持政策的残疾人福利性单位的，提供《残疾人福利性单位声明函》（加盖电子签章，格式见招标文件第七章《投标文件相关格式》）。</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①安置的残疾人占本单位在职职工人数的比例不低于25%（含25%），并且安置的残疾人人数不少于10人（含10人）；</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②依法与安置的每位残疾人签订了一年以上（含一年）的劳动合同或服务协议；</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③为安置的每位残疾人按月足额缴纳了基本养老保险、基本医疗保险、失业保险、工伤保险和生育保险等社会保险费；</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注：1、投标人应对以上文件的合法性、真实性负责；</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本项目不接受超过</w:t>
            </w:r>
            <w:r>
              <w:rPr>
                <w:rFonts w:hint="eastAsia" w:ascii="宋体" w:hAnsi="宋体" w:eastAsia="宋体" w:cs="宋体"/>
                <w:b/>
                <w:bCs/>
                <w:color w:val="auto"/>
                <w:sz w:val="24"/>
                <w:szCs w:val="24"/>
                <w:highlight w:val="none"/>
                <w:lang w:val="en-US" w:eastAsia="zh-CN"/>
              </w:rPr>
              <w:t xml:space="preserve">450万</w:t>
            </w:r>
            <w:r>
              <w:rPr>
                <w:rFonts w:hint="eastAsia" w:ascii="宋体" w:hAnsi="宋体" w:eastAsia="宋体" w:cs="宋体"/>
                <w:b/>
                <w:bCs/>
                <w:color w:val="auto"/>
                <w:sz w:val="24"/>
                <w:szCs w:val="24"/>
                <w:highlight w:val="none"/>
              </w:rPr>
              <w:t xml:space="preserve">元</w:t>
            </w:r>
            <w:r>
              <w:rPr>
                <w:rFonts w:hint="eastAsia" w:ascii="宋体" w:hAnsi="宋体" w:eastAsia="宋体" w:cs="宋体"/>
                <w:b/>
                <w:bCs/>
                <w:color w:val="auto"/>
                <w:sz w:val="24"/>
                <w:szCs w:val="24"/>
                <w:highlight w:val="none"/>
              </w:rPr>
              <w:t xml:space="preserve">人民币（采购项目预算金额）的投标报价。</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lang w:eastAsia="zh-CN"/>
              </w:rPr>
              <w:t xml:space="preserve">包括完成该服务的全部人工费、差旅费及其它辅助费用、管理、维护、保险、利润、税金、政策性文件规定及协议包含的所有风险、责任等各项应有费用。</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3830"/>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ind w:left="0" w:firstLine="0"/>
              <w:jc w:val="both"/>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840"/>
              <w:ind w:left="0" w:firstLine="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1、投标文件提交时间：2026年7月9日北京时间9:30前。</w:t>
            </w:r>
            <w:r/>
          </w:p>
          <w:p>
            <w:pPr>
              <w:pStyle w:val="840"/>
              <w:ind w:left="0" w:firstLine="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2、投标截止时间：2026年7月9日北京时间9:30。</w:t>
            </w:r>
            <w:r/>
          </w:p>
          <w:p>
            <w:pPr>
              <w:ind w:left="0" w:firstLine="0"/>
              <w:jc w:val="both"/>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ind w:left="0" w:firstLine="0"/>
              <w:jc w:val="both"/>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证书登陆“苏采云”系统在线编制投标文件（电子数据），并在投标截止时间之前上传投标文件。投标人应在达到开标时间后，使用CA数字证书解密各自投标文件。</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2026年7月9日</w:t>
            </w:r>
            <w:r>
              <w:rPr>
                <w:rFonts w:hint="eastAsia" w:ascii="宋体" w:hAnsi="宋体" w:eastAsia="宋体" w:cs="宋体"/>
                <w:b/>
                <w:color w:val="auto"/>
                <w:sz w:val="24"/>
                <w:szCs w:val="24"/>
                <w:highlight w:val="none"/>
              </w:rPr>
              <w:t xml:space="preserve">09：30（北京时间）</w:t>
            </w:r>
            <w:r/>
          </w:p>
          <w:p>
            <w:pPr>
              <w:ind w:lef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eastAsia="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367" w:type="dxa"/>
            <w:vAlign w:val="center"/>
            <w:textDirection w:val="lrTb"/>
            <w:noWrap w:val="false"/>
          </w:tcPr>
          <w:p>
            <w:pPr>
              <w:ind w:firstLine="0"/>
              <w:jc w:val="center"/>
              <w:keepLines/>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center"/>
            <w:textDirection w:val="lrTb"/>
            <w:noWrap w:val="false"/>
          </w:tcPr>
          <w:p>
            <w:pPr>
              <w:ind w:left="0" w:firstLine="0"/>
              <w:jc w:val="both"/>
              <w:keepLines/>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ind w:left="0" w:firstLine="0"/>
              <w:jc w:val="both"/>
              <w:keepLines/>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二、采用综合评分法的，按评审后得分由高到低顺序排列。得分相同的，按投标报价由低到高顺序排列。得分且投标报价相同的，按项目实施方案总得分顺序排列</w:t>
            </w:r>
            <w:r>
              <w:rPr>
                <w:rFonts w:hint="eastAsia" w:ascii="宋体" w:hAnsi="宋体" w:eastAsia="宋体" w:cs="宋体"/>
                <w:color w:val="auto"/>
                <w:sz w:val="24"/>
                <w:szCs w:val="24"/>
                <w:highlight w:val="none"/>
                <w:lang w:eastAsia="zh-CN"/>
              </w:rPr>
              <w:t xml:space="preserve">。</w:t>
            </w:r>
            <w:r/>
          </w:p>
          <w:p>
            <w:pPr>
              <w:ind w:left="0" w:firstLine="0"/>
              <w:jc w:val="both"/>
              <w:keepLines/>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center"/>
            <w:textDirection w:val="lrTb"/>
            <w:noWrap w:val="false"/>
          </w:tcPr>
          <w:p>
            <w:pPr>
              <w:ind w:lef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（三十）</w:t>
            </w:r>
            <w:r/>
          </w:p>
        </w:tc>
        <w:tc>
          <w:tcPr>
            <w:tcMar>
              <w:left w:w="108" w:type="dxa"/>
              <w:top w:w="0" w:type="dxa"/>
              <w:right w:w="108" w:type="dxa"/>
              <w:bottom w:w="0" w:type="dxa"/>
            </w:tcMar>
            <w:tcW w:w="8641" w:type="dxa"/>
            <w:vAlign w:val="center"/>
            <w:textDirection w:val="lrTb"/>
            <w:noWrap w:val="false"/>
          </w:tcPr>
          <w:p>
            <w:pPr>
              <w:ind w:firstLine="480"/>
              <w:rPr>
                <w:rFonts w:hint="eastAsia" w:ascii="宋体" w:hAnsi="宋体" w:eastAsia="宋体" w:cs="宋体"/>
                <w:color w:val="auto"/>
                <w:sz w:val="24"/>
                <w:szCs w:val="24"/>
                <w:highlight w:val="none"/>
              </w:rPr>
            </w:pPr>
            <w:r/>
            <w:bookmarkStart w:id="0" w:name="OLE_LINK4"/>
            <w:r/>
            <w:bookmarkStart w:id="1" w:name="OLE_LINK7"/>
            <w:r>
              <w:rPr>
                <w:rFonts w:hint="eastAsia" w:ascii="宋体" w:hAnsi="宋体" w:eastAsia="宋体" w:cs="宋体"/>
                <w:color w:val="auto"/>
                <w:sz w:val="24"/>
                <w:szCs w:val="24"/>
                <w:highlight w:val="none"/>
              </w:rPr>
              <w:t xml:space="preserve">启动异常低价投标审查后，评审委员会应当要求相关供应商在评标现场合理的时间内，通过“苏采云”系统（使用“CA数字证书”,加盖电子签章）提供</w:t>
            </w:r>
            <w:r>
              <w:rPr>
                <w:rFonts w:hint="eastAsia" w:ascii="宋体" w:hAnsi="宋体" w:eastAsia="宋体" w:cs="宋体"/>
                <w:b/>
                <w:color w:val="auto"/>
                <w:sz w:val="24"/>
                <w:szCs w:val="24"/>
                <w:highlight w:val="none"/>
              </w:rPr>
              <w:t xml:space="preserve">项目具体成本测算等与报价合理性相关的书面说明及相关证明材料</w:t>
            </w:r>
            <w:r>
              <w:rPr>
                <w:rFonts w:hint="eastAsia" w:ascii="宋体" w:hAnsi="宋体" w:eastAsia="宋体" w:cs="宋体"/>
                <w:color w:val="auto"/>
                <w:sz w:val="24"/>
                <w:szCs w:val="24"/>
                <w:highlight w:val="none"/>
              </w:rPr>
              <w:t xml:space="preserve">，对投标价格作出解释，由评审委员会</w:t>
            </w:r>
            <w:r>
              <w:rPr>
                <w:rFonts w:hint="eastAsia" w:ascii="宋体" w:hAnsi="宋体" w:eastAsia="宋体" w:cs="宋体"/>
                <w:b/>
                <w:color w:val="auto"/>
                <w:sz w:val="24"/>
                <w:szCs w:val="24"/>
                <w:highlight w:val="none"/>
              </w:rPr>
              <w:t xml:space="preserve">结合同类产品在主要电商平台的价格、该行业当地薪资水平等情况</w:t>
            </w:r>
            <w:r>
              <w:rPr>
                <w:rFonts w:hint="eastAsia" w:ascii="宋体" w:hAnsi="宋体" w:eastAsia="宋体" w:cs="宋体"/>
                <w:color w:val="auto"/>
                <w:sz w:val="24"/>
                <w:szCs w:val="24"/>
                <w:highlight w:val="none"/>
              </w:rPr>
              <w:t xml:space="preserve">，依据专业经验对供应商报价合理性进行判断。投标供应商</w:t>
            </w:r>
            <w:r>
              <w:rPr>
                <w:rFonts w:hint="eastAsia" w:ascii="宋体" w:hAnsi="宋体" w:eastAsia="宋体" w:cs="宋体"/>
                <w:b/>
                <w:color w:val="auto"/>
                <w:sz w:val="24"/>
                <w:szCs w:val="24"/>
                <w:highlight w:val="none"/>
              </w:rPr>
              <w:t xml:space="preserve">不提供书面说明、证明材料，或者提供的书面说明、证明材料不能证明其报价合理性的，评审委员会应当将其作为无效投标处理。</w:t>
            </w:r>
            <w:bookmarkEnd w:id="0"/>
            <w:r/>
            <w:bookmarkEnd w:id="1"/>
            <w:r/>
            <w:r/>
          </w:p>
          <w:p>
            <w:pPr>
              <w:ind w:firstLine="746"/>
              <w:spacing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特别说明：“苏采云”系统通过“江苏省政府采购一体化不见面开标大厅</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提醒投标人，投标人自行查看。投标人未及时查看或因自身原因导致未收到信息的，责任自负。</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center"/>
            <w:textDirection w:val="lrTb"/>
            <w:noWrap w:val="false"/>
          </w:tcPr>
          <w:p>
            <w:pPr>
              <w:ind w:left="0" w:firstLine="0"/>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67" w:type="dxa"/>
            <w:vAlign w:val="center"/>
            <w:textDirection w:val="lrTb"/>
            <w:noWrap w:val="false"/>
          </w:tcPr>
          <w:p>
            <w:pPr>
              <w:ind w:left="240" w:hanging="240"/>
              <w:jc w:val="left"/>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eastAsia="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：政府采购合同金额（合同总价）的</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%，详见《第五章  拟签订的合同文本》。</w:t>
            </w:r>
            <w:r/>
          </w:p>
        </w:tc>
      </w:tr>
      <w:tr>
        <w:trPr>
          <w:jc w:val="center"/>
          <w:trHeight w:val="756"/>
        </w:trPr>
        <w:tc>
          <w:tcPr>
            <w:tcMar>
              <w:left w:w="108" w:type="dxa"/>
              <w:top w:w="0" w:type="dxa"/>
              <w:right w:w="108" w:type="dxa"/>
              <w:bottom w:w="0" w:type="dxa"/>
            </w:tcMar>
            <w:tcW w:w="1367"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center"/>
            <w:textDirection w:val="lrTb"/>
            <w:noWrap w:val="false"/>
          </w:tcPr>
          <w:p>
            <w:pPr>
              <w:ind w:left="0" w:firstLine="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firstLine="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孟巍；</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0516-85187599 </w:t>
            </w:r>
            <w:r>
              <w:rPr>
                <w:rFonts w:hint="eastAsia" w:ascii="宋体" w:hAnsi="宋体" w:eastAsia="宋体" w:cs="宋体"/>
                <w:color w:val="auto"/>
                <w:sz w:val="24"/>
                <w:szCs w:val="24"/>
                <w:highlight w:val="none"/>
                <w:lang w:val="en-US" w:eastAsia="zh-CN"/>
              </w:rPr>
              <w:t xml:space="preserve">；</w:t>
            </w:r>
            <w:r/>
          </w:p>
          <w:p>
            <w:pPr>
              <w:ind w:left="0" w:firstLine="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eastAsia="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3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highlight w:val="none"/>
                <w:lang w:eastAsia="zh-CN"/>
              </w:rPr>
              <w:t xml:space="preserve">本</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8"/>
        <w:gridCol w:w="348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w:t>
            </w:r>
            <w:r>
              <w:rPr>
                <w:rFonts w:hint="eastAsia" w:ascii="宋体" w:hAnsi="宋体" w:cs="宋体"/>
                <w:color w:val="auto"/>
                <w:sz w:val="24"/>
                <w:szCs w:val="24"/>
                <w:highlight w:val="none"/>
                <w:lang w:eastAsia="zh-CN"/>
              </w:rPr>
              <w:t xml:space="preserve">450万</w:t>
            </w:r>
            <w:r>
              <w:rPr>
                <w:rFonts w:hint="eastAsia" w:ascii="宋体" w:hAnsi="宋体" w:eastAsia="宋体" w:cs="宋体"/>
                <w:color w:val="auto"/>
                <w:sz w:val="24"/>
                <w:szCs w:val="24"/>
                <w:highlight w:val="none"/>
              </w:rPr>
              <w:t xml:space="preserve">元(含1</w:t>
            </w:r>
            <w:r>
              <w:rPr>
                <w:rFonts w:hint="eastAsia" w:ascii="宋体" w:hAnsi="宋体" w:cs="宋体"/>
                <w:color w:val="auto"/>
                <w:sz w:val="24"/>
                <w:szCs w:val="24"/>
                <w:highlight w:val="none"/>
                <w:lang w:eastAsia="zh-CN"/>
              </w:rPr>
              <w:t xml:space="preserve">450万</w:t>
            </w:r>
            <w:r>
              <w:rPr>
                <w:rFonts w:hint="eastAsia" w:ascii="宋体" w:hAnsi="宋体" w:eastAsia="宋体" w:cs="宋体"/>
                <w:color w:val="auto"/>
                <w:sz w:val="24"/>
                <w:szCs w:val="24"/>
                <w:highlight w:val="none"/>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w:t>
            </w:r>
            <w:r>
              <w:rPr>
                <w:rFonts w:hint="eastAsia" w:ascii="宋体" w:hAnsi="宋体" w:cs="宋体"/>
                <w:color w:val="auto"/>
                <w:sz w:val="24"/>
                <w:szCs w:val="24"/>
                <w:highlight w:val="none"/>
                <w:lang w:eastAsia="zh-CN"/>
              </w:rPr>
              <w:t xml:space="preserve">450万</w:t>
            </w:r>
            <w:r>
              <w:rPr>
                <w:rFonts w:hint="eastAsia" w:ascii="宋体" w:hAnsi="宋体" w:eastAsia="宋体" w:cs="宋体"/>
                <w:color w:val="auto"/>
                <w:sz w:val="24"/>
                <w:szCs w:val="24"/>
                <w:highlight w:val="none"/>
              </w:rPr>
              <w:t xml:space="preserve">元(含5</w:t>
            </w:r>
            <w:r>
              <w:rPr>
                <w:rFonts w:hint="eastAsia" w:ascii="宋体" w:hAnsi="宋体" w:cs="宋体"/>
                <w:color w:val="auto"/>
                <w:sz w:val="24"/>
                <w:szCs w:val="24"/>
                <w:highlight w:val="none"/>
                <w:lang w:eastAsia="zh-CN"/>
              </w:rPr>
              <w:t xml:space="preserve">450万</w:t>
            </w:r>
            <w:r>
              <w:rPr>
                <w:rFonts w:hint="eastAsia" w:ascii="宋体" w:hAnsi="宋体" w:eastAsia="宋体" w:cs="宋体"/>
                <w:color w:val="auto"/>
                <w:sz w:val="24"/>
                <w:szCs w:val="24"/>
                <w:highlight w:val="none"/>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 费率（%）</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4.代理服务费应收取金额=代理服务费基准金额（按差额定率累进法计算）的合计数。</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360" w:lineRule="auto"/>
        <w:widowControl w:val="off"/>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w:t>
      </w:r>
      <w:r>
        <w:rPr>
          <w:rFonts w:hint="eastAsia" w:ascii="宋体" w:hAnsi="宋体" w:eastAsia="宋体" w:cs="宋体"/>
          <w:color w:val="auto"/>
          <w:sz w:val="24"/>
          <w:szCs w:val="24"/>
          <w:highlight w:val="none"/>
        </w:rPr>
        <w:t xml:space="preserve">上表为自行约定的代理服务费标准。</w:t>
      </w:r>
      <w:r/>
    </w:p>
    <w:p>
      <w:pPr>
        <w:ind w:left="0" w:firstLine="0"/>
        <w:jc w:val="left"/>
        <w:keepLines w:val="0"/>
        <w:keepNext w:val="0"/>
        <w:pageBreakBefore w:val="0"/>
        <w:spacing w:line="360" w:lineRule="auto"/>
        <w:widowControl w:val="off"/>
        <w:rPr>
          <w:rFonts w:hint="eastAsia" w:ascii="宋体" w:hAnsi="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8</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根据苏财规[2026]1号文件有关规定，因采购人预算金额包含代理费，本项目向中标人收取代理费，各投标人在投标报价时应充分考虑在内。</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账户信息：</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94"/>
        <w:numPr>
          <w:ilvl w:val="0"/>
          <w:numId w:val="2"/>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tbl>
      <w:tblPr>
        <w:tblStyle w:val="804"/>
        <w:tblW w:w="5567" w:type="pct"/>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281"/>
        <w:gridCol w:w="7996"/>
      </w:tblGrid>
      <w:tr>
        <w:trPr>
          <w:trHeight w:val="437"/>
          <w:tblHeader/>
        </w:trPr>
        <w:tc>
          <w:tcPr>
            <w:tcW w:w="373" w:type="pct"/>
            <w:vAlign w:val="center"/>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序号</w:t>
            </w:r>
            <w:r/>
          </w:p>
        </w:tc>
        <w:tc>
          <w:tcPr>
            <w:tcW w:w="639" w:type="pct"/>
            <w:vAlign w:val="center"/>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lang w:eastAsia="zh-CN"/>
                <w14:ligatures w14:val="none"/>
              </w:rPr>
              <w:t xml:space="preserve">项目</w:t>
            </w:r>
            <w:r/>
          </w:p>
        </w:tc>
        <w:tc>
          <w:tcPr>
            <w:tcW w:w="3987" w:type="pct"/>
            <w:vAlign w:val="center"/>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14:ligatures w14:val="none"/>
              </w:rPr>
            </w:pPr>
            <w:r>
              <w:rPr>
                <w:rFonts w:hint="eastAsia" w:ascii="宋体" w:hAnsi="宋体" w:eastAsia="宋体" w:cs="宋体"/>
                <w:b/>
                <w:bCs/>
                <w:color w:val="auto"/>
                <w:sz w:val="24"/>
                <w:szCs w:val="24"/>
                <w:highlight w:val="none"/>
                <w:lang w:eastAsia="zh-CN"/>
                <w14:ligatures w14:val="none"/>
              </w:rPr>
              <w:t xml:space="preserve">评分办法</w:t>
            </w:r>
            <w:r/>
          </w:p>
        </w:tc>
      </w:tr>
      <w:tr>
        <w:trPr>
          <w:trHeight w:val="3083"/>
        </w:trPr>
        <w:tc>
          <w:tcPr>
            <w:tcW w:w="373" w:type="pct"/>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c>
          <w:tcPr>
            <w:tcW w:w="639"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投标报价</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10分</w:t>
            </w:r>
            <w:r>
              <w:rPr>
                <w:rFonts w:hint="eastAsia" w:ascii="宋体" w:hAnsi="宋体" w:eastAsia="宋体" w:cs="宋体"/>
                <w:color w:val="auto"/>
                <w:sz w:val="24"/>
                <w:szCs w:val="24"/>
                <w:highlight w:val="none"/>
                <w:lang w:eastAsia="zh-CN"/>
                <w14:ligatures w14:val="none"/>
              </w:rPr>
              <w:t xml:space="preserve">）</w:t>
            </w:r>
            <w:r/>
          </w:p>
        </w:tc>
        <w:tc>
          <w:tcPr>
            <w:tcW w:w="3987"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采用低价优先法计算，即满足招标文件要求且投标人评审价格最低的投标报价为评标基准价，其价格得分为满分。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各投标人价格得分=最低报价（投标人的最低评审价格）÷各投标人评审价格×10</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strike w:val="0"/>
                <w:color w:val="auto"/>
                <w:sz w:val="24"/>
                <w:szCs w:val="24"/>
                <w:highlight w:val="none"/>
                <w14:ligatures w14:val="none"/>
              </w:rPr>
              <w:t xml:space="preserve">备注：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tc>
      </w:tr>
      <w:tr>
        <w:trPr>
          <w:trHeight w:val="1813"/>
        </w:trPr>
        <w:tc>
          <w:tcPr>
            <w:tcW w:w="373" w:type="pct"/>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w:t>
            </w:r>
            <w:r/>
          </w:p>
        </w:tc>
        <w:tc>
          <w:tcPr>
            <w:tcW w:w="639"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技术参数响应度</w:t>
            </w:r>
            <w:r>
              <w:rPr>
                <w:rFonts w:hint="eastAsia" w:ascii="宋体" w:hAnsi="宋体" w:eastAsia="宋体" w:cs="宋体"/>
                <w:color w:val="auto"/>
                <w:sz w:val="24"/>
                <w:szCs w:val="24"/>
                <w:highlight w:val="none"/>
                <w:lang w:eastAsia="zh-CN"/>
                <w14:ligatures w14:val="none"/>
              </w:rPr>
              <w:t xml:space="preserve">（</w:t>
            </w:r>
            <w:r>
              <w:rPr>
                <w:rFonts w:hint="eastAsia" w:ascii="宋体" w:hAnsi="宋体" w:cs="宋体"/>
                <w:color w:val="auto"/>
                <w:sz w:val="24"/>
                <w:szCs w:val="24"/>
                <w:highlight w:val="none"/>
                <w:lang w:val="en-US" w:eastAsia="zh-CN"/>
                <w14:ligatures w14:val="none"/>
              </w:rPr>
              <w:t xml:space="preserve">38</w:t>
            </w:r>
            <w:r>
              <w:rPr>
                <w:rFonts w:hint="eastAsia" w:ascii="宋体" w:hAnsi="宋体" w:eastAsia="宋体" w:cs="宋体"/>
                <w:color w:val="auto"/>
                <w:sz w:val="24"/>
                <w:szCs w:val="24"/>
                <w:highlight w:val="none"/>
                <w:lang w:val="en-US" w:eastAsia="zh-CN"/>
                <w14:ligatures w14:val="none"/>
              </w:rPr>
              <w:t xml:space="preserve">分</w:t>
            </w:r>
            <w:r>
              <w:rPr>
                <w:rFonts w:hint="eastAsia" w:ascii="宋体" w:hAnsi="宋体" w:eastAsia="宋体" w:cs="宋体"/>
                <w:color w:val="auto"/>
                <w:sz w:val="24"/>
                <w:szCs w:val="24"/>
                <w:highlight w:val="none"/>
                <w:lang w:eastAsia="zh-CN"/>
                <w14:ligatures w14:val="none"/>
              </w:rPr>
              <w:t xml:space="preserve">）</w:t>
            </w:r>
            <w:r/>
          </w:p>
        </w:tc>
        <w:tc>
          <w:tcPr>
            <w:tcW w:w="3987"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b w:val="0"/>
                <w:bCs/>
                <w:color w:val="auto"/>
                <w:sz w:val="24"/>
                <w:szCs w:val="24"/>
                <w:highlight w:val="none"/>
                <w14:ligatures w14:val="none"/>
              </w:rPr>
              <w:t xml:space="preserve">依据投标文件中偏离表、</w:t>
            </w:r>
            <w:r>
              <w:rPr>
                <w:rFonts w:hint="eastAsia" w:ascii="宋体" w:hAnsi="宋体" w:eastAsia="宋体" w:cs="宋体"/>
                <w:b w:val="0"/>
                <w:bCs/>
                <w:color w:val="auto"/>
                <w:sz w:val="24"/>
                <w:szCs w:val="24"/>
                <w:highlight w:val="none"/>
                <w:lang w:val="en-US" w:eastAsia="zh-CN"/>
                <w14:ligatures w14:val="none"/>
              </w:rPr>
              <w:t xml:space="preserve">相关技术材料说明等</w:t>
            </w:r>
            <w:r>
              <w:rPr>
                <w:rFonts w:hint="eastAsia" w:ascii="宋体" w:hAnsi="宋体" w:eastAsia="宋体" w:cs="宋体"/>
                <w:b w:val="0"/>
                <w:bCs/>
                <w:color w:val="auto"/>
                <w:sz w:val="24"/>
                <w:szCs w:val="24"/>
                <w:highlight w:val="none"/>
                <w14:ligatures w14:val="none"/>
              </w:rPr>
              <w:t xml:space="preserve">对招标文件《第六章 采购需求》中</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b w:val="0"/>
                <w:bCs/>
                <w:color w:val="auto"/>
                <w:sz w:val="24"/>
                <w:szCs w:val="24"/>
                <w:highlight w:val="none"/>
                <w14:ligatures w14:val="none"/>
              </w:rPr>
              <w:t xml:space="preserve">满足程度进行评分。</w:t>
            </w:r>
            <w:r>
              <w:rPr>
                <w:rFonts w:hint="eastAsia" w:ascii="宋体" w:hAnsi="宋体" w:eastAsia="宋体" w:cs="宋体"/>
                <w:color w:val="auto"/>
                <w:sz w:val="24"/>
                <w:szCs w:val="24"/>
                <w:highlight w:val="none"/>
                <w14:ligatures w14:val="none"/>
              </w:rPr>
              <w:t xml:space="preserve">完全满足招标文件技术</w:t>
            </w:r>
            <w:r>
              <w:rPr>
                <w:rFonts w:hint="eastAsia" w:ascii="宋体" w:hAnsi="宋体" w:eastAsia="宋体" w:cs="宋体"/>
                <w:color w:val="auto"/>
                <w:sz w:val="24"/>
                <w:szCs w:val="24"/>
                <w:highlight w:val="none"/>
                <w:lang w:val="en-US" w:eastAsia="zh-CN"/>
                <w14:ligatures w14:val="none"/>
              </w:rPr>
              <w:t xml:space="preserve">功能</w:t>
            </w:r>
            <w:r>
              <w:rPr>
                <w:rFonts w:hint="eastAsia" w:ascii="宋体" w:hAnsi="宋体" w:eastAsia="宋体" w:cs="宋体"/>
                <w:color w:val="auto"/>
                <w:sz w:val="24"/>
                <w:szCs w:val="24"/>
                <w:highlight w:val="none"/>
                <w14:ligatures w14:val="none"/>
              </w:rPr>
              <w:t xml:space="preserve">参数要求的得</w:t>
            </w:r>
            <w:r>
              <w:rPr>
                <w:rFonts w:hint="eastAsia" w:ascii="宋体" w:hAnsi="宋体" w:cs="宋体"/>
                <w:color w:val="auto"/>
                <w:sz w:val="24"/>
                <w:szCs w:val="24"/>
                <w:highlight w:val="none"/>
                <w:lang w:val="en-US" w:eastAsia="zh-CN"/>
                <w14:ligatures w14:val="none"/>
              </w:rPr>
              <w:t xml:space="preserve">38</w:t>
            </w:r>
            <w:r>
              <w:rPr>
                <w:rFonts w:hint="eastAsia" w:ascii="宋体" w:hAnsi="宋体" w:eastAsia="宋体" w:cs="宋体"/>
                <w:color w:val="auto"/>
                <w:sz w:val="24"/>
                <w:szCs w:val="24"/>
                <w:highlight w:val="none"/>
                <w14:ligatures w14:val="none"/>
              </w:rPr>
              <w:t xml:space="preserve">分。每一项</w:t>
            </w:r>
            <w:r>
              <w:rPr>
                <w:rFonts w:hint="eastAsia" w:ascii="宋体" w:hAnsi="宋体" w:eastAsia="宋体" w:cs="宋体"/>
                <w:color w:val="auto"/>
                <w:sz w:val="24"/>
                <w:szCs w:val="24"/>
                <w:highlight w:val="none"/>
                <w:lang w:val="en-US" w:eastAsia="zh-CN"/>
                <w14:ligatures w14:val="none"/>
              </w:rPr>
              <w:t xml:space="preserve">加“</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w:t>
            </w:r>
            <w:r>
              <w:rPr>
                <w:rFonts w:hint="eastAsia" w:ascii="宋体" w:hAnsi="宋体" w:eastAsia="宋体" w:cs="宋体"/>
                <w:color w:val="auto"/>
                <w:sz w:val="24"/>
                <w:szCs w:val="24"/>
                <w:highlight w:val="none"/>
                <w14:ligatures w14:val="none"/>
              </w:rPr>
              <w:t xml:space="preserve">响应指标不满足或负偏离扣</w:t>
            </w:r>
            <w:r>
              <w:rPr>
                <w:rFonts w:hint="eastAsia" w:ascii="宋体" w:hAnsi="宋体" w:eastAsia="宋体" w:cs="宋体"/>
                <w:color w:val="auto"/>
                <w:sz w:val="24"/>
                <w:szCs w:val="24"/>
                <w:highlight w:val="none"/>
                <w:lang w:val="en-US" w:eastAsia="zh-CN"/>
                <w14:ligatures w14:val="none"/>
              </w:rPr>
              <w:t xml:space="preserve">1</w:t>
            </w:r>
            <w:r>
              <w:rPr>
                <w:rFonts w:hint="eastAsia" w:ascii="宋体" w:hAnsi="宋体" w:eastAsia="宋体" w:cs="宋体"/>
                <w:color w:val="auto"/>
                <w:sz w:val="24"/>
                <w:szCs w:val="24"/>
                <w:highlight w:val="none"/>
                <w14:ligatures w14:val="none"/>
              </w:rPr>
              <w:t xml:space="preserve">分</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扣完为止。</w:t>
            </w:r>
            <w:r/>
          </w:p>
          <w:p>
            <w:pPr>
              <w:ind w:firstLine="0"/>
              <w:jc w:val="left"/>
              <w:spacing w:line="240" w:lineRule="auto"/>
              <w:widowControl/>
              <w:rPr>
                <w:rFonts w:hint="eastAsia" w:ascii="Calibri" w:hAnsi="Calibri" w:eastAsia="宋体" w:cs="Calibri"/>
                <w:color w:val="auto"/>
                <w:sz w:val="21"/>
                <w:szCs w:val="22"/>
                <w:highlight w:val="none"/>
                <w:lang w:eastAsia="zh-CN"/>
                <w14:ligatures w14:val="none"/>
              </w:rPr>
            </w:pPr>
            <w:r>
              <w:rPr>
                <w:rFonts w:hint="eastAsia" w:ascii="宋体" w:hAnsi="宋体" w:eastAsia="宋体" w:cs="宋体"/>
                <w:color w:val="auto"/>
                <w:sz w:val="24"/>
                <w:szCs w:val="24"/>
                <w:highlight w:val="none"/>
                <w14:ligatures w14:val="none"/>
              </w:rPr>
              <w:t xml:space="preserve">招标文件技术参数中加“</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”标志的为重要响应指标，“▲”</w:t>
            </w:r>
            <w:r>
              <w:rPr>
                <w:rFonts w:hint="eastAsia" w:ascii="宋体" w:hAnsi="宋体" w:cs="宋体"/>
                <w:color w:val="auto"/>
                <w:sz w:val="24"/>
                <w:szCs w:val="24"/>
                <w:highlight w:val="none"/>
                <w:lang w:eastAsia="zh-CN"/>
                <w14:ligatures w14:val="none"/>
              </w:rPr>
              <w:t xml:space="preserve">的</w:t>
            </w:r>
            <w:r>
              <w:rPr>
                <w:rFonts w:hint="eastAsia" w:ascii="宋体" w:hAnsi="宋体" w:eastAsia="宋体" w:cs="宋体"/>
                <w:color w:val="auto"/>
                <w:sz w:val="24"/>
                <w:szCs w:val="24"/>
                <w:highlight w:val="none"/>
                <w14:ligatures w14:val="none"/>
              </w:rPr>
              <w:t xml:space="preserve">需提供</w:t>
            </w:r>
            <w:r>
              <w:rPr>
                <w:rFonts w:hint="eastAsia" w:ascii="宋体" w:hAnsi="宋体" w:eastAsia="宋体" w:cs="宋体"/>
                <w:color w:val="auto"/>
                <w:sz w:val="24"/>
                <w:szCs w:val="24"/>
                <w:highlight w:val="none"/>
                <w:lang w:val="en-US" w:eastAsia="zh-CN"/>
                <w14:ligatures w14:val="none"/>
              </w:rPr>
              <w:t xml:space="preserve">功能</w:t>
            </w:r>
            <w:r>
              <w:rPr>
                <w:rFonts w:hint="eastAsia" w:ascii="宋体" w:hAnsi="宋体" w:eastAsia="宋体" w:cs="宋体"/>
                <w:color w:val="auto"/>
                <w:sz w:val="24"/>
                <w:szCs w:val="24"/>
                <w:highlight w:val="none"/>
                <w14:ligatures w14:val="none"/>
              </w:rPr>
              <w:t xml:space="preserve">截图证明</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b/>
                <w:bCs/>
                <w:color w:val="auto"/>
                <w:sz w:val="24"/>
                <w:szCs w:val="24"/>
                <w:highlight w:val="none"/>
                <w14:ligatures w14:val="none"/>
              </w:rPr>
              <w:t xml:space="preserve">证明材料须按参数顺序编制索引目录并逐条对应提供功能截图，未提供索引目录导致截图与参数不对应无法核对的，视为负偏离</w:t>
            </w:r>
            <w:r>
              <w:rPr>
                <w:rFonts w:hint="eastAsia" w:ascii="宋体" w:hAnsi="宋体" w:eastAsia="宋体" w:cs="宋体"/>
                <w:b/>
                <w:bCs/>
                <w:color w:val="auto"/>
                <w:sz w:val="24"/>
                <w:szCs w:val="24"/>
                <w:highlight w:val="none"/>
                <w:lang w:eastAsia="zh-CN"/>
                <w14:ligatures w14:val="none"/>
              </w:rPr>
              <w:t xml:space="preserve">，</w:t>
            </w:r>
            <w:r>
              <w:rPr>
                <w:rFonts w:hint="eastAsia" w:ascii="宋体" w:hAnsi="宋体" w:eastAsia="宋体" w:cs="宋体"/>
                <w:b/>
                <w:bCs/>
                <w:color w:val="auto"/>
                <w:sz w:val="24"/>
                <w:szCs w:val="24"/>
                <w:highlight w:val="none"/>
                <w14:ligatures w14:val="none"/>
              </w:rPr>
              <w:t xml:space="preserve">不予计分</w:t>
            </w:r>
            <w:r>
              <w:rPr>
                <w:rFonts w:hint="eastAsia" w:ascii="宋体" w:hAnsi="宋体" w:eastAsia="宋体" w:cs="宋体"/>
                <w:b/>
                <w:bCs/>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eastAsia="zh-CN"/>
                <w14:ligatures w14:val="none"/>
              </w:rPr>
              <w:t xml:space="preserve">未提供证明材料的</w:t>
            </w:r>
            <w:r>
              <w:rPr>
                <w:rFonts w:hint="eastAsia" w:ascii="宋体" w:hAnsi="宋体" w:eastAsia="宋体" w:cs="宋体"/>
                <w:color w:val="auto"/>
                <w:sz w:val="24"/>
                <w:szCs w:val="24"/>
                <w:highlight w:val="none"/>
                <w14:ligatures w14:val="none"/>
              </w:rPr>
              <w:t xml:space="preserve">，视为负偏离</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不予计分</w:t>
            </w:r>
            <w:r>
              <w:rPr>
                <w:rFonts w:hint="eastAsia" w:ascii="宋体" w:hAnsi="宋体" w:eastAsia="宋体" w:cs="宋体"/>
                <w:color w:val="auto"/>
                <w:sz w:val="24"/>
                <w:szCs w:val="24"/>
                <w:highlight w:val="none"/>
                <w:lang w:eastAsia="zh-CN"/>
                <w14:ligatures w14:val="none"/>
              </w:rPr>
              <w:t xml:space="preserve">。</w:t>
            </w:r>
            <w:r/>
          </w:p>
        </w:tc>
      </w:tr>
      <w:tr>
        <w:trPr>
          <w:trHeight w:val="1553"/>
        </w:trPr>
        <w:tc>
          <w:tcPr>
            <w:shd w:val="clear" w:color="auto" w:fill="auto"/>
            <w:tcW w:w="373" w:type="pct"/>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14:ligatures w14:val="none"/>
              </w:rPr>
              <w:t xml:space="preserve">3</w:t>
            </w:r>
            <w:r/>
          </w:p>
        </w:tc>
        <w:tc>
          <w:tcPr>
            <w:shd w:val="clear" w:color="auto" w:fill="auto"/>
            <w:tcW w:w="639"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14:ligatures w14:val="none"/>
              </w:rPr>
              <w:t xml:space="preserve">业绩情况</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4分</w:t>
            </w:r>
            <w:r>
              <w:rPr>
                <w:rFonts w:hint="eastAsia" w:ascii="宋体" w:hAnsi="宋体" w:eastAsia="宋体" w:cs="宋体"/>
                <w:color w:val="auto"/>
                <w:sz w:val="24"/>
                <w:szCs w:val="24"/>
                <w:highlight w:val="none"/>
                <w:lang w:eastAsia="zh-CN"/>
                <w14:ligatures w14:val="none"/>
              </w:rPr>
              <w:t xml:space="preserve">）</w:t>
            </w:r>
            <w:r/>
          </w:p>
        </w:tc>
        <w:tc>
          <w:tcPr>
            <w:shd w:val="clear" w:color="auto" w:fill="auto"/>
            <w:tcW w:w="3987"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投标</w:t>
            </w:r>
            <w:r>
              <w:rPr>
                <w:rFonts w:hint="eastAsia" w:ascii="宋体" w:hAnsi="宋体" w:eastAsia="宋体" w:cs="宋体"/>
                <w:color w:val="auto"/>
                <w:sz w:val="24"/>
                <w:szCs w:val="24"/>
                <w:highlight w:val="none"/>
                <w:lang w:eastAsia="zh-CN"/>
                <w14:ligatures w14:val="none"/>
              </w:rPr>
              <w:t xml:space="preserve">人自202</w:t>
            </w:r>
            <w:r>
              <w:rPr>
                <w:rFonts w:hint="eastAsia" w:ascii="宋体" w:hAnsi="宋体" w:eastAsia="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lang w:eastAsia="zh-CN"/>
                <w14:ligatures w14:val="none"/>
              </w:rPr>
              <w:t xml:space="preserve">年1月1日以来（时间以合同签订时间为准），合同内容为数据</w:t>
            </w:r>
            <w:r>
              <w:rPr>
                <w:rFonts w:hint="eastAsia" w:ascii="宋体" w:hAnsi="宋体" w:eastAsia="宋体" w:cs="宋体"/>
                <w:color w:val="auto"/>
                <w:sz w:val="24"/>
                <w:szCs w:val="24"/>
                <w:highlight w:val="none"/>
                <w:lang w:val="en-US" w:eastAsia="zh-CN"/>
                <w14:ligatures w14:val="none"/>
              </w:rPr>
              <w:t xml:space="preserve">治理或</w:t>
            </w:r>
            <w:r>
              <w:rPr>
                <w:rFonts w:hint="eastAsia" w:ascii="宋体" w:hAnsi="宋体" w:eastAsia="宋体" w:cs="宋体"/>
                <w:color w:val="auto"/>
                <w:sz w:val="24"/>
                <w:szCs w:val="24"/>
                <w:highlight w:val="none"/>
                <w:lang w:eastAsia="zh-CN"/>
                <w14:ligatures w14:val="none"/>
              </w:rPr>
              <w:t xml:space="preserve">数据资产</w:t>
            </w:r>
            <w:r>
              <w:rPr>
                <w:rFonts w:hint="eastAsia" w:ascii="宋体" w:hAnsi="宋体" w:eastAsia="宋体" w:cs="宋体"/>
                <w:color w:val="auto"/>
                <w:sz w:val="24"/>
                <w:szCs w:val="24"/>
                <w:highlight w:val="none"/>
                <w:lang w:val="en-US" w:eastAsia="zh-CN"/>
                <w14:ligatures w14:val="none"/>
              </w:rPr>
              <w:t xml:space="preserve">管理平台或运营管理平台</w:t>
            </w:r>
            <w:r>
              <w:rPr>
                <w:rFonts w:hint="eastAsia" w:ascii="宋体" w:hAnsi="宋体" w:eastAsia="宋体" w:cs="宋体"/>
                <w:color w:val="auto"/>
                <w:sz w:val="24"/>
                <w:szCs w:val="24"/>
                <w:highlight w:val="none"/>
                <w:lang w:eastAsia="zh-CN"/>
                <w14:ligatures w14:val="none"/>
              </w:rPr>
              <w:t xml:space="preserve">项目相类似的合同，每</w:t>
            </w:r>
            <w:r>
              <w:rPr>
                <w:rFonts w:hint="eastAsia" w:ascii="宋体" w:hAnsi="宋体" w:cs="宋体"/>
                <w:color w:val="auto"/>
                <w:sz w:val="24"/>
                <w:szCs w:val="24"/>
                <w:highlight w:val="none"/>
                <w:lang w:eastAsia="zh-CN"/>
                <w14:ligatures w14:val="none"/>
              </w:rPr>
              <w:t xml:space="preserve">提供一</w:t>
            </w:r>
            <w:r>
              <w:rPr>
                <w:rFonts w:hint="eastAsia" w:ascii="宋体" w:hAnsi="宋体" w:eastAsia="宋体" w:cs="宋体"/>
                <w:color w:val="auto"/>
                <w:sz w:val="24"/>
                <w:szCs w:val="24"/>
                <w:highlight w:val="none"/>
                <w:lang w:eastAsia="zh-CN"/>
                <w14:ligatures w14:val="none"/>
              </w:rPr>
              <w:t xml:space="preserve">项</w:t>
            </w:r>
            <w:r>
              <w:rPr>
                <w:rFonts w:hint="eastAsia" w:ascii="宋体" w:hAnsi="宋体" w:cs="宋体"/>
                <w:color w:val="auto"/>
                <w:sz w:val="24"/>
                <w:szCs w:val="24"/>
                <w:highlight w:val="none"/>
                <w:lang w:eastAsia="zh-CN"/>
                <w14:ligatures w14:val="none"/>
              </w:rPr>
              <w:t xml:space="preserve">合同业绩</w:t>
            </w:r>
            <w:r>
              <w:rPr>
                <w:rFonts w:hint="eastAsia" w:ascii="宋体" w:hAnsi="宋体" w:eastAsia="宋体" w:cs="宋体"/>
                <w:color w:val="auto"/>
                <w:sz w:val="24"/>
                <w:szCs w:val="24"/>
                <w:highlight w:val="none"/>
                <w:lang w:eastAsia="zh-CN"/>
                <w14:ligatures w14:val="none"/>
              </w:rPr>
              <w:t xml:space="preserve">得2分，本项最高得4分。</w:t>
            </w:r>
            <w:r/>
          </w:p>
          <w:p>
            <w:pPr>
              <w:ind w:firstLine="0"/>
              <w:jc w:val="left"/>
              <w:spacing w:line="240" w:lineRule="auto"/>
              <w:widowControl/>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eastAsia="zh-CN"/>
                <w14:ligatures w14:val="none"/>
              </w:rPr>
              <w:t xml:space="preserve">注：投标文件中提供合同原件扫描件并加盖电子签章，未提供或提供内容模糊不清该项不得分。</w:t>
            </w:r>
            <w:r/>
          </w:p>
        </w:tc>
      </w:tr>
      <w:tr>
        <w:trPr>
          <w:trHeight w:val="90"/>
        </w:trPr>
        <w:tc>
          <w:tcPr>
            <w:tcW w:w="373" w:type="pct"/>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4</w:t>
            </w:r>
            <w:r/>
          </w:p>
        </w:tc>
        <w:tc>
          <w:tcPr>
            <w:tcW w:w="639"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成熟度及可靠性</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4分</w:t>
            </w:r>
            <w:r>
              <w:rPr>
                <w:rFonts w:hint="eastAsia" w:ascii="宋体" w:hAnsi="宋体" w:eastAsia="宋体" w:cs="宋体"/>
                <w:color w:val="auto"/>
                <w:sz w:val="24"/>
                <w:szCs w:val="24"/>
                <w:highlight w:val="none"/>
                <w:lang w:eastAsia="zh-CN"/>
                <w14:ligatures w14:val="none"/>
              </w:rPr>
              <w:t xml:space="preserve">）</w:t>
            </w:r>
            <w:r/>
          </w:p>
        </w:tc>
        <w:tc>
          <w:tcPr>
            <w:tcW w:w="3987"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为保证产品质量、成熟度及可靠性，投标人需提供由第三方测评机构出具的同类软件产品检测报告</w:t>
            </w:r>
            <w:r>
              <w:rPr>
                <w:rFonts w:hint="eastAsia" w:ascii="宋体" w:hAnsi="宋体" w:eastAsia="宋体" w:cs="宋体"/>
                <w:color w:val="auto"/>
                <w:sz w:val="24"/>
                <w:szCs w:val="24"/>
                <w:highlight w:val="none"/>
                <w:lang w:eastAsia="zh-CN"/>
                <w14:ligatures w14:val="none"/>
              </w:rPr>
              <w:t xml:space="preserve">扫描件</w:t>
            </w: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1、提供</w:t>
            </w:r>
            <w:r>
              <w:rPr>
                <w:rFonts w:hint="eastAsia" w:ascii="宋体" w:hAnsi="宋体" w:eastAsia="宋体" w:cs="宋体"/>
                <w:color w:val="auto"/>
                <w:sz w:val="24"/>
                <w:szCs w:val="24"/>
                <w:highlight w:val="none"/>
                <w14:ligatures w14:val="none"/>
              </w:rPr>
              <w:t xml:space="preserve">第三方测评机构</w:t>
            </w:r>
            <w:r>
              <w:rPr>
                <w:rFonts w:hint="eastAsia" w:ascii="宋体" w:hAnsi="宋体" w:eastAsia="宋体" w:cs="宋体"/>
                <w:color w:val="auto"/>
                <w:sz w:val="24"/>
                <w:szCs w:val="24"/>
                <w:highlight w:val="none"/>
                <w14:ligatures w14:val="none"/>
              </w:rPr>
              <w:t xml:space="preserve">出具的主数据及医学术语软件测试报告，测试报告中需测试并通过机构信息管理、人员信息管理、代码系统管理、归一对照或映射管理、主数据流程、数据同步、模型管理等功能。</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2、提供第三方测评机构出具</w:t>
            </w:r>
            <w:r>
              <w:rPr>
                <w:rFonts w:hint="eastAsia" w:ascii="宋体" w:hAnsi="宋体" w:eastAsia="宋体" w:cs="宋体"/>
                <w:color w:val="auto"/>
                <w:sz w:val="24"/>
                <w:szCs w:val="24"/>
                <w:highlight w:val="none"/>
                <w14:ligatures w14:val="none"/>
              </w:rPr>
              <w:t xml:space="preserve">的医院运</w:t>
            </w:r>
            <w:r>
              <w:rPr>
                <w:rFonts w:hint="eastAsia" w:ascii="宋体" w:hAnsi="宋体" w:eastAsia="宋体" w:cs="宋体"/>
                <w:color w:val="auto"/>
                <w:sz w:val="24"/>
                <w:szCs w:val="24"/>
                <w:highlight w:val="none"/>
                <w14:ligatures w14:val="none"/>
              </w:rPr>
              <w:t xml:space="preserve">营管理平台软件测试报告，测试报告中需测试并通过科室分析展示、指标填报管理、专题管理功能。</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3、提供第三方测评机构出具的数据治理平台软件产品测试报告，需对数据治理相关功能进行测试并能够通过测试。</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4、提供第三方测评机构出具的运营数据中心软件测试报告，测试报告中需测试并通过菜单权限、数据权限、指标管理平台、模板管理等功能。</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以上材料须加盖</w:t>
            </w:r>
            <w:r>
              <w:rPr>
                <w:rFonts w:hint="eastAsia" w:ascii="宋体" w:hAnsi="宋体" w:cs="宋体"/>
                <w:color w:val="auto"/>
                <w:sz w:val="24"/>
                <w:szCs w:val="24"/>
                <w:highlight w:val="none"/>
                <w:lang w:eastAsia="zh-CN"/>
                <w14:ligatures w14:val="none"/>
              </w:rPr>
              <w:t xml:space="preserve">投标人</w:t>
            </w:r>
            <w:r>
              <w:rPr>
                <w:rFonts w:hint="eastAsia" w:ascii="宋体" w:hAnsi="宋体" w:eastAsia="宋体" w:cs="宋体"/>
                <w:color w:val="auto"/>
                <w:sz w:val="24"/>
                <w:szCs w:val="24"/>
                <w:highlight w:val="none"/>
                <w:lang w:eastAsia="zh-CN"/>
                <w14:ligatures w14:val="none"/>
              </w:rPr>
              <w:t xml:space="preserve">电子签章</w:t>
            </w:r>
            <w:r>
              <w:rPr>
                <w:rFonts w:hint="eastAsia" w:ascii="宋体" w:hAnsi="宋体" w:eastAsia="宋体" w:cs="宋体"/>
                <w:color w:val="auto"/>
                <w:sz w:val="24"/>
                <w:szCs w:val="24"/>
                <w:highlight w:val="none"/>
                <w14:ligatures w14:val="none"/>
              </w:rPr>
              <w:t xml:space="preserve">，每提供</w:t>
            </w:r>
            <w:r>
              <w:rPr>
                <w:rFonts w:hint="eastAsia" w:ascii="宋体" w:hAnsi="宋体" w:cs="宋体"/>
                <w:color w:val="auto"/>
                <w:sz w:val="24"/>
                <w:szCs w:val="24"/>
                <w:highlight w:val="none"/>
                <w:lang w:eastAsia="zh-CN"/>
                <w14:ligatures w14:val="none"/>
              </w:rPr>
              <w:t xml:space="preserve">一</w:t>
            </w:r>
            <w:r>
              <w:rPr>
                <w:rFonts w:hint="eastAsia" w:ascii="宋体" w:hAnsi="宋体" w:eastAsia="宋体" w:cs="宋体"/>
                <w:color w:val="auto"/>
                <w:sz w:val="24"/>
                <w:szCs w:val="24"/>
                <w:highlight w:val="none"/>
                <w14:ligatures w14:val="none"/>
              </w:rPr>
              <w:t xml:space="preserve">项得1分，本项最高得4分。</w:t>
            </w:r>
            <w:r/>
          </w:p>
        </w:tc>
      </w:tr>
      <w:tr>
        <w:trPr>
          <w:trHeight w:val="1842"/>
        </w:trPr>
        <w:tc>
          <w:tcPr>
            <w:tcW w:w="373" w:type="pct"/>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5</w:t>
            </w:r>
            <w:r/>
          </w:p>
        </w:tc>
        <w:tc>
          <w:tcPr>
            <w:tcW w:w="639"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自主知识产权</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3分</w:t>
            </w:r>
            <w:r>
              <w:rPr>
                <w:rFonts w:hint="eastAsia" w:ascii="宋体" w:hAnsi="宋体" w:eastAsia="宋体" w:cs="宋体"/>
                <w:color w:val="auto"/>
                <w:sz w:val="24"/>
                <w:szCs w:val="24"/>
                <w:highlight w:val="none"/>
                <w:lang w:eastAsia="zh-CN"/>
                <w14:ligatures w14:val="none"/>
              </w:rPr>
              <w:t xml:space="preserve">）</w:t>
            </w:r>
            <w:r/>
          </w:p>
        </w:tc>
        <w:tc>
          <w:tcPr>
            <w:tcW w:w="3987"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投标人具备与本项目内容相关的</w:t>
            </w:r>
            <w:r>
              <w:rPr>
                <w:rFonts w:hint="eastAsia" w:ascii="宋体" w:hAnsi="宋体" w:eastAsia="宋体" w:cs="宋体"/>
                <w:color w:val="auto"/>
                <w:sz w:val="24"/>
                <w:szCs w:val="24"/>
                <w:highlight w:val="none"/>
                <w:lang w:eastAsia="zh-CN"/>
                <w14:ligatures w14:val="none"/>
              </w:rPr>
              <w:t xml:space="preserve">以下</w:t>
            </w:r>
            <w:r>
              <w:rPr>
                <w:rFonts w:hint="eastAsia" w:ascii="宋体" w:hAnsi="宋体" w:eastAsia="宋体" w:cs="宋体"/>
                <w:color w:val="auto"/>
                <w:sz w:val="24"/>
                <w:szCs w:val="24"/>
                <w:highlight w:val="none"/>
                <w14:ligatures w14:val="none"/>
              </w:rPr>
              <w:t xml:space="preserve">计算机软件著作权登记证书，每提供一个类别得</w:t>
            </w:r>
            <w:r>
              <w:rPr>
                <w:rFonts w:hint="eastAsia" w:ascii="宋体" w:hAnsi="宋体" w:eastAsia="宋体" w:cs="宋体"/>
                <w:color w:val="auto"/>
                <w:sz w:val="24"/>
                <w:szCs w:val="24"/>
                <w:highlight w:val="none"/>
                <w:lang w:val="en-US" w:eastAsia="zh-CN"/>
                <w14:ligatures w14:val="none"/>
              </w:rPr>
              <w:t xml:space="preserve">1</w:t>
            </w:r>
            <w:r>
              <w:rPr>
                <w:rFonts w:hint="eastAsia" w:ascii="宋体" w:hAnsi="宋体" w:eastAsia="宋体" w:cs="宋体"/>
                <w:color w:val="auto"/>
                <w:sz w:val="24"/>
                <w:szCs w:val="24"/>
                <w:highlight w:val="none"/>
                <w14:ligatures w14:val="none"/>
              </w:rPr>
              <w:t xml:space="preserve">分，同类别不重复计分，最高得</w:t>
            </w:r>
            <w:r>
              <w:rPr>
                <w:rFonts w:hint="eastAsia" w:ascii="宋体" w:hAnsi="宋体" w:eastAsia="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14:ligatures w14:val="none"/>
              </w:rPr>
              <w:t xml:space="preserve">分。（提供证书复印件加盖</w:t>
            </w:r>
            <w:r>
              <w:rPr>
                <w:rFonts w:hint="eastAsia" w:ascii="宋体" w:hAnsi="宋体" w:eastAsia="宋体" w:cs="宋体"/>
                <w:color w:val="auto"/>
                <w:sz w:val="24"/>
                <w:szCs w:val="24"/>
                <w:highlight w:val="none"/>
                <w:lang w:eastAsia="zh-CN"/>
                <w14:ligatures w14:val="none"/>
              </w:rPr>
              <w:t xml:space="preserve">电子签章</w:t>
            </w: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lang w:eastAsia="zh-CN"/>
                <w14:ligatures w14:val="none"/>
              </w:rPr>
              <w:t xml:space="preserve">未提供</w:t>
            </w:r>
            <w:r>
              <w:rPr>
                <w:rFonts w:hint="eastAsia" w:ascii="宋体" w:hAnsi="宋体" w:eastAsia="宋体" w:cs="宋体"/>
                <w:color w:val="auto"/>
                <w:sz w:val="24"/>
                <w:szCs w:val="24"/>
                <w:highlight w:val="none"/>
                <w14:ligatures w14:val="none"/>
              </w:rPr>
              <w:t xml:space="preserve">不得分）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1.数据管理或数据整合管理相关的；</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2</w:t>
            </w:r>
            <w:r>
              <w:rPr>
                <w:rFonts w:hint="eastAsia" w:ascii="宋体" w:hAnsi="宋体" w:eastAsia="宋体" w:cs="宋体"/>
                <w:color w:val="auto"/>
                <w:sz w:val="24"/>
                <w:szCs w:val="24"/>
                <w:highlight w:val="none"/>
                <w14:ligatures w14:val="none"/>
              </w:rPr>
              <w:t xml:space="preserve">.数据治理平台或医学文本结构化相关；</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14:ligatures w14:val="none"/>
              </w:rPr>
              <w:t xml:space="preserve">.医院运营管理相关的。</w:t>
            </w:r>
            <w:r/>
          </w:p>
        </w:tc>
      </w:tr>
      <w:tr>
        <w:trPr>
          <w:trHeight w:val="3018"/>
        </w:trPr>
        <w:tc>
          <w:tcPr>
            <w:tcW w:w="373" w:type="pct"/>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6</w:t>
            </w:r>
            <w:r/>
          </w:p>
        </w:tc>
        <w:tc>
          <w:tcPr>
            <w:tcW w:w="639"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投标人评价</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5分</w:t>
            </w:r>
            <w:r>
              <w:rPr>
                <w:rFonts w:hint="eastAsia" w:ascii="宋体" w:hAnsi="宋体" w:eastAsia="宋体" w:cs="宋体"/>
                <w:color w:val="auto"/>
                <w:sz w:val="24"/>
                <w:szCs w:val="24"/>
                <w:highlight w:val="none"/>
                <w:lang w:eastAsia="zh-CN"/>
                <w14:ligatures w14:val="none"/>
              </w:rPr>
              <w:t xml:space="preserve">）</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W w:w="3987"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（1）投标人提供有效期内的质量管理体系认证证书扫描件（体系范围包括计算机应用软件的设计或开发相关的信息安全管理活动）及国家市场监督管理总局全国认证认可信息公共服务平台(网址: http://cx.cnca.cn/CertECloud/result/skipResultList)查询证书状态为有效的截图证明材料得2分。未提供或提供不全的得0分。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（2）投标人提供有效期内的信息技术服务管理体系认证证书扫描件（体系范围包括计算机应用软件的设计或开发相关的信息安全管理活动）及国家市场监督管理总局全国认证认可信息公共服务平台(网址: http://cx.cnca.cn/CertECloud/result/skipResultList)查询证书状态为有效的截图证明材料得2分。未提供或提供不</w:t>
            </w:r>
            <w:bookmarkStart w:id="18" w:name="_GoBack"/>
            <w:r/>
            <w:bookmarkEnd w:id="18"/>
            <w:r>
              <w:rPr>
                <w:rFonts w:hint="eastAsia" w:ascii="宋体" w:hAnsi="宋体" w:eastAsia="宋体" w:cs="宋体"/>
                <w:color w:val="auto"/>
                <w:sz w:val="24"/>
                <w:szCs w:val="24"/>
                <w:highlight w:val="none"/>
                <w14:ligatures w14:val="none"/>
              </w:rPr>
              <w:t xml:space="preserve">全的得0分。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综合以上(1)(2)，本项最高得4分，最低得0分。</w:t>
            </w:r>
            <w:r/>
          </w:p>
          <w:p>
            <w:pPr>
              <w:ind w:firstLine="0"/>
              <w:jc w:val="left"/>
              <w:spacing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投标人提供有效期内的数据治理符合性评价证书扫描件</w:t>
            </w:r>
            <w:r>
              <w:rPr>
                <w:rFonts w:hint="eastAsia" w:ascii="宋体" w:hAnsi="宋体" w:eastAsia="宋体" w:cs="宋体"/>
                <w:color w:val="auto"/>
                <w:sz w:val="24"/>
                <w:szCs w:val="24"/>
                <w:highlight w:val="none"/>
                <w:lang w:eastAsia="zh-CN"/>
                <w14:ligatures w14:val="none"/>
              </w:rPr>
              <w:t xml:space="preserve">，得</w:t>
            </w:r>
            <w:r>
              <w:rPr>
                <w:rFonts w:hint="eastAsia" w:ascii="宋体" w:hAnsi="宋体" w:eastAsia="宋体" w:cs="宋体"/>
                <w:color w:val="auto"/>
                <w:sz w:val="24"/>
                <w:szCs w:val="24"/>
                <w:highlight w:val="none"/>
                <w:lang w:val="en-US" w:eastAsia="zh-CN"/>
                <w14:ligatures w14:val="none"/>
              </w:rPr>
              <w:t xml:space="preserve">1分</w:t>
            </w:r>
            <w:r>
              <w:rPr>
                <w:rFonts w:hint="eastAsia" w:ascii="宋体" w:hAnsi="宋体" w:eastAsia="宋体" w:cs="宋体"/>
                <w:color w:val="auto"/>
                <w:sz w:val="24"/>
                <w:szCs w:val="24"/>
                <w:highlight w:val="none"/>
                <w:lang w:val="en-US" w:eastAsia="zh-CN"/>
                <w14:ligatures w14:val="none"/>
              </w:rPr>
              <w:t xml:space="preserve">；</w:t>
            </w:r>
            <w:r>
              <w:rPr>
                <w:rFonts w:hint="eastAsia" w:ascii="宋体" w:hAnsi="宋体" w:eastAsia="宋体" w:cs="宋体"/>
                <w:color w:val="auto"/>
                <w:sz w:val="24"/>
                <w:szCs w:val="24"/>
                <w:highlight w:val="none"/>
                <w14:ligatures w14:val="none"/>
              </w:rPr>
              <w:t xml:space="preserve">本项最高得</w:t>
            </w:r>
            <w:r>
              <w:rPr>
                <w:rFonts w:hint="eastAsia" w:ascii="宋体" w:hAnsi="宋体" w:eastAsia="宋体" w:cs="宋体"/>
                <w:color w:val="auto"/>
                <w:sz w:val="24"/>
                <w:szCs w:val="24"/>
                <w:highlight w:val="none"/>
                <w:lang w:val="en-US" w:eastAsia="zh-CN"/>
                <w14:ligatures w14:val="none"/>
              </w:rPr>
              <w:t xml:space="preserve">1</w:t>
            </w:r>
            <w:r>
              <w:rPr>
                <w:rFonts w:hint="eastAsia" w:ascii="宋体" w:hAnsi="宋体" w:eastAsia="宋体" w:cs="宋体"/>
                <w:color w:val="auto"/>
                <w:sz w:val="24"/>
                <w:szCs w:val="24"/>
                <w:highlight w:val="none"/>
                <w14:ligatures w14:val="none"/>
              </w:rPr>
              <w:t xml:space="preserve">分，最低得0分</w:t>
            </w:r>
            <w:r>
              <w:rPr>
                <w:rFonts w:hint="eastAsia" w:ascii="宋体" w:hAnsi="宋体" w:eastAsia="宋体" w:cs="宋体"/>
                <w:color w:val="auto"/>
                <w:sz w:val="24"/>
                <w:szCs w:val="24"/>
                <w:highlight w:val="none"/>
                <w:lang w:eastAsia="zh-CN"/>
                <w14:ligatures w14:val="none"/>
              </w:rPr>
              <w:t xml:space="preserve">。</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注：投标人须提供有效的证书复印件并加盖</w:t>
            </w:r>
            <w:r>
              <w:rPr>
                <w:rFonts w:hint="eastAsia" w:ascii="宋体" w:hAnsi="宋体" w:eastAsia="宋体" w:cs="宋体"/>
                <w:color w:val="auto"/>
                <w:sz w:val="24"/>
                <w:szCs w:val="24"/>
                <w:highlight w:val="none"/>
                <w:lang w:eastAsia="zh-CN"/>
                <w14:ligatures w14:val="none"/>
              </w:rPr>
              <w:t xml:space="preserve">电子签章</w:t>
            </w:r>
            <w:r>
              <w:rPr>
                <w:rFonts w:hint="eastAsia" w:ascii="宋体" w:hAnsi="宋体" w:eastAsia="宋体" w:cs="宋体"/>
                <w:color w:val="auto"/>
                <w:sz w:val="24"/>
                <w:szCs w:val="24"/>
                <w:highlight w:val="none"/>
                <w14:ligatures w14:val="none"/>
              </w:rPr>
              <w:t xml:space="preserve">，复印件证书编号等重要信息清晰可见，未提供不得分。</w:t>
            </w:r>
            <w:r/>
          </w:p>
        </w:tc>
      </w:tr>
      <w:tr>
        <w:trPr>
          <w:trHeight w:val="1539"/>
        </w:trPr>
        <w:tc>
          <w:tcPr>
            <w:tcW w:w="373" w:type="pct"/>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7</w:t>
            </w:r>
            <w:r/>
          </w:p>
        </w:tc>
        <w:tc>
          <w:tcPr>
            <w:tcW w:w="639"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项目经理</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4分</w:t>
            </w:r>
            <w:r>
              <w:rPr>
                <w:rFonts w:hint="eastAsia" w:ascii="宋体" w:hAnsi="宋体" w:eastAsia="宋体" w:cs="宋体"/>
                <w:color w:val="auto"/>
                <w:sz w:val="24"/>
                <w:szCs w:val="24"/>
                <w:highlight w:val="none"/>
                <w:lang w:eastAsia="zh-CN"/>
                <w14:ligatures w14:val="none"/>
              </w:rPr>
              <w:t xml:space="preserve">）</w:t>
            </w:r>
            <w:r/>
          </w:p>
        </w:tc>
        <w:tc>
          <w:tcPr>
            <w:tcW w:w="3987" w:type="pct"/>
            <w:vAlign w:val="center"/>
            <w:textDirection w:val="lrTb"/>
            <w:noWrap w:val="false"/>
          </w:tcPr>
          <w:p>
            <w:pPr>
              <w:numPr>
                <w:ilvl w:val="0"/>
                <w:numId w:val="0"/>
              </w:numPr>
              <w:ind w:firstLine="0"/>
              <w:jc w:val="left"/>
              <w:keepLines w:val="0"/>
              <w:keepNext w:val="0"/>
              <w:pageBreakBefore w:val="0"/>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bidi="ar-SA"/>
                <w14:ligatures w14:val="none"/>
              </w:rPr>
              <w:t xml:space="preserve">（1）</w:t>
            </w:r>
            <w:r>
              <w:rPr>
                <w:rFonts w:hint="eastAsia" w:ascii="宋体" w:hAnsi="宋体" w:eastAsia="宋体" w:cs="宋体"/>
                <w:color w:val="auto"/>
                <w:sz w:val="24"/>
                <w:szCs w:val="24"/>
                <w:highlight w:val="none"/>
                <w14:ligatures w14:val="none"/>
              </w:rPr>
              <w:t xml:space="preserve">项目配备项目经理</w:t>
            </w:r>
            <w:r>
              <w:rPr>
                <w:rFonts w:hint="eastAsia" w:ascii="宋体" w:hAnsi="宋体" w:eastAsia="宋体" w:cs="宋体"/>
                <w:color w:val="auto"/>
                <w:sz w:val="24"/>
                <w:szCs w:val="24"/>
                <w:highlight w:val="none"/>
                <w14:ligatures w14:val="none"/>
              </w:rPr>
              <w:t xml:space="preserve">一名，</w:t>
            </w:r>
            <w:r>
              <w:rPr>
                <w:rFonts w:hint="eastAsia" w:ascii="宋体" w:hAnsi="宋体" w:eastAsia="宋体" w:cs="宋体"/>
                <w:color w:val="auto"/>
                <w:sz w:val="24"/>
                <w:szCs w:val="24"/>
                <w:highlight w:val="none"/>
                <w14:ligatures w14:val="none"/>
              </w:rPr>
              <w:t xml:space="preserve">具有工信部和人社部</w:t>
            </w:r>
            <w:r>
              <w:rPr>
                <w:rFonts w:hint="eastAsia" w:ascii="宋体" w:hAnsi="宋体" w:eastAsia="宋体" w:cs="宋体"/>
                <w:color w:val="auto"/>
                <w:sz w:val="24"/>
                <w:szCs w:val="24"/>
                <w:highlight w:val="none"/>
                <w:lang w:eastAsia="zh-CN"/>
                <w14:ligatures w14:val="none"/>
              </w:rPr>
              <w:t xml:space="preserve">联合</w:t>
            </w:r>
            <w:r>
              <w:rPr>
                <w:rFonts w:hint="eastAsia" w:ascii="宋体" w:hAnsi="宋体" w:eastAsia="宋体" w:cs="宋体"/>
                <w:color w:val="auto"/>
                <w:sz w:val="24"/>
                <w:szCs w:val="24"/>
                <w:highlight w:val="none"/>
                <w14:ligatures w14:val="none"/>
              </w:rPr>
              <w:t xml:space="preserve">颁发</w:t>
            </w:r>
            <w:r>
              <w:rPr>
                <w:rFonts w:hint="eastAsia" w:ascii="宋体" w:hAnsi="宋体" w:eastAsia="宋体" w:cs="宋体"/>
                <w:color w:val="auto"/>
                <w:sz w:val="24"/>
                <w:szCs w:val="24"/>
                <w:highlight w:val="none"/>
                <w:lang w:eastAsia="zh-CN"/>
                <w14:ligatures w14:val="none"/>
              </w:rPr>
              <w:t xml:space="preserve">的</w:t>
            </w:r>
            <w:r>
              <w:rPr>
                <w:rFonts w:hint="eastAsia" w:ascii="宋体" w:hAnsi="宋体" w:eastAsia="宋体" w:cs="宋体"/>
                <w:color w:val="auto"/>
                <w:sz w:val="24"/>
                <w:szCs w:val="24"/>
                <w:highlight w:val="none"/>
                <w14:ligatures w14:val="none"/>
              </w:rPr>
              <w:t xml:space="preserve">信息</w:t>
            </w:r>
            <w:r>
              <w:rPr>
                <w:rFonts w:hint="eastAsia" w:ascii="宋体" w:hAnsi="宋体" w:eastAsia="宋体" w:cs="宋体"/>
                <w:color w:val="auto"/>
                <w:sz w:val="24"/>
                <w:szCs w:val="24"/>
                <w:highlight w:val="none"/>
                <w14:ligatures w14:val="none"/>
              </w:rPr>
              <w:t xml:space="preserve">系统项目管理师</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得2分，未提供不得分。</w:t>
            </w:r>
            <w:r/>
          </w:p>
          <w:p>
            <w:pPr>
              <w:numPr>
                <w:ilvl w:val="0"/>
                <w:numId w:val="0"/>
              </w:numPr>
              <w:jc w:val="left"/>
              <w:keepLines w:val="0"/>
              <w:keepNext w:val="0"/>
              <w:pageBreakBefore w:val="0"/>
              <w:spacing w:after="100" w:line="240" w:lineRule="auto"/>
              <w:widowControl/>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2）项目经理自2023年1月1日以来（合同签订日期），担任数据治理、数据资产管理平台、数据运营管理平台类项目经理，拥有同类项目履约服务业绩；须提供合同扫描件（合同正文明确标注本项目任职项目经理姓名）并加盖供应商电子签章，或出具甲方加盖公章的项目经理在岗履职证明材料，每提供</w:t>
            </w:r>
            <w:r>
              <w:rPr>
                <w:rFonts w:hint="eastAsia" w:ascii="宋体" w:hAnsi="宋体" w:cs="宋体"/>
                <w:color w:val="auto"/>
                <w:sz w:val="24"/>
                <w:szCs w:val="24"/>
                <w:highlight w:val="none"/>
                <w:lang w:val="en-US" w:eastAsia="zh-CN" w:bidi="ar-SA"/>
                <w14:ligatures w14:val="none"/>
              </w:rPr>
              <w:t xml:space="preserve">一</w:t>
            </w:r>
            <w:r>
              <w:rPr>
                <w:rFonts w:hint="eastAsia" w:ascii="宋体" w:hAnsi="宋体" w:eastAsia="宋体" w:cs="宋体"/>
                <w:color w:val="auto"/>
                <w:sz w:val="24"/>
                <w:szCs w:val="24"/>
                <w:highlight w:val="none"/>
                <w:lang w:val="en-US" w:eastAsia="zh-CN" w:bidi="ar-SA"/>
                <w14:ligatures w14:val="none"/>
              </w:rPr>
              <w:t xml:space="preserve">项有效业绩得1分，本项最高得2分，无法佐证项目经理实际任职履职的业绩不计分。</w:t>
            </w:r>
            <w:r/>
          </w:p>
          <w:p>
            <w:pPr>
              <w:numPr>
                <w:ilvl w:val="0"/>
                <w:numId w:val="0"/>
              </w:numPr>
              <w:jc w:val="left"/>
              <w:keepLines w:val="0"/>
              <w:keepNext w:val="0"/>
              <w:pageBreakBefore w:val="0"/>
              <w:spacing w:after="100" w:line="240" w:lineRule="auto"/>
              <w:widowControl/>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注：</w:t>
            </w:r>
            <w:r>
              <w:rPr>
                <w:rFonts w:hint="eastAsia" w:ascii="宋体" w:hAnsi="宋体" w:eastAsia="宋体" w:cs="宋体"/>
                <w:color w:val="auto"/>
                <w:sz w:val="24"/>
                <w:szCs w:val="24"/>
                <w:highlight w:val="none"/>
                <w:lang w:val="en-US" w:eastAsia="zh-CN" w:bidi="ar-SA"/>
                <w14:ligatures w14:val="none"/>
              </w:rPr>
              <w:t xml:space="preserve">投标文件中提供以上人员证书扫描件</w:t>
            </w:r>
            <w:r>
              <w:rPr>
                <w:rFonts w:hint="eastAsia" w:ascii="宋体" w:hAnsi="宋体" w:eastAsia="宋体" w:cs="宋体"/>
                <w:color w:val="auto"/>
                <w:sz w:val="24"/>
                <w:szCs w:val="24"/>
                <w:highlight w:val="none"/>
                <w:lang w:val="en-US" w:eastAsia="zh-CN" w:bidi="ar-SA"/>
                <w14:ligatures w14:val="none"/>
              </w:rPr>
              <w:t xml:space="preserve">及开标时间前6个月内任意1个月由投标人为其缴纳社保的证明材料</w:t>
            </w:r>
            <w:r>
              <w:rPr>
                <w:rFonts w:hint="eastAsia" w:ascii="宋体" w:hAnsi="宋体" w:eastAsia="宋体" w:cs="宋体"/>
                <w:color w:val="auto"/>
                <w:sz w:val="24"/>
                <w:szCs w:val="24"/>
                <w:highlight w:val="none"/>
                <w:lang w:val="en-US" w:eastAsia="zh-CN" w:bidi="ar-SA"/>
                <w14:ligatures w14:val="none"/>
              </w:rPr>
              <w:t xml:space="preserve">扫描件。</w:t>
            </w:r>
            <w:r/>
          </w:p>
        </w:tc>
      </w:tr>
      <w:tr>
        <w:trPr>
          <w:trHeight w:val="487"/>
        </w:trPr>
        <w:tc>
          <w:tcPr>
            <w:tcW w:w="373" w:type="pct"/>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8</w:t>
            </w:r>
            <w:r/>
          </w:p>
        </w:tc>
        <w:tc>
          <w:tcPr>
            <w:tcW w:w="639"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团队成员</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5分</w:t>
            </w:r>
            <w:r>
              <w:rPr>
                <w:rFonts w:hint="eastAsia" w:ascii="宋体" w:hAnsi="宋体" w:eastAsia="宋体" w:cs="宋体"/>
                <w:color w:val="auto"/>
                <w:sz w:val="24"/>
                <w:szCs w:val="24"/>
                <w:highlight w:val="none"/>
                <w:lang w:eastAsia="zh-CN"/>
                <w14:ligatures w14:val="none"/>
              </w:rPr>
              <w:t xml:space="preserve">）</w:t>
            </w:r>
            <w:r/>
          </w:p>
        </w:tc>
        <w:tc>
          <w:tcPr>
            <w:tcW w:w="3987"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投标人拟提供的项目团队成员（不含项目经理）包括以下</w:t>
            </w:r>
            <w:r>
              <w:rPr>
                <w:rFonts w:hint="eastAsia" w:ascii="宋体" w:hAnsi="宋体" w:eastAsia="宋体" w:cs="宋体"/>
                <w:color w:val="auto"/>
                <w:sz w:val="24"/>
                <w:szCs w:val="24"/>
                <w:highlight w:val="none"/>
                <w:lang w:eastAsia="zh-CN"/>
                <w14:ligatures w14:val="none"/>
              </w:rPr>
              <w:t xml:space="preserve">证书</w:t>
            </w:r>
            <w:r>
              <w:rPr>
                <w:rFonts w:hint="eastAsia" w:ascii="宋体" w:hAnsi="宋体" w:eastAsia="宋体" w:cs="宋体"/>
                <w:color w:val="auto"/>
                <w:sz w:val="24"/>
                <w:szCs w:val="24"/>
                <w:highlight w:val="none"/>
                <w14:ligatures w14:val="none"/>
              </w:rPr>
              <w:t xml:space="preserve">：</w:t>
            </w:r>
            <w:r/>
          </w:p>
          <w:p>
            <w:pPr>
              <w:ind w:firstLine="0"/>
              <w:jc w:val="left"/>
              <w:spacing w:line="240" w:lineRule="auto"/>
              <w:widowControl/>
              <w:rPr>
                <w:rFonts w:hint="eastAsia" w:ascii="宋体" w:hAnsi="宋体" w:eastAsia="宋体" w:cs="宋体"/>
                <w:strike w:val="0"/>
                <w:color w:val="auto"/>
                <w:sz w:val="24"/>
                <w:szCs w:val="24"/>
                <w:highlight w:val="none"/>
                <w14:ligatures w14:val="none"/>
              </w:rPr>
            </w:pPr>
            <w:r>
              <w:rPr>
                <w:rFonts w:hint="eastAsia" w:ascii="宋体" w:hAnsi="宋体" w:eastAsia="宋体" w:cs="宋体"/>
                <w:strike w:val="0"/>
                <w:color w:val="auto"/>
                <w:sz w:val="24"/>
                <w:szCs w:val="24"/>
                <w:highlight w:val="none"/>
                <w14:ligatures w14:val="none"/>
              </w:rPr>
              <w:t xml:space="preserve">（1）数据库系统工程师证书；</w:t>
            </w:r>
            <w:r/>
          </w:p>
          <w:p>
            <w:pPr>
              <w:ind w:firstLine="0"/>
              <w:jc w:val="left"/>
              <w:spacing w:line="240" w:lineRule="auto"/>
              <w:widowControl/>
              <w:rPr>
                <w:rFonts w:hint="eastAsia" w:ascii="宋体" w:hAnsi="宋体" w:eastAsia="宋体" w:cs="宋体"/>
                <w:strike w:val="0"/>
                <w:color w:val="auto"/>
                <w:sz w:val="24"/>
                <w:szCs w:val="24"/>
                <w:highlight w:val="none"/>
                <w14:ligatures w14:val="none"/>
              </w:rPr>
            </w:pPr>
            <w:r>
              <w:rPr>
                <w:rFonts w:hint="eastAsia" w:ascii="宋体" w:hAnsi="宋体" w:eastAsia="宋体" w:cs="宋体"/>
                <w:strike w:val="0"/>
                <w:color w:val="auto"/>
                <w:sz w:val="24"/>
                <w:szCs w:val="24"/>
                <w:highlight w:val="none"/>
                <w14:ligatures w14:val="none"/>
              </w:rPr>
              <w:t xml:space="preserve">（2）中级或以上统计师证书；</w:t>
            </w:r>
            <w:r/>
          </w:p>
          <w:p>
            <w:pPr>
              <w:ind w:firstLine="0"/>
              <w:jc w:val="left"/>
              <w:spacing w:line="240" w:lineRule="auto"/>
              <w:widowControl/>
              <w:rPr>
                <w:rFonts w:hint="eastAsia" w:ascii="宋体" w:hAnsi="宋体" w:eastAsia="宋体" w:cs="宋体"/>
                <w:strike w:val="0"/>
                <w:color w:val="auto"/>
                <w:sz w:val="24"/>
                <w:szCs w:val="24"/>
                <w:highlight w:val="none"/>
                <w:lang w:eastAsia="zh-CN"/>
                <w14:ligatures w14:val="none"/>
              </w:rPr>
            </w:pPr>
            <w:r>
              <w:rPr>
                <w:rFonts w:hint="eastAsia" w:ascii="宋体" w:hAnsi="宋体" w:eastAsia="宋体" w:cs="宋体"/>
                <w:strike w:val="0"/>
                <w:color w:val="auto"/>
                <w:sz w:val="24"/>
                <w:szCs w:val="24"/>
                <w:highlight w:val="none"/>
                <w14:ligatures w14:val="none"/>
              </w:rPr>
              <w:t xml:space="preserve">（3）</w:t>
            </w:r>
            <w:r>
              <w:rPr>
                <w:rFonts w:hint="eastAsia" w:ascii="宋体" w:hAnsi="宋体" w:eastAsia="宋体" w:cs="宋体"/>
                <w:color w:val="auto"/>
                <w:sz w:val="24"/>
                <w:szCs w:val="24"/>
                <w:highlight w:val="none"/>
                <w14:ligatures w14:val="none"/>
              </w:rPr>
              <w:t xml:space="preserve">注册信息安全专业人员证书（CISP）</w:t>
            </w:r>
            <w:r>
              <w:rPr>
                <w:rFonts w:hint="eastAsia" w:ascii="宋体" w:hAnsi="宋体" w:eastAsia="宋体" w:cs="宋体"/>
                <w:strike w:val="0"/>
                <w:color w:val="auto"/>
                <w:sz w:val="24"/>
                <w:szCs w:val="24"/>
                <w:highlight w:val="none"/>
                <w:lang w:eastAsia="zh-CN"/>
                <w14:ligatures w14:val="none"/>
              </w:rPr>
              <w:t xml:space="preserve">；</w:t>
            </w:r>
            <w:r/>
          </w:p>
          <w:p>
            <w:pPr>
              <w:ind w:firstLine="0"/>
              <w:jc w:val="left"/>
              <w:keepLines w:val="0"/>
              <w:keepNext w:val="0"/>
              <w:spacing w:line="240" w:lineRule="auto"/>
              <w:widowControl/>
              <w:rPr>
                <w:rFonts w:hint="eastAsia" w:ascii="宋体" w:hAnsi="宋体" w:eastAsia="宋体" w:cs="宋体"/>
                <w:strike w:val="0"/>
                <w:color w:val="auto"/>
                <w:sz w:val="24"/>
                <w:szCs w:val="24"/>
                <w:highlight w:val="none"/>
                <w14:ligatures w14:val="none"/>
              </w:rPr>
              <w:suppressLineNumbers w:val="0"/>
            </w:pPr>
            <w:r>
              <w:rPr>
                <w:rFonts w:hint="eastAsia" w:ascii="宋体" w:hAnsi="宋体" w:eastAsia="宋体" w:cs="宋体"/>
                <w:strike w:val="0"/>
                <w:color w:val="auto"/>
                <w:sz w:val="24"/>
                <w:szCs w:val="24"/>
                <w:highlight w:val="none"/>
                <w14:ligatures w14:val="none"/>
              </w:rPr>
              <w:t xml:space="preserve">（4）软件设计师认证证书；</w:t>
            </w:r>
            <w:r/>
          </w:p>
          <w:p>
            <w:pPr>
              <w:ind w:firstLine="0"/>
              <w:jc w:val="left"/>
              <w:spacing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strike w:val="0"/>
                <w:color w:val="auto"/>
                <w:sz w:val="24"/>
                <w:szCs w:val="24"/>
                <w:highlight w:val="none"/>
                <w14:ligatures w14:val="none"/>
              </w:rPr>
              <w:t xml:space="preserve">（5）</w:t>
            </w:r>
            <w:r>
              <w:rPr>
                <w:rFonts w:hint="eastAsia" w:ascii="宋体" w:hAnsi="宋体" w:eastAsia="宋体" w:cs="宋体"/>
                <w:strike w:val="0"/>
                <w:color w:val="auto"/>
                <w:sz w:val="24"/>
                <w:szCs w:val="24"/>
                <w:highlight w:val="none"/>
                <w14:ligatures w14:val="none"/>
              </w:rPr>
              <w:t xml:space="preserve">计算机应用专业高级工程师</w:t>
            </w:r>
            <w:r>
              <w:rPr>
                <w:rFonts w:hint="eastAsia" w:ascii="宋体" w:hAnsi="宋体" w:eastAsia="宋体" w:cs="宋体"/>
                <w:strike w:val="0"/>
                <w:color w:val="auto"/>
                <w:sz w:val="24"/>
                <w:szCs w:val="24"/>
                <w:highlight w:val="none"/>
                <w14:ligatures w14:val="none"/>
              </w:rPr>
              <w:t xml:space="preserve">。</w:t>
            </w:r>
            <w:r/>
          </w:p>
          <w:p>
            <w:pPr>
              <w:ind w:firstLine="0"/>
              <w:jc w:val="left"/>
              <w:spacing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每有一人（满足其中任意一种证书）满足，得1分。同一人员具有多项资格证书的，只按1人计分，不重复累计计分；每种</w:t>
            </w:r>
            <w:r>
              <w:rPr>
                <w:rFonts w:hint="eastAsia" w:ascii="宋体" w:hAnsi="宋体" w:eastAsia="宋体" w:cs="宋体"/>
                <w:color w:val="auto"/>
                <w:sz w:val="24"/>
                <w:szCs w:val="24"/>
                <w:highlight w:val="none"/>
                <w:lang w:eastAsia="zh-CN"/>
                <w14:ligatures w14:val="none"/>
              </w:rPr>
              <w:t xml:space="preserve">资格证书</w:t>
            </w:r>
            <w:r>
              <w:rPr>
                <w:rFonts w:hint="eastAsia" w:ascii="宋体" w:hAnsi="宋体" w:eastAsia="宋体" w:cs="宋体"/>
                <w:color w:val="auto"/>
                <w:sz w:val="24"/>
                <w:szCs w:val="24"/>
                <w:highlight w:val="none"/>
                <w14:ligatures w14:val="none"/>
              </w:rPr>
              <w:t xml:space="preserve">不重复累计计分。本项最高得</w:t>
            </w:r>
            <w:r>
              <w:rPr>
                <w:rFonts w:hint="eastAsia" w:ascii="宋体" w:hAnsi="宋体" w:eastAsia="宋体" w:cs="宋体"/>
                <w:color w:val="auto"/>
                <w:sz w:val="24"/>
                <w:szCs w:val="24"/>
                <w:highlight w:val="none"/>
                <w:lang w:val="en-US" w:eastAsia="zh-CN"/>
                <w14:ligatures w14:val="none"/>
              </w:rPr>
              <w:t xml:space="preserve">5</w:t>
            </w:r>
            <w:r>
              <w:rPr>
                <w:rFonts w:hint="eastAsia" w:ascii="宋体" w:hAnsi="宋体" w:eastAsia="宋体" w:cs="宋体"/>
                <w:color w:val="auto"/>
                <w:sz w:val="24"/>
                <w:szCs w:val="24"/>
                <w:highlight w:val="none"/>
                <w14:ligatures w14:val="none"/>
              </w:rPr>
              <w:t xml:space="preserve">分。</w:t>
            </w:r>
            <w:r/>
          </w:p>
          <w:p>
            <w:pPr>
              <w:ind w:firstLine="0"/>
              <w:jc w:val="left"/>
              <w:spacing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lang w:eastAsia="zh-CN"/>
                <w14:ligatures w14:val="none"/>
              </w:rPr>
              <w:t xml:space="preserve">注：</w:t>
            </w:r>
            <w:r>
              <w:rPr>
                <w:rFonts w:hint="eastAsia" w:ascii="宋体" w:hAnsi="宋体" w:eastAsia="宋体" w:cs="宋体"/>
                <w:color w:val="auto"/>
                <w:sz w:val="24"/>
                <w:szCs w:val="24"/>
                <w:highlight w:val="none"/>
                <w14:ligatures w14:val="none"/>
              </w:rPr>
              <w:t xml:space="preserve">上述人员需提供有效的资格证书</w:t>
            </w:r>
            <w:r>
              <w:rPr>
                <w:rFonts w:hint="eastAsia" w:ascii="宋体" w:hAnsi="宋体" w:eastAsia="宋体" w:cs="宋体"/>
                <w:color w:val="auto"/>
                <w:sz w:val="24"/>
                <w:szCs w:val="24"/>
                <w:highlight w:val="none"/>
                <w:lang w:eastAsia="zh-CN"/>
                <w14:ligatures w14:val="none"/>
              </w:rPr>
              <w:t xml:space="preserve">扫描件</w:t>
            </w:r>
            <w:r>
              <w:rPr>
                <w:rFonts w:hint="eastAsia" w:ascii="宋体" w:hAnsi="宋体" w:eastAsia="宋体" w:cs="宋体"/>
                <w:color w:val="auto"/>
                <w:sz w:val="24"/>
                <w:szCs w:val="24"/>
                <w:highlight w:val="none"/>
                <w14:ligatures w14:val="none"/>
              </w:rPr>
              <w:t xml:space="preserve">，及</w:t>
            </w:r>
            <w:r>
              <w:rPr>
                <w:rFonts w:hint="eastAsia" w:ascii="宋体" w:hAnsi="宋体" w:eastAsia="宋体" w:cs="宋体"/>
                <w:color w:val="auto"/>
                <w:sz w:val="24"/>
                <w:szCs w:val="24"/>
                <w:highlight w:val="none"/>
                <w:lang w:val="en-US" w:eastAsia="zh-CN"/>
                <w14:ligatures w14:val="none"/>
              </w:rPr>
              <w:t xml:space="preserve">开标时间前6个月内任意1个月由投标人为其缴纳社保的证明材料</w:t>
            </w:r>
            <w:r>
              <w:rPr>
                <w:rFonts w:hint="eastAsia" w:ascii="宋体" w:hAnsi="宋体" w:eastAsia="宋体" w:cs="宋体"/>
                <w:color w:val="auto"/>
                <w:sz w:val="24"/>
                <w:szCs w:val="24"/>
                <w:highlight w:val="none"/>
                <w14:ligatures w14:val="none"/>
              </w:rPr>
              <w:t xml:space="preserve">扫描件</w:t>
            </w:r>
            <w:r>
              <w:rPr>
                <w:rFonts w:hint="eastAsia" w:ascii="宋体" w:hAnsi="宋体" w:eastAsia="宋体" w:cs="宋体"/>
                <w:color w:val="auto"/>
                <w:sz w:val="24"/>
                <w:szCs w:val="24"/>
                <w:highlight w:val="none"/>
                <w14:ligatures w14:val="none"/>
              </w:rPr>
              <w:t xml:space="preserve">，未完整提供证明材料的不得分</w:t>
            </w:r>
            <w:r>
              <w:rPr>
                <w:rFonts w:hint="eastAsia" w:ascii="宋体" w:hAnsi="宋体" w:eastAsia="宋体" w:cs="宋体"/>
                <w:color w:val="auto"/>
                <w:sz w:val="24"/>
                <w:szCs w:val="24"/>
                <w:highlight w:val="none"/>
                <w:lang w:eastAsia="zh-CN"/>
                <w14:ligatures w14:val="none"/>
              </w:rPr>
              <w:t xml:space="preserve">。</w:t>
            </w:r>
            <w:r/>
          </w:p>
        </w:tc>
      </w:tr>
      <w:tr>
        <w:trPr>
          <w:trHeight w:val="1588"/>
        </w:trPr>
        <w:tc>
          <w:tcPr>
            <w:tcW w:w="373" w:type="pct"/>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9</w:t>
            </w:r>
            <w:r/>
          </w:p>
        </w:tc>
        <w:tc>
          <w:tcPr>
            <w:shd w:val="clear" w:color="000000" w:fill="ffffff"/>
            <w:tcW w:w="639"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lang w:eastAsia="zh-CN"/>
                <w14:ligatures w14:val="none"/>
              </w:rPr>
              <w:t xml:space="preserve">系统演示（</w:t>
            </w:r>
            <w:r>
              <w:rPr>
                <w:rFonts w:hint="eastAsia" w:ascii="宋体" w:hAnsi="宋体" w:eastAsia="宋体" w:cs="宋体"/>
                <w:color w:val="auto"/>
                <w:sz w:val="24"/>
                <w:szCs w:val="24"/>
                <w:highlight w:val="none"/>
                <w:lang w:val="en-US" w:eastAsia="zh-CN"/>
                <w14:ligatures w14:val="none"/>
              </w:rPr>
              <w:t xml:space="preserve">9分</w:t>
            </w:r>
            <w:r>
              <w:rPr>
                <w:rFonts w:hint="eastAsia" w:ascii="宋体" w:hAnsi="宋体" w:eastAsia="宋体" w:cs="宋体"/>
                <w:color w:val="auto"/>
                <w:sz w:val="24"/>
                <w:szCs w:val="24"/>
                <w:highlight w:val="none"/>
                <w:lang w:eastAsia="zh-CN"/>
                <w14:ligatures w14:val="none"/>
              </w:rPr>
              <w:t xml:space="preserve">）</w:t>
            </w:r>
            <w:r/>
          </w:p>
        </w:tc>
        <w:tc>
          <w:tcPr>
            <w:shd w:val="clear" w:color="auto" w:fill="auto"/>
            <w:tcW w:w="3987"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投标人</w:t>
            </w:r>
            <w:r>
              <w:rPr>
                <w:rFonts w:hint="eastAsia" w:ascii="宋体" w:hAnsi="宋体" w:eastAsia="宋体" w:cs="宋体"/>
                <w:color w:val="auto"/>
                <w:sz w:val="24"/>
                <w:szCs w:val="24"/>
                <w:highlight w:val="none"/>
                <w:lang w:eastAsia="zh-CN"/>
                <w14:ligatures w14:val="none"/>
              </w:rPr>
              <w:t xml:space="preserve">提供</w:t>
            </w:r>
            <w:r>
              <w:rPr>
                <w:rFonts w:hint="eastAsia" w:ascii="宋体" w:hAnsi="宋体" w:eastAsia="宋体" w:cs="宋体"/>
                <w:color w:val="auto"/>
                <w:sz w:val="24"/>
                <w:szCs w:val="24"/>
                <w:highlight w:val="none"/>
                <w14:ligatures w14:val="none"/>
              </w:rPr>
              <w:t xml:space="preserve">以下重点参数系统功能</w:t>
            </w:r>
            <w:r>
              <w:rPr>
                <w:rFonts w:hint="eastAsia" w:ascii="宋体" w:hAnsi="宋体" w:cs="宋体"/>
                <w:color w:val="auto"/>
                <w:sz w:val="24"/>
                <w:szCs w:val="24"/>
                <w:highlight w:val="none"/>
                <w:lang w:eastAsia="zh-CN"/>
                <w14:ligatures w14:val="none"/>
              </w:rPr>
              <w:t xml:space="preserve">视频</w:t>
            </w:r>
            <w:r>
              <w:rPr>
                <w:rFonts w:hint="eastAsia" w:ascii="宋体" w:hAnsi="宋体" w:eastAsia="宋体" w:cs="宋体"/>
                <w:color w:val="auto"/>
                <w:sz w:val="24"/>
                <w:szCs w:val="24"/>
                <w:highlight w:val="none"/>
                <w14:ligatures w14:val="none"/>
              </w:rPr>
              <w:t xml:space="preserve">演示，应用实际软件系统</w:t>
            </w:r>
            <w:r>
              <w:rPr>
                <w:rFonts w:hint="eastAsia" w:ascii="宋体" w:hAnsi="宋体" w:eastAsia="宋体" w:cs="宋体"/>
                <w:color w:val="auto"/>
                <w:sz w:val="24"/>
                <w:szCs w:val="24"/>
                <w:highlight w:val="none"/>
                <w14:ligatures w14:val="none"/>
              </w:rPr>
              <w:t xml:space="preserve">或原型系统演示得实际分值，使用PPT等静态演示或</w:t>
            </w:r>
            <w:r>
              <w:rPr>
                <w:rFonts w:hint="eastAsia" w:ascii="宋体" w:hAnsi="宋体" w:eastAsia="宋体" w:cs="宋体"/>
                <w:color w:val="auto"/>
                <w:sz w:val="24"/>
                <w:szCs w:val="24"/>
                <w:highlight w:val="none"/>
                <w:lang w:eastAsia="zh-CN"/>
                <w14:ligatures w14:val="none"/>
              </w:rPr>
              <w:t xml:space="preserve">未提供</w:t>
            </w:r>
            <w:r>
              <w:rPr>
                <w:rFonts w:hint="eastAsia" w:ascii="宋体" w:hAnsi="宋体" w:eastAsia="宋体" w:cs="宋体"/>
                <w:color w:val="auto"/>
                <w:sz w:val="24"/>
                <w:szCs w:val="24"/>
                <w:highlight w:val="none"/>
                <w14:ligatures w14:val="none"/>
              </w:rPr>
              <w:t xml:space="preserve">演示不得分，</w:t>
            </w:r>
            <w:r>
              <w:rPr>
                <w:rFonts w:hint="eastAsia" w:ascii="宋体" w:hAnsi="宋体" w:eastAsia="宋体" w:cs="宋体"/>
                <w:color w:val="auto"/>
                <w:sz w:val="24"/>
                <w:szCs w:val="24"/>
                <w:highlight w:val="none"/>
                <w14:ligatures w14:val="none"/>
              </w:rPr>
              <w:t xml:space="preserve">演示时间原则上不超过15分钟。</w:t>
            </w:r>
            <w:r>
              <w:rPr>
                <w:rFonts w:hint="eastAsia" w:ascii="宋体" w:hAnsi="宋体" w:eastAsia="宋体" w:cs="宋体"/>
                <w:color w:val="auto"/>
                <w:sz w:val="24"/>
                <w:szCs w:val="24"/>
                <w:highlight w:val="none"/>
                <w:lang w:eastAsia="zh-CN"/>
                <w14:ligatures w14:val="none"/>
              </w:rPr>
              <w:t xml:space="preserve">投标人</w:t>
            </w:r>
            <w:r>
              <w:rPr>
                <w:rFonts w:hint="eastAsia" w:ascii="宋体" w:hAnsi="宋体" w:eastAsia="宋体" w:cs="宋体"/>
                <w:color w:val="auto"/>
                <w:sz w:val="24"/>
                <w:szCs w:val="24"/>
                <w:highlight w:val="none"/>
                <w14:ligatures w14:val="none"/>
              </w:rPr>
              <w:t xml:space="preserve">应将演示视频上传在</w:t>
            </w:r>
            <w:r>
              <w:rPr>
                <w:rFonts w:hint="eastAsia" w:ascii="宋体" w:hAnsi="宋体" w:cs="宋体"/>
                <w:color w:val="auto"/>
                <w:sz w:val="24"/>
                <w:szCs w:val="24"/>
                <w:highlight w:val="none"/>
                <w:lang w:eastAsia="zh-CN"/>
                <w14:ligatures w14:val="none"/>
              </w:rPr>
              <w:t xml:space="preserve">投标</w:t>
            </w:r>
            <w:r>
              <w:rPr>
                <w:rFonts w:hint="eastAsia" w:ascii="宋体" w:hAnsi="宋体" w:eastAsia="宋体" w:cs="宋体"/>
                <w:color w:val="auto"/>
                <w:sz w:val="24"/>
                <w:szCs w:val="24"/>
                <w:highlight w:val="none"/>
                <w14:ligatures w14:val="none"/>
              </w:rPr>
              <w:t xml:space="preserve">文件组成——“视频演示”中</w:t>
            </w:r>
            <w:r>
              <w:rPr>
                <w:rFonts w:hint="eastAsia" w:ascii="宋体" w:hAnsi="宋体" w:eastAsia="宋体" w:cs="宋体"/>
                <w:color w:val="auto"/>
                <w:sz w:val="24"/>
                <w:szCs w:val="24"/>
                <w:highlight w:val="none"/>
                <w14:ligatures w14:val="none"/>
              </w:rPr>
              <w:t xml:space="preserve">，单个视频不超过30M，</w:t>
            </w:r>
            <w:r>
              <w:rPr>
                <w:rFonts w:hint="eastAsia" w:ascii="宋体" w:hAnsi="宋体" w:eastAsia="宋体" w:cs="宋体"/>
                <w:color w:val="auto"/>
                <w:sz w:val="24"/>
                <w:szCs w:val="24"/>
                <w:highlight w:val="none"/>
                <w:lang w:val="en-US" w:eastAsia="zh-CN"/>
                <w14:ligatures w14:val="none"/>
              </w:rPr>
              <w:t xml:space="preserve">总大小不能超过300M（MP4或AVI格式），上传形式为压缩包</w:t>
            </w:r>
            <w:r>
              <w:rPr>
                <w:rFonts w:hint="eastAsia" w:ascii="宋体" w:hAnsi="宋体" w:eastAsia="宋体" w:cs="宋体"/>
                <w:color w:val="auto"/>
                <w:sz w:val="24"/>
                <w:szCs w:val="24"/>
                <w:highlight w:val="none"/>
                <w14:ligatures w14:val="none"/>
              </w:rPr>
              <w:t xml:space="preserve">，未按要求操作无法上传的，责任由</w:t>
            </w:r>
            <w:r>
              <w:rPr>
                <w:rFonts w:hint="eastAsia" w:ascii="宋体" w:hAnsi="宋体" w:cs="宋体"/>
                <w:color w:val="auto"/>
                <w:sz w:val="24"/>
                <w:szCs w:val="24"/>
                <w:highlight w:val="none"/>
                <w:lang w:eastAsia="zh-CN"/>
                <w14:ligatures w14:val="none"/>
              </w:rPr>
              <w:t xml:space="preserve">投标人</w:t>
            </w:r>
            <w:r>
              <w:rPr>
                <w:rFonts w:hint="eastAsia" w:ascii="宋体" w:hAnsi="宋体" w:eastAsia="宋体" w:cs="宋体"/>
                <w:color w:val="auto"/>
                <w:sz w:val="24"/>
                <w:szCs w:val="24"/>
                <w:highlight w:val="none"/>
                <w14:ligatures w14:val="none"/>
              </w:rPr>
              <w:t xml:space="preserve">自负。</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评审专家针对系统真实性进行校验，包括但不限于：系统数据可点击、页面可跳转、界面间可联动、数据可钻取，评审专家根据演示完整度以及功能符合度给予评分，每满足1项得0.5分，不满足或未演示不得分，本项最高得9分。</w:t>
            </w:r>
            <w:r>
              <w:rPr>
                <w:rFonts w:hint="eastAsia" w:ascii="宋体" w:hAnsi="宋体" w:eastAsia="宋体" w:cs="宋体"/>
                <w:b/>
                <w:bCs/>
                <w:color w:val="auto"/>
                <w:sz w:val="24"/>
                <w:szCs w:val="24"/>
                <w:highlight w:val="none"/>
                <w14:ligatures w14:val="none"/>
              </w:rPr>
              <w:t xml:space="preserve">投标人须提供演示</w:t>
            </w:r>
            <w:r>
              <w:rPr>
                <w:rFonts w:hint="eastAsia" w:ascii="宋体" w:hAnsi="宋体" w:cs="宋体"/>
                <w:b/>
                <w:bCs/>
                <w:color w:val="auto"/>
                <w:sz w:val="24"/>
                <w:szCs w:val="24"/>
                <w:highlight w:val="none"/>
                <w:lang w:eastAsia="zh-CN"/>
                <w14:ligatures w14:val="none"/>
              </w:rPr>
              <w:t xml:space="preserve">系统</w:t>
            </w:r>
            <w:r>
              <w:rPr>
                <w:rFonts w:hint="eastAsia" w:ascii="宋体" w:hAnsi="宋体" w:eastAsia="宋体" w:cs="宋体"/>
                <w:b/>
                <w:bCs/>
                <w:color w:val="auto"/>
                <w:sz w:val="24"/>
                <w:szCs w:val="24"/>
                <w:highlight w:val="none"/>
                <w14:ligatures w14:val="none"/>
              </w:rPr>
              <w:t xml:space="preserve">环境真实性声明函，</w:t>
            </w:r>
            <w:r>
              <w:rPr>
                <w:rFonts w:hint="eastAsia" w:ascii="宋体" w:hAnsi="宋体" w:cs="宋体"/>
                <w:b/>
                <w:bCs/>
                <w:color w:val="auto"/>
                <w:sz w:val="24"/>
                <w:szCs w:val="24"/>
                <w:highlight w:val="none"/>
                <w:lang w:eastAsia="zh-CN"/>
                <w14:ligatures w14:val="none"/>
              </w:rPr>
              <w:t xml:space="preserve">只提供视频演示、未提供声明函</w:t>
            </w:r>
            <w:r>
              <w:rPr>
                <w:rFonts w:hint="eastAsia" w:ascii="宋体" w:hAnsi="宋体" w:eastAsia="宋体" w:cs="宋体"/>
                <w:b/>
                <w:bCs/>
                <w:color w:val="auto"/>
                <w:sz w:val="24"/>
                <w:szCs w:val="24"/>
                <w:highlight w:val="none"/>
                <w14:ligatures w14:val="none"/>
              </w:rPr>
              <w:t xml:space="preserve">不得分。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演示数据采集监控平台：（1）支持展现采集通道配置，数据实时同步，支持通过接口、FlinkCDC、OGG、Kafka等方式进行数据采集，支持数据采集的表和采集频率配置；（2）运行监控功能，展示每个采集通道延迟时间及运行状态，对运行状态进行可视化统计，如正常、异常及未知状态数量</w:t>
            </w:r>
            <w:r>
              <w:rPr>
                <w:rFonts w:hint="eastAsia" w:ascii="宋体" w:hAnsi="宋体" w:eastAsia="宋体" w:cs="宋体"/>
                <w:color w:val="auto"/>
                <w:sz w:val="24"/>
                <w:szCs w:val="24"/>
                <w:highlight w:val="none"/>
                <w:lang w:eastAsia="zh-CN"/>
                <w14:ligatures w14:val="none"/>
              </w:rPr>
              <w:t xml:space="preserve">，以</w:t>
            </w:r>
            <w:r>
              <w:rPr>
                <w:rFonts w:hint="eastAsia" w:ascii="宋体" w:hAnsi="宋体" w:eastAsia="宋体" w:cs="宋体"/>
                <w:color w:val="auto"/>
                <w:sz w:val="24"/>
                <w:szCs w:val="24"/>
                <w:highlight w:val="none"/>
                <w14:ligatures w14:val="none"/>
              </w:rPr>
              <w:t xml:space="preserve">可视化的方式展示采集通道详情，查看和筛选采集通道日志。</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每个演示要点0.5分，共1分。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演示数据一致性校验功能：包括（1）新建并配置从数据源到数据源资产的数据对账任务，包括数据量和精度对账类型，可配置全库或单个数据表对账范围、任务执行周期；（2）列表查看已配置的数据对账任务及执行情况，可查看数据对账结果和具体差异详情，如数据量、字段值等具体差异。每个演示要点0.5分，共1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演示数据结构化处理：（1）对电子病历中非结构化数据中医学实体识别和关系识别，提供在实体识别和关系识别的基础上增加逻辑控制，并进行字段的结构化抽取；（2）支持文本日志可视化方式展示结构化过程。每个演示要点0.5分，共1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4.演示数据质控功能：提供跨数据库的质控规则定义，包括设置规则逻辑、评价标准、规则权重和标签，支持新建正则类/SQL类的规则模版，包括规则标签、权重和预警阈值配置。每个演示要点0.5分，共0.5分。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演示数据资产管理平台：（1）支持展现数据资产查询功能，可通过关键字对数据库、数据表、数据字段、SQL资产进行全局检索；（2）支持查询数据表下数据量的时间分布、表结构、表样例数据、主外键关系、表影响、表血缘；（3）并支持数据概要分析，需包含有值数、空值数、去重计数、唯一值数、非唯一值数等数据特征的展示。</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每个演示要点0.5分，共1.5分。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 演示数据开放平台：（1）支持上传数据作为临时表，并可与库内其他表进行匹配查询，并支持SQL查询语句可保存并分享，分享后的SQL语句可以在资产平台查询，实现SQL语句的复用；（2）支持基于数据集封装数据API申请，包括API名称、API描述、接口方式、请求方式；（3）具备在线数据加工功能，包括拖拽组件、可视化数据处理逻辑编排、多种开发组件组合编排。每个演示要点0.5分，共1.5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 演示指标中台：（1）支持根据应用场景的需求选择相应的数据库表及字段内容构建主题数据集；（2）支持原子指标、派生指标、复合指标的创建；（3）支持查看指标详情，包括指标名称、描述、业务口径、指标定义、血缘关系、变更历史信息。每个演示要点0.5分，共1.5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 演示医院运营管理功能：（1）演示门急诊专项分析界面，包括门急诊总收入、门急诊工作量、门急诊次均费用等运营情况，以表格形式快速查看界面所有指标详情（分类和定义等），支持下钻分析，在界面中快速申请具体数据导出；（2）演示通过拖拽图表组件方式快速搭建运营管理可视化看板，支持多种组件和控件的添加和配置，如指标选取、图表下钻、图表联动、日期数据聚合等。每个演示要点0.5分，共1分。</w:t>
            </w:r>
            <w:r/>
          </w:p>
          <w:p>
            <w:pPr>
              <w:ind w:left="0" w:firstLine="0"/>
              <w:jc w:val="left"/>
              <w:spacing w:after="100" w:line="259" w:lineRule="auto"/>
              <w:widowControl/>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b/>
                <w:bCs/>
                <w:color w:val="auto"/>
                <w:sz w:val="24"/>
                <w:szCs w:val="24"/>
                <w:highlight w:val="none"/>
                <w:lang w:val="en-US" w:eastAsia="zh-CN" w:bidi="ar-SA"/>
                <w14:ligatures w14:val="none"/>
              </w:rPr>
              <w:t xml:space="preserve">注：</w:t>
            </w:r>
            <w:r>
              <w:rPr>
                <w:rFonts w:hint="eastAsia" w:ascii="宋体" w:hAnsi="宋体" w:eastAsia="宋体" w:cs="宋体"/>
                <w:b/>
                <w:bCs/>
                <w:color w:val="auto"/>
                <w:sz w:val="24"/>
                <w:szCs w:val="24"/>
                <w:highlight w:val="none"/>
                <w:lang w:val="en-US" w:eastAsia="zh-CN" w:bidi="ar-SA"/>
                <w14:ligatures w14:val="none"/>
              </w:rPr>
              <w:t xml:space="preserve">按8个大项制作8个独立视频章节，顺序与评分细则一致。每个章节内须通过字幕或口播逐条标注小项编号，确保每一项清晰可查，未按章节制作或未标注小项导致无法核对的，对应项不予计分。</w:t>
            </w:r>
            <w:r/>
          </w:p>
        </w:tc>
      </w:tr>
      <w:tr>
        <w:trPr>
          <w:trHeight w:val="780"/>
        </w:trPr>
        <w:tc>
          <w:tcPr>
            <w:tcW w:w="373" w:type="pct"/>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10</w:t>
            </w:r>
            <w:r/>
          </w:p>
        </w:tc>
        <w:tc>
          <w:tcPr>
            <w:shd w:val="clear" w:color="000000" w:fill="ffffff"/>
            <w:tcW w:w="639"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14:ligatures w14:val="none"/>
              </w:rPr>
              <w:t xml:space="preserve">实施方案</w:t>
            </w:r>
            <w:r>
              <w:rPr>
                <w:rFonts w:hint="eastAsia" w:ascii="宋体" w:hAnsi="宋体" w:eastAsia="宋体" w:cs="宋体"/>
                <w:color w:val="auto"/>
                <w:sz w:val="24"/>
                <w:szCs w:val="24"/>
                <w:highlight w:val="none"/>
                <w:lang w:eastAsia="zh-CN"/>
                <w14:ligatures w14:val="none"/>
              </w:rPr>
              <w:t xml:space="preserve">（</w:t>
            </w:r>
            <w:r>
              <w:rPr>
                <w:rFonts w:hint="eastAsia" w:ascii="宋体" w:hAnsi="宋体" w:cs="宋体"/>
                <w:color w:val="auto"/>
                <w:sz w:val="24"/>
                <w:szCs w:val="24"/>
                <w:highlight w:val="none"/>
                <w:lang w:val="en-US" w:eastAsia="zh-CN"/>
                <w14:ligatures w14:val="none"/>
              </w:rPr>
              <w:t xml:space="preserve">10</w:t>
            </w:r>
            <w:r>
              <w:rPr>
                <w:rFonts w:hint="eastAsia" w:ascii="宋体" w:hAnsi="宋体" w:eastAsia="宋体" w:cs="宋体"/>
                <w:color w:val="auto"/>
                <w:sz w:val="24"/>
                <w:szCs w:val="24"/>
                <w:highlight w:val="none"/>
                <w:lang w:val="en-US" w:eastAsia="zh-CN"/>
                <w14:ligatures w14:val="none"/>
              </w:rPr>
              <w:t xml:space="preserve">分</w:t>
            </w:r>
            <w:r>
              <w:rPr>
                <w:rFonts w:hint="eastAsia" w:ascii="宋体" w:hAnsi="宋体" w:eastAsia="宋体" w:cs="宋体"/>
                <w:color w:val="auto"/>
                <w:sz w:val="24"/>
                <w:szCs w:val="24"/>
                <w:highlight w:val="none"/>
                <w:lang w:eastAsia="zh-CN"/>
                <w14:ligatures w14:val="none"/>
              </w:rPr>
              <w:t xml:space="preserve">）</w:t>
            </w:r>
            <w:r/>
          </w:p>
        </w:tc>
        <w:tc>
          <w:tcPr>
            <w:shd w:val="clear" w:color="auto" w:fill="auto"/>
            <w:tcW w:w="3987"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根据投标文件提供的项目质量保证措施、资源配置计划、人员安排计划、项目进度安排、应急预案的全面性、可行性等方面进行总体评价。</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全面性(</w:t>
            </w:r>
            <w:r>
              <w:rPr>
                <w:rFonts w:hint="eastAsia" w:ascii="宋体" w:hAnsi="宋体" w:cs="宋体"/>
                <w:color w:val="auto"/>
                <w:sz w:val="24"/>
                <w:szCs w:val="24"/>
                <w:highlight w:val="none"/>
                <w:lang w:val="en-US" w:eastAsia="zh-CN"/>
                <w14:ligatures w14:val="none"/>
              </w:rPr>
              <w:t xml:space="preserve">5</w:t>
            </w:r>
            <w:r>
              <w:rPr>
                <w:rFonts w:hint="eastAsia" w:ascii="宋体" w:hAnsi="宋体" w:eastAsia="宋体" w:cs="宋体"/>
                <w:color w:val="auto"/>
                <w:sz w:val="24"/>
                <w:szCs w:val="24"/>
                <w:highlight w:val="none"/>
                <w14:ligatures w14:val="none"/>
              </w:rPr>
              <w:t xml:space="preserve">分)：全面具体详实得</w:t>
            </w:r>
            <w:r>
              <w:rPr>
                <w:rFonts w:hint="eastAsia" w:ascii="宋体" w:hAnsi="宋体" w:cs="宋体"/>
                <w:color w:val="auto"/>
                <w:sz w:val="24"/>
                <w:szCs w:val="24"/>
                <w:highlight w:val="none"/>
                <w:lang w:val="en-US" w:eastAsia="zh-CN"/>
                <w14:ligatures w14:val="none"/>
              </w:rPr>
              <w:t xml:space="preserve">5</w:t>
            </w:r>
            <w:r>
              <w:rPr>
                <w:rFonts w:hint="eastAsia" w:ascii="宋体" w:hAnsi="宋体" w:eastAsia="宋体" w:cs="宋体"/>
                <w:color w:val="auto"/>
                <w:sz w:val="24"/>
                <w:szCs w:val="24"/>
                <w:highlight w:val="none"/>
                <w14:ligatures w14:val="none"/>
              </w:rPr>
              <w:t xml:space="preserve">分；较全面得</w:t>
            </w:r>
            <w:r>
              <w:rPr>
                <w:rFonts w:hint="eastAsia" w:ascii="宋体" w:hAnsi="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14:ligatures w14:val="none"/>
              </w:rPr>
              <w:t xml:space="preserve">分；不全面得1分。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可行性(</w:t>
            </w:r>
            <w:r>
              <w:rPr>
                <w:rFonts w:hint="eastAsia" w:ascii="宋体" w:hAnsi="宋体" w:cs="宋体"/>
                <w:color w:val="auto"/>
                <w:sz w:val="24"/>
                <w:szCs w:val="24"/>
                <w:highlight w:val="none"/>
                <w:lang w:val="en-US" w:eastAsia="zh-CN"/>
                <w14:ligatures w14:val="none"/>
              </w:rPr>
              <w:t xml:space="preserve">5</w:t>
            </w:r>
            <w:r>
              <w:rPr>
                <w:rFonts w:hint="eastAsia" w:ascii="宋体" w:hAnsi="宋体" w:eastAsia="宋体" w:cs="宋体"/>
                <w:color w:val="auto"/>
                <w:sz w:val="24"/>
                <w:szCs w:val="24"/>
                <w:highlight w:val="none"/>
                <w14:ligatures w14:val="none"/>
              </w:rPr>
              <w:t xml:space="preserve">分)：符合实际切实可行得</w:t>
            </w:r>
            <w:r>
              <w:rPr>
                <w:rFonts w:hint="eastAsia" w:ascii="宋体" w:hAnsi="宋体" w:cs="宋体"/>
                <w:color w:val="auto"/>
                <w:sz w:val="24"/>
                <w:szCs w:val="24"/>
                <w:highlight w:val="none"/>
                <w:lang w:val="en-US" w:eastAsia="zh-CN"/>
                <w14:ligatures w14:val="none"/>
              </w:rPr>
              <w:t xml:space="preserve">5</w:t>
            </w:r>
            <w:r>
              <w:rPr>
                <w:rFonts w:hint="eastAsia" w:ascii="宋体" w:hAnsi="宋体" w:eastAsia="宋体" w:cs="宋体"/>
                <w:color w:val="auto"/>
                <w:sz w:val="24"/>
                <w:szCs w:val="24"/>
                <w:highlight w:val="none"/>
                <w14:ligatures w14:val="none"/>
              </w:rPr>
              <w:t xml:space="preserve">分；较切实可行得</w:t>
            </w:r>
            <w:r>
              <w:rPr>
                <w:rFonts w:hint="eastAsia" w:ascii="宋体" w:hAnsi="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14:ligatures w14:val="none"/>
              </w:rPr>
              <w:t xml:space="preserve">分；可行性欠缺得1分。</w:t>
            </w:r>
            <w:r/>
          </w:p>
          <w:p>
            <w:pPr>
              <w:ind w:firstLine="0"/>
              <w:jc w:val="left"/>
              <w:spacing w:line="240" w:lineRule="auto"/>
              <w:widowControl/>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14:ligatures w14:val="none"/>
              </w:rPr>
              <w:t xml:space="preserve">未提供的得0分。</w:t>
            </w:r>
            <w:r/>
          </w:p>
        </w:tc>
      </w:tr>
      <w:tr>
        <w:trPr>
          <w:trHeight w:val="780"/>
        </w:trPr>
        <w:tc>
          <w:tcPr>
            <w:tcW w:w="373" w:type="pct"/>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11</w:t>
            </w:r>
            <w:r/>
          </w:p>
        </w:tc>
        <w:tc>
          <w:tcPr>
            <w:tcW w:w="639"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售后服务</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8分</w:t>
            </w:r>
            <w:r>
              <w:rPr>
                <w:rFonts w:hint="eastAsia" w:ascii="宋体" w:hAnsi="宋体" w:eastAsia="宋体" w:cs="宋体"/>
                <w:color w:val="auto"/>
                <w:sz w:val="24"/>
                <w:szCs w:val="24"/>
                <w:highlight w:val="none"/>
                <w:lang w:eastAsia="zh-CN"/>
                <w14:ligatures w14:val="none"/>
              </w:rPr>
              <w:t xml:space="preserve">）</w:t>
            </w:r>
            <w:r/>
          </w:p>
        </w:tc>
        <w:tc>
          <w:tcPr>
            <w:tcW w:w="3987" w:type="pct"/>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根据投标文件提供的项目服务响应时间、人员配备方案、维护方案、持续性服务改进方案、运维服务方案</w:t>
            </w:r>
            <w:r>
              <w:rPr>
                <w:rFonts w:hint="eastAsia" w:ascii="宋体" w:hAnsi="宋体" w:eastAsia="宋体" w:cs="宋体"/>
                <w:color w:val="auto"/>
                <w:sz w:val="24"/>
                <w:szCs w:val="24"/>
                <w:highlight w:val="none"/>
                <w:lang w:eastAsia="zh-CN"/>
                <w14:ligatures w14:val="none"/>
              </w:rPr>
              <w:t xml:space="preserve">、培训方案、培训计划</w:t>
            </w:r>
            <w:r>
              <w:rPr>
                <w:rFonts w:hint="eastAsia" w:ascii="宋体" w:hAnsi="宋体" w:eastAsia="宋体" w:cs="宋体"/>
                <w:color w:val="auto"/>
                <w:sz w:val="24"/>
                <w:szCs w:val="24"/>
                <w:highlight w:val="none"/>
                <w14:ligatures w14:val="none"/>
              </w:rPr>
              <w:t xml:space="preserve">的全面性、可行性等方面进行总体评价。</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全面性(</w:t>
            </w:r>
            <w:r>
              <w:rPr>
                <w:rFonts w:hint="eastAsia" w:ascii="宋体" w:hAnsi="宋体" w:eastAsia="宋体" w:cs="宋体"/>
                <w:color w:val="auto"/>
                <w:sz w:val="24"/>
                <w:szCs w:val="24"/>
                <w:highlight w:val="none"/>
                <w:lang w:val="en-US" w:eastAsia="zh-CN"/>
                <w14:ligatures w14:val="none"/>
              </w:rPr>
              <w:t xml:space="preserve">4</w:t>
            </w:r>
            <w:r>
              <w:rPr>
                <w:rFonts w:hint="eastAsia" w:ascii="宋体" w:hAnsi="宋体" w:eastAsia="宋体" w:cs="宋体"/>
                <w:color w:val="auto"/>
                <w:sz w:val="24"/>
                <w:szCs w:val="24"/>
                <w:highlight w:val="none"/>
                <w14:ligatures w14:val="none"/>
              </w:rPr>
              <w:t xml:space="preserve">分)：全面具体详实得</w:t>
            </w:r>
            <w:r>
              <w:rPr>
                <w:rFonts w:hint="eastAsia" w:ascii="宋体" w:hAnsi="宋体" w:eastAsia="宋体" w:cs="宋体"/>
                <w:color w:val="auto"/>
                <w:sz w:val="24"/>
                <w:szCs w:val="24"/>
                <w:highlight w:val="none"/>
                <w:lang w:val="en-US" w:eastAsia="zh-CN"/>
                <w14:ligatures w14:val="none"/>
              </w:rPr>
              <w:t xml:space="preserve">4</w:t>
            </w:r>
            <w:r>
              <w:rPr>
                <w:rFonts w:hint="eastAsia" w:ascii="宋体" w:hAnsi="宋体" w:eastAsia="宋体" w:cs="宋体"/>
                <w:color w:val="auto"/>
                <w:sz w:val="24"/>
                <w:szCs w:val="24"/>
                <w:highlight w:val="none"/>
                <w14:ligatures w14:val="none"/>
              </w:rPr>
              <w:t xml:space="preserve">分；较全面得</w:t>
            </w:r>
            <w:r>
              <w:rPr>
                <w:rFonts w:hint="eastAsia" w:ascii="宋体" w:hAnsi="宋体" w:eastAsia="宋体" w:cs="宋体"/>
                <w:color w:val="auto"/>
                <w:sz w:val="24"/>
                <w:szCs w:val="24"/>
                <w:highlight w:val="none"/>
                <w:lang w:val="en-US" w:eastAsia="zh-CN"/>
                <w14:ligatures w14:val="none"/>
              </w:rPr>
              <w:t xml:space="preserve">2</w:t>
            </w:r>
            <w:r>
              <w:rPr>
                <w:rFonts w:hint="eastAsia" w:ascii="宋体" w:hAnsi="宋体" w:eastAsia="宋体" w:cs="宋体"/>
                <w:color w:val="auto"/>
                <w:sz w:val="24"/>
                <w:szCs w:val="24"/>
                <w:highlight w:val="none"/>
                <w14:ligatures w14:val="none"/>
              </w:rPr>
              <w:t xml:space="preserve">分；不全面得1分。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可行性(</w:t>
            </w:r>
            <w:r>
              <w:rPr>
                <w:rFonts w:hint="eastAsia" w:ascii="宋体" w:hAnsi="宋体" w:eastAsia="宋体" w:cs="宋体"/>
                <w:color w:val="auto"/>
                <w:sz w:val="24"/>
                <w:szCs w:val="24"/>
                <w:highlight w:val="none"/>
                <w:lang w:val="en-US" w:eastAsia="zh-CN"/>
                <w14:ligatures w14:val="none"/>
              </w:rPr>
              <w:t xml:space="preserve">4</w:t>
            </w:r>
            <w:r>
              <w:rPr>
                <w:rFonts w:hint="eastAsia" w:ascii="宋体" w:hAnsi="宋体" w:eastAsia="宋体" w:cs="宋体"/>
                <w:color w:val="auto"/>
                <w:sz w:val="24"/>
                <w:szCs w:val="24"/>
                <w:highlight w:val="none"/>
                <w14:ligatures w14:val="none"/>
              </w:rPr>
              <w:t xml:space="preserve">分)：符合实际切实可行得</w:t>
            </w:r>
            <w:r>
              <w:rPr>
                <w:rFonts w:hint="eastAsia" w:ascii="宋体" w:hAnsi="宋体" w:eastAsia="宋体" w:cs="宋体"/>
                <w:color w:val="auto"/>
                <w:sz w:val="24"/>
                <w:szCs w:val="24"/>
                <w:highlight w:val="none"/>
                <w:lang w:val="en-US" w:eastAsia="zh-CN"/>
                <w14:ligatures w14:val="none"/>
              </w:rPr>
              <w:t xml:space="preserve">4</w:t>
            </w:r>
            <w:r>
              <w:rPr>
                <w:rFonts w:hint="eastAsia" w:ascii="宋体" w:hAnsi="宋体" w:eastAsia="宋体" w:cs="宋体"/>
                <w:color w:val="auto"/>
                <w:sz w:val="24"/>
                <w:szCs w:val="24"/>
                <w:highlight w:val="none"/>
                <w14:ligatures w14:val="none"/>
              </w:rPr>
              <w:t xml:space="preserve">分；较切实可行得</w:t>
            </w:r>
            <w:r>
              <w:rPr>
                <w:rFonts w:hint="eastAsia" w:ascii="宋体" w:hAnsi="宋体" w:eastAsia="宋体" w:cs="宋体"/>
                <w:color w:val="auto"/>
                <w:sz w:val="24"/>
                <w:szCs w:val="24"/>
                <w:highlight w:val="none"/>
                <w:lang w:val="en-US" w:eastAsia="zh-CN"/>
                <w14:ligatures w14:val="none"/>
              </w:rPr>
              <w:t xml:space="preserve">2</w:t>
            </w:r>
            <w:r>
              <w:rPr>
                <w:rFonts w:hint="eastAsia" w:ascii="宋体" w:hAnsi="宋体" w:eastAsia="宋体" w:cs="宋体"/>
                <w:color w:val="auto"/>
                <w:sz w:val="24"/>
                <w:szCs w:val="24"/>
                <w:highlight w:val="none"/>
                <w14:ligatures w14:val="none"/>
              </w:rPr>
              <w:t xml:space="preserve">分；可行性欠缺得1分。</w:t>
            </w:r>
            <w:r/>
          </w:p>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未提供的得0分。</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94"/>
        <w:rPr>
          <w:rFonts w:hint="eastAsia"/>
          <w:color w:val="auto"/>
          <w:highlight w:val="none"/>
        </w:rPr>
      </w:pPr>
      <w:r>
        <w:rPr>
          <w:rFonts w:hint="eastAsia"/>
          <w:color w:val="auto"/>
          <w:highlight w:val="none"/>
        </w:rPr>
        <w:t xml:space="preserve">第五章 拟签订的合同文本</w:t>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pStyle w:val="84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pStyle w:val="84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pStyle w:val="84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84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84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848"/>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同</w:t>
      </w:r>
      <w:r/>
    </w:p>
    <w:p>
      <w:pPr>
        <w:pStyle w:val="848"/>
        <w:rPr>
          <w:rFonts w:hint="eastAsia" w:ascii="宋体" w:hAnsi="宋体" w:cs="宋体"/>
          <w:color w:val="auto"/>
          <w:highlight w:val="none"/>
        </w:rPr>
      </w:pPr>
      <w:r>
        <w:rPr>
          <w:rFonts w:hint="eastAsia" w:ascii="宋体" w:hAnsi="宋体" w:cs="宋体"/>
          <w:color w:val="auto"/>
          <w:highlight w:val="none"/>
        </w:rPr>
      </w:r>
      <w:r/>
    </w:p>
    <w:p>
      <w:pPr>
        <w:pStyle w:val="848"/>
        <w:rPr>
          <w:rFonts w:hint="eastAsia" w:ascii="宋体" w:hAnsi="宋体" w:cs="宋体"/>
          <w:color w:val="auto"/>
          <w:highlight w:val="none"/>
        </w:rPr>
      </w:pPr>
      <w:r>
        <w:rPr>
          <w:rFonts w:hint="eastAsia" w:ascii="宋体" w:hAnsi="宋体" w:cs="宋体"/>
          <w:color w:val="auto"/>
          <w:highlight w:val="none"/>
        </w:rPr>
      </w:r>
      <w:r/>
    </w:p>
    <w:p>
      <w:pPr>
        <w:pStyle w:val="842"/>
        <w:ind w:left="0" w:firstLine="0"/>
        <w:rPr>
          <w:rFonts w:hint="eastAsia" w:ascii="宋体" w:hAnsi="宋体" w:cs="宋体"/>
          <w:color w:val="auto"/>
          <w:highlight w:val="none"/>
        </w:rPr>
      </w:pPr>
      <w:r>
        <w:rPr>
          <w:rFonts w:hint="eastAsia" w:ascii="宋体" w:hAnsi="宋体" w:cs="宋体"/>
          <w:color w:val="auto"/>
          <w:highlight w:val="none"/>
        </w:rPr>
      </w:r>
      <w:r/>
    </w:p>
    <w:p>
      <w:pPr>
        <w:pStyle w:val="848"/>
        <w:rPr>
          <w:rFonts w:hint="eastAsia" w:ascii="宋体" w:hAnsi="宋体" w:cs="宋体"/>
          <w:color w:val="auto"/>
          <w:highlight w:val="none"/>
        </w:rPr>
      </w:pPr>
      <w:r>
        <w:rPr>
          <w:rFonts w:hint="eastAsia" w:ascii="宋体" w:hAnsi="宋体" w:cs="宋体"/>
          <w:color w:val="auto"/>
          <w:highlight w:val="none"/>
        </w:rPr>
      </w:r>
      <w:r/>
    </w:p>
    <w:p>
      <w:pPr>
        <w:pStyle w:val="848"/>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  购  人：</w:t>
      </w:r>
      <w:r/>
    </w:p>
    <w:p>
      <w:pPr>
        <w:pStyle w:val="848"/>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成交供应商：</w:t>
      </w:r>
      <w:r/>
    </w:p>
    <w:p>
      <w:pPr>
        <w:pStyle w:val="848"/>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合同签订日期： 年 月 日</w:t>
      </w:r>
      <w:r/>
    </w:p>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pStyle w:val="1105"/>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                    项目名称：</w:t>
      </w:r>
      <w:r/>
    </w:p>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                    项目编号：</w:t>
      </w:r>
      <w:r/>
    </w:p>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签订日期：</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甲、乙双方根据《中华人民共和国政府采购法》《中华人民共和国民法典》, 按照本项目发出的中标通知书、招标文件及乙方的投标文件等，按照平等、自愿的原则，经友好协商，签订本合同。</w:t>
      </w:r>
      <w:r/>
    </w:p>
    <w:p>
      <w:pPr>
        <w:contextualSpacing/>
        <w:ind w:left="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一、项目基本情况</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.建设目标：见合同附件1。</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.建设清单：见合同附件1。</w:t>
      </w:r>
      <w:r/>
    </w:p>
    <w:p>
      <w:pPr>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二、合同总价</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合同总价：￥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人民币         元整</w:t>
      </w:r>
      <w:r>
        <w:rPr>
          <w:rFonts w:hint="eastAsia" w:ascii="宋体" w:hAnsi="宋体" w:eastAsia="宋体" w:cs="宋体"/>
          <w:color w:val="auto"/>
          <w:sz w:val="24"/>
          <w:szCs w:val="24"/>
          <w:highlight w:val="none"/>
        </w:rPr>
        <w:t xml:space="preserve">）。本合同总价已包含相应的税费等费用。</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三、支付（采购资金的支付方式、时间、条件）</w:t>
      </w:r>
      <w:r/>
    </w:p>
    <w:p>
      <w:pPr>
        <w:ind w:firstLine="480"/>
        <w:keepLines w:val="0"/>
        <w:keepNext w:val="0"/>
        <w:spacing w:line="44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firstLine="480"/>
        <w:keepLines w:val="0"/>
        <w:keepNext w:val="0"/>
        <w:spacing w:line="44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）提交预付款保函的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合同总价的百分之四十（40%）即￥</w:t>
      </w:r>
      <w:r>
        <w:rPr>
          <w:rFonts w:ascii="SimSun" w:hAnsi="SimSun" w:eastAsia="SimSun" w:cs="SimSun"/>
          <w:color w:val="000000"/>
          <w:sz w:val="24"/>
          <w:u w:val="single"/>
        </w:rPr>
        <w:t xml:space="preserve">          大写：人民币</w:t>
      </w:r>
      <w:r>
        <w:rPr>
          <w:rFonts w:ascii="SimSun" w:hAnsi="SimSun" w:eastAsia="SimSun" w:cs="SimSun"/>
          <w:color w:val="000000"/>
          <w:sz w:val="24"/>
        </w:rPr>
        <w:t xml:space="preserve">，在合同签订生效，甲方自收到发票（发票金额为审核确认金额）和等额的预付款保函后10个工作日内，将资金支付到合同约定的乙方账户；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合同总价的百分之二十（20%）即</w:t>
      </w:r>
      <w:r>
        <w:rPr>
          <w:rFonts w:ascii="SimSun" w:hAnsi="SimSun" w:eastAsia="SimSun" w:cs="SimSun"/>
          <w:color w:val="000000"/>
          <w:sz w:val="24"/>
          <w:u w:val="single"/>
        </w:rPr>
        <w:t xml:space="preserve">￥  大写：人民币</w:t>
      </w:r>
      <w:r>
        <w:rPr>
          <w:rFonts w:ascii="SimSun" w:hAnsi="SimSun" w:eastAsia="SimSun" w:cs="SimSun"/>
          <w:color w:val="000000"/>
          <w:sz w:val="24"/>
        </w:rPr>
        <w:t xml:space="preserve">，数据治理建设完成并经甲方确认后，甲方自收到发票（发票金额为审核确认金额）后10个工作日内办理财政资金申请手续，将资金支付到合同约定的乙方账户；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合同总价的百分之二十（20%）即</w:t>
      </w:r>
      <w:r>
        <w:rPr>
          <w:rFonts w:ascii="SimSun" w:hAnsi="SimSun" w:eastAsia="SimSun" w:cs="SimSun"/>
          <w:color w:val="000000"/>
          <w:sz w:val="24"/>
          <w:u w:val="single"/>
        </w:rPr>
        <w:t xml:space="preserve">￥  大写：人民币</w:t>
      </w:r>
      <w:r>
        <w:rPr>
          <w:rFonts w:ascii="SimSun" w:hAnsi="SimSun" w:eastAsia="SimSun" w:cs="SimSun"/>
          <w:color w:val="000000"/>
          <w:sz w:val="24"/>
        </w:rPr>
        <w:t xml:space="preserve">，运营管理平台上线并经甲方确认后，甲方自收到发票（发票金额为审核确认金额）后10个工作日内办理财政资金申请手续，将资金支付到合同约定的乙方账户；</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ascii="SimSun" w:hAnsi="SimSun" w:eastAsia="SimSun" w:cs="SimSun"/>
          <w:color w:val="000000"/>
          <w:sz w:val="24"/>
        </w:rPr>
        <w:t xml:space="preserve">合同总价的百分之二十（20%）即</w:t>
      </w:r>
      <w:r>
        <w:rPr>
          <w:rFonts w:ascii="SimSun" w:hAnsi="SimSun" w:eastAsia="SimSun" w:cs="SimSun"/>
          <w:color w:val="000000"/>
          <w:sz w:val="24"/>
          <w:u w:val="single"/>
        </w:rPr>
        <w:t xml:space="preserve">￥  大写：人民币</w:t>
      </w:r>
      <w:r>
        <w:rPr>
          <w:rFonts w:ascii="SimSun" w:hAnsi="SimSun" w:eastAsia="SimSun" w:cs="SimSun"/>
          <w:color w:val="000000"/>
          <w:sz w:val="24"/>
        </w:rPr>
        <w:t xml:space="preserve">，项目经甲方最终验收合格后，甲方对乙方提交的结算文件审核确认后，自收到发票（发票金额为审核确认金额）后10个工作日内办理财政资金申请，将资金支付到合同约定的乙方账户。</w:t>
      </w:r>
      <w:r>
        <w:rPr>
          <w:rFonts w:hint="eastAsia" w:ascii="宋体" w:hAnsi="宋体" w:eastAsia="宋体" w:cs="宋体"/>
          <w:color w:val="auto"/>
          <w:sz w:val="24"/>
          <w:szCs w:val="24"/>
          <w:highlight w:val="none"/>
        </w:rPr>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（在签订合同时，供应商明确表示无需预付款或者主动要求降低预付款比例的，采购人可不适用前述规定。（注：此条符合苏财购〔2020〕52号文件要求））</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合同约定的乙方账户：</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开户银行：</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银行账号</w:t>
      </w:r>
      <w:r>
        <w:rPr>
          <w:rFonts w:hint="eastAsia" w:ascii="宋体" w:hAnsi="宋体" w:eastAsia="宋体" w:cs="宋体"/>
          <w:color w:val="auto"/>
          <w:sz w:val="24"/>
          <w:szCs w:val="24"/>
          <w:highlight w:val="none"/>
        </w:rPr>
        <w:t xml:space="preserve">：</w:t>
      </w:r>
      <w:r/>
    </w:p>
    <w:p>
      <w:pPr>
        <w:ind w:firstLine="480"/>
        <w:keepLines w:val="0"/>
        <w:keepNext w:val="0"/>
        <w:spacing w:line="44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）不提交预付款保函的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合同总价的百分之三十（30%）即</w:t>
      </w:r>
      <w:r>
        <w:rPr>
          <w:rFonts w:ascii="SimSun" w:hAnsi="SimSun" w:eastAsia="SimSun" w:cs="SimSun"/>
          <w:color w:val="000000"/>
          <w:sz w:val="24"/>
          <w:u w:val="single"/>
        </w:rPr>
        <w:t xml:space="preserve">￥  大写：人民</w:t>
      </w:r>
      <w:r>
        <w:rPr>
          <w:rFonts w:ascii="SimSun" w:hAnsi="SimSun" w:eastAsia="SimSun" w:cs="SimSun"/>
          <w:color w:val="000000"/>
          <w:sz w:val="24"/>
        </w:rPr>
        <w:t xml:space="preserve">币，在合同签订生效，甲方自收到发票（发票金额为审核确认金额）后10个工作日内， 将资金支付到合同约定的乙方账户；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合同总价的百分之二十（20%）即</w:t>
      </w:r>
      <w:r>
        <w:rPr>
          <w:rFonts w:ascii="SimSun" w:hAnsi="SimSun" w:eastAsia="SimSun" w:cs="SimSun"/>
          <w:color w:val="000000"/>
          <w:sz w:val="24"/>
          <w:u w:val="single"/>
        </w:rPr>
        <w:t xml:space="preserve">￥  大写：人民币</w:t>
      </w:r>
      <w:r>
        <w:rPr>
          <w:rFonts w:ascii="SimSun" w:hAnsi="SimSun" w:eastAsia="SimSun" w:cs="SimSun"/>
          <w:color w:val="000000"/>
          <w:sz w:val="24"/>
        </w:rPr>
        <w:t xml:space="preserve">，数据治理建设完成并经甲方确认后，甲方自收到发票（发票金额为审核确认金额）后10个工作日内办理财政资金申请手续，将资金支付到合同约定的乙方账户；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合同总价的百分之二十（20%）即</w:t>
      </w:r>
      <w:r>
        <w:rPr>
          <w:rFonts w:ascii="SimSun" w:hAnsi="SimSun" w:eastAsia="SimSun" w:cs="SimSun"/>
          <w:color w:val="000000"/>
          <w:sz w:val="24"/>
          <w:u w:val="single"/>
        </w:rPr>
        <w:t xml:space="preserve">￥  大写：人民币</w:t>
      </w:r>
      <w:r>
        <w:rPr>
          <w:rFonts w:ascii="SimSun" w:hAnsi="SimSun" w:eastAsia="SimSun" w:cs="SimSun"/>
          <w:color w:val="000000"/>
          <w:sz w:val="24"/>
        </w:rPr>
        <w:t xml:space="preserve">，运营管理平台上线并经甲方确认后，甲方自收到发票（发票金额为审核确认金额）后10个工作日内办理财政资金申请手续，将资金支付到合同约定的乙方账户；</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ascii="SimSun" w:hAnsi="SimSun" w:eastAsia="SimSun" w:cs="SimSun"/>
          <w:color w:val="000000"/>
          <w:sz w:val="24"/>
        </w:rPr>
        <w:t xml:space="preserve">合同总价的百分之三十（30%）即</w:t>
      </w:r>
      <w:r>
        <w:rPr>
          <w:rFonts w:ascii="SimSun" w:hAnsi="SimSun" w:eastAsia="SimSun" w:cs="SimSun"/>
          <w:color w:val="000000"/>
          <w:sz w:val="24"/>
          <w:u w:val="single"/>
        </w:rPr>
        <w:t xml:space="preserve">￥  大写：人民币</w:t>
      </w:r>
      <w:r>
        <w:rPr>
          <w:rFonts w:ascii="SimSun" w:hAnsi="SimSun" w:eastAsia="SimSun" w:cs="SimSun"/>
          <w:color w:val="000000"/>
          <w:sz w:val="24"/>
        </w:rPr>
        <w:t xml:space="preserve">，项目经甲方最终验收合格后，甲方对乙方提交的结算文件审核确认后，自收到发票（发票金额为审核确认金额）后10个工作日内办理财政资金申请，将资金支付到合同约定的乙方账户。</w:t>
      </w:r>
      <w:r>
        <w:rPr>
          <w:rFonts w:hint="eastAsia" w:ascii="宋体" w:hAnsi="宋体" w:eastAsia="宋体" w:cs="宋体"/>
          <w:color w:val="auto"/>
          <w:sz w:val="24"/>
          <w:szCs w:val="24"/>
          <w:highlight w:val="none"/>
        </w:rPr>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（在签订合同时，供应商明确表示无需预付款或者主动要求降低预付款比例的，采购人可不适用前述规定。（注：此条符合苏财购〔2020〕52号文件要求））</w:t>
      </w:r>
      <w:r>
        <w:rPr>
          <w:sz w:val="28"/>
        </w:rPr>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合同约定的乙方账户：</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开户银行：</w:t>
      </w:r>
      <w:r/>
    </w:p>
    <w:p>
      <w:pPr>
        <w:ind w:firstLine="480"/>
        <w:jc w:val="left"/>
        <w:keepLines w:val="0"/>
        <w:keepNext w:val="0"/>
        <w:spacing w:line="44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eastAsia="zh-CN"/>
        </w:rPr>
        <w:t xml:space="preserve">银行账号</w:t>
      </w:r>
      <w:r>
        <w:rPr>
          <w:rFonts w:hint="eastAsia" w:ascii="宋体" w:hAnsi="宋体" w:eastAsia="宋体" w:cs="宋体"/>
          <w:color w:val="auto"/>
          <w:sz w:val="24"/>
          <w:szCs w:val="24"/>
          <w:highlight w:val="none"/>
        </w:rPr>
        <w:t xml:space="preserve">：</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四、项目实施期限</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合同签订生效后</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个月内，完成本项目内容整体交付工作</w:t>
      </w:r>
      <w:r>
        <w:rPr>
          <w:rFonts w:hint="eastAsia" w:ascii="宋体" w:hAnsi="宋体" w:eastAsia="宋体" w:cs="宋体"/>
          <w:b w:val="0"/>
          <w:bCs w:val="0"/>
          <w:color w:val="auto"/>
          <w:sz w:val="24"/>
          <w:szCs w:val="24"/>
          <w:highlight w:val="none"/>
          <w:lang w:val="en-US" w:eastAsia="zh-CN"/>
        </w:rPr>
        <w:t xml:space="preserve">。</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 、项目服务地点及相关方案：</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1.项目服务地点：甲方指定地点。</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2.技术方案：见合同附件2。</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3.项目实施方案：见合同附件3。</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4.人员配备方案：见合同附件4。</w:t>
      </w:r>
      <w:r/>
    </w:p>
    <w:p>
      <w:pPr>
        <w:numPr>
          <w:ilvl w:val="0"/>
          <w:numId w:val="0"/>
        </w:numPr>
        <w:ind w:firstLine="24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lang w:val="en-US" w:eastAsia="zh-CN" w:bidi="ar-SA"/>
        </w:rPr>
        <w:t xml:space="preserve">数据管理</w:t>
      </w:r>
      <w:r/>
    </w:p>
    <w:p>
      <w:pPr>
        <w:pStyle w:val="1111"/>
        <w:numPr>
          <w:ilvl w:val="0"/>
          <w:numId w:val="3"/>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乙方对于甲方所提供的数据信息，仅能用于本协议下的服务之目的。</w:t>
      </w:r>
      <w:r/>
    </w:p>
    <w:p>
      <w:pPr>
        <w:pStyle w:val="1111"/>
        <w:numPr>
          <w:ilvl w:val="0"/>
          <w:numId w:val="3"/>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各方将密切配合，按照现行法律法规的要求下，充分保护患者隐私权，保障合同系统的合法性以及患者的合法权益。</w:t>
      </w:r>
      <w:r/>
    </w:p>
    <w:p>
      <w:pPr>
        <w:pStyle w:val="1111"/>
        <w:numPr>
          <w:ilvl w:val="0"/>
          <w:numId w:val="3"/>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乙方提供足够满足政府法律法规要求的信息安全解决方案，在合同系统的研发、运行等任何期间充分保障合同系统的数据安全。</w:t>
      </w:r>
      <w:r/>
    </w:p>
    <w:p>
      <w:pPr>
        <w:contextualSpacing/>
        <w:ind w:left="0" w:firstLine="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、安全及保密</w:t>
      </w:r>
      <w:r/>
    </w:p>
    <w:p>
      <w:pPr>
        <w:pStyle w:val="1111"/>
        <w:numPr>
          <w:ilvl w:val="0"/>
          <w:numId w:val="4"/>
        </w:numPr>
        <w:ind w:firstLine="180"/>
        <w:jc w:val="both"/>
        <w:keepLines w:val="0"/>
        <w:keepNext w:val="0"/>
        <w:pageBreakBefore w:val="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任何一方（下称“披露方”）提供给另一方（下称“接收方”）的与本协议或任何一方的业</w:t>
      </w:r>
      <w:r>
        <w:rPr>
          <w:rFonts w:hint="eastAsia" w:ascii="宋体" w:hAnsi="宋体" w:eastAsia="宋体" w:cs="宋体"/>
          <w:color w:val="auto"/>
          <w:sz w:val="24"/>
          <w:szCs w:val="24"/>
          <w:highlight w:val="none"/>
          <w:lang w:val="en-US" w:eastAsia="zh-CN" w:bidi="ar-SA"/>
        </w:rPr>
        <w:t xml:space="preserve">务、产品或项目有关的任何及所有信息、数据和材料（无论是否标明为“保密”，也无论是书面、口头、电子还是其它格式），包括但不限于员工信息、研发信息、临床研究信息、开发计划、业务策略、成本信息、客户、财务、销售、产品操作方法、技术工艺和其它业务事项和方法、以及任何其它未公开或不为公众所知的信息、数据和材料，均为保密信息(以下简称“保密信息”）。接收方将尽力予以保密；除非得到披露方的事先书面批准，接收方在任何时间均不得向第三方披露保密信息或为本协议之外的目的使用任何保密信息。甲方指定用户/客户有权获悉上述保密内容。</w:t>
      </w:r>
      <w:r/>
    </w:p>
    <w:p>
      <w:pPr>
        <w:pStyle w:val="1111"/>
        <w:numPr>
          <w:ilvl w:val="0"/>
          <w:numId w:val="4"/>
        </w:numPr>
        <w:ind w:firstLine="180"/>
        <w:jc w:val="both"/>
        <w:keepLines w:val="0"/>
        <w:keepNext w:val="0"/>
        <w:pageBreakBefore w:val="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本合同履行过程中，乙方对其从甲方或平台获悉的相关数据信息</w:t>
      </w:r>
      <w:r>
        <w:rPr>
          <w:rFonts w:hint="eastAsia" w:ascii="宋体" w:hAnsi="宋体" w:eastAsia="宋体" w:cs="宋体"/>
          <w:color w:val="auto"/>
          <w:sz w:val="24"/>
          <w:szCs w:val="24"/>
          <w:highlight w:val="none"/>
          <w:lang w:val="en-US" w:eastAsia="zh-CN" w:bidi="ar-SA"/>
        </w:rPr>
        <w:t xml:space="preserve">仅能用于本协议下的项目目的，除得到甲方出面同意外，乙方不应在本协议规定的目的以外使用。</w:t>
      </w:r>
      <w:r/>
    </w:p>
    <w:p>
      <w:pPr>
        <w:pStyle w:val="1111"/>
        <w:numPr>
          <w:ilvl w:val="0"/>
          <w:numId w:val="4"/>
        </w:numPr>
        <w:ind w:firstLine="180"/>
        <w:jc w:val="both"/>
        <w:keepLines w:val="0"/>
        <w:keepNext w:val="0"/>
        <w:pageBreakBefore w:val="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乙方对在工作过程中接触到的甲方的任何资料、文件、数据（无论是书面的还是电子的），以及对为甲方服务形成</w:t>
      </w:r>
      <w:r>
        <w:rPr>
          <w:rFonts w:hint="eastAsia" w:ascii="宋体" w:hAnsi="宋体" w:eastAsia="宋体" w:cs="宋体"/>
          <w:color w:val="auto"/>
          <w:sz w:val="24"/>
          <w:szCs w:val="24"/>
          <w:highlight w:val="none"/>
          <w:lang w:val="en-US" w:eastAsia="zh-Hans" w:bidi="ar-SA"/>
        </w:rPr>
        <w:t xml:space="preserve">定制</w:t>
      </w:r>
      <w:r>
        <w:rPr>
          <w:rFonts w:hint="eastAsia" w:ascii="宋体" w:hAnsi="宋体" w:eastAsia="宋体" w:cs="宋体"/>
          <w:color w:val="auto"/>
          <w:sz w:val="24"/>
          <w:szCs w:val="24"/>
          <w:highlight w:val="none"/>
          <w:lang w:val="zh-CN" w:eastAsia="zh-CN" w:bidi="ar-SA"/>
        </w:rPr>
        <w:t xml:space="preserve">交付物，负有为甲方保密的责任。未经甲方书面同意，乙方不得以任何方式向任何第三方提供或透露。在乙方服务结束后，电子文档的应从自己的电脑等存储设备上永久删除</w:t>
      </w:r>
      <w:r>
        <w:rPr>
          <w:rFonts w:hint="eastAsia" w:ascii="宋体" w:hAnsi="宋体" w:eastAsia="宋体" w:cs="宋体"/>
          <w:color w:val="auto"/>
          <w:sz w:val="24"/>
          <w:szCs w:val="24"/>
          <w:highlight w:val="none"/>
          <w:lang w:val="en-US" w:eastAsia="zh-CN" w:bidi="ar-SA"/>
        </w:rPr>
        <w:t xml:space="preserve">或移交甲方</w:t>
      </w:r>
      <w:r>
        <w:rPr>
          <w:rFonts w:hint="eastAsia" w:ascii="宋体" w:hAnsi="宋体" w:eastAsia="宋体" w:cs="宋体"/>
          <w:color w:val="auto"/>
          <w:sz w:val="24"/>
          <w:szCs w:val="24"/>
          <w:highlight w:val="none"/>
          <w:lang w:val="zh-CN" w:eastAsia="zh-CN" w:bidi="ar-SA"/>
        </w:rPr>
        <w:t xml:space="preserve">。本保密义务在本协议期满、解除或终止后仍然有效。乙方违反上述保密义务的，应当</w:t>
      </w:r>
      <w:r>
        <w:rPr>
          <w:rFonts w:hint="eastAsia" w:ascii="宋体" w:hAnsi="宋体" w:eastAsia="宋体" w:cs="宋体"/>
          <w:color w:val="auto"/>
          <w:sz w:val="24"/>
          <w:szCs w:val="24"/>
          <w:highlight w:val="none"/>
          <w:lang w:val="en-US" w:eastAsia="zh-CN" w:bidi="ar-SA"/>
        </w:rPr>
        <w:t xml:space="preserve">赔偿甲方全部损失</w:t>
      </w:r>
      <w:r>
        <w:rPr>
          <w:rFonts w:hint="eastAsia" w:ascii="宋体" w:hAnsi="宋体" w:eastAsia="宋体" w:cs="宋体"/>
          <w:color w:val="auto"/>
          <w:sz w:val="24"/>
          <w:szCs w:val="24"/>
          <w:highlight w:val="none"/>
          <w:lang w:val="zh-CN" w:eastAsia="zh-CN" w:bidi="ar-SA"/>
        </w:rPr>
        <w:t xml:space="preserve">。</w:t>
      </w:r>
      <w:r/>
    </w:p>
    <w:p>
      <w:pPr>
        <w:pStyle w:val="1111"/>
        <w:numPr>
          <w:ilvl w:val="0"/>
          <w:numId w:val="4"/>
        </w:numPr>
        <w:ind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本保密条款不因本协议的无效、解除、提前终止或不具操作性而失效。本协议期满后，各方的保密义务并不随之终止，保密义务直到另一方同意其解除此项义务或本协议中的保密信息不再具有保密属性，或事实上不会因违反保密义务而给另一方造成任何形式的损害时为止。</w:t>
      </w:r>
      <w:r/>
    </w:p>
    <w:p>
      <w:pPr>
        <w:contextualSpacing/>
        <w:ind w:left="0" w:firstLine="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、验收标准（验收要求、验收标准和程序）要求： </w:t>
      </w:r>
      <w:r/>
    </w:p>
    <w:p>
      <w:pPr>
        <w:contextualSpacing/>
        <w:ind w:left="0" w:firstLine="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1.按时完成项目所有要求，全部系统上线且平稳运行</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个月后进行项目最终验收。</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2.项目实施结束后，甲方及时组建验收小组根据国家有关规定、采购文件、投标文件、履约验收方案以及合同约定内容和验收标准进行验收，形成验收报告。</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3.验收时必须提供以下文档资料：所有实施的相关配置文件、《系统配置手册》、 《系统实施手册》，文档必须准确、清晰、完整、可追溯，满足软件系统安装、调试、运行、维护的需要，验收合格后以电子文件及纸质形式（不少于一式三份）全部提交给甲方</w:t>
      </w:r>
      <w:r>
        <w:rPr>
          <w:rFonts w:hint="eastAsia" w:ascii="宋体" w:hAnsi="宋体" w:eastAsia="宋体" w:cs="宋体"/>
          <w:color w:val="auto"/>
          <w:sz w:val="24"/>
          <w:szCs w:val="24"/>
          <w:highlight w:val="none"/>
        </w:rPr>
        <w:t xml:space="preserve">。</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4.如验收中出现不符合标书（招标文件及中标人投标文件）和合同要求的严重质量问题时，甲方保留索赔权利。</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5.验收过程中产生纠纷的，由质量技术监督部门认定的检测机构检测，如为乙方原因造成的， 由乙方承担检测费用。</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6.系统达到验收条件后，由乙方提出验收申请。</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7.甲方根据乙方提交的验收申请及实际情况进行确认。</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8.其他要求：见合同附件7。</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 甲乙双方的权利和义务</w:t>
      </w:r>
      <w:r/>
    </w:p>
    <w:p>
      <w:pPr>
        <w:pStyle w:val="1111"/>
        <w:numPr>
          <w:ilvl w:val="0"/>
          <w:numId w:val="5"/>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甲方确保所提供的软硬件环境能满足合同系统的运行要求。 </w:t>
      </w:r>
      <w:r/>
    </w:p>
    <w:p>
      <w:pPr>
        <w:pStyle w:val="1111"/>
        <w:numPr>
          <w:ilvl w:val="0"/>
          <w:numId w:val="5"/>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甲方有权对乙方的工作进行监督和检查、有权对乙方提出合理范围的修改意见和建议。</w:t>
      </w:r>
      <w:r/>
    </w:p>
    <w:p>
      <w:pPr>
        <w:pStyle w:val="1111"/>
        <w:numPr>
          <w:ilvl w:val="0"/>
          <w:numId w:val="5"/>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乙方有权要求甲方为本合同工作的开展提供必要的资料和便利；</w:t>
      </w:r>
      <w:r/>
    </w:p>
    <w:p>
      <w:pPr>
        <w:pStyle w:val="1111"/>
        <w:numPr>
          <w:ilvl w:val="0"/>
          <w:numId w:val="5"/>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乙方有权要求按本合同约定及时支付合同款项。</w:t>
      </w:r>
      <w:r/>
    </w:p>
    <w:p>
      <w:pPr>
        <w:pStyle w:val="1111"/>
        <w:numPr>
          <w:ilvl w:val="0"/>
          <w:numId w:val="5"/>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在合同期内，如乙方存在重大债务案件或申请破产等可能导致合同不能继续履行的情况时，甲方可暂缓支付相关费用。</w:t>
      </w:r>
      <w:r/>
    </w:p>
    <w:p>
      <w:pPr>
        <w:pStyle w:val="1111"/>
        <w:numPr>
          <w:ilvl w:val="0"/>
          <w:numId w:val="5"/>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乙方负责对甲方指定的用户进行免费的培训、确保系统用户能够正确熟练地使用系统。培训内容包括乙方应用系统以及甲方或甲方指定用户另行提出的其他技术要求。 </w:t>
      </w:r>
      <w:r/>
    </w:p>
    <w:p>
      <w:pPr>
        <w:pStyle w:val="1111"/>
        <w:numPr>
          <w:ilvl w:val="0"/>
          <w:numId w:val="5"/>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按本合同的规定，乙方向甲方提供必要的技术资料，并向甲方开发人员提供培训和技术支持，而且应保证使受训人员理解并掌握操作、管理和维护乙方按本合同提供软件系统的技术。</w:t>
      </w:r>
      <w:r/>
    </w:p>
    <w:p>
      <w:pPr>
        <w:pStyle w:val="1111"/>
        <w:numPr>
          <w:ilvl w:val="0"/>
          <w:numId w:val="5"/>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乙方所提供的一切资料和最终完成的技术成果应通过合法途径获得，如因乙方原因导致第三方对该资料主张权利给甲方造成经济损失，乙方应承担相应的责任。</w:t>
      </w:r>
      <w:r/>
    </w:p>
    <w:p>
      <w:pPr>
        <w:pStyle w:val="1111"/>
        <w:numPr>
          <w:ilvl w:val="0"/>
          <w:numId w:val="5"/>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乙方有责任确保信息数据安全，确保甲方的客户信息数据不外泄。</w:t>
      </w:r>
      <w:r/>
    </w:p>
    <w:p>
      <w:pPr>
        <w:pStyle w:val="1111"/>
        <w:numPr>
          <w:ilvl w:val="0"/>
          <w:numId w:val="5"/>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乙方长期为甲方提供合同系统的升级服务，服务期外的收费标准结合甲方实际情况协商确定。</w:t>
      </w:r>
      <w:r/>
    </w:p>
    <w:p>
      <w:pPr>
        <w:pStyle w:val="1111"/>
        <w:numPr>
          <w:ilvl w:val="0"/>
          <w:numId w:val="5"/>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未经甲方书面同意，乙方不得将其在本协议项下的服务内容转包、变相转包或者分包。</w:t>
      </w:r>
      <w:r/>
    </w:p>
    <w:p>
      <w:pPr>
        <w:pStyle w:val="1111"/>
        <w:numPr>
          <w:ilvl w:val="0"/>
          <w:numId w:val="5"/>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乙方为提供本合同项下的服务而保管甲方交付的设备、物品等，保管期间，乙方应谨慎尽职，不论何种原因不包括不可抗力因素，乙方均需确保设备、物品的安全，不遭受损害，否则甲方有权要求乙方赔偿相应的损失。</w:t>
      </w:r>
      <w:r/>
    </w:p>
    <w:p>
      <w:pPr>
        <w:contextualSpacing/>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 、知识产权</w:t>
      </w:r>
      <w:r/>
    </w:p>
    <w:p>
      <w:pPr>
        <w:pStyle w:val="1111"/>
        <w:numPr>
          <w:ilvl w:val="0"/>
          <w:numId w:val="6"/>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本合同另有约定外，各方基于本合同提供的内容和技术的知识产权由原所有方享有。各方承认并同意，其向另一方提供的软件、规范、程序、信息以及相关技术支持的行为不构成向另一方转让或许可其享有的知识产权（包括但不限于专利、版权商标、专有技术、保密信息等其他知识产权）。</w:t>
      </w:r>
      <w:r/>
    </w:p>
    <w:p>
      <w:pPr>
        <w:pStyle w:val="1111"/>
        <w:numPr>
          <w:ilvl w:val="0"/>
          <w:numId w:val="6"/>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有第三方声称甲方使用本系统侵犯了第三方的知识产权或其它财产权利，由乙方负责解决并承担全部责任，乙方需支付甲方由此引起的全部损失。一旦发生此类诉讼或请求，甲方将及时通知乙方并对乙方处理该诉讼或请求提供合理的帮助，以便乙方获得应有的权利。</w:t>
      </w:r>
      <w:r/>
    </w:p>
    <w:p>
      <w:pPr>
        <w:pStyle w:val="1111"/>
        <w:numPr>
          <w:ilvl w:val="0"/>
          <w:numId w:val="6"/>
        </w:numPr>
        <w:ind w:left="0" w:firstLine="180"/>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本协议下，由各方共同开发的专利归各方共同拥有，以及将来进一步共同开发所形成的其他知识产权（包括但不限于专利、资料、文档等）同样归属各方共同所有，各方均有权各自使用并自行享有由此产生的收益，但前提是，未经其他方事先书面同意，任何一方不得就该等共有知识产权进行转让或作出排他性授权。</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 、售后服务和技术培训</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1.免费质保期：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自本项目全部完成最终验收合格之日起计）。</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2.售后服务方案：见合同附件5。</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3.培训方案：见合同附件6。</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、违约责任</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1.除不可抗力外，甲方逾期支付资金的，每逾期5天，甲方向乙方支付合同 总价的0.1‰的违约金，但违约金的总数不超过合同总金额的1%；甲方逾期退还 履约保证金的，每逾期（10）天，甲方向乙方支付履约保证金的（0.05%）的违约金，但违约金的总数不超过履约保证金的（2%）。</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除不可抗力外，如果乙方没有按照本合同约定的期限、地点和方式履行， 那么甲方可要求乙方支付违约金，违约金按每迟延履行一日的应提供而未提供服务价格的0.5%计算，最低不低于2000元（人民币）每日，最高限额为履约保证金的全部金额；迟延履行的违约金计算数额达到前述最高限额之日起，甲方有权在要求乙方支付违约金的同时，书面通知乙方解除本合同；乙方因逾期交货或因 其他违约行为导致甲方解除合同的，如造成甲方损失超过违约金的，超出部分由乙方继续承担赔偿责任；</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任何一方按照前述约定要求违约方支付违约金的同时，仍有权要求违约方继续履行合同、采取补救措施，并有权按照己方实际损失情况要求违约方赔偿全部损失；任何一方按照前述约定要求解除本合同的同时，仍有权要求违约方支付违约金和按照己方实际损失情况要求违约方赔偿损失；且守约方行使的任何权利救济方式均不视为其放弃了其他法定或者约定的权利救济方式；无论合同是否继续履行，违约方均需另行承担对方因此所支出的诉讼费、仲裁费、评估鉴定费、差旅费、律师费等一切合理费用；</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6.如果出现政府采购监督管理部门在处理投诉事项期间，书面通知甲方暂停采购活动的情形，或者询问或质疑事项可能影响中标结果的，导致甲方中止履行合同的情形，均不视为甲方违约。</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、合同争议的解决</w:t>
      </w:r>
      <w:r/>
    </w:p>
    <w:p>
      <w:pPr>
        <w:pStyle w:val="1111"/>
        <w:numPr>
          <w:ilvl w:val="0"/>
          <w:numId w:val="7"/>
        </w:numPr>
        <w:ind w:left="420" w:firstLine="1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如甲乙两方在本合同书的条款范围内发生纠纷应尽量协商解决。</w:t>
      </w:r>
      <w:r/>
    </w:p>
    <w:p>
      <w:pPr>
        <w:pStyle w:val="1111"/>
        <w:numPr>
          <w:ilvl w:val="0"/>
          <w:numId w:val="7"/>
        </w:numPr>
        <w:ind w:left="420" w:firstLine="1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甲乙双方在合同的履行过程中发生纠纷而自行协商不能解决的，甲乙双方均</w:t>
      </w:r>
      <w:r>
        <w:rPr>
          <w:rFonts w:hint="eastAsia" w:ascii="宋体" w:hAnsi="宋体" w:eastAsia="宋体" w:cs="宋体"/>
          <w:color w:val="auto"/>
          <w:sz w:val="24"/>
          <w:szCs w:val="24"/>
          <w:highlight w:val="none"/>
          <w:lang w:val="en-US" w:eastAsia="zh-CN" w:bidi="ar-SA"/>
        </w:rPr>
        <w:t xml:space="preserve">同意向甲方</w:t>
      </w:r>
      <w:r>
        <w:rPr>
          <w:rFonts w:hint="eastAsia" w:ascii="宋体" w:hAnsi="宋体" w:eastAsia="宋体" w:cs="宋体"/>
          <w:color w:val="auto"/>
          <w:sz w:val="24"/>
          <w:szCs w:val="24"/>
          <w:highlight w:val="none"/>
          <w:lang w:val="zh-CN" w:eastAsia="zh-CN" w:bidi="ar-SA"/>
        </w:rPr>
        <w:t xml:space="preserve">所在地人民法院提起诉讼</w:t>
      </w:r>
      <w:r>
        <w:rPr>
          <w:rFonts w:hint="eastAsia" w:ascii="宋体" w:hAnsi="宋体" w:eastAsia="宋体" w:cs="宋体"/>
          <w:color w:val="auto"/>
          <w:sz w:val="24"/>
          <w:szCs w:val="24"/>
          <w:highlight w:val="none"/>
          <w:lang w:val="en-US" w:eastAsia="zh-CN" w:bidi="ar-SA"/>
        </w:rPr>
        <w:t xml:space="preserve">解决</w:t>
      </w:r>
      <w:r>
        <w:rPr>
          <w:rFonts w:hint="eastAsia" w:ascii="宋体" w:hAnsi="宋体" w:eastAsia="宋体" w:cs="宋体"/>
          <w:color w:val="auto"/>
          <w:sz w:val="24"/>
          <w:szCs w:val="24"/>
          <w:highlight w:val="none"/>
          <w:lang w:val="zh-CN" w:eastAsia="zh-CN" w:bidi="ar-SA"/>
        </w:rPr>
        <w:t xml:space="preserve">。</w:t>
      </w:r>
      <w:r/>
    </w:p>
    <w:p>
      <w:pPr>
        <w:pStyle w:val="1111"/>
        <w:numPr>
          <w:ilvl w:val="0"/>
          <w:numId w:val="7"/>
        </w:numPr>
        <w:ind w:left="420" w:firstLine="1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本合同书的订立、执行和解释及争议的解决均适合中华人民共和国法律。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、不可抗力</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1.如果任何一方遭遇法律规定的不可抗力，致使合同履行受阻时，履行合同的期限应予延长，延长的期限应相当于不可抗力所影响的时间；</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2.因不可抗力致使不能实现合同目的的，当事人可以解除合同；</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3.因不可抗力致使合同有变更必要的，双方当事人应在5个工作日内以书面形式变更合同；</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4.受不可抗力影响的一方在不可抗力发生后，应在5个工作日内以书面形式通知对方当事人（含有关部门出具的证明文件）。</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、合同组成</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1.合同条款</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2.中标通知书</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3.合同附件</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4.其他文件</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、本合同在下列条件全部满足后生效，生效日期以下列条件全部满足的最晚日期为准：</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双方加盖公章或合同专用章；</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val="en-US" w:eastAsia="zh-CN"/>
        </w:rPr>
        <w:t xml:space="preserve">乙方按照政府采购合同总价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%的标准，以支票、汇票、本票、金融机构或担保机构出具的保函等非现金形式，向甲方交纳履约保证金。</w:t>
      </w:r>
      <w:r>
        <w:rPr>
          <w:rFonts w:hint="eastAsia" w:ascii="宋体" w:hAnsi="宋体" w:eastAsia="宋体" w:cs="宋体"/>
          <w:color w:val="auto"/>
          <w:sz w:val="24"/>
          <w:szCs w:val="24"/>
          <w:highlight w:val="none"/>
        </w:rPr>
        <w:t xml:space="preserve">履约保证金退还的方式、时间、条件和不予退还的情形：</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退还方式：由双方根据实际情况商定；</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退还时间：本项目履行完毕后在收到乙方的请求后十日内退还。</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退还条件：本项目合同义务全部履行完毕。</w:t>
      </w:r>
      <w:r/>
    </w:p>
    <w:p>
      <w:pPr>
        <w:ind w:firstLine="480"/>
        <w:keepLines w:val="0"/>
        <w:keepNext w:val="0"/>
        <w:spacing w:line="440" w:lineRule="exact"/>
        <w:widowControl w:val="off"/>
        <w:rPr>
          <w:rFonts w:hint="eastAsia"/>
          <w:color w:val="auto"/>
          <w:highlight w:val="none"/>
        </w:rPr>
        <w:outlineLvl w:val="9"/>
      </w:pPr>
      <w:r>
        <w:rPr>
          <w:rFonts w:hint="eastAsia" w:ascii="宋体" w:hAnsi="宋体" w:eastAsia="宋体" w:cs="宋体"/>
          <w:color w:val="auto"/>
          <w:sz w:val="24"/>
          <w:szCs w:val="24"/>
          <w:highlight w:val="none"/>
        </w:rPr>
        <w:t xml:space="preserve">不予退还的情形：乙方拒绝履行或不完全、不适当履行合同义务，经甲方提出未予及时纠正的。</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、合同份数</w:t>
      </w:r>
      <w:r/>
    </w:p>
    <w:p>
      <w:pPr>
        <w:ind w:firstLine="480"/>
        <w:keepLines w:val="0"/>
        <w:keepNext w:val="0"/>
        <w:spacing w:line="440" w:lineRule="exact"/>
        <w:widowControl w:val="off"/>
        <w:rPr>
          <w:rFonts w:hint="eastAsia"/>
          <w:color w:val="auto"/>
          <w:highlight w:val="none"/>
        </w:rPr>
        <w:outlineLvl w:val="9"/>
      </w:pPr>
      <w:r>
        <w:rPr>
          <w:rFonts w:hint="eastAsia" w:ascii="宋体" w:hAnsi="宋体" w:eastAsia="宋体" w:cs="宋体"/>
          <w:color w:val="auto"/>
          <w:sz w:val="24"/>
          <w:szCs w:val="24"/>
          <w:highlight w:val="none"/>
        </w:rPr>
        <w:t xml:space="preserve">本合同一式三份，具有同等法律效力，甲方两份，乙方一份。</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、合同中止、终止</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1.甲乙双方不得擅自中止或者终止合同；</w:t>
      </w:r>
      <w:r/>
    </w:p>
    <w:p>
      <w:pPr>
        <w:ind w:firstLine="480"/>
        <w:keepLines w:val="0"/>
        <w:keepNext w:val="0"/>
        <w:spacing w:line="440" w:lineRule="exact"/>
        <w:widowControl w:val="off"/>
        <w:rPr>
          <w:rFonts w:hint="eastAsia"/>
          <w:color w:val="auto"/>
          <w:highlight w:val="none"/>
        </w:rPr>
        <w:outlineLvl w:val="9"/>
      </w:pPr>
      <w:r>
        <w:rPr>
          <w:rFonts w:hint="eastAsia" w:ascii="宋体" w:hAnsi="宋体" w:eastAsia="宋体" w:cs="宋体"/>
          <w:color w:val="auto"/>
          <w:sz w:val="24"/>
          <w:szCs w:val="24"/>
          <w:highlight w:val="none"/>
        </w:rPr>
        <w:t xml:space="preserve">2.合同继续履行将损害国家利益和社会公共利益的，甲乙双方应当中止或者终止合同。有过错的一方应当承担赔偿责任，甲乙双方都有过错的，各自承担相应的责任。</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、其他</w:t>
      </w:r>
      <w:r/>
    </w:p>
    <w:p>
      <w:pPr>
        <w:ind w:firstLine="64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1.本合同其他未尽事宜及与采购文件有矛盾之处，以采购文件[项目编号：            ]为准。</w:t>
      </w:r>
      <w:r/>
    </w:p>
    <w:p>
      <w:pPr>
        <w:ind w:firstLine="480"/>
        <w:keepLines w:val="0"/>
        <w:keepNext w:val="0"/>
        <w:spacing w:line="440" w:lineRule="exact"/>
        <w:widowControl w:val="off"/>
        <w:rPr>
          <w:rFonts w:hint="eastAsia"/>
          <w:color w:val="auto"/>
          <w:highlight w:val="none"/>
        </w:rPr>
        <w:outlineLvl w:val="9"/>
      </w:pPr>
      <w:r>
        <w:rPr>
          <w:rFonts w:hint="eastAsia" w:ascii="宋体" w:hAnsi="宋体" w:eastAsia="宋体" w:cs="宋体"/>
          <w:color w:val="auto"/>
          <w:sz w:val="24"/>
          <w:szCs w:val="24"/>
          <w:highlight w:val="none"/>
        </w:rPr>
        <w:t xml:space="preserve">2.按照《财政部关于做好政府采购信息公开工作的通知》（财库〔2015〕135 号），甲方依据《保守国家秘密法》等法律制度规定确定本合同部分涉及国家秘密，该涉及国家秘密部分不公告；甲方依据《反不正当竞争法》等法律制度的规定。</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二十</w:t>
      </w:r>
      <w:r>
        <w:rPr>
          <w:rFonts w:hint="eastAsia" w:ascii="宋体" w:hAnsi="宋体" w:eastAsia="宋体" w:cs="宋体"/>
          <w:color w:val="auto"/>
          <w:sz w:val="24"/>
          <w:szCs w:val="24"/>
          <w:highlight w:val="none"/>
        </w:rPr>
        <w:t xml:space="preserve">、通知与送达</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1、双方确认沟通文件以及仲裁、诉讼文书等资料，按照下列地址寄送即视为合法、有效送达方式：</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甲方地址：                  联系人 ：       电话：  </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乙方地址：                  联系人：        电话：</w:t>
      </w:r>
      <w:r/>
    </w:p>
    <w:p>
      <w:pPr>
        <w:ind w:firstLine="48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合同履行期限内上述信息如发生变化，应当于变更后五日内以书面方式通知对方，否则视为未变更”。</w:t>
      </w:r>
      <w:r/>
    </w:p>
    <w:p>
      <w:pPr>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04"/>
        <w:tblW w:w="9413" w:type="dxa"/>
        <w:tblInd w:w="-149" w:type="dxa"/>
        <w:tblLayout w:type="fixed"/>
        <w:tblCellMar>
          <w:left w:w="108" w:type="dxa"/>
          <w:top w:w="0" w:type="dxa"/>
          <w:right w:w="108" w:type="dxa"/>
          <w:bottom w:w="0" w:type="dxa"/>
        </w:tblCellMar>
        <w:tblLook w:val="04A0" w:firstRow="1" w:lastRow="0" w:firstColumn="1" w:lastColumn="0" w:noHBand="0" w:noVBand="1"/>
      </w:tblPr>
      <w:tblGrid>
        <w:gridCol w:w="4709"/>
        <w:gridCol w:w="4704"/>
      </w:tblGrid>
      <w:tr>
        <w:trPr>
          <w:trHeight w:val="740"/>
        </w:trPr>
        <w:tc>
          <w:tcPr>
            <w:tcBorders>
              <w:top w:val="none" w:color="000000" w:sz="4" w:space="0"/>
              <w:left w:val="none" w:color="000000" w:sz="4" w:space="0"/>
              <w:bottom w:val="none" w:color="000000" w:sz="4" w:space="0"/>
              <w:right w:val="none" w:color="000000" w:sz="4" w:space="0"/>
            </w:tcBorders>
            <w:tcW w:w="4709" w:type="dxa"/>
            <w:textDirection w:val="lrTb"/>
            <w:noWrap w:val="false"/>
          </w:tcPr>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甲方：（盖章）</w:t>
            </w:r>
            <w:r/>
          </w:p>
        </w:tc>
        <w:tc>
          <w:tcPr>
            <w:tcBorders>
              <w:top w:val="none" w:color="000000" w:sz="4" w:space="0"/>
              <w:left w:val="none" w:color="000000" w:sz="4" w:space="0"/>
              <w:bottom w:val="none" w:color="000000" w:sz="4" w:space="0"/>
              <w:right w:val="none" w:color="000000" w:sz="4" w:space="0"/>
            </w:tcBorders>
            <w:tcW w:w="4704" w:type="dxa"/>
            <w:textDirection w:val="lrTb"/>
            <w:noWrap w:val="false"/>
          </w:tcPr>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乙方：（盖章）</w:t>
            </w:r>
            <w:r/>
          </w:p>
        </w:tc>
      </w:tr>
      <w:tr>
        <w:trPr/>
        <w:tc>
          <w:tcPr>
            <w:tcBorders>
              <w:top w:val="none" w:color="000000" w:sz="4" w:space="0"/>
              <w:left w:val="none" w:color="000000" w:sz="4" w:space="0"/>
              <w:bottom w:val="none" w:color="000000" w:sz="4" w:space="0"/>
              <w:right w:val="none" w:color="000000" w:sz="4" w:space="0"/>
            </w:tcBorders>
            <w:tcW w:w="4709" w:type="dxa"/>
            <w:textDirection w:val="lrTb"/>
            <w:noWrap w:val="false"/>
          </w:tcPr>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法定代表人或授权代表：</w:t>
            </w:r>
            <w:r/>
          </w:p>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p>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开户名：</w:t>
            </w:r>
            <w:r/>
          </w:p>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帐  号：</w:t>
            </w:r>
            <w:r/>
          </w:p>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开户行：</w:t>
            </w:r>
            <w:r/>
          </w:p>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纳税人识别号：</w:t>
            </w:r>
            <w:r/>
          </w:p>
        </w:tc>
        <w:tc>
          <w:tcPr>
            <w:tcBorders>
              <w:top w:val="none" w:color="000000" w:sz="4" w:space="0"/>
              <w:left w:val="none" w:color="000000" w:sz="4" w:space="0"/>
              <w:bottom w:val="none" w:color="000000" w:sz="4" w:space="0"/>
              <w:right w:val="none" w:color="000000" w:sz="4" w:space="0"/>
            </w:tcBorders>
            <w:tcW w:w="4704" w:type="dxa"/>
            <w:textDirection w:val="lrTb"/>
            <w:noWrap w:val="false"/>
          </w:tcPr>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法定代表人或授权代表：</w:t>
            </w:r>
            <w:r/>
          </w:p>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p>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开户名：</w:t>
            </w:r>
            <w:r/>
          </w:p>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帐  号：</w:t>
            </w:r>
            <w:r/>
          </w:p>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开户行：</w:t>
            </w:r>
            <w:r/>
          </w:p>
          <w:p>
            <w:pPr>
              <w:contextualSpacing/>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纳税人识别号：</w:t>
            </w:r>
            <w:r/>
          </w:p>
        </w:tc>
      </w:tr>
    </w:tbl>
    <w:p>
      <w:pPr>
        <w:contextualSpacing/>
        <w:jc w:val="center"/>
        <w:keepLines w:val="0"/>
        <w:keepNext w:val="0"/>
        <w:pageBreakBefore/>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合同附件</w:t>
      </w:r>
      <w:r/>
    </w:p>
    <w:p>
      <w:pPr>
        <w:contextualSpacing/>
        <w:jc w:val="center"/>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合同附件1：</w:t>
      </w:r>
      <w:r/>
    </w:p>
    <w:p>
      <w:pPr>
        <w:ind w:firstLine="89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项目背景：（见招标文件第六章《采购需求》）。</w:t>
      </w:r>
      <w:r/>
    </w:p>
    <w:p>
      <w:pPr>
        <w:ind w:firstLine="89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建设目标：（见招标文件第六章《采购需求》）。</w:t>
      </w:r>
      <w:r/>
    </w:p>
    <w:p>
      <w:pPr>
        <w:contextualSpacing/>
        <w:ind w:firstLine="890"/>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建设清单：（见招标文件第六章《采购需求》）。</w:t>
      </w:r>
      <w:r/>
    </w:p>
    <w:p>
      <w:pPr>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合同附件2：《技术方案》</w:t>
      </w:r>
      <w:r/>
    </w:p>
    <w:p>
      <w:pPr>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（要求见招标文件第六章《采购需求》，内容见乙方投标文件）</w:t>
      </w:r>
      <w:r/>
    </w:p>
    <w:p>
      <w:pPr>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合同附件3：《项目实施方案》</w:t>
      </w:r>
      <w:r/>
    </w:p>
    <w:p>
      <w:pPr>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（要求见招标文件第六章《采购需求》，内容见乙方投标文件）</w:t>
      </w:r>
      <w:r/>
    </w:p>
    <w:p>
      <w:pPr>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合同附件4：《人员配备方案》</w:t>
      </w:r>
      <w:r/>
    </w:p>
    <w:p>
      <w:pPr>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（要求见招标文件第六章《采购需求》，内容见乙方投标文件）</w:t>
      </w:r>
      <w:r/>
    </w:p>
    <w:p>
      <w:pPr>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合同附件5：《售后服务方案》</w:t>
      </w:r>
      <w:r/>
    </w:p>
    <w:p>
      <w:pPr>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（要求见招标文件第六章《采购需求》，内容见乙方投标文件）</w:t>
      </w:r>
      <w:r/>
    </w:p>
    <w:p>
      <w:pPr>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合同附件6：《培训方案》</w:t>
      </w:r>
      <w:r/>
    </w:p>
    <w:p>
      <w:pPr>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（要求见招标文件第六章《采购需求》，内容见乙方投标文件）</w:t>
      </w:r>
      <w:r/>
    </w:p>
    <w:p>
      <w:pPr>
        <w:keepLines w:val="0"/>
        <w:keepNext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合同附件7：验收标准（验收要求、验收标准和程序）其他要求</w:t>
      </w:r>
      <w:r/>
    </w:p>
    <w:p>
      <w:pPr>
        <w:jc w:val="left"/>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br w:type="page" w:clear="all"/>
      </w:r>
      <w:r/>
    </w:p>
    <w:p>
      <w:pPr>
        <w:pStyle w:val="794"/>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3" w:name="_Toc322457054"/>
      <w:r/>
      <w:bookmarkEnd w:id="3"/>
      <w:r/>
      <w:bookmarkStart w:id="4" w:name="_Toc324452802"/>
      <w:r/>
      <w:bookmarkEnd w:id="4"/>
      <w:r/>
      <w:r/>
    </w:p>
    <w:p>
      <w:pPr>
        <w:rPr>
          <w:rFonts w:hint="eastAsia"/>
          <w:color w:val="auto"/>
          <w:highlight w:val="none"/>
        </w:rPr>
      </w:pPr>
      <w:r>
        <w:rPr>
          <w:rFonts w:hint="eastAsia"/>
          <w:color w:val="auto"/>
          <w:highlight w:val="none"/>
        </w:rPr>
      </w:r>
      <w:r/>
    </w:p>
    <w:p>
      <w:pPr>
        <w:ind w:firstLine="0"/>
        <w:jc w:val="both"/>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一、</w:t>
      </w:r>
      <w:r>
        <w:rPr>
          <w:rFonts w:hint="eastAsia" w:ascii="宋体" w:hAnsi="宋体" w:eastAsia="宋体" w:cs="宋体"/>
          <w:b/>
          <w:bCs/>
          <w:color w:val="auto"/>
          <w:sz w:val="24"/>
          <w:szCs w:val="24"/>
          <w:highlight w:val="none"/>
          <w:lang w:eastAsia="zh-CN"/>
          <w14:ligatures w14:val="none"/>
        </w:rPr>
        <w:t xml:space="preserve">项目</w:t>
      </w:r>
      <w:r>
        <w:rPr>
          <w:rFonts w:hint="eastAsia" w:ascii="宋体" w:hAnsi="宋体" w:eastAsia="宋体" w:cs="宋体"/>
          <w:b/>
          <w:bCs/>
          <w:color w:val="auto"/>
          <w:sz w:val="24"/>
          <w:szCs w:val="24"/>
          <w:highlight w:val="none"/>
          <w14:ligatures w14:val="none"/>
        </w:rPr>
        <w:t xml:space="preserve">说明</w:t>
      </w:r>
      <w:r/>
    </w:p>
    <w:p>
      <w:pPr>
        <w:ind w:firstLine="0"/>
        <w:jc w:val="both"/>
        <w:spacing w:line="360" w:lineRule="auto"/>
        <w:rPr>
          <w:rFonts w:hint="eastAsia" w:ascii="宋体" w:hAnsi="宋体" w:eastAsia="宋体" w:cs="宋体"/>
          <w:b w:val="0"/>
          <w:bCs w:val="0"/>
          <w:color w:val="auto"/>
          <w:sz w:val="24"/>
          <w:szCs w:val="24"/>
          <w:highlight w:val="none"/>
          <w14:ligatures w14:val="none"/>
        </w:rPr>
      </w:pPr>
      <w:r>
        <w:rPr>
          <w:rFonts w:hint="eastAsia" w:ascii="宋体" w:hAnsi="宋体" w:eastAsia="宋体" w:cs="宋体"/>
          <w:b w:val="0"/>
          <w:bCs w:val="0"/>
          <w:color w:val="auto"/>
          <w:sz w:val="24"/>
          <w:szCs w:val="24"/>
          <w:highlight w:val="none"/>
          <w14:ligatures w14:val="none"/>
        </w:rPr>
        <w:t xml:space="preserve">（一）采购人：徐州市妇幼保健院</w:t>
      </w:r>
      <w:r/>
    </w:p>
    <w:p>
      <w:pPr>
        <w:ind w:firstLine="0"/>
        <w:jc w:val="both"/>
        <w:spacing w:line="360" w:lineRule="auto"/>
        <w:rPr>
          <w:rFonts w:hint="eastAsia" w:ascii="宋体" w:hAnsi="宋体" w:eastAsia="宋体" w:cs="宋体"/>
          <w:b w:val="0"/>
          <w:bCs w:val="0"/>
          <w:color w:val="auto"/>
          <w:sz w:val="24"/>
          <w:szCs w:val="24"/>
          <w:highlight w:val="none"/>
          <w14:ligatures w14:val="none"/>
        </w:rPr>
      </w:pPr>
      <w:r>
        <w:rPr>
          <w:rFonts w:hint="eastAsia" w:ascii="宋体" w:hAnsi="宋体" w:eastAsia="宋体" w:cs="宋体"/>
          <w:b w:val="0"/>
          <w:bCs w:val="0"/>
          <w:color w:val="auto"/>
          <w:sz w:val="24"/>
          <w:szCs w:val="24"/>
          <w:highlight w:val="none"/>
          <w14:ligatures w14:val="none"/>
        </w:rPr>
        <w:t xml:space="preserve">（二）采购项目名称：徐州市妇幼保健院数据资产管理平台及运营管理平台建设项目</w:t>
      </w:r>
      <w:r/>
    </w:p>
    <w:p>
      <w:pPr>
        <w:ind w:firstLine="0"/>
        <w:jc w:val="both"/>
        <w:spacing w:line="360" w:lineRule="auto"/>
        <w:rPr>
          <w:rFonts w:hint="eastAsia" w:ascii="宋体" w:hAnsi="宋体" w:eastAsia="宋体" w:cs="宋体"/>
          <w:b w:val="0"/>
          <w:bCs w:val="0"/>
          <w:color w:val="auto"/>
          <w:sz w:val="24"/>
          <w:szCs w:val="24"/>
          <w:highlight w:val="none"/>
          <w14:ligatures w14:val="none"/>
        </w:rPr>
      </w:pPr>
      <w:r>
        <w:rPr>
          <w:rFonts w:hint="eastAsia" w:ascii="宋体" w:hAnsi="宋体" w:eastAsia="宋体" w:cs="宋体"/>
          <w:b w:val="0"/>
          <w:bCs w:val="0"/>
          <w:color w:val="auto"/>
          <w:sz w:val="24"/>
          <w:szCs w:val="24"/>
          <w:highlight w:val="none"/>
          <w14:ligatures w14:val="none"/>
        </w:rPr>
        <w:t xml:space="preserve">（三）</w:t>
      </w:r>
      <w:r>
        <w:rPr>
          <w:rFonts w:hint="eastAsia" w:ascii="宋体" w:hAnsi="宋体" w:eastAsia="宋体" w:cs="宋体"/>
          <w:b w:val="0"/>
          <w:bCs w:val="0"/>
          <w:color w:val="auto"/>
          <w:sz w:val="24"/>
          <w:szCs w:val="22"/>
          <w:highlight w:val="none"/>
          <w:lang w:val="en-US" w:eastAsia="zh-CN"/>
          <w14:ligatures w14:val="none"/>
        </w:rPr>
        <w:t xml:space="preserve">采购标的：</w:t>
      </w:r>
      <w:r>
        <w:rPr>
          <w:rFonts w:hint="eastAsia" w:ascii="宋体" w:hAnsi="宋体" w:eastAsia="宋体" w:cs="宋体"/>
          <w:b w:val="0"/>
          <w:bCs w:val="0"/>
          <w:color w:val="auto"/>
          <w:sz w:val="24"/>
          <w:szCs w:val="24"/>
          <w:highlight w:val="none"/>
          <w14:ligatures w14:val="none"/>
        </w:rPr>
        <w:t xml:space="preserve">徐州市妇幼保健院数据资产管理平台及运营管理平台建设项目</w:t>
      </w:r>
      <w:r>
        <w:rPr>
          <w:rFonts w:hint="eastAsia" w:ascii="宋体" w:hAnsi="宋体" w:eastAsia="宋体" w:cs="宋体"/>
          <w:b w:val="0"/>
          <w:bCs w:val="0"/>
          <w:color w:val="auto"/>
          <w:sz w:val="24"/>
          <w:szCs w:val="22"/>
          <w:highlight w:val="none"/>
          <w:lang w:val="en-US" w:eastAsia="zh-CN"/>
          <w14:ligatures w14:val="none"/>
        </w:rPr>
        <w:t xml:space="preserve">，具体详见本招标文件第六章《采购需求》中“三、采购清单”。</w:t>
      </w:r>
      <w:r/>
    </w:p>
    <w:p>
      <w:pPr>
        <w:ind w:firstLine="0"/>
        <w:jc w:val="both"/>
        <w:spacing w:line="360" w:lineRule="auto"/>
        <w:rPr>
          <w:rFonts w:hint="eastAsia" w:ascii="宋体" w:hAnsi="宋体" w:eastAsia="宋体" w:cs="宋体"/>
          <w:b w:val="0"/>
          <w:bCs w:val="0"/>
          <w:color w:val="auto"/>
          <w:sz w:val="24"/>
          <w:szCs w:val="24"/>
          <w:highlight w:val="none"/>
          <w14:ligatures w14:val="none"/>
        </w:rPr>
      </w:pPr>
      <w:r>
        <w:rPr>
          <w:rFonts w:hint="eastAsia" w:ascii="宋体" w:hAnsi="宋体" w:eastAsia="宋体" w:cs="宋体"/>
          <w:b w:val="0"/>
          <w:bCs w:val="0"/>
          <w:color w:val="auto"/>
          <w:sz w:val="24"/>
          <w:szCs w:val="24"/>
          <w:highlight w:val="none"/>
          <w14:ligatures w14:val="none"/>
        </w:rPr>
        <w:t xml:space="preserve">（</w:t>
      </w:r>
      <w:r>
        <w:rPr>
          <w:rFonts w:hint="eastAsia" w:ascii="宋体" w:hAnsi="宋体" w:eastAsia="宋体" w:cs="宋体"/>
          <w:b w:val="0"/>
          <w:bCs w:val="0"/>
          <w:color w:val="auto"/>
          <w:sz w:val="24"/>
          <w:szCs w:val="24"/>
          <w:highlight w:val="none"/>
          <w:lang w:eastAsia="zh-CN"/>
          <w14:ligatures w14:val="none"/>
        </w:rPr>
        <w:t xml:space="preserve">四</w:t>
      </w:r>
      <w:r>
        <w:rPr>
          <w:rFonts w:hint="eastAsia" w:ascii="宋体" w:hAnsi="宋体" w:eastAsia="宋体" w:cs="宋体"/>
          <w:b w:val="0"/>
          <w:bCs w:val="0"/>
          <w:color w:val="auto"/>
          <w:sz w:val="24"/>
          <w:szCs w:val="24"/>
          <w:highlight w:val="none"/>
          <w14:ligatures w14:val="none"/>
        </w:rPr>
        <w:t xml:space="preserve">）</w:t>
      </w:r>
      <w:r>
        <w:rPr>
          <w:rFonts w:hint="eastAsia" w:ascii="宋体" w:hAnsi="宋体" w:eastAsia="宋体" w:cs="宋体"/>
          <w:b w:val="0"/>
          <w:bCs w:val="0"/>
          <w:color w:val="auto"/>
          <w:sz w:val="24"/>
          <w:szCs w:val="24"/>
          <w:highlight w:val="none"/>
          <w14:ligatures w14:val="none"/>
        </w:rPr>
        <w:t xml:space="preserve">本项目不属于专门面向中小微企业采购的项目</w:t>
      </w:r>
      <w:r/>
    </w:p>
    <w:p>
      <w:pPr>
        <w:ind w:left="-1" w:right="-92" w:firstLine="0"/>
        <w:jc w:val="both"/>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二、预算金额：</w:t>
      </w:r>
      <w:r>
        <w:rPr>
          <w:rFonts w:hint="eastAsia" w:ascii="宋体" w:hAnsi="宋体" w:eastAsia="宋体" w:cs="宋体"/>
          <w:b w:val="0"/>
          <w:bCs/>
          <w:color w:val="auto"/>
          <w:sz w:val="24"/>
          <w:szCs w:val="24"/>
          <w:highlight w:val="none"/>
          <w14:ligatures w14:val="none"/>
        </w:rPr>
        <w:t xml:space="preserve">本项目不接受超过</w:t>
      </w:r>
      <w:r>
        <w:rPr>
          <w:rFonts w:hint="eastAsia" w:ascii="宋体" w:hAnsi="宋体" w:eastAsia="宋体" w:cs="宋体"/>
          <w:b w:val="0"/>
          <w:bCs/>
          <w:color w:val="auto"/>
          <w:sz w:val="24"/>
          <w:szCs w:val="24"/>
          <w:highlight w:val="none"/>
          <w:u w:val="single"/>
          <w:lang w:val="en-US" w:eastAsia="zh-CN"/>
          <w14:ligatures w14:val="none"/>
        </w:rPr>
        <w:t xml:space="preserve">450 </w:t>
      </w:r>
      <w:r>
        <w:rPr>
          <w:rFonts w:hint="eastAsia" w:ascii="宋体" w:hAnsi="宋体" w:eastAsia="宋体" w:cs="宋体"/>
          <w:b w:val="0"/>
          <w:bCs/>
          <w:color w:val="auto"/>
          <w:sz w:val="24"/>
          <w:szCs w:val="24"/>
          <w:highlight w:val="none"/>
          <w14:ligatures w14:val="none"/>
        </w:rPr>
        <w:t xml:space="preserve">万元人民币（采购项目预算金额）的投标报价；投</w:t>
      </w:r>
      <w:r>
        <w:rPr>
          <w:rFonts w:hint="eastAsia" w:ascii="宋体" w:hAnsi="宋体" w:eastAsia="宋体" w:cs="宋体"/>
          <w:bCs/>
          <w:color w:val="auto"/>
          <w:sz w:val="24"/>
          <w:szCs w:val="24"/>
          <w:highlight w:val="none"/>
          <w14:ligatures w14:val="none"/>
        </w:rPr>
        <w:t xml:space="preserve">标报价包括完成该服务的全部人工费、差旅费及其它辅助费用、管理、维护、保险、利润、税金、政策性文件规定及协议包含的所有风险、责任等各项应有费用。</w:t>
      </w:r>
      <w:r/>
    </w:p>
    <w:p>
      <w:pPr>
        <w:ind w:firstLine="0"/>
        <w:jc w:val="both"/>
        <w:spacing w:line="360" w:lineRule="auto"/>
        <w:rPr>
          <w:rFonts w:hint="eastAsia" w:ascii="宋体" w:hAnsi="宋体" w:eastAsia="宋体" w:cs="宋体"/>
          <w:b/>
          <w:bCs/>
          <w:color w:val="auto"/>
          <w:sz w:val="24"/>
          <w:szCs w:val="24"/>
          <w:highlight w:val="none"/>
          <w:lang w:eastAsia="zh-CN"/>
          <w14:ligatures w14:val="none"/>
        </w:rPr>
      </w:pPr>
      <w:r>
        <w:rPr>
          <w:rFonts w:hint="eastAsia" w:ascii="宋体" w:hAnsi="宋体" w:eastAsia="宋体" w:cs="宋体"/>
          <w:b/>
          <w:bCs/>
          <w:color w:val="auto"/>
          <w:sz w:val="24"/>
          <w:szCs w:val="24"/>
          <w:highlight w:val="none"/>
          <w:lang w:eastAsia="zh-CN"/>
          <w14:ligatures w14:val="none"/>
        </w:rPr>
        <w:t xml:space="preserve">三</w:t>
      </w:r>
      <w:r>
        <w:rPr>
          <w:rFonts w:hint="eastAsia" w:ascii="宋体" w:hAnsi="宋体" w:eastAsia="宋体" w:cs="宋体"/>
          <w:b/>
          <w:bCs/>
          <w:color w:val="auto"/>
          <w:sz w:val="24"/>
          <w:szCs w:val="24"/>
          <w:highlight w:val="none"/>
          <w14:ligatures w14:val="none"/>
        </w:rPr>
        <w:t xml:space="preserve">、</w:t>
      </w:r>
      <w:r>
        <w:rPr>
          <w:rFonts w:hint="eastAsia" w:ascii="宋体" w:hAnsi="宋体" w:eastAsia="宋体" w:cs="宋体"/>
          <w:b/>
          <w:bCs/>
          <w:color w:val="auto"/>
          <w:sz w:val="24"/>
          <w:szCs w:val="24"/>
          <w:highlight w:val="none"/>
          <w:lang w:eastAsia="zh-CN"/>
          <w14:ligatures w14:val="none"/>
        </w:rPr>
        <w:t xml:space="preserve">采购清单</w:t>
      </w:r>
      <w:r/>
    </w:p>
    <w:p>
      <w:pPr>
        <w:numPr>
          <w:ilvl w:val="0"/>
          <w:numId w:val="1"/>
        </w:numPr>
        <w:ind w:left="1" w:hanging="1"/>
        <w:jc w:val="both"/>
        <w:keepLines/>
        <w:keepNext/>
        <w:spacing w:before="240" w:after="240" w:line="360" w:lineRule="auto"/>
        <w:widowControl w:val="off"/>
        <w:tabs>
          <w:tab w:val="left" w:pos="360" w:leader="none"/>
        </w:tabs>
        <w:rPr>
          <w:rFonts w:hint="eastAsia" w:ascii="宋体" w:hAnsi="宋体" w:eastAsia="宋体" w:cs="宋体"/>
          <w:b/>
          <w:bCs/>
          <w:color w:val="auto"/>
          <w:sz w:val="24"/>
          <w:szCs w:val="24"/>
          <w:highlight w:val="none"/>
          <w:lang w:val="en-US" w:eastAsia="zh-CN" w:bidi="ar-SA"/>
          <w14:ligatures w14:val="none"/>
        </w:rPr>
        <w:outlineLvl w:val="0"/>
      </w:pPr>
      <w:r/>
      <w:bookmarkStart w:id="5" w:name="_Hlk216957515"/>
      <w:r>
        <w:rPr>
          <w:rFonts w:hint="eastAsia" w:ascii="宋体" w:hAnsi="宋体" w:eastAsia="宋体" w:cs="宋体"/>
          <w:b/>
          <w:bCs/>
          <w:color w:val="auto"/>
          <w:sz w:val="24"/>
          <w:szCs w:val="24"/>
          <w:highlight w:val="none"/>
          <w:lang w:val="en-US" w:eastAsia="zh-CN" w:bidi="ar-SA"/>
          <w14:ligatures w14:val="none"/>
        </w:rPr>
        <w:t xml:space="preserve">项目建设内容清单</w:t>
      </w:r>
      <w:r/>
    </w:p>
    <w:p>
      <w:pPr>
        <w:ind w:firstLine="480"/>
        <w:jc w:val="both"/>
        <w:spacing w:line="360" w:lineRule="auto"/>
        <w:rPr>
          <w:rFonts w:hint="default"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本项目主要有以下建设模块：</w:t>
      </w:r>
      <w:r/>
    </w:p>
    <w:tbl>
      <w:tblPr>
        <w:tblStyle w:val="804"/>
        <w:tblW w:w="10177" w:type="dxa"/>
        <w:tblInd w:w="-7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050"/>
        <w:gridCol w:w="1811"/>
        <w:gridCol w:w="6473"/>
      </w:tblGrid>
      <w:tr>
        <w:trPr>
          <w:trHeight w:val="820"/>
          <w:tblHeader/>
        </w:trPr>
        <w:tc>
          <w:tcPr>
            <w:tcW w:w="843" w:type="dxa"/>
            <w:vAlign w:val="center"/>
            <w:textDirection w:val="lrTb"/>
            <w:noWrap/>
          </w:tcPr>
          <w:p>
            <w:pPr>
              <w:ind w:firstLine="0"/>
              <w:jc w:val="center"/>
              <w:spacing w:line="240" w:lineRule="auto"/>
              <w:widowControl/>
              <w:rPr>
                <w:rFonts w:hint="default"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产品</w:t>
            </w:r>
            <w:r/>
          </w:p>
        </w:tc>
        <w:tc>
          <w:tcPr>
            <w:tcW w:w="1050" w:type="dxa"/>
            <w:vAlign w:val="center"/>
            <w:textDirection w:val="lrTb"/>
            <w:noWrap/>
          </w:tcPr>
          <w:p>
            <w:pPr>
              <w:ind w:firstLine="0"/>
              <w:jc w:val="center"/>
              <w:spacing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产品小类</w:t>
            </w:r>
            <w:r/>
          </w:p>
        </w:tc>
        <w:tc>
          <w:tcPr>
            <w:tcW w:w="1811" w:type="dxa"/>
            <w:vAlign w:val="center"/>
            <w:textDirection w:val="lrTb"/>
            <w:noWrap/>
          </w:tcPr>
          <w:p>
            <w:pPr>
              <w:ind w:firstLine="0"/>
              <w:jc w:val="center"/>
              <w:spacing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功能模块</w:t>
            </w:r>
            <w:r/>
          </w:p>
        </w:tc>
        <w:tc>
          <w:tcPr>
            <w:tcW w:w="6473" w:type="dxa"/>
            <w:vAlign w:val="center"/>
            <w:textDirection w:val="lrTb"/>
            <w:noWrap/>
          </w:tcPr>
          <w:p>
            <w:pPr>
              <w:ind w:firstLine="0"/>
              <w:jc w:val="center"/>
              <w:spacing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功能描述</w:t>
            </w:r>
            <w:r/>
          </w:p>
        </w:tc>
      </w:tr>
      <w:tr>
        <w:trPr>
          <w:trHeight w:val="580"/>
        </w:trPr>
        <w:tc>
          <w:tcPr>
            <w:tcW w:w="843" w:type="dxa"/>
            <w:vAlign w:val="center"/>
            <w:vMerge w:val="restart"/>
            <w:textDirection w:val="lrTb"/>
            <w:noWrap/>
          </w:tcPr>
          <w:p>
            <w:pPr>
              <w:ind w:firstLine="0"/>
              <w:jc w:val="center"/>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数据资产管理平台</w:t>
            </w:r>
            <w:r/>
          </w:p>
        </w:tc>
        <w:tc>
          <w:tcPr>
            <w:tcW w:w="1050" w:type="dxa"/>
            <w:vAlign w:val="center"/>
            <w:vMerge w:val="restart"/>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智能主数据管理系统</w:t>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字典管理</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包括机构信息管理，科室信息管理，人员信息管理，通用代码系统管理等，支持主数据发布、变更审核流程，支持主数据订阅及服务，支持主数据模型管理，内置国家值域标准字典集合</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字典对照</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支持不同代码系统之间的字典归一对照，支持基于AI的通用字典自动对照</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AI智能医学术语自动归一</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诊断术语的自动归一、药品术语的自动归一、检验术语的自动归一、手术术语的自动归一</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restart"/>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元数据管理系统</w:t>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数据模型构建</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可以通过在线工具构建数据库的逻辑模型和物理模型</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数据模型管理</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支持数据模型信息的检索和展示，可管理各个数据模型的各个版本</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数据溯源分析</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数据模型各层级数据血缘和数据影响的展示和分析</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数据元管理</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管理国家发布的各类标准数据元，支撑互联互通测评、电子病历评级等国家的评级评审</w:t>
            </w:r>
            <w:r/>
          </w:p>
        </w:tc>
      </w:tr>
      <w:tr>
        <w:trPr>
          <w:trHeight w:val="232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智能患者主索引系统</w:t>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患者主索引管理</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 支持患者注册，主索引管理，患者合并及拆分，主索拆分、合并、更新、查询等主索引服务，可手动配置患者主索引合并规则和最佳纪录筛选规则</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2. 支持对患者标识的跨域检索，即通过业务系统内部的患者编号（例如门诊号、住院号等）对其他业务系统中的患者信息进行交叉检索支持患者主索引查询</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3. 支持维护患者标准模型库，除标准患者主索引信息外，还支持添加自定义患者主索引属性，并可配置属性可见性、可查询性等功能</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4. 支持通过图标方式提供患者主索引运行状况报告；通过趋势图方式展示一段时间区间内的主索引运行情况，包括：新增、合并、手动合数并等指标</w:t>
            </w:r>
            <w:r/>
          </w:p>
        </w:tc>
      </w:tr>
      <w:tr>
        <w:trPr>
          <w:trHeight w:val="87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restart"/>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数据质量管理系统</w:t>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质控管理</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 数据质量监控规则管理，数据质量监控规则集管理，监控预警管理，数据质量分析报表，提供1000+关键性数据质量监控规则，同时支持数据波动分析和异常检测。</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2. 支持根据不同业务系统对接的需求定义规则组，可以自由将各种质控规则纳入规则组，并且根据规则组发送预警情况</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质控报告</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支持根据数据集成和治理过程中的数据质控自动生成可视化质控报告；报告支持以规范性、完整性、准确性、一致性、时效性、可访问性维度进行统计</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预警管理</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支持并能够将质控报告中的预警信息发送到医院指定的数据管理员，支持通过邮件、短信、微信方式的预警对象设置</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数据模型质控</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支持据基于已有的数据模型对数据库进行基础性的质控，可分析、检测和判断数据库与数据模型要求的一致性和具体差异，快速发现数据模型搭建过程中的基础问题。</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数据波动分析</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可分别针对不同数据进行周期性的波动监测分析，设置数据波动范围的预警阈值，查看数据的周期性波动情况，可帮助运维人员发现数据集成的异常、辅助业务人员了解业务量的波动情况并快速发现和定位业务问题</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医学自然语言处理</w:t>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医学自然语言处理</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通过可视化方式对医学自然语言处理情况进行展示和分析，展示非结构化医疗文书信息的结构化处理过程，支持变量提取结果的可视化溯源</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restart"/>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数据资产管理系统</w:t>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数据资产全景</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展示数据治理后的数据资产整体信息，覆盖数据资产量、数据资产主题表、数据资产条目数、数据资产质量等</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数据资产地图</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提供数据资产目录检索功能，可以检索数据表、数据字段、数据元等信息，查看数据资产详细信息，并申请数据资产的使用权限</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数据使用管理</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提供数据资产使用流程管理，包括数据资产使用申请、审批、使用统计等功能</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SQL资产管理</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通过关键字对SQL语句的名称及SQL语句内容进行搜索，搜索结果展示命中的SQL语句，包括：名称、SQL语句、创建者等信息，选中一条SQL语句，用户可对SQL语句进行编辑或运行。</w:t>
            </w:r>
            <w:r/>
          </w:p>
        </w:tc>
      </w:tr>
      <w:tr>
        <w:trPr>
          <w:trHeight w:val="116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restart"/>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数据治理引擎</w:t>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智能数据治理引擎</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高性能智能化数据治理引擎，为处理历史和实时数据提供一个可视化，高性能，高吞吐和低延迟的平台。</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前端提供了一个高度可视化的节点控件编辑器，帮助数据开发极大地解耦使用传统数据治理工具时对复杂SQL的依赖。大部分节点控件编辑器允许书写类似于SQL的面向列和变量的高性能表达式及实用函数，不同的节点控件还能组合成项目开发模板以供保存，导出，迁移使用。</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数据安全管理引擎</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包括数据脱敏管理、数据加密管理、白名单管理、用户安全审计</w:t>
            </w:r>
            <w:r/>
          </w:p>
        </w:tc>
      </w:tr>
      <w:tr>
        <w:trPr>
          <w:trHeight w:val="81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数据湖仓</w:t>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数据湖仓</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整合医院各系统的患者信息、就诊信息、医嘱信息、费用信息、诊断信息、过敏信息、检查信息、检验信息、手术信息、护理信息、病案信息、体检信息等数据，并对数据进行深度治理，形成数据湖仓</w:t>
            </w:r>
            <w:r/>
          </w:p>
        </w:tc>
      </w:tr>
      <w:tr>
        <w:trPr>
          <w:trHeight w:val="580"/>
        </w:trPr>
        <w:tc>
          <w:tcPr>
            <w:tcW w:w="843"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W w:w="105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统一数据上报平台</w:t>
            </w:r>
            <w:r/>
          </w:p>
        </w:tc>
        <w:tc>
          <w:tcPr>
            <w:tcW w:w="1811"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统一数据上报平台</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基于已有业务系统数据进行电子病历、检验检查等数据的自动抓取，减少人工重复录入，实现数据“一次采集、多方复用、规范上报”，避免医院各科室重复填报，同时保障数据的准确性、及时性与合规性</w:t>
            </w:r>
            <w:r/>
          </w:p>
        </w:tc>
      </w:tr>
      <w:tr>
        <w:trPr>
          <w:trHeight w:val="580"/>
        </w:trPr>
        <w:tc>
          <w:tcPr>
            <w:tcW w:w="843" w:type="dxa"/>
            <w:vAlign w:val="center"/>
            <w:vMerge w:val="restart"/>
            <w:textDirection w:val="lrTb"/>
            <w:noWrap/>
          </w:tcPr>
          <w:p>
            <w:pPr>
              <w:ind w:firstLine="0"/>
              <w:jc w:val="center"/>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运营管理平台</w:t>
            </w:r>
            <w:r/>
          </w:p>
        </w:tc>
        <w:tc>
          <w:tcPr>
            <w:tcW w:w="1050" w:type="dxa"/>
            <w:vAlign w:val="center"/>
            <w:vMerge w:val="restart"/>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院级运营管理平台（全院运营管理驾驶舱，支持多终端操作，含运营大屏、桌面工作台、手机端）</w:t>
            </w:r>
            <w:r/>
          </w:p>
          <w:p>
            <w:pPr>
              <w:ind w:firstLine="0"/>
              <w:jc w:val="center"/>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shd w:val="clear" w:color="auto" w:fill="auto"/>
            <w:tcW w:w="1811" w:type="dxa"/>
            <w:vAlign w:val="center"/>
            <w:textDirection w:val="lrTb"/>
            <w:noWrap w:val="false"/>
          </w:tcPr>
          <w:p>
            <w:pPr>
              <w:ind w:firstLine="0"/>
              <w:jc w:val="center"/>
              <w:spacing w:line="240" w:lineRule="auto"/>
              <w:widowControl/>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14:ligatures w14:val="none"/>
              </w:rPr>
              <w:t xml:space="preserve">重点指标实时监测与预警</w:t>
            </w:r>
            <w:r/>
          </w:p>
        </w:tc>
        <w:tc>
          <w:tcPr>
            <w:shd w:val="clear" w:color="auto" w:fill="auto"/>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14:ligatures w14:val="none"/>
              </w:rPr>
              <w:t xml:space="preserve">支持医院重点指标的监测管理，可视化呈现指标值及与预算、去年同期、上期的对比，判断异常，支持下钻查看每个指标的数据变化情况，围绕某一个指标，查看对比分析、趋势分析、排名分析等细节数据。</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收支结余专项</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从全院的医疗盈余、收入、成本三个维度，将盈余、收入、成本与预算、去年同期、上期进行对比，判断异常、衡量全院运营情况，支持关联科室、医疗组、手术、病种、项目、人力、床位等维度。支持下钻查看各项收入下降/成本上升的数据变化情况，围绕某一项收入/成本，查看对比分析、趋势分析、排名分析等细节数据。支持关联工作量、次均费用对收入的影响因素分析。支持预测医疗收入、成本以及盈余。</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门急诊专项</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从全院角度展开对门急诊总收入、门急诊工作量（普通、专家、专病等）、门急诊次均费用等与预算、去年同期、上期进行对比，判断异常，衡量门诊运营情况，支持下钻查看每个指标的数据变化情况，围绕某一个指标，关联区域来源、科室、医疗组、医生、项目等维度，查看对比分析、趋势分析、排名分析等细节数据。提供诊间使用率、每单元接诊量、门诊-住院有效转化率的分析，支持下钻科室、医疗组、医生等维度。</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住院专项</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从全院角度展开对住院总收入、住院工作量（入院人次、出院人次、转科人次等）、出院次均费用、平均住院日（术前平均住院日、术后平均住院日）、床位效率（床位周转率、床位使用率）等与预算、去年同期、上期进行对比，判断异常，衡量住院运营情况，支持下钻查看每个指标的数据变化情况，围绕某一个指标，关联科室、医疗组、医生、病种、手术、项目等维度，查看对比分析、趋势分析、排名分析等细节数据。</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手术专项</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从全院角度展开对手术人次及占比、四级手术人次及占比、微创手术人次及占比、日间手术人次及占比等与预算、去年同期、上期进行对比，判断异常，支持下钻查看每个指标的数据变化情况，围绕某一个指标，关联科室、医疗组、医生、病种、诊断、时间等维度，查看对比分析、趋势分析、排名分析等细节数据。支持关联科室、病种开展药品和卫生材料的分析。支持开展手术间利用率的分析。</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工作量专项</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从全院的门诊、急诊、住院、手术、介入、体检、医技检查检验等各类岗位关键服务量产出，到各类评审或考核所需的特有服务量指标，与预算、去年同期、上期进行对比，判断异常，</w:t>
            </w:r>
            <w:r>
              <w:rPr>
                <w:rFonts w:hint="eastAsia" w:ascii="宋体" w:hAnsi="宋体" w:eastAsia="宋体" w:cs="宋体"/>
                <w:i w:val="0"/>
                <w:iCs w:val="0"/>
                <w:color w:val="auto"/>
                <w:sz w:val="24"/>
                <w:szCs w:val="24"/>
                <w:highlight w:val="none"/>
                <w:u w:val="none"/>
                <w:lang w:val="en-US" w:eastAsia="zh-CN" w:bidi="ar"/>
                <w14:ligatures w14:val="none"/>
              </w:rPr>
              <w:t xml:space="preserve">支持各指标的关联科室、医疗组、医生、病种、手术等的下钻分析，围绕某一项工作量查看对比分析、趋势分析、排名分析等细节数据，并根据岗位细分为临床和医技。</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医疗质量专项</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14:ligatures w14:val="none"/>
              </w:rPr>
              <w:t xml:space="preserve">构建覆盖抗菌药物合理使用、手术安全、术后并发症防控、院内感染与护理不良事件管理等全维度核心专项医疗质控体系</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医保专项</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从全院角度展开对门诊/住院就诊构成、收入构成的分析，支持关联支付方式（职工、居民、生育、自费、异地、单病种）、科室、医疗组、病种等维度，查看对比分析、趋势分析、排名分析等下钻分析。</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病组专项</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14:ligatures w14:val="none"/>
              </w:rPr>
            </w:pPr>
            <w:r>
              <w:rPr>
                <w:rFonts w:hint="eastAsia" w:ascii="宋体" w:hAnsi="宋体" w:eastAsia="宋体" w:cs="宋体"/>
                <w:i w:val="0"/>
                <w:iCs w:val="0"/>
                <w:color w:val="auto"/>
                <w:sz w:val="24"/>
                <w:szCs w:val="24"/>
                <w:highlight w:val="none"/>
                <w:u w:val="none"/>
                <w:lang w:val="en-US" w:eastAsia="zh-CN" w:bidi="ar"/>
                <w14:ligatures w14:val="none"/>
              </w:rPr>
              <w:t xml:space="preserve">从全院角度展开基于DRG病种的分析，标注关键病种（组）和经济病种（组），引导关注重点病种（病组）。</w:t>
            </w:r>
            <w:r>
              <w:rPr>
                <w:rFonts w:hint="eastAsia" w:ascii="宋体" w:hAnsi="宋体" w:eastAsia="宋体" w:cs="宋体"/>
                <w:color w:val="auto"/>
                <w:sz w:val="24"/>
                <w:szCs w:val="24"/>
                <w:highlight w:val="none"/>
                <w:lang w:val="en-US" w:eastAsia="zh-CN"/>
                <w14:ligatures w14:val="none"/>
              </w:rPr>
              <w:t xml:space="preserve">涵盖入组数、CMI值、时间消耗指数、费用消耗指数、盈余、次均费用构成等，支持</w:t>
            </w:r>
            <w:r>
              <w:rPr>
                <w:rFonts w:hint="eastAsia" w:ascii="宋体" w:hAnsi="宋体" w:eastAsia="宋体" w:cs="宋体"/>
                <w:i w:val="0"/>
                <w:iCs w:val="0"/>
                <w:color w:val="auto"/>
                <w:sz w:val="24"/>
                <w:szCs w:val="24"/>
                <w:highlight w:val="none"/>
                <w:u w:val="none"/>
                <w:lang w:val="en-US" w:eastAsia="zh-CN" w:bidi="ar"/>
                <w14:ligatures w14:val="none"/>
              </w:rPr>
              <w:t xml:space="preserve">关联科室、医疗组、手术、项目、时间等维度</w:t>
            </w:r>
            <w:r>
              <w:rPr>
                <w:rFonts w:hint="eastAsia" w:ascii="宋体" w:hAnsi="宋体" w:eastAsia="宋体" w:cs="宋体"/>
                <w:color w:val="auto"/>
                <w:sz w:val="24"/>
                <w:szCs w:val="24"/>
                <w:highlight w:val="none"/>
                <w:lang w:val="en-US" w:eastAsia="zh-CN"/>
                <w14:ligatures w14:val="none"/>
              </w:rPr>
              <w:t xml:space="preserve">。支持下钻查看各DRG组在不同医疗组的入组数、次均费用、盈亏等的数据变化情况，围绕某一项异常费用或DRG组，查看对比分析、趋势分析、排名分析等细节数据。</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绩效专项</w:t>
            </w:r>
            <w:r/>
          </w:p>
        </w:tc>
        <w:tc>
          <w:tcPr>
            <w:shd w:val="clear" w:color="auto" w:fill="auto"/>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提供全院临床、护理、医技、行政、后勤等各类岗位及各科室的绩效分析，关联收支结余、工作量、病种、项目、人力资源等维度，找到绩效效果不佳的科室及原因，提供标杆数据，提供院级/科级、专项绩效分析报告。</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设备效益专项</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14:ligatures w14:val="none"/>
              </w:rPr>
            </w:pPr>
            <w:r>
              <w:rPr>
                <w:rFonts w:hint="eastAsia" w:ascii="宋体" w:hAnsi="宋体" w:eastAsia="宋体" w:cs="宋体"/>
                <w:color w:val="auto"/>
                <w:sz w:val="24"/>
                <w:szCs w:val="24"/>
                <w:highlight w:val="none"/>
                <w:lang w:val="en-US" w:eastAsia="zh-CN"/>
                <w14:ligatures w14:val="none"/>
              </w:rPr>
              <w:t xml:space="preserve">支持多角度资产配置、设备效益分析，提供全院各设备的使用效率、产出效益等分析，提出可执行的决策建议。支持新增、新购的设备效益分析，辅助决策是否增购的决策。涵盖资产配置（资产名称、数量、原值）、设备效益（收入、人力/折旧/维修/维保等成本）、设备使用率等，支持关联科室、病种、手术等的下钻分析。</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药品专项</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提供支持不同类别药品、重点监控药品，从科室、病种、手术维度，通过对每例病种/每种手术的药品用量的分析，与标杆值进行比对，规范用量。对药品进行不同管理维度的标注，辅助决策。</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lang w:val="en-US" w:eastAsia="zh-CN"/>
                <w14:ligatures w14:val="none"/>
              </w:rPr>
              <w:t xml:space="preserve">卫生材料专项</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14:ligatures w14:val="none"/>
              </w:rPr>
            </w:pPr>
            <w:r>
              <w:rPr>
                <w:rFonts w:hint="eastAsia" w:ascii="宋体" w:hAnsi="宋体" w:eastAsia="宋体" w:cs="宋体"/>
                <w:color w:val="auto"/>
                <w:sz w:val="24"/>
                <w:szCs w:val="24"/>
                <w:highlight w:val="none"/>
                <w:lang w:val="en-US" w:eastAsia="zh-CN"/>
                <w14:ligatures w14:val="none"/>
              </w:rPr>
              <w:t xml:space="preserve">提供支持高值耗材、重点监控耗材、不计价耗材、试剂的分析，从科室、病种、手术、项目的维度，全程监控耗材领用与实际消耗，通过对每例病种/每种手术的材料用量的分析，与标杆值进行比对，规范用量。通过全程监控耗材领用与实际消耗，实现耗材的动态管理。对卫生材料进行不同管理维度的标注，辅助决策。</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人力资源专项</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建立胜任力模型，支持量化评价每一位员工的投入和人均产出。支持多角度人员配置、人员效率、人员效益分析，支持下钻查看各科室、各医疗组对比情况。涵盖各科室不同岗位人员数、职称/年龄/学历构成，人均工作量、人均效益等。</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预算执行专项</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14:ligatures w14:val="none"/>
              </w:rPr>
            </w:pPr>
            <w:r>
              <w:rPr>
                <w:rFonts w:hint="eastAsia" w:ascii="宋体" w:hAnsi="宋体" w:eastAsia="宋体" w:cs="宋体"/>
                <w:color w:val="auto"/>
                <w:sz w:val="24"/>
                <w:szCs w:val="24"/>
                <w:highlight w:val="none"/>
                <w:lang w:val="en-US" w:eastAsia="zh-CN"/>
                <w14:ligatures w14:val="none"/>
              </w:rPr>
              <w:t xml:space="preserve">提供多维度预算执行率分析，支持下钻查看每个预算的数据变化情况，关联科室、医疗组、项目等维度，查看对比分析、趋势分析等细节数据。</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vMerge w:val="restart"/>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患者管理专项</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i w:val="0"/>
                <w:iCs w:val="0"/>
                <w:color w:val="auto"/>
                <w:sz w:val="24"/>
                <w:szCs w:val="24"/>
                <w:highlight w:val="none"/>
                <w:u w:val="none"/>
                <w:lang w:val="en-US" w:eastAsia="zh-CN" w:bidi="ar"/>
                <w14:ligatures w14:val="none"/>
              </w:rPr>
              <w:t xml:space="preserve">支持孕产妇、儿童保健等重点人群分析，从孕产妇的产检、分娩、产后康复，儿童各个阶段的保健，妇科门诊-住院-术后随访，全面追踪患者就诊情况，及时关注是否存在患者流失现象，为优化业务提供数据支撑。</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vMerge w:val="continue"/>
            <w:textDirection w:val="lrTb"/>
            <w:noWrap/>
          </w:tcPr>
          <w:p>
            <w:pPr>
              <w:ind w:firstLine="0"/>
              <w:jc w:val="center"/>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6473" w:type="dxa"/>
            <w:vAlign w:val="center"/>
            <w:textDirection w:val="lrTb"/>
            <w:noWrap w:val="false"/>
          </w:tcPr>
          <w:p>
            <w:pPr>
              <w:ind w:firstLine="0"/>
              <w:jc w:val="left"/>
              <w:spacing w:line="240" w:lineRule="auto"/>
              <w:widowControl/>
              <w:rPr>
                <w:rFonts w:hint="default" w:ascii="宋体" w:hAnsi="宋体" w:eastAsia="宋体" w:cs="宋体"/>
                <w:i w:val="0"/>
                <w:iCs w:val="0"/>
                <w:color w:val="auto"/>
                <w:sz w:val="24"/>
                <w:szCs w:val="24"/>
                <w:highlight w:val="none"/>
                <w:u w:val="none"/>
                <w:lang w:val="en-US" w:eastAsia="zh-CN" w:bidi="ar"/>
                <w14:ligatures w14:val="none"/>
              </w:rPr>
            </w:pPr>
            <w:r>
              <w:rPr>
                <w:rFonts w:hint="eastAsia" w:ascii="宋体" w:hAnsi="宋体" w:eastAsia="宋体" w:cs="宋体"/>
                <w:i w:val="0"/>
                <w:iCs w:val="0"/>
                <w:color w:val="auto"/>
                <w:sz w:val="24"/>
                <w:szCs w:val="24"/>
                <w:highlight w:val="none"/>
                <w:u w:val="none"/>
                <w:lang w:val="en-US" w:eastAsia="zh-CN" w:bidi="ar"/>
                <w14:ligatures w14:val="none"/>
              </w:rPr>
              <w:t xml:space="preserve">支持分析全院门急诊患者疾病分布特征，包括不同年龄段，不同科室疾病例数变化趋势。</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vMerge w:val="continue"/>
            <w:textDirection w:val="lrTb"/>
            <w:noWrap/>
          </w:tcPr>
          <w:p>
            <w:pPr>
              <w:ind w:firstLine="0"/>
              <w:jc w:val="center"/>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6473" w:type="dxa"/>
            <w:vAlign w:val="center"/>
            <w:textDirection w:val="lrTb"/>
            <w:noWrap w:val="false"/>
          </w:tcPr>
          <w:p>
            <w:pPr>
              <w:ind w:firstLine="0"/>
              <w:jc w:val="left"/>
              <w:spacing w:line="240" w:lineRule="auto"/>
              <w:widowControl/>
              <w:rPr>
                <w:rFonts w:hint="default" w:ascii="宋体" w:hAnsi="宋体" w:eastAsia="宋体" w:cs="宋体"/>
                <w:i w:val="0"/>
                <w:iCs w:val="0"/>
                <w:color w:val="auto"/>
                <w:sz w:val="24"/>
                <w:szCs w:val="24"/>
                <w:highlight w:val="none"/>
                <w:u w:val="none"/>
                <w:lang w:val="en-US" w:eastAsia="zh-CN" w:bidi="ar"/>
                <w14:ligatures w14:val="none"/>
              </w:rPr>
            </w:pPr>
            <w:r>
              <w:rPr>
                <w:rFonts w:hint="eastAsia" w:ascii="宋体" w:hAnsi="宋体" w:eastAsia="宋体" w:cs="宋体"/>
                <w:i w:val="0"/>
                <w:iCs w:val="0"/>
                <w:color w:val="auto"/>
                <w:sz w:val="24"/>
                <w:szCs w:val="24"/>
                <w:highlight w:val="none"/>
                <w:u w:val="none"/>
                <w:lang w:val="en-US" w:eastAsia="zh-CN" w:bidi="ar"/>
                <w14:ligatures w14:val="none"/>
              </w:rPr>
              <w:t xml:space="preserve">支持门急诊及住院患者就诊环节占用时间分析，为优化就诊流程提供数据支撑。</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运营分析报告</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支持灵活配置指标和报告内容，自动生成院级核心指标日报/月报/季报/年报及各类专项分析报告。</w:t>
            </w:r>
            <w:r/>
          </w:p>
        </w:tc>
      </w:tr>
      <w:tr>
        <w:trPr>
          <w:trHeight w:val="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目标设定</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支持通过运营分析系统，利用人工智能技术和因果逻辑分析，利用运营分析关键指标库以及行业基线和标杆数据库，为医院目标设置和医院精细化管理提供决策依据，涵盖门急诊人次、手术人次、四级手术人次等指标的年度目标值计算，支持拆分到各科室、季度、月度。</w:t>
            </w:r>
            <w:r/>
          </w:p>
        </w:tc>
      </w:tr>
      <w:tr>
        <w:trPr>
          <w:trHeight w:val="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1811" w:type="dxa"/>
            <w:vAlign w:val="center"/>
            <w:textDirection w:val="lrTb"/>
            <w:noWrap w:val="false"/>
          </w:tcPr>
          <w:p>
            <w:pPr>
              <w:ind w:firstLine="0"/>
              <w:jc w:val="center"/>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目标管理</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监测各指标目标值执行情况，可视化展示月/季度/年度目标完成情况，支持设定正常、告警、预警值，支持各指标的关联科室、医疗组、病种、手术、项目等的下钻分析，提出可执行决策建议。</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restart"/>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科室运营管理平台（科室运营驾驶舱，支持多终端操作，含运营大屏、桌面工作台、手机端）</w:t>
            </w:r>
            <w:r/>
          </w:p>
        </w:tc>
        <w:tc>
          <w:tcPr>
            <w:tcW w:w="1811" w:type="dxa"/>
            <w:vAlign w:val="center"/>
            <w:vMerge w:val="restart"/>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经营概况</w:t>
            </w:r>
            <w:r/>
          </w:p>
        </w:tc>
        <w:tc>
          <w:tcPr>
            <w:shd w:val="clear" w:color="auto" w:fill="auto"/>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14:ligatures w14:val="none"/>
              </w:rPr>
              <w:t xml:space="preserve">重点指标预警监测：支持科室重点指标的监测管理，可视化呈现指标值及状态，并支持每个指标的向下溯源问题分析，包含趋势波动分析、问题医生、问题病组、问题项目/药品/卫生材料等。</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1811"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shd w:val="clear" w:color="auto" w:fill="auto"/>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14:ligatures w14:val="none"/>
              </w:rPr>
              <w:t xml:space="preserve">实时概况：支持收支、工作量、病种、手术（手术中人次、完成手术人次、等待人次、每台手术的进程与时长等）、床位效率（床位使用率、空床数、占床人次等）等核心指标的实时监测，并支持下钻、联动查看医疗组、医生、时间等不同维度指标数据。</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1811"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shd w:val="clear" w:color="auto" w:fill="auto"/>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14:ligatures w14:val="none"/>
              </w:rPr>
              <w:t xml:space="preserve">运营日报：根据核心指标模版每日固定时间推送科室运营日报。</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1811"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收支结余分析</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从科室的医疗盈余、收入、成本三个维度，将盈余、收入、成本与预算、去年同期、上期进行对比，判断异常、衡量科室运营情况，支持关联医生、手术、病种、项目、人力、床位等维度。支持下钻查看各项收入下降/成本上升的数据变化情况，围绕某一项收入/成本，查看对比分析、趋势分析、排名分析等细节数据。</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1811"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工作量分析</w:t>
            </w:r>
            <w:r/>
          </w:p>
        </w:tc>
        <w:tc>
          <w:tcPr>
            <w:tcW w:w="6473" w:type="dxa"/>
            <w:vAlign w:val="center"/>
            <w:textDirection w:val="lrTb"/>
            <w:noWrap w:val="false"/>
          </w:tcPr>
          <w:p>
            <w:pPr>
              <w:ind w:firstLine="0"/>
              <w:jc w:val="left"/>
              <w:spacing w:line="240" w:lineRule="auto"/>
              <w:widowControl/>
              <w:rPr>
                <w:rFonts w:hint="default" w:ascii="宋体" w:hAnsi="宋体" w:eastAsia="宋体" w:cs="宋体"/>
                <w:i w:val="0"/>
                <w:iCs w:val="0"/>
                <w:color w:val="auto"/>
                <w:sz w:val="24"/>
                <w:szCs w:val="24"/>
                <w:highlight w:val="none"/>
                <w:u w:val="none"/>
                <w:lang w:val="en-US" w:eastAsia="zh-CN" w:bidi="ar"/>
                <w14:ligatures w14:val="none"/>
              </w:rPr>
            </w:pPr>
            <w:r>
              <w:rPr>
                <w:rFonts w:hint="eastAsia" w:ascii="宋体" w:hAnsi="宋体" w:eastAsia="宋体" w:cs="宋体"/>
                <w:i w:val="0"/>
                <w:iCs w:val="0"/>
                <w:color w:val="auto"/>
                <w:sz w:val="24"/>
                <w:szCs w:val="24"/>
                <w:highlight w:val="none"/>
                <w:u w:val="none"/>
                <w:lang w:val="en-US" w:eastAsia="zh-CN" w:bidi="ar"/>
                <w14:ligatures w14:val="none"/>
              </w:rPr>
              <w:t xml:space="preserve">从科室的门诊、急诊、住院、手术、体检、医技检查等各类关键服务量产出，到各项评审或考核所需的特有的指标分析，支持各指标的关联医生、病种、手术等的下钻分析。</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1811"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病种分析</w:t>
            </w:r>
            <w:r/>
          </w:p>
        </w:tc>
        <w:tc>
          <w:tcPr>
            <w:tcW w:w="6473" w:type="dxa"/>
            <w:vAlign w:val="center"/>
            <w:textDirection w:val="lrTb"/>
            <w:noWrap w:val="false"/>
          </w:tcPr>
          <w:p>
            <w:pPr>
              <w:ind w:firstLine="0"/>
              <w:jc w:val="left"/>
              <w:spacing w:line="240" w:lineRule="auto"/>
              <w:widowControl/>
              <w:rPr>
                <w:rFonts w:hint="default" w:ascii="宋体" w:hAnsi="宋体" w:eastAsia="宋体" w:cs="宋体"/>
                <w:i w:val="0"/>
                <w:iCs w:val="0"/>
                <w:color w:val="auto"/>
                <w:sz w:val="24"/>
                <w:szCs w:val="24"/>
                <w:highlight w:val="none"/>
                <w:u w:val="none"/>
                <w:lang w:val="en-US" w:eastAsia="zh-CN" w:bidi="ar"/>
                <w14:ligatures w14:val="none"/>
              </w:rPr>
            </w:pPr>
            <w:r>
              <w:rPr>
                <w:rFonts w:hint="eastAsia" w:ascii="宋体" w:hAnsi="宋体" w:eastAsia="宋体" w:cs="宋体"/>
                <w:i w:val="0"/>
                <w:iCs w:val="0"/>
                <w:color w:val="auto"/>
                <w:sz w:val="24"/>
                <w:szCs w:val="24"/>
                <w:highlight w:val="none"/>
                <w:u w:val="none"/>
                <w:lang w:val="en-US" w:eastAsia="zh-CN" w:bidi="ar"/>
                <w14:ligatures w14:val="none"/>
              </w:rPr>
              <w:t xml:space="preserve">从科室角度展开基于DRG病种的分析，涵盖入组数、占比、费用结构、盈亏等，关联医生、手术、项目、路径执行等维度的分析。</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1811"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患者管理</w:t>
            </w:r>
            <w:r/>
          </w:p>
        </w:tc>
        <w:tc>
          <w:tcPr>
            <w:tcW w:w="6473"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4"/>
                <w:szCs w:val="24"/>
                <w:highlight w:val="none"/>
                <w:u w:val="none"/>
                <w:lang w:val="en-US" w:eastAsia="zh-CN" w:bidi="ar"/>
                <w14:ligatures w14:val="none"/>
              </w:rPr>
            </w:pPr>
            <w:r>
              <w:rPr>
                <w:rFonts w:hint="eastAsia" w:ascii="宋体" w:hAnsi="宋体" w:eastAsia="宋体" w:cs="宋体"/>
                <w:i w:val="0"/>
                <w:iCs w:val="0"/>
                <w:color w:val="auto"/>
                <w:sz w:val="24"/>
                <w:szCs w:val="24"/>
                <w:highlight w:val="none"/>
                <w:u w:val="none"/>
                <w:lang w:val="en-US" w:eastAsia="zh-CN" w:bidi="ar"/>
                <w14:ligatures w14:val="none"/>
              </w:rPr>
              <w:t xml:space="preserve">从科室角度全面追踪患者就诊情况，从门诊-住院-复诊等各环节展开分析，及时关注是否存在患者流失现象，为优化业务提供数据支撑。</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1811"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设备管理</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提供专科专用设备的使用效率分析、分析产出瓶颈，提出相应改进措施。支持新增、新购的设备效益分析，辅助决策者是否增购的决策。</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1811"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药品管理</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从临床科室角度展开对不同类别药品、重点监控药品统计，从病种、手术的维度，通过对每例病种/每种手术的药品用量的分析，与标杆值进行比对，规范用量。</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1811"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卫生材料管理</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从临床科室角度展开对材料统计，针对材料用量，关联病种、手术、收费项目等维度体现科室材料的消耗情况。从检验科等医技科室角度展开对试剂使用的统计，针对试剂用量，关联收费项目体现科室试剂的消耗情况。</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1811"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人力资源管理</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根据科室工作量、病种、手术等，分析科室人员构成、岗位胜任力是否匹配，建立每个人员的胜任力雷达图，提示科室管理者针对人力资源投入做进一步的优化和提升。</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1811"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专科目标管理</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支持基于科室运营目标的异常探查、根因分析、智能预测，提醒科室管理者提前采取措施予以干预，提供计划制定、执行、检查、改进的目标管理功能。</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1811"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专科发展</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建立专科能力模型，支持根据江苏省重点专科评审要求，分析病种、手术、人员、科教研、医疗质量等是否匹配，提示科室管理者做进一步的优化和提升。</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r>
            <w:r/>
          </w:p>
        </w:tc>
        <w:tc>
          <w:tcPr>
            <w:tcW w:w="1811"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科室经营分析报告</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根据科室实际运营数据，从收支结余、工作量、专科目标管理、病种管理、卫生材料、设备、人力资源等核心指标情况，自定义形成不同时间维度科室整体运营概况的运营分析报告和各专题报告，并自动推送。</w:t>
            </w:r>
            <w:r/>
          </w:p>
        </w:tc>
      </w:tr>
      <w:tr>
        <w:trPr>
          <w:trHeight w:val="116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restart"/>
            <w:textDirection w:val="lrTb"/>
            <w:noWrap w:val="false"/>
          </w:tcPr>
          <w:p>
            <w:pPr>
              <w:ind w:firstLine="0"/>
              <w:jc w:val="center"/>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国考指标监测分析</w:t>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指标概览分析</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支持按照公立医院绩效考核指标多级分类查询指标本期值、同期值、同比、中位数、满分值；</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支持按照国考指标二级模块分类导出本期值、同期值、同比、中位数、满分值；</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支持定义时间范围和院科两级查询指标结果；</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对有异常的指标进行备注信息</w:t>
            </w:r>
            <w:r>
              <w:rPr>
                <w:rFonts w:hint="eastAsia" w:ascii="宋体" w:hAnsi="宋体" w:eastAsia="宋体" w:cs="宋体"/>
                <w:color w:val="auto"/>
                <w:sz w:val="24"/>
                <w:szCs w:val="24"/>
                <w:highlight w:val="none"/>
                <w:lang w:eastAsia="zh-CN"/>
                <w14:ligatures w14:val="none"/>
              </w:rPr>
              <w:t xml:space="preserve">。</w:t>
            </w:r>
            <w:r/>
          </w:p>
        </w:tc>
      </w:tr>
      <w:tr>
        <w:trPr>
          <w:trHeight w:val="87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指标溯源</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支持查看指标意义与指标计算的实际路径；</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支持所有指标数据可视化溯源，基础指标可向前溯源元数据信息，向后展示基于该指标构成的复杂指标、多元指标、衍生指标</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指标下钻分析</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非人工填报指标支持查看关键影响科室、支持查看指标趋势分析、支持查看患者明细；</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下钻分析报表支持导出、排序、联动等功能；</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指标趋势分析</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支持自定义时间范围查看结果指标、以及组成指标的趋势变化；支持查看查看周期范围内的平均值；</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vMerge w:val="restart"/>
            <w:textDirection w:val="lrTb"/>
            <w:noWrap/>
          </w:tcPr>
          <w:p>
            <w:pPr>
              <w:ind w:firstLine="0"/>
              <w:jc w:val="center"/>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国家监测指标</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得分评估：根据</w:t>
            </w:r>
            <w:r>
              <w:rPr>
                <w:rFonts w:hint="eastAsia" w:ascii="宋体" w:hAnsi="宋体" w:eastAsia="宋体" w:cs="宋体"/>
                <w:color w:val="auto"/>
                <w:sz w:val="24"/>
                <w:szCs w:val="24"/>
                <w:highlight w:val="none"/>
                <w:lang w:val="en-US" w:eastAsia="zh-CN"/>
                <w14:ligatures w14:val="none"/>
              </w:rPr>
              <w:t xml:space="preserve">24</w:t>
            </w:r>
            <w:r>
              <w:rPr>
                <w:rFonts w:hint="eastAsia" w:ascii="宋体" w:hAnsi="宋体" w:eastAsia="宋体" w:cs="宋体"/>
                <w:color w:val="auto"/>
                <w:sz w:val="24"/>
                <w:szCs w:val="24"/>
                <w:highlight w:val="none"/>
                <w14:ligatures w14:val="none"/>
              </w:rPr>
              <w:t xml:space="preserve">个国家监测指标情况，测评当前指标得分情况以及目标完成进度情况</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警示指标提醒：警示指标数量与警示指标占比情况</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按医疗质量、运营效率、持续发展和满意度4个维度监测其三级指标当前值、与目标差值和模拟评分情况</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可分析其指标整体趋势、各科室指标状态和指标各类专题分析</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vMerge w:val="restart"/>
            <w:textDirection w:val="lrTb"/>
            <w:noWrap/>
          </w:tcPr>
          <w:p>
            <w:pPr>
              <w:ind w:firstLine="0"/>
              <w:jc w:val="center"/>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科室填报</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针对目前现有业务系统中无法收集的数据，提供数据填报功能，从而完善医院的数据采集，更好地满足评审数据监测需求</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支持excel报表等离线的手工记录数据导入，从而多方式完善数据</w:t>
            </w:r>
            <w:r/>
          </w:p>
        </w:tc>
      </w:tr>
      <w:tr>
        <w:trPr>
          <w:trHeight w:val="87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restart"/>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基础管理平台</w:t>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指标管理平台</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指标管理平台支持对指挥调度中心的监测指标进行分类管理和定义配置。用户可以按主题分类查看每个指标的状态和结果，并对内置指标的取数内容进行编辑调整，满足不同场景下的监测需求。通过权限设置，平台可限制不同用户对业务系统数据的访问范围，确保数据的安全性与管理的规范性。</w:t>
            </w:r>
            <w:r/>
          </w:p>
        </w:tc>
      </w:tr>
      <w:tr>
        <w:trPr>
          <w:trHeight w:val="116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预警管理平台</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预警管理平台提供对指挥调度中心监测指标的灵活预警配置功能，支持按分钟、小时、天、周、月等多种时间频率设置预警规则。系统支持多种判断方式和对比方式，并可按固定值或历史同期数据设置阈值，确保预警配置的精准性。预警信息通过对接消息平台实时推送至企业微信、钉钉等渠道。此外，系统支持自动生成日报月报等运营报告，并实时推送至相关责任人，提升运营管理的效率和及时性。</w:t>
            </w:r>
            <w:r/>
          </w:p>
        </w:tc>
      </w:tr>
      <w:tr>
        <w:trPr>
          <w:trHeight w:val="87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任务管理平台</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任务管理平台支持在指标展示页面快捷创建任务，用户可定义任务内容、紧急程度、主题、责任人、截止时间及提醒时间等要素。平台提供任务状态跟踪功能，支持按待处理、已处理等状态查看任务列表，确保任务处理的透明性和闭环管理。通过任务管理平台，医院可实现任务分配高效化，推动问题快速解决。</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restart"/>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运管AI智能体</w:t>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指标分析</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根据用户文字输入/语音输入的自然语言解析指标并返回运营数据中心的指标结果，并且支持基于上下文语境按科室、时间、医生等多维度下钻分析的多轮对话，支持将分析结果进行导出。</w:t>
            </w:r>
            <w:r/>
          </w:p>
        </w:tc>
      </w:tr>
      <w:tr>
        <w:trPr>
          <w:trHeight w:val="116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数据概览</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支持以可视化面板的方式展示当前系统中的指标情况，支持添加用户重点关注指标并展示目前异常指标情况，指标支持按科室、医生、</w:t>
            </w:r>
            <w:r>
              <w:rPr>
                <w:rFonts w:hint="eastAsia" w:ascii="宋体" w:hAnsi="宋体" w:eastAsia="宋体" w:cs="宋体"/>
                <w:color w:val="auto"/>
                <w:sz w:val="24"/>
                <w:szCs w:val="24"/>
                <w:highlight w:val="none"/>
                <w:lang w:val="en-US" w:eastAsia="zh-CN"/>
                <w14:ligatures w14:val="none"/>
              </w:rPr>
              <w:t xml:space="preserve">病种</w:t>
            </w:r>
            <w:r>
              <w:rPr>
                <w:rFonts w:hint="eastAsia" w:ascii="宋体" w:hAnsi="宋体" w:eastAsia="宋体" w:cs="宋体"/>
                <w:color w:val="auto"/>
                <w:sz w:val="24"/>
                <w:szCs w:val="24"/>
                <w:highlight w:val="none"/>
                <w14:ligatures w14:val="none"/>
              </w:rPr>
              <w:t xml:space="preserve">、手术等多维度的下钻。展示面板支持对不同的指标配置不同的展示方式，包括：指标卡、趋势图、表格、排名图、占比图、对比图、迷你指标卡等可视化组件。所有维度的指标数据都可以快捷跳转到问答界面通过上下文对当前指标进行智能问答。</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用户记忆</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系统除了支持对话内的上下文对话外，还支持根据用户对话自动创建记忆和手动创建记忆，以支持不同使用人员的使用习惯和记忆来控制回答的内容和输出结果。</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快捷指令</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支持设置快捷指令，并在与智能运营助手对话时调用快捷指令快速开启各对话场景；</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异常探查</w:t>
            </w:r>
            <w:r/>
          </w:p>
        </w:tc>
        <w:tc>
          <w:tcPr>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对比预算或运营目标或标杆数据，主动探查运营异常；</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根因分析</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支持基于运营管理知识库对</w:t>
            </w:r>
            <w:r>
              <w:rPr>
                <w:rFonts w:hint="eastAsia" w:ascii="宋体" w:hAnsi="宋体" w:eastAsia="宋体" w:cs="宋体"/>
                <w:color w:val="auto"/>
                <w:sz w:val="24"/>
                <w:szCs w:val="24"/>
                <w:highlight w:val="none"/>
                <w:lang w:val="en-US" w:eastAsia="zh-CN"/>
                <w14:ligatures w14:val="none"/>
              </w:rPr>
              <w:t xml:space="preserve">异常</w:t>
            </w:r>
            <w:r>
              <w:rPr>
                <w:rFonts w:hint="eastAsia" w:ascii="宋体" w:hAnsi="宋体" w:eastAsia="宋体" w:cs="宋体"/>
                <w:color w:val="auto"/>
                <w:sz w:val="24"/>
                <w:szCs w:val="24"/>
                <w:highlight w:val="none"/>
                <w14:ligatures w14:val="none"/>
              </w:rPr>
              <w:t xml:space="preserve">指标进行</w:t>
            </w:r>
            <w:r>
              <w:rPr>
                <w:rFonts w:hint="eastAsia" w:ascii="宋体" w:hAnsi="宋体" w:eastAsia="宋体" w:cs="宋体"/>
                <w:color w:val="auto"/>
                <w:sz w:val="24"/>
                <w:szCs w:val="24"/>
                <w:highlight w:val="none"/>
                <w:lang w:val="en-US" w:eastAsia="zh-CN"/>
                <w14:ligatures w14:val="none"/>
              </w:rPr>
              <w:t xml:space="preserve">多维度关联分析，定位异常背后根本原因，形成可执行决策方案，自动生成分析报告</w:t>
            </w:r>
            <w:r>
              <w:rPr>
                <w:rFonts w:hint="eastAsia" w:ascii="宋体" w:hAnsi="宋体" w:eastAsia="宋体" w:cs="宋体"/>
                <w:color w:val="auto"/>
                <w:sz w:val="24"/>
                <w:szCs w:val="24"/>
                <w:highlight w:val="none"/>
                <w14:ligatures w14:val="none"/>
              </w:rPr>
              <w:t xml:space="preserve">，并支持导出分析报告</w:t>
            </w:r>
            <w:r>
              <w:rPr>
                <w:rFonts w:hint="eastAsia" w:ascii="宋体" w:hAnsi="宋体" w:eastAsia="宋体" w:cs="宋体"/>
                <w:color w:val="auto"/>
                <w:sz w:val="24"/>
                <w:szCs w:val="24"/>
                <w:highlight w:val="none"/>
                <w:lang w:eastAsia="zh-CN"/>
                <w14:ligatures w14:val="none"/>
              </w:rPr>
              <w:t xml:space="preserve">；</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shd w:val="clear" w:color="auto" w:fill="auto"/>
            <w:tcW w:w="1811"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14:ligatures w14:val="none"/>
              </w:rPr>
              <w:t xml:space="preserve">智能</w:t>
            </w:r>
            <w:r>
              <w:rPr>
                <w:rFonts w:hint="eastAsia" w:ascii="宋体" w:hAnsi="宋体" w:eastAsia="宋体" w:cs="宋体"/>
                <w:color w:val="auto"/>
                <w:sz w:val="24"/>
                <w:szCs w:val="24"/>
                <w:highlight w:val="none"/>
                <w:lang w:val="en-US" w:eastAsia="zh-CN"/>
                <w14:ligatures w14:val="none"/>
              </w:rPr>
              <w:t xml:space="preserve">风险预警</w:t>
            </w:r>
            <w:r/>
          </w:p>
        </w:tc>
        <w:tc>
          <w:tcPr>
            <w:shd w:val="clear" w:color="auto" w:fill="auto"/>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14:ligatures w14:val="none"/>
              </w:rPr>
              <w:t xml:space="preserve">识别医院、科室、医疗组、病种各层面各类运营异常或风险，</w:t>
            </w:r>
            <w:r>
              <w:rPr>
                <w:rFonts w:hint="eastAsia" w:ascii="宋体" w:hAnsi="宋体" w:eastAsia="宋体" w:cs="宋体"/>
                <w:color w:val="auto"/>
                <w:sz w:val="24"/>
                <w:szCs w:val="24"/>
                <w:highlight w:val="none"/>
                <w14:ligatures w14:val="none"/>
              </w:rPr>
              <w:t xml:space="preserve">支持动态分析异常指标，基于运营数据中心知识库推荐指标异常的干预措施；</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shd w:val="clear" w:color="auto" w:fill="auto"/>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14:ligatures w14:val="none"/>
              </w:rPr>
              <w:t xml:space="preserve">智能任务指派</w:t>
            </w:r>
            <w:r/>
          </w:p>
        </w:tc>
        <w:tc>
          <w:tcPr>
            <w:shd w:val="clear" w:color="auto" w:fill="auto"/>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14:ligatures w14:val="none"/>
              </w:rPr>
              <w:t xml:space="preserve">支持智能生成异常指标干预任务并指派给相应责任人进行异常指标的持续改进；</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shd w:val="clear" w:color="auto" w:fill="auto"/>
            <w:tcW w:w="1811"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智能预测</w:t>
            </w:r>
            <w:r/>
          </w:p>
        </w:tc>
        <w:tc>
          <w:tcPr>
            <w:shd w:val="clear" w:color="auto" w:fill="auto"/>
            <w:tcW w:w="6473"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通过建立收支结构、病种结构和盈亏预测模型，为经营决策提供依据；</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统计分析</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内置统计分析引擎，支持对数据集进行求和、平均值、极值、同比/环比等统计功能，支持趋势分析、相关性分析、对比分析等分析方法，并支持导出分析报告；</w:t>
            </w:r>
            <w:r/>
          </w:p>
        </w:tc>
      </w:tr>
      <w:tr>
        <w:trPr>
          <w:trHeight w:val="58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智能SQL查询</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支持对于非标准指标能智能基于用户需求解析指标知识库生成对应的指标查询定义，然后基于新的指标定义对数据进行SQL查询返回对应的指标结果；</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语音识别</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支持通过语音方式输入指标查询需求；</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权限管理</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支持针对科室、人员设定不同指标的查询权限；</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移动端数据问询</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支持手机端文字或语音快速查询相关数据；</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移动端洞察报告</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支持手机端对多个指标的的数据进行分析并形成数据洞察报告和分析；</w:t>
            </w:r>
            <w:r/>
          </w:p>
        </w:tc>
      </w:tr>
      <w:tr>
        <w:trPr>
          <w:trHeight w:val="290"/>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811"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移动端智能预警</w:t>
            </w:r>
            <w:r/>
          </w:p>
        </w:tc>
        <w:tc>
          <w:tcPr>
            <w:tcW w:w="6473"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支持通过手机端预警助手动态分析异常指标并进行指标预警，并支持推荐指标异常的干预措施。</w:t>
            </w:r>
            <w:r/>
          </w:p>
        </w:tc>
      </w:tr>
      <w:tr>
        <w:trPr>
          <w:trHeight w:val="1046"/>
        </w:trPr>
        <w:tc>
          <w:tcPr>
            <w:tcW w:w="843" w:type="dxa"/>
            <w:vAlign w:val="center"/>
            <w:vMerge w:val="continue"/>
            <w:textDirection w:val="lrTb"/>
            <w:noWrap w:val="false"/>
          </w:tcPr>
          <w:p>
            <w:pPr>
              <w:ind w:firstLine="0"/>
              <w:jc w:val="left"/>
              <w:spacing w:line="240" w:lineRule="auto"/>
              <w:widowControl/>
              <w:rPr>
                <w:rFonts w:hint="default"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r>
            <w:r/>
          </w:p>
        </w:tc>
        <w:tc>
          <w:tcPr>
            <w:tcW w:w="1050" w:type="dxa"/>
            <w:vAlign w:val="center"/>
            <w:textDirection w:val="lrTb"/>
            <w:noWrap w:val="false"/>
          </w:tcPr>
          <w:p>
            <w:pPr>
              <w:ind w:firstLine="0"/>
              <w:jc w:val="left"/>
              <w:spacing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患者360视图</w:t>
            </w:r>
            <w:r/>
          </w:p>
        </w:tc>
        <w:tc>
          <w:tcPr>
            <w:gridSpan w:val="2"/>
            <w:tcW w:w="8284" w:type="dxa"/>
            <w:vAlign w:val="center"/>
            <w:textDirection w:val="lrTb"/>
            <w:noWrap w:val="false"/>
          </w:tcPr>
          <w:p>
            <w:pPr>
              <w:numPr>
                <w:ilvl w:val="0"/>
                <w:numId w:val="0"/>
              </w:numPr>
              <w:ind w:right="1333" w:firstLine="420"/>
              <w:jc w:val="both"/>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支持查阅个人基本信息、入院记录、出院记录、病程记录、生命体征、病理、检验、检查、医嘱等详细病历信息。支持通过时间轴的方式，图形化的方式展示重点诊疗信息</w:t>
            </w:r>
            <w:r/>
          </w:p>
        </w:tc>
      </w:tr>
    </w:tbl>
    <w:p>
      <w:pPr>
        <w:numPr>
          <w:ilvl w:val="0"/>
          <w:numId w:val="1"/>
        </w:numPr>
        <w:ind w:left="1" w:hanging="1"/>
        <w:jc w:val="both"/>
        <w:keepLines/>
        <w:keepNext/>
        <w:pageBreakBefore w:val="0"/>
        <w:spacing w:before="240" w:after="240" w:line="360" w:lineRule="auto"/>
        <w:widowControl w:val="off"/>
        <w:tabs>
          <w:tab w:val="left" w:pos="360" w:leader="none"/>
        </w:tabs>
        <w:rPr>
          <w:rFonts w:hint="eastAsia" w:ascii="宋体" w:hAnsi="宋体" w:eastAsia="宋体" w:cs="宋体"/>
          <w:b/>
          <w:bCs/>
          <w:color w:val="auto"/>
          <w:sz w:val="24"/>
          <w:szCs w:val="24"/>
          <w:highlight w:val="none"/>
          <w:lang w:val="en-US" w:eastAsia="zh-CN" w:bidi="ar-SA"/>
          <w14:ligatures w14:val="none"/>
        </w:rPr>
        <w:outlineLvl w:val="0"/>
      </w:pPr>
      <w:r>
        <w:rPr>
          <w:rFonts w:hint="eastAsia" w:ascii="宋体" w:hAnsi="宋体" w:eastAsia="宋体" w:cs="宋体"/>
          <w:b/>
          <w:bCs/>
          <w:color w:val="auto"/>
          <w:sz w:val="24"/>
          <w:szCs w:val="24"/>
          <w:highlight w:val="none"/>
          <w:lang w:val="en-US" w:eastAsia="zh-CN" w:bidi="ar-SA"/>
          <w14:ligatures w14:val="none"/>
        </w:rPr>
        <w:t xml:space="preserve">产品功能参数要求</w:t>
      </w:r>
      <w:r/>
    </w:p>
    <w:p>
      <w:pPr>
        <w:numPr>
          <w:ilvl w:val="1"/>
          <w:numId w:val="1"/>
        </w:numPr>
        <w:ind w:left="856" w:right="280" w:hanging="576"/>
        <w:jc w:val="both"/>
        <w:keepLines/>
        <w:keepNext/>
        <w:pageBreakBefore w:val="0"/>
        <w:spacing w:before="240" w:after="240" w:line="360" w:lineRule="auto"/>
        <w:tabs>
          <w:tab w:val="left" w:pos="360" w:leader="none"/>
        </w:tabs>
        <w:rPr>
          <w:rFonts w:hint="eastAsia" w:ascii="宋体" w:hAnsi="宋体" w:eastAsia="宋体" w:cs="宋体"/>
          <w:b/>
          <w:bCs/>
          <w:color w:val="auto"/>
          <w:sz w:val="24"/>
          <w:szCs w:val="24"/>
          <w:highlight w:val="none"/>
          <w:lang w:val="en-US" w:eastAsia="zh-CN" w:bidi="ar-SA"/>
          <w14:ligatures w14:val="none"/>
        </w:rPr>
        <w:outlineLvl w:val="1"/>
      </w:pPr>
      <w:r>
        <w:rPr>
          <w:rFonts w:hint="eastAsia" w:ascii="宋体" w:hAnsi="宋体" w:eastAsia="宋体" w:cs="宋体"/>
          <w:b/>
          <w:bCs/>
          <w:color w:val="auto"/>
          <w:sz w:val="24"/>
          <w:szCs w:val="24"/>
          <w:highlight w:val="none"/>
          <w:lang w:val="en-US" w:eastAsia="zh-CN" w:bidi="ar-SA"/>
          <w14:ligatures w14:val="none"/>
        </w:rPr>
        <w:t xml:space="preserve">数据资产管理平台</w:t>
      </w:r>
      <w:r/>
    </w:p>
    <w:p>
      <w:pPr>
        <w:numPr>
          <w:ilvl w:val="2"/>
          <w:numId w:val="1"/>
        </w:numPr>
        <w:ind w:left="1060" w:right="280" w:hanging="840"/>
        <w:keepLines/>
        <w:keepNext/>
        <w:pageBreakBefore w:val="0"/>
        <w:spacing w:before="260" w:after="260" w:line="360" w:lineRule="auto"/>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数据集成服务</w:t>
      </w:r>
      <w:r/>
    </w:p>
    <w:p>
      <w:pPr>
        <w:numPr>
          <w:ilvl w:val="0"/>
          <w:numId w:val="8"/>
        </w:numPr>
        <w:ind w:left="420" w:hanging="42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▲对接服务</w:t>
      </w:r>
      <w:r>
        <w:rPr>
          <w:rFonts w:hint="eastAsia" w:ascii="宋体" w:hAnsi="宋体" w:eastAsia="宋体" w:cs="宋体"/>
          <w:color w:val="auto"/>
          <w:sz w:val="24"/>
          <w:szCs w:val="24"/>
          <w:highlight w:val="none"/>
          <w:lang w:val="en-US" w:eastAsia="zh-CN"/>
          <w14:ligatures w14:val="none"/>
        </w:rPr>
        <w:tab/>
      </w:r>
      <w:r>
        <w:rPr>
          <w:rFonts w:hint="eastAsia" w:ascii="宋体" w:hAnsi="宋体" w:eastAsia="宋体" w:cs="宋体"/>
          <w:color w:val="auto"/>
          <w:sz w:val="24"/>
          <w:szCs w:val="24"/>
          <w:highlight w:val="none"/>
          <w:lang w:val="en-US" w:eastAsia="zh-CN"/>
          <w14:ligatures w14:val="none"/>
        </w:rPr>
        <w:t xml:space="preserve">提供不低于30个业务系统的原厂数据湖平台的对接服务，在服务期限内，进行数据的抽取、数据资源梳理、数据采集清洗、基础库主题库建设、元数据管理、血缘追踪、质量管理、数据开放服务。</w:t>
      </w:r>
      <w:r/>
    </w:p>
    <w:p>
      <w:pPr>
        <w:numPr>
          <w:ilvl w:val="0"/>
          <w:numId w:val="8"/>
        </w:numPr>
        <w:ind w:firstLine="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▲数据实时同步集成服务（CDC）提供原厂数据实时同步集成服务，根据源业务系统特性及需求，提供数据实时入湖，保障服务期限内数据湖数据与源业务库延迟不大于5分钟。</w:t>
      </w:r>
      <w:r/>
    </w:p>
    <w:p>
      <w:pPr>
        <w:numPr>
          <w:ilvl w:val="0"/>
          <w:numId w:val="8"/>
        </w:numPr>
        <w:ind w:firstLine="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▲数据ETL数据集成服务提供原厂数据ETL数据集成服务（T+1），根据源业务系统特性及需求，提供相关数据的抽取，保障服务期限内任何时段数据湖数据与源业务库延迟不大于1天。</w:t>
      </w:r>
      <w:r/>
    </w:p>
    <w:p>
      <w:pPr>
        <w:numPr>
          <w:ilvl w:val="2"/>
          <w:numId w:val="1"/>
        </w:numPr>
        <w:ind w:left="1000" w:right="280" w:hanging="720"/>
        <w:keepLines/>
        <w:keepNext/>
        <w:pageBreakBefore w:val="0"/>
        <w:spacing w:before="260" w:after="260" w:line="360" w:lineRule="auto"/>
        <w:tabs>
          <w:tab w:val="left" w:pos="260" w:leader="none"/>
        </w:tabs>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主数据管理系统</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遵循国家卫生数据字典和术语库标准，并结合医疗机构实际情况对各医疗机构所有的信息进行梳理，建立起满足医疗机构数据交换和数据共享的最小数据集，建立基于医院信息平台的术语库管理，使医疗信息标准化，避免词汇含义歧义表达的意思相同，但是因不同信息系统不能理解造成的差异，保证在不同的系统或医疗服务提供者之间交换信息时的一致性。</w:t>
      </w:r>
      <w:r/>
    </w:p>
    <w:p>
      <w:pPr>
        <w:numPr>
          <w:ilvl w:val="3"/>
          <w:numId w:val="1"/>
        </w:numPr>
        <w:ind w:left="630" w:right="280"/>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字典管理</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（1）机构信息管理</w:t>
      </w:r>
      <w:r/>
    </w:p>
    <w:p>
      <w:pPr>
        <w:numPr>
          <w:ilvl w:val="0"/>
          <w:numId w:val="8"/>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支持组织机构管理：维护院区、分院等医疗机构的信息；</w:t>
      </w:r>
      <w:r/>
    </w:p>
    <w:p>
      <w:pPr>
        <w:numPr>
          <w:ilvl w:val="0"/>
          <w:numId w:val="8"/>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支持位置信息管理：维护楼层、区域、病房位置；</w:t>
      </w:r>
      <w:r/>
    </w:p>
    <w:p>
      <w:pPr>
        <w:numPr>
          <w:ilvl w:val="0"/>
          <w:numId w:val="8"/>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支持科室管理：维护科室信息；</w:t>
      </w:r>
      <w:r/>
    </w:p>
    <w:p>
      <w:pPr>
        <w:numPr>
          <w:ilvl w:val="0"/>
          <w:numId w:val="8"/>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支持应用系统管理：维护医疗机构所使用的医疗系统信息（生产厂商，系统类型，版本号等）。</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（2）人员信息管理</w:t>
      </w:r>
      <w:r/>
    </w:p>
    <w:p>
      <w:pPr>
        <w:numPr>
          <w:ilvl w:val="0"/>
          <w:numId w:val="9"/>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支持人员管理：管理医疗人员的基本信息和启用/停用；</w:t>
      </w:r>
      <w:r/>
    </w:p>
    <w:p>
      <w:pPr>
        <w:numPr>
          <w:ilvl w:val="0"/>
          <w:numId w:val="9"/>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支持维护人员所属多科室信息；</w:t>
      </w:r>
      <w:r/>
    </w:p>
    <w:p>
      <w:pPr>
        <w:numPr>
          <w:ilvl w:val="0"/>
          <w:numId w:val="9"/>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支持职称管理：维护人员对应的职称级别；</w:t>
      </w:r>
      <w:r/>
    </w:p>
    <w:p>
      <w:pPr>
        <w:numPr>
          <w:ilvl w:val="0"/>
          <w:numId w:val="9"/>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支持人员类型管理：管理人员类别信息；</w:t>
      </w:r>
      <w:r/>
    </w:p>
    <w:p>
      <w:pPr>
        <w:numPr>
          <w:ilvl w:val="0"/>
          <w:numId w:val="9"/>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医疗组管理：维护人员分组信息以及医疗组关联人员信息。</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（3）代码系统管理</w:t>
      </w:r>
      <w:r/>
    </w:p>
    <w:p>
      <w:pPr>
        <w:numPr>
          <w:ilvl w:val="0"/>
          <w:numId w:val="10"/>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支持对代码系统进行新增、删除、导出、查看操作；</w:t>
      </w:r>
      <w:r/>
    </w:p>
    <w:p>
      <w:pPr>
        <w:numPr>
          <w:ilvl w:val="0"/>
          <w:numId w:val="10"/>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支持批量导入字典项；</w:t>
      </w:r>
      <w:r/>
    </w:p>
    <w:p>
      <w:pPr>
        <w:numPr>
          <w:ilvl w:val="0"/>
          <w:numId w:val="10"/>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支持对字典项拆分、合并、修改等操作。</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（4）主数据流程</w:t>
      </w:r>
      <w:r/>
    </w:p>
    <w:p>
      <w:pPr>
        <w:numPr>
          <w:ilvl w:val="0"/>
          <w:numId w:val="11"/>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支持主数据变更审核：对变更的主数据进行查看和审核；</w:t>
      </w:r>
      <w:r/>
    </w:p>
    <w:p>
      <w:pPr>
        <w:numPr>
          <w:ilvl w:val="0"/>
          <w:numId w:val="11"/>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支持主数据发布：对已经通过审核的数据进行发布；</w:t>
      </w:r>
      <w:r/>
    </w:p>
    <w:p>
      <w:pPr>
        <w:numPr>
          <w:ilvl w:val="0"/>
          <w:numId w:val="11"/>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支持主数据变更管理：查看主数据变更情况，可进行查询。</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（5）数据同步</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支持维护数据订阅关系，支持通过消息队列、接口、ESB等方式订阅主数据分发。</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（6）日志查询</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支持按照自动同步和手动同步方式筛选查看来源系统字典的同步状态。</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（7）主数据模型</w:t>
      </w:r>
      <w:r/>
    </w:p>
    <w:p>
      <w:pPr>
        <w:numPr>
          <w:ilvl w:val="0"/>
          <w:numId w:val="12"/>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包括代码值、代码名称并可自行增加扩展列，扩展列可设置独立字段或对其他字典进行引用；</w:t>
      </w:r>
      <w:r/>
    </w:p>
    <w:p>
      <w:pPr>
        <w:numPr>
          <w:ilvl w:val="0"/>
          <w:numId w:val="12"/>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支持配置数据模型基础信息，如字典是否需要审核和是否启用等。</w:t>
      </w:r>
      <w:r/>
    </w:p>
    <w:p>
      <w:pPr>
        <w:numPr>
          <w:ilvl w:val="3"/>
          <w:numId w:val="1"/>
        </w:numPr>
        <w:ind w:left="630" w:right="280"/>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字典对照</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(1)代码系统归一</w:t>
      </w:r>
      <w:r/>
    </w:p>
    <w:p>
      <w:p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要求实现各个不同业务系统的代码对照和归一：</w:t>
      </w:r>
      <w:r/>
    </w:p>
    <w:p>
      <w:p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要求支持配置基准代码系统和对照代码系统并设置是否需要智能推荐；</w:t>
      </w:r>
      <w:r/>
    </w:p>
    <w:p>
      <w:p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要求展示基准代码系统和对照代码系统中已对照的字典项比例。</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(2)AI智能推荐</w:t>
      </w:r>
      <w:r/>
    </w:p>
    <w:p>
      <w:p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▲支持基于通用文本相似度算法实现的字典自动对照并显示出推荐结果，可以设置对推荐结果的数量进行设置。</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ab/>
      </w:r>
      <w:r>
        <w:rPr>
          <w:rFonts w:hint="eastAsia" w:ascii="宋体" w:hAnsi="宋体" w:eastAsia="宋体" w:cs="宋体"/>
          <w:b/>
          <w:bCs/>
          <w:iCs/>
          <w:color w:val="auto"/>
          <w:sz w:val="24"/>
          <w:szCs w:val="24"/>
          <w:highlight w:val="none"/>
          <w:lang w:val="en-US" w:eastAsia="zh-CN" w:bidi="ar-SA"/>
          <w14:ligatures w14:val="none"/>
        </w:rPr>
        <w:t xml:space="preserve">AI智能医学术语自动归一</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（1）诊断自动归一化引擎</w:t>
      </w:r>
      <w:r/>
    </w:p>
    <w:p>
      <w:p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支持通过产品页面触发基于语义分析和知识图谱的诊断术语自动对照，对照成功后显示对照结果和成功对照数量。</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（2）药品自动归一化引擎</w:t>
      </w:r>
      <w:r/>
    </w:p>
    <w:p>
      <w:p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支持通过产品页面触发基于语义分析和知识图谱的药品的术语自动对照，对照成功后显示对照结果和成功对照数量。</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（3）检验自动归一化引擎</w:t>
      </w:r>
      <w:r/>
    </w:p>
    <w:p>
      <w:p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支持通过产品页面触发基于语义分析和知识图谱的检验的术语自动对照，对照成功后显示对照结果和成功对照数量。</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（4）手术自动归一化引擎</w:t>
      </w:r>
      <w:r/>
    </w:p>
    <w:p>
      <w:p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支持通过产品页面触发基于语义分析和知识图谱的手术的术语自动对照，对照成功后显示对照结果和成功对照数量。</w:t>
      </w:r>
      <w:r/>
    </w:p>
    <w:p>
      <w:pPr>
        <w:numPr>
          <w:ilvl w:val="2"/>
          <w:numId w:val="1"/>
        </w:numPr>
        <w:ind w:left="1000" w:right="280" w:hanging="720"/>
        <w:keepLines/>
        <w:keepNext/>
        <w:pageBreakBefore w:val="0"/>
        <w:spacing w:before="260" w:after="260" w:line="360" w:lineRule="auto"/>
        <w:tabs>
          <w:tab w:val="left" w:pos="360" w:leader="none"/>
        </w:tabs>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元数据管理系统</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元数据管理系统是数据治理的基础，院内各个信息系统内的数据多且复杂，数据中心的建设需要元数据管理对其进行辅助，才能够从大量杂乱无章的数据中梳理出数据的现状，为后续的数据使用提供支持。数据源管理应支持主流数据库系统：如Oracle、SQLServer、PostgreSQL、MySql以及国产数据库等，要求具有以下功能：</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数据模型构建</w:t>
      </w:r>
      <w:r/>
    </w:p>
    <w:p>
      <w:pPr>
        <w:numPr>
          <w:ilvl w:val="0"/>
          <w:numId w:val="13"/>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支持物理模型和逻辑模型的手动构建或通过同步物理数据库来构建模型；</w:t>
      </w:r>
      <w:r/>
    </w:p>
    <w:p>
      <w:pPr>
        <w:numPr>
          <w:ilvl w:val="0"/>
          <w:numId w:val="13"/>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支持展示模型的数据域、表、字段、索引、SQL语句、变更记录等信息；</w:t>
      </w:r>
      <w:r/>
    </w:p>
    <w:p>
      <w:pPr>
        <w:numPr>
          <w:ilvl w:val="0"/>
          <w:numId w:val="13"/>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支持全局元数据查询检索，便于用户快速定位元数据；</w:t>
      </w:r>
      <w:r/>
    </w:p>
    <w:p>
      <w:pPr>
        <w:numPr>
          <w:ilvl w:val="0"/>
          <w:numId w:val="13"/>
        </w:numPr>
        <w:ind w:left="420" w:hanging="420"/>
        <w:jc w:val="both"/>
        <w:pageBreakBefore w:val="0"/>
        <w:spacing w:line="360" w:lineRule="auto"/>
        <w:widowControl w:val="off"/>
        <w:rPr>
          <w:rFonts w:hint="eastAsia" w:ascii="宋体" w:hAnsi="宋体" w:eastAsia="宋体" w:cs="宋体"/>
          <w:b/>
          <w:bCs/>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支持维护管理相关数据源访问方式管理，包括数据库的编码、名称、类型等。</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数据模型管理</w:t>
      </w:r>
      <w:r/>
    </w:p>
    <w:p>
      <w:pPr>
        <w:numPr>
          <w:ilvl w:val="0"/>
          <w:numId w:val="14"/>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▲支持对数据中心模型进行查看和维护，可查看字段的详情，可添加字段，编辑字段，可对字段列名、类型、值域及长度进行编辑等；字段支持直接绑定卫生信息数据元标准；</w:t>
      </w:r>
      <w:r/>
    </w:p>
    <w:p>
      <w:pPr>
        <w:numPr>
          <w:ilvl w:val="0"/>
          <w:numId w:val="14"/>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支持模型版本管理，通过可视化的方式展示不同版本的变更信息，并支持用颜色标注差异内容；支持差异比对后导出增量更新SQL脚本；</w:t>
      </w:r>
      <w:r/>
    </w:p>
    <w:p>
      <w:pPr>
        <w:numPr>
          <w:ilvl w:val="0"/>
          <w:numId w:val="14"/>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支持维护表之间的关联，并通过图形方式展示表之间的关联关系，形成模型地图。</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数据溯源分析</w:t>
      </w:r>
      <w:r/>
    </w:p>
    <w:p>
      <w:pPr>
        <w:numPr>
          <w:ilvl w:val="0"/>
          <w:numId w:val="15"/>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支持数据模型各层级（包括数据模型、数据域、数据表）数据血缘的展示和分析；</w:t>
      </w:r>
      <w:r/>
    </w:p>
    <w:p>
      <w:pPr>
        <w:numPr>
          <w:ilvl w:val="0"/>
          <w:numId w:val="15"/>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支持提供基于图形化形式展示数据全链路的数据血缘关系功能，点击不同对象，可完整展示该对象的上下游关系，便于用户进行分析判断、溯源数据问题。</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▲数据元管理</w:t>
      </w:r>
      <w:r/>
    </w:p>
    <w:p>
      <w:pPr>
        <w:numPr>
          <w:ilvl w:val="0"/>
          <w:numId w:val="16"/>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支持国家标准数据集，包括：电子病历基本数据集和城乡居民健康档案基本数据集，用户也可根据需求补充其他数据标准；</w:t>
      </w:r>
      <w:r/>
    </w:p>
    <w:p>
      <w:pPr>
        <w:numPr>
          <w:ilvl w:val="0"/>
          <w:numId w:val="16"/>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支持维护管理管理国家发布的各类标准数据元，以支撑互联互通测评、电子病历评级等国家的评级等。</w:t>
      </w:r>
      <w:r/>
    </w:p>
    <w:p>
      <w:pPr>
        <w:numPr>
          <w:ilvl w:val="2"/>
          <w:numId w:val="1"/>
        </w:numPr>
        <w:ind w:left="1000" w:right="280" w:hanging="720"/>
        <w:keepLines/>
        <w:keepNext/>
        <w:pageBreakBefore w:val="0"/>
        <w:spacing w:before="260" w:after="260" w:line="360" w:lineRule="auto"/>
        <w:tabs>
          <w:tab w:val="left" w:pos="360" w:leader="none"/>
        </w:tabs>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患者主索引系统</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建立统一的患者主索引，以患者身份ID为主索引，支撑患者就诊信息的全面整合，便于临床、教学活动中展现统一、完整、连续的患者诊疗信息，可以智能地协助临床医护人员对病人有效地进行搜索，系统接口应遵循国际规范，支持HL7 V3和FHIR标准协议；支持Web Service服务接口。需满足以下功能需求：</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（1）患者管理</w:t>
      </w:r>
      <w:r/>
    </w:p>
    <w:p>
      <w:pPr>
        <w:numPr>
          <w:ilvl w:val="0"/>
          <w:numId w:val="17"/>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支持对两个患者的主索引信息进行手工及自动合并；</w:t>
      </w:r>
      <w:r/>
    </w:p>
    <w:p>
      <w:pPr>
        <w:numPr>
          <w:ilvl w:val="0"/>
          <w:numId w:val="17"/>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支持将一个患者主索引进行手工拆分；</w:t>
      </w:r>
      <w:r/>
    </w:p>
    <w:p>
      <w:pPr>
        <w:numPr>
          <w:ilvl w:val="0"/>
          <w:numId w:val="17"/>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支持疑似患者队列功能；支持通过人工的方式对疑似患者进行合操作；</w:t>
      </w:r>
      <w:r/>
    </w:p>
    <w:p>
      <w:pPr>
        <w:numPr>
          <w:ilvl w:val="0"/>
          <w:numId w:val="17"/>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支持提供患者注册服务，将患者信息记录至EMPI库中，并建立主索引；支持通过接口方式注册患者主索引信息；</w:t>
      </w:r>
      <w:r/>
    </w:p>
    <w:p>
      <w:pPr>
        <w:numPr>
          <w:ilvl w:val="0"/>
          <w:numId w:val="17"/>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支持通过手工方式修改患者主索引或者通过接口方式对主索引信息进行更新；</w:t>
      </w:r>
      <w:r/>
    </w:p>
    <w:p>
      <w:pPr>
        <w:numPr>
          <w:ilvl w:val="0"/>
          <w:numId w:val="17"/>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患者更新通知:支持患者信息更新通知，确保各系统信息一致性；</w:t>
      </w:r>
      <w:r/>
    </w:p>
    <w:p>
      <w:pPr>
        <w:numPr>
          <w:ilvl w:val="0"/>
          <w:numId w:val="17"/>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支持患者最佳记录纪录查询功能，并能够编辑患者最佳记录规则纪录。</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（2）交叉索引查询</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对患者标识的跨域检索，即通过业务系统内部的患者编号（例如门诊号、住院号等）对其他业务系统中的患者信息进行交叉检索支持患者主索引查询：包括根据选择的条件查询符合条件的患者主索引信息，查询选择患者的所有就诊信息，人口学信息以及就医简史等信息。</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（3）患者模型管理</w:t>
      </w:r>
      <w:r/>
    </w:p>
    <w:p>
      <w:pPr>
        <w:numPr>
          <w:ilvl w:val="0"/>
          <w:numId w:val="18"/>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支持维护患者标准模型库，除标准患者主索引信息外，还支持添加自定义患者主索引属性，并可配置属性可见性、可查询性等功能；</w:t>
      </w:r>
      <w:r/>
    </w:p>
    <w:p>
      <w:pPr>
        <w:numPr>
          <w:ilvl w:val="0"/>
          <w:numId w:val="18"/>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患者模型支持多机构管理模式并支持多机构的患者主索引匹配。</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（4）统计分析</w:t>
      </w:r>
      <w:r/>
    </w:p>
    <w:p>
      <w:pPr>
        <w:numPr>
          <w:ilvl w:val="0"/>
          <w:numId w:val="19"/>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支持通过图标方式提供患者主索引运行状况报告；通过趋势图方式展示一段时间区间内的主索引运行情况，包括：新增、合并、手动合数并等指标；</w:t>
      </w:r>
      <w:r/>
    </w:p>
    <w:p>
      <w:pPr>
        <w:numPr>
          <w:ilvl w:val="0"/>
          <w:numId w:val="19"/>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支持查询患者信息操作日志查询，自动合并操作何疑似操作日志可查看具体比对过程何每个对比项目的得分情况。</w:t>
      </w:r>
      <w:r/>
    </w:p>
    <w:p>
      <w:pPr>
        <w:numPr>
          <w:ilvl w:val="2"/>
          <w:numId w:val="1"/>
        </w:numPr>
        <w:ind w:left="1000" w:right="280" w:hanging="720"/>
        <w:keepLines/>
        <w:keepNext/>
        <w:pageBreakBefore w:val="0"/>
        <w:spacing w:before="260" w:after="260" w:line="360" w:lineRule="auto"/>
        <w:tabs>
          <w:tab w:val="left" w:pos="360" w:leader="none"/>
        </w:tabs>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数据质量管理系统</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质控管理</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（1）规则管理</w:t>
      </w:r>
      <w:r/>
    </w:p>
    <w:p>
      <w:pPr>
        <w:numPr>
          <w:ilvl w:val="0"/>
          <w:numId w:val="20"/>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▲支持数据质控规则管理，支持根据医院数据情况的新增质控规则；</w:t>
      </w:r>
      <w:r/>
    </w:p>
    <w:p>
      <w:pPr>
        <w:numPr>
          <w:ilvl w:val="0"/>
          <w:numId w:val="20"/>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支持跨库、跨表之间的规则设置；</w:t>
      </w:r>
      <w:r/>
    </w:p>
    <w:p>
      <w:pPr>
        <w:numPr>
          <w:ilvl w:val="0"/>
          <w:numId w:val="20"/>
        </w:numPr>
        <w:ind w:left="420" w:hanging="42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▲数据质量规则类型涵盖规范性、完整性、准确性、一致性、时效性</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应包且不限于含：</w:t>
      </w:r>
      <w:r/>
    </w:p>
    <w:p>
      <w:pPr>
        <w:numPr>
          <w:ilvl w:val="0"/>
          <w:numId w:val="21"/>
        </w:numPr>
        <w:ind w:left="840" w:hanging="42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数据格式校验：通过自定义正则表达式或选择系统内置的常用正则表达式实现数据校验</w:t>
      </w:r>
      <w:r/>
    </w:p>
    <w:p>
      <w:pPr>
        <w:numPr>
          <w:ilvl w:val="0"/>
          <w:numId w:val="21"/>
        </w:numPr>
        <w:ind w:left="840" w:hanging="42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数据量一致性：通过选择相同或者不同数据库内的对象进行数据量的一致性的校验</w:t>
      </w:r>
      <w:r/>
    </w:p>
    <w:p>
      <w:pPr>
        <w:numPr>
          <w:ilvl w:val="0"/>
          <w:numId w:val="21"/>
        </w:numPr>
        <w:ind w:left="840" w:hanging="42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单字段/多字段填充性：通过选择单个字段或者多个字段并设置排除特殊空值对数据填充性进行校验。</w:t>
      </w:r>
      <w:r/>
    </w:p>
    <w:p>
      <w:pPr>
        <w:numPr>
          <w:ilvl w:val="0"/>
          <w:numId w:val="21"/>
        </w:numPr>
        <w:ind w:left="840" w:hanging="42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字典值域：支持对校验对象的值域范围和值域覆盖性进行校验，应支持对接主数据管理系统并可进行输入关键字选择校验值域字典</w:t>
      </w:r>
      <w:r/>
    </w:p>
    <w:p>
      <w:pPr>
        <w:numPr>
          <w:ilvl w:val="0"/>
          <w:numId w:val="21"/>
        </w:numPr>
        <w:ind w:left="840" w:hanging="42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日期有效性：通过选择相同或者不同数据库内的对象进行日期之间的逻辑有效性校验</w:t>
      </w:r>
      <w:r/>
    </w:p>
    <w:p>
      <w:pPr>
        <w:numPr>
          <w:ilvl w:val="0"/>
          <w:numId w:val="21"/>
        </w:numPr>
        <w:ind w:left="840" w:hanging="42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数值重复：通过设置多个校验对象对数据进行重复性校验</w:t>
      </w:r>
      <w:r/>
    </w:p>
    <w:p>
      <w:pPr>
        <w:numPr>
          <w:ilvl w:val="0"/>
          <w:numId w:val="21"/>
        </w:numPr>
        <w:ind w:left="840" w:hanging="42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数据关联性：通过设置主表外键关联关系后对校验对象进行关联性校验</w:t>
      </w:r>
      <w:r/>
    </w:p>
    <w:p>
      <w:pPr>
        <w:numPr>
          <w:ilvl w:val="0"/>
          <w:numId w:val="21"/>
        </w:numPr>
        <w:ind w:left="840" w:hanging="42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自定义规则：支持通过输入SQL语句实现数据质量校验规则的定义</w:t>
      </w:r>
      <w:r/>
    </w:p>
    <w:p>
      <w:pPr>
        <w:numPr>
          <w:ilvl w:val="0"/>
          <w:numId w:val="20"/>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校验规则应支持定义时间聚合列实现数据质量校验过程中限定校验时间范围；</w:t>
      </w:r>
      <w:r/>
    </w:p>
    <w:p>
      <w:pPr>
        <w:numPr>
          <w:ilvl w:val="0"/>
          <w:numId w:val="20"/>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校验规则应支持设置排除异常值、设置自定义范围灵活实现校验规则</w:t>
      </w:r>
      <w:r/>
    </w:p>
    <w:p>
      <w:pPr>
        <w:numPr>
          <w:ilvl w:val="0"/>
          <w:numId w:val="20"/>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支持多级阈值设置；</w:t>
      </w:r>
      <w:r/>
    </w:p>
    <w:p>
      <w:pPr>
        <w:numPr>
          <w:ilvl w:val="0"/>
          <w:numId w:val="20"/>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支持通过选择数据源的方式进行规则测试并能进行SQL语句预览。</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（2）规则组管理</w:t>
      </w:r>
      <w:r/>
    </w:p>
    <w:p>
      <w:pPr>
        <w:numPr>
          <w:ilvl w:val="0"/>
          <w:numId w:val="22"/>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支持根据不同业务系统对接的需求定义规则组，可以自由将各种质控规则纳入规则组，并且根据规则组发送预警情况；</w:t>
      </w:r>
      <w:r/>
    </w:p>
    <w:p>
      <w:pPr>
        <w:numPr>
          <w:ilvl w:val="0"/>
          <w:numId w:val="22"/>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支持手动或者定时任务方式执行质控规则；</w:t>
      </w:r>
      <w:r/>
    </w:p>
    <w:p>
      <w:pPr>
        <w:numPr>
          <w:ilvl w:val="0"/>
          <w:numId w:val="22"/>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支持多机构的质控规则和质控组管理，并可根据不同机构展示对应的质控报告。</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质控报告</w:t>
      </w:r>
      <w:r/>
    </w:p>
    <w:p>
      <w:pPr>
        <w:numPr>
          <w:ilvl w:val="0"/>
          <w:numId w:val="23"/>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支持根据数据集成和治理过程中的数据质控自动生成可视化质控报告；报告支持以规范性、完整性、准确性、一致性、时效性维度进行统计；</w:t>
      </w:r>
      <w:r/>
    </w:p>
    <w:p>
      <w:pPr>
        <w:numPr>
          <w:ilvl w:val="0"/>
          <w:numId w:val="23"/>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支持通过质控报告展示具体异常数据并能通过颜色标注异常数据字段；支持预览异常数据SQL语句便于定位数据问题并及时处理问题；</w:t>
      </w:r>
      <w:r/>
    </w:p>
    <w:p>
      <w:pPr>
        <w:numPr>
          <w:ilvl w:val="0"/>
          <w:numId w:val="23"/>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支持提供数据质控规则的周期性运行报表，查看规则组的执行情况、预警情况、数据问题的处理情况等；</w:t>
      </w:r>
      <w:r/>
    </w:p>
    <w:p>
      <w:pPr>
        <w:numPr>
          <w:ilvl w:val="0"/>
          <w:numId w:val="23"/>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支持提供异常数据质量处理流程，帮助用户实现从发现问题、定位问题、解决问题的数据质量问题全流程闭环管理。</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预警管理</w:t>
      </w:r>
      <w:r/>
    </w:p>
    <w:p>
      <w:pPr>
        <w:numPr>
          <w:ilvl w:val="0"/>
          <w:numId w:val="24"/>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支持并能够将质控报告中的预警信息发送到医院指定的数据管理员，支持通过邮件、短信、微信方式的预警对象设置；</w:t>
      </w:r>
      <w:r/>
    </w:p>
    <w:p>
      <w:pPr>
        <w:numPr>
          <w:ilvl w:val="0"/>
          <w:numId w:val="24"/>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支持对每一条规则进行预警设置，包括预警阈值、预警内容、渠道、发送条件、发送人等；</w:t>
      </w:r>
      <w:r/>
    </w:p>
    <w:p>
      <w:pPr>
        <w:numPr>
          <w:ilvl w:val="0"/>
          <w:numId w:val="24"/>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当预警发生时，可通过预警群内机器人消息、微信、短信的形式，告知用户具体预警信息，并提供群内快速排查问题的手段。</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数据模型质控</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支持据基于已有的数据模型对数据库进行基础性的质控，可分析、检测和判断数据库与数据模型要求的一致性和具体差异，快速发现数据模型搭建过程中的基础问题。</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数据波动分析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可分别针对不同数据进行周期性的波动监测分析，设置数据波动范围的预警阈值，查看数据的周期性波动情况，可帮助运维人员发现数据集成的异常、辅助业务人员了解业务量的波动情况并快速发现和定位业务问题。</w:t>
      </w:r>
      <w:r/>
    </w:p>
    <w:p>
      <w:pPr>
        <w:numPr>
          <w:ilvl w:val="2"/>
          <w:numId w:val="1"/>
        </w:numPr>
        <w:ind w:left="100" w:right="280"/>
        <w:keepLines/>
        <w:keepNext/>
        <w:pageBreakBefore w:val="0"/>
        <w:spacing w:before="260" w:after="260" w:line="360" w:lineRule="auto"/>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医学自然语言处理</w:t>
      </w:r>
      <w:r/>
    </w:p>
    <w:p>
      <w:p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ab/>
      </w:r>
      <w:r>
        <w:rPr>
          <w:rFonts w:hint="eastAsia" w:ascii="宋体" w:hAnsi="宋体" w:eastAsia="宋体" w:cs="宋体"/>
          <w:color w:val="auto"/>
          <w:sz w:val="24"/>
          <w:szCs w:val="24"/>
          <w:highlight w:val="none"/>
          <w14:ligatures w14:val="none"/>
        </w:rPr>
        <w:t xml:space="preserve">通过可视化方式对医学自然语言处理情况进行展示和分析</w:t>
      </w:r>
      <w:r/>
    </w:p>
    <w:p>
      <w:pPr>
        <w:numPr>
          <w:ilvl w:val="0"/>
          <w:numId w:val="25"/>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可展示文本结构化的患者总数、文本类型、结构化文本数、提取变量数；</w:t>
      </w:r>
      <w:r/>
    </w:p>
    <w:p>
      <w:pPr>
        <w:numPr>
          <w:ilvl w:val="0"/>
          <w:numId w:val="25"/>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可展示不同文本类型的文本总量、提取变量数、可支持标准化数，点击对应的文本类型还可展示提取出的变量样例；</w:t>
      </w:r>
      <w:r/>
    </w:p>
    <w:p>
      <w:pPr>
        <w:numPr>
          <w:ilvl w:val="0"/>
          <w:numId w:val="25"/>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可根据就诊卡号、患者号、住院号、文本类型等情况查询详细的文本结构化统计明细信息；</w:t>
      </w:r>
      <w:r/>
    </w:p>
    <w:p>
      <w:pPr>
        <w:numPr>
          <w:ilvl w:val="0"/>
          <w:numId w:val="25"/>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支持单份文本分析结果进行可视化展示，包括医学实体识别、医学实体与关联识别、概念展示等；支持治理好的文本变量的溯源功能，精确定位抽取的变量在原文中的位置，并高亮显示；</w:t>
      </w:r>
      <w:r/>
    </w:p>
    <w:p>
      <w:pPr>
        <w:numPr>
          <w:ilvl w:val="0"/>
          <w:numId w:val="25"/>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支持基于RDF框架构建的医学术语知识图谱，通过泛语义解析的方式进行医学术语知识及变量的存储、推理和查询；</w:t>
      </w:r>
      <w:r/>
    </w:p>
    <w:p>
      <w:pPr>
        <w:numPr>
          <w:ilvl w:val="0"/>
          <w:numId w:val="25"/>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支持根据模版导入医学文本进行实时文本结构化分析，并可直接下载结构化变量结果。</w:t>
      </w:r>
      <w:r/>
    </w:p>
    <w:p>
      <w:pPr>
        <w:numPr>
          <w:ilvl w:val="0"/>
          <w:numId w:val="25"/>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▲需具备电子病历自动解析能力，将电子病历文档类型映射到标准文档类型（如：入院记录、手术记录、病程记录、出院小结等）。</w:t>
      </w:r>
      <w:r/>
    </w:p>
    <w:p>
      <w:pPr>
        <w:numPr>
          <w:ilvl w:val="0"/>
          <w:numId w:val="25"/>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▲支持根据每个文档类型的模型定义，从原始电子病历文书中进行章节文本拆分提取（如：入院记录拆分出主诉、现病史、既往史等章节）。</w:t>
      </w:r>
      <w:r/>
    </w:p>
    <w:p>
      <w:pPr>
        <w:numPr>
          <w:ilvl w:val="2"/>
          <w:numId w:val="1"/>
        </w:numPr>
        <w:ind w:left="1000" w:right="280" w:hanging="720"/>
        <w:keepLines/>
        <w:keepNext/>
        <w:pageBreakBefore w:val="0"/>
        <w:spacing w:before="260" w:after="260" w:line="360" w:lineRule="auto"/>
        <w:tabs>
          <w:tab w:val="left" w:pos="360" w:leader="none"/>
        </w:tabs>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数据资产管理系统</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数据资产全景</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支持体系化的展示数据资产的整体情况，包括资产的总量、使用情况等。</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数据资产地图</w:t>
      </w:r>
      <w:r/>
    </w:p>
    <w:p>
      <w:pPr>
        <w:numPr>
          <w:ilvl w:val="0"/>
          <w:numId w:val="26"/>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支持通过关键字快速查找、检索数据资产，检索内容包括：模型、业务域、表、字段、数据标准；</w:t>
      </w:r>
      <w:r/>
    </w:p>
    <w:p>
      <w:pPr>
        <w:numPr>
          <w:ilvl w:val="0"/>
          <w:numId w:val="26"/>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支持查看具体各项数据资产的详细信息、使用情况等信息。</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数据使用管理</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支持数据中心各项数据资产的使用管理，包括使用的申请、审核、回收、使用统计等。</w:t>
      </w:r>
      <w:r/>
    </w:p>
    <w:p>
      <w:pPr>
        <w:numPr>
          <w:ilvl w:val="0"/>
          <w:numId w:val="27"/>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通过使用时间范围、使用时长，数据用途创建数据使用申请。申请数据范围支持数据模型、数据元、值域；数据模型支持按数据域、表、字段控制数据使用权限申请，数据元支持按数据集、字段控制数据使用权限，值域支持按照字典、术语控制数据使用权限；</w:t>
      </w:r>
      <w:r/>
    </w:p>
    <w:p>
      <w:pPr>
        <w:numPr>
          <w:ilvl w:val="0"/>
          <w:numId w:val="27"/>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支持数据管理人员查看数据使用申请信息；支持审批或者驳回数据使用申请并录入审批意见；</w:t>
      </w:r>
      <w:r/>
    </w:p>
    <w:p>
      <w:pPr>
        <w:numPr>
          <w:ilvl w:val="0"/>
          <w:numId w:val="27"/>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支持数据使用人员查看数据使用申请状态，审批结果等信息；</w:t>
      </w:r>
      <w:r/>
    </w:p>
    <w:p>
      <w:pPr>
        <w:numPr>
          <w:ilvl w:val="0"/>
          <w:numId w:val="27"/>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审批通过后，支持数据使用人员在有效时间内导出数据；</w:t>
      </w:r>
      <w:r/>
    </w:p>
    <w:p>
      <w:pPr>
        <w:numPr>
          <w:ilvl w:val="0"/>
          <w:numId w:val="27"/>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支持通过图表方式展示数据使用情况统计；</w:t>
      </w:r>
      <w:r/>
    </w:p>
    <w:p>
      <w:pPr>
        <w:numPr>
          <w:ilvl w:val="0"/>
          <w:numId w:val="27"/>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支持通过选择数据资产或通过SQL语句产生数据服务提供给第三方系统调用，并可对数据服务访问进行权限管理和日志监控。</w:t>
      </w:r>
      <w:r/>
    </w:p>
    <w:p>
      <w:pPr>
        <w:numPr>
          <w:ilvl w:val="0"/>
          <w:numId w:val="27"/>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零编码”快速生成数据API，并提供数据源的新增、编辑、删除、测试连接。支持自动解析生成的SQL获得API的输入参数和输出参数，解析的内容包括字段别名、字段数据类型、字段描述等；支持基于JavaScript脚本的函数API的方式对接口进行灵活的编排和参数处理；支持接入第三方带动态认证的接口</w:t>
      </w:r>
      <w:r/>
    </w:p>
    <w:p>
      <w:pPr>
        <w:numPr>
          <w:ilvl w:val="0"/>
          <w:numId w:val="27"/>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支持通过设置访问IP或IP网段生成IP白名单、黑名单、配置访问次数保障API安全；支持配置API限流、熔断策略</w:t>
      </w:r>
      <w:r/>
    </w:p>
    <w:p>
      <w:pPr>
        <w:numPr>
          <w:ilvl w:val="3"/>
          <w:numId w:val="1"/>
        </w:numPr>
        <w:ind w:left="1680" w:right="280" w:hanging="1680"/>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SQL资产管理</w:t>
      </w:r>
      <w:r/>
    </w:p>
    <w:p>
      <w:pPr>
        <w:numPr>
          <w:ilvl w:val="0"/>
          <w:numId w:val="0"/>
        </w:numPr>
        <w:ind w:firstLine="0"/>
        <w:jc w:val="both"/>
        <w:pageBreakBefore w:val="0"/>
        <w:spacing w:line="360" w:lineRule="auto"/>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▲通过关键字对SQL语句的名称及SQL语句内容进行搜索，搜索结果展示命中的SQL语句，包括：名称、SQL语句、创建者等信息，选中一条SQL语句，用户可对SQL语句进行编辑或运行。</w:t>
      </w:r>
      <w:r/>
    </w:p>
    <w:p>
      <w:pPr>
        <w:numPr>
          <w:ilvl w:val="2"/>
          <w:numId w:val="1"/>
        </w:numPr>
        <w:ind w:left="1000" w:right="280" w:hanging="720"/>
        <w:keepLines/>
        <w:keepNext/>
        <w:pageBreakBefore w:val="0"/>
        <w:spacing w:before="260" w:after="260" w:line="360" w:lineRule="auto"/>
        <w:tabs>
          <w:tab w:val="left" w:pos="360" w:leader="none"/>
        </w:tabs>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数据治理引擎</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智能数据治理引擎</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治理引擎为处理医院历史和实时数据提供一个可视化、高性能、高吞吐和低延迟的智能化工具。通过数据治理引擎能够及时发现并反馈数据问题，有效提高医院数据质量，满足公立医院绩效考核、医院运营管理数据分析、医疗安全管理分析等不同业务场景的精细化管理应用需求，将海量的业务数据与引擎模型和医院管理实践紧密结合，并配套专业化的数据分析服务能力提供有效的信息给决策者进行分析决策。</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具体要求如下：</w:t>
      </w:r>
      <w:r/>
    </w:p>
    <w:p>
      <w:pPr>
        <w:numPr>
          <w:ilvl w:val="0"/>
          <w:numId w:val="28"/>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要求具备从不同数据源（Intersystem IRIS、Intersystem Cache、ORACLE、SQLSERVER、MySQL、VIEW、消息、HL7、WS）中进行指定规则的数据提取作业；采集时不是必须需要第三方系统提供技术和接口开发支持；</w:t>
      </w:r>
      <w:r/>
    </w:p>
    <w:p>
      <w:pPr>
        <w:numPr>
          <w:ilvl w:val="0"/>
          <w:numId w:val="28"/>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抽取后的数据可以为数据转换环节进行处理提供输入，也可以直接进行处理或者加载；</w:t>
      </w:r>
      <w:r/>
    </w:p>
    <w:p>
      <w:pPr>
        <w:numPr>
          <w:ilvl w:val="0"/>
          <w:numId w:val="28"/>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支持在数据整合的过程，侧重于将来源于不同业务系统的相同类型的数据进行统一处理；</w:t>
      </w:r>
      <w:r/>
    </w:p>
    <w:p>
      <w:pPr>
        <w:numPr>
          <w:ilvl w:val="0"/>
          <w:numId w:val="28"/>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数据粒度转换需要按照数据仓库粒度对数据进行统一归整；</w:t>
      </w:r>
      <w:r/>
    </w:p>
    <w:p>
      <w:pPr>
        <w:numPr>
          <w:ilvl w:val="0"/>
          <w:numId w:val="28"/>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转换规则计算按照设计的计算规则对数据进行重新计算；</w:t>
      </w:r>
      <w:r/>
    </w:p>
    <w:p>
      <w:pPr>
        <w:numPr>
          <w:ilvl w:val="0"/>
          <w:numId w:val="28"/>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具备将采集、转换后的数据源文件保存到不同数据库（RDBMS、MPP等）中；</w:t>
      </w:r>
      <w:r/>
    </w:p>
    <w:p>
      <w:pPr>
        <w:numPr>
          <w:ilvl w:val="0"/>
          <w:numId w:val="28"/>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支持在数据采集过程中通过对数据源与目标数据库之间的数据进行对比分析，从而进一步来分析、发现与解决在数据抽取过程可能产生的异常错误信息；</w:t>
      </w:r>
      <w:r/>
    </w:p>
    <w:p>
      <w:pPr>
        <w:numPr>
          <w:ilvl w:val="0"/>
          <w:numId w:val="28"/>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数据校验内容有类型，长度，是否为空，精度，范围，格式等信息，如果数据不符合，会进行过滤，只有正确的数据才能继续使用；</w:t>
      </w:r>
      <w:r/>
    </w:p>
    <w:p>
      <w:pPr>
        <w:numPr>
          <w:ilvl w:val="0"/>
          <w:numId w:val="28"/>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对于错误的数据，可以进行输出，包括错误原因和错误字段序号等信息，也可以进行自动重试并跟踪重试进度；</w:t>
      </w:r>
      <w:r/>
    </w:p>
    <w:p>
      <w:pPr>
        <w:numPr>
          <w:ilvl w:val="0"/>
          <w:numId w:val="28"/>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相关的错误类型和数量等统计信息也会绑定到流程变量中，以便后续节点进行判断使用；</w:t>
      </w:r>
      <w:r/>
    </w:p>
    <w:p>
      <w:pPr>
        <w:numPr>
          <w:ilvl w:val="0"/>
          <w:numId w:val="28"/>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数据治理任务可以被进一步编排为实时或定时调度项目，每个任务都可以实现对绑定源数据端的自动实时数据变更捕获（CDC），任意的调度类型项目都支持对编排其中的任务进行优先级的配置，保证按照实际业务逻辑和顺序关系进行数据的实时治理；</w:t>
      </w:r>
      <w:r/>
    </w:p>
    <w:p>
      <w:pPr>
        <w:numPr>
          <w:ilvl w:val="0"/>
          <w:numId w:val="28"/>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基于DAG图执行引擎和表达式处理引擎，通过图形化编辑数据处理逻辑，实现数据任务治理功能；</w:t>
      </w:r>
      <w:r/>
    </w:p>
    <w:p>
      <w:pPr>
        <w:numPr>
          <w:ilvl w:val="0"/>
          <w:numId w:val="28"/>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支持自动对接原生sql server CDC，oracle xstream，捕获数据实时变更；</w:t>
      </w:r>
      <w:r/>
    </w:p>
    <w:p>
      <w:pPr>
        <w:numPr>
          <w:ilvl w:val="0"/>
          <w:numId w:val="28"/>
        </w:numPr>
        <w:ind w:left="360" w:hanging="360"/>
        <w:jc w:val="both"/>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 xml:space="preserve">支持直接集成数据标准化、nlp信息抽取等AI算法；</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数据安全管理引擎</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安全管理系引擎由数据脱敏管理、数据加密管理、白名单管理和用户安全审计组成。为医院管理人员提供了多种数据脱敏及数据加密机制，支持根据实际需求灵活配置符合医院使用场景的多种数据安全管理方案，可为具有不同安全管控强度要求的系统分别配置相应的安全策略。</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（1）数据脱敏管理</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支持对姓名、手机号码、身份证号、日期、地址等结构化数据中的隐私信息配置数据脱敏服务，可针对用户、系统等不同维度配置数据脱敏管理方案；</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同时支持对病历文本等非结构化数据中的隐私信息进行发现和定位，并对其进行数据脱敏服务的相关配置。</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可针对被脱敏的数据配置其是否可展示、可导出等业务应用属性。</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数据脱敏服务可接入到应用系统中，在应用系统中进行相应的管理配置。</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（2）数据加解密管理</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▲系统支持SM2、SM3、SM4等国内通用加解密算法以及AES、RSA、MD5等国际通用加密算法，可支持对称加密、非对称加密等多种不同的加密方式，可根据不同的应用场景实现不同的数据加解密需求。</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数据加密方案支持针对用户和系统的维度进行灵活的配置管理。</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（3）白名单管理</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支持针对院内的敏感用户配置对应的白名单，可对其进行特殊管理。业务系统可接入白名单的相关服务，在数据使用的过程中通过白名单服务将敏感数据直接过滤，避免敏感数据的外泄。</w:t>
      </w:r>
      <w:r/>
    </w:p>
    <w:p>
      <w:pPr>
        <w:ind w:firstLine="0"/>
        <w:jc w:val="both"/>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（4）用户安全审计</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用户安全审计包括了数据使用统计和操作日志两部分，可查看数据安全相关服务的使用情况、服务涉及的数据量以及与安全相关的各类操作日志。</w:t>
      </w:r>
      <w:r/>
    </w:p>
    <w:p>
      <w:pPr>
        <w:numPr>
          <w:ilvl w:val="2"/>
          <w:numId w:val="1"/>
        </w:numPr>
        <w:ind w:left="1000" w:right="280" w:hanging="720"/>
        <w:keepLines/>
        <w:keepNext/>
        <w:pageBreakBefore w:val="0"/>
        <w:spacing w:before="260" w:after="260" w:line="360" w:lineRule="auto"/>
        <w:tabs>
          <w:tab w:val="left" w:pos="360" w:leader="none"/>
        </w:tabs>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数据湖仓</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对医院各业务系统数据进行全量集成治理，包括卫生事件、病历摘要、就诊记录、门诊病历、住院病历、电子处方、电子医嘱、检验报告、检查报告、手麻记录、超声报告、内镜报告、病理报告、心电图等数据。</w:t>
      </w:r>
      <w:r/>
    </w:p>
    <w:p>
      <w:pPr>
        <w:numPr>
          <w:ilvl w:val="0"/>
          <w:numId w:val="29"/>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数据存储：实现对医院正在运行的业务系统包括HIS、LIS、PACS系统中所关注的临床历史数据和增量数据的有效存储；</w:t>
      </w:r>
      <w:r/>
    </w:p>
    <w:p>
      <w:pPr>
        <w:numPr>
          <w:ilvl w:val="0"/>
          <w:numId w:val="29"/>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数据更新：提供对医院业务系统中相关历史数据整合，实现对医院正在运行的业务系统的在线数据及时更新；</w:t>
      </w:r>
      <w:r/>
    </w:p>
    <w:p>
      <w:pPr>
        <w:numPr>
          <w:ilvl w:val="0"/>
          <w:numId w:val="29"/>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所有汇集数据要求形成最小的、可复用的数据元素，以提高数据利用的效率；</w:t>
      </w:r>
      <w:r/>
    </w:p>
    <w:p>
      <w:pPr>
        <w:numPr>
          <w:ilvl w:val="0"/>
          <w:numId w:val="29"/>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通过全院数据湖仓建设，形成一套医院自身的IT系统建设规范，以支撑未来新增业务系统的扩张和延伸；</w:t>
      </w:r>
      <w:r/>
    </w:p>
    <w:p>
      <w:pPr>
        <w:numPr>
          <w:ilvl w:val="0"/>
          <w:numId w:val="29"/>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▲具有可扩展性，可随未来业务增长，不断接入新的信息系统，采集数据并展示。对新接入的信息系统，不需改变其原有的内部架构，只需增加接入接口和信息编码转换程序。</w:t>
      </w:r>
      <w:r/>
    </w:p>
    <w:p>
      <w:pPr>
        <w:numPr>
          <w:ilvl w:val="1"/>
          <w:numId w:val="1"/>
        </w:numPr>
        <w:ind w:left="856" w:right="280" w:hanging="576"/>
        <w:jc w:val="both"/>
        <w:keepLines/>
        <w:keepNext/>
        <w:pageBreakBefore w:val="0"/>
        <w:spacing w:before="240" w:after="240" w:line="360" w:lineRule="auto"/>
        <w:tabs>
          <w:tab w:val="left" w:pos="360" w:leader="none"/>
        </w:tabs>
        <w:rPr>
          <w:rFonts w:hint="eastAsia" w:ascii="宋体" w:hAnsi="宋体" w:eastAsia="宋体" w:cs="宋体"/>
          <w:b/>
          <w:bCs/>
          <w:color w:val="auto"/>
          <w:sz w:val="24"/>
          <w:szCs w:val="24"/>
          <w:highlight w:val="none"/>
          <w:lang w:val="en-US" w:eastAsia="zh-CN" w:bidi="ar-SA"/>
          <w14:ligatures w14:val="none"/>
        </w:rPr>
        <w:outlineLvl w:val="1"/>
      </w:pPr>
      <w:r>
        <w:rPr>
          <w:rFonts w:hint="eastAsia" w:ascii="宋体" w:hAnsi="宋体" w:eastAsia="宋体" w:cs="宋体"/>
          <w:b/>
          <w:bCs/>
          <w:color w:val="auto"/>
          <w:sz w:val="24"/>
          <w:szCs w:val="24"/>
          <w:highlight w:val="none"/>
          <w:lang w:val="en-US" w:eastAsia="zh-CN" w:bidi="ar-SA"/>
          <w14:ligatures w14:val="none"/>
        </w:rPr>
        <w:t xml:space="preserve">运营管理平台</w:t>
      </w:r>
      <w:r/>
    </w:p>
    <w:p>
      <w:pPr>
        <w:numPr>
          <w:ilvl w:val="2"/>
          <w:numId w:val="1"/>
        </w:numPr>
        <w:ind w:left="1000" w:right="280" w:hanging="720"/>
        <w:keepLines/>
        <w:keepNext/>
        <w:pageBreakBefore w:val="0"/>
        <w:spacing w:before="260" w:after="260" w:line="360" w:lineRule="auto"/>
        <w:tabs>
          <w:tab w:val="left" w:pos="360" w:leader="none"/>
        </w:tabs>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统一数据上报平台</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基于已有业务系统数据进行电子病历、检验检查等数据的自动抓取，减少人工重复录入，实现数据“一次采集、多方复用、规范上报”，避免医院各科室重复填报，同时保障数据的准确性、及时性与合规性。工程师可通过统一的界面，查询每天自动采集数据，以及通过人工方式干预准备上报数据；或者通过人工上报功能模块进行数据录入、导入；通过调度管理查看任务执行情况，以及各上报任务运行状况。</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（1）查看数据上报整体情况的统计分析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1）支持整体查看总上报量、月度数据上报量、每日数据上报量、审核通过率等统计分析数据；</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2）支持整体查看数据采集、上报（成功、失败）数据量和近期的上报采集趋势对比；</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3）支持按数据上报项目统计不同上报量的占比情况；</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4）支持按日历视图查看每日的数据上报成功和失败情况；</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（2）数据上报整体流程管理</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1）项目管理：持对各个上报项目执行发布、编辑、定义操作；</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2）连接管理：支持维护数据采集、数据上报的各个数据源、连接等信息，可实现添加数据源、编辑及删除数据源的操作；</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3）上报接口管理：支持维护数据上报的借口管理操作；</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4）上报数据管理：支持维护数据上报表的添加、编辑及删除操作，并能查看对应的上报表内的数据</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5）上报数据审核：支持针对上报数据进行数据审核操作，只有经过审核过的数据才能进行数据上报；</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6）数据上报：支持手动上报和自动上报的模式进行数据上报，系统能够记录上报过程中国呢的错误和成功日志，并可进行上报日志的查询；</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7）上报数据查看：支持根据上报日期、审核状态、上报状态查看；</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8）数据上报记录：支持根据日期、项目、上报表查询数据上报记录。</w:t>
      </w:r>
      <w:r/>
    </w:p>
    <w:p>
      <w:pPr>
        <w:numPr>
          <w:ilvl w:val="2"/>
          <w:numId w:val="1"/>
        </w:numPr>
        <w:ind w:left="1000" w:right="280" w:hanging="720"/>
        <w:keepLines/>
        <w:keepNext/>
        <w:pageBreakBefore w:val="0"/>
        <w:spacing w:before="260" w:after="260" w:line="360" w:lineRule="auto"/>
        <w:tabs>
          <w:tab w:val="left" w:pos="360" w:leader="none"/>
        </w:tabs>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院级运营管理平台</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▲重点指标实时监测与预警</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实时监测医院核心经营指标、医疗质量指标、工作量指标等重点指标，通过仪表盘、指示灯等可视化形式呈现指标实际值、目标值及所处状态（正常、预警、异常），针对异常指标可逐层下钻，分析指标趋势波动规律，定位问题所在，明确关联的问题科室、问题医生、问题病组以及问题项目、药品、卫生材料等具体明细，为问题整改提供精准依据。</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▲收支结余专项</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14:ligatures w14:val="none"/>
        </w:rPr>
        <w:t xml:space="preserve">（1）</w:t>
      </w:r>
      <w:r>
        <w:rPr>
          <w:rFonts w:hint="eastAsia" w:ascii="宋体" w:hAnsi="宋体" w:eastAsia="宋体" w:cs="宋体"/>
          <w:color w:val="auto"/>
          <w:sz w:val="24"/>
          <w:szCs w:val="24"/>
          <w:highlight w:val="none"/>
          <w:lang w:val="en-US" w:eastAsia="zh-CN"/>
          <w14:ligatures w14:val="none"/>
        </w:rPr>
        <w:t xml:space="preserve">收入情况</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可视化呈现</w:t>
      </w:r>
      <w:r>
        <w:rPr>
          <w:rFonts w:hint="eastAsia" w:ascii="宋体" w:hAnsi="宋体" w:eastAsia="宋体" w:cs="宋体"/>
          <w:color w:val="auto"/>
          <w:sz w:val="24"/>
          <w:szCs w:val="24"/>
          <w:highlight w:val="none"/>
          <w14:ligatures w14:val="none"/>
        </w:rPr>
        <w:t xml:space="preserve">医疗总收入、门急诊收入、住院收入、医保收入；</w:t>
      </w:r>
      <w:r>
        <w:rPr>
          <w:rFonts w:hint="eastAsia" w:ascii="宋体" w:hAnsi="宋体" w:eastAsia="宋体" w:cs="宋体"/>
          <w:color w:val="auto"/>
          <w:sz w:val="24"/>
          <w:szCs w:val="24"/>
          <w:highlight w:val="none"/>
          <w:lang w:val="en-US" w:eastAsia="zh-CN"/>
          <w14:ligatures w14:val="none"/>
        </w:rPr>
        <w:t xml:space="preserve">门急诊收入占比、住院收入占比，</w:t>
      </w:r>
      <w:r>
        <w:rPr>
          <w:rFonts w:hint="eastAsia" w:ascii="宋体" w:hAnsi="宋体" w:eastAsia="宋体" w:cs="宋体"/>
          <w:color w:val="auto"/>
          <w:sz w:val="24"/>
          <w:szCs w:val="24"/>
          <w:highlight w:val="none"/>
          <w14:ligatures w14:val="none"/>
        </w:rPr>
        <w:t xml:space="preserve">门急诊和住院各分类（药品、卫生材料、检查、化验…）收入和占比</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与预算值、去年同期、上期的变化；支持关联科室、医疗组、手术、病种、项目等维度下钻查看各项收入下降的数据变化情况，围绕某一项收入，查看对比分析、趋势分析、排名分析等细节数据。支持关联工作量、次均费用对收入的影响因素分析。支持通过大模型预测医疗收入。</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14:ligatures w14:val="none"/>
        </w:rPr>
        <w:t xml:space="preserve">（2）</w:t>
      </w:r>
      <w:r>
        <w:rPr>
          <w:rFonts w:hint="eastAsia" w:ascii="宋体" w:hAnsi="宋体" w:eastAsia="宋体" w:cs="宋体"/>
          <w:color w:val="auto"/>
          <w:sz w:val="24"/>
          <w:szCs w:val="24"/>
          <w:highlight w:val="none"/>
          <w:lang w:val="en-US" w:eastAsia="zh-CN"/>
          <w14:ligatures w14:val="none"/>
        </w:rPr>
        <w:t xml:space="preserve">成本情况</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可视化呈现</w:t>
      </w:r>
      <w:r>
        <w:rPr>
          <w:rFonts w:hint="eastAsia" w:ascii="宋体" w:hAnsi="宋体" w:eastAsia="宋体" w:cs="宋体"/>
          <w:color w:val="auto"/>
          <w:sz w:val="24"/>
          <w:szCs w:val="24"/>
          <w:highlight w:val="none"/>
          <w14:ligatures w14:val="none"/>
        </w:rPr>
        <w:t xml:space="preserve">医疗全成本、成本各分类（人力、固定资产、药品、卫生材料…）</w:t>
      </w:r>
      <w:r>
        <w:rPr>
          <w:rFonts w:hint="eastAsia" w:ascii="宋体" w:hAnsi="宋体" w:eastAsia="宋体" w:cs="宋体"/>
          <w:color w:val="auto"/>
          <w:sz w:val="24"/>
          <w:szCs w:val="24"/>
          <w:highlight w:val="none"/>
          <w:lang w:val="en-US" w:eastAsia="zh-CN"/>
          <w14:ligatures w14:val="none"/>
        </w:rPr>
        <w:t xml:space="preserve">及占比</w:t>
      </w:r>
      <w:r>
        <w:rPr>
          <w:rFonts w:hint="eastAsia" w:ascii="宋体" w:hAnsi="宋体" w:eastAsia="宋体" w:cs="宋体"/>
          <w:color w:val="auto"/>
          <w:sz w:val="24"/>
          <w:szCs w:val="24"/>
          <w:highlight w:val="none"/>
          <w14:ligatures w14:val="none"/>
        </w:rPr>
        <w:t xml:space="preserve">，科室成本、项目成本等</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与预算值、去年同期、上期的变化；支持关联科室、医疗组、手术、病种、项目等维度下钻查看各项成本的数据变化情况，围绕某一项成本，查看对比分析、趋势分析、排名分析等细节数据。支持关联工作量、人力、床日等对成本的影响因素分析。</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14:ligatures w14:val="none"/>
        </w:rPr>
        <w:t xml:space="preserve">（3）</w:t>
      </w:r>
      <w:r>
        <w:rPr>
          <w:rFonts w:hint="eastAsia" w:ascii="宋体" w:hAnsi="宋体" w:eastAsia="宋体" w:cs="宋体"/>
          <w:color w:val="auto"/>
          <w:sz w:val="24"/>
          <w:szCs w:val="24"/>
          <w:highlight w:val="none"/>
          <w:lang w:val="en-US" w:eastAsia="zh-CN"/>
          <w14:ligatures w14:val="none"/>
        </w:rPr>
        <w:t xml:space="preserve">经济效益情况</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全院人均结余、临床科室人均结余、医技科室人均结余、行政后勤人均结余；人均结余同比/环比增长率、人均结余科室排名、人均结余与人均收入占比指标展示分析。</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门急诊专项</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从全院角度展开对门急诊总收入、门急诊工作量（普通、专家、专病等）、门急诊次均费用等与预算、去年同期、上期进行对比，判断异常，衡量门诊运营情况，支持下钻查看每个指标的数据变化情况，围绕某一个指标，关联区域来源、科室、医疗组、医生、项目等维度，查看对比分析、趋势分析、排名分析等细节数据。提供诊间使用率、每单元接诊量、门诊-住院有效转化率的分析，支持下钻科室、医疗组、医生等维度。</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ab/>
      </w:r>
      <w:r>
        <w:rPr>
          <w:rFonts w:hint="eastAsia" w:ascii="宋体" w:hAnsi="宋体" w:eastAsia="宋体" w:cs="宋体"/>
          <w:b/>
          <w:bCs/>
          <w:iCs/>
          <w:color w:val="auto"/>
          <w:sz w:val="24"/>
          <w:szCs w:val="24"/>
          <w:highlight w:val="none"/>
          <w:lang w:val="en-US" w:eastAsia="zh-CN" w:bidi="ar-SA"/>
          <w14:ligatures w14:val="none"/>
        </w:rPr>
        <w:t xml:space="preserve">▲住院专项</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从全院角度展开对住院总收入</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药品、卫生材料、检查、手术等各分类收入及占比</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、住院工作量（入院人次、出院人次、转科人次等）、出院次均费用</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药品、卫生材料、检查、手术等各分类次均费用</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平均住院日（术前平均住院日、术后平均住院日）、床位效率（床位周转率、床位使用率）等与预算、去年同期、上期进行对比，判断异常，衡量住院运营情况，支持下钻查看每个指标的数据变化情况，围绕某一个指标，关联科室、医疗组、医生、病种、手术、项目等维度，查看对比分析、趋势分析、排名分析等细节数据。</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ab/>
      </w:r>
      <w:r>
        <w:rPr>
          <w:rFonts w:hint="eastAsia" w:ascii="宋体" w:hAnsi="宋体" w:eastAsia="宋体" w:cs="宋体"/>
          <w:b/>
          <w:bCs/>
          <w:iCs/>
          <w:color w:val="auto"/>
          <w:sz w:val="24"/>
          <w:szCs w:val="24"/>
          <w:highlight w:val="none"/>
          <w:lang w:val="en-US" w:eastAsia="zh-CN" w:bidi="ar-SA"/>
          <w14:ligatures w14:val="none"/>
        </w:rPr>
        <w:t xml:space="preserve">▲手术专项</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从全院角度展开对手术人次及占比、四级手术人次及占比、微创手术人次及占比、日间手术人次及占比等与预算、去年同期、上期进行对比，判断异常，支持下钻查看每个指标的数据变化情况，围绕某一个指标，关联科室、医疗组、医生、病种、诊断、时间等维度，查看对比分析、趋势分析、排名分析等细节数据。支持关联科室、病种开展药品和卫生材料的分析。支持开展手术间利用率的分析。</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ab/>
      </w:r>
      <w:r>
        <w:rPr>
          <w:rFonts w:hint="eastAsia" w:ascii="宋体" w:hAnsi="宋体" w:eastAsia="宋体" w:cs="宋体"/>
          <w:b/>
          <w:bCs/>
          <w:iCs/>
          <w:color w:val="auto"/>
          <w:sz w:val="24"/>
          <w:szCs w:val="24"/>
          <w:highlight w:val="none"/>
          <w:lang w:val="en-US" w:eastAsia="zh-CN" w:bidi="ar-SA"/>
          <w14:ligatures w14:val="none"/>
        </w:rPr>
        <w:t xml:space="preserve">工作量专项</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从全院的门诊、急诊、住院、手术、介入、体检、医技检查检验等各类岗位关键服务量产出，到各类评审或考核所需的特有服务量指标，与预算、去年同期、上期进行对比，判断异常，支持各指标的关联科室、医疗组、医生、病种、手术等的下钻分析，围绕某一项工作量查看对比分析、趋势分析、排名分析等细节数据，并根据岗位细分为临床和医技。</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ab/>
      </w:r>
      <w:r>
        <w:rPr>
          <w:rFonts w:hint="eastAsia" w:ascii="宋体" w:hAnsi="宋体" w:eastAsia="宋体" w:cs="宋体"/>
          <w:b/>
          <w:bCs/>
          <w:iCs/>
          <w:color w:val="auto"/>
          <w:sz w:val="24"/>
          <w:szCs w:val="24"/>
          <w:highlight w:val="none"/>
          <w:lang w:val="en-US" w:eastAsia="zh-CN" w:bidi="ar-SA"/>
          <w14:ligatures w14:val="none"/>
        </w:rPr>
        <w:t xml:space="preserve">医疗质量专项</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 xml:space="preserve">为构建覆盖抗菌药物合理使用、手术安全、术后并发症防控、院内感染与护理不良事件管理、跨周期再入院及超长住院管控、输血输液诊疗安全、住院全周期诊疗质量监控等全维度的核心专项医疗质控体系，结合妇幼专科特色，明确各项核心指标及多维分析要求，具体指标如下：</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bookmarkStart w:id="6" w:name="heading_0"/>
      <w:r>
        <w:rPr>
          <w:rFonts w:hint="eastAsia" w:ascii="宋体" w:hAnsi="宋体" w:eastAsia="宋体" w:cs="宋体"/>
          <w:color w:val="auto"/>
          <w:spacing w:val="0"/>
          <w:sz w:val="24"/>
          <w:szCs w:val="24"/>
          <w:highlight w:val="none"/>
          <w:lang w:val="en-US" w:eastAsia="zh-CN" w:bidi="ar-SA"/>
          <w14:ligatures w14:val="none"/>
        </w:rPr>
        <w:t xml:space="preserve">一、核心专项医疗质控指标</w:t>
      </w:r>
      <w:bookmarkEnd w:id="6"/>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bookmarkStart w:id="7" w:name="heading_1"/>
      <w:r>
        <w:rPr>
          <w:rFonts w:hint="eastAsia" w:ascii="宋体" w:hAnsi="宋体" w:eastAsia="宋体" w:cs="宋体"/>
          <w:color w:val="auto"/>
          <w:spacing w:val="0"/>
          <w:sz w:val="24"/>
          <w:szCs w:val="24"/>
          <w:highlight w:val="none"/>
          <w:lang w:val="en-US" w:eastAsia="zh-CN" w:bidi="ar-SA"/>
          <w14:ligatures w14:val="none"/>
        </w:rPr>
        <w:t xml:space="preserve">（一）抗菌药物合理使用专项</w:t>
      </w:r>
      <w:bookmarkEnd w:id="7"/>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 xml:space="preserve">核心定位：规范抗菌药物临床应用，减少耐药性，保障用药安全。</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1. 特殊使用级抗菌药物使用会诊率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2. 住院患者抗菌药物使用强度</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3. Ⅰ类切口抗菌药物使用率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bookmarkStart w:id="8" w:name="heading_2"/>
      <w:r>
        <w:rPr>
          <w:rFonts w:hint="eastAsia" w:ascii="宋体" w:hAnsi="宋体" w:eastAsia="宋体" w:cs="宋体"/>
          <w:color w:val="auto"/>
          <w:spacing w:val="0"/>
          <w:sz w:val="24"/>
          <w:szCs w:val="24"/>
          <w:highlight w:val="none"/>
          <w:lang w:val="en-US" w:eastAsia="zh-CN" w:bidi="ar-SA"/>
          <w14:ligatures w14:val="none"/>
        </w:rPr>
        <w:t xml:space="preserve">（二）手术安全与术后并发症防控专项</w:t>
      </w:r>
      <w:bookmarkEnd w:id="8"/>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 xml:space="preserve">核心定位：强化手术全流程管理，降低手术风险，减少术后并发症及死亡率。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4. 四级手术术前多学科讨论完成率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5. 非计划重返手术室再手术率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6. 术前讨论完成率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7. 术者参加术前讨论率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8. 术前讨论计划手术一致率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9. 实际手术术者与计划手术术者一致率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10. 手术医师手术时间重合率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11. 麻醉医师手术时间重合率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12. 手术患者围手术期VTE规范预防率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13. 30天内手术患者并发症发生率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14. 手术并发症例数及占比</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15. 住院患者围手术期死亡率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16. 四级手术与三级手术并发症发生率比</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17. 四级手术与三级手术患者死亡率比</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bookmarkStart w:id="9" w:name="heading_3"/>
      <w:r>
        <w:rPr>
          <w:rFonts w:hint="eastAsia" w:ascii="宋体" w:hAnsi="宋体" w:eastAsia="宋体" w:cs="宋体"/>
          <w:color w:val="auto"/>
          <w:spacing w:val="0"/>
          <w:sz w:val="24"/>
          <w:szCs w:val="24"/>
          <w:highlight w:val="none"/>
          <w:lang w:val="en-US" w:eastAsia="zh-CN" w:bidi="ar-SA"/>
          <w14:ligatures w14:val="none"/>
        </w:rPr>
        <w:t xml:space="preserve">（三）院内感染、护理不良事件及诊疗安全专项</w:t>
      </w:r>
      <w:bookmarkEnd w:id="9"/>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 xml:space="preserve">核心定位：防范院内感染及护理不良事件，规范诊疗操作，保障患者诊疗安全。</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18. 医疗质量安全不良事件报告率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19. 静脉血栓栓塞症规范预防率（非手术患者）</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20. 住院患者静脉输液规范使用率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21. 临床用血后评估记录率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22. 术中自体血回输率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23. 危急值报告及时率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24. 住院患者危急值当日及时处置率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bookmarkStart w:id="10" w:name="heading_4"/>
      <w:r>
        <w:rPr>
          <w:rFonts w:hint="eastAsia" w:ascii="宋体" w:hAnsi="宋体" w:eastAsia="宋体" w:cs="宋体"/>
          <w:color w:val="auto"/>
          <w:spacing w:val="0"/>
          <w:sz w:val="24"/>
          <w:szCs w:val="24"/>
          <w:highlight w:val="none"/>
          <w:lang w:val="en-US" w:eastAsia="zh-CN" w:bidi="ar-SA"/>
          <w14:ligatures w14:val="none"/>
        </w:rPr>
        <w:t xml:space="preserve">（四）住院全周期诊疗质量监控专项</w:t>
      </w:r>
      <w:bookmarkEnd w:id="10"/>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 xml:space="preserve">核心定位：覆盖住院诊疗全流程，规范诊疗行为，提升诊疗质量与服务效率。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25. 肿瘤治疗前临床分期评估率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26. 关键诊疗行为相关记录完整率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27. 患者入院8小时内查房率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28. 上级医师查房记录规范率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29. 急会诊及时到位率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30. 急会诊有效率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31. 普通会诊及时完成率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32. 普通会诊有效率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33. 手术患者特级护理／一级护理出院率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34. 四级手术患者手术当日床旁交接班占比</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35. 非计划再次住院／手术患者疑难病例讨论完成率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36. 非计划再次住院／手术患者疑难病例讨论记录完整率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37. 高额异常费用患者疑难病例讨论占比</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38. 急危重症患者抢救成功率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39. 死亡病例讨论5日内完成率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40. 医务部门组织讨论的死亡病例与发生纠纷的死亡病例比值</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41. 科主任主持死亡病例讨论率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42. 长期医嘱当日终止率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bookmarkStart w:id="11" w:name="heading_5"/>
      <w:r>
        <w:rPr>
          <w:rFonts w:hint="eastAsia" w:ascii="宋体" w:hAnsi="宋体" w:eastAsia="宋体" w:cs="宋体"/>
          <w:color w:val="auto"/>
          <w:spacing w:val="0"/>
          <w:sz w:val="24"/>
          <w:szCs w:val="24"/>
          <w:highlight w:val="none"/>
          <w:lang w:val="en-US" w:eastAsia="zh-CN" w:bidi="ar-SA"/>
          <w14:ligatures w14:val="none"/>
        </w:rPr>
        <w:t xml:space="preserve">（五）跨周期再入院及超长住院管控专项</w:t>
      </w:r>
      <w:bookmarkEnd w:id="11"/>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 xml:space="preserve">核心定位：优化住院周期管理，降低非计划再入院率，控制超长住院现象，提升医疗资源利用效率。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43. 平均住院日</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44. 非计划再次住院率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45. 超长住院患者占比</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bookmarkStart w:id="12" w:name="heading_6"/>
      <w:r>
        <w:rPr>
          <w:rFonts w:hint="eastAsia" w:ascii="宋体" w:hAnsi="宋体" w:eastAsia="宋体" w:cs="宋体"/>
          <w:color w:val="auto"/>
          <w:spacing w:val="0"/>
          <w:sz w:val="24"/>
          <w:szCs w:val="24"/>
          <w:highlight w:val="none"/>
          <w:lang w:val="en-US" w:eastAsia="zh-CN" w:bidi="ar-SA"/>
          <w14:ligatures w14:val="none"/>
        </w:rPr>
        <w:t xml:space="preserve">二、运行效率与资源负荷指标</w:t>
      </w:r>
      <w:bookmarkEnd w:id="12"/>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 xml:space="preserve">核心定位：监控医疗资源利用效率，优化资源配置，提升整体运行效能。</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46. 平均住院日</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47. 床位使用率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48. 出院患者手术占比</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49. 日间手术占择期手术比例</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50. 三、四级手术实际开展率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51. 四级手术占比</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52. 微创手术占比</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53. 耗材占比</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54. 药占比</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55. 治愈好转率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56. 门诊与出院诊断符合率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57. 入院与出院诊断符合率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58. 手术前后诊断符合率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59. 临床病理诊断符合率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bookmarkStart w:id="13" w:name="heading_7"/>
      <w:r>
        <w:rPr>
          <w:rFonts w:hint="eastAsia" w:ascii="宋体" w:hAnsi="宋体" w:eastAsia="宋体" w:cs="宋体"/>
          <w:color w:val="auto"/>
          <w:spacing w:val="0"/>
          <w:sz w:val="24"/>
          <w:szCs w:val="24"/>
          <w:highlight w:val="none"/>
          <w:lang w:val="en-US" w:eastAsia="zh-CN" w:bidi="ar-SA"/>
          <w14:ligatures w14:val="none"/>
        </w:rPr>
        <w:t xml:space="preserve">三、病历与基础管理质量指标</w:t>
      </w:r>
      <w:bookmarkEnd w:id="13"/>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 xml:space="preserve">核心定位：规范病历管理，强化基础医疗管理，保障诊疗行为可追溯、可核查。</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60. 病案首页填报完整率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61. 甲级病案率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62. 死亡患者病案上传率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63. 医疗机构检查检验结果互认率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64. 检查／检验阳性结果检出率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65. 外送检测项目知情同意书签署率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66. 病历时效性缺陷发生率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67. 总值班病历问题分类统计</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68. 值班、交接班完成情况统计</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bookmarkStart w:id="14" w:name="heading_8"/>
      <w:r>
        <w:rPr>
          <w:rFonts w:hint="eastAsia" w:ascii="宋体" w:hAnsi="宋体" w:eastAsia="宋体" w:cs="宋体"/>
          <w:color w:val="auto"/>
          <w:spacing w:val="0"/>
          <w:sz w:val="24"/>
          <w:szCs w:val="24"/>
          <w:highlight w:val="none"/>
          <w:lang w:val="en-US" w:eastAsia="zh-CN" w:bidi="ar-SA"/>
          <w14:ligatures w14:val="none"/>
        </w:rPr>
        <w:t xml:space="preserve">四、妇幼专科质量指标分析体系</w:t>
      </w:r>
      <w:bookmarkEnd w:id="14"/>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 xml:space="preserve">为贴合妇幼专科医院特色，建立独立的孕产妇与新生儿专病人群分析模块，聚焦母婴安全与儿童健康，具体指标如下：</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bookmarkStart w:id="15" w:name="heading_9"/>
      <w:r>
        <w:rPr>
          <w:rFonts w:hint="eastAsia" w:ascii="宋体" w:hAnsi="宋体" w:eastAsia="宋体" w:cs="宋体"/>
          <w:color w:val="auto"/>
          <w:spacing w:val="0"/>
          <w:sz w:val="24"/>
          <w:szCs w:val="24"/>
          <w:highlight w:val="none"/>
          <w:lang w:val="en-US" w:eastAsia="zh-CN" w:bidi="ar-SA"/>
          <w14:ligatures w14:val="none"/>
        </w:rPr>
        <w:t xml:space="preserve">（一）孕产妇核心质量指标</w:t>
      </w:r>
      <w:bookmarkEnd w:id="15"/>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69. 剖宫产率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70. 初产妇剖宫产率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71. 非医学需要剖宫产率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72. 剖宫产平均住院日</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73. 剖宫产术前平均住院日</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74. 剖宫产术后平均住院日</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75. 阴道分娩椎管内麻醉使用数及使用率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76. 会阴侧切数及侧切率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77. 会阴三度裂伤数及发生率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78. 阴道分娩产后出血人数及发生率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79. 严重产后出血例数及发生率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80. 妊娠相关子宫切除数</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81. 分娩高危孕产妇占比</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82. 围产儿死亡率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83. 药物镇痛占经阴道分娩的比例</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84. 无指征人工破膜数及发生率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85. 活产儿数（含足月、早产分类统计）</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bookmarkStart w:id="16" w:name="heading_10"/>
      <w:r>
        <w:rPr>
          <w:rFonts w:hint="eastAsia" w:ascii="宋体" w:hAnsi="宋体" w:eastAsia="宋体" w:cs="宋体"/>
          <w:color w:val="auto"/>
          <w:spacing w:val="0"/>
          <w:sz w:val="24"/>
          <w:szCs w:val="24"/>
          <w:highlight w:val="none"/>
          <w:lang w:val="en-US" w:eastAsia="zh-CN" w:bidi="ar-SA"/>
          <w14:ligatures w14:val="none"/>
        </w:rPr>
        <w:t xml:space="preserve">（二）新生儿／儿科核心质量指标</w:t>
      </w:r>
      <w:bookmarkEnd w:id="16"/>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86. 儿童肺炎平均住院日</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87. 足月新生儿5分钟Apgar评分＜7分发生率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88. 新生儿产伤例数及发生率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89. 新生儿／儿科急危重症抢救成功率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90. 新生儿／儿科医院感染发生率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91. 极低／超低出生体重儿相关指标（含存活率、并发症发生率）</w:t>
      </w:r>
      <w:r/>
    </w:p>
    <w:p>
      <w:pPr>
        <w:ind w:firstLine="480"/>
        <w:pageBreakBefore w:val="0"/>
        <w:spacing w:line="360" w:lineRule="auto"/>
        <w:rPr>
          <w:rFonts w:hint="eastAsia" w:ascii="宋体" w:hAnsi="宋体" w:eastAsia="宋体" w:cs="宋体"/>
          <w:color w:val="auto"/>
          <w:spacing w:val="0"/>
          <w:sz w:val="24"/>
          <w:szCs w:val="24"/>
          <w:highlight w:val="none"/>
          <w:lang w:val="en-US" w:eastAsia="zh-CN" w:bidi="ar-SA"/>
          <w14:ligatures w14:val="none"/>
        </w:rPr>
      </w:pPr>
      <w:r>
        <w:rPr>
          <w:rFonts w:hint="eastAsia" w:ascii="宋体" w:hAnsi="宋体" w:eastAsia="宋体" w:cs="宋体"/>
          <w:color w:val="auto"/>
          <w:spacing w:val="0"/>
          <w:sz w:val="24"/>
          <w:szCs w:val="24"/>
          <w:highlight w:val="none"/>
          <w:lang w:val="en-US" w:eastAsia="zh-CN" w:bidi="ar-SA"/>
          <w14:ligatures w14:val="none"/>
        </w:rPr>
        <w:tab/>
      </w:r>
      <w:r>
        <w:rPr>
          <w:rFonts w:hint="eastAsia" w:ascii="宋体" w:hAnsi="宋体" w:eastAsia="宋体" w:cs="宋体"/>
          <w:color w:val="auto"/>
          <w:spacing w:val="0"/>
          <w:sz w:val="24"/>
          <w:szCs w:val="24"/>
          <w:highlight w:val="none"/>
          <w:lang w:val="en-US" w:eastAsia="zh-CN" w:bidi="ar-SA"/>
          <w14:ligatures w14:val="none"/>
        </w:rPr>
        <w:t xml:space="preserve">92. 儿科常见疾病病死率</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ab/>
      </w:r>
      <w:r>
        <w:rPr>
          <w:rFonts w:hint="eastAsia" w:ascii="宋体" w:hAnsi="宋体" w:eastAsia="宋体" w:cs="宋体"/>
          <w:b/>
          <w:bCs/>
          <w:iCs/>
          <w:color w:val="auto"/>
          <w:sz w:val="24"/>
          <w:szCs w:val="24"/>
          <w:highlight w:val="none"/>
          <w:lang w:val="en-US" w:eastAsia="zh-CN" w:bidi="ar-SA"/>
          <w14:ligatures w14:val="none"/>
        </w:rPr>
        <w:t xml:space="preserve">医保专项</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从全院角度展开对门诊/住院就诊构成、收入构成的分析，支持关联支付方式（职工、居民、生育、自费、异地、单病种）、科室、医疗组、病种等维度，查看对比分析、趋势分析、排名分析等下钻分析。</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ab/>
      </w:r>
      <w:r>
        <w:rPr>
          <w:rFonts w:hint="eastAsia" w:ascii="宋体" w:hAnsi="宋体" w:eastAsia="宋体" w:cs="宋体"/>
          <w:b/>
          <w:bCs/>
          <w:iCs/>
          <w:color w:val="auto"/>
          <w:sz w:val="24"/>
          <w:szCs w:val="24"/>
          <w:highlight w:val="none"/>
          <w:lang w:val="en-US" w:eastAsia="zh-CN" w:bidi="ar-SA"/>
          <w14:ligatures w14:val="none"/>
        </w:rPr>
        <w:t xml:space="preserve">▲病种专项</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从全院角度展开基于DRG</w:t>
      </w:r>
      <w:r>
        <w:rPr>
          <w:rFonts w:hint="eastAsia" w:ascii="宋体" w:hAnsi="宋体" w:eastAsia="宋体" w:cs="宋体"/>
          <w:color w:val="auto"/>
          <w:sz w:val="24"/>
          <w:szCs w:val="24"/>
          <w:highlight w:val="none"/>
          <w:lang w:val="en-US" w:eastAsia="zh-CN"/>
          <w14:ligatures w14:val="none"/>
        </w:rPr>
        <w:t xml:space="preserve">病组</w:t>
      </w:r>
      <w:r>
        <w:rPr>
          <w:rFonts w:hint="eastAsia" w:ascii="宋体" w:hAnsi="宋体" w:eastAsia="宋体" w:cs="宋体"/>
          <w:color w:val="auto"/>
          <w:sz w:val="24"/>
          <w:szCs w:val="24"/>
          <w:highlight w:val="none"/>
          <w14:ligatures w14:val="none"/>
        </w:rPr>
        <w:t xml:space="preserve">的分析，标注关键</w:t>
      </w:r>
      <w:r>
        <w:rPr>
          <w:rFonts w:hint="eastAsia" w:ascii="宋体" w:hAnsi="宋体" w:eastAsia="宋体" w:cs="宋体"/>
          <w:color w:val="auto"/>
          <w:sz w:val="24"/>
          <w:szCs w:val="24"/>
          <w:highlight w:val="none"/>
          <w:lang w:val="en-US" w:eastAsia="zh-CN"/>
          <w14:ligatures w14:val="none"/>
        </w:rPr>
        <w:t xml:space="preserve">病组</w:t>
      </w:r>
      <w:r>
        <w:rPr>
          <w:rFonts w:hint="eastAsia" w:ascii="宋体" w:hAnsi="宋体" w:eastAsia="宋体" w:cs="宋体"/>
          <w:color w:val="auto"/>
          <w:sz w:val="24"/>
          <w:szCs w:val="24"/>
          <w:highlight w:val="none"/>
          <w14:ligatures w14:val="none"/>
        </w:rPr>
        <w:t xml:space="preserve">和经济</w:t>
      </w:r>
      <w:r>
        <w:rPr>
          <w:rFonts w:hint="eastAsia" w:ascii="宋体" w:hAnsi="宋体" w:eastAsia="宋体" w:cs="宋体"/>
          <w:color w:val="auto"/>
          <w:sz w:val="24"/>
          <w:szCs w:val="24"/>
          <w:highlight w:val="none"/>
          <w:lang w:val="en-US" w:eastAsia="zh-CN"/>
          <w14:ligatures w14:val="none"/>
        </w:rPr>
        <w:t xml:space="preserve">病组</w:t>
      </w:r>
      <w:r>
        <w:rPr>
          <w:rFonts w:hint="eastAsia" w:ascii="宋体" w:hAnsi="宋体" w:eastAsia="宋体" w:cs="宋体"/>
          <w:color w:val="auto"/>
          <w:sz w:val="24"/>
          <w:szCs w:val="24"/>
          <w:highlight w:val="none"/>
          <w14:ligatures w14:val="none"/>
        </w:rPr>
        <w:t xml:space="preserve">，引导关注重点</w:t>
      </w:r>
      <w:r>
        <w:rPr>
          <w:rFonts w:hint="eastAsia" w:ascii="宋体" w:hAnsi="宋体" w:eastAsia="宋体" w:cs="宋体"/>
          <w:color w:val="auto"/>
          <w:sz w:val="24"/>
          <w:szCs w:val="24"/>
          <w:highlight w:val="none"/>
          <w:lang w:val="en-US" w:eastAsia="zh-CN"/>
          <w14:ligatures w14:val="none"/>
        </w:rPr>
        <w:t xml:space="preserve">病组</w:t>
      </w:r>
      <w:r>
        <w:rPr>
          <w:rFonts w:hint="eastAsia" w:ascii="宋体" w:hAnsi="宋体" w:eastAsia="宋体" w:cs="宋体"/>
          <w:color w:val="auto"/>
          <w:sz w:val="24"/>
          <w:szCs w:val="24"/>
          <w:highlight w:val="none"/>
          <w14:ligatures w14:val="none"/>
        </w:rPr>
        <w:t xml:space="preserve">。涵盖入组数、CMI值、时间消耗指数、费用消耗指数、盈余、次均费用构成等，支持关联科室、医疗组、手术、项目、时间等维度</w:t>
      </w:r>
      <w:r>
        <w:rPr>
          <w:rFonts w:hint="eastAsia" w:ascii="宋体" w:hAnsi="宋体" w:eastAsia="宋体" w:cs="宋体"/>
          <w:color w:val="auto"/>
          <w:sz w:val="24"/>
          <w:szCs w:val="24"/>
          <w:highlight w:val="none"/>
          <w:lang w:val="en-US" w:eastAsia="zh-CN"/>
          <w14:ligatures w14:val="none"/>
        </w:rPr>
        <w:t xml:space="preserve">的分析</w:t>
      </w:r>
      <w:r>
        <w:rPr>
          <w:rFonts w:hint="eastAsia" w:ascii="宋体" w:hAnsi="宋体" w:eastAsia="宋体" w:cs="宋体"/>
          <w:color w:val="auto"/>
          <w:sz w:val="24"/>
          <w:szCs w:val="24"/>
          <w:highlight w:val="none"/>
          <w14:ligatures w14:val="none"/>
        </w:rPr>
        <w:t xml:space="preserve">。支持下钻查看各DRG</w:t>
      </w:r>
      <w:r>
        <w:rPr>
          <w:rFonts w:hint="eastAsia" w:ascii="宋体" w:hAnsi="宋体" w:eastAsia="宋体" w:cs="宋体"/>
          <w:color w:val="auto"/>
          <w:sz w:val="24"/>
          <w:szCs w:val="24"/>
          <w:highlight w:val="none"/>
          <w:lang w:val="en-US" w:eastAsia="zh-CN"/>
          <w14:ligatures w14:val="none"/>
        </w:rPr>
        <w:t xml:space="preserve">病</w:t>
      </w:r>
      <w:r>
        <w:rPr>
          <w:rFonts w:hint="eastAsia" w:ascii="宋体" w:hAnsi="宋体" w:eastAsia="宋体" w:cs="宋体"/>
          <w:color w:val="auto"/>
          <w:sz w:val="24"/>
          <w:szCs w:val="24"/>
          <w:highlight w:val="none"/>
          <w14:ligatures w14:val="none"/>
        </w:rPr>
        <w:t xml:space="preserve">组在不同医疗组的入组数、次均费用、盈亏等的数据变化情况，围绕某一项异常费用或DRG组，查看对比分析、趋势分析、排名分析等细节数据。</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绩效专项</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提供全院临床、护理、医技、行政、后勤等各类岗位及各科室的绩效分析，关联收支结余、工作量、病种、项目、人力资源等维度，找到绩效效果不佳的科室及原因，提供标杆数据，提供院级/科级、专项绩效分析报告。</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设备效益专项</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（1）设备使用综合情况</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设备利用率、设备故障发生率、设备闲置率（闲置时长/可使用时长）相关指标展示分析。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（2）设备折旧率分析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本期设备折旧额、累计折旧额、单项设备年折旧率相关指标展示分析。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（3）设备投资回报率分析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设备投资回报率、设备投资回收周期、单台设备年收益额相关指标展示分析。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（4）百元收入设备成本分析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百元收入设备成本、百元收入设备成本同比/环比变化率、重点设备百元收入成本占比相关指标展示分析。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（5）设备资产结构情况</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设备资产原值总额、设备资产净值总额、各类型设备资产占比（诊疗、检验、影像、急救等）、闲置设备资产占比相关指标展示分析。</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药品专项</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从全院角度展开对不同类别药品、重点监控药品统计，支持关联病种、手术等维度体现药品的使用情况，通过对每个病种/每种手术的药品用量的分析，与标杆值进行比对，规范用药。</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▲卫生材料专项</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提供支持高值耗材、重点监控耗材、不计价耗材、试剂的分析，从科室、病种、手术、项目的维度，全程监控耗材领用与实际消耗，通过对每个病种/每种手术的材料用量的分析，与标杆值进行比对，规范用量。通过全程监控耗材领用与实际消耗，实现耗材的动态管理。对卫生材料进行不同管理维度的标注，辅助决策。</w:t>
      </w:r>
      <w:r/>
    </w:p>
    <w:p>
      <w:pPr>
        <w:numPr>
          <w:ilvl w:val="3"/>
          <w:numId w:val="1"/>
        </w:numPr>
        <w:ind w:left="1260" w:right="280" w:hanging="1040"/>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人力资源专项</w:t>
      </w:r>
      <w:r/>
    </w:p>
    <w:p>
      <w:pPr>
        <w:numPr>
          <w:ilvl w:val="0"/>
          <w:numId w:val="30"/>
        </w:numPr>
        <w:ind w:firstLine="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人事综合分析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支持按年份等参数进行选择汇总查看；</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支持查看重要的人事相关指标（如人均利润、人均人力成本、人效情况等），点击指标可以展示其本期、同期、目标值的同比趋势情况；</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支持展示人工成本结构比率，主要围绕薪资、福利、社保，展示其占比情况；</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支持展示核心指标员工数量、平均司龄、员工流动率、员工离职率等几项指标，展示其当期值及同比变动情况；</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支持查看人员分布情况，按照部门、岗位、职级、司龄、离职top部门、年龄等维度进行展示；</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支持查看入离职趋势；</w:t>
      </w:r>
      <w:r/>
    </w:p>
    <w:p>
      <w:pPr>
        <w:numPr>
          <w:ilvl w:val="0"/>
          <w:numId w:val="30"/>
        </w:numPr>
        <w:ind w:firstLine="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14:ligatures w14:val="none"/>
        </w:rPr>
        <w:t xml:space="preserve">人员构成分析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支持查看人力相关指标（在职人数、入职人数、离职人数、平均年龄、平均院龄、离职率、变动率等）汇总变化情况。</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支持查看医院人员学历分布、职称分布、年龄分布、院龄分布、职级分布、科室分布；</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14:ligatures w14:val="none"/>
        </w:rPr>
        <w:t xml:space="preserve">支持查看性别构成占比；</w:t>
      </w:r>
      <w:r/>
    </w:p>
    <w:p>
      <w:pPr>
        <w:numPr>
          <w:ilvl w:val="0"/>
          <w:numId w:val="30"/>
        </w:numPr>
        <w:ind w:firstLine="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人员绩效分析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支持查看考核结果占比；</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支持按科室查看人员分布；</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支持按科室查看对应人员绩效考核得分情况；</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14:ligatures w14:val="none"/>
        </w:rPr>
        <w:t xml:space="preserve">支持按人员查看绩效考核表明细得分；</w:t>
      </w:r>
      <w:r/>
    </w:p>
    <w:p>
      <w:pPr>
        <w:numPr>
          <w:ilvl w:val="0"/>
          <w:numId w:val="30"/>
        </w:numPr>
        <w:ind w:firstLine="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医生画像分析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支持按年月等参数进行选择汇总查看，支持按科室选择进行查看；</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支持医生个人信息简介（年龄、职位、职级、诊疗特长介绍、研究成果介绍；</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支持查看医生收入及工作量、效率等指标汇总情况；</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支持相关指标联动，查看对应指标本期、同期、目标达成情况；</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支持医生负责病种分析；</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（5）人员胜任力分析</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建立胜任力模型，支持量化评价每一位员工的投入和人均产出。</w:t>
      </w:r>
      <w:r/>
    </w:p>
    <w:p>
      <w:pPr>
        <w:numPr>
          <w:ilvl w:val="3"/>
          <w:numId w:val="1"/>
        </w:numPr>
        <w:ind w:left="1260" w:right="280" w:hanging="1040"/>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预算执行专项</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提供多维度、全口径预算执行率综合分析，覆盖整体预算、分项预算、收支预算等全域范围。支持关联科室、医疗组、业务项目等核心组织与业务维度，实现数据分层拆解、交叉联动查询。同时围绕预算执行情况，开展同期对比、周期趋势、结构占比、差异拆解、进度偏离分析等深度研判，直观呈现预算执行情况，助力预算精细化管控与资源科学统筹配置。</w:t>
      </w:r>
      <w:r/>
    </w:p>
    <w:p>
      <w:pPr>
        <w:numPr>
          <w:ilvl w:val="3"/>
          <w:numId w:val="1"/>
        </w:numPr>
        <w:ind w:left="1260" w:right="280" w:hanging="1040"/>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▲患者管理专项</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全程追踪孕产妇、儿保、妇科等患者从门诊挂号、就诊、住院治疗到出院复诊的全流程数据，统计各环节患者流转情况，分析患者就诊轨迹，识别患者在门诊转住院、出院后复诊等环节的流失节点及原因，量化患者流失率，为优化诊疗服务、加强患者随访、提升患者粘性提供针对性建议。</w:t>
      </w:r>
      <w:r/>
    </w:p>
    <w:p>
      <w:pPr>
        <w:numPr>
          <w:ilvl w:val="3"/>
          <w:numId w:val="1"/>
        </w:numPr>
        <w:ind w:left="1260" w:right="280" w:hanging="1040"/>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▲运营分析报告</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基于医院实时运营数据，整合收支结余、工作量、病种管理、卫生材料、设备、人力资源等核心指标，支持管理者自定义报告内容、时间维度（日、周、月、季度、年度），自动生成医院整体运营分析报告及各专题报告（如成本分析报告、病种分析报告等），并按预设时间或需求自动推送至医院管理者及相关责任人，为医院运营决策提供全面、精准的数据分析支持。</w:t>
      </w:r>
      <w:r/>
    </w:p>
    <w:p>
      <w:pPr>
        <w:numPr>
          <w:ilvl w:val="3"/>
          <w:numId w:val="1"/>
        </w:numPr>
        <w:ind w:left="1260" w:right="280" w:hanging="1040"/>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▲目标设定</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支持通过运营分析系统，利用人工智能技术和因果逻辑分析，利用运营分析关键指标库以及行业基线和标杆数据库，为医院目标设置和医院精细化管理提供决策依据，涵盖门急诊人次、手术人次、四级手术人次等指标的年度目标值计算，支持拆分到各科室、季度、月度。</w:t>
      </w:r>
      <w:r/>
    </w:p>
    <w:p>
      <w:pPr>
        <w:numPr>
          <w:ilvl w:val="3"/>
          <w:numId w:val="1"/>
        </w:numPr>
        <w:ind w:left="1260" w:right="280" w:hanging="1040"/>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▲目标管理</w:t>
      </w:r>
      <w:r/>
    </w:p>
    <w:p>
      <w:pPr>
        <w:ind w:firstLine="480"/>
        <w:jc w:val="both"/>
        <w:pageBreakBefore w:val="0"/>
        <w:spacing w:line="360" w:lineRule="auto"/>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监测各指标目标值执行情况，可视化展示月/季度/年度目标完成情况，支持设定正常、告警、预警值，支持各指标的关联科室、医疗组、病种、手术、项目等的下钻分析，提出可执行决策建议。</w:t>
      </w:r>
      <w:r/>
    </w:p>
    <w:p>
      <w:pPr>
        <w:numPr>
          <w:ilvl w:val="2"/>
          <w:numId w:val="1"/>
        </w:numPr>
        <w:ind w:left="1000" w:right="280" w:hanging="720"/>
        <w:keepLines/>
        <w:keepNext/>
        <w:pageBreakBefore w:val="0"/>
        <w:spacing w:before="260" w:after="260" w:line="360" w:lineRule="auto"/>
        <w:tabs>
          <w:tab w:val="left" w:pos="360" w:leader="none"/>
        </w:tabs>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科室运营管理平台</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▲经营概况</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重点指标预警监测：实时监测科室核心经营指标、医疗质量指标、工作量指标等重点指标，通过仪表盘、指示灯等可视化形式呈现指标实际值、目标值及所处状态（正常、预警、异常），针对异常指标可逐层下钻，分析指标趋势波动规律，定位问题所在，明确关联的问题医生、问题病组，以及问题项目、药品、卫生材料等具体明细，为问题整改提供精准依据。</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lang w:val="en-US" w:eastAsia="zh-CN"/>
          <w14:ligatures w14:val="none"/>
        </w:rPr>
        <w:t xml:space="preserve">2</w:t>
      </w:r>
      <w:r>
        <w:rPr>
          <w:rFonts w:hint="eastAsia" w:ascii="宋体" w:hAnsi="宋体" w:eastAsia="宋体" w:cs="宋体"/>
          <w:color w:val="auto"/>
          <w:sz w:val="24"/>
          <w:szCs w:val="24"/>
          <w:highlight w:val="none"/>
          <w14:ligatures w14:val="none"/>
        </w:rPr>
        <w:t xml:space="preserve">）实时概况：支持收支、工作量、病种、手术（手术中人次、完成手术人次、等待人次、每台手术的进程与时长等）、床位效率（床位使用率、空床数、占床人次等）等核心指标的实时监测，并支持下钻、联动查看医疗组、医生、时间等不同维度指标数据</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实现科室运营状态实时掌控。</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14:ligatures w14:val="none"/>
        </w:rPr>
        <w:t xml:space="preserve">）运营日报：按照预设的核心指标模版，自动汇总当日科室收支、工作量、手术、床位、医疗质量等关键数据，生成标准化运营日报，在每日固定时间（如每日下班前）推送至科室管理者，便于管理者及时掌握当日运营情况，快速发现当日运营中的异常问题。</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收支结余分析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全面梳理科室医疗盈余、各项收入（诊疗收入、手术收入、药品收入等）、各类成本（人力成本、设备成本、卫生材料成本、药品成本等）数据，与年度预算、去年同期数据、上一报告期数据进行多维度对比，分析收支结余异常原因，评估科室运营效益；支持按医生、手术、病种、收费项目、人力、床位等维度关联查询，针对收入下降、成本上升的项目，可下钻查看具体数据变化，开展对比、趋势、排名等细节分析，精准定位增收节支的关键点。</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工作量分析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全面统计科室门诊人次、急诊人次、住院人次、手术台次、体检人数、医技检查次数等各类服务量数据，涵盖评审、考核所需的特色指标（如重点病种诊疗量、疑难手术开展量等），支持按医生、病种、手术等维度下钻查询，分析各维度工作量分布情况、变化趋势，评估科室服务能力与工作效率，为人员调配、工作安排优化提供依据。</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病种分析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以DRG病种分组为核心，统计科室各DRG病种的入组数、占比情况，分析各病种的费用结构（诊疗费、手术费、药品费、材料费等）及盈亏状态，关联医生、手术、收费项目、临床路径执行情况等维度，分析病种诊疗效率、费用控制效果及路径执行合规性，为病种结构优化、诊疗流程改进、费用管控提供数据支撑。</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▲患者管理</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全程追踪患者从门诊挂号、就诊、住院治疗到出院复诊的全流程数据，统计各环节患者流转情况，分析患者就诊轨迹，识别患者在门诊转住院、出院后复诊等环节的流失节点及原因，量化患者流失率，为优化诊疗服务、加强患者随访、提升患者粘性提供针对性建议。</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设备管理</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针对科室专科专用设备，统计设备开机时间、运行时长、诊疗人次、故障次数等数据，分析设备使用效率、负荷情况，识别设备使用中的产出瓶颈（如设备闲置、故障频发等），并提出针对性改进措施；针对新增、拟新购的专科设备，开展效益预测分析，结合科室工作量、诊疗需求、成本投入等因素，评估设备投入产出比，为设备购置决策提供数据支持。</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药品管理</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从临床科室角度展开对不同类别药品、重点监控药品统计，</w:t>
      </w:r>
      <w:r>
        <w:rPr>
          <w:rFonts w:hint="eastAsia" w:ascii="宋体" w:hAnsi="宋体" w:eastAsia="宋体" w:cs="宋体"/>
          <w:color w:val="auto"/>
          <w:sz w:val="24"/>
          <w:szCs w:val="24"/>
          <w:highlight w:val="none"/>
          <w14:ligatures w14:val="none"/>
        </w:rPr>
        <w:t xml:space="preserve">关联病种、手术等维度体现科室</w:t>
      </w:r>
      <w:r>
        <w:rPr>
          <w:rFonts w:hint="eastAsia" w:ascii="宋体" w:hAnsi="宋体" w:eastAsia="宋体" w:cs="宋体"/>
          <w:color w:val="auto"/>
          <w:sz w:val="24"/>
          <w:szCs w:val="24"/>
          <w:highlight w:val="none"/>
          <w:lang w:val="en-US" w:eastAsia="zh-CN"/>
          <w14:ligatures w14:val="none"/>
        </w:rPr>
        <w:t xml:space="preserve">药品的使用</w:t>
      </w:r>
      <w:r>
        <w:rPr>
          <w:rFonts w:hint="eastAsia" w:ascii="宋体" w:hAnsi="宋体" w:eastAsia="宋体" w:cs="宋体"/>
          <w:color w:val="auto"/>
          <w:sz w:val="24"/>
          <w:szCs w:val="24"/>
          <w:highlight w:val="none"/>
          <w14:ligatures w14:val="none"/>
        </w:rPr>
        <w:t xml:space="preserve">情况</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通过对每例病种/每种手术的药品用量的分析，与标杆值进行比对，规范用药。</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▲卫生材料管理</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分科室类型开展卫生材料与试剂管理分析：临床科室重点统计各类卫生材料的用量、消耗金额，关联病种、手术、收费项目等维度，分析材料消耗的合理性、与诊疗工作的匹配度，排查过度消耗、浪费等问题；医技科室（如检验科）重点统计各类试剂的用量、消耗金额，关联对应收费项目，分析试剂消耗与检查工作量的匹配情况，优化试剂采购与使用管理，控制耗材成本。</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▲人力资源管理</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结合科室工作量、病种特点、手术开展情况等，分析科室人员的数量、职称、专业结构等是否与工作需求匹配，评估各岗位人员的胜任力（包括专业技能、工作效率、服务质量等），为每位人员建立胜任力雷达图，直观呈现其优势与不足，提示科室管理者针对人力资源配置、人员培训、岗位调整等方面进行优化，提升科室整体人力效能。</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▲专科目标管理</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围绕科室年度、季度运营目标（如收支目标、工作量目标、医疗质量目标等），实时监测目标执行进度，自动探查目标执行中的异常情况，开展根因分析，智能预测目标完成情况；提醒科室管理者针对异常问题提前采取干预措施，同时提供目标计划制定、执行跟踪、效果检查、持续改进的全流程管理功能，确保科室运营目标顺利达成。</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▲专科发展</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构建贴合科室特点的专科能力评价模型，对照江苏省重点专科评审标准，全面分析科室在病种诊疗、手术开展、人员资质、科教研（科研项目、论文、专利等）、医疗质量等方面的情况，评估与评审要求的匹配度，识别存在的差距与不足，提示科室管理者针对性开展优化提升工作，助力专科建设达到重点专科评审标准。</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▲科室经营分析报告</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基于科室实时运营数据，整合收支结余、工作量、专科目标管理、病种管理、卫生材料、设备、人力资源等核心指标，支持管理者自定义报告内容、时间维度（日、周、月、季度、年度），自动生成科室整体运营分析报告及各专题报告（如成本分析报告、病种分析报告等），并按预设时间或需求自动推送至科室管理者及相关责任人，为科室运营决策提供全面、精准的数据分析支持。</w:t>
      </w:r>
      <w:r/>
    </w:p>
    <w:p>
      <w:pPr>
        <w:numPr>
          <w:ilvl w:val="2"/>
          <w:numId w:val="1"/>
        </w:numPr>
        <w:ind w:left="1000" w:right="280" w:hanging="720"/>
        <w:keepLines/>
        <w:keepNext/>
        <w:pageBreakBefore w:val="0"/>
        <w:spacing w:before="260" w:after="260" w:line="360" w:lineRule="auto"/>
        <w:tabs>
          <w:tab w:val="left" w:pos="360" w:leader="none"/>
        </w:tabs>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国考指标监测分析</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▲指标概览分析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按照公立医院绩效考核指标多级分类查询指标本期值、同期值、同比、中位数、满分值；支持按照国考指标二级模块分类导出本期值、同期值、同比、中位数、满分值；支持定义时间范围和院科两级查询指标结果；</w:t>
      </w:r>
      <w:r>
        <w:rPr>
          <w:rFonts w:hint="eastAsia" w:ascii="宋体" w:hAnsi="宋体" w:eastAsia="宋体" w:cs="宋体"/>
          <w:color w:val="auto"/>
          <w:sz w:val="24"/>
          <w:szCs w:val="24"/>
          <w:highlight w:val="none"/>
          <w14:ligatures w14:val="none"/>
        </w:rPr>
        <w:t xml:space="preserve">对有异常的指标进行备注信息。按公立医院绩效考核指标的多级分类体系，可快速查询各指标的本期实际值、同期对比值、同比变化情况、行业中位数及指标满分值，实现指标数据的多维度快速检索；支持按国考指标二级模块分类，导出对应模块下所有指标的本期值、同期值、同比、中位数、满分值等核心数据，满足数据上报、汇总分析需求；支持管理者自定义查询时间范围（如月度、季度、年度），并按医院、科室两级层级查询指标结果，实现从整体到局部的指标掌控；针对数值异常、波动较大的指标，可添加备注信息，明确异常原因、处理进度等，便于后续追溯与整改。</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▲指标溯源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查看指标意义与指标计算的实际路径；支持所有指标数据可视化溯源，基础指标可向前溯源元数据信息，向后展示基于该指标构成的复杂指标、多元指标、衍生指标。清晰呈现各指标的核心意义、统计口径及具体计算路径，帮助使用者准确理解指标内涵、掌握计算逻辑；所有指标均支持可视化溯源功能，其中基础指标可向前追溯至原始元数据（如患者就诊记录、收费明细、诊疗数据等），确保数据来源可查、可核；同时可向后展示以该基础指标为核心构成的复杂指标、多元指标及衍生指标，清晰呈现指标间的关联关系，助力使用者全面掌握指标体系逻辑。</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▲指标下钻分析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非人工填报指标支持查看关键影响科室、支持查看指标趋势分析、支持查看患者明细；下钻分析报表支持导出、排序、联动等功能；针对非人工填报的指标（即系统自动采集统计的指标），可下钻查看该指标的关键影响科室，明确各科室对指标的贡献度及影响程度；支持查看指标在不同时间维度的趋势变化，直观呈现指标波动规律；可进一步下钻查看关联的患者明细数据，实现指标与具体诊疗场景的联动；下钻分析生成的报表支持导出（如Excel格式）、按数值高低排序、与其他指标联动查询等功能，提升分析效率与灵活性。</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▲指标趋势分析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自定义时间范围查看结果指标、以及组成指标的趋势变化；支持查看查看周期范围内的平均值；管理者可根据需求自定义时间范围（如任意时间段、特定季度等），查看结果指标及构成该结果指标的各组成指标的趋势变化，通过折线图、柱状图等可视化形式，直观呈现指标的升降趋势；同时支持查看该时间周期范围内指标的平均值，对比分析指标整体水平与阶段性表现，为指标变化原因分析、未来趋势预判提供数据支撑。</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国家监测指标</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得分评估：根据24个国家监测指标情况，测评当前指标得分情况以及目标完成进度情况。依据24个国家监测指标的评分标准，实时测评各指标的当前得分，精准计算目标完成进度，明确各指标与满分标准、目标要求的差距，为指标提升提供明确方向。</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警示指标提醒：警示指标数量与警示指标占比情况。实时统计当前处于警示状态的指标数量，计算警示指标占24个国家监测指标的比例，通过可视化形式呈现，及时提醒管理者关注警示指标，优先开展整改工作。</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按医疗质量、运营效率、持续发展和满意度4个维度监测其三级指标当前值、与目标差值和模拟评分情况。将24个国家监测指标按医疗质量、运营效率、持续发展、满意度4个核心维度分类，分别监测各维度下三级指标的当前实际值、与预设目标的差值，以及模拟评分结果，全面掌握各维度指标表现，识别薄弱维度。</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可分析其指标整体趋势、各科室指标状态和指标各类专题分析。支持分析24个国家监测指标的整体变化趋势，掌握指标长期发展态势；可查看各科室在国家监测指标上的表现状态，明确各科室的优势与短板；同时支持开展指标各类专题分析（如指标异常原因分析、达标率分析等），为医院管理决策提供针对性参考。</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科室填报</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针对目前现有业务系统中无法收集的数据，提供数据填报功能，从而完善医院的数据采集，更好地满足评审数据监测需求。针对现有业务系统无法自动收集、统计的数据（如部分手工记录数据、特殊专项数据等），提供线上手动填报功能，补充数据采集缺口，完善医院整体数据体系，确保评审、监测所需数据的完整性与准确性。</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excel报表等离线的手工记录数据导入，从而多方式完善数据。支持将线下手工记录的数据整理为Excel报表，通过系统导入功能批量上传数据，实现线上填报与离线导入相结合的多方式数据补充，提升数据填报效率，进一步完善医院数据采集工作，满足各类评审、监测的数据需求。</w:t>
      </w:r>
      <w:r/>
    </w:p>
    <w:p>
      <w:pPr>
        <w:numPr>
          <w:ilvl w:val="2"/>
          <w:numId w:val="1"/>
        </w:numPr>
        <w:ind w:left="1000" w:right="280" w:hanging="720"/>
        <w:keepLines/>
        <w:keepNext/>
        <w:pageBreakBefore w:val="0"/>
        <w:spacing w:before="260" w:after="260" w:line="360" w:lineRule="auto"/>
        <w:tabs>
          <w:tab w:val="left" w:pos="360" w:leader="none"/>
        </w:tabs>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基础管理平台</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指标管理平台</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指标管理平台支持对指挥调度中心的监测指标进行分类管理和定义配置。用户可以按主题分类查看每个指标的状态和结果，并对内置指标的取数内容进行编辑调整，满足不同</w:t>
      </w:r>
      <w:r>
        <w:rPr>
          <w:rFonts w:hint="eastAsia" w:ascii="宋体" w:hAnsi="宋体" w:eastAsia="宋体" w:cs="宋体"/>
          <w:color w:val="auto"/>
          <w:sz w:val="24"/>
          <w:szCs w:val="24"/>
          <w:highlight w:val="none"/>
          <w14:ligatures w14:val="none"/>
        </w:rPr>
        <w:t xml:space="preserve">场景下的监测需求。通过权限设置，平台可限制不同用户对业务系统数据的访问范围，确保数据的安全性与管理的规范性。平台可根据医院管理需求，对监测指标进行多主题分类（如医疗质量、运营效率、安全管理等），用户可快速切换主题查看对应指标的实时状态、统计结果，直观掌握指标运行情况；针对系统内置指标，支持用户根据实际监测场景，编辑调整取数口径、取数范围等内容，灵活适配不同管理需求；同时通过精细化权限设置，按岗位、职责分配数据访问权限，限制不同用户对业务系统核心数据的访问范围，防范数据泄露风险，保障数据管理的规范性与安全性。</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预警管理平台</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预警管理平台提供对指挥调度中心监测指标的灵活预警配置功能，支持按分钟、小时、天、周、月等多种时间频率设置预警规则。系统支持多种判断方式和对比方式，并可按固定值或历史同期数据设置阈值，确保预警配置的精准性。预警信息通过对接消息平台实时推送至企业微信、钉钉等渠道。此外，系统支持自动生成日报月报等运营报告，并实时推</w:t>
      </w:r>
      <w:r>
        <w:rPr>
          <w:rFonts w:hint="eastAsia" w:ascii="宋体" w:hAnsi="宋体" w:eastAsia="宋体" w:cs="宋体"/>
          <w:color w:val="auto"/>
          <w:sz w:val="24"/>
          <w:szCs w:val="24"/>
          <w:highlight w:val="none"/>
          <w14:ligatures w14:val="none"/>
        </w:rPr>
        <w:t xml:space="preserve">送至相关责任人，提升运营管理的效率和及时性。平台可根据指标特性，灵活设置预警频率（分钟级、小时级、天级等），适配不同指标的监测需求；支持多种判断方式（如大于、小于、等于、不等于等）和对比方式，可按固定数值设置阈值，也可参照历史同期数据（如上月同期、上年同期）设置动态阈值，提升预警的精准度；预警信息触发后，通过对接企业微信、钉钉等常用办公渠道，实时推送至相关责任人，确保预警信息及时传达；同时自动汇总指标数据，生成日报、月报等标准化运营报告，按预设时间推送至对应责任人，助力管理者快速掌握运营动态，提升管理效率。</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任务管理平台</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任务管理平台支持在指标展示页面快捷创建任务，用户可定义任务内容、紧急程度、主题、责任人、截止时间及提醒时间等要素。平台提供任务状态跟踪功能，支持按待处理、已处理等状态查看任务列表，确保任务处理的透明性和闭环管理</w:t>
      </w:r>
      <w:r>
        <w:rPr>
          <w:rFonts w:hint="eastAsia" w:ascii="宋体" w:hAnsi="宋体" w:eastAsia="宋体" w:cs="宋体"/>
          <w:color w:val="auto"/>
          <w:sz w:val="24"/>
          <w:szCs w:val="24"/>
          <w:highlight w:val="none"/>
          <w14:ligatures w14:val="none"/>
        </w:rPr>
        <w:t xml:space="preserve">。通过任务管理平台，医院可实现任务分配高效化，推动问题快速解决。用户在查看指标数据时，若发现异常问题，可直接在指标展示页面快捷创建任务，明确任务核心内容、紧急级别（如紧急、一般、普通）、任务主题、具体责任人、完成截止时间及提醒时间，确保任务要素完整；平台实时跟踪任务进度，支持按待处理、处理中、已处理、已逾期等状态筛选查看任务列表，清晰呈现每个任务的处理情况，实现任务从创建、分配、处理到归档的闭环管理；通过该平台，简化任务分配流程，提升任务流转效率，推动指标异常、管理问题快速解决，提升医院运营管理的闭环效能。</w:t>
      </w:r>
      <w:r/>
    </w:p>
    <w:p>
      <w:pPr>
        <w:numPr>
          <w:ilvl w:val="2"/>
          <w:numId w:val="1"/>
        </w:numPr>
        <w:ind w:left="1000" w:right="280" w:hanging="720"/>
        <w:keepLines/>
        <w:keepNext/>
        <w:pageBreakBefore w:val="0"/>
        <w:spacing w:before="260" w:after="260" w:line="360" w:lineRule="auto"/>
        <w:tabs>
          <w:tab w:val="left" w:pos="360" w:leader="none"/>
        </w:tabs>
        <w:rPr>
          <w:rFonts w:hint="eastAsia" w:ascii="宋体" w:hAnsi="宋体" w:eastAsia="宋体" w:cs="宋体"/>
          <w:b/>
          <w:bCs/>
          <w:color w:val="auto"/>
          <w:sz w:val="24"/>
          <w:szCs w:val="24"/>
          <w:highlight w:val="none"/>
          <w:lang w:val="en-US" w:eastAsia="zh-CN" w:bidi="ar-SA"/>
          <w14:ligatures w14:val="none"/>
        </w:rPr>
        <w:outlineLvl w:val="2"/>
      </w:pPr>
      <w:r>
        <w:rPr>
          <w:rFonts w:hint="eastAsia" w:ascii="宋体" w:hAnsi="宋体" w:eastAsia="宋体" w:cs="宋体"/>
          <w:b/>
          <w:bCs/>
          <w:color w:val="auto"/>
          <w:sz w:val="24"/>
          <w:szCs w:val="24"/>
          <w:highlight w:val="none"/>
          <w:lang w:val="en-US" w:eastAsia="zh-CN" w:bidi="ar-SA"/>
          <w14:ligatures w14:val="none"/>
        </w:rPr>
        <w:t xml:space="preserve">运管AI智能体</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指标分析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根据用户文字输入/语音输入的自然语言解析指标并返回运营数据中心的指标结果，并且支持基于上下文语境按科室、时间、医生等多维度下钻分析的多轮对话，支持将分析结果进行导出。支持用户通过文字或语音两种方式输入指标查询需求，系统可精准解析自然语言中的核心指标，快速调取运营数据中心的对应指标结果并反馈；基于对话上下文，可实现多轮互动式分析，用户可按需按科室、时间（日/周/月/季度等）、医生、病种等多维度逐层下钻，深入挖掘指标背后的数据逻辑；所有分析结果支持导出为Excel、PDF等格式，满足数据汇总、上报及存档需求。</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数据概览</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以可视化面板的方式展示当前系统中的指标情况，支持添加用户重点关注指标并展示目前异常指标情况，指标支持按科室、医生、病种、手术等多维度的下钻。展示面板支持对不同的指标配置不同的展示方式，包括：指标卡、趋势图、表格、排名图、占比图、对比图、迷你指标卡等可视化组件。所有维度的指标数据都可以快捷跳转到问答界面通过上下文对当</w:t>
      </w:r>
      <w:r>
        <w:rPr>
          <w:rFonts w:hint="eastAsia" w:ascii="宋体" w:hAnsi="宋体" w:eastAsia="宋体" w:cs="宋体"/>
          <w:color w:val="auto"/>
          <w:sz w:val="24"/>
          <w:szCs w:val="24"/>
          <w:highlight w:val="none"/>
          <w14:ligatures w14:val="none"/>
        </w:rPr>
        <w:t xml:space="preserve">前指标进行智能问答。以可视化面板为核心，集中展示系统内所有指标的实时运行状态，用户可自主添加重点关注指标，单独呈现核心指标动态，同时清晰标注当前异常指标的数量、具体名称及异常等级；支持按科室、医生、病种、手术等多维度对任意指标进行下钻，实现从整体到局部的数据穿透；面板可根据指标类型、分析需求，灵活配置多种可视化组件，如用指标卡展示核心数值、趋势图呈现指标变化、排名图体现各维度表现等，直观易懂；所有指标数据均可点击快捷跳转至智能问答界面，结合当前上下文实现对该指标的智能问询，快速获取指标解析、异常原因等信息。</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用户记忆</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系统除了支持对话内的上下文对话外，还支持根据用户对话自动创建记忆和手动创建记忆，以支持不同使用人员的使用习惯和记忆来控制回答的内容和输出结果。系统默认支持对话内上下文关联，确保多轮对话的连贯性，精准响应用户后续问询；同时具备记忆管理功能，一方面可根据用户历史对话内容，自动捕捉用户关注重点、查询习惯等信息并创建记忆；另一方面支持用户手动创建记忆，自定义设置关注维度、指标偏好、回答格式等，适配不同岗位、不同使用人员的个性化需求，通过记忆控制回答内容的侧重点和输出形式，提升使用体验。</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快捷指令</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设置快捷指令，并在与智能运营助手对话时调用快捷指令快速开启各对话场景；用户可根据日常高频操作需求，自定义设置快捷指令，如“查询内科月度收支”“查看重点病种异常预警”等，每个快捷指令对应特定的对话场景和查询需求；在与智能运营助手对话过程中，用户可直接调用快捷指令，无需重复输入查询需求，快速开启对应分析场景，提升指标查询、数据分析的效率。</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异常探查</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对比预算或运营目标或标杆数据，主动探查运营异常；系统可自动调取预设的预算数据、年度/季度运营目标数据，或行业标杆数据，将当前运营指标数据与上述数据进行多维度对比，主动识别指标偏离、数据异常等情况，无需用户手动触发，实现运营异常的主动探查、及时发现，为后续干预整改争取时间。</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根因分析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基于运营管理知识库对异常指标进行多维度关联分析，定位异常背后根本原因，形成可执行决策方案，自动生成分析报告，并支持导出分析报告；依托医院运营管理知识库，结合异常指标的关联数据，从科室、人员、病种、流程、成本等多维度开展关联分析，层层追溯，精准定位异常指标背后的根本原因，而非仅停留在表面现象；基于分析结果，自动生成可落地、可执行的决策改进方案，同步生成标准化分析报告，明确异常情况、根本原因、改进措施及预期效果，报告支持导出，便于存档、汇报及整改跟踪。</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智能风险预警</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识别医院、科室、医疗组、病种各层面各类运营异常或风险，支持动态分析异常指标，基于运营数据中心知识库推荐指标异常的干预措施；全面覆盖医院、临床科室、医疗组、病种等多个层面，自动识别各类运营异常及潜在风险（如成本异常上涨、工作量骤降、病种盈亏失衡等）；实时动态跟踪异常指标的变化趋势，结合运营数据中心知识库，为每类异常指标智能推荐针对性的干预措施，明确整改方向和操作要点，助力管理者快速处置风险、纠正异常。</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智能任务指派</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智能生成异常指标干预任务并指派给相应责任人进行异常指标的持续改进；针对根因分析后确定的异常指标及改进方案，系统可自动生成干预整改任务，明确任务内容、整改要求、完成时限，结合岗位职责、管理范围，智能指派给对应的责任人（如科室主任、护士长、具体经办人员）；全程跟踪任务进度，确保异常指标得到持续改进，形成“异常发现-任务指派-整改落实-效果跟踪”的闭环管理。</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智能预测</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通过建立收支结构、病种结构和盈亏预测模型，为经营决策提供依据；基于医院历史运营数据，构建收支结构预测模型、病种结构变化模型及盈亏预测模型，结合当前运营态势、行业趋势，对未来一段时间内的收支情况、病种分布变化、盈亏状况进行科学预测，输出预测结果及趋势分析，为医院经营决策、资源调配、目标制定提供数据支撑，提升决策的科学性和前瞻性。</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统计分析</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内置统计分析引擎，支持对数据集进行求和、平均值、极值、同比/环比等统计功能，支持趋势分析、相关性分析、对比分析等分析方法，并支持导出分析报告；搭载专业统计分析引擎，可对任意数据集进行基础统计运算，包括求和、平均值、最大值、最小值、同比增长率、环比增长率等，快速获取核心统计结果；支持多种专业分析方法，如趋势分析（呈现指标长期变化规律）、相关性分析（挖掘不同指标间的关联关系）、对比分析（多维度、多时段数据对比）等；所有统计分析结果可自动生成分析报告，支持导出，满足各类统计分析、汇报需求。</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智能SQL查询</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对于非标准指标能智能基于用户需求解析指标知识库生成对应的指标查询定义，然后基于新的指标定义对数据进行SQL查询返回对应的指标结果；针对系统中未预设的非标准指标，用户无需手动编写SQL语句，系统可根据用户输入的查询需求，结合指标知识库，智能解析并生成对应的指标查询定义，自动转化为SQL查询语句，对后台数据进行检索，快速返回精准的指标结果，降低非专业人员的使用门槛，提升非标准指标的查询效率。</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语音识别</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通过语音方式输入指标查询需求；具备高效语音识别功能，用户可直接通过语音输入指标查询、数据分析等需求，系统精准识别语音内容，解析核心需求，快速调取对应数据并反馈结果，无需手动输入，提升操作便捷性，适配移动办公、双手忙碌等场景。</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权限管理</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针对科室、人员设定不同指标的查询权限；采用精细化权限管理模式，可根据科室职能、人员岗位，为不同科室、不同人员分配差异化的指标查询权限，明确各用户可查看、可操作的指标范围，禁止越权访问，确保核心运营数据的安全性，同时规范数据管理，避免数据泄露。</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移动端数据问询</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手机端文字或语音快速查询相关数据；适配移动端使用场景，用户可通过手机端（如专用APP、微信小程序等），以文字或语音方式快速输入查询需求，系统实时响应，返回对应的指标数据、分析结果，实现随时随地查询运营数据，满足管理者外出、巡查等场景下的即时数据需求。</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移动端洞察报告</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手机端对多个指标的数据进行分析并形成数据洞察报告和分析；在手机端支持用户选择多个相关指标，系统自动对所选指标进行多维度分析，整合数据变化、异常情况、关联关系等信息，生成简洁明了的数据洞察报告，呈现核心分析结论，便于用户在移动端快速掌握关键数据信息，辅助即时决策。</w:t>
      </w:r>
      <w:r/>
    </w:p>
    <w:p>
      <w:pPr>
        <w:numPr>
          <w:ilvl w:val="3"/>
          <w:numId w:val="1"/>
        </w:numPr>
        <w:ind w:left="1074" w:right="280" w:hanging="864"/>
        <w:jc w:val="both"/>
        <w:keepLines/>
        <w:keepNext/>
        <w:pageBreakBefore w:val="0"/>
        <w:spacing w:before="40" w:after="50" w:line="360" w:lineRule="auto"/>
        <w:widowControl w:val="off"/>
        <w:rPr>
          <w:rFonts w:hint="eastAsia" w:ascii="宋体" w:hAnsi="宋体" w:eastAsia="宋体" w:cs="宋体"/>
          <w:b/>
          <w:bCs/>
          <w:iCs/>
          <w:color w:val="auto"/>
          <w:sz w:val="24"/>
          <w:szCs w:val="24"/>
          <w:highlight w:val="none"/>
          <w:lang w:val="en-US" w:eastAsia="zh-CN" w:bidi="ar-SA"/>
          <w14:ligatures w14:val="none"/>
        </w:rPr>
        <w:outlineLvl w:val="3"/>
      </w:pPr>
      <w:r>
        <w:rPr>
          <w:rFonts w:hint="eastAsia" w:ascii="宋体" w:hAnsi="宋体" w:eastAsia="宋体" w:cs="宋体"/>
          <w:b/>
          <w:bCs/>
          <w:iCs/>
          <w:color w:val="auto"/>
          <w:sz w:val="24"/>
          <w:szCs w:val="24"/>
          <w:highlight w:val="none"/>
          <w:lang w:val="en-US" w:eastAsia="zh-CN" w:bidi="ar-SA"/>
          <w14:ligatures w14:val="none"/>
        </w:rPr>
        <w:t xml:space="preserve">移动端智能预警</w:t>
      </w:r>
      <w:r/>
    </w:p>
    <w:p>
      <w:pPr>
        <w:ind w:firstLine="480"/>
        <w:jc w:val="both"/>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支持通过手机端预警助手动态分析异常指标并进行指标预警，并支持推荐指标异常的干预措施。手机端预警助手实时同步系统异常指标信息，动态分析异常指标的变化趋势，及时向用户推送预警提醒，明确预警指标、异常程度；同时基于知识库，为异常指标推荐针对性干预措施，用户可在移动端直接查看预警详情、干预建议，快速响应、处置异常，确保运营风险可控。</w:t>
      </w:r>
      <w:r/>
    </w:p>
    <w:p>
      <w:pPr>
        <w:ind w:left="280" w:right="280"/>
        <w:keepLines/>
        <w:keepNext/>
        <w:pageBreakBefore w:val="0"/>
        <w:spacing w:before="260" w:after="260" w:line="360" w:lineRule="auto"/>
        <w:rPr>
          <w:rFonts w:hint="eastAsia" w:ascii="宋体" w:hAnsi="宋体" w:eastAsia="宋体" w:cs="宋体"/>
          <w:b/>
          <w:bCs/>
          <w:color w:val="auto"/>
          <w:sz w:val="24"/>
          <w:szCs w:val="24"/>
          <w:highlight w:val="none"/>
          <w:lang w:val="en-US" w:eastAsia="zh-CN" w:bidi="ar-SA"/>
          <w14:ligatures w14:val="none"/>
        </w:rPr>
        <w:outlineLvl w:val="2"/>
      </w:pPr>
      <w:r/>
      <w:bookmarkStart w:id="17" w:name="_Toc225246965"/>
      <w:r>
        <w:rPr>
          <w:rFonts w:hint="eastAsia" w:ascii="宋体" w:hAnsi="宋体" w:eastAsia="宋体" w:cs="宋体"/>
          <w:b/>
          <w:bCs/>
          <w:color w:val="auto"/>
          <w:sz w:val="24"/>
          <w:szCs w:val="24"/>
          <w:highlight w:val="none"/>
          <w:lang w:val="en-US" w:eastAsia="zh-CN" w:bidi="ar-SA"/>
          <w14:ligatures w14:val="none"/>
        </w:rPr>
        <w:t xml:space="preserve">2.2.7 患者360视图</w:t>
      </w:r>
      <w:bookmarkEnd w:id="17"/>
      <w:r/>
      <w:r/>
    </w:p>
    <w:p>
      <w:pPr>
        <w:ind w:firstLine="560"/>
        <w:jc w:val="both"/>
        <w:keepLines w:val="0"/>
        <w:keepNext w:val="0"/>
        <w:pageBreakBefore w:val="0"/>
        <w:spacing w:line="360" w:lineRule="auto"/>
        <w:rPr>
          <w:rFonts w:hint="eastAsia" w:ascii="宋体" w:hAnsi="宋体" w:eastAsia="宋体" w:cs="宋体"/>
          <w:color w:val="auto"/>
          <w:sz w:val="24"/>
          <w:szCs w:val="24"/>
          <w:highlight w:val="none"/>
          <w:lang w:val="en-US" w:eastAsia="zh-CN"/>
          <w14:ligatures w14:val="none"/>
        </w:rPr>
        <w:outlineLvl w:val="9"/>
      </w:pPr>
      <w:r>
        <w:rPr>
          <w:rFonts w:hint="eastAsia" w:ascii="宋体" w:hAnsi="宋体" w:eastAsia="宋体" w:cs="宋体"/>
          <w:color w:val="auto"/>
          <w:sz w:val="24"/>
          <w:szCs w:val="24"/>
          <w:highlight w:val="none"/>
          <w:lang w:val="en-US" w:eastAsia="zh-CN"/>
          <w14:ligatures w14:val="none"/>
        </w:rPr>
        <w:t xml:space="preserve">1)支持查阅个人基本信息、入院记录、出院记录、病程记录、生命体征、病理、检验、检查、医嘱等详细病历信息。</w:t>
      </w:r>
      <w:r/>
    </w:p>
    <w:p>
      <w:pPr>
        <w:ind w:firstLine="560"/>
        <w:jc w:val="both"/>
        <w:keepLines w:val="0"/>
        <w:keepNext w:val="0"/>
        <w:pageBreakBefore w:val="0"/>
        <w:spacing w:line="360" w:lineRule="auto"/>
        <w:rPr>
          <w:rFonts w:hint="eastAsia" w:ascii="宋体" w:hAnsi="宋体" w:eastAsia="宋体" w:cs="宋体"/>
          <w:color w:val="auto"/>
          <w:sz w:val="24"/>
          <w:szCs w:val="24"/>
          <w:highlight w:val="none"/>
          <w:lang w:val="en-US" w:eastAsia="zh-CN"/>
          <w14:ligatures w14:val="none"/>
        </w:rPr>
        <w:outlineLvl w:val="9"/>
      </w:pPr>
      <w:r>
        <w:rPr>
          <w:rFonts w:hint="eastAsia" w:ascii="宋体" w:hAnsi="宋体" w:eastAsia="宋体" w:cs="宋体"/>
          <w:color w:val="auto"/>
          <w:sz w:val="24"/>
          <w:szCs w:val="24"/>
          <w:highlight w:val="none"/>
          <w:lang w:val="en-US" w:eastAsia="zh-CN"/>
          <w14:ligatures w14:val="none"/>
        </w:rPr>
        <w:t xml:space="preserve">2)▲支持通过时间轴的方式，图形化的方式展示重点诊疗信息，包括：就诊时间轴、诊疗时间轴、检查时间轴、检验时间轴。</w:t>
      </w:r>
      <w:r/>
    </w:p>
    <w:p>
      <w:pPr>
        <w:ind w:firstLine="560"/>
        <w:jc w:val="both"/>
        <w:keepLines w:val="0"/>
        <w:keepNext w:val="0"/>
        <w:pageBreakBefore w:val="0"/>
        <w:spacing w:line="360" w:lineRule="auto"/>
        <w:rPr>
          <w:rFonts w:hint="eastAsia" w:ascii="宋体" w:hAnsi="宋体" w:eastAsia="宋体" w:cs="宋体"/>
          <w:color w:val="auto"/>
          <w:sz w:val="24"/>
          <w:szCs w:val="24"/>
          <w:highlight w:val="none"/>
          <w:lang w:val="en-US" w:eastAsia="zh-CN"/>
          <w14:ligatures w14:val="none"/>
        </w:rPr>
        <w:outlineLvl w:val="9"/>
      </w:pPr>
      <w:r>
        <w:rPr>
          <w:rFonts w:hint="eastAsia" w:ascii="宋体" w:hAnsi="宋体" w:eastAsia="宋体" w:cs="宋体"/>
          <w:color w:val="auto"/>
          <w:sz w:val="24"/>
          <w:szCs w:val="24"/>
          <w:highlight w:val="none"/>
          <w:lang w:val="en-US" w:eastAsia="zh-CN"/>
          <w14:ligatures w14:val="none"/>
        </w:rPr>
        <w:t xml:space="preserve">3)▲支持将检验结果按照时间轴的方式进行排列展示，并自动生成趋势曲线图；支持默认若干检验子项的变化趋势绘制；如，白细胞计数(WBC#)-静脉血、血红蛋白(Hb)-静脉血、血小板计数(PLT#)-静脉血等；支持正常参考值显示，超过高值、低于低值的异常值进行高亮展示。</w:t>
      </w:r>
      <w:r/>
    </w:p>
    <w:p>
      <w:pPr>
        <w:ind w:firstLine="560"/>
        <w:jc w:val="both"/>
        <w:keepLines w:val="0"/>
        <w:keepNext w:val="0"/>
        <w:pageBreakBefore w:val="0"/>
        <w:spacing w:line="360" w:lineRule="auto"/>
        <w:rPr>
          <w:rFonts w:hint="eastAsia" w:ascii="宋体" w:hAnsi="宋体" w:eastAsia="宋体" w:cs="宋体"/>
          <w:color w:val="auto"/>
          <w:sz w:val="24"/>
          <w:szCs w:val="24"/>
          <w:highlight w:val="none"/>
          <w:lang w:val="en-US" w:eastAsia="zh-CN"/>
          <w14:ligatures w14:val="none"/>
        </w:rPr>
        <w:outlineLvl w:val="9"/>
      </w:pPr>
      <w:r>
        <w:rPr>
          <w:rFonts w:hint="eastAsia" w:ascii="宋体" w:hAnsi="宋体" w:eastAsia="宋体" w:cs="宋体"/>
          <w:color w:val="auto"/>
          <w:sz w:val="24"/>
          <w:szCs w:val="24"/>
          <w:highlight w:val="none"/>
          <w:lang w:val="en-US" w:eastAsia="zh-CN"/>
          <w14:ligatures w14:val="none"/>
        </w:rPr>
        <w:t xml:space="preserve">4)支持按照不同的病历类型，如：门急诊病历、住院病历，进行病历在线浏览。</w:t>
      </w:r>
      <w:r/>
    </w:p>
    <w:p>
      <w:pPr>
        <w:ind w:firstLine="560"/>
        <w:jc w:val="both"/>
        <w:keepLines w:val="0"/>
        <w:keepNext w:val="0"/>
        <w:pageBreakBefore w:val="0"/>
        <w:spacing w:line="360" w:lineRule="auto"/>
        <w:rPr>
          <w:rFonts w:hint="eastAsia" w:ascii="宋体" w:hAnsi="宋体" w:eastAsia="宋体" w:cs="宋体"/>
          <w:color w:val="auto"/>
          <w:sz w:val="24"/>
          <w:szCs w:val="24"/>
          <w:highlight w:val="none"/>
          <w:lang w:val="en-US" w:eastAsia="zh-CN"/>
          <w14:ligatures w14:val="none"/>
        </w:rPr>
        <w:outlineLvl w:val="9"/>
      </w:pPr>
      <w:r>
        <w:rPr>
          <w:rFonts w:hint="eastAsia" w:ascii="宋体" w:hAnsi="宋体" w:eastAsia="宋体" w:cs="宋体"/>
          <w:color w:val="auto"/>
          <w:sz w:val="24"/>
          <w:szCs w:val="24"/>
          <w:highlight w:val="none"/>
          <w:lang w:val="en-US" w:eastAsia="zh-CN"/>
          <w14:ligatures w14:val="none"/>
        </w:rPr>
        <w:t xml:space="preserve">5)支持以分类的形式展示患者各类就诊数据，如检验、检查、医嘱、手术等。</w:t>
      </w:r>
      <w:bookmarkEnd w:id="5"/>
      <w:r/>
      <w:r/>
    </w:p>
    <w:p>
      <w:pPr>
        <w:ind w:firstLine="0"/>
        <w:jc w:val="both"/>
        <w:keepLines w:val="0"/>
        <w:keepNext w:val="0"/>
        <w:pageBreakBefore w:val="0"/>
        <w:spacing w:line="360" w:lineRule="auto"/>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lang w:eastAsia="zh-CN"/>
          <w14:ligatures w14:val="none"/>
        </w:rPr>
        <w:t xml:space="preserve">四</w:t>
      </w:r>
      <w:r>
        <w:rPr>
          <w:rFonts w:hint="eastAsia" w:ascii="宋体" w:hAnsi="宋体" w:eastAsia="宋体" w:cs="宋体"/>
          <w:b/>
          <w:bCs/>
          <w:color w:val="auto"/>
          <w:sz w:val="24"/>
          <w:szCs w:val="24"/>
          <w:highlight w:val="none"/>
          <w14:ligatures w14:val="none"/>
        </w:rPr>
        <w:t xml:space="preserve">、项目实施要求</w:t>
      </w:r>
      <w:r/>
    </w:p>
    <w:p>
      <w:pPr>
        <w:ind w:firstLine="560"/>
        <w:jc w:val="both"/>
        <w:keepLines w:val="0"/>
        <w:keepNext w:val="0"/>
        <w:pageBreakBefore w:val="0"/>
        <w:spacing w:line="360" w:lineRule="auto"/>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color w:val="auto"/>
          <w:sz w:val="24"/>
          <w:szCs w:val="24"/>
          <w:highlight w:val="none"/>
          <w:lang w:val="en-US" w:eastAsia="zh-CN"/>
          <w14:ligatures w14:val="none"/>
        </w:rPr>
        <w:t xml:space="preserve">1、</w:t>
      </w:r>
      <w:r>
        <w:rPr>
          <w:rFonts w:hint="eastAsia" w:ascii="宋体" w:hAnsi="宋体" w:eastAsia="宋体" w:cs="宋体"/>
          <w:color w:val="auto"/>
          <w:sz w:val="24"/>
          <w:szCs w:val="24"/>
          <w:highlight w:val="none"/>
          <w14:ligatures w14:val="none"/>
        </w:rPr>
        <w:t xml:space="preserve">为保证本项目的顺利实施，投标人应充分了解采购人业务现状，结合各自产品特点，自行设计技术方案、实施方案（投标时提供详细方案），设计无缺漏、按需集成，功能结构描述清楚、方案具体。</w:t>
      </w:r>
      <w:r>
        <w:rPr>
          <w:rFonts w:hint="eastAsia" w:ascii="宋体" w:hAnsi="宋体" w:eastAsia="宋体" w:cs="宋体"/>
          <w:b/>
          <w:bCs/>
          <w:color w:val="auto"/>
          <w:sz w:val="24"/>
          <w:szCs w:val="24"/>
          <w:highlight w:val="none"/>
          <w14:ligatures w14:val="none"/>
        </w:rPr>
        <w:t xml:space="preserve">合同签订后</w:t>
      </w:r>
      <w:r>
        <w:rPr>
          <w:rFonts w:hint="eastAsia" w:ascii="宋体" w:hAnsi="宋体" w:eastAsia="宋体" w:cs="宋体"/>
          <w:b/>
          <w:bCs/>
          <w:color w:val="auto"/>
          <w:sz w:val="24"/>
          <w:szCs w:val="24"/>
          <w:highlight w:val="none"/>
          <w:lang w:val="en-US" w:eastAsia="zh-CN"/>
          <w14:ligatures w14:val="none"/>
        </w:rPr>
        <w:t xml:space="preserve">15</w:t>
      </w:r>
      <w:r>
        <w:rPr>
          <w:rFonts w:hint="eastAsia" w:ascii="宋体" w:hAnsi="宋体" w:eastAsia="宋体" w:cs="宋体"/>
          <w:b/>
          <w:bCs/>
          <w:color w:val="auto"/>
          <w:sz w:val="24"/>
          <w:szCs w:val="24"/>
          <w:highlight w:val="none"/>
          <w14:ligatures w14:val="none"/>
        </w:rPr>
        <w:t xml:space="preserve">个月内，完成本项目内容整体交付工作</w:t>
      </w:r>
      <w:r>
        <w:rPr>
          <w:rFonts w:hint="eastAsia" w:ascii="宋体" w:hAnsi="宋体" w:eastAsia="宋体" w:cs="宋体"/>
          <w:b/>
          <w:bCs/>
          <w:color w:val="auto"/>
          <w:sz w:val="24"/>
          <w:szCs w:val="24"/>
          <w:highlight w:val="none"/>
          <w:lang w:val="en-US" w:eastAsia="zh-CN"/>
          <w14:ligatures w14:val="none"/>
        </w:rPr>
        <w:t xml:space="preserve">。</w:t>
      </w:r>
      <w:r/>
    </w:p>
    <w:p>
      <w:pPr>
        <w:ind w:firstLine="56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lang w:val="en-US" w:eastAsia="zh-CN"/>
          <w14:ligatures w14:val="none"/>
        </w:rPr>
        <w:t xml:space="preserve">2、</w:t>
      </w:r>
      <w:r>
        <w:rPr>
          <w:rFonts w:hint="eastAsia" w:ascii="宋体" w:hAnsi="宋体" w:eastAsia="宋体" w:cs="宋体"/>
          <w:color w:val="auto"/>
          <w:sz w:val="24"/>
          <w:szCs w:val="24"/>
          <w:highlight w:val="none"/>
          <w14:ligatures w14:val="none"/>
        </w:rPr>
        <w:t xml:space="preserve">项目建设中所涉及的辅助设备、软件、材料等未在招标文件中提及的但建设必须使用的，由中标方免费提供。</w:t>
      </w:r>
      <w:r/>
    </w:p>
    <w:p>
      <w:pPr>
        <w:ind w:firstLine="56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14:ligatures w14:val="none"/>
        </w:rPr>
        <w:t xml:space="preserve">本项目所有软硬件安装实施期间，应保证原有业务平台稳定运行，需和原有系统软硬件对接的实施内容，须提供详细的实施方案并经采购人确定同意后，按采购人规定的时间时限完成，实施过程中出现任何意外而给采购人带来的损失，应由中标人赔偿采购人的所有损失。</w:t>
      </w:r>
      <w:r/>
    </w:p>
    <w:p>
      <w:pPr>
        <w:ind w:firstLine="56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lang w:val="en-US" w:eastAsia="zh-CN"/>
          <w14:ligatures w14:val="none"/>
        </w:rPr>
        <w:t xml:space="preserve">4、</w:t>
      </w:r>
      <w:r>
        <w:rPr>
          <w:rFonts w:hint="eastAsia" w:ascii="宋体" w:hAnsi="宋体" w:eastAsia="宋体" w:cs="宋体"/>
          <w:color w:val="auto"/>
          <w:sz w:val="24"/>
          <w:szCs w:val="24"/>
          <w:highlight w:val="none"/>
          <w14:ligatures w14:val="none"/>
        </w:rPr>
        <w:t xml:space="preserve">中标人须根据采购人相关业务及设备运行要求，对相关软硬件系统给出优化调整方案并完成涉及所购产品的联调工作。</w:t>
      </w:r>
      <w:r/>
    </w:p>
    <w:p>
      <w:pPr>
        <w:ind w:firstLine="56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lang w:val="en-US" w:eastAsia="zh-CN"/>
          <w14:ligatures w14:val="none"/>
        </w:rPr>
        <w:t xml:space="preserve">5、</w:t>
      </w:r>
      <w:r>
        <w:rPr>
          <w:rFonts w:hint="eastAsia" w:ascii="宋体" w:hAnsi="宋体" w:eastAsia="宋体" w:cs="宋体"/>
          <w:color w:val="auto"/>
          <w:sz w:val="24"/>
          <w:szCs w:val="24"/>
          <w:highlight w:val="none"/>
          <w14:ligatures w14:val="none"/>
        </w:rPr>
        <w:t xml:space="preserve">采购人发生系统调整改造、系统上线或升级时如涉及本次采购的设备及软件，中标人必须根据采购人要求提供现场保障服务，同时依据采购人要求安排现场服务工程师。服务费用中标人自行承担。</w:t>
      </w:r>
      <w:r/>
    </w:p>
    <w:p>
      <w:pPr>
        <w:ind w:firstLine="56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lang w:val="en-US" w:eastAsia="zh-CN"/>
          <w14:ligatures w14:val="none"/>
        </w:rPr>
        <w:t xml:space="preserve">6、</w:t>
      </w:r>
      <w:r>
        <w:rPr>
          <w:rFonts w:hint="eastAsia" w:ascii="宋体" w:hAnsi="宋体" w:eastAsia="宋体" w:cs="宋体"/>
          <w:color w:val="auto"/>
          <w:sz w:val="24"/>
          <w:szCs w:val="24"/>
          <w:highlight w:val="none"/>
          <w14:ligatures w14:val="none"/>
        </w:rPr>
        <w:t xml:space="preserve">投标文件要求</w:t>
      </w:r>
      <w:r/>
    </w:p>
    <w:p>
      <w:pPr>
        <w:ind w:firstLine="56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1</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投标文件中提供《项目实施方案》文件。</w:t>
      </w:r>
      <w:r/>
    </w:p>
    <w:p>
      <w:pPr>
        <w:ind w:firstLine="56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2</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《项目实施方案》需包括以下内容：</w:t>
      </w:r>
      <w:r/>
    </w:p>
    <w:p>
      <w:pPr>
        <w:ind w:firstLine="56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1）投标人须充分考虑满足项目的要求，提出完整的项目管理、培训、项目施工、项目验收</w:t>
      </w:r>
      <w:r>
        <w:rPr>
          <w:rFonts w:hint="eastAsia" w:ascii="宋体" w:hAnsi="宋体" w:eastAsia="宋体" w:cs="宋体"/>
          <w:color w:val="auto"/>
          <w:sz w:val="24"/>
          <w:szCs w:val="24"/>
          <w:highlight w:val="none"/>
          <w:lang w:val="en-US" w:eastAsia="zh-CN"/>
          <w14:ligatures w14:val="none"/>
        </w:rPr>
        <w:t xml:space="preserve">等</w:t>
      </w:r>
      <w:r>
        <w:rPr>
          <w:rFonts w:hint="eastAsia" w:ascii="宋体" w:hAnsi="宋体" w:eastAsia="宋体" w:cs="宋体"/>
          <w:color w:val="auto"/>
          <w:sz w:val="24"/>
          <w:szCs w:val="24"/>
          <w:highlight w:val="none"/>
          <w14:ligatures w14:val="none"/>
        </w:rPr>
        <w:t xml:space="preserve">。</w:t>
      </w:r>
      <w:r/>
    </w:p>
    <w:p>
      <w:pPr>
        <w:ind w:firstLine="56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2）投标人需根据对项目的理解作出人员配置管理计划，包括组织结构、项目负责人、组成人员及分工职责。</w:t>
      </w:r>
      <w:r/>
    </w:p>
    <w:p>
      <w:pPr>
        <w:ind w:firstLine="0"/>
        <w:jc w:val="both"/>
        <w:keepLines w:val="0"/>
        <w:keepNext w:val="0"/>
        <w:pageBreakBefore w:val="0"/>
        <w:spacing w:line="360" w:lineRule="auto"/>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lang w:eastAsia="zh-CN"/>
          <w14:ligatures w14:val="none"/>
        </w:rPr>
        <w:t xml:space="preserve">五</w:t>
      </w:r>
      <w:r>
        <w:rPr>
          <w:rFonts w:hint="eastAsia" w:ascii="宋体" w:hAnsi="宋体" w:eastAsia="宋体" w:cs="宋体"/>
          <w:b/>
          <w:bCs/>
          <w:color w:val="auto"/>
          <w:sz w:val="24"/>
          <w:szCs w:val="24"/>
          <w:highlight w:val="none"/>
          <w14:ligatures w14:val="none"/>
        </w:rPr>
        <w:t xml:space="preserve">、售后服务及培训要求</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（一）售后服务要求</w:t>
      </w:r>
      <w:r/>
    </w:p>
    <w:p>
      <w:pPr>
        <w:ind w:firstLine="480"/>
        <w:jc w:val="both"/>
        <w:keepLines w:val="0"/>
        <w:keepNext w:val="0"/>
        <w:pageBreakBefore w:val="0"/>
        <w:spacing w:line="360" w:lineRule="auto"/>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1.免费维保期要求：免费提供一年软件升级运维服务（项目验收后计算）</w:t>
      </w:r>
      <w:r>
        <w:rPr>
          <w:rFonts w:hint="eastAsia" w:ascii="宋体" w:hAnsi="宋体" w:eastAsia="宋体" w:cs="宋体"/>
          <w:b/>
          <w:bCs/>
          <w:color w:val="auto"/>
          <w:sz w:val="24"/>
          <w:szCs w:val="24"/>
          <w:highlight w:val="none"/>
          <w:lang w:eastAsia="zh-CN"/>
          <w14:ligatures w14:val="none"/>
        </w:rPr>
        <w:t xml:space="preserve">，</w:t>
      </w:r>
      <w:r>
        <w:rPr>
          <w:rFonts w:hint="eastAsia" w:ascii="宋体" w:hAnsi="宋体" w:eastAsia="宋体" w:cs="宋体"/>
          <w:b/>
          <w:bCs/>
          <w:color w:val="auto"/>
          <w:sz w:val="24"/>
          <w:szCs w:val="24"/>
          <w:highlight w:val="none"/>
          <w14:ligatures w14:val="none"/>
        </w:rPr>
        <w:t xml:space="preserve">免费服务期满后，后续售后</w:t>
      </w:r>
      <w:r>
        <w:rPr>
          <w:rFonts w:hint="eastAsia" w:ascii="宋体" w:hAnsi="宋体" w:eastAsia="宋体" w:cs="宋体"/>
          <w:b/>
          <w:bCs/>
          <w:color w:val="auto"/>
          <w:sz w:val="24"/>
          <w:szCs w:val="24"/>
          <w:highlight w:val="none"/>
          <w:lang w:val="en-US" w:eastAsia="zh-CN"/>
          <w14:ligatures w14:val="none"/>
        </w:rPr>
        <w:t xml:space="preserve">和服务的</w:t>
      </w:r>
      <w:r>
        <w:rPr>
          <w:rFonts w:hint="eastAsia" w:ascii="宋体" w:hAnsi="宋体" w:eastAsia="宋体" w:cs="宋体"/>
          <w:b/>
          <w:bCs/>
          <w:color w:val="auto"/>
          <w:sz w:val="24"/>
          <w:szCs w:val="24"/>
          <w:highlight w:val="none"/>
          <w14:ligatures w14:val="none"/>
        </w:rPr>
        <w:t xml:space="preserve">价格由采购人与中标人另行协商确定，但每年最高不超过本项目合同金额的8%。</w:t>
      </w:r>
      <w:r/>
    </w:p>
    <w:p>
      <w:pPr>
        <w:ind w:left="0" w:firstLine="482"/>
        <w:keepLines w:val="0"/>
        <w:keepNext w:val="0"/>
        <w:pageBreakBefore w:val="0"/>
        <w:spacing w:line="360" w:lineRule="auto"/>
        <w:widowControl/>
        <w:rPr>
          <w:rFonts w:hint="eastAsia"/>
          <w:color w:val="auto"/>
          <w:highlight w:val="none"/>
        </w:rPr>
        <w:outlineLvl w:val="9"/>
      </w:pPr>
      <w:r>
        <w:rPr>
          <w:rFonts w:hint="eastAsia" w:ascii="宋体" w:hAnsi="宋体" w:eastAsia="宋体" w:cs="宋体"/>
          <w:b/>
          <w:bCs/>
          <w:color w:val="auto"/>
          <w:sz w:val="24"/>
          <w:szCs w:val="24"/>
          <w:highlight w:val="none"/>
          <w:lang w:val="en-US" w:eastAsia="zh-CN"/>
        </w:rPr>
        <w:t xml:space="preserve">说明：本“</w:t>
      </w:r>
      <w:r>
        <w:rPr>
          <w:rFonts w:hint="eastAsia" w:ascii="宋体" w:hAnsi="宋体" w:eastAsia="宋体" w:cs="宋体"/>
          <w:b/>
          <w:bCs/>
          <w:color w:val="auto"/>
          <w:sz w:val="24"/>
          <w:szCs w:val="24"/>
          <w:highlight w:val="none"/>
          <w14:ligatures w14:val="none"/>
        </w:rPr>
        <w:t xml:space="preserve">1.免费维保期要求</w:t>
      </w:r>
      <w:r>
        <w:rPr>
          <w:rFonts w:hint="eastAsia" w:ascii="宋体" w:hAnsi="宋体" w:eastAsia="宋体" w:cs="宋体"/>
          <w:b/>
          <w:bCs/>
          <w:color w:val="auto"/>
          <w:sz w:val="24"/>
          <w:szCs w:val="24"/>
          <w:highlight w:val="none"/>
          <w:lang w:val="en-US" w:eastAsia="zh-CN"/>
        </w:rPr>
        <w:t xml:space="preserve">”为不允许偏离的实质性要求和条件，如有偏离，在符合性审查时按照响应无效处理。</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2.售后服务具体要求</w:t>
      </w:r>
      <w:r/>
    </w:p>
    <w:p>
      <w:pPr>
        <w:ind w:firstLine="485"/>
        <w:jc w:val="both"/>
        <w:keepLines w:val="0"/>
        <w:keepNext w:val="0"/>
        <w:pageBreakBefore w:val="0"/>
        <w:spacing w:line="360" w:lineRule="auto"/>
        <w:tabs>
          <w:tab w:val="left" w:pos="0" w:leader="none"/>
        </w:tabs>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（1）中标人应有良好的服务理念和完善的售后服务体系，能够提供本地技术服务。</w:t>
      </w:r>
      <w:r/>
    </w:p>
    <w:p>
      <w:pPr>
        <w:ind w:firstLine="485"/>
        <w:jc w:val="both"/>
        <w:keepLines w:val="0"/>
        <w:keepNext w:val="0"/>
        <w:pageBreakBefore w:val="0"/>
        <w:spacing w:line="360" w:lineRule="auto"/>
        <w:tabs>
          <w:tab w:val="left" w:pos="0" w:leader="none"/>
        </w:tabs>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（2）中标人应当为采购人提供7×24小时热线电话、远程网络服务方式，解答采购人在使用中遇到的问题，及时为采购人提出解决问题的建议。</w:t>
      </w:r>
      <w:r/>
    </w:p>
    <w:p>
      <w:pPr>
        <w:ind w:firstLine="485"/>
        <w:jc w:val="both"/>
        <w:keepLines w:val="0"/>
        <w:keepNext w:val="0"/>
        <w:pageBreakBefore w:val="0"/>
        <w:spacing w:line="360" w:lineRule="auto"/>
        <w:tabs>
          <w:tab w:val="left" w:pos="0" w:leader="none"/>
        </w:tabs>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（3）采购人遇到使用及技术问题，1小时内给予明确的响应并解决；现场服务适用于排解重大故障，应在接到医院服务请求后2小时内到达现场解决。</w:t>
      </w:r>
      <w:r/>
    </w:p>
    <w:p>
      <w:pPr>
        <w:ind w:firstLine="485"/>
        <w:jc w:val="both"/>
        <w:keepLines w:val="0"/>
        <w:keepNext w:val="0"/>
        <w:pageBreakBefore w:val="0"/>
        <w:spacing w:line="360" w:lineRule="auto"/>
        <w:tabs>
          <w:tab w:val="left" w:pos="0" w:leader="none"/>
        </w:tabs>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（4）在免费维保期内，如遇产品技术升级，中标人应及时通知采购人，如采购人有相应要求，中标人应对采购人购买的产品进行升级服务。</w:t>
      </w:r>
      <w:r/>
    </w:p>
    <w:p>
      <w:pPr>
        <w:ind w:firstLine="485"/>
        <w:jc w:val="both"/>
        <w:keepLines w:val="0"/>
        <w:keepNext w:val="0"/>
        <w:pageBreakBefore w:val="0"/>
        <w:spacing w:line="360" w:lineRule="auto"/>
        <w:tabs>
          <w:tab w:val="left" w:pos="0" w:leader="none"/>
        </w:tabs>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（5）免费维保期过后，中标人提供系统软件终身维护服务。</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（二）培训要求</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1.培训基本要求</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（1）中标人应拟定详细的培训方案，包括但不限于培训计划、培训方式、培训内容、详细的课程安排及时间表。中标人需对医院项目相关的科室、人员、第三方项目参与方进行分期、分批的各种技术培训。</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2.培训内容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提供系统操作培训：主要面向医院相关管理部门等使用系统的人员，提供操作培训；</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提供系统日常维护系统培训：主要面向医院信息管理技术人员进行培训，使其具备独立进行系统日常维护、故障的诊断与处理等方面的培训。</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3.培训方式：现场培训，场地由采购人提供。     </w:t>
      </w:r>
      <w:r/>
    </w:p>
    <w:p>
      <w:pPr>
        <w:ind w:firstLine="485"/>
        <w:jc w:val="both"/>
        <w:keepLines w:val="0"/>
        <w:keepNext w:val="0"/>
        <w:pageBreakBefore w:val="0"/>
        <w:spacing w:line="360" w:lineRule="auto"/>
        <w:tabs>
          <w:tab w:val="left" w:pos="0" w:leader="none"/>
        </w:tabs>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（三）投标文件要求</w:t>
      </w:r>
      <w:r/>
    </w:p>
    <w:p>
      <w:pPr>
        <w:ind w:firstLine="485"/>
        <w:jc w:val="both"/>
        <w:keepLines w:val="0"/>
        <w:keepNext w:val="0"/>
        <w:pageBreakBefore w:val="0"/>
        <w:spacing w:line="360" w:lineRule="auto"/>
        <w:tabs>
          <w:tab w:val="left" w:pos="0" w:leader="none"/>
        </w:tabs>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1.投标文件中提供《售后服务及培训方案》文件。</w:t>
      </w:r>
      <w:r/>
    </w:p>
    <w:p>
      <w:pPr>
        <w:ind w:firstLine="485"/>
        <w:jc w:val="both"/>
        <w:keepLines w:val="0"/>
        <w:keepNext w:val="0"/>
        <w:pageBreakBefore w:val="0"/>
        <w:spacing w:line="360" w:lineRule="auto"/>
        <w:tabs>
          <w:tab w:val="left" w:pos="0" w:leader="none"/>
        </w:tabs>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2. 《售后服务及培训方案》需包括以下内容：</w:t>
      </w:r>
      <w:r/>
    </w:p>
    <w:p>
      <w:pPr>
        <w:ind w:firstLine="485"/>
        <w:jc w:val="both"/>
        <w:keepLines w:val="0"/>
        <w:keepNext w:val="0"/>
        <w:pageBreakBefore w:val="0"/>
        <w:spacing w:line="360" w:lineRule="auto"/>
        <w:tabs>
          <w:tab w:val="left" w:pos="0" w:leader="none"/>
        </w:tabs>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（1）免费维保期；</w:t>
      </w:r>
      <w:r/>
    </w:p>
    <w:p>
      <w:pPr>
        <w:ind w:firstLine="485"/>
        <w:jc w:val="both"/>
        <w:keepLines w:val="0"/>
        <w:keepNext w:val="0"/>
        <w:pageBreakBefore w:val="0"/>
        <w:spacing w:line="360" w:lineRule="auto"/>
        <w:tabs>
          <w:tab w:val="left" w:pos="0" w:leader="none"/>
        </w:tabs>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（2）售后服务方案；</w:t>
      </w:r>
      <w:r/>
    </w:p>
    <w:p>
      <w:pPr>
        <w:ind w:firstLine="485"/>
        <w:jc w:val="both"/>
        <w:keepLines w:val="0"/>
        <w:keepNext w:val="0"/>
        <w:pageBreakBefore w:val="0"/>
        <w:spacing w:line="360" w:lineRule="auto"/>
        <w:tabs>
          <w:tab w:val="left" w:pos="0" w:leader="none"/>
        </w:tabs>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（3）培训方案。</w:t>
      </w:r>
      <w:r/>
    </w:p>
    <w:p>
      <w:pPr>
        <w:ind w:firstLine="0"/>
        <w:jc w:val="both"/>
        <w:keepLines w:val="0"/>
        <w:keepNext w:val="0"/>
        <w:pageBreakBefore w:val="0"/>
        <w:spacing w:line="360" w:lineRule="auto"/>
        <w:rPr>
          <w:rFonts w:hint="eastAsia" w:ascii="宋体" w:hAnsi="宋体" w:eastAsia="宋体" w:cs="宋体"/>
          <w:b/>
          <w:bCs/>
          <w:color w:val="auto"/>
          <w:sz w:val="24"/>
          <w:szCs w:val="24"/>
          <w:highlight w:val="none"/>
          <w:lang w:val="en-US" w:eastAsia="zh-CN"/>
          <w14:ligatures w14:val="none"/>
        </w:rPr>
        <w:outlineLvl w:val="9"/>
      </w:pPr>
      <w:r>
        <w:rPr>
          <w:rFonts w:hint="eastAsia" w:ascii="宋体" w:hAnsi="宋体" w:eastAsia="宋体" w:cs="宋体"/>
          <w:b/>
          <w:bCs/>
          <w:color w:val="auto"/>
          <w:sz w:val="24"/>
          <w:szCs w:val="24"/>
          <w:highlight w:val="none"/>
          <w:lang w:val="en-US" w:eastAsia="zh-CN"/>
          <w14:ligatures w14:val="none"/>
        </w:rPr>
        <w:t xml:space="preserve">六、文档交付要求</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应用系统开发应严格按照国家软件工程规范进行，在整个项目实施过程中，须根据开发进度，按照医院要求及时提供用户相关技术文档，包括：</w:t>
      </w:r>
      <w:r/>
    </w:p>
    <w:p>
      <w:pPr>
        <w:numPr>
          <w:ilvl w:val="0"/>
          <w:numId w:val="0"/>
        </w:numPr>
        <w:ind w:left="420" w:firstLine="0"/>
        <w:jc w:val="both"/>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rPr>
          <w:rFonts w:hint="eastAsia" w:ascii="宋体" w:hAnsi="宋体" w:eastAsia="宋体" w:cs="宋体"/>
          <w:color w:val="auto"/>
          <w:sz w:val="24"/>
          <w:szCs w:val="24"/>
          <w:highlight w:val="none"/>
          <w14:ligatures w14:val="none"/>
        </w:rPr>
        <w:t xml:space="preserve">准备阶段：《实施方案》；</w:t>
      </w:r>
      <w:r/>
    </w:p>
    <w:p>
      <w:pPr>
        <w:numPr>
          <w:ilvl w:val="0"/>
          <w:numId w:val="0"/>
        </w:numPr>
        <w:ind w:left="420" w:firstLine="0"/>
        <w:jc w:val="both"/>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lang w:val="en-US" w:eastAsia="zh-CN"/>
          <w14:ligatures w14:val="none"/>
        </w:rPr>
        <w:t xml:space="preserve">2</w:t>
      </w: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需求分析阶段：定制化开发部分《需求分析说明书》；</w:t>
      </w:r>
      <w:r/>
    </w:p>
    <w:p>
      <w:pPr>
        <w:numPr>
          <w:ilvl w:val="0"/>
          <w:numId w:val="0"/>
        </w:numPr>
        <w:ind w:left="420" w:firstLine="0"/>
        <w:jc w:val="both"/>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设计阶段：定制化开发部分《概要设计说明书》、第三方系统对接相关《接口说明书》；</w:t>
      </w:r>
      <w:r/>
    </w:p>
    <w:p>
      <w:pPr>
        <w:numPr>
          <w:ilvl w:val="0"/>
          <w:numId w:val="0"/>
        </w:numPr>
        <w:ind w:left="420" w:firstLine="0"/>
        <w:jc w:val="both"/>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lang w:val="en-US" w:eastAsia="zh-CN"/>
          <w14:ligatures w14:val="none"/>
        </w:rPr>
        <w:t xml:space="preserve">4</w:t>
      </w: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测试阶段：《测试用例》、《测试报告》；</w:t>
      </w:r>
      <w:r/>
    </w:p>
    <w:p>
      <w:pPr>
        <w:numPr>
          <w:ilvl w:val="0"/>
          <w:numId w:val="0"/>
        </w:numPr>
        <w:ind w:left="420" w:firstLine="0"/>
        <w:jc w:val="both"/>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lang w:val="en-US" w:eastAsia="zh-CN"/>
          <w14:ligatures w14:val="none"/>
        </w:rPr>
        <w:t xml:space="preserve">5</w:t>
      </w: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上线阶段：《上线方案》、《试运行/上线报告》；</w:t>
      </w:r>
      <w:r/>
    </w:p>
    <w:p>
      <w:pPr>
        <w:numPr>
          <w:ilvl w:val="0"/>
          <w:numId w:val="0"/>
        </w:numPr>
        <w:ind w:left="420" w:firstLine="0"/>
        <w:jc w:val="both"/>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lang w:val="en-US" w:eastAsia="zh-CN"/>
          <w14:ligatures w14:val="none"/>
        </w:rPr>
        <w:t xml:space="preserve">6</w:t>
      </w: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过程文档：《培训计划》、《培训记录》、《例会记录》；</w:t>
      </w:r>
      <w:r/>
    </w:p>
    <w:p>
      <w:pPr>
        <w:numPr>
          <w:ilvl w:val="0"/>
          <w:numId w:val="0"/>
        </w:numPr>
        <w:ind w:left="420" w:firstLine="0"/>
        <w:jc w:val="both"/>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lang w:val="en-US" w:eastAsia="zh-CN"/>
          <w14:ligatures w14:val="none"/>
        </w:rPr>
        <w:t xml:space="preserve">7</w:t>
      </w: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交付使用：《用户手册》。</w:t>
      </w:r>
      <w:r/>
    </w:p>
    <w:p>
      <w:pPr>
        <w:ind w:firstLine="0"/>
        <w:jc w:val="both"/>
        <w:keepLines w:val="0"/>
        <w:keepNext w:val="0"/>
        <w:pageBreakBefore w:val="0"/>
        <w:spacing w:line="360" w:lineRule="auto"/>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lang w:val="en-US" w:eastAsia="zh-CN"/>
          <w14:ligatures w14:val="none"/>
        </w:rPr>
        <w:t xml:space="preserve">七、</w:t>
      </w:r>
      <w:r>
        <w:rPr>
          <w:rFonts w:hint="eastAsia" w:ascii="宋体" w:hAnsi="宋体" w:eastAsia="宋体" w:cs="宋体"/>
          <w:b/>
          <w:bCs/>
          <w:color w:val="auto"/>
          <w:sz w:val="24"/>
          <w:szCs w:val="24"/>
          <w:highlight w:val="none"/>
          <w14:ligatures w14:val="none"/>
        </w:rPr>
        <w:t xml:space="preserve">安全及隐私要求</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信息安全是任何业务开展的基础，投标人对于本次项目涉及的相关信息的安全和隐私保护措施，给出详细可行的解决方案，包括但不限于应用审计安全、用户权限控制等。</w:t>
      </w:r>
      <w:r/>
    </w:p>
    <w:p>
      <w:pPr>
        <w:ind w:firstLine="0"/>
        <w:jc w:val="both"/>
        <w:keepLines w:val="0"/>
        <w:keepNext w:val="0"/>
        <w:pageBreakBefore w:val="0"/>
        <w:spacing w:line="360" w:lineRule="auto"/>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lang w:eastAsia="zh-CN"/>
          <w14:ligatures w14:val="none"/>
        </w:rPr>
        <w:t xml:space="preserve">八</w:t>
      </w:r>
      <w:r>
        <w:rPr>
          <w:rFonts w:hint="eastAsia" w:ascii="宋体" w:hAnsi="宋体" w:eastAsia="宋体" w:cs="宋体"/>
          <w:b/>
          <w:bCs/>
          <w:color w:val="auto"/>
          <w:sz w:val="24"/>
          <w:szCs w:val="24"/>
          <w:highlight w:val="none"/>
          <w14:ligatures w14:val="none"/>
        </w:rPr>
        <w:t xml:space="preserve">、验收标准（验收要求、验收标准和程序）</w:t>
      </w:r>
      <w:r/>
    </w:p>
    <w:p>
      <w:pPr>
        <w:ind w:firstLine="480"/>
        <w:jc w:val="left"/>
        <w:keepLines w:val="0"/>
        <w:keepNext w:val="0"/>
        <w:pageBreakBefore w:val="0"/>
        <w:spacing w:after="100" w:line="360" w:lineRule="auto"/>
        <w:widowControl/>
        <w:rPr>
          <w:rFonts w:hint="eastAsia" w:ascii="宋体" w:hAnsi="宋体" w:eastAsia="宋体" w:cs="宋体"/>
          <w:b w:val="0"/>
          <w:bCs w:val="0"/>
          <w:color w:val="auto"/>
          <w:sz w:val="24"/>
          <w:szCs w:val="24"/>
          <w:highlight w:val="none"/>
          <w:lang w:val="en-US" w:eastAsia="zh-CN" w:bidi="ar-SA"/>
          <w14:ligatures w14:val="none"/>
        </w:rPr>
        <w:outlineLvl w:val="9"/>
      </w:pPr>
      <w:r>
        <w:rPr>
          <w:rFonts w:hint="eastAsia" w:ascii="宋体" w:hAnsi="宋体" w:eastAsia="宋体" w:cs="宋体"/>
          <w:color w:val="auto"/>
          <w:sz w:val="24"/>
          <w:szCs w:val="24"/>
          <w:highlight w:val="none"/>
          <w:lang w:val="en-US" w:eastAsia="zh-CN" w:bidi="ar-SA"/>
          <w14:ligatures w14:val="none"/>
        </w:rPr>
        <w:t xml:space="preserve">见招标文件第五章《拟签订的合同文本》中“八、验收标准（验收要求、验收</w:t>
      </w:r>
      <w:r>
        <w:rPr>
          <w:rFonts w:hint="eastAsia" w:ascii="宋体" w:hAnsi="宋体" w:eastAsia="宋体" w:cs="宋体"/>
          <w:b w:val="0"/>
          <w:bCs w:val="0"/>
          <w:color w:val="auto"/>
          <w:sz w:val="24"/>
          <w:szCs w:val="24"/>
          <w:highlight w:val="none"/>
          <w:lang w:val="en-US" w:eastAsia="zh-CN" w:bidi="ar-SA"/>
          <w14:ligatures w14:val="none"/>
        </w:rPr>
        <w:t xml:space="preserve">标准和程序）要求”。</w:t>
      </w:r>
      <w:r/>
    </w:p>
    <w:p>
      <w:pPr>
        <w:jc w:val="left"/>
        <w:keepLines w:val="0"/>
        <w:keepNext w:val="0"/>
        <w:pageBreakBefore w:val="0"/>
        <w:spacing w:after="100" w:line="360" w:lineRule="auto"/>
        <w:widowControl/>
        <w:rPr>
          <w:rFonts w:hint="eastAsia" w:ascii="宋体" w:hAnsi="宋体" w:eastAsia="宋体" w:cs="宋体"/>
          <w:b/>
          <w:bCs/>
          <w:color w:val="auto"/>
          <w:sz w:val="24"/>
          <w:szCs w:val="24"/>
          <w:highlight w:val="none"/>
          <w:lang w:val="en-US" w:eastAsia="zh-CN" w:bidi="ar-SA"/>
          <w14:ligatures w14:val="none"/>
        </w:rPr>
        <w:outlineLvl w:val="9"/>
      </w:pPr>
      <w:r>
        <w:rPr>
          <w:rFonts w:hint="eastAsia" w:ascii="宋体" w:hAnsi="宋体" w:eastAsia="宋体" w:cs="宋体"/>
          <w:b/>
          <w:bCs/>
          <w:color w:val="auto"/>
          <w:sz w:val="24"/>
          <w:szCs w:val="24"/>
          <w:highlight w:val="none"/>
          <w:lang w:val="en-US" w:eastAsia="zh-CN" w:bidi="ar-SA"/>
          <w14:ligatures w14:val="none"/>
        </w:rPr>
        <w:t xml:space="preserve">九、其他要求：见招标文件第五章《拟签订的合同文本》。</w:t>
      </w:r>
      <w:r/>
    </w:p>
    <w:p>
      <w:pPr>
        <w:rPr>
          <w:rFonts w:hint="eastAsia"/>
          <w:color w:val="auto"/>
          <w:highlight w:val="none"/>
        </w:rPr>
      </w:pPr>
      <w:r>
        <w:rPr>
          <w:rFonts w:hint="eastAsia"/>
          <w:color w:val="auto"/>
          <w:highlight w:val="none"/>
        </w:rPr>
        <w:br w:type="page" w:clear="all"/>
      </w:r>
      <w:r/>
    </w:p>
    <w:p>
      <w:pPr>
        <w:pStyle w:val="794"/>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徐州市妇幼保健院</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748"/>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ind w:firstLine="748"/>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 </w:t>
      </w:r>
      <w:r/>
    </w:p>
    <w:p>
      <w:pPr>
        <w:ind w:firstLine="748"/>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货币单位：人民币元</w:t>
      </w:r>
      <w:r/>
    </w:p>
    <w:p>
      <w:pPr>
        <w:ind w:firstLine="56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详见苏采云系统中的格式。</w:t>
      </w:r>
      <w:r/>
    </w:p>
    <w:p>
      <w:pPr>
        <w:pStyle w:val="805"/>
        <w:rPr>
          <w:rFonts w:hint="eastAsia"/>
          <w:color w:val="auto"/>
          <w:sz w:val="24"/>
          <w:szCs w:val="24"/>
          <w:highlight w:val="none"/>
        </w:rPr>
      </w:pPr>
      <w:r>
        <w:rPr>
          <w:rFonts w:hint="eastAsia"/>
          <w:color w:val="auto"/>
          <w:sz w:val="24"/>
          <w:szCs w:val="24"/>
          <w:highlight w:val="none"/>
        </w:rPr>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ind w:firstLine="33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ind w:firstLine="39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ind w:firstLine="33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日期：  年  月  日</w:t>
      </w:r>
      <w:r/>
    </w:p>
    <w:p>
      <w:pPr>
        <w:pStyle w:val="845"/>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5"/>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highlight w:val="none"/>
          <w:u w:val="single"/>
        </w:rPr>
      </w:pPr>
      <w:r>
        <w:rPr>
          <w:rFonts w:hint="eastAsia" w:ascii="宋体" w:hAnsi="宋体" w:eastAsia="宋体" w:cs="宋体"/>
          <w:i/>
          <w:iCs/>
          <w:color w:val="auto"/>
          <w:sz w:val="30"/>
          <w:szCs w:val="30"/>
          <w:highlight w:val="none"/>
          <w:u w:val="single"/>
        </w:rPr>
        <w:t xml:space="preserve">具体以苏采云系统内格式为准</w:t>
      </w:r>
      <w:r>
        <w:rPr>
          <w:rFonts w:hint="eastAsia" w:ascii="宋体" w:hAnsi="宋体" w:eastAsia="宋体" w:cs="宋体"/>
          <w:i/>
          <w:iCs/>
          <w:color w:val="auto"/>
          <w:sz w:val="30"/>
          <w:szCs w:val="30"/>
          <w:highlight w:val="none"/>
          <w:u w:val="single"/>
          <w:lang w:eastAsia="zh-CN"/>
        </w:rPr>
        <w:t xml:space="preserve">，</w:t>
      </w:r>
      <w:r>
        <w:rPr>
          <w:rFonts w:hint="eastAsia" w:ascii="宋体" w:hAnsi="宋体" w:eastAsia="宋体" w:cs="宋体"/>
          <w:i/>
          <w:iCs/>
          <w:color w:val="auto"/>
          <w:sz w:val="30"/>
          <w:szCs w:val="30"/>
          <w:highlight w:val="none"/>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p>
      <w:pPr>
        <w:ind w:firstLine="3233"/>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3233"/>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格式自拟。</w:t>
      </w:r>
      <w:r/>
    </w:p>
    <w:p>
      <w:pPr>
        <w:ind w:left="0" w:firstLine="0"/>
        <w:rPr>
          <w:rFonts w:hint="eastAsia"/>
          <w:color w:val="auto"/>
          <w:highlight w:val="none"/>
          <w:lang w:val="en-US" w:eastAsia="zh-CN"/>
        </w:rPr>
      </w:pPr>
      <w:r>
        <w:rPr>
          <w:rFonts w:hint="eastAsia"/>
          <w:color w:val="auto"/>
          <w:highlight w:val="none"/>
          <w:lang w:val="en-US" w:eastAsia="zh-CN"/>
        </w:rPr>
      </w:r>
      <w:r/>
    </w:p>
    <w:p>
      <w:pPr>
        <w:pStyle w:val="805"/>
        <w:ind w:left="0" w:firstLine="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所投硬件产品需填写下列表格</w:t>
      </w:r>
      <w:r/>
    </w:p>
    <w:tbl>
      <w:tblPr>
        <w:tblStyle w:val="804"/>
        <w:tblW w:w="9476" w:type="dxa"/>
        <w:tblInd w:w="-7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14"/>
        <w:gridCol w:w="2098"/>
        <w:gridCol w:w="2385"/>
        <w:gridCol w:w="888"/>
        <w:gridCol w:w="888"/>
        <w:gridCol w:w="888"/>
        <w:gridCol w:w="888"/>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845"/>
              <w:jc w:val="center"/>
              <w:rPr>
                <w:rFonts w:ascii="宋体" w:hAnsi="宋体"/>
                <w:color w:val="auto"/>
                <w:sz w:val="24"/>
                <w:highlight w:val="none"/>
              </w:rPr>
            </w:pPr>
            <w:r>
              <w:rPr>
                <w:rFonts w:ascii="宋体" w:hAnsi="宋体"/>
                <w:color w:val="auto"/>
                <w:sz w:val="24"/>
                <w:highlight w:val="none"/>
              </w:rPr>
              <w:t xml:space="preserve">序号</w:t>
            </w:r>
            <w:r/>
          </w:p>
        </w:tc>
        <w:tc>
          <w:tcPr>
            <w:shd w:val="clear" w:color="auto" w:fill="c0c0c0"/>
            <w:tcMar>
              <w:left w:w="15" w:type="dxa"/>
              <w:top w:w="15" w:type="dxa"/>
              <w:right w:w="15" w:type="dxa"/>
              <w:bottom w:w="0" w:type="dxa"/>
            </w:tcMar>
            <w:tcW w:w="814" w:type="dxa"/>
            <w:vAlign w:val="center"/>
            <w:textDirection w:val="lrTb"/>
            <w:noWrap w:val="false"/>
          </w:tcPr>
          <w:p>
            <w:pPr>
              <w:pStyle w:val="845"/>
              <w:jc w:val="center"/>
              <w:rPr>
                <w:rFonts w:ascii="宋体" w:hAnsi="宋体"/>
                <w:color w:val="auto"/>
                <w:sz w:val="24"/>
                <w:highlight w:val="none"/>
              </w:rPr>
            </w:pPr>
            <w:r>
              <w:rPr>
                <w:rFonts w:ascii="宋体" w:hAnsi="宋体"/>
                <w:color w:val="auto"/>
                <w:sz w:val="24"/>
                <w:highlight w:val="none"/>
              </w:rPr>
              <w:t xml:space="preserve">名称</w:t>
            </w:r>
            <w:r/>
          </w:p>
        </w:tc>
        <w:tc>
          <w:tcPr>
            <w:shd w:val="clear" w:color="auto" w:fill="c0c0c0"/>
            <w:tcMar>
              <w:left w:w="15" w:type="dxa"/>
              <w:top w:w="15" w:type="dxa"/>
              <w:right w:w="15" w:type="dxa"/>
              <w:bottom w:w="0" w:type="dxa"/>
            </w:tcMar>
            <w:tcW w:w="2098" w:type="dxa"/>
            <w:vAlign w:val="center"/>
            <w:textDirection w:val="lrTb"/>
            <w:noWrap w:val="false"/>
          </w:tcPr>
          <w:p>
            <w:pPr>
              <w:pStyle w:val="845"/>
              <w:jc w:val="center"/>
              <w:rPr>
                <w:rFonts w:ascii="宋体" w:hAnsi="宋体"/>
                <w:color w:val="auto"/>
                <w:sz w:val="24"/>
                <w:highlight w:val="none"/>
              </w:rPr>
            </w:pPr>
            <w:r>
              <w:rPr>
                <w:rFonts w:ascii="宋体" w:hAnsi="宋体"/>
                <w:color w:val="auto"/>
                <w:sz w:val="24"/>
                <w:highlight w:val="none"/>
              </w:rPr>
              <w:t xml:space="preserve">品牌、规格、型号</w:t>
            </w:r>
            <w:r/>
          </w:p>
        </w:tc>
        <w:tc>
          <w:tcPr>
            <w:shd w:val="clear" w:color="auto" w:fill="c0c0c0"/>
            <w:tcMar>
              <w:left w:w="15" w:type="dxa"/>
              <w:top w:w="15" w:type="dxa"/>
              <w:right w:w="15" w:type="dxa"/>
              <w:bottom w:w="0" w:type="dxa"/>
            </w:tcMar>
            <w:tcW w:w="2385" w:type="dxa"/>
            <w:vAlign w:val="center"/>
            <w:textDirection w:val="lrTb"/>
            <w:noWrap w:val="false"/>
          </w:tcPr>
          <w:p>
            <w:pPr>
              <w:pStyle w:val="845"/>
              <w:jc w:val="center"/>
              <w:rPr>
                <w:rFonts w:ascii="宋体" w:hAnsi="宋体"/>
                <w:color w:val="auto"/>
                <w:sz w:val="24"/>
                <w:highlight w:val="none"/>
              </w:rPr>
            </w:pPr>
            <w:r>
              <w:rPr>
                <w:rFonts w:ascii="宋体" w:hAnsi="宋体"/>
                <w:color w:val="auto"/>
                <w:sz w:val="24"/>
                <w:highlight w:val="none"/>
              </w:rPr>
              <w:t xml:space="preserve">产品制造企业名称（全称）</w:t>
            </w:r>
            <w:r/>
          </w:p>
        </w:tc>
        <w:tc>
          <w:tcPr>
            <w:shd w:val="clear" w:color="auto" w:fill="c0c0c0"/>
            <w:tcMar>
              <w:left w:w="15" w:type="dxa"/>
              <w:top w:w="15" w:type="dxa"/>
              <w:right w:w="15" w:type="dxa"/>
              <w:bottom w:w="0" w:type="dxa"/>
            </w:tcMar>
            <w:tcW w:w="888" w:type="dxa"/>
            <w:vAlign w:val="center"/>
            <w:textDirection w:val="lrTb"/>
            <w:noWrap w:val="false"/>
          </w:tcPr>
          <w:p>
            <w:pPr>
              <w:pStyle w:val="845"/>
              <w:jc w:val="center"/>
              <w:rPr>
                <w:rFonts w:ascii="宋体" w:hAnsi="宋体"/>
                <w:color w:val="auto"/>
                <w:sz w:val="24"/>
                <w:highlight w:val="none"/>
              </w:rPr>
            </w:pPr>
            <w:r>
              <w:rPr>
                <w:rFonts w:ascii="宋体" w:hAnsi="宋体"/>
                <w:color w:val="auto"/>
                <w:sz w:val="24"/>
                <w:highlight w:val="none"/>
              </w:rPr>
              <w:t xml:space="preserve">单位</w:t>
            </w:r>
            <w:r/>
          </w:p>
        </w:tc>
        <w:tc>
          <w:tcPr>
            <w:shd w:val="clear" w:color="auto" w:fill="c0c0c0"/>
            <w:tcMar>
              <w:left w:w="15" w:type="dxa"/>
              <w:top w:w="15" w:type="dxa"/>
              <w:right w:w="15" w:type="dxa"/>
              <w:bottom w:w="0" w:type="dxa"/>
            </w:tcMar>
            <w:tcW w:w="888" w:type="dxa"/>
            <w:vAlign w:val="center"/>
            <w:textDirection w:val="lrTb"/>
            <w:noWrap w:val="false"/>
          </w:tcPr>
          <w:p>
            <w:pPr>
              <w:pStyle w:val="845"/>
              <w:jc w:val="center"/>
              <w:rPr>
                <w:rFonts w:ascii="宋体" w:hAnsi="宋体"/>
                <w:color w:val="auto"/>
                <w:sz w:val="24"/>
                <w:highlight w:val="none"/>
              </w:rPr>
            </w:pPr>
            <w:r>
              <w:rPr>
                <w:rFonts w:ascii="宋体" w:hAnsi="宋体"/>
                <w:color w:val="auto"/>
                <w:sz w:val="24"/>
                <w:highlight w:val="none"/>
              </w:rPr>
              <w:t xml:space="preserve">数量</w:t>
            </w:r>
            <w:r/>
          </w:p>
        </w:tc>
        <w:tc>
          <w:tcPr>
            <w:shd w:val="clear" w:color="auto" w:fill="c0c0c0"/>
            <w:tcMar>
              <w:left w:w="15" w:type="dxa"/>
              <w:top w:w="15" w:type="dxa"/>
              <w:right w:w="15" w:type="dxa"/>
              <w:bottom w:w="0" w:type="dxa"/>
            </w:tcMar>
            <w:tcW w:w="888" w:type="dxa"/>
            <w:vAlign w:val="center"/>
            <w:textDirection w:val="lrTb"/>
            <w:noWrap w:val="false"/>
          </w:tcPr>
          <w:p>
            <w:pPr>
              <w:pStyle w:val="845"/>
              <w:jc w:val="center"/>
              <w:rPr>
                <w:rFonts w:ascii="宋体" w:hAnsi="宋体"/>
                <w:color w:val="auto"/>
                <w:sz w:val="24"/>
                <w:highlight w:val="none"/>
              </w:rPr>
            </w:pPr>
            <w:r>
              <w:rPr>
                <w:rFonts w:ascii="宋体" w:hAnsi="宋体"/>
                <w:color w:val="auto"/>
                <w:sz w:val="24"/>
                <w:highlight w:val="none"/>
              </w:rPr>
              <w:t xml:space="preserve">单价</w:t>
            </w:r>
            <w:r/>
          </w:p>
        </w:tc>
        <w:tc>
          <w:tcPr>
            <w:shd w:val="clear" w:color="auto" w:fill="c0c0c0"/>
            <w:tcMar>
              <w:left w:w="15" w:type="dxa"/>
              <w:top w:w="15" w:type="dxa"/>
              <w:right w:w="15" w:type="dxa"/>
              <w:bottom w:w="0" w:type="dxa"/>
            </w:tcMar>
            <w:tcW w:w="888" w:type="dxa"/>
            <w:vAlign w:val="center"/>
            <w:textDirection w:val="lrTb"/>
            <w:noWrap w:val="false"/>
          </w:tcPr>
          <w:p>
            <w:pPr>
              <w:pStyle w:val="845"/>
              <w:jc w:val="center"/>
              <w:rPr>
                <w:rFonts w:ascii="宋体" w:hAnsi="宋体"/>
                <w:color w:val="auto"/>
                <w:sz w:val="24"/>
                <w:highlight w:val="none"/>
              </w:rPr>
            </w:pPr>
            <w:r>
              <w:rPr>
                <w:rFonts w:ascii="宋体" w:hAnsi="宋体"/>
                <w:color w:val="auto"/>
                <w:sz w:val="24"/>
                <w:highlight w:val="none"/>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t xml:space="preserve">1</w:t>
            </w:r>
            <w:r/>
          </w:p>
        </w:tc>
        <w:tc>
          <w:tcPr>
            <w:tcMar>
              <w:left w:w="15" w:type="dxa"/>
              <w:top w:w="15" w:type="dxa"/>
              <w:right w:w="15" w:type="dxa"/>
              <w:bottom w:w="0" w:type="dxa"/>
            </w:tcMar>
            <w:tcW w:w="814"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209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2385" w:type="dxa"/>
            <w:vAlign w:val="top"/>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top"/>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r>
      <w:tr>
        <w:trPr>
          <w:trHeight w:val="214"/>
        </w:trPr>
        <w:tc>
          <w:tcPr>
            <w:tcMar>
              <w:left w:w="15" w:type="dxa"/>
              <w:top w:w="15" w:type="dxa"/>
              <w:right w:w="15" w:type="dxa"/>
              <w:bottom w:w="0" w:type="dxa"/>
            </w:tcMar>
            <w:tcW w:w="627"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t xml:space="preserve">2</w:t>
            </w:r>
            <w:r/>
          </w:p>
        </w:tc>
        <w:tc>
          <w:tcPr>
            <w:tcMar>
              <w:left w:w="15" w:type="dxa"/>
              <w:top w:w="15" w:type="dxa"/>
              <w:right w:w="15" w:type="dxa"/>
              <w:bottom w:w="0" w:type="dxa"/>
            </w:tcMar>
            <w:tcW w:w="814"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209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2385" w:type="dxa"/>
            <w:vAlign w:val="top"/>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top"/>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r>
      <w:tr>
        <w:trPr>
          <w:trHeight w:val="214"/>
        </w:trPr>
        <w:tc>
          <w:tcPr>
            <w:tcMar>
              <w:left w:w="15" w:type="dxa"/>
              <w:top w:w="15" w:type="dxa"/>
              <w:right w:w="15" w:type="dxa"/>
              <w:bottom w:w="0" w:type="dxa"/>
            </w:tcMar>
            <w:tcW w:w="627"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t xml:space="preserve">3</w:t>
            </w:r>
            <w:r/>
          </w:p>
        </w:tc>
        <w:tc>
          <w:tcPr>
            <w:tcMar>
              <w:left w:w="15" w:type="dxa"/>
              <w:top w:w="15" w:type="dxa"/>
              <w:right w:w="15" w:type="dxa"/>
              <w:bottom w:w="0" w:type="dxa"/>
            </w:tcMar>
            <w:tcW w:w="814"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209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2385" w:type="dxa"/>
            <w:vAlign w:val="top"/>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top"/>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r>
      <w:tr>
        <w:trPr>
          <w:trHeight w:val="322"/>
        </w:trPr>
        <w:tc>
          <w:tcPr>
            <w:tcMar>
              <w:left w:w="15" w:type="dxa"/>
              <w:top w:w="15" w:type="dxa"/>
              <w:right w:w="15" w:type="dxa"/>
              <w:bottom w:w="0" w:type="dxa"/>
            </w:tcMar>
            <w:tcW w:w="627"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t xml:space="preserve">4</w:t>
            </w:r>
            <w:r/>
          </w:p>
        </w:tc>
        <w:tc>
          <w:tcPr>
            <w:tcMar>
              <w:left w:w="15" w:type="dxa"/>
              <w:top w:w="15" w:type="dxa"/>
              <w:right w:w="15" w:type="dxa"/>
              <w:bottom w:w="0" w:type="dxa"/>
            </w:tcMar>
            <w:tcW w:w="814"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209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2385" w:type="dxa"/>
            <w:vAlign w:val="top"/>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top"/>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88" w:type="dxa"/>
            <w:vAlign w:val="bottom"/>
            <w:textDirection w:val="lrTb"/>
            <w:noWrap w:val="false"/>
          </w:tcPr>
          <w:p>
            <w:pPr>
              <w:pStyle w:val="845"/>
              <w:jc w:val="center"/>
              <w:rPr>
                <w:rFonts w:ascii="宋体" w:hAnsi="宋体"/>
                <w:color w:val="auto"/>
                <w:sz w:val="24"/>
                <w:highlight w:val="none"/>
              </w:rPr>
            </w:pPr>
            <w:r>
              <w:rPr>
                <w:rFonts w:ascii="宋体" w:hAnsi="宋体"/>
                <w:color w:val="auto"/>
                <w:sz w:val="24"/>
                <w:highlight w:val="none"/>
              </w:rPr>
            </w:r>
            <w:r/>
          </w:p>
        </w:tc>
      </w:tr>
    </w:tbl>
    <w:p>
      <w:pPr>
        <w:pStyle w:val="805"/>
        <w:rPr>
          <w:rFonts w:hint="default" w:ascii="宋体" w:hAnsi="宋体" w:eastAsia="宋体" w:cs="宋体"/>
          <w:color w:val="auto"/>
          <w:sz w:val="28"/>
          <w:szCs w:val="28"/>
          <w:highlight w:val="none"/>
          <w:lang w:val="en-US" w:eastAsia="zh-CN"/>
        </w:rPr>
      </w:pPr>
      <w:r>
        <w:rPr>
          <w:rFonts w:hint="default" w:ascii="宋体" w:hAnsi="宋体" w:eastAsia="宋体" w:cs="宋体"/>
          <w:color w:val="auto"/>
          <w:sz w:val="28"/>
          <w:szCs w:val="28"/>
          <w:highlight w:val="none"/>
          <w:lang w:val="en-US" w:eastAsia="zh-CN"/>
        </w:rPr>
      </w:r>
      <w:r/>
    </w:p>
    <w:p>
      <w:pPr>
        <w:pStyle w:val="805"/>
        <w:rPr>
          <w:rFonts w:hint="eastAsia"/>
          <w:color w:val="auto"/>
          <w:highlight w:val="none"/>
        </w:rPr>
      </w:pPr>
      <w:r>
        <w:rPr>
          <w:rFonts w:hint="eastAsia"/>
          <w:color w:val="auto"/>
          <w:highlight w:val="none"/>
        </w:rPr>
      </w:r>
      <w:r/>
    </w:p>
    <w:p>
      <w:pPr>
        <w:ind w:firstLine="2793"/>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left="0" w:firstLine="0"/>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本款说明：</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注：①如果不提供详细分项报价的，将视为没有实质性响应招标文件。</w:t>
      </w:r>
      <w:r/>
    </w:p>
    <w:p>
      <w:pPr>
        <w:ind w:left="0" w:firstLine="9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②投标人对以上数据的真实性负责。</w:t>
      </w:r>
      <w:r/>
    </w:p>
    <w:p>
      <w:pPr>
        <w:ind w:left="0" w:firstLine="480"/>
        <w:jc w:val="left"/>
        <w:widowControl/>
        <w:rPr>
          <w:rFonts w:hint="eastAsia" w:ascii="宋体" w:hAnsi="宋体" w:eastAsia="宋体" w:cs="宋体"/>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采购人或采购代理机构有权将以上内容进行公示</w:t>
      </w:r>
      <w:r>
        <w:rPr>
          <w:rFonts w:hint="eastAsia" w:ascii="宋体" w:hAnsi="宋体" w:eastAsia="宋体" w:cs="宋体"/>
          <w:b/>
          <w:bCs/>
          <w:color w:val="auto"/>
          <w:sz w:val="24"/>
          <w:szCs w:val="24"/>
          <w:highlight w:val="none"/>
        </w:rPr>
        <w:t xml:space="preserve">。</w:t>
      </w:r>
      <w:r/>
    </w:p>
    <w:p>
      <w:pPr>
        <w:rPr>
          <w:rFonts w:hint="eastAsia"/>
          <w:b/>
          <w:bCs/>
          <w:color w:val="auto"/>
          <w:sz w:val="32"/>
          <w:szCs w:val="40"/>
          <w:highlight w:val="none"/>
          <w:lang w:val="en-US" w:eastAsia="zh-CN"/>
        </w:rPr>
      </w:pPr>
      <w:r>
        <w:rPr>
          <w:rFonts w:hint="eastAsia"/>
          <w:b/>
          <w:bCs/>
          <w:color w:val="auto"/>
          <w:sz w:val="32"/>
          <w:szCs w:val="40"/>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bl>
      <w:tblPr>
        <w:tblStyle w:val="804"/>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（一）授权委托书</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性别：男（女）</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岁      民族：  族</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ind w:firstLine="63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法定代表人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负责人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受托人（签字或盖章）：</w:t>
      </w:r>
      <w:r/>
    </w:p>
    <w:p>
      <w:pPr>
        <w:pStyle w:val="812"/>
        <w:ind w:left="0" w:firstLine="602"/>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受托人联系方式：</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邮箱：</w:t>
      </w:r>
      <w:r/>
    </w:p>
    <w:p>
      <w:pPr>
        <w:ind w:right="600" w:firstLine="6150"/>
        <w:spacing w:line="479" w:lineRule="atLeast"/>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年 </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月</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日 </w:t>
      </w:r>
      <w:r/>
    </w:p>
    <w:p>
      <w:pPr>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820"/>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43"/>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43"/>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p>
    <w:p>
      <w:pPr>
        <w:pStyle w:val="843"/>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843"/>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w:t>
      </w:r>
      <w:r/>
    </w:p>
    <w:p>
      <w:pPr>
        <w:pStyle w:val="843"/>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        职务：</w:t>
      </w:r>
      <w:r/>
    </w:p>
    <w:p>
      <w:pPr>
        <w:pStyle w:val="843"/>
        <w:ind w:firstLine="96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843"/>
        <w:ind w:firstLine="9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系我企业（公司）的法定代表人。</w:t>
      </w:r>
      <w:r/>
    </w:p>
    <w:p>
      <w:pPr>
        <w:pStyle w:val="843"/>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3"/>
        <w:ind w:firstLine="48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pStyle w:val="843"/>
        <w:ind w:firstLine="48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法定代表人（签字或盖章）：</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pStyle w:val="843"/>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3"/>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六、中小企业声明函格式</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lang w:eastAsia="zh-CN"/>
        </w:rPr>
        <w:t xml:space="preserve">徐州市妇幼保健院</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徐州市妇幼保健院数据资产管理平台及运营管理平台建设项目</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eastAsia="zh-CN"/>
        </w:rPr>
        <w:t xml:space="preserve">徐州市妇幼保健院数据资产管理平台及运营管理平台建设项目</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eastAsia="zh-CN"/>
        </w:rPr>
        <w:t xml:space="preserve">（软件和信息技术服务业）</w:t>
      </w:r>
      <w:r>
        <w:rPr>
          <w:rFonts w:hint="eastAsia" w:ascii="宋体" w:hAnsi="宋体" w:eastAsia="宋体" w:cs="宋体"/>
          <w:color w:val="auto"/>
          <w:sz w:val="24"/>
          <w:szCs w:val="24"/>
          <w:highlight w:val="none"/>
          <w:u w:val="none"/>
          <w:lang w:eastAsia="zh-CN"/>
        </w:rPr>
        <w:t xml:space="preserve">行</w:t>
      </w:r>
      <w:r>
        <w:rPr>
          <w:rFonts w:hint="eastAsia" w:ascii="宋体" w:hAnsi="宋体" w:eastAsia="宋体" w:cs="宋体"/>
          <w:color w:val="auto"/>
          <w:sz w:val="24"/>
          <w:szCs w:val="24"/>
          <w:highlight w:val="none"/>
          <w:u w:val="none"/>
        </w:rPr>
        <w:t xml:space="preserve">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万元，属于（□中型企业、□小型企业、□微型企业，</w:t>
      </w:r>
      <w:r>
        <w:rPr>
          <w:rFonts w:hint="eastAsia" w:ascii="宋体" w:hAnsi="宋体" w:eastAsia="宋体" w:cs="宋体"/>
          <w:color w:val="auto"/>
          <w:sz w:val="24"/>
          <w:szCs w:val="24"/>
          <w:highlight w:val="none"/>
        </w:rPr>
        <w:t xml:space="preserve">请勾选！</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企业名称（供应商名称）</w:t>
      </w:r>
      <w:r>
        <w:rPr>
          <w:rFonts w:hint="eastAsia" w:ascii="宋体" w:hAnsi="宋体" w:eastAsia="宋体" w:cs="宋体"/>
          <w:b w:val="0"/>
          <w:bCs w:val="0"/>
          <w:color w:val="auto"/>
          <w:sz w:val="24"/>
          <w:szCs w:val="24"/>
          <w:highlight w:val="none"/>
        </w:rPr>
        <w:t xml:space="preserve">（电子签章）</w:t>
      </w:r>
      <w:r>
        <w:rPr>
          <w:rFonts w:hint="eastAsia" w:ascii="宋体" w:hAnsi="宋体" w:eastAsia="宋体" w:cs="宋体"/>
          <w:color w:val="auto"/>
          <w:sz w:val="24"/>
          <w:szCs w:val="24"/>
          <w:highlight w:val="none"/>
        </w:rPr>
        <w:t xml:space="preserve">： </w:t>
      </w:r>
      <w:r/>
    </w:p>
    <w:p>
      <w:pPr>
        <w:ind w:right="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  年  月  日</w:t>
      </w:r>
      <w:r/>
    </w:p>
    <w:p>
      <w:pPr>
        <w:spacing w:line="3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注：本项目采购的服务属于软件和信息技术服务业。</w:t>
      </w:r>
      <w:r/>
    </w:p>
    <w:p>
      <w:pPr>
        <w:ind w:firstLine="600"/>
        <w:jc w:val="left"/>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600"/>
        <w:jc w:val="left"/>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1、从业人员、营业收入、资产总额填报上一年度数据，无上一年度数据的新成立企业可不填报。</w:t>
      </w:r>
      <w:r/>
    </w:p>
    <w:p>
      <w:pPr>
        <w:pStyle w:val="863"/>
        <w:ind w:firstLine="600"/>
        <w:rPr>
          <w:rFonts w:hint="eastAsia" w:ascii="宋体" w:hAnsi="宋体" w:cs="宋体"/>
          <w:color w:val="auto"/>
          <w:sz w:val="24"/>
          <w:szCs w:val="24"/>
          <w:highlight w:val="none"/>
        </w:rPr>
      </w:pPr>
      <w:r>
        <w:rPr>
          <w:rFonts w:hint="eastAsia" w:hAnsi="宋体" w:eastAsia="宋体" w:cs="宋体"/>
          <w:color w:val="auto"/>
          <w:sz w:val="24"/>
          <w:szCs w:val="24"/>
          <w:highlight w:val="none"/>
        </w:rPr>
        <w:t xml:space="preserve">2、《中小企业声明函》查询渠道参考工业和信息化部发布的中小企业规模自测小程序。</w:t>
      </w:r>
      <w:r/>
    </w:p>
    <w:p>
      <w:pPr>
        <w:ind w:firstLine="48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firstLine="48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pStyle w:val="859"/>
        <w:rPr>
          <w:rFonts w:hint="eastAsia"/>
          <w:color w:val="auto"/>
          <w:highlight w:val="none"/>
        </w:rPr>
      </w:pPr>
      <w:r>
        <w:rPr>
          <w:rFonts w:hint="eastAsia" w:ascii="宋体" w:hAnsi="宋体" w:eastAsia="宋体" w:cs="宋体"/>
          <w:color w:val="auto"/>
          <w:sz w:val="28"/>
          <w:szCs w:val="28"/>
          <w:highlight w:val="none"/>
          <w:lang w:eastAsia="zh-CN"/>
        </w:rPr>
        <w:t xml:space="preserve">                        </w:t>
      </w:r>
      <w:r/>
    </w:p>
    <w:p>
      <w:pPr>
        <w:pStyle w:val="858"/>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5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5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58"/>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85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5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1799590" cy="3580765"/>
                <wp:effectExtent l="0" t="0" r="10160" b="635"/>
                <wp:docPr id="4"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5"/>
                        <a:stretch/>
                      </pic:blipFill>
                      <pic:spPr bwMode="auto">
                        <a:xfrm>
                          <a:off x="0" y="0"/>
                          <a:ext cx="1799590" cy="3580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1.7pt;height:281.9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项目编号：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项目名称：</w:t>
      </w:r>
      <w:r/>
    </w:p>
    <w:p>
      <w:pPr>
        <w:ind w:firstLine="624"/>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ind w:firstLine="2699"/>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2699"/>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徐州市妇幼保健院数据资产管理平台及运营管理平台建设项目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JSZC-320300-JSZG-G2026-0024</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285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30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55"/>
        <w:numPr>
          <w:ilvl w:val="0"/>
          <w:numId w:val="0"/>
        </w:numPr>
        <w:ind w:firstLine="746"/>
        <w:jc w:val="center"/>
        <w:keepLines w:val="0"/>
        <w:keepNext w:val="0"/>
        <w:pageBreakBefore w:val="0"/>
        <w:spacing w:beforeAutospacing="0" w:afterAutospacing="0"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九、</w:t>
      </w:r>
      <w:r>
        <w:rPr>
          <w:rFonts w:hint="eastAsia" w:ascii="宋体" w:hAnsi="宋体" w:eastAsia="宋体" w:cs="宋体"/>
          <w:b/>
          <w:bCs/>
          <w:color w:val="auto"/>
          <w:sz w:val="28"/>
          <w:szCs w:val="28"/>
          <w:highlight w:val="none"/>
          <w:lang w:val="en-US" w:eastAsia="zh-CN" w:bidi="ar-SA"/>
        </w:rPr>
        <w:t xml:space="preserve">具备履行合同所必需的设备和专业技术能力的书面声明（附证明材料）</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投标人郑重声明：投标人具备履行合同（项目名称：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，项目编号：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所必需的设备和专业技术能力，具体为：</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设备：</w:t>
      </w:r>
      <w:r/>
    </w:p>
    <w:p>
      <w:pPr>
        <w:numPr>
          <w:ilvl w:val="0"/>
          <w:numId w:val="31"/>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numPr>
          <w:ilvl w:val="0"/>
          <w:numId w:val="31"/>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专业技术能力：</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特此声明。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投标人对上述声明的真实性负责。如有虚假，将依法承担相应责任。</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投标人：（盖电子签章）</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投标人法定代表人或授权代表：（签字或电子签章）  </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30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符合条件一：提交预付款保函的</w:t>
      </w:r>
      <w:r/>
    </w:p>
    <w:p>
      <w:pPr>
        <w:ind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05"/>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ind w:firstLine="605"/>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符合条件二：不提交预付款保函的</w:t>
      </w:r>
      <w:r/>
    </w:p>
    <w:p>
      <w:pPr>
        <w:ind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05"/>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spacing w:line="479"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left="140" w:firstLine="605"/>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pStyle w:val="845"/>
        <w:ind w:firstLine="747"/>
        <w:jc w:val="center"/>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十</w:t>
      </w:r>
      <w:r>
        <w:rPr>
          <w:rFonts w:hint="eastAsia" w:hAnsi="宋体" w:cs="宋体"/>
          <w:b/>
          <w:bCs/>
          <w:color w:val="auto"/>
          <w:sz w:val="28"/>
          <w:szCs w:val="28"/>
          <w:highlight w:val="none"/>
          <w:lang w:val="en-US" w:eastAsia="zh-CN" w:bidi="ar-SA"/>
        </w:rPr>
        <w:t xml:space="preserve">一</w:t>
      </w:r>
      <w:r>
        <w:rPr>
          <w:rFonts w:hint="eastAsia" w:ascii="宋体" w:hAnsi="宋体" w:eastAsia="宋体" w:cs="宋体"/>
          <w:b/>
          <w:bCs/>
          <w:color w:val="auto"/>
          <w:sz w:val="28"/>
          <w:szCs w:val="28"/>
          <w:highlight w:val="none"/>
          <w:lang w:val="en-US" w:eastAsia="zh-CN" w:bidi="ar-SA"/>
        </w:rPr>
        <w:t xml:space="preserve">、投标人相关承诺</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 </w:t>
      </w:r>
      <w:r/>
    </w:p>
    <w:p>
      <w:pPr>
        <w:ind w:firstLine="624"/>
        <w:spacing w:line="480" w:lineRule="exact"/>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 xml:space="preserve">项目编号：</w:t>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我单位承诺：</w:t>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我单位对上述承诺负责，并依法承担相应责任。</w:t>
      </w:r>
      <w:r/>
    </w:p>
    <w:p>
      <w:pPr>
        <w:pStyle w:val="1108"/>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8"/>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45"/>
        <w:ind w:firstLine="3120"/>
        <w:spacing w:line="30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投标人（电子签章）： </w:t>
      </w:r>
      <w:r/>
    </w:p>
    <w:p>
      <w:pPr>
        <w:pStyle w:val="845"/>
        <w:ind w:firstLine="312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日期：   年  月  日</w:t>
      </w:r>
      <w:r/>
    </w:p>
    <w:p>
      <w:pPr>
        <w:pStyle w:val="845"/>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5"/>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5"/>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5"/>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5"/>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0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5"/>
        <w:ind w:firstLine="56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lang w:val="en-US" w:eastAsia="zh-CN" w:bidi="ar-SA"/>
        </w:rPr>
        <w:t xml:space="preserve">十</w:t>
      </w:r>
      <w:r>
        <w:rPr>
          <w:rFonts w:hint="eastAsia" w:hAnsi="宋体" w:cs="宋体"/>
          <w:b/>
          <w:bCs/>
          <w:color w:val="auto"/>
          <w:sz w:val="28"/>
          <w:szCs w:val="28"/>
          <w:highlight w:val="none"/>
          <w:lang w:val="en-US" w:eastAsia="zh-CN" w:bidi="ar-SA"/>
        </w:rPr>
        <w:t xml:space="preserve">二</w:t>
      </w:r>
      <w:r>
        <w:rPr>
          <w:rFonts w:hint="eastAsia" w:ascii="宋体" w:hAnsi="宋体" w:eastAsia="宋体" w:cs="宋体"/>
          <w:b/>
          <w:bCs/>
          <w:color w:val="auto"/>
          <w:sz w:val="28"/>
          <w:szCs w:val="28"/>
          <w:highlight w:val="none"/>
          <w:lang w:val="en-US" w:eastAsia="zh-CN" w:bidi="ar-SA"/>
        </w:rPr>
        <w:t xml:space="preserve">、投标人书面声明</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 </w:t>
      </w:r>
      <w:r/>
    </w:p>
    <w:p>
      <w:pPr>
        <w:ind w:firstLine="624"/>
        <w:spacing w:line="480" w:lineRule="exact"/>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 xml:space="preserve">项目编号：</w:t>
      </w:r>
      <w:r/>
    </w:p>
    <w:p>
      <w:pPr>
        <w:pStyle w:val="845"/>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5"/>
        <w:ind w:firstLine="584"/>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我单位不是为本采购项目提供整体设计、规范编制或者项目管理、监理、检测等服务的供应商。</w:t>
      </w:r>
      <w:r/>
    </w:p>
    <w:p>
      <w:pPr>
        <w:pStyle w:val="845"/>
        <w:ind w:firstLine="584"/>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pStyle w:val="845"/>
        <w:ind w:firstLine="584"/>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pStyle w:val="1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0"/>
        <w:ind w:left="0" w:firstLine="0"/>
        <w:jc w:val="righ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投标人（电子签章）：</w:t>
      </w:r>
      <w:r/>
    </w:p>
    <w:p>
      <w:pPr>
        <w:pStyle w:val="860"/>
        <w:ind w:left="0" w:firstLine="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十三、演示环境真实性声明函</w:t>
      </w:r>
      <w:r/>
    </w:p>
    <w:p>
      <w:pPr>
        <w:pStyle w:val="849"/>
        <w:rPr>
          <w:rFonts w:hint="eastAsia"/>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（格式自拟）</w:t>
      </w:r>
      <w:r/>
    </w:p>
    <w:p>
      <w:pPr>
        <w:ind w:left="0" w:firstLine="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ourier New">
    <w:panose1 w:val="02070309020205020404"/>
  </w:font>
  <w:font w:name="PMingLiU">
    <w:panose1 w:val="02020500000000000000"/>
  </w:font>
  <w:font w:name="Symbol">
    <w:panose1 w:val="05050102010706020507"/>
  </w:font>
  <w:font w:name="新宋体">
    <w:panose1 w:val="02010609030101010101"/>
  </w:font>
  <w:font w:name="Wingdings">
    <w:panose1 w:val="05000000000000000000"/>
  </w:font>
  <w:font w:name="微软简楷体">
    <w:panose1 w:val="020B05030202020202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t xml:space="preserve">— </w:t>
                          </w:r>
                          <w:r>
                            <w:fldChar w:fldCharType="begin"/>
                          </w:r>
                          <w:r>
                            <w:instrText xml:space="preserve"> PAGE  \* MERGEFORMAT </w:instrText>
                          </w:r>
                          <w:r>
                            <w:fldChar w:fldCharType="separate"/>
                          </w:r>
                          <w:r>
                            <w:t xml:space="preserve">44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t xml:space="preserve">— </w:t>
                    </w:r>
                    <w:r>
                      <w:fldChar w:fldCharType="begin"/>
                    </w:r>
                    <w:r>
                      <w:instrText xml:space="preserve"> PAGE  \* MERGEFORMAT </w:instrText>
                    </w:r>
                    <w:r>
                      <w:fldChar w:fldCharType="separate"/>
                    </w:r>
                    <w:r>
                      <w:t xml:space="preserve">44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right"/>
      <w:pBdr>
        <w:bottom w:val="single" w:color="000000" w:sz="4" w:space="0"/>
      </w:pBdr>
    </w:pPr>
    <w:r>
      <w:rPr>
        <w:rFonts w:hint="eastAsia"/>
        <w:lang w:eastAsia="zh-CN"/>
      </w:rPr>
      <w:t xml:space="preserve">徐州市妇幼保健院数据资产管理平台及运营管理平台建设项目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徐州市妇幼保健院数据资产管理平台及运营管理平台建设项目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rPr>
        <w:rFonts w:hint="default" w:ascii="宋体" w:hAnsi="宋体" w:eastAsia="宋体"/>
        <w:bCs/>
        <w:sz w:val="24"/>
        <w:szCs w:val="24"/>
      </w:rPr>
    </w:lvl>
    <w:lvl w:ilvl="1">
      <w:start w:val="1"/>
      <w:numFmt w:val="lowerLetter"/>
      <w:isLgl w:val="false"/>
      <w:suff w:val="tab"/>
      <w:lvlText w:val="%2)"/>
      <w:lvlJc w:val="left"/>
      <w:pPr>
        <w:ind w:left="840" w:hanging="420"/>
      </w:pPr>
      <w:rPr>
        <w:rFonts w:hint="default" w:ascii="Calibri" w:hAnsi="Calibri" w:eastAsia="Calibri"/>
        <w:bCs/>
      </w:rPr>
    </w:lvl>
    <w:lvl w:ilvl="2">
      <w:start w:val="1"/>
      <w:numFmt w:val="lowerRoman"/>
      <w:isLgl w:val="false"/>
      <w:suff w:val="tab"/>
      <w:lvlText w:val="%3)"/>
      <w:lvlJc w:val="left"/>
      <w:pPr>
        <w:ind w:left="1260" w:hanging="420"/>
      </w:pPr>
      <w:rPr>
        <w:rFonts w:hint="default" w:ascii="Calibri" w:hAnsi="Calibri" w:eastAsia="Calibri"/>
        <w:bCs/>
      </w:rPr>
    </w:lvl>
    <w:lvl w:ilvl="3">
      <w:start w:val="1"/>
      <w:numFmt w:val="decimal"/>
      <w:isLgl w:val="false"/>
      <w:suff w:val="tab"/>
      <w:lvlText w:val="%4)"/>
      <w:lvlJc w:val="left"/>
      <w:pPr>
        <w:ind w:left="1680" w:hanging="420"/>
      </w:pPr>
      <w:rPr>
        <w:rFonts w:hint="default" w:ascii="Calibri" w:hAnsi="Calibri" w:eastAsia="Calibri"/>
        <w:bCs/>
      </w:rPr>
    </w:lvl>
    <w:lvl w:ilvl="4">
      <w:start w:val="1"/>
      <w:numFmt w:val="lowerLetter"/>
      <w:isLgl w:val="false"/>
      <w:suff w:val="tab"/>
      <w:lvlText w:val="%5)"/>
      <w:lvlJc w:val="left"/>
      <w:pPr>
        <w:ind w:left="2100" w:hanging="420"/>
      </w:pPr>
      <w:rPr>
        <w:rFonts w:hint="default" w:ascii="Calibri" w:hAnsi="Calibri" w:eastAsia="Calibri"/>
        <w:bCs/>
      </w:rPr>
    </w:lvl>
    <w:lvl w:ilvl="5">
      <w:start w:val="1"/>
      <w:numFmt w:val="lowerRoman"/>
      <w:isLgl w:val="false"/>
      <w:suff w:val="tab"/>
      <w:lvlText w:val="%6)"/>
      <w:lvlJc w:val="left"/>
      <w:pPr>
        <w:ind w:left="2520" w:hanging="420"/>
      </w:pPr>
      <w:rPr>
        <w:rFonts w:hint="default" w:ascii="Calibri" w:hAnsi="Calibri" w:eastAsia="Calibri"/>
        <w:bCs/>
      </w:rPr>
    </w:lvl>
    <w:lvl w:ilvl="6">
      <w:start w:val="1"/>
      <w:numFmt w:val="decimal"/>
      <w:isLgl w:val="false"/>
      <w:suff w:val="tab"/>
      <w:lvlText w:val="%7)"/>
      <w:lvlJc w:val="left"/>
      <w:pPr>
        <w:ind w:left="2940" w:hanging="420"/>
      </w:pPr>
      <w:rPr>
        <w:rFonts w:hint="default" w:ascii="Calibri" w:hAnsi="Calibri" w:eastAsia="Calibri"/>
        <w:bCs/>
      </w:rPr>
    </w:lvl>
    <w:lvl w:ilvl="7">
      <w:start w:val="1"/>
      <w:numFmt w:val="lowerLetter"/>
      <w:isLgl w:val="false"/>
      <w:suff w:val="tab"/>
      <w:lvlText w:val="%8)"/>
      <w:lvlJc w:val="left"/>
      <w:pPr>
        <w:ind w:left="3360" w:hanging="420"/>
      </w:pPr>
      <w:rPr>
        <w:rFonts w:hint="default" w:ascii="Calibri" w:hAnsi="Calibri" w:eastAsia="Calibri"/>
        <w:bCs/>
      </w:rPr>
    </w:lvl>
    <w:lvl w:ilvl="8">
      <w:start w:val="1"/>
      <w:numFmt w:val="decimal"/>
      <w:isLgl w:val="false"/>
      <w:suff w:val="tab"/>
      <w:lvlText w:val=""/>
      <w:lvlJc w:val="left"/>
      <w:pPr>
        <w:ind w:left="3780" w:hanging="420"/>
      </w:pPr>
      <w:rPr>
        <w:rFonts w:hint="default" w:ascii="Calibri" w:hAnsi="Calibri" w:eastAsia="Calibri"/>
        <w:bCs/>
      </w:rPr>
    </w:lvl>
  </w:abstractNum>
  <w:abstractNum w:abstractNumId="5">
    <w:multiLevelType w:val="hybridMultilevel"/>
    <w:lvl w:ilvl="0">
      <w:start w:val="1"/>
      <w:numFmt w:val="decimal"/>
      <w:isLgl w:val="false"/>
      <w:suff w:val="tab"/>
      <w:lvlText w:val="%1)"/>
      <w:lvlJc w:val="left"/>
      <w:pPr>
        <w:ind w:left="420" w:hanging="420"/>
      </w:pPr>
      <w:rPr>
        <w:rFonts w:hint="default" w:ascii="宋体" w:hAnsi="宋体" w:eastAsia="宋体"/>
        <w:bCs/>
        <w:sz w:val="24"/>
        <w:szCs w:val="24"/>
      </w:rPr>
    </w:lvl>
    <w:lvl w:ilvl="1">
      <w:start w:val="1"/>
      <w:numFmt w:val="lowerLetter"/>
      <w:isLgl w:val="false"/>
      <w:suff w:val="tab"/>
      <w:lvlText w:val="%2)"/>
      <w:lvlJc w:val="left"/>
      <w:pPr>
        <w:ind w:left="840" w:hanging="420"/>
      </w:pPr>
      <w:rPr>
        <w:rFonts w:hint="default" w:ascii="Calibri" w:hAnsi="Calibri" w:eastAsia="Calibri"/>
        <w:bCs/>
      </w:rPr>
    </w:lvl>
    <w:lvl w:ilvl="2">
      <w:start w:val="1"/>
      <w:numFmt w:val="lowerRoman"/>
      <w:isLgl w:val="false"/>
      <w:suff w:val="tab"/>
      <w:lvlText w:val="%3)"/>
      <w:lvlJc w:val="left"/>
      <w:pPr>
        <w:ind w:left="1260" w:hanging="420"/>
      </w:pPr>
      <w:rPr>
        <w:rFonts w:hint="default" w:ascii="Calibri" w:hAnsi="Calibri" w:eastAsia="Calibri"/>
        <w:bCs/>
      </w:rPr>
    </w:lvl>
    <w:lvl w:ilvl="3">
      <w:start w:val="1"/>
      <w:numFmt w:val="decimal"/>
      <w:isLgl w:val="false"/>
      <w:suff w:val="tab"/>
      <w:lvlText w:val="%4)"/>
      <w:lvlJc w:val="left"/>
      <w:pPr>
        <w:ind w:left="1680" w:hanging="420"/>
      </w:pPr>
      <w:rPr>
        <w:rFonts w:hint="default" w:ascii="Calibri" w:hAnsi="Calibri" w:eastAsia="Calibri"/>
        <w:bCs/>
      </w:rPr>
    </w:lvl>
    <w:lvl w:ilvl="4">
      <w:start w:val="1"/>
      <w:numFmt w:val="lowerLetter"/>
      <w:isLgl w:val="false"/>
      <w:suff w:val="tab"/>
      <w:lvlText w:val="%5)"/>
      <w:lvlJc w:val="left"/>
      <w:pPr>
        <w:ind w:left="2100" w:hanging="420"/>
      </w:pPr>
      <w:rPr>
        <w:rFonts w:hint="default" w:ascii="Calibri" w:hAnsi="Calibri" w:eastAsia="Calibri"/>
        <w:bCs/>
      </w:rPr>
    </w:lvl>
    <w:lvl w:ilvl="5">
      <w:start w:val="1"/>
      <w:numFmt w:val="lowerRoman"/>
      <w:isLgl w:val="false"/>
      <w:suff w:val="tab"/>
      <w:lvlText w:val="%6)"/>
      <w:lvlJc w:val="left"/>
      <w:pPr>
        <w:ind w:left="2520" w:hanging="420"/>
      </w:pPr>
      <w:rPr>
        <w:rFonts w:hint="default" w:ascii="Calibri" w:hAnsi="Calibri" w:eastAsia="Calibri"/>
        <w:bCs/>
      </w:rPr>
    </w:lvl>
    <w:lvl w:ilvl="6">
      <w:start w:val="1"/>
      <w:numFmt w:val="decimal"/>
      <w:isLgl w:val="false"/>
      <w:suff w:val="tab"/>
      <w:lvlText w:val="%7)"/>
      <w:lvlJc w:val="left"/>
      <w:pPr>
        <w:ind w:left="2940" w:hanging="420"/>
      </w:pPr>
      <w:rPr>
        <w:rFonts w:hint="default" w:ascii="Calibri" w:hAnsi="Calibri" w:eastAsia="Calibri"/>
        <w:bCs/>
      </w:rPr>
    </w:lvl>
    <w:lvl w:ilvl="7">
      <w:start w:val="1"/>
      <w:numFmt w:val="lowerLetter"/>
      <w:isLgl w:val="false"/>
      <w:suff w:val="tab"/>
      <w:lvlText w:val="%8)"/>
      <w:lvlJc w:val="left"/>
      <w:pPr>
        <w:ind w:left="3360" w:hanging="420"/>
      </w:pPr>
      <w:rPr>
        <w:rFonts w:hint="default" w:ascii="Calibri" w:hAnsi="Calibri" w:eastAsia="Calibri"/>
        <w:bCs/>
      </w:rPr>
    </w:lvl>
    <w:lvl w:ilvl="8">
      <w:start w:val="1"/>
      <w:numFmt w:val="decimal"/>
      <w:isLgl w:val="false"/>
      <w:suff w:val="tab"/>
      <w:lvlText w:val=""/>
      <w:lvlJc w:val="left"/>
      <w:pPr>
        <w:ind w:left="3780" w:hanging="420"/>
      </w:pPr>
      <w:rPr>
        <w:rFonts w:hint="default" w:ascii="Calibri" w:hAnsi="Calibri" w:eastAsia="Calibri"/>
        <w:bCs/>
      </w:rPr>
    </w:lvl>
  </w:abstractNum>
  <w:abstractNum w:abstractNumId="6">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0" w:hanging="420"/>
      </w:pPr>
      <w:rPr>
        <w:rFonts w:hint="default" w:ascii="宋体" w:hAnsi="宋体" w:eastAsia="宋体"/>
        <w:bCs/>
      </w:rPr>
    </w:lvl>
    <w:lvl w:ilvl="1">
      <w:start w:val="1"/>
      <w:numFmt w:val="lowerLetter"/>
      <w:isLgl w:val="false"/>
      <w:suff w:val="tab"/>
      <w:lvlText w:val="%2)"/>
      <w:lvlJc w:val="left"/>
      <w:pPr>
        <w:ind w:left="840" w:hanging="420"/>
      </w:pPr>
      <w:rPr>
        <w:rFonts w:hint="default" w:ascii="宋体" w:hAnsi="宋体" w:eastAsia="宋体"/>
        <w:bCs/>
      </w:rPr>
    </w:lvl>
    <w:lvl w:ilvl="2">
      <w:start w:val="1"/>
      <w:numFmt w:val="lowerRoman"/>
      <w:isLgl w:val="false"/>
      <w:suff w:val="tab"/>
      <w:lvlText w:val="%3."/>
      <w:lvlJc w:val="left"/>
      <w:pPr>
        <w:ind w:left="1260" w:hanging="420"/>
      </w:pPr>
      <w:rPr>
        <w:rFonts w:hint="default" w:ascii="宋体" w:hAnsi="宋体" w:eastAsia="宋体"/>
        <w:bCs/>
      </w:rPr>
    </w:lvl>
    <w:lvl w:ilvl="3">
      <w:start w:val="1"/>
      <w:numFmt w:val="decimal"/>
      <w:isLgl w:val="false"/>
      <w:suff w:val="tab"/>
      <w:lvlText w:val="%4."/>
      <w:lvlJc w:val="left"/>
      <w:pPr>
        <w:ind w:left="1680" w:hanging="420"/>
      </w:pPr>
      <w:rPr>
        <w:rFonts w:hint="default" w:ascii="宋体" w:hAnsi="宋体" w:eastAsia="宋体"/>
        <w:bCs/>
      </w:rPr>
    </w:lvl>
    <w:lvl w:ilvl="4">
      <w:start w:val="1"/>
      <w:numFmt w:val="lowerLetter"/>
      <w:isLgl w:val="false"/>
      <w:suff w:val="tab"/>
      <w:lvlText w:val="%5)"/>
      <w:lvlJc w:val="left"/>
      <w:pPr>
        <w:ind w:left="2100" w:hanging="420"/>
      </w:pPr>
      <w:rPr>
        <w:rFonts w:hint="default" w:ascii="宋体" w:hAnsi="宋体" w:eastAsia="宋体"/>
        <w:bCs/>
      </w:rPr>
    </w:lvl>
    <w:lvl w:ilvl="5">
      <w:start w:val="1"/>
      <w:numFmt w:val="lowerRoman"/>
      <w:isLgl w:val="false"/>
      <w:suff w:val="tab"/>
      <w:lvlText w:val="%6."/>
      <w:lvlJc w:val="left"/>
      <w:pPr>
        <w:ind w:left="2520" w:hanging="420"/>
      </w:pPr>
      <w:rPr>
        <w:rFonts w:hint="default" w:ascii="宋体" w:hAnsi="宋体" w:eastAsia="宋体"/>
        <w:bCs/>
      </w:rPr>
    </w:lvl>
    <w:lvl w:ilvl="6">
      <w:start w:val="1"/>
      <w:numFmt w:val="decimal"/>
      <w:isLgl w:val="false"/>
      <w:suff w:val="tab"/>
      <w:lvlText w:val="%7."/>
      <w:lvlJc w:val="left"/>
      <w:pPr>
        <w:ind w:left="2940" w:hanging="420"/>
      </w:pPr>
      <w:rPr>
        <w:rFonts w:hint="default" w:ascii="宋体" w:hAnsi="宋体" w:eastAsia="宋体"/>
        <w:bCs/>
      </w:rPr>
    </w:lvl>
    <w:lvl w:ilvl="7">
      <w:start w:val="1"/>
      <w:numFmt w:val="lowerLetter"/>
      <w:isLgl w:val="false"/>
      <w:suff w:val="tab"/>
      <w:lvlText w:val="%8)"/>
      <w:lvlJc w:val="left"/>
      <w:pPr>
        <w:ind w:left="3360" w:hanging="420"/>
      </w:pPr>
      <w:rPr>
        <w:rFonts w:hint="default" w:ascii="宋体" w:hAnsi="宋体" w:eastAsia="宋体"/>
        <w:bCs/>
      </w:rPr>
    </w:lvl>
    <w:lvl w:ilvl="8">
      <w:start w:val="1"/>
      <w:numFmt w:val="lowerRoman"/>
      <w:isLgl w:val="false"/>
      <w:suff w:val="tab"/>
      <w:lvlText w:val="%9."/>
      <w:lvlJc w:val="left"/>
      <w:pPr>
        <w:ind w:left="3780" w:hanging="420"/>
      </w:pPr>
      <w:rPr>
        <w:rFonts w:hint="default" w:ascii="宋体" w:hAnsi="宋体" w:eastAsia="宋体"/>
        <w:bC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0" w:hanging="420"/>
      </w:pPr>
      <w:rPr>
        <w:rFonts w:hint="default" w:ascii="宋体" w:hAnsi="宋体" w:eastAsia="宋体"/>
        <w:bCs/>
      </w:rPr>
    </w:lvl>
    <w:lvl w:ilvl="1">
      <w:start w:val="1"/>
      <w:numFmt w:val="lowerLetter"/>
      <w:isLgl w:val="false"/>
      <w:suff w:val="tab"/>
      <w:lvlText w:val="%2)"/>
      <w:lvlJc w:val="left"/>
      <w:pPr>
        <w:ind w:left="840" w:hanging="420"/>
      </w:pPr>
      <w:rPr>
        <w:rFonts w:hint="default" w:ascii="宋体" w:hAnsi="宋体" w:eastAsia="宋体"/>
        <w:bCs/>
      </w:rPr>
    </w:lvl>
    <w:lvl w:ilvl="2">
      <w:start w:val="1"/>
      <w:numFmt w:val="lowerRoman"/>
      <w:isLgl w:val="false"/>
      <w:suff w:val="tab"/>
      <w:lvlText w:val="%3."/>
      <w:lvlJc w:val="left"/>
      <w:pPr>
        <w:ind w:left="1260" w:hanging="420"/>
      </w:pPr>
      <w:rPr>
        <w:rFonts w:hint="default" w:ascii="宋体" w:hAnsi="宋体" w:eastAsia="宋体"/>
        <w:bCs/>
      </w:rPr>
    </w:lvl>
    <w:lvl w:ilvl="3">
      <w:start w:val="1"/>
      <w:numFmt w:val="decimal"/>
      <w:isLgl w:val="false"/>
      <w:suff w:val="tab"/>
      <w:lvlText w:val="%4."/>
      <w:lvlJc w:val="left"/>
      <w:pPr>
        <w:ind w:left="1680" w:hanging="420"/>
      </w:pPr>
      <w:rPr>
        <w:rFonts w:hint="default" w:ascii="宋体" w:hAnsi="宋体" w:eastAsia="宋体"/>
        <w:bCs/>
      </w:rPr>
    </w:lvl>
    <w:lvl w:ilvl="4">
      <w:start w:val="1"/>
      <w:numFmt w:val="lowerLetter"/>
      <w:isLgl w:val="false"/>
      <w:suff w:val="tab"/>
      <w:lvlText w:val="%5)"/>
      <w:lvlJc w:val="left"/>
      <w:pPr>
        <w:ind w:left="2100" w:hanging="420"/>
      </w:pPr>
      <w:rPr>
        <w:rFonts w:hint="default" w:ascii="宋体" w:hAnsi="宋体" w:eastAsia="宋体"/>
        <w:bCs/>
      </w:rPr>
    </w:lvl>
    <w:lvl w:ilvl="5">
      <w:start w:val="1"/>
      <w:numFmt w:val="lowerRoman"/>
      <w:isLgl w:val="false"/>
      <w:suff w:val="tab"/>
      <w:lvlText w:val="%6."/>
      <w:lvlJc w:val="left"/>
      <w:pPr>
        <w:ind w:left="2520" w:hanging="420"/>
      </w:pPr>
      <w:rPr>
        <w:rFonts w:hint="default" w:ascii="宋体" w:hAnsi="宋体" w:eastAsia="宋体"/>
        <w:bCs/>
      </w:rPr>
    </w:lvl>
    <w:lvl w:ilvl="6">
      <w:start w:val="1"/>
      <w:numFmt w:val="decimal"/>
      <w:isLgl w:val="false"/>
      <w:suff w:val="tab"/>
      <w:lvlText w:val="%7."/>
      <w:lvlJc w:val="left"/>
      <w:pPr>
        <w:ind w:left="2940" w:hanging="420"/>
      </w:pPr>
      <w:rPr>
        <w:rFonts w:hint="default" w:ascii="宋体" w:hAnsi="宋体" w:eastAsia="宋体"/>
        <w:bCs/>
      </w:rPr>
    </w:lvl>
    <w:lvl w:ilvl="7">
      <w:start w:val="1"/>
      <w:numFmt w:val="lowerLetter"/>
      <w:isLgl w:val="false"/>
      <w:suff w:val="tab"/>
      <w:lvlText w:val="%8)"/>
      <w:lvlJc w:val="left"/>
      <w:pPr>
        <w:ind w:left="3360" w:hanging="420"/>
      </w:pPr>
      <w:rPr>
        <w:rFonts w:hint="default" w:ascii="宋体" w:hAnsi="宋体" w:eastAsia="宋体"/>
        <w:bCs/>
      </w:rPr>
    </w:lvl>
    <w:lvl w:ilvl="8">
      <w:start w:val="1"/>
      <w:numFmt w:val="lowerRoman"/>
      <w:isLgl w:val="false"/>
      <w:suff w:val="tab"/>
      <w:lvlText w:val="%9."/>
      <w:lvlJc w:val="left"/>
      <w:pPr>
        <w:ind w:left="3780" w:hanging="420"/>
      </w:pPr>
      <w:rPr>
        <w:rFonts w:hint="default" w:ascii="宋体" w:hAnsi="宋体" w:eastAsia="宋体"/>
        <w:bCs/>
      </w:rPr>
    </w:lvl>
  </w:abstractNum>
  <w:abstractNum w:abstractNumId="11">
    <w:multiLevelType w:val="hybridMultilevel"/>
    <w:lvl w:ilvl="0">
      <w:start w:val="1"/>
      <w:numFmt w:val="decimal"/>
      <w:isLgl w:val="false"/>
      <w:suff w:val="tab"/>
      <w:lvlText w:val="%1)"/>
      <w:lvlJc w:val="left"/>
      <w:pPr>
        <w:ind w:left="420" w:hanging="420"/>
      </w:pPr>
      <w:rPr>
        <w:rFonts w:hint="default" w:ascii="宋体" w:hAnsi="宋体" w:eastAsia="宋体"/>
        <w:bCs/>
        <w:sz w:val="24"/>
        <w:szCs w:val="24"/>
      </w:rPr>
    </w:lvl>
    <w:lvl w:ilvl="1">
      <w:start w:val="1"/>
      <w:numFmt w:val="lowerLetter"/>
      <w:isLgl w:val="false"/>
      <w:suff w:val="tab"/>
      <w:lvlText w:val="%2)"/>
      <w:lvlJc w:val="left"/>
      <w:pPr>
        <w:ind w:left="840" w:hanging="420"/>
      </w:pPr>
      <w:rPr>
        <w:rFonts w:hint="default" w:ascii="Calibri" w:hAnsi="Calibri" w:eastAsia="Calibri"/>
        <w:bCs/>
      </w:rPr>
    </w:lvl>
    <w:lvl w:ilvl="2">
      <w:start w:val="1"/>
      <w:numFmt w:val="lowerRoman"/>
      <w:isLgl w:val="false"/>
      <w:suff w:val="tab"/>
      <w:lvlText w:val="%3)"/>
      <w:lvlJc w:val="left"/>
      <w:pPr>
        <w:ind w:left="1260" w:hanging="420"/>
      </w:pPr>
      <w:rPr>
        <w:rFonts w:hint="default" w:ascii="Calibri" w:hAnsi="Calibri" w:eastAsia="Calibri"/>
        <w:bCs/>
      </w:rPr>
    </w:lvl>
    <w:lvl w:ilvl="3">
      <w:start w:val="1"/>
      <w:numFmt w:val="decimal"/>
      <w:isLgl w:val="false"/>
      <w:suff w:val="tab"/>
      <w:lvlText w:val="%4)"/>
      <w:lvlJc w:val="left"/>
      <w:pPr>
        <w:ind w:left="1680" w:hanging="420"/>
      </w:pPr>
      <w:rPr>
        <w:rFonts w:hint="default" w:ascii="Calibri" w:hAnsi="Calibri" w:eastAsia="Calibri"/>
        <w:bCs/>
      </w:rPr>
    </w:lvl>
    <w:lvl w:ilvl="4">
      <w:start w:val="1"/>
      <w:numFmt w:val="lowerLetter"/>
      <w:isLgl w:val="false"/>
      <w:suff w:val="tab"/>
      <w:lvlText w:val="%5)"/>
      <w:lvlJc w:val="left"/>
      <w:pPr>
        <w:ind w:left="2100" w:hanging="420"/>
      </w:pPr>
      <w:rPr>
        <w:rFonts w:hint="default" w:ascii="Calibri" w:hAnsi="Calibri" w:eastAsia="Calibri"/>
        <w:bCs/>
      </w:rPr>
    </w:lvl>
    <w:lvl w:ilvl="5">
      <w:start w:val="1"/>
      <w:numFmt w:val="lowerRoman"/>
      <w:isLgl w:val="false"/>
      <w:suff w:val="tab"/>
      <w:lvlText w:val="%6)"/>
      <w:lvlJc w:val="left"/>
      <w:pPr>
        <w:ind w:left="2520" w:hanging="420"/>
      </w:pPr>
      <w:rPr>
        <w:rFonts w:hint="default" w:ascii="Calibri" w:hAnsi="Calibri" w:eastAsia="Calibri"/>
        <w:bCs/>
      </w:rPr>
    </w:lvl>
    <w:lvl w:ilvl="6">
      <w:start w:val="1"/>
      <w:numFmt w:val="decimal"/>
      <w:isLgl w:val="false"/>
      <w:suff w:val="tab"/>
      <w:lvlText w:val="%7)"/>
      <w:lvlJc w:val="left"/>
      <w:pPr>
        <w:ind w:left="2940" w:hanging="420"/>
      </w:pPr>
      <w:rPr>
        <w:rFonts w:hint="default" w:ascii="Calibri" w:hAnsi="Calibri" w:eastAsia="Calibri"/>
        <w:bCs/>
      </w:rPr>
    </w:lvl>
    <w:lvl w:ilvl="7">
      <w:start w:val="1"/>
      <w:numFmt w:val="lowerLetter"/>
      <w:isLgl w:val="false"/>
      <w:suff w:val="tab"/>
      <w:lvlText w:val="%8)"/>
      <w:lvlJc w:val="left"/>
      <w:pPr>
        <w:ind w:left="3360" w:hanging="420"/>
      </w:pPr>
      <w:rPr>
        <w:rFonts w:hint="default" w:ascii="Calibri" w:hAnsi="Calibri" w:eastAsia="Calibri"/>
        <w:bCs/>
      </w:rPr>
    </w:lvl>
    <w:lvl w:ilvl="8">
      <w:start w:val="1"/>
      <w:numFmt w:val="decimal"/>
      <w:isLgl w:val="false"/>
      <w:suff w:val="tab"/>
      <w:lvlText w:val=""/>
      <w:lvlJc w:val="left"/>
      <w:pPr>
        <w:ind w:left="3780" w:hanging="420"/>
      </w:pPr>
      <w:rPr>
        <w:rFonts w:hint="default" w:ascii="Calibri" w:hAnsi="Calibri" w:eastAsia="Calibri"/>
        <w:bCs/>
      </w:rPr>
    </w:lvl>
  </w:abstractNum>
  <w:abstractNum w:abstractNumId="12">
    <w:multiLevelType w:val="hybridMultilevel"/>
    <w:lvl w:ilvl="0">
      <w:start w:val="1"/>
      <w:numFmt w:val="decimal"/>
      <w:isLgl w:val="false"/>
      <w:suff w:val="tab"/>
      <w:lvlText w:val="%1"/>
      <w:lvlJc w:val="left"/>
      <w:pPr>
        <w:ind w:left="420" w:hanging="420"/>
      </w:pPr>
      <w:rPr>
        <w:rFonts w:hint="default" w:ascii="宋体" w:hAnsi="宋体" w:eastAsia="宋体"/>
        <w:bCs/>
      </w:rPr>
    </w:lvl>
    <w:lvl w:ilvl="1">
      <w:start w:val="1"/>
      <w:numFmt w:val="decimal"/>
      <w:isLgl w:val="false"/>
      <w:suff w:val="tab"/>
      <w:lvlText w:val="%1.%2"/>
      <w:lvlJc w:val="left"/>
      <w:pPr>
        <w:ind w:left="840" w:hanging="420"/>
      </w:pPr>
      <w:rPr>
        <w:rFonts w:hint="default" w:ascii="宋体" w:hAnsi="宋体" w:eastAsia="宋体"/>
        <w:bCs/>
      </w:rPr>
    </w:lvl>
    <w:lvl w:ilvl="2">
      <w:start w:val="1"/>
      <w:numFmt w:val="decimal"/>
      <w:pStyle w:val="1110"/>
      <w:isLgl w:val="false"/>
      <w:suff w:val="tab"/>
      <w:lvlText w:val="%1.%2.%3"/>
      <w:lvlJc w:val="left"/>
      <w:pPr>
        <w:ind w:left="1260" w:hanging="420"/>
      </w:pPr>
      <w:rPr>
        <w:rFonts w:hint="default" w:ascii="宋体" w:hAnsi="宋体" w:eastAsia="宋体"/>
        <w:b/>
        <w:bCs/>
        <w:i w:val="0"/>
        <w:iCs/>
        <w:sz w:val="24"/>
        <w:szCs w:val="24"/>
      </w:rPr>
    </w:lvl>
    <w:lvl w:ilvl="3">
      <w:start w:val="1"/>
      <w:numFmt w:val="decimal"/>
      <w:isLgl w:val="false"/>
      <w:suff w:val="tab"/>
      <w:lvlText w:val="%1.%2.%3.%4"/>
      <w:lvlJc w:val="left"/>
      <w:pPr>
        <w:ind w:left="1680" w:hanging="420"/>
      </w:pPr>
    </w:lvl>
    <w:lvl w:ilvl="4">
      <w:start w:val="1"/>
      <w:numFmt w:val="decimal"/>
      <w:isLgl w:val="false"/>
      <w:suff w:val="tab"/>
      <w:lvlText w:val="%1.%2.%3.%4.%5"/>
      <w:lvlJc w:val="left"/>
      <w:pPr>
        <w:ind w:left="2100" w:hanging="420"/>
      </w:pPr>
      <w:rPr>
        <w:rFonts w:hint="default" w:ascii="宋体" w:hAnsi="宋体" w:eastAsia="宋体"/>
        <w:bCs/>
      </w:rPr>
    </w:lvl>
    <w:lvl w:ilvl="5">
      <w:start w:val="1"/>
      <w:numFmt w:val="decimal"/>
      <w:isLgl w:val="false"/>
      <w:suff w:val="tab"/>
      <w:lvlText w:val="%1.%2.%3.%4.%5.%6"/>
      <w:lvlJc w:val="left"/>
      <w:pPr>
        <w:ind w:left="2520" w:hanging="420"/>
      </w:pPr>
      <w:rPr>
        <w:rFonts w:hint="default" w:ascii="宋体" w:hAnsi="宋体" w:eastAsia="宋体"/>
        <w:bCs/>
      </w:rPr>
    </w:lvl>
    <w:lvl w:ilvl="6">
      <w:start w:val="1"/>
      <w:numFmt w:val="decimal"/>
      <w:isLgl w:val="false"/>
      <w:suff w:val="tab"/>
      <w:lvlText w:val="%1.%2.%3.%4.%5.%6.%7"/>
      <w:lvlJc w:val="left"/>
      <w:pPr>
        <w:ind w:left="2940" w:hanging="420"/>
      </w:pPr>
      <w:rPr>
        <w:rFonts w:hint="default" w:ascii="宋体" w:hAnsi="宋体" w:eastAsia="宋体"/>
        <w:bCs/>
      </w:rPr>
    </w:lvl>
    <w:lvl w:ilvl="7">
      <w:start w:val="1"/>
      <w:numFmt w:val="decimal"/>
      <w:isLgl w:val="false"/>
      <w:suff w:val="tab"/>
      <w:lvlText w:val="%1.%2.%3.%4.%5.%6.%7.%8"/>
      <w:lvlJc w:val="left"/>
      <w:pPr>
        <w:ind w:left="3360" w:hanging="420"/>
      </w:pPr>
      <w:rPr>
        <w:rFonts w:hint="default" w:ascii="宋体" w:hAnsi="宋体" w:eastAsia="宋体"/>
        <w:bCs/>
      </w:rPr>
    </w:lvl>
    <w:lvl w:ilvl="8">
      <w:start w:val="1"/>
      <w:numFmt w:val="decimal"/>
      <w:isLgl w:val="false"/>
      <w:suff w:val="tab"/>
      <w:lvlText w:val="%1.%2.%3.%4.%5.%6.%7.%8.%9"/>
      <w:lvlJc w:val="left"/>
      <w:pPr>
        <w:ind w:left="3780" w:hanging="420"/>
      </w:pPr>
      <w:rPr>
        <w:rFonts w:hint="default" w:ascii="宋体" w:hAnsi="宋体" w:eastAsia="宋体"/>
        <w:bCs/>
      </w:rPr>
    </w:lvl>
  </w:abstractNum>
  <w:abstractNum w:abstractNumId="13">
    <w:multiLevelType w:val="hybridMultilevel"/>
    <w:lvl w:ilvl="0">
      <w:start w:val="1"/>
      <w:numFmt w:val="decimal"/>
      <w:isLgl w:val="false"/>
      <w:suff w:val="space"/>
      <w:lvlText w:val="%1."/>
      <w:lvlJc w:val="left"/>
      <w:pPr>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0" w:hanging="420"/>
      </w:pPr>
      <w:rPr>
        <w:rFonts w:hint="default"/>
        <w:b w:val="0"/>
        <w:bCs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0" w:hanging="420"/>
      </w:pPr>
      <w:rPr>
        <w:rFonts w:hint="default" w:ascii="宋体" w:hAnsi="宋体" w:eastAsia="宋体"/>
        <w:bCs/>
      </w:rPr>
    </w:lvl>
    <w:lvl w:ilvl="1">
      <w:start w:val="1"/>
      <w:numFmt w:val="lowerLetter"/>
      <w:isLgl w:val="false"/>
      <w:suff w:val="tab"/>
      <w:lvlText w:val="%2)"/>
      <w:lvlJc w:val="left"/>
      <w:pPr>
        <w:ind w:left="840" w:hanging="420"/>
      </w:pPr>
      <w:rPr>
        <w:rFonts w:hint="default" w:ascii="宋体" w:hAnsi="宋体" w:eastAsia="宋体"/>
        <w:bCs/>
      </w:rPr>
    </w:lvl>
    <w:lvl w:ilvl="2">
      <w:start w:val="1"/>
      <w:numFmt w:val="lowerRoman"/>
      <w:isLgl w:val="false"/>
      <w:suff w:val="tab"/>
      <w:lvlText w:val="%3."/>
      <w:lvlJc w:val="left"/>
      <w:pPr>
        <w:ind w:left="1260" w:hanging="420"/>
      </w:pPr>
      <w:rPr>
        <w:rFonts w:hint="default" w:ascii="宋体" w:hAnsi="宋体" w:eastAsia="宋体"/>
        <w:bCs/>
      </w:rPr>
    </w:lvl>
    <w:lvl w:ilvl="3">
      <w:start w:val="1"/>
      <w:numFmt w:val="decimal"/>
      <w:isLgl w:val="false"/>
      <w:suff w:val="tab"/>
      <w:lvlText w:val="%4."/>
      <w:lvlJc w:val="left"/>
      <w:pPr>
        <w:ind w:left="1680" w:hanging="420"/>
      </w:pPr>
      <w:rPr>
        <w:rFonts w:hint="default" w:ascii="宋体" w:hAnsi="宋体" w:eastAsia="宋体"/>
        <w:bCs/>
      </w:rPr>
    </w:lvl>
    <w:lvl w:ilvl="4">
      <w:start w:val="1"/>
      <w:numFmt w:val="lowerLetter"/>
      <w:isLgl w:val="false"/>
      <w:suff w:val="tab"/>
      <w:lvlText w:val="%5)"/>
      <w:lvlJc w:val="left"/>
      <w:pPr>
        <w:ind w:left="2100" w:hanging="420"/>
      </w:pPr>
      <w:rPr>
        <w:rFonts w:hint="default" w:ascii="宋体" w:hAnsi="宋体" w:eastAsia="宋体"/>
        <w:bCs/>
      </w:rPr>
    </w:lvl>
    <w:lvl w:ilvl="5">
      <w:start w:val="1"/>
      <w:numFmt w:val="lowerRoman"/>
      <w:isLgl w:val="false"/>
      <w:suff w:val="tab"/>
      <w:lvlText w:val="%6."/>
      <w:lvlJc w:val="left"/>
      <w:pPr>
        <w:ind w:left="2520" w:hanging="420"/>
      </w:pPr>
      <w:rPr>
        <w:rFonts w:hint="default" w:ascii="宋体" w:hAnsi="宋体" w:eastAsia="宋体"/>
        <w:bCs/>
      </w:rPr>
    </w:lvl>
    <w:lvl w:ilvl="6">
      <w:start w:val="1"/>
      <w:numFmt w:val="decimal"/>
      <w:isLgl w:val="false"/>
      <w:suff w:val="tab"/>
      <w:lvlText w:val="%7."/>
      <w:lvlJc w:val="left"/>
      <w:pPr>
        <w:ind w:left="2940" w:hanging="420"/>
      </w:pPr>
      <w:rPr>
        <w:rFonts w:hint="default" w:ascii="宋体" w:hAnsi="宋体" w:eastAsia="宋体"/>
        <w:bCs/>
      </w:rPr>
    </w:lvl>
    <w:lvl w:ilvl="7">
      <w:start w:val="1"/>
      <w:numFmt w:val="lowerLetter"/>
      <w:isLgl w:val="false"/>
      <w:suff w:val="tab"/>
      <w:lvlText w:val="%8)"/>
      <w:lvlJc w:val="left"/>
      <w:pPr>
        <w:ind w:left="3360" w:hanging="420"/>
      </w:pPr>
      <w:rPr>
        <w:rFonts w:hint="default" w:ascii="宋体" w:hAnsi="宋体" w:eastAsia="宋体"/>
        <w:bCs/>
      </w:rPr>
    </w:lvl>
    <w:lvl w:ilvl="8">
      <w:start w:val="1"/>
      <w:numFmt w:val="lowerRoman"/>
      <w:isLgl w:val="false"/>
      <w:suff w:val="tab"/>
      <w:lvlText w:val="%9."/>
      <w:lvlJc w:val="left"/>
      <w:pPr>
        <w:ind w:left="3780" w:hanging="420"/>
      </w:pPr>
      <w:rPr>
        <w:rFonts w:hint="default" w:ascii="宋体" w:hAnsi="宋体" w:eastAsia="宋体"/>
        <w:bC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0" w:hanging="420"/>
      </w:pPr>
      <w:rPr>
        <w:rFonts w:hint="default" w:ascii="宋体" w:hAnsi="宋体" w:eastAsia="宋体"/>
        <w:bCs/>
      </w:rPr>
    </w:lvl>
    <w:lvl w:ilvl="1">
      <w:start w:val="1"/>
      <w:numFmt w:val="lowerLetter"/>
      <w:isLgl w:val="false"/>
      <w:suff w:val="tab"/>
      <w:lvlText w:val="%2)"/>
      <w:lvlJc w:val="left"/>
      <w:pPr>
        <w:ind w:left="840" w:hanging="420"/>
      </w:pPr>
      <w:rPr>
        <w:rFonts w:hint="default" w:ascii="宋体" w:hAnsi="宋体" w:eastAsia="宋体"/>
        <w:bCs/>
      </w:rPr>
    </w:lvl>
    <w:lvl w:ilvl="2">
      <w:start w:val="1"/>
      <w:numFmt w:val="lowerRoman"/>
      <w:isLgl w:val="false"/>
      <w:suff w:val="tab"/>
      <w:lvlText w:val="%3."/>
      <w:lvlJc w:val="left"/>
      <w:pPr>
        <w:ind w:left="1260" w:hanging="420"/>
      </w:pPr>
      <w:rPr>
        <w:rFonts w:hint="default" w:ascii="宋体" w:hAnsi="宋体" w:eastAsia="宋体"/>
        <w:bCs/>
      </w:rPr>
    </w:lvl>
    <w:lvl w:ilvl="3">
      <w:start w:val="1"/>
      <w:numFmt w:val="decimal"/>
      <w:isLgl w:val="false"/>
      <w:suff w:val="tab"/>
      <w:lvlText w:val="%4."/>
      <w:lvlJc w:val="left"/>
      <w:pPr>
        <w:ind w:left="1680" w:hanging="420"/>
      </w:pPr>
      <w:rPr>
        <w:rFonts w:hint="default" w:ascii="宋体" w:hAnsi="宋体" w:eastAsia="宋体"/>
        <w:bCs/>
      </w:rPr>
    </w:lvl>
    <w:lvl w:ilvl="4">
      <w:start w:val="1"/>
      <w:numFmt w:val="lowerLetter"/>
      <w:isLgl w:val="false"/>
      <w:suff w:val="tab"/>
      <w:lvlText w:val="%5)"/>
      <w:lvlJc w:val="left"/>
      <w:pPr>
        <w:ind w:left="2100" w:hanging="420"/>
      </w:pPr>
      <w:rPr>
        <w:rFonts w:hint="default" w:ascii="宋体" w:hAnsi="宋体" w:eastAsia="宋体"/>
        <w:bCs/>
      </w:rPr>
    </w:lvl>
    <w:lvl w:ilvl="5">
      <w:start w:val="1"/>
      <w:numFmt w:val="lowerRoman"/>
      <w:isLgl w:val="false"/>
      <w:suff w:val="tab"/>
      <w:lvlText w:val="%6."/>
      <w:lvlJc w:val="left"/>
      <w:pPr>
        <w:ind w:left="2520" w:hanging="420"/>
      </w:pPr>
      <w:rPr>
        <w:rFonts w:hint="default" w:ascii="宋体" w:hAnsi="宋体" w:eastAsia="宋体"/>
        <w:bCs/>
      </w:rPr>
    </w:lvl>
    <w:lvl w:ilvl="6">
      <w:start w:val="1"/>
      <w:numFmt w:val="decimal"/>
      <w:isLgl w:val="false"/>
      <w:suff w:val="tab"/>
      <w:lvlText w:val="%7."/>
      <w:lvlJc w:val="left"/>
      <w:pPr>
        <w:ind w:left="2940" w:hanging="420"/>
      </w:pPr>
      <w:rPr>
        <w:rFonts w:hint="default" w:ascii="宋体" w:hAnsi="宋体" w:eastAsia="宋体"/>
        <w:bCs/>
      </w:rPr>
    </w:lvl>
    <w:lvl w:ilvl="7">
      <w:start w:val="1"/>
      <w:numFmt w:val="lowerLetter"/>
      <w:isLgl w:val="false"/>
      <w:suff w:val="tab"/>
      <w:lvlText w:val="%8)"/>
      <w:lvlJc w:val="left"/>
      <w:pPr>
        <w:ind w:left="3360" w:hanging="420"/>
      </w:pPr>
      <w:rPr>
        <w:rFonts w:hint="default" w:ascii="宋体" w:hAnsi="宋体" w:eastAsia="宋体"/>
        <w:bCs/>
      </w:rPr>
    </w:lvl>
    <w:lvl w:ilvl="8">
      <w:start w:val="1"/>
      <w:numFmt w:val="lowerRoman"/>
      <w:isLgl w:val="false"/>
      <w:suff w:val="tab"/>
      <w:lvlText w:val="%9."/>
      <w:lvlJc w:val="left"/>
      <w:pPr>
        <w:ind w:left="3780" w:hanging="420"/>
      </w:pPr>
      <w:rPr>
        <w:rFonts w:hint="default" w:ascii="宋体" w:hAnsi="宋体" w:eastAsia="宋体"/>
        <w:bCs/>
      </w:rPr>
    </w:lvl>
  </w:abstractNum>
  <w:abstractNum w:abstractNumId="18">
    <w:multiLevelType w:val="hybridMultilevel"/>
    <w:lvl w:ilvl="0">
      <w:start w:val="1"/>
      <w:numFmt w:val="decimal"/>
      <w:isLgl w:val="false"/>
      <w:suff w:val="tab"/>
      <w:lvlText w:val="%1)"/>
      <w:lvlJc w:val="left"/>
      <w:pPr>
        <w:ind w:left="420" w:hanging="420"/>
      </w:pPr>
      <w:rPr>
        <w:rFonts w:hint="default" w:ascii="宋体" w:hAnsi="宋体" w:eastAsia="宋体"/>
        <w:bCs/>
      </w:rPr>
    </w:lvl>
    <w:lvl w:ilvl="1">
      <w:start w:val="1"/>
      <w:numFmt w:val="lowerLetter"/>
      <w:isLgl w:val="false"/>
      <w:suff w:val="tab"/>
      <w:lvlText w:val="%2)"/>
      <w:lvlJc w:val="left"/>
      <w:pPr>
        <w:ind w:left="840" w:hanging="420"/>
      </w:pPr>
      <w:rPr>
        <w:rFonts w:hint="default" w:ascii="宋体" w:hAnsi="宋体" w:eastAsia="宋体"/>
        <w:bCs/>
      </w:rPr>
    </w:lvl>
    <w:lvl w:ilvl="2">
      <w:start w:val="1"/>
      <w:numFmt w:val="lowerRoman"/>
      <w:isLgl w:val="false"/>
      <w:suff w:val="tab"/>
      <w:lvlText w:val="%3."/>
      <w:lvlJc w:val="left"/>
      <w:pPr>
        <w:ind w:left="1260" w:hanging="420"/>
      </w:pPr>
      <w:rPr>
        <w:rFonts w:hint="default" w:ascii="宋体" w:hAnsi="宋体" w:eastAsia="宋体"/>
        <w:bCs/>
      </w:rPr>
    </w:lvl>
    <w:lvl w:ilvl="3">
      <w:start w:val="1"/>
      <w:numFmt w:val="decimal"/>
      <w:isLgl w:val="false"/>
      <w:suff w:val="tab"/>
      <w:lvlText w:val="%4."/>
      <w:lvlJc w:val="left"/>
      <w:pPr>
        <w:ind w:left="1680" w:hanging="420"/>
      </w:pPr>
      <w:rPr>
        <w:rFonts w:hint="default" w:ascii="宋体" w:hAnsi="宋体" w:eastAsia="宋体"/>
        <w:bCs/>
      </w:rPr>
    </w:lvl>
    <w:lvl w:ilvl="4">
      <w:start w:val="1"/>
      <w:numFmt w:val="lowerLetter"/>
      <w:isLgl w:val="false"/>
      <w:suff w:val="tab"/>
      <w:lvlText w:val="%5)"/>
      <w:lvlJc w:val="left"/>
      <w:pPr>
        <w:ind w:left="2100" w:hanging="420"/>
      </w:pPr>
      <w:rPr>
        <w:rFonts w:hint="default" w:ascii="宋体" w:hAnsi="宋体" w:eastAsia="宋体"/>
        <w:bCs/>
      </w:rPr>
    </w:lvl>
    <w:lvl w:ilvl="5">
      <w:start w:val="1"/>
      <w:numFmt w:val="lowerRoman"/>
      <w:isLgl w:val="false"/>
      <w:suff w:val="tab"/>
      <w:lvlText w:val="%6."/>
      <w:lvlJc w:val="left"/>
      <w:pPr>
        <w:ind w:left="2520" w:hanging="420"/>
      </w:pPr>
      <w:rPr>
        <w:rFonts w:hint="default" w:ascii="宋体" w:hAnsi="宋体" w:eastAsia="宋体"/>
        <w:bCs/>
      </w:rPr>
    </w:lvl>
    <w:lvl w:ilvl="6">
      <w:start w:val="1"/>
      <w:numFmt w:val="decimal"/>
      <w:isLgl w:val="false"/>
      <w:suff w:val="tab"/>
      <w:lvlText w:val="%7."/>
      <w:lvlJc w:val="left"/>
      <w:pPr>
        <w:ind w:left="2940" w:hanging="420"/>
      </w:pPr>
      <w:rPr>
        <w:rFonts w:hint="default" w:ascii="宋体" w:hAnsi="宋体" w:eastAsia="宋体"/>
        <w:bCs/>
      </w:rPr>
    </w:lvl>
    <w:lvl w:ilvl="7">
      <w:start w:val="1"/>
      <w:numFmt w:val="lowerLetter"/>
      <w:isLgl w:val="false"/>
      <w:suff w:val="tab"/>
      <w:lvlText w:val="%8)"/>
      <w:lvlJc w:val="left"/>
      <w:pPr>
        <w:ind w:left="3360" w:hanging="420"/>
      </w:pPr>
      <w:rPr>
        <w:rFonts w:hint="default" w:ascii="宋体" w:hAnsi="宋体" w:eastAsia="宋体"/>
        <w:bCs/>
      </w:rPr>
    </w:lvl>
    <w:lvl w:ilvl="8">
      <w:start w:val="1"/>
      <w:numFmt w:val="lowerRoman"/>
      <w:isLgl w:val="false"/>
      <w:suff w:val="tab"/>
      <w:lvlText w:val="%9."/>
      <w:lvlJc w:val="left"/>
      <w:pPr>
        <w:ind w:left="3780" w:hanging="420"/>
      </w:pPr>
      <w:rPr>
        <w:rFonts w:hint="default" w:ascii="宋体" w:hAnsi="宋体" w:eastAsia="宋体"/>
        <w:bCs/>
      </w:rPr>
    </w:lvl>
  </w:abstractNum>
  <w:abstractNum w:abstractNumId="19">
    <w:multiLevelType w:val="hybridMultilevel"/>
    <w:lvl w:ilvl="0">
      <w:start w:val="1"/>
      <w:numFmt w:val="decimal"/>
      <w:isLgl w:val="false"/>
      <w:suff w:val="tab"/>
      <w:lvlText w:val="%1)"/>
      <w:lvlJc w:val="left"/>
      <w:pPr>
        <w:ind w:left="420" w:hanging="420"/>
      </w:pPr>
      <w:rPr>
        <w:rFonts w:hint="default" w:ascii="宋体" w:hAnsi="宋体" w:eastAsia="宋体"/>
        <w:bCs/>
        <w:sz w:val="24"/>
        <w:szCs w:val="24"/>
      </w:rPr>
    </w:lvl>
    <w:lvl w:ilvl="1">
      <w:start w:val="1"/>
      <w:numFmt w:val="lowerLetter"/>
      <w:isLgl w:val="false"/>
      <w:suff w:val="tab"/>
      <w:lvlText w:val="%2)"/>
      <w:lvlJc w:val="left"/>
      <w:pPr>
        <w:ind w:left="840" w:hanging="420"/>
      </w:pPr>
      <w:rPr>
        <w:rFonts w:hint="default" w:ascii="Calibri" w:hAnsi="Calibri" w:eastAsia="Calibri"/>
        <w:bCs/>
      </w:rPr>
    </w:lvl>
    <w:lvl w:ilvl="2">
      <w:start w:val="1"/>
      <w:numFmt w:val="lowerRoman"/>
      <w:isLgl w:val="false"/>
      <w:suff w:val="tab"/>
      <w:lvlText w:val="%3)"/>
      <w:lvlJc w:val="left"/>
      <w:pPr>
        <w:ind w:left="1260" w:hanging="420"/>
      </w:pPr>
      <w:rPr>
        <w:rFonts w:hint="default" w:ascii="Calibri" w:hAnsi="Calibri" w:eastAsia="Calibri"/>
        <w:bCs/>
      </w:rPr>
    </w:lvl>
    <w:lvl w:ilvl="3">
      <w:start w:val="1"/>
      <w:numFmt w:val="decimal"/>
      <w:isLgl w:val="false"/>
      <w:suff w:val="tab"/>
      <w:lvlText w:val="%4)"/>
      <w:lvlJc w:val="left"/>
      <w:pPr>
        <w:ind w:left="1680" w:hanging="420"/>
      </w:pPr>
      <w:rPr>
        <w:rFonts w:hint="default" w:ascii="Calibri" w:hAnsi="Calibri" w:eastAsia="Calibri"/>
        <w:bCs/>
      </w:rPr>
    </w:lvl>
    <w:lvl w:ilvl="4">
      <w:start w:val="1"/>
      <w:numFmt w:val="lowerLetter"/>
      <w:isLgl w:val="false"/>
      <w:suff w:val="tab"/>
      <w:lvlText w:val="%5)"/>
      <w:lvlJc w:val="left"/>
      <w:pPr>
        <w:ind w:left="2100" w:hanging="420"/>
      </w:pPr>
      <w:rPr>
        <w:rFonts w:hint="default" w:ascii="Calibri" w:hAnsi="Calibri" w:eastAsia="Calibri"/>
        <w:bCs/>
      </w:rPr>
    </w:lvl>
    <w:lvl w:ilvl="5">
      <w:start w:val="1"/>
      <w:numFmt w:val="lowerRoman"/>
      <w:isLgl w:val="false"/>
      <w:suff w:val="tab"/>
      <w:lvlText w:val="%6)"/>
      <w:lvlJc w:val="left"/>
      <w:pPr>
        <w:ind w:left="2520" w:hanging="420"/>
      </w:pPr>
      <w:rPr>
        <w:rFonts w:hint="default" w:ascii="Calibri" w:hAnsi="Calibri" w:eastAsia="Calibri"/>
        <w:bCs/>
      </w:rPr>
    </w:lvl>
    <w:lvl w:ilvl="6">
      <w:start w:val="1"/>
      <w:numFmt w:val="decimal"/>
      <w:isLgl w:val="false"/>
      <w:suff w:val="tab"/>
      <w:lvlText w:val="%7)"/>
      <w:lvlJc w:val="left"/>
      <w:pPr>
        <w:ind w:left="2940" w:hanging="420"/>
      </w:pPr>
      <w:rPr>
        <w:rFonts w:hint="default" w:ascii="Calibri" w:hAnsi="Calibri" w:eastAsia="Calibri"/>
        <w:bCs/>
      </w:rPr>
    </w:lvl>
    <w:lvl w:ilvl="7">
      <w:start w:val="1"/>
      <w:numFmt w:val="lowerLetter"/>
      <w:isLgl w:val="false"/>
      <w:suff w:val="tab"/>
      <w:lvlText w:val="%8)"/>
      <w:lvlJc w:val="left"/>
      <w:pPr>
        <w:ind w:left="3360" w:hanging="420"/>
      </w:pPr>
      <w:rPr>
        <w:rFonts w:hint="default" w:ascii="Calibri" w:hAnsi="Calibri" w:eastAsia="Calibri"/>
        <w:bCs/>
      </w:rPr>
    </w:lvl>
    <w:lvl w:ilvl="8">
      <w:start w:val="1"/>
      <w:numFmt w:val="decimal"/>
      <w:isLgl w:val="false"/>
      <w:suff w:val="tab"/>
      <w:lvlText w:val=""/>
      <w:lvlJc w:val="left"/>
      <w:pPr>
        <w:ind w:left="3780" w:hanging="420"/>
      </w:pPr>
      <w:rPr>
        <w:rFonts w:hint="default" w:ascii="Calibri" w:hAnsi="Calibri" w:eastAsia="Calibri"/>
        <w:bCs/>
      </w:rPr>
    </w:lvl>
  </w:abstractNum>
  <w:abstractNum w:abstractNumId="20">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420" w:hanging="420"/>
      </w:pPr>
      <w:rPr>
        <w:rFonts w:hint="default"/>
        <w:b w:val="0"/>
        <w:bCs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420" w:hanging="420"/>
      </w:pPr>
      <w:rPr>
        <w:rFonts w:hint="default" w:ascii="宋体" w:hAnsi="宋体" w:eastAsia="宋体"/>
        <w:bCs/>
        <w:sz w:val="24"/>
        <w:szCs w:val="24"/>
      </w:rPr>
    </w:lvl>
    <w:lvl w:ilvl="1">
      <w:start w:val="1"/>
      <w:numFmt w:val="lowerLetter"/>
      <w:isLgl w:val="false"/>
      <w:suff w:val="tab"/>
      <w:lvlText w:val="%2)"/>
      <w:lvlJc w:val="left"/>
      <w:pPr>
        <w:ind w:left="840" w:hanging="420"/>
      </w:pPr>
      <w:rPr>
        <w:rFonts w:hint="default" w:ascii="Calibri" w:hAnsi="Calibri" w:eastAsia="Calibri"/>
        <w:bCs/>
      </w:rPr>
    </w:lvl>
    <w:lvl w:ilvl="2">
      <w:start w:val="1"/>
      <w:numFmt w:val="lowerRoman"/>
      <w:isLgl w:val="false"/>
      <w:suff w:val="tab"/>
      <w:lvlText w:val="%3)"/>
      <w:lvlJc w:val="left"/>
      <w:pPr>
        <w:ind w:left="1260" w:hanging="420"/>
      </w:pPr>
      <w:rPr>
        <w:rFonts w:hint="default" w:ascii="Calibri" w:hAnsi="Calibri" w:eastAsia="Calibri"/>
        <w:bCs/>
      </w:rPr>
    </w:lvl>
    <w:lvl w:ilvl="3">
      <w:start w:val="1"/>
      <w:numFmt w:val="decimal"/>
      <w:isLgl w:val="false"/>
      <w:suff w:val="tab"/>
      <w:lvlText w:val="%4)"/>
      <w:lvlJc w:val="left"/>
      <w:pPr>
        <w:ind w:left="1680" w:hanging="420"/>
      </w:pPr>
      <w:rPr>
        <w:rFonts w:hint="default" w:ascii="Calibri" w:hAnsi="Calibri" w:eastAsia="Calibri"/>
        <w:bCs/>
      </w:rPr>
    </w:lvl>
    <w:lvl w:ilvl="4">
      <w:start w:val="1"/>
      <w:numFmt w:val="lowerLetter"/>
      <w:isLgl w:val="false"/>
      <w:suff w:val="tab"/>
      <w:lvlText w:val="%5)"/>
      <w:lvlJc w:val="left"/>
      <w:pPr>
        <w:ind w:left="2100" w:hanging="420"/>
      </w:pPr>
      <w:rPr>
        <w:rFonts w:hint="default" w:ascii="Calibri" w:hAnsi="Calibri" w:eastAsia="Calibri"/>
        <w:bCs/>
      </w:rPr>
    </w:lvl>
    <w:lvl w:ilvl="5">
      <w:start w:val="1"/>
      <w:numFmt w:val="lowerRoman"/>
      <w:isLgl w:val="false"/>
      <w:suff w:val="tab"/>
      <w:lvlText w:val="%6)"/>
      <w:lvlJc w:val="left"/>
      <w:pPr>
        <w:ind w:left="2520" w:hanging="420"/>
      </w:pPr>
      <w:rPr>
        <w:rFonts w:hint="default" w:ascii="Calibri" w:hAnsi="Calibri" w:eastAsia="Calibri"/>
        <w:bCs/>
      </w:rPr>
    </w:lvl>
    <w:lvl w:ilvl="6">
      <w:start w:val="1"/>
      <w:numFmt w:val="decimal"/>
      <w:isLgl w:val="false"/>
      <w:suff w:val="tab"/>
      <w:lvlText w:val="%7)"/>
      <w:lvlJc w:val="left"/>
      <w:pPr>
        <w:ind w:left="2940" w:hanging="420"/>
      </w:pPr>
      <w:rPr>
        <w:rFonts w:hint="default" w:ascii="Calibri" w:hAnsi="Calibri" w:eastAsia="Calibri"/>
        <w:bCs/>
      </w:rPr>
    </w:lvl>
    <w:lvl w:ilvl="7">
      <w:start w:val="1"/>
      <w:numFmt w:val="lowerLetter"/>
      <w:isLgl w:val="false"/>
      <w:suff w:val="tab"/>
      <w:lvlText w:val="%8)"/>
      <w:lvlJc w:val="left"/>
      <w:pPr>
        <w:ind w:left="3360" w:hanging="420"/>
      </w:pPr>
      <w:rPr>
        <w:rFonts w:hint="default" w:ascii="Calibri" w:hAnsi="Calibri" w:eastAsia="Calibri"/>
        <w:bCs/>
      </w:rPr>
    </w:lvl>
    <w:lvl w:ilvl="8">
      <w:start w:val="1"/>
      <w:numFmt w:val="decimal"/>
      <w:isLgl w:val="false"/>
      <w:suff w:val="tab"/>
      <w:lvlText w:val=""/>
      <w:lvlJc w:val="left"/>
      <w:pPr>
        <w:ind w:left="3780" w:hanging="420"/>
      </w:pPr>
      <w:rPr>
        <w:rFonts w:hint="default" w:ascii="Calibri" w:hAnsi="Calibri" w:eastAsia="Calibri"/>
        <w:bCs/>
      </w:rPr>
    </w:lvl>
  </w:abstractNum>
  <w:abstractNum w:abstractNumId="30">
    <w:multiLevelType w:val="hybridMultilevel"/>
    <w:lvl w:ilvl="0">
      <w:start w:val="1"/>
      <w:numFmt w:val="bullet"/>
      <w:isLgl w:val="false"/>
      <w:suff w:val="tab"/>
      <w:lvlText w:val=""/>
      <w:lvlJc w:val="left"/>
      <w:pPr>
        <w:ind w:left="84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2"/>
  </w:num>
  <w:num w:numId="2">
    <w:abstractNumId w:val="3"/>
  </w:num>
  <w:num w:numId="3">
    <w:abstractNumId w:val="0"/>
  </w:num>
  <w:num w:numId="4">
    <w:abstractNumId w:val="25"/>
  </w:num>
  <w:num w:numId="5">
    <w:abstractNumId w:val="23"/>
  </w:num>
  <w:num w:numId="6">
    <w:abstractNumId w:val="2"/>
  </w:num>
  <w:num w:numId="7">
    <w:abstractNumId w:val="13"/>
  </w:num>
  <w:num w:numId="8">
    <w:abstractNumId w:val="11"/>
  </w:num>
  <w:num w:numId="9">
    <w:abstractNumId w:val="19"/>
  </w:num>
  <w:num w:numId="10">
    <w:abstractNumId w:val="4"/>
  </w:num>
  <w:num w:numId="11">
    <w:abstractNumId w:val="29"/>
  </w:num>
  <w:num w:numId="12">
    <w:abstractNumId w:val="5"/>
  </w:num>
  <w:num w:numId="13">
    <w:abstractNumId w:val="22"/>
  </w:num>
  <w:num w:numId="14">
    <w:abstractNumId w:val="14"/>
  </w:num>
  <w:num w:numId="15">
    <w:abstractNumId w:val="20"/>
  </w:num>
  <w:num w:numId="16">
    <w:abstractNumId w:val="7"/>
  </w:num>
  <w:num w:numId="17">
    <w:abstractNumId w:val="28"/>
  </w:num>
  <w:num w:numId="18">
    <w:abstractNumId w:val="24"/>
  </w:num>
  <w:num w:numId="19">
    <w:abstractNumId w:val="6"/>
  </w:num>
  <w:num w:numId="20">
    <w:abstractNumId w:val="8"/>
  </w:num>
  <w:num w:numId="21">
    <w:abstractNumId w:val="30"/>
  </w:num>
  <w:num w:numId="22">
    <w:abstractNumId w:val="17"/>
  </w:num>
  <w:num w:numId="23">
    <w:abstractNumId w:val="10"/>
  </w:num>
  <w:num w:numId="24">
    <w:abstractNumId w:val="15"/>
  </w:num>
  <w:num w:numId="25">
    <w:abstractNumId w:val="26"/>
  </w:num>
  <w:num w:numId="26">
    <w:abstractNumId w:val="27"/>
  </w:num>
  <w:num w:numId="27">
    <w:abstractNumId w:val="9"/>
  </w:num>
  <w:num w:numId="28">
    <w:abstractNumId w:val="21"/>
  </w:num>
  <w:num w:numId="29">
    <w:abstractNumId w:val="18"/>
  </w:num>
  <w:num w:numId="30">
    <w:abstractNumId w:val="16"/>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default="1">
    <w:name w:val="Normal"/>
    <w:next w:val="805"/>
    <w:link w:val="1100"/>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94">
    <w:name w:val="Heading 1"/>
    <w:basedOn w:val="793"/>
    <w:next w:val="793"/>
    <w:link w:val="868"/>
    <w:uiPriority w:val="9"/>
    <w:qFormat/>
    <w:pPr>
      <w:jc w:val="center"/>
      <w:keepLines/>
      <w:keepNext/>
      <w:spacing w:before="100" w:after="100" w:line="240" w:lineRule="auto"/>
      <w:outlineLvl w:val="0"/>
    </w:pPr>
    <w:rPr>
      <w:rFonts w:ascii="Arial" w:hAnsi="Arial" w:cs="Arial"/>
      <w:b/>
      <w:szCs w:val="40"/>
    </w:rPr>
  </w:style>
  <w:style w:type="paragraph" w:styleId="795">
    <w:name w:val="Heading 2"/>
    <w:basedOn w:val="793"/>
    <w:next w:val="793"/>
    <w:link w:val="869"/>
    <w:uiPriority w:val="9"/>
    <w:unhideWhenUsed/>
    <w:qFormat/>
    <w:pPr>
      <w:keepLines/>
      <w:keepNext/>
      <w:spacing w:before="360" w:after="200"/>
      <w:outlineLvl w:val="1"/>
    </w:pPr>
    <w:rPr>
      <w:rFonts w:ascii="Arial" w:hAnsi="Arial" w:eastAsia="Arial" w:cs="Arial"/>
      <w:sz w:val="34"/>
    </w:rPr>
  </w:style>
  <w:style w:type="paragraph" w:styleId="796">
    <w:name w:val="Heading 3"/>
    <w:basedOn w:val="793"/>
    <w:next w:val="793"/>
    <w:link w:val="870"/>
    <w:uiPriority w:val="9"/>
    <w:unhideWhenUsed/>
    <w:qFormat/>
    <w:pPr>
      <w:keepLines/>
      <w:keepNext/>
      <w:spacing w:before="320" w:after="200"/>
      <w:outlineLvl w:val="2"/>
    </w:pPr>
    <w:rPr>
      <w:rFonts w:ascii="Arial" w:hAnsi="Arial" w:eastAsia="Arial" w:cs="Arial"/>
      <w:sz w:val="30"/>
      <w:szCs w:val="30"/>
    </w:rPr>
  </w:style>
  <w:style w:type="paragraph" w:styleId="797">
    <w:name w:val="Heading 4"/>
    <w:basedOn w:val="793"/>
    <w:next w:val="793"/>
    <w:link w:val="871"/>
    <w:uiPriority w:val="9"/>
    <w:unhideWhenUsed/>
    <w:qFormat/>
    <w:pPr>
      <w:keepLines/>
      <w:keepNext/>
      <w:spacing w:before="320" w:after="200"/>
      <w:outlineLvl w:val="3"/>
    </w:pPr>
    <w:rPr>
      <w:rFonts w:ascii="Arial" w:hAnsi="Arial" w:eastAsia="Arial" w:cs="Arial"/>
      <w:b/>
      <w:bCs/>
      <w:sz w:val="26"/>
      <w:szCs w:val="26"/>
    </w:rPr>
  </w:style>
  <w:style w:type="paragraph" w:styleId="798">
    <w:name w:val="Heading 5"/>
    <w:basedOn w:val="793"/>
    <w:next w:val="793"/>
    <w:link w:val="872"/>
    <w:uiPriority w:val="9"/>
    <w:unhideWhenUsed/>
    <w:qFormat/>
    <w:pPr>
      <w:keepLines/>
      <w:keepNext/>
      <w:spacing w:before="320" w:after="200"/>
      <w:outlineLvl w:val="4"/>
    </w:pPr>
    <w:rPr>
      <w:rFonts w:ascii="Arial" w:hAnsi="Arial" w:eastAsia="Arial" w:cs="Arial"/>
      <w:b/>
      <w:bCs/>
      <w:sz w:val="24"/>
      <w:szCs w:val="24"/>
    </w:rPr>
  </w:style>
  <w:style w:type="paragraph" w:styleId="799">
    <w:name w:val="Heading 6"/>
    <w:basedOn w:val="793"/>
    <w:next w:val="793"/>
    <w:link w:val="873"/>
    <w:uiPriority w:val="9"/>
    <w:unhideWhenUsed/>
    <w:qFormat/>
    <w:pPr>
      <w:keepLines/>
      <w:keepNext/>
      <w:spacing w:before="320" w:after="200"/>
      <w:outlineLvl w:val="5"/>
    </w:pPr>
    <w:rPr>
      <w:rFonts w:ascii="Arial" w:hAnsi="Arial" w:eastAsia="Arial" w:cs="Arial"/>
      <w:b/>
      <w:bCs/>
      <w:sz w:val="22"/>
      <w:szCs w:val="22"/>
    </w:rPr>
  </w:style>
  <w:style w:type="paragraph" w:styleId="800">
    <w:name w:val="Heading 7"/>
    <w:basedOn w:val="793"/>
    <w:next w:val="793"/>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801">
    <w:name w:val="Heading 8"/>
    <w:basedOn w:val="793"/>
    <w:next w:val="793"/>
    <w:link w:val="875"/>
    <w:uiPriority w:val="9"/>
    <w:unhideWhenUsed/>
    <w:qFormat/>
    <w:pPr>
      <w:keepLines/>
      <w:keepNext/>
      <w:spacing w:before="320" w:after="200"/>
      <w:outlineLvl w:val="7"/>
    </w:pPr>
    <w:rPr>
      <w:rFonts w:ascii="Arial" w:hAnsi="Arial" w:eastAsia="Arial" w:cs="Arial"/>
      <w:i/>
      <w:iCs/>
      <w:sz w:val="22"/>
      <w:szCs w:val="22"/>
    </w:rPr>
  </w:style>
  <w:style w:type="paragraph" w:styleId="802">
    <w:name w:val="Heading 9"/>
    <w:basedOn w:val="793"/>
    <w:next w:val="793"/>
    <w:link w:val="876"/>
    <w:uiPriority w:val="9"/>
    <w:unhideWhenUsed/>
    <w:qFormat/>
    <w:pPr>
      <w:keepLines/>
      <w:keepNext/>
      <w:spacing w:before="320" w:after="200"/>
      <w:outlineLvl w:val="8"/>
    </w:pPr>
    <w:rPr>
      <w:rFonts w:ascii="Arial" w:hAnsi="Arial" w:eastAsia="Arial" w:cs="Arial"/>
      <w:i/>
      <w:iCs/>
      <w:sz w:val="21"/>
      <w:szCs w:val="21"/>
    </w:rPr>
  </w:style>
  <w:style w:type="character" w:styleId="803" w:default="1">
    <w:name w:val="Default Paragraph Font"/>
    <w:uiPriority w:val="1"/>
    <w:semiHidden/>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customStyle="1">
    <w:name w:val="目录 1111"/>
    <w:basedOn w:val="793"/>
    <w:next w:val="793"/>
    <w:uiPriority w:val="39"/>
    <w:unhideWhenUsed/>
    <w:qFormat/>
    <w:pPr>
      <w:jc w:val="left"/>
      <w:spacing w:after="100" w:line="259" w:lineRule="auto"/>
      <w:widowControl/>
    </w:pPr>
    <w:rPr>
      <w:rFonts w:ascii="Calibri" w:hAnsi="Calibri" w:eastAsia="宋体"/>
      <w:sz w:val="22"/>
      <w:szCs w:val="22"/>
    </w:rPr>
  </w:style>
  <w:style w:type="paragraph" w:styleId="806">
    <w:name w:val="toc 7"/>
    <w:basedOn w:val="793"/>
    <w:next w:val="793"/>
    <w:uiPriority w:val="39"/>
    <w:unhideWhenUsed/>
    <w:qFormat/>
    <w:pPr>
      <w:ind w:left="1701" w:right="0" w:firstLine="0"/>
      <w:spacing w:after="57"/>
    </w:pPr>
  </w:style>
  <w:style w:type="paragraph" w:styleId="807">
    <w:name w:val="Normal Indent"/>
    <w:basedOn w:val="793"/>
    <w:next w:val="793"/>
    <w:uiPriority w:val="0"/>
    <w:qFormat/>
    <w:pPr>
      <w:ind w:firstLine="420"/>
    </w:pPr>
  </w:style>
  <w:style w:type="paragraph" w:styleId="808">
    <w:name w:val="Caption"/>
    <w:basedOn w:val="793"/>
    <w:next w:val="7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9">
    <w:name w:val="index 5"/>
    <w:basedOn w:val="793"/>
    <w:next w:val="793"/>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810">
    <w:name w:val="annotation text"/>
    <w:basedOn w:val="793"/>
    <w:uiPriority w:val="99"/>
    <w:semiHidden/>
    <w:unhideWhenUsed/>
    <w:qFormat/>
    <w:pPr>
      <w:jc w:val="left"/>
    </w:pPr>
  </w:style>
  <w:style w:type="paragraph" w:styleId="811">
    <w:name w:val="Body Text"/>
    <w:basedOn w:val="793"/>
    <w:next w:val="807"/>
    <w:uiPriority w:val="0"/>
    <w:qFormat/>
    <w:rPr>
      <w:rFonts w:ascii="楷体_GB2312" w:hAnsi="Arial" w:eastAsia="楷体_GB2312"/>
      <w:sz w:val="28"/>
      <w:szCs w:val="28"/>
    </w:rPr>
  </w:style>
  <w:style w:type="paragraph" w:styleId="812">
    <w:name w:val="Block Text"/>
    <w:basedOn w:val="793"/>
    <w:uiPriority w:val="99"/>
    <w:unhideWhenUsed/>
    <w:qFormat/>
    <w:pPr>
      <w:ind w:left="1440" w:right="1440"/>
      <w:spacing w:after="120"/>
    </w:pPr>
  </w:style>
  <w:style w:type="paragraph" w:styleId="813">
    <w:name w:val="toc 5"/>
    <w:basedOn w:val="793"/>
    <w:next w:val="793"/>
    <w:uiPriority w:val="39"/>
    <w:unhideWhenUsed/>
    <w:qFormat/>
    <w:pPr>
      <w:ind w:left="1134" w:right="0" w:firstLine="0"/>
      <w:spacing w:after="57"/>
    </w:pPr>
  </w:style>
  <w:style w:type="paragraph" w:styleId="814">
    <w:name w:val="toc 3"/>
    <w:basedOn w:val="793"/>
    <w:next w:val="793"/>
    <w:uiPriority w:val="39"/>
    <w:unhideWhenUsed/>
    <w:qFormat/>
    <w:pPr>
      <w:ind w:left="567" w:right="0" w:firstLine="0"/>
      <w:spacing w:after="57"/>
    </w:pPr>
  </w:style>
  <w:style w:type="paragraph" w:styleId="815">
    <w:name w:val="Plain Text"/>
    <w:basedOn w:val="793"/>
    <w:uiPriority w:val="0"/>
    <w:qFormat/>
    <w:rPr>
      <w:rFonts w:ascii="宋体" w:hAnsi="宋体"/>
    </w:rPr>
  </w:style>
  <w:style w:type="paragraph" w:styleId="816">
    <w:name w:val="toc 8"/>
    <w:basedOn w:val="793"/>
    <w:next w:val="793"/>
    <w:uiPriority w:val="39"/>
    <w:unhideWhenUsed/>
    <w:qFormat/>
    <w:pPr>
      <w:ind w:left="1984" w:right="0" w:firstLine="0"/>
      <w:spacing w:after="57"/>
    </w:pPr>
  </w:style>
  <w:style w:type="paragraph" w:styleId="817">
    <w:name w:val="endnote text"/>
    <w:basedOn w:val="793"/>
    <w:link w:val="888"/>
    <w:uiPriority w:val="99"/>
    <w:semiHidden/>
    <w:unhideWhenUsed/>
    <w:qFormat/>
    <w:pPr>
      <w:spacing w:after="0" w:line="240" w:lineRule="auto"/>
    </w:pPr>
    <w:rPr>
      <w:sz w:val="20"/>
    </w:rPr>
  </w:style>
  <w:style w:type="paragraph" w:styleId="818">
    <w:name w:val="Footer"/>
    <w:basedOn w:val="793"/>
    <w:link w:val="886"/>
    <w:uiPriority w:val="99"/>
    <w:unhideWhenUsed/>
    <w:qFormat/>
    <w:pPr>
      <w:spacing w:after="0" w:line="240" w:lineRule="auto"/>
      <w:tabs>
        <w:tab w:val="center" w:pos="7143" w:leader="none"/>
        <w:tab w:val="right" w:pos="14287" w:leader="none"/>
      </w:tabs>
    </w:pPr>
  </w:style>
  <w:style w:type="paragraph" w:styleId="819">
    <w:name w:val="Header"/>
    <w:basedOn w:val="793"/>
    <w:link w:val="885"/>
    <w:uiPriority w:val="99"/>
    <w:unhideWhenUsed/>
    <w:qFormat/>
    <w:pPr>
      <w:spacing w:after="0" w:line="240" w:lineRule="auto"/>
      <w:tabs>
        <w:tab w:val="center" w:pos="7143" w:leader="none"/>
        <w:tab w:val="right" w:pos="14287" w:leader="none"/>
      </w:tabs>
    </w:pPr>
  </w:style>
  <w:style w:type="paragraph" w:styleId="820">
    <w:name w:val="toc 1"/>
    <w:basedOn w:val="793"/>
    <w:next w:val="793"/>
    <w:uiPriority w:val="39"/>
    <w:unhideWhenUsed/>
    <w:qFormat/>
    <w:pPr>
      <w:ind w:left="0" w:right="0" w:firstLine="0"/>
      <w:spacing w:after="57"/>
    </w:pPr>
  </w:style>
  <w:style w:type="paragraph" w:styleId="821">
    <w:name w:val="toc 4"/>
    <w:basedOn w:val="793"/>
    <w:next w:val="793"/>
    <w:uiPriority w:val="39"/>
    <w:unhideWhenUsed/>
    <w:qFormat/>
    <w:pPr>
      <w:ind w:left="850" w:right="0" w:firstLine="0"/>
      <w:spacing w:after="57"/>
    </w:pPr>
  </w:style>
  <w:style w:type="paragraph" w:styleId="822">
    <w:name w:val="Subtitle"/>
    <w:basedOn w:val="793"/>
    <w:next w:val="793"/>
    <w:link w:val="880"/>
    <w:uiPriority w:val="11"/>
    <w:qFormat/>
    <w:pPr>
      <w:spacing w:before="200" w:after="200"/>
    </w:pPr>
    <w:rPr>
      <w:sz w:val="24"/>
      <w:szCs w:val="24"/>
    </w:rPr>
  </w:style>
  <w:style w:type="paragraph" w:styleId="823">
    <w:name w:val="footnote text"/>
    <w:basedOn w:val="793"/>
    <w:next w:val="809"/>
    <w:link w:val="887"/>
    <w:uiPriority w:val="99"/>
    <w:semiHidden/>
    <w:unhideWhenUsed/>
    <w:qFormat/>
    <w:pPr>
      <w:spacing w:after="40" w:line="240" w:lineRule="auto"/>
    </w:pPr>
    <w:rPr>
      <w:sz w:val="18"/>
    </w:rPr>
  </w:style>
  <w:style w:type="paragraph" w:styleId="824">
    <w:name w:val="toc 6"/>
    <w:basedOn w:val="793"/>
    <w:next w:val="793"/>
    <w:uiPriority w:val="39"/>
    <w:unhideWhenUsed/>
    <w:qFormat/>
    <w:pPr>
      <w:ind w:left="1417" w:right="0" w:firstLine="0"/>
      <w:spacing w:after="57"/>
    </w:pPr>
  </w:style>
  <w:style w:type="paragraph" w:styleId="825">
    <w:name w:val="Body Text Indent 3"/>
    <w:basedOn w:val="793"/>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826">
    <w:name w:val="table of figures"/>
    <w:basedOn w:val="793"/>
    <w:next w:val="793"/>
    <w:uiPriority w:val="99"/>
    <w:unhideWhenUsed/>
    <w:qFormat/>
    <w:pPr>
      <w:spacing w:after="0" w:afterAutospacing="0"/>
    </w:pPr>
  </w:style>
  <w:style w:type="paragraph" w:styleId="827">
    <w:name w:val="toc 2"/>
    <w:basedOn w:val="793"/>
    <w:next w:val="793"/>
    <w:uiPriority w:val="39"/>
    <w:unhideWhenUsed/>
    <w:qFormat/>
    <w:pPr>
      <w:ind w:left="283" w:right="0" w:firstLine="0"/>
      <w:spacing w:after="57"/>
    </w:pPr>
  </w:style>
  <w:style w:type="paragraph" w:styleId="828">
    <w:name w:val="toc 9"/>
    <w:basedOn w:val="793"/>
    <w:next w:val="793"/>
    <w:uiPriority w:val="39"/>
    <w:unhideWhenUsed/>
    <w:qFormat/>
    <w:pPr>
      <w:ind w:left="2268" w:right="0" w:firstLine="0"/>
      <w:spacing w:after="57"/>
    </w:pPr>
  </w:style>
  <w:style w:type="paragraph" w:styleId="829">
    <w:name w:val="Normal (Web)"/>
    <w:basedOn w:val="793"/>
    <w:uiPriority w:val="0"/>
    <w:qFormat/>
    <w:pPr>
      <w:ind w:left="0" w:right="0"/>
      <w:jc w:val="left"/>
      <w:spacing w:before="0" w:beforeAutospacing="1" w:after="0" w:afterAutospacing="1"/>
    </w:pPr>
    <w:rPr>
      <w:sz w:val="24"/>
      <w:lang w:val="en-US" w:eastAsia="zh-CN" w:bidi="ar"/>
    </w:rPr>
  </w:style>
  <w:style w:type="paragraph" w:styleId="830">
    <w:name w:val="Title"/>
    <w:basedOn w:val="793"/>
    <w:next w:val="793"/>
    <w:link w:val="879"/>
    <w:uiPriority w:val="10"/>
    <w:qFormat/>
    <w:pPr>
      <w:contextualSpacing/>
      <w:spacing w:before="300" w:after="200"/>
    </w:pPr>
    <w:rPr>
      <w:sz w:val="48"/>
      <w:szCs w:val="48"/>
    </w:rPr>
  </w:style>
  <w:style w:type="paragraph" w:styleId="831">
    <w:name w:val="Body Text First Indent 2"/>
    <w:next w:val="825"/>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8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Strong"/>
    <w:basedOn w:val="803"/>
    <w:uiPriority w:val="0"/>
    <w:qFormat/>
    <w:rPr>
      <w:b/>
    </w:rPr>
  </w:style>
  <w:style w:type="character" w:styleId="834">
    <w:name w:val="endnote reference"/>
    <w:uiPriority w:val="99"/>
    <w:semiHidden/>
    <w:unhideWhenUsed/>
    <w:qFormat/>
    <w:rPr>
      <w:vertAlign w:val="superscript"/>
    </w:rPr>
  </w:style>
  <w:style w:type="character" w:styleId="835">
    <w:name w:val="page number"/>
    <w:uiPriority w:val="0"/>
    <w:qFormat/>
  </w:style>
  <w:style w:type="character" w:styleId="836">
    <w:name w:val="Emphasis"/>
    <w:basedOn w:val="803"/>
    <w:uiPriority w:val="20"/>
    <w:qFormat/>
    <w:rPr>
      <w:i/>
    </w:rPr>
  </w:style>
  <w:style w:type="character" w:styleId="837">
    <w:name w:val="Hyperlink"/>
    <w:uiPriority w:val="99"/>
    <w:unhideWhenUsed/>
    <w:qFormat/>
    <w:rPr>
      <w:color w:val="0000ff" w:themeColor="hyperlink"/>
      <w:u w:val="single"/>
      <w14:textFill>
        <w14:solidFill>
          <w14:schemeClr w14:val="hlink"/>
        </w14:solidFill>
      </w14:textFill>
    </w:rPr>
  </w:style>
  <w:style w:type="character" w:styleId="838">
    <w:name w:val="footnote reference"/>
    <w:uiPriority w:val="99"/>
    <w:unhideWhenUsed/>
    <w:qFormat/>
    <w:rPr>
      <w:vertAlign w:val="superscript"/>
    </w:rPr>
  </w:style>
  <w:style w:type="paragraph" w:styleId="839" w:customStyle="1">
    <w:name w:val="正文格式"/>
    <w:basedOn w:val="811"/>
    <w:next w:val="793"/>
    <w:uiPriority w:val="0"/>
    <w:qFormat/>
    <w:pPr>
      <w:ind w:firstLine="200"/>
      <w:spacing w:line="360" w:lineRule="auto"/>
    </w:pPr>
    <w:rPr>
      <w:rFonts w:ascii="宋体" w:hAnsi="宋体" w:eastAsia="宋体" w:cs="Times New Roman"/>
      <w:szCs w:val="22"/>
    </w:rPr>
  </w:style>
  <w:style w:type="paragraph" w:styleId="840" w:customStyle="1">
    <w:name w:val="标题 21"/>
    <w:basedOn w:val="793"/>
    <w:next w:val="793"/>
    <w:uiPriority w:val="0"/>
    <w:qFormat/>
    <w:pPr>
      <w:jc w:val="left"/>
      <w:keepLines/>
      <w:keepNext/>
      <w:spacing w:before="50"/>
      <w:tabs>
        <w:tab w:val="left" w:pos="0" w:leader="none"/>
      </w:tabs>
    </w:pPr>
    <w:rPr>
      <w:rFonts w:ascii="Arial" w:hAnsi="Arial" w:eastAsia="黑体"/>
      <w:sz w:val="32"/>
      <w:szCs w:val="20"/>
    </w:rPr>
  </w:style>
  <w:style w:type="character" w:styleId="841" w:customStyle="1">
    <w:name w:val="NormalCharacter11"/>
    <w:link w:val="793"/>
    <w:uiPriority w:val="0"/>
    <w:semiHidden/>
    <w:qFormat/>
    <w:rPr>
      <w:rFonts w:ascii="Times New Roman" w:hAnsi="Times New Roman" w:eastAsia="宋体"/>
      <w:sz w:val="28"/>
      <w:szCs w:val="24"/>
      <w:lang w:val="en-US" w:eastAsia="zh-CN" w:bidi="ar-SA"/>
    </w:rPr>
  </w:style>
  <w:style w:type="paragraph" w:styleId="842" w:customStyle="1">
    <w:name w:val="文本块11"/>
    <w:basedOn w:val="843"/>
    <w:uiPriority w:val="0"/>
    <w:qFormat/>
    <w:pPr>
      <w:ind w:left="1440" w:right="1440"/>
      <w:spacing w:after="120"/>
    </w:pPr>
  </w:style>
  <w:style w:type="paragraph" w:styleId="843" w:customStyle="1">
    <w:name w:val="正文12"/>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脚注文本1"/>
    <w:basedOn w:val="845"/>
    <w:next w:val="855"/>
    <w:uiPriority w:val="0"/>
    <w:qFormat/>
    <w:rPr>
      <w:rFonts w:eastAsia="Times New Roman"/>
      <w:sz w:val="18"/>
      <w:szCs w:val="18"/>
    </w:rPr>
  </w:style>
  <w:style w:type="paragraph" w:styleId="845" w:customStyle="1">
    <w:name w:val="正文1"/>
    <w:basedOn w:val="846"/>
    <w:next w:val="848"/>
    <w:uiPriority w:val="0"/>
    <w:qFormat/>
    <w:pPr>
      <w:jc w:val="left"/>
      <w:spacing w:line="360" w:lineRule="atLeast"/>
    </w:pPr>
    <w:rPr>
      <w:rFonts w:ascii="宋体" w:hAnsi="Calibri" w:eastAsia="宋体" w:cs="Times New Roman"/>
      <w:sz w:val="24"/>
      <w:szCs w:val="20"/>
    </w:rPr>
  </w:style>
  <w:style w:type="paragraph" w:styleId="846" w:customStyle="1">
    <w:name w:val="正文111"/>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目录 111"/>
    <w:basedOn w:val="793"/>
    <w:next w:val="846"/>
    <w:uiPriority w:val="39"/>
    <w:unhideWhenUsed/>
    <w:qFormat/>
    <w:pPr>
      <w:ind w:left="0" w:right="0" w:firstLine="0"/>
      <w:spacing w:after="57"/>
    </w:pPr>
  </w:style>
  <w:style w:type="paragraph" w:styleId="848" w:customStyle="1">
    <w:name w:val="正文文本1"/>
    <w:basedOn w:val="849"/>
    <w:next w:val="845"/>
    <w:uiPriority w:val="99"/>
    <w:qFormat/>
    <w:pPr>
      <w:spacing w:after="120"/>
    </w:pPr>
    <w:rPr>
      <w:rFonts w:ascii="Calibri" w:hAnsi="Calibri"/>
    </w:rPr>
  </w:style>
  <w:style w:type="paragraph" w:styleId="849" w:customStyle="1">
    <w:name w:val="正文11"/>
    <w:next w:val="8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0" w:customStyle="1">
    <w:name w:val="正文首行缩进11"/>
    <w:basedOn w:val="851"/>
    <w:next w:val="853"/>
    <w:uiPriority w:val="0"/>
    <w:qFormat/>
    <w:pPr>
      <w:ind w:firstLine="420"/>
    </w:pPr>
    <w:rPr>
      <w:rFonts w:ascii="仿宋_GB2312" w:eastAsia="仿宋_GB2312"/>
      <w:sz w:val="30"/>
      <w:szCs w:val="30"/>
    </w:rPr>
  </w:style>
  <w:style w:type="paragraph" w:styleId="851" w:customStyle="1">
    <w:name w:val="正文文本11"/>
    <w:basedOn w:val="852"/>
    <w:next w:val="849"/>
    <w:uiPriority w:val="0"/>
    <w:qFormat/>
    <w:pPr>
      <w:spacing w:line="300" w:lineRule="auto"/>
    </w:pPr>
    <w:rPr>
      <w:rFonts w:eastAsia="微软简楷体"/>
      <w:sz w:val="30"/>
    </w:rPr>
  </w:style>
  <w:style w:type="paragraph" w:styleId="852" w:customStyle="1">
    <w:name w:val="正文112"/>
    <w:next w:val="8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3" w:customStyle="1">
    <w:name w:val="正文首行缩进 211"/>
    <w:basedOn w:val="854"/>
    <w:next w:val="852"/>
    <w:uiPriority w:val="0"/>
    <w:qFormat/>
    <w:pPr>
      <w:ind w:firstLine="420"/>
    </w:pPr>
    <w:rPr>
      <w:rFonts w:ascii="Times New Roman" w:hAnsi="Times New Roman"/>
    </w:rPr>
  </w:style>
  <w:style w:type="paragraph" w:styleId="854" w:customStyle="1">
    <w:name w:val="正文文本缩进11"/>
    <w:basedOn w:val="849"/>
    <w:next w:val="852"/>
    <w:uiPriority w:val="0"/>
    <w:qFormat/>
    <w:pPr>
      <w:ind w:left="420"/>
      <w:spacing w:after="120"/>
    </w:pPr>
    <w:rPr>
      <w:rFonts w:ascii="Calibri" w:hAnsi="Calibri"/>
    </w:rPr>
  </w:style>
  <w:style w:type="paragraph" w:styleId="855" w:customStyle="1">
    <w:name w:val="索引 51"/>
    <w:basedOn w:val="845"/>
    <w:next w:val="845"/>
    <w:uiPriority w:val="0"/>
    <w:qFormat/>
    <w:pPr>
      <w:ind w:left="798"/>
    </w:pPr>
    <w:rPr>
      <w:rFonts w:ascii="Calibri" w:hAnsi="Calibri"/>
    </w:rPr>
  </w:style>
  <w:style w:type="paragraph" w:styleId="856" w:customStyle="1">
    <w:name w:val="寄信人地址11"/>
    <w:basedOn w:val="849"/>
    <w:uiPriority w:val="0"/>
    <w:qFormat/>
    <w:rPr>
      <w:rFonts w:ascii="Arial" w:hAnsi="Arial"/>
    </w:rPr>
  </w:style>
  <w:style w:type="paragraph" w:styleId="857" w:customStyle="1">
    <w:name w:val="目录 11"/>
    <w:basedOn w:val="849"/>
    <w:next w:val="846"/>
    <w:uiPriority w:val="0"/>
    <w:qFormat/>
    <w:pPr>
      <w:jc w:val="left"/>
      <w:spacing w:after="100" w:line="259" w:lineRule="auto"/>
      <w:widowControl/>
    </w:pPr>
    <w:rPr>
      <w:rFonts w:ascii="Calibri" w:hAnsi="Calibri"/>
      <w:sz w:val="22"/>
      <w:szCs w:val="22"/>
    </w:rPr>
  </w:style>
  <w:style w:type="paragraph" w:styleId="858" w:customStyle="1">
    <w:name w:val="正文文本缩进1"/>
    <w:basedOn w:val="793"/>
    <w:next w:val="859"/>
    <w:uiPriority w:val="0"/>
    <w:qFormat/>
    <w:pPr>
      <w:ind w:left="420"/>
      <w:spacing w:after="120"/>
    </w:pPr>
    <w:rPr>
      <w:rFonts w:ascii="Calibri" w:hAnsi="Calibri"/>
    </w:rPr>
  </w:style>
  <w:style w:type="paragraph" w:styleId="859" w:customStyle="1">
    <w:name w:val="寄信人地址1"/>
    <w:basedOn w:val="849"/>
    <w:uiPriority w:val="0"/>
    <w:qFormat/>
    <w:rPr>
      <w:rFonts w:ascii="Arial" w:hAnsi="Arial"/>
    </w:rPr>
  </w:style>
  <w:style w:type="paragraph" w:styleId="860" w:customStyle="1">
    <w:name w:val="文本块1"/>
    <w:basedOn w:val="793"/>
    <w:next w:val="861"/>
    <w:uiPriority w:val="99"/>
    <w:unhideWhenUsed/>
    <w:qFormat/>
    <w:pPr>
      <w:ind w:left="1440" w:right="1440"/>
      <w:spacing w:after="120"/>
    </w:pPr>
  </w:style>
  <w:style w:type="paragraph" w:styleId="861" w:customStyle="1">
    <w:name w:val="标题 41"/>
    <w:basedOn w:val="862"/>
    <w:next w:val="849"/>
    <w:link w:val="911"/>
    <w:uiPriority w:val="9"/>
    <w:qFormat/>
    <w:pPr>
      <w:keepLines/>
      <w:keepNext/>
      <w:spacing w:before="320" w:after="200"/>
      <w:outlineLvl w:val="3"/>
    </w:pPr>
    <w:rPr>
      <w:rFonts w:ascii="Arial" w:hAnsi="Arial" w:eastAsia="Arial" w:cs="Arial"/>
      <w:b/>
      <w:bCs/>
      <w:sz w:val="26"/>
      <w:szCs w:val="26"/>
    </w:rPr>
  </w:style>
  <w:style w:type="paragraph" w:styleId="862" w:customStyle="1">
    <w:name w:val="正文11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customStyle="1">
    <w:name w:val="脚注文本11"/>
    <w:basedOn w:val="793"/>
    <w:next w:val="864"/>
    <w:link w:val="927"/>
    <w:uiPriority w:val="99"/>
    <w:unhideWhenUsed/>
    <w:qFormat/>
    <w:pPr>
      <w:spacing w:after="40" w:line="240" w:lineRule="auto"/>
    </w:pPr>
    <w:rPr>
      <w:sz w:val="18"/>
    </w:rPr>
  </w:style>
  <w:style w:type="paragraph" w:styleId="864" w:customStyle="1">
    <w:name w:val="索引 511"/>
    <w:basedOn w:val="793"/>
    <w:next w:val="793"/>
    <w:uiPriority w:val="0"/>
    <w:qFormat/>
    <w:pPr>
      <w:ind w:left="798"/>
      <w:jc w:val="left"/>
    </w:pPr>
    <w:rPr>
      <w:rFonts w:ascii="Calibri" w:hAnsi="Calibri"/>
    </w:rPr>
  </w:style>
  <w:style w:type="paragraph" w:styleId="865" w:customStyle="1">
    <w:name w:val="文本块111"/>
    <w:basedOn w:val="793"/>
    <w:uiPriority w:val="99"/>
    <w:qFormat/>
    <w:pPr>
      <w:ind w:left="420" w:right="33"/>
      <w:jc w:val="left"/>
    </w:pPr>
    <w:rPr>
      <w:sz w:val="24"/>
      <w:szCs w:val="20"/>
    </w:rPr>
  </w:style>
  <w:style w:type="paragraph" w:styleId="866" w:customStyle="1">
    <w:name w:val="信息标题1"/>
    <w:basedOn w:val="793"/>
    <w:next w:val="86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67" w:customStyle="1">
    <w:name w:val="正文文本12"/>
    <w:basedOn w:val="793"/>
    <w:next w:val="793"/>
    <w:uiPriority w:val="99"/>
    <w:qFormat/>
    <w:pPr>
      <w:spacing w:after="120"/>
    </w:pPr>
  </w:style>
  <w:style w:type="character" w:styleId="868" w:customStyle="1">
    <w:name w:val="Heading 1 Char"/>
    <w:link w:val="794"/>
    <w:uiPriority w:val="9"/>
    <w:qFormat/>
    <w:rPr>
      <w:rFonts w:ascii="Arial" w:hAnsi="Arial" w:eastAsia="宋体" w:cs="Arial"/>
      <w:b/>
      <w:sz w:val="28"/>
      <w:szCs w:val="40"/>
    </w:rPr>
  </w:style>
  <w:style w:type="character" w:styleId="869" w:customStyle="1">
    <w:name w:val="Heading 2 Char"/>
    <w:link w:val="795"/>
    <w:uiPriority w:val="9"/>
    <w:qFormat/>
    <w:rPr>
      <w:rFonts w:ascii="Arial" w:hAnsi="Arial" w:eastAsia="Arial" w:cs="Arial"/>
      <w:sz w:val="34"/>
    </w:rPr>
  </w:style>
  <w:style w:type="character" w:styleId="870" w:customStyle="1">
    <w:name w:val="Heading 3 Char"/>
    <w:link w:val="796"/>
    <w:uiPriority w:val="9"/>
    <w:qFormat/>
    <w:rPr>
      <w:rFonts w:ascii="Arial" w:hAnsi="Arial" w:eastAsia="Arial" w:cs="Arial"/>
      <w:sz w:val="30"/>
      <w:szCs w:val="30"/>
    </w:rPr>
  </w:style>
  <w:style w:type="character" w:styleId="871" w:customStyle="1">
    <w:name w:val="Heading 4 Char"/>
    <w:link w:val="797"/>
    <w:uiPriority w:val="9"/>
    <w:qFormat/>
    <w:rPr>
      <w:rFonts w:ascii="Arial" w:hAnsi="Arial" w:eastAsia="Arial" w:cs="Arial"/>
      <w:b/>
      <w:bCs/>
      <w:sz w:val="26"/>
      <w:szCs w:val="26"/>
    </w:rPr>
  </w:style>
  <w:style w:type="character" w:styleId="872" w:customStyle="1">
    <w:name w:val="Heading 5 Char"/>
    <w:link w:val="798"/>
    <w:uiPriority w:val="9"/>
    <w:qFormat/>
    <w:rPr>
      <w:rFonts w:ascii="Arial" w:hAnsi="Arial" w:eastAsia="Arial" w:cs="Arial"/>
      <w:b/>
      <w:bCs/>
      <w:sz w:val="24"/>
      <w:szCs w:val="24"/>
    </w:rPr>
  </w:style>
  <w:style w:type="character" w:styleId="873" w:customStyle="1">
    <w:name w:val="Heading 6 Char"/>
    <w:link w:val="799"/>
    <w:uiPriority w:val="9"/>
    <w:qFormat/>
    <w:rPr>
      <w:rFonts w:ascii="Arial" w:hAnsi="Arial" w:eastAsia="Arial" w:cs="Arial"/>
      <w:b/>
      <w:bCs/>
      <w:sz w:val="22"/>
      <w:szCs w:val="22"/>
    </w:rPr>
  </w:style>
  <w:style w:type="character" w:styleId="874" w:customStyle="1">
    <w:name w:val="Heading 7 Char"/>
    <w:link w:val="800"/>
    <w:uiPriority w:val="9"/>
    <w:qFormat/>
    <w:rPr>
      <w:rFonts w:ascii="Arial" w:hAnsi="Arial" w:eastAsia="Arial" w:cs="Arial"/>
      <w:b/>
      <w:bCs/>
      <w:i/>
      <w:iCs/>
      <w:sz w:val="22"/>
      <w:szCs w:val="22"/>
    </w:rPr>
  </w:style>
  <w:style w:type="character" w:styleId="875" w:customStyle="1">
    <w:name w:val="Heading 8 Char"/>
    <w:link w:val="801"/>
    <w:uiPriority w:val="9"/>
    <w:qFormat/>
    <w:rPr>
      <w:rFonts w:ascii="Arial" w:hAnsi="Arial" w:eastAsia="Arial" w:cs="Arial"/>
      <w:i/>
      <w:iCs/>
      <w:sz w:val="22"/>
      <w:szCs w:val="22"/>
    </w:rPr>
  </w:style>
  <w:style w:type="character" w:styleId="876" w:customStyle="1">
    <w:name w:val="Heading 9 Char"/>
    <w:link w:val="802"/>
    <w:uiPriority w:val="9"/>
    <w:qFormat/>
    <w:rPr>
      <w:rFonts w:ascii="Arial" w:hAnsi="Arial" w:eastAsia="Arial" w:cs="Arial"/>
      <w:i/>
      <w:iCs/>
      <w:sz w:val="21"/>
      <w:szCs w:val="21"/>
    </w:rPr>
  </w:style>
  <w:style w:type="paragraph" w:styleId="877">
    <w:name w:val="List Paragraph"/>
    <w:basedOn w:val="793"/>
    <w:uiPriority w:val="34"/>
    <w:qFormat/>
    <w:pPr>
      <w:contextualSpacing/>
      <w:ind w:left="720"/>
    </w:pPr>
  </w:style>
  <w:style w:type="paragraph" w:styleId="878">
    <w:name w:val="No Spacing"/>
    <w:uiPriority w:val="1"/>
    <w:qFormat/>
    <w:pPr>
      <w:spacing w:before="0" w:after="0" w:line="240" w:lineRule="auto"/>
    </w:pPr>
    <w:rPr>
      <w:rFonts w:hint="default" w:ascii="Times New Roman" w:hAnsi="Times New Roman" w:eastAsia="宋体" w:cs="Times New Roman"/>
    </w:rPr>
  </w:style>
  <w:style w:type="character" w:styleId="879" w:customStyle="1">
    <w:name w:val="Title Char"/>
    <w:link w:val="830"/>
    <w:uiPriority w:val="10"/>
    <w:qFormat/>
    <w:rPr>
      <w:sz w:val="48"/>
      <w:szCs w:val="48"/>
    </w:rPr>
  </w:style>
  <w:style w:type="character" w:styleId="880" w:customStyle="1">
    <w:name w:val="Subtitle Char"/>
    <w:link w:val="822"/>
    <w:uiPriority w:val="11"/>
    <w:qFormat/>
    <w:rPr>
      <w:sz w:val="24"/>
      <w:szCs w:val="24"/>
    </w:rPr>
  </w:style>
  <w:style w:type="paragraph" w:styleId="881">
    <w:name w:val="Quote"/>
    <w:basedOn w:val="793"/>
    <w:next w:val="793"/>
    <w:link w:val="882"/>
    <w:uiPriority w:val="29"/>
    <w:qFormat/>
    <w:pPr>
      <w:ind w:left="720" w:right="720"/>
    </w:pPr>
    <w:rPr>
      <w:i/>
    </w:rPr>
  </w:style>
  <w:style w:type="character" w:styleId="882" w:customStyle="1">
    <w:name w:val="Quote Char"/>
    <w:link w:val="881"/>
    <w:uiPriority w:val="29"/>
    <w:qFormat/>
    <w:rPr>
      <w:i/>
    </w:rPr>
  </w:style>
  <w:style w:type="paragraph" w:styleId="883">
    <w:name w:val="Intense Quote"/>
    <w:basedOn w:val="793"/>
    <w:next w:val="793"/>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Intense Quote Char"/>
    <w:link w:val="883"/>
    <w:uiPriority w:val="30"/>
    <w:qFormat/>
    <w:rPr>
      <w:i/>
    </w:rPr>
  </w:style>
  <w:style w:type="character" w:styleId="885" w:customStyle="1">
    <w:name w:val="Header Char"/>
    <w:link w:val="819"/>
    <w:uiPriority w:val="99"/>
    <w:qFormat/>
  </w:style>
  <w:style w:type="character" w:styleId="886" w:customStyle="1">
    <w:name w:val="Caption Char"/>
    <w:link w:val="818"/>
    <w:uiPriority w:val="99"/>
    <w:qFormat/>
  </w:style>
  <w:style w:type="character" w:styleId="887" w:customStyle="1">
    <w:name w:val="Footnote Text Char"/>
    <w:link w:val="823"/>
    <w:uiPriority w:val="99"/>
    <w:qFormat/>
    <w:rPr>
      <w:sz w:val="18"/>
    </w:rPr>
  </w:style>
  <w:style w:type="character" w:styleId="888" w:customStyle="1">
    <w:name w:val="Endnote Text Char"/>
    <w:link w:val="817"/>
    <w:uiPriority w:val="99"/>
    <w:qFormat/>
    <w:rPr>
      <w:sz w:val="20"/>
    </w:rPr>
  </w:style>
  <w:style w:type="paragraph" w:styleId="889" w:customStyle="1">
    <w:name w:val="标题 111"/>
    <w:basedOn w:val="793"/>
    <w:next w:val="793"/>
    <w:link w:val="921"/>
    <w:uiPriority w:val="9"/>
    <w:qFormat/>
    <w:pPr>
      <w:keepLines/>
      <w:keepNext/>
      <w:spacing w:before="480" w:after="200"/>
      <w:outlineLvl w:val="0"/>
    </w:pPr>
    <w:rPr>
      <w:rFonts w:ascii="Arial" w:hAnsi="Arial" w:eastAsia="Arial" w:cs="Arial"/>
      <w:sz w:val="40"/>
      <w:szCs w:val="40"/>
    </w:rPr>
  </w:style>
  <w:style w:type="paragraph" w:styleId="890" w:customStyle="1">
    <w:name w:val="标题 211"/>
    <w:basedOn w:val="793"/>
    <w:next w:val="793"/>
    <w:link w:val="910"/>
    <w:uiPriority w:val="9"/>
    <w:qFormat/>
    <w:pPr>
      <w:keepLines/>
      <w:keepNext/>
      <w:spacing w:before="360" w:after="200"/>
      <w:outlineLvl w:val="1"/>
    </w:pPr>
    <w:rPr>
      <w:rFonts w:ascii="Arial" w:hAnsi="Arial" w:eastAsia="Arial" w:cs="Arial"/>
      <w:sz w:val="34"/>
    </w:rPr>
  </w:style>
  <w:style w:type="paragraph" w:styleId="891" w:customStyle="1">
    <w:name w:val="标题 31"/>
    <w:basedOn w:val="793"/>
    <w:next w:val="793"/>
    <w:link w:val="905"/>
    <w:uiPriority w:val="9"/>
    <w:qFormat/>
    <w:pPr>
      <w:keepLines/>
      <w:keepNext/>
      <w:spacing w:before="320" w:after="200"/>
      <w:outlineLvl w:val="2"/>
    </w:pPr>
    <w:rPr>
      <w:rFonts w:ascii="Arial" w:hAnsi="Arial" w:eastAsia="Arial" w:cs="Arial"/>
      <w:sz w:val="30"/>
      <w:szCs w:val="30"/>
    </w:rPr>
  </w:style>
  <w:style w:type="paragraph" w:styleId="892" w:customStyle="1">
    <w:name w:val="标题 51"/>
    <w:basedOn w:val="793"/>
    <w:next w:val="793"/>
    <w:link w:val="915"/>
    <w:uiPriority w:val="9"/>
    <w:qFormat/>
    <w:pPr>
      <w:keepLines/>
      <w:keepNext/>
      <w:spacing w:before="320" w:after="200"/>
      <w:outlineLvl w:val="4"/>
    </w:pPr>
    <w:rPr>
      <w:rFonts w:ascii="Arial" w:hAnsi="Arial" w:eastAsia="Arial" w:cs="Arial"/>
      <w:b/>
      <w:bCs/>
      <w:sz w:val="24"/>
      <w:szCs w:val="24"/>
    </w:rPr>
  </w:style>
  <w:style w:type="paragraph" w:styleId="893" w:customStyle="1">
    <w:name w:val="标题 61"/>
    <w:basedOn w:val="793"/>
    <w:next w:val="793"/>
    <w:link w:val="922"/>
    <w:uiPriority w:val="9"/>
    <w:qFormat/>
    <w:pPr>
      <w:keepLines/>
      <w:keepNext/>
      <w:spacing w:before="320" w:after="200"/>
      <w:outlineLvl w:val="5"/>
    </w:pPr>
    <w:rPr>
      <w:rFonts w:ascii="Arial" w:hAnsi="Arial" w:eastAsia="Arial" w:cs="Arial"/>
      <w:b/>
      <w:bCs/>
      <w:sz w:val="22"/>
      <w:szCs w:val="22"/>
    </w:rPr>
  </w:style>
  <w:style w:type="paragraph" w:styleId="894" w:customStyle="1">
    <w:name w:val="标题 71"/>
    <w:basedOn w:val="793"/>
    <w:next w:val="793"/>
    <w:link w:val="926"/>
    <w:uiPriority w:val="9"/>
    <w:qFormat/>
    <w:pPr>
      <w:keepLines/>
      <w:keepNext/>
      <w:spacing w:before="320" w:after="200"/>
      <w:outlineLvl w:val="6"/>
    </w:pPr>
    <w:rPr>
      <w:rFonts w:ascii="Arial" w:hAnsi="Arial" w:eastAsia="Arial" w:cs="Arial"/>
      <w:b/>
      <w:bCs/>
      <w:i/>
      <w:iCs/>
      <w:sz w:val="22"/>
      <w:szCs w:val="22"/>
    </w:rPr>
  </w:style>
  <w:style w:type="paragraph" w:styleId="895" w:customStyle="1">
    <w:name w:val="标题 81"/>
    <w:basedOn w:val="793"/>
    <w:next w:val="793"/>
    <w:link w:val="925"/>
    <w:uiPriority w:val="9"/>
    <w:qFormat/>
    <w:pPr>
      <w:keepLines/>
      <w:keepNext/>
      <w:spacing w:before="320" w:after="200"/>
      <w:outlineLvl w:val="7"/>
    </w:pPr>
    <w:rPr>
      <w:rFonts w:ascii="Arial" w:hAnsi="Arial" w:eastAsia="Arial" w:cs="Arial"/>
      <w:i/>
      <w:iCs/>
      <w:sz w:val="22"/>
      <w:szCs w:val="22"/>
    </w:rPr>
  </w:style>
  <w:style w:type="paragraph" w:styleId="896" w:customStyle="1">
    <w:name w:val="标题 91"/>
    <w:basedOn w:val="793"/>
    <w:next w:val="793"/>
    <w:link w:val="914"/>
    <w:uiPriority w:val="9"/>
    <w:qFormat/>
    <w:pPr>
      <w:keepLines/>
      <w:keepNext/>
      <w:spacing w:before="320" w:after="200"/>
      <w:outlineLvl w:val="8"/>
    </w:pPr>
    <w:rPr>
      <w:rFonts w:ascii="Arial" w:hAnsi="Arial" w:eastAsia="Arial" w:cs="Arial"/>
      <w:i/>
      <w:iCs/>
      <w:sz w:val="21"/>
      <w:szCs w:val="21"/>
    </w:rPr>
  </w:style>
  <w:style w:type="character" w:styleId="897" w:customStyle="1">
    <w:name w:val="默认段落字体11"/>
    <w:link w:val="793"/>
    <w:uiPriority w:val="1"/>
    <w:unhideWhenUsed/>
    <w:qFormat/>
  </w:style>
  <w:style w:type="table" w:styleId="898" w:customStyle="1">
    <w:name w:val="普通表格11"/>
    <w:uiPriority w:val="99"/>
    <w:unhideWhenUsed/>
    <w:qFormat/>
    <w:tblPr/>
  </w:style>
  <w:style w:type="character" w:styleId="899" w:customStyle="1">
    <w:name w:val="脚注引用1"/>
    <w:link w:val="793"/>
    <w:uiPriority w:val="99"/>
    <w:unhideWhenUsed/>
    <w:qFormat/>
    <w:rPr>
      <w:vertAlign w:val="superscript"/>
    </w:rPr>
  </w:style>
  <w:style w:type="character" w:styleId="900" w:customStyle="1">
    <w:name w:val="尾注引用1"/>
    <w:link w:val="793"/>
    <w:uiPriority w:val="99"/>
    <w:unhideWhenUsed/>
    <w:qFormat/>
    <w:rPr>
      <w:vertAlign w:val="superscript"/>
    </w:rPr>
  </w:style>
  <w:style w:type="character" w:styleId="901" w:customStyle="1">
    <w:name w:val="超链接11"/>
    <w:link w:val="793"/>
    <w:uiPriority w:val="99"/>
    <w:unhideWhenUsed/>
    <w:qFormat/>
    <w:rPr>
      <w:color w:val="0000ff"/>
      <w:u w:val="single"/>
    </w:rPr>
  </w:style>
  <w:style w:type="character" w:styleId="902" w:customStyle="1">
    <w:name w:val="Footer Char"/>
    <w:uiPriority w:val="99"/>
    <w:qFormat/>
  </w:style>
  <w:style w:type="character" w:styleId="903" w:customStyle="1">
    <w:name w:val="批注框文本 字符"/>
    <w:link w:val="904"/>
    <w:uiPriority w:val="0"/>
    <w:qFormat/>
    <w:rPr>
      <w:rFonts w:ascii="Times New Roman" w:hAnsi="Times New Roman" w:eastAsia="宋体" w:cs="Times New Roman"/>
      <w:sz w:val="18"/>
      <w:szCs w:val="18"/>
    </w:rPr>
  </w:style>
  <w:style w:type="paragraph" w:styleId="904" w:customStyle="1">
    <w:name w:val="批注框文本1"/>
    <w:basedOn w:val="793"/>
    <w:link w:val="903"/>
    <w:uiPriority w:val="0"/>
    <w:qFormat/>
    <w:rPr>
      <w:sz w:val="18"/>
      <w:szCs w:val="18"/>
    </w:rPr>
  </w:style>
  <w:style w:type="character" w:styleId="905" w:customStyle="1">
    <w:name w:val="标题 3 字符"/>
    <w:link w:val="891"/>
    <w:uiPriority w:val="9"/>
    <w:qFormat/>
    <w:rPr>
      <w:rFonts w:ascii="Arial" w:hAnsi="Arial" w:eastAsia="Arial" w:cs="Arial"/>
      <w:sz w:val="30"/>
      <w:szCs w:val="30"/>
    </w:rPr>
  </w:style>
  <w:style w:type="character" w:styleId="906" w:customStyle="1">
    <w:name w:val="标题 字符"/>
    <w:link w:val="907"/>
    <w:uiPriority w:val="10"/>
    <w:qFormat/>
    <w:rPr>
      <w:sz w:val="48"/>
      <w:szCs w:val="48"/>
    </w:rPr>
  </w:style>
  <w:style w:type="paragraph" w:styleId="907" w:customStyle="1">
    <w:name w:val="标题1"/>
    <w:basedOn w:val="793"/>
    <w:next w:val="793"/>
    <w:link w:val="906"/>
    <w:uiPriority w:val="10"/>
    <w:qFormat/>
    <w:pPr>
      <w:contextualSpacing/>
      <w:spacing w:before="300" w:after="200"/>
    </w:pPr>
    <w:rPr>
      <w:sz w:val="48"/>
      <w:szCs w:val="48"/>
    </w:rPr>
  </w:style>
  <w:style w:type="character" w:styleId="908" w:customStyle="1">
    <w:name w:val="副标题 字符"/>
    <w:link w:val="909"/>
    <w:uiPriority w:val="11"/>
    <w:qFormat/>
    <w:rPr>
      <w:sz w:val="24"/>
      <w:szCs w:val="24"/>
    </w:rPr>
  </w:style>
  <w:style w:type="paragraph" w:styleId="909" w:customStyle="1">
    <w:name w:val="副标题1"/>
    <w:basedOn w:val="793"/>
    <w:next w:val="793"/>
    <w:link w:val="908"/>
    <w:uiPriority w:val="11"/>
    <w:qFormat/>
    <w:pPr>
      <w:spacing w:before="200" w:after="200"/>
    </w:pPr>
    <w:rPr>
      <w:sz w:val="24"/>
      <w:szCs w:val="24"/>
    </w:rPr>
  </w:style>
  <w:style w:type="character" w:styleId="910" w:customStyle="1">
    <w:name w:val="标题 2 字符"/>
    <w:link w:val="890"/>
    <w:uiPriority w:val="9"/>
    <w:qFormat/>
    <w:rPr>
      <w:rFonts w:ascii="Arial" w:hAnsi="Arial" w:eastAsia="Arial" w:cs="Arial"/>
      <w:sz w:val="34"/>
    </w:rPr>
  </w:style>
  <w:style w:type="character" w:styleId="911" w:customStyle="1">
    <w:name w:val="标题 4 字符"/>
    <w:link w:val="861"/>
    <w:uiPriority w:val="9"/>
    <w:qFormat/>
    <w:rPr>
      <w:rFonts w:ascii="Arial" w:hAnsi="Arial" w:eastAsia="Arial" w:cs="Arial"/>
      <w:b/>
      <w:bCs/>
      <w:sz w:val="26"/>
      <w:szCs w:val="26"/>
    </w:rPr>
  </w:style>
  <w:style w:type="character" w:styleId="912" w:customStyle="1">
    <w:name w:val="页眉 字符"/>
    <w:link w:val="913"/>
    <w:uiPriority w:val="99"/>
    <w:qFormat/>
  </w:style>
  <w:style w:type="paragraph" w:styleId="913" w:customStyle="1">
    <w:name w:val="页眉11"/>
    <w:basedOn w:val="793"/>
    <w:link w:val="912"/>
    <w:uiPriority w:val="99"/>
    <w:unhideWhenUsed/>
    <w:qFormat/>
    <w:pPr>
      <w:spacing w:after="0" w:line="240" w:lineRule="auto"/>
      <w:tabs>
        <w:tab w:val="center" w:pos="7143" w:leader="none"/>
        <w:tab w:val="right" w:pos="14287" w:leader="none"/>
      </w:tabs>
    </w:pPr>
  </w:style>
  <w:style w:type="character" w:styleId="914" w:customStyle="1">
    <w:name w:val="标题 9 字符"/>
    <w:link w:val="896"/>
    <w:uiPriority w:val="9"/>
    <w:qFormat/>
    <w:rPr>
      <w:rFonts w:ascii="Arial" w:hAnsi="Arial" w:eastAsia="Arial" w:cs="Arial"/>
      <w:i/>
      <w:iCs/>
      <w:sz w:val="21"/>
      <w:szCs w:val="21"/>
    </w:rPr>
  </w:style>
  <w:style w:type="character" w:styleId="915" w:customStyle="1">
    <w:name w:val="标题 5 字符"/>
    <w:link w:val="892"/>
    <w:uiPriority w:val="9"/>
    <w:qFormat/>
    <w:rPr>
      <w:rFonts w:ascii="Arial" w:hAnsi="Arial" w:eastAsia="Arial" w:cs="Arial"/>
      <w:b/>
      <w:bCs/>
      <w:sz w:val="24"/>
      <w:szCs w:val="24"/>
    </w:rPr>
  </w:style>
  <w:style w:type="character" w:styleId="916" w:customStyle="1">
    <w:name w:val="font121"/>
    <w:link w:val="793"/>
    <w:uiPriority w:val="0"/>
    <w:qFormat/>
    <w:rPr>
      <w:rFonts w:hint="eastAsia" w:ascii="宋体" w:hAnsi="宋体" w:eastAsia="宋体" w:cs="宋体"/>
      <w:color w:val="000000"/>
      <w:sz w:val="18"/>
      <w:szCs w:val="18"/>
      <w:u w:val="none"/>
    </w:rPr>
  </w:style>
  <w:style w:type="character" w:styleId="917" w:customStyle="1">
    <w:name w:val="明显引用 字符"/>
    <w:link w:val="918"/>
    <w:uiPriority w:val="30"/>
    <w:qFormat/>
    <w:rPr>
      <w:i/>
    </w:rPr>
  </w:style>
  <w:style w:type="paragraph" w:styleId="918" w:customStyle="1">
    <w:name w:val="明显引用"/>
    <w:basedOn w:val="793"/>
    <w:next w:val="793"/>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引用 字符"/>
    <w:link w:val="920"/>
    <w:uiPriority w:val="29"/>
    <w:qFormat/>
    <w:rPr>
      <w:i/>
    </w:rPr>
  </w:style>
  <w:style w:type="paragraph" w:styleId="920" w:customStyle="1">
    <w:name w:val="引用"/>
    <w:basedOn w:val="793"/>
    <w:next w:val="793"/>
    <w:link w:val="919"/>
    <w:uiPriority w:val="29"/>
    <w:qFormat/>
    <w:pPr>
      <w:ind w:left="720" w:right="720"/>
    </w:pPr>
    <w:rPr>
      <w:i/>
    </w:rPr>
  </w:style>
  <w:style w:type="character" w:styleId="921" w:customStyle="1">
    <w:name w:val="标题 1 字符"/>
    <w:link w:val="889"/>
    <w:uiPriority w:val="9"/>
    <w:qFormat/>
    <w:rPr>
      <w:rFonts w:ascii="Arial" w:hAnsi="Arial" w:eastAsia="Arial" w:cs="Arial"/>
      <w:sz w:val="40"/>
      <w:szCs w:val="40"/>
    </w:rPr>
  </w:style>
  <w:style w:type="character" w:styleId="922" w:customStyle="1">
    <w:name w:val="标题 6 字符"/>
    <w:link w:val="893"/>
    <w:uiPriority w:val="9"/>
    <w:qFormat/>
    <w:rPr>
      <w:rFonts w:ascii="Arial" w:hAnsi="Arial" w:eastAsia="Arial" w:cs="Arial"/>
      <w:b/>
      <w:bCs/>
      <w:sz w:val="22"/>
      <w:szCs w:val="22"/>
    </w:rPr>
  </w:style>
  <w:style w:type="character" w:styleId="923" w:customStyle="1">
    <w:name w:val="页脚 字符"/>
    <w:link w:val="924"/>
    <w:uiPriority w:val="99"/>
    <w:qFormat/>
  </w:style>
  <w:style w:type="paragraph" w:styleId="924" w:customStyle="1">
    <w:name w:val="页脚11"/>
    <w:basedOn w:val="793"/>
    <w:link w:val="923"/>
    <w:uiPriority w:val="99"/>
    <w:unhideWhenUsed/>
    <w:qFormat/>
    <w:pPr>
      <w:spacing w:after="0" w:line="240" w:lineRule="auto"/>
      <w:tabs>
        <w:tab w:val="center" w:pos="7143" w:leader="none"/>
        <w:tab w:val="right" w:pos="14287" w:leader="none"/>
      </w:tabs>
    </w:pPr>
  </w:style>
  <w:style w:type="character" w:styleId="925" w:customStyle="1">
    <w:name w:val="标题 8 字符"/>
    <w:link w:val="895"/>
    <w:uiPriority w:val="9"/>
    <w:qFormat/>
    <w:rPr>
      <w:rFonts w:ascii="Arial" w:hAnsi="Arial" w:eastAsia="Arial" w:cs="Arial"/>
      <w:i/>
      <w:iCs/>
      <w:sz w:val="22"/>
      <w:szCs w:val="22"/>
    </w:rPr>
  </w:style>
  <w:style w:type="character" w:styleId="926" w:customStyle="1">
    <w:name w:val="标题 7 字符"/>
    <w:link w:val="894"/>
    <w:uiPriority w:val="9"/>
    <w:qFormat/>
    <w:rPr>
      <w:rFonts w:ascii="Arial" w:hAnsi="Arial" w:eastAsia="Arial" w:cs="Arial"/>
      <w:b/>
      <w:bCs/>
      <w:i/>
      <w:iCs/>
      <w:sz w:val="22"/>
      <w:szCs w:val="22"/>
    </w:rPr>
  </w:style>
  <w:style w:type="character" w:styleId="927" w:customStyle="1">
    <w:name w:val="脚注文本 字符"/>
    <w:link w:val="863"/>
    <w:uiPriority w:val="99"/>
    <w:qFormat/>
    <w:rPr>
      <w:sz w:val="18"/>
    </w:rPr>
  </w:style>
  <w:style w:type="character" w:styleId="928" w:customStyle="1">
    <w:name w:val="尾注文本 字符"/>
    <w:link w:val="929"/>
    <w:uiPriority w:val="99"/>
    <w:qFormat/>
    <w:rPr>
      <w:sz w:val="20"/>
    </w:rPr>
  </w:style>
  <w:style w:type="paragraph" w:styleId="929" w:customStyle="1">
    <w:name w:val="尾注文本1"/>
    <w:basedOn w:val="793"/>
    <w:link w:val="928"/>
    <w:uiPriority w:val="99"/>
    <w:unhideWhenUsed/>
    <w:qFormat/>
    <w:pPr>
      <w:spacing w:after="0" w:line="240" w:lineRule="auto"/>
    </w:pPr>
    <w:rPr>
      <w:sz w:val="20"/>
    </w:rPr>
  </w:style>
  <w:style w:type="character" w:styleId="930" w:customStyle="1">
    <w:name w:val="默认段落字体1"/>
    <w:link w:val="793"/>
    <w:uiPriority w:val="1"/>
    <w:unhideWhenUsed/>
    <w:qFormat/>
  </w:style>
  <w:style w:type="character" w:styleId="931" w:customStyle="1">
    <w:name w:val="超链接1"/>
    <w:link w:val="793"/>
    <w:uiPriority w:val="99"/>
    <w:unhideWhenUsed/>
    <w:qFormat/>
    <w:rPr>
      <w:color w:val="0000ff"/>
      <w:u w:val="single"/>
    </w:rPr>
  </w:style>
  <w:style w:type="character" w:styleId="932" w:customStyle="1">
    <w:name w:val="批注引用1"/>
    <w:link w:val="793"/>
    <w:uiPriority w:val="0"/>
    <w:qFormat/>
    <w:rPr>
      <w:sz w:val="21"/>
      <w:szCs w:val="21"/>
    </w:rPr>
  </w:style>
  <w:style w:type="character" w:styleId="933" w:customStyle="1">
    <w:name w:val="批注文字 字符"/>
    <w:link w:val="934"/>
    <w:uiPriority w:val="0"/>
    <w:qFormat/>
    <w:rPr>
      <w:rFonts w:ascii="Times New Roman" w:hAnsi="Times New Roman" w:eastAsia="宋体" w:cs="Times New Roman"/>
      <w:sz w:val="21"/>
      <w:szCs w:val="24"/>
    </w:rPr>
  </w:style>
  <w:style w:type="paragraph" w:styleId="934" w:customStyle="1">
    <w:name w:val="批注文字1"/>
    <w:basedOn w:val="793"/>
    <w:link w:val="933"/>
    <w:uiPriority w:val="0"/>
    <w:qFormat/>
    <w:pPr>
      <w:jc w:val="left"/>
    </w:pPr>
  </w:style>
  <w:style w:type="character" w:styleId="935" w:customStyle="1">
    <w:name w:val="批注主题 字符"/>
    <w:link w:val="936"/>
    <w:uiPriority w:val="0"/>
    <w:qFormat/>
    <w:rPr>
      <w:rFonts w:ascii="Times New Roman" w:hAnsi="Times New Roman" w:eastAsia="宋体" w:cs="Times New Roman"/>
      <w:b/>
      <w:bCs/>
      <w:sz w:val="21"/>
      <w:szCs w:val="24"/>
    </w:rPr>
  </w:style>
  <w:style w:type="paragraph" w:styleId="936" w:customStyle="1">
    <w:name w:val="批注主题1"/>
    <w:basedOn w:val="934"/>
    <w:next w:val="934"/>
    <w:link w:val="935"/>
    <w:uiPriority w:val="0"/>
    <w:qFormat/>
    <w:rPr>
      <w:b/>
      <w:bCs/>
    </w:rPr>
  </w:style>
  <w:style w:type="character" w:styleId="937" w:customStyle="1">
    <w:name w:val="font11"/>
    <w:link w:val="793"/>
    <w:uiPriority w:val="0"/>
    <w:qFormat/>
    <w:rPr>
      <w:rFonts w:hint="eastAsia" w:ascii="黑体" w:hAnsi="宋体" w:eastAsia="黑体" w:cs="黑体"/>
      <w:color w:val="000000"/>
      <w:sz w:val="18"/>
      <w:szCs w:val="18"/>
      <w:u w:val="none"/>
    </w:rPr>
  </w:style>
  <w:style w:type="character" w:styleId="938" w:customStyle="1">
    <w:name w:val="wyg1"/>
    <w:link w:val="793"/>
    <w:uiPriority w:val="6"/>
    <w:qFormat/>
    <w:rPr>
      <w:color w:val="000000"/>
      <w:sz w:val="20"/>
      <w:szCs w:val="20"/>
      <w:u w:val="none"/>
    </w:rPr>
  </w:style>
  <w:style w:type="character" w:styleId="939" w:customStyle="1">
    <w:name w:val="NormalCharacter1"/>
    <w:link w:val="793"/>
    <w:uiPriority w:val="0"/>
    <w:semiHidden/>
    <w:qFormat/>
    <w:rPr>
      <w:sz w:val="28"/>
      <w:lang w:val="en-US" w:eastAsia="zh-CN" w:bidi="ar-SA"/>
    </w:rPr>
  </w:style>
  <w:style w:type="character" w:styleId="940" w:customStyle="1">
    <w:name w:val="font21"/>
    <w:link w:val="793"/>
    <w:uiPriority w:val="0"/>
    <w:qFormat/>
    <w:rPr>
      <w:rFonts w:hint="eastAsia" w:ascii="宋体" w:hAnsi="宋体" w:eastAsia="宋体" w:cs="宋体"/>
      <w:b/>
      <w:bCs/>
      <w:color w:val="000000"/>
      <w:sz w:val="28"/>
      <w:szCs w:val="28"/>
      <w:u w:val="none"/>
    </w:rPr>
  </w:style>
  <w:style w:type="character" w:styleId="941" w:customStyle="1">
    <w:name w:val="font131"/>
    <w:link w:val="793"/>
    <w:uiPriority w:val="0"/>
    <w:qFormat/>
    <w:rPr>
      <w:rFonts w:hint="eastAsia" w:ascii="宋体" w:hAnsi="宋体" w:eastAsia="宋体" w:cs="宋体"/>
      <w:color w:val="000000"/>
      <w:sz w:val="20"/>
      <w:szCs w:val="20"/>
      <w:u w:val="none"/>
    </w:rPr>
  </w:style>
  <w:style w:type="character" w:styleId="942" w:customStyle="1">
    <w:name w:val="font41"/>
    <w:link w:val="793"/>
    <w:uiPriority w:val="0"/>
    <w:qFormat/>
    <w:rPr>
      <w:rFonts w:ascii="Arial" w:hAnsi="Arial" w:cs="Arial"/>
      <w:color w:val="000000"/>
      <w:sz w:val="22"/>
      <w:szCs w:val="22"/>
      <w:u w:val="none"/>
    </w:rPr>
  </w:style>
  <w:style w:type="paragraph" w:styleId="943" w:customStyle="1">
    <w:name w:val="题注1"/>
    <w:basedOn w:val="793"/>
    <w:next w:val="793"/>
    <w:uiPriority w:val="35"/>
    <w:qFormat/>
    <w:pPr>
      <w:spacing w:line="276" w:lineRule="auto"/>
    </w:pPr>
    <w:rPr>
      <w:b/>
      <w:bCs/>
      <w:color w:val="4f81bd"/>
      <w:sz w:val="18"/>
      <w:szCs w:val="18"/>
    </w:rPr>
  </w:style>
  <w:style w:type="paragraph" w:styleId="944" w:customStyle="1">
    <w:name w:val="目录 91"/>
    <w:basedOn w:val="793"/>
    <w:next w:val="793"/>
    <w:uiPriority w:val="39"/>
    <w:unhideWhenUsed/>
    <w:qFormat/>
    <w:pPr>
      <w:ind w:left="2268" w:right="0" w:firstLine="0"/>
      <w:spacing w:after="57"/>
    </w:pPr>
  </w:style>
  <w:style w:type="paragraph" w:styleId="945" w:customStyle="1">
    <w:name w:val="正文缩进11"/>
    <w:basedOn w:val="793"/>
    <w:uiPriority w:val="0"/>
    <w:unhideWhenUsed/>
    <w:qFormat/>
    <w:pPr>
      <w:ind w:firstLine="420"/>
    </w:pPr>
  </w:style>
  <w:style w:type="paragraph" w:styleId="946" w:customStyle="1">
    <w:name w:val="目录 71"/>
    <w:basedOn w:val="793"/>
    <w:next w:val="793"/>
    <w:uiPriority w:val="39"/>
    <w:unhideWhenUsed/>
    <w:qFormat/>
    <w:pPr>
      <w:ind w:left="1701" w:right="0" w:firstLine="0"/>
      <w:spacing w:after="57"/>
    </w:pPr>
  </w:style>
  <w:style w:type="paragraph" w:styleId="947" w:customStyle="1">
    <w:name w:val="图表目录1"/>
    <w:basedOn w:val="793"/>
    <w:next w:val="793"/>
    <w:uiPriority w:val="99"/>
    <w:unhideWhenUsed/>
    <w:qFormat/>
    <w:pPr>
      <w:spacing w:after="0" w:afterAutospacing="0"/>
    </w:pPr>
  </w:style>
  <w:style w:type="paragraph" w:styleId="948" w:customStyle="1">
    <w:name w:val="目录 31"/>
    <w:basedOn w:val="793"/>
    <w:next w:val="793"/>
    <w:uiPriority w:val="39"/>
    <w:unhideWhenUsed/>
    <w:qFormat/>
    <w:pPr>
      <w:ind w:left="567" w:right="0" w:firstLine="0"/>
      <w:spacing w:after="57"/>
    </w:pPr>
  </w:style>
  <w:style w:type="paragraph" w:styleId="949" w:customStyle="1">
    <w:name w:val="目录 61"/>
    <w:basedOn w:val="793"/>
    <w:next w:val="793"/>
    <w:uiPriority w:val="39"/>
    <w:unhideWhenUsed/>
    <w:qFormat/>
    <w:pPr>
      <w:ind w:left="1417" w:right="0" w:firstLine="0"/>
      <w:spacing w:after="57"/>
    </w:pPr>
  </w:style>
  <w:style w:type="paragraph" w:styleId="950" w:customStyle="1">
    <w:name w:val="目录 41"/>
    <w:basedOn w:val="793"/>
    <w:next w:val="793"/>
    <w:uiPriority w:val="39"/>
    <w:unhideWhenUsed/>
    <w:qFormat/>
    <w:pPr>
      <w:ind w:left="850" w:right="0" w:firstLine="0"/>
      <w:spacing w:after="57"/>
    </w:pPr>
  </w:style>
  <w:style w:type="paragraph" w:styleId="951" w:customStyle="1">
    <w:name w:val="正文缩进1"/>
    <w:basedOn w:val="793"/>
    <w:uiPriority w:val="0"/>
    <w:qFormat/>
    <w:pPr>
      <w:ind w:firstLine="420"/>
    </w:pPr>
  </w:style>
  <w:style w:type="paragraph" w:styleId="952" w:customStyle="1">
    <w:name w:val="目录 21"/>
    <w:basedOn w:val="793"/>
    <w:next w:val="793"/>
    <w:uiPriority w:val="39"/>
    <w:unhideWhenUsed/>
    <w:qFormat/>
    <w:pPr>
      <w:ind w:left="283" w:right="0" w:firstLine="0"/>
      <w:spacing w:after="57"/>
    </w:pPr>
  </w:style>
  <w:style w:type="paragraph" w:styleId="953" w:customStyle="1">
    <w:name w:val="目录 51"/>
    <w:basedOn w:val="793"/>
    <w:next w:val="793"/>
    <w:uiPriority w:val="39"/>
    <w:unhideWhenUsed/>
    <w:qFormat/>
    <w:pPr>
      <w:ind w:left="1134" w:right="0" w:firstLine="0"/>
      <w:spacing w:after="57"/>
    </w:pPr>
  </w:style>
  <w:style w:type="paragraph" w:styleId="954" w:customStyle="1">
    <w:name w:val="目录 81"/>
    <w:basedOn w:val="793"/>
    <w:next w:val="793"/>
    <w:uiPriority w:val="39"/>
    <w:unhideWhenUsed/>
    <w:qFormat/>
    <w:pPr>
      <w:ind w:left="1984" w:right="0" w:firstLine="0"/>
      <w:spacing w:after="57"/>
    </w:pPr>
  </w:style>
  <w:style w:type="paragraph" w:styleId="955" w:customStyle="1">
    <w:name w:val="普通(网站)1"/>
    <w:basedOn w:val="79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56" w:customStyle="1">
    <w:name w:val="列表段落"/>
    <w:basedOn w:val="793"/>
    <w:uiPriority w:val="34"/>
    <w:qFormat/>
    <w:pPr>
      <w:contextualSpacing/>
      <w:ind w:left="720"/>
    </w:pPr>
  </w:style>
  <w:style w:type="paragraph" w:styleId="957" w:customStyle="1">
    <w:name w:val="TOC Heading"/>
    <w:uiPriority w:val="39"/>
    <w:unhideWhenUsed/>
    <w:qFormat/>
    <w:rPr>
      <w:rFonts w:hint="default" w:ascii="Calibri" w:hAnsi="Calibri" w:eastAsia="宋体" w:cs="Times New Roman"/>
      <w:lang w:val="en-US" w:eastAsia="zh-CN" w:bidi="ar-SA"/>
    </w:rPr>
  </w:style>
  <w:style w:type="paragraph" w:styleId="958" w:customStyle="1">
    <w:name w:val="页眉1"/>
    <w:basedOn w:val="793"/>
    <w:uiPriority w:val="99"/>
    <w:qFormat/>
    <w:pPr>
      <w:jc w:val="center"/>
      <w:tabs>
        <w:tab w:val="center" w:pos="4153" w:leader="none"/>
        <w:tab w:val="right" w:pos="8306" w:leader="none"/>
      </w:tabs>
      <w:pBdr>
        <w:bottom w:val="single" w:color="000000" w:sz="6" w:space="1"/>
      </w:pBdr>
    </w:pPr>
    <w:rPr>
      <w:sz w:val="18"/>
      <w:szCs w:val="18"/>
    </w:rPr>
  </w:style>
  <w:style w:type="paragraph" w:styleId="959" w:customStyle="1">
    <w:name w:val="无间隔"/>
    <w:uiPriority w:val="1"/>
    <w:qFormat/>
    <w:rPr>
      <w:rFonts w:hint="default" w:ascii="Calibri" w:hAnsi="Calibri" w:eastAsia="宋体" w:cs="Times New Roman"/>
      <w:lang w:val="en-US" w:eastAsia="zh-CN" w:bidi="ar-SA"/>
    </w:rPr>
  </w:style>
  <w:style w:type="paragraph" w:styleId="960" w:customStyle="1">
    <w:name w:val="EnvelopeReturn1"/>
    <w:basedOn w:val="793"/>
    <w:uiPriority w:val="0"/>
    <w:qFormat/>
    <w:rPr>
      <w:rFonts w:ascii="Arial" w:hAnsi="Arial"/>
    </w:rPr>
  </w:style>
  <w:style w:type="paragraph" w:styleId="961" w:customStyle="1">
    <w:name w:val="EnvelopeReturn11"/>
    <w:basedOn w:val="793"/>
    <w:uiPriority w:val="0"/>
    <w:qFormat/>
    <w:rPr>
      <w:rFonts w:ascii="Arial" w:hAnsi="Arial"/>
    </w:rPr>
  </w:style>
  <w:style w:type="paragraph" w:styleId="962" w:customStyle="1">
    <w:name w:val="标题 11"/>
    <w:basedOn w:val="793"/>
    <w:next w:val="793"/>
    <w:uiPriority w:val="0"/>
    <w:qFormat/>
    <w:pPr>
      <w:jc w:val="center"/>
      <w:keepLines/>
      <w:keepNext/>
      <w:spacing w:line="578" w:lineRule="auto"/>
      <w:outlineLvl w:val="0"/>
    </w:pPr>
    <w:rPr>
      <w:rFonts w:eastAsia="新宋体"/>
      <w:b/>
      <w:bCs/>
      <w:sz w:val="30"/>
      <w:szCs w:val="44"/>
    </w:rPr>
  </w:style>
  <w:style w:type="paragraph" w:styleId="963" w:customStyle="1">
    <w:name w:val="段"/>
    <w:basedOn w:val="845"/>
    <w:next w:val="793"/>
    <w:uiPriority w:val="0"/>
    <w:qFormat/>
    <w:pPr>
      <w:ind w:firstLine="200"/>
      <w:widowControl/>
    </w:pPr>
    <w:rPr>
      <w:sz w:val="20"/>
    </w:rPr>
  </w:style>
  <w:style w:type="paragraph" w:styleId="964" w:customStyle="1">
    <w:name w:val="BodyTextIndent1"/>
    <w:basedOn w:val="793"/>
    <w:next w:val="960"/>
    <w:uiPriority w:val="0"/>
    <w:qFormat/>
    <w:pPr>
      <w:ind w:left="420"/>
      <w:spacing w:after="120"/>
    </w:pPr>
  </w:style>
  <w:style w:type="paragraph" w:styleId="965" w:customStyle="1">
    <w:name w:val="页脚1"/>
    <w:basedOn w:val="793"/>
    <w:uiPriority w:val="99"/>
    <w:qFormat/>
    <w:pPr>
      <w:jc w:val="left"/>
      <w:tabs>
        <w:tab w:val="center" w:pos="4153" w:leader="none"/>
        <w:tab w:val="right" w:pos="8306" w:leader="none"/>
      </w:tabs>
    </w:pPr>
    <w:rPr>
      <w:sz w:val="18"/>
      <w:szCs w:val="18"/>
    </w:rPr>
  </w:style>
  <w:style w:type="paragraph" w:styleId="966" w:customStyle="1">
    <w:name w:val="正文缩进2"/>
    <w:basedOn w:val="793"/>
    <w:uiPriority w:val="0"/>
    <w:qFormat/>
    <w:pPr>
      <w:ind w:firstLine="420"/>
    </w:pPr>
  </w:style>
  <w:style w:type="paragraph" w:styleId="967" w:customStyle="1">
    <w:name w:val="BodyTextIndent11"/>
    <w:basedOn w:val="793"/>
    <w:next w:val="961"/>
    <w:uiPriority w:val="0"/>
    <w:qFormat/>
    <w:pPr>
      <w:ind w:left="420"/>
      <w:spacing w:after="120"/>
    </w:pPr>
  </w:style>
  <w:style w:type="paragraph" w:styleId="968" w:customStyle="1">
    <w:name w:val="Body text|21"/>
    <w:basedOn w:val="79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69" w:customStyle="1">
    <w:name w:val="Grid Table 4 - Accent 2"/>
    <w:uiPriority w:val="59"/>
    <w:qFormat/>
    <w:rPr>
      <w:lang w:val="en-US" w:eastAsia="zh-CN" w:bidi="ar-SA"/>
    </w:rPr>
    <w:tblPr/>
  </w:style>
  <w:style w:type="table" w:styleId="970" w:customStyle="1">
    <w:name w:val="Lined - Accent 3"/>
    <w:uiPriority w:val="99"/>
    <w:qFormat/>
    <w:rPr>
      <w:color w:val="404040"/>
      <w:lang w:val="en-US" w:eastAsia="zh-CN" w:bidi="ar-SA"/>
    </w:rPr>
    <w:tblPr/>
  </w:style>
  <w:style w:type="table" w:styleId="971" w:customStyle="1">
    <w:name w:val="网格型11"/>
    <w:uiPriority w:val="59"/>
    <w:qFormat/>
    <w:rPr>
      <w:lang w:val="en-US" w:eastAsia="zh-CN" w:bidi="ar-SA"/>
    </w:rPr>
    <w:tblPr/>
  </w:style>
  <w:style w:type="table" w:styleId="972" w:customStyle="1">
    <w:name w:val="List Table 6 Colorful - Accent 1"/>
    <w:uiPriority w:val="99"/>
    <w:qFormat/>
    <w:rPr>
      <w:lang w:val="en-US" w:eastAsia="zh-CN" w:bidi="ar-SA"/>
    </w:rPr>
    <w:tblPr/>
  </w:style>
  <w:style w:type="table" w:styleId="973" w:customStyle="1">
    <w:name w:val="Grid Table 2 - Accent 4"/>
    <w:uiPriority w:val="99"/>
    <w:qFormat/>
    <w:rPr>
      <w:lang w:val="en-US" w:eastAsia="zh-CN" w:bidi="ar-SA"/>
    </w:rPr>
    <w:tblPr/>
  </w:style>
  <w:style w:type="table" w:styleId="974" w:customStyle="1">
    <w:name w:val="List Table 3 - Accent 5"/>
    <w:uiPriority w:val="99"/>
    <w:qFormat/>
    <w:rPr>
      <w:lang w:val="en-US" w:eastAsia="zh-CN" w:bidi="ar-SA"/>
    </w:rPr>
    <w:tblPr/>
  </w:style>
  <w:style w:type="table" w:styleId="975" w:customStyle="1">
    <w:name w:val="普通表格1"/>
    <w:uiPriority w:val="99"/>
    <w:unhideWhenUsed/>
    <w:qFormat/>
    <w:rPr>
      <w:lang w:val="en-US" w:eastAsia="zh-CN" w:bidi="ar-SA"/>
    </w:rPr>
    <w:tblPr/>
  </w:style>
  <w:style w:type="table" w:styleId="976" w:customStyle="1">
    <w:name w:val="List Table 3 - Accent 3"/>
    <w:uiPriority w:val="99"/>
    <w:qFormat/>
    <w:rPr>
      <w:lang w:val="en-US" w:eastAsia="zh-CN" w:bidi="ar-SA"/>
    </w:rPr>
    <w:tblPr/>
  </w:style>
  <w:style w:type="table" w:styleId="977" w:customStyle="1">
    <w:name w:val="List Table 4 - Accent 2"/>
    <w:uiPriority w:val="99"/>
    <w:qFormat/>
    <w:rPr>
      <w:lang w:val="en-US" w:eastAsia="zh-CN" w:bidi="ar-SA"/>
    </w:rPr>
    <w:tblPr/>
  </w:style>
  <w:style w:type="table" w:styleId="978" w:customStyle="1">
    <w:name w:val="List Table 6 Colorful - Accent 2"/>
    <w:uiPriority w:val="99"/>
    <w:qFormat/>
    <w:rPr>
      <w:lang w:val="en-US" w:eastAsia="zh-CN" w:bidi="ar-SA"/>
    </w:rPr>
    <w:tblPr/>
  </w:style>
  <w:style w:type="table" w:styleId="979" w:customStyle="1">
    <w:name w:val="List Table 4 - Accent 4"/>
    <w:uiPriority w:val="99"/>
    <w:qFormat/>
    <w:rPr>
      <w:lang w:val="en-US" w:eastAsia="zh-CN" w:bidi="ar-SA"/>
    </w:rPr>
    <w:tblPr/>
  </w:style>
  <w:style w:type="table" w:styleId="980" w:customStyle="1">
    <w:name w:val="List Table 5 Dark - Accent 3"/>
    <w:uiPriority w:val="99"/>
    <w:qFormat/>
    <w:rPr>
      <w:lang w:val="en-US" w:eastAsia="zh-CN" w:bidi="ar-SA"/>
    </w:rPr>
    <w:tblPr/>
  </w:style>
  <w:style w:type="table" w:styleId="981" w:customStyle="1">
    <w:name w:val="List Table 2"/>
    <w:uiPriority w:val="99"/>
    <w:qFormat/>
    <w:rPr>
      <w:lang w:val="en-US" w:eastAsia="zh-CN" w:bidi="ar-SA"/>
    </w:rPr>
    <w:tblPr/>
  </w:style>
  <w:style w:type="table" w:styleId="982" w:customStyle="1">
    <w:name w:val="List Table 5 Dark - Accent 1"/>
    <w:uiPriority w:val="99"/>
    <w:qFormat/>
    <w:rPr>
      <w:lang w:val="en-US" w:eastAsia="zh-CN" w:bidi="ar-SA"/>
    </w:rPr>
    <w:tblPr/>
  </w:style>
  <w:style w:type="table" w:styleId="983" w:customStyle="1">
    <w:name w:val="Grid Table 7 Colorful - Accent 5"/>
    <w:uiPriority w:val="99"/>
    <w:qFormat/>
    <w:rPr>
      <w:lang w:val="en-US" w:eastAsia="zh-CN" w:bidi="ar-SA"/>
    </w:rPr>
    <w:tblPr/>
  </w:style>
  <w:style w:type="table" w:styleId="984" w:customStyle="1">
    <w:name w:val="List Table 2 - Accent 5"/>
    <w:uiPriority w:val="99"/>
    <w:qFormat/>
    <w:rPr>
      <w:lang w:val="en-US" w:eastAsia="zh-CN" w:bidi="ar-SA"/>
    </w:rPr>
    <w:tblPr/>
  </w:style>
  <w:style w:type="table" w:styleId="985" w:customStyle="1">
    <w:name w:val="List Table 5 Dark"/>
    <w:uiPriority w:val="99"/>
    <w:qFormat/>
    <w:rPr>
      <w:lang w:val="en-US" w:eastAsia="zh-CN" w:bidi="ar-SA"/>
    </w:rPr>
    <w:tblPr/>
  </w:style>
  <w:style w:type="table" w:styleId="986" w:customStyle="1">
    <w:name w:val="List Table 1 Light - Accent 5"/>
    <w:uiPriority w:val="99"/>
    <w:qFormat/>
    <w:rPr>
      <w:lang w:val="en-US" w:eastAsia="zh-CN" w:bidi="ar-SA"/>
    </w:rPr>
    <w:tblPr/>
  </w:style>
  <w:style w:type="table" w:styleId="987" w:customStyle="1">
    <w:name w:val="Grid Table 7 Colorful - Accent 3"/>
    <w:uiPriority w:val="99"/>
    <w:qFormat/>
    <w:rPr>
      <w:lang w:val="en-US" w:eastAsia="zh-CN" w:bidi="ar-SA"/>
    </w:rPr>
    <w:tblPr/>
  </w:style>
  <w:style w:type="table" w:styleId="988" w:customStyle="1">
    <w:name w:val="List Table 3 - Accent 6"/>
    <w:uiPriority w:val="99"/>
    <w:qFormat/>
    <w:rPr>
      <w:lang w:val="en-US" w:eastAsia="zh-CN" w:bidi="ar-SA"/>
    </w:rPr>
    <w:tblPr/>
  </w:style>
  <w:style w:type="table" w:styleId="989" w:customStyle="1">
    <w:name w:val="List Table 5 Dark - Accent 6"/>
    <w:uiPriority w:val="99"/>
    <w:qFormat/>
    <w:rPr>
      <w:lang w:val="en-US" w:eastAsia="zh-CN" w:bidi="ar-SA"/>
    </w:rPr>
    <w:tblPr/>
  </w:style>
  <w:style w:type="table" w:styleId="990" w:customStyle="1">
    <w:name w:val="List Table 4 - Accent 3"/>
    <w:uiPriority w:val="99"/>
    <w:qFormat/>
    <w:rPr>
      <w:lang w:val="en-US" w:eastAsia="zh-CN" w:bidi="ar-SA"/>
    </w:rPr>
    <w:tblPr/>
  </w:style>
  <w:style w:type="table" w:styleId="991" w:customStyle="1">
    <w:name w:val="List Table 5 Dark - Accent 2"/>
    <w:uiPriority w:val="99"/>
    <w:qFormat/>
    <w:rPr>
      <w:lang w:val="en-US" w:eastAsia="zh-CN" w:bidi="ar-SA"/>
    </w:rPr>
    <w:tblPr/>
  </w:style>
  <w:style w:type="table" w:styleId="992" w:customStyle="1">
    <w:name w:val="List Table 2 - Accent 3"/>
    <w:uiPriority w:val="99"/>
    <w:qFormat/>
    <w:rPr>
      <w:lang w:val="en-US" w:eastAsia="zh-CN" w:bidi="ar-SA"/>
    </w:rPr>
    <w:tblPr/>
  </w:style>
  <w:style w:type="table" w:styleId="993" w:customStyle="1">
    <w:name w:val="Grid Table 7 Colorful"/>
    <w:uiPriority w:val="99"/>
    <w:qFormat/>
    <w:rPr>
      <w:lang w:val="en-US" w:eastAsia="zh-CN" w:bidi="ar-SA"/>
    </w:rPr>
    <w:tblPr/>
  </w:style>
  <w:style w:type="table" w:styleId="994" w:customStyle="1">
    <w:name w:val="List Table 4 - Accent 5"/>
    <w:uiPriority w:val="99"/>
    <w:qFormat/>
    <w:rPr>
      <w:lang w:val="en-US" w:eastAsia="zh-CN" w:bidi="ar-SA"/>
    </w:rPr>
    <w:tblPr/>
  </w:style>
  <w:style w:type="table" w:styleId="995" w:customStyle="1">
    <w:name w:val="网格型1"/>
    <w:basedOn w:val="975"/>
    <w:uiPriority w:val="39"/>
    <w:qFormat/>
    <w:tblPr/>
  </w:style>
  <w:style w:type="table" w:styleId="996" w:customStyle="1">
    <w:name w:val="List Table 1 Light - Accent 4"/>
    <w:uiPriority w:val="99"/>
    <w:qFormat/>
    <w:rPr>
      <w:lang w:val="en-US" w:eastAsia="zh-CN" w:bidi="ar-SA"/>
    </w:rPr>
    <w:tblPr/>
  </w:style>
  <w:style w:type="table" w:styleId="997" w:customStyle="1">
    <w:name w:val="List Table 6 Colorful - Accent 3"/>
    <w:uiPriority w:val="99"/>
    <w:qFormat/>
    <w:rPr>
      <w:lang w:val="en-US" w:eastAsia="zh-CN" w:bidi="ar-SA"/>
    </w:rPr>
    <w:tblPr/>
  </w:style>
  <w:style w:type="table" w:styleId="998" w:customStyle="1">
    <w:name w:val="List Table 3 - Accent 2"/>
    <w:uiPriority w:val="99"/>
    <w:qFormat/>
    <w:rPr>
      <w:lang w:val="en-US" w:eastAsia="zh-CN" w:bidi="ar-SA"/>
    </w:rPr>
    <w:tblPr/>
  </w:style>
  <w:style w:type="table" w:styleId="999" w:customStyle="1">
    <w:name w:val="List Table 1 Light"/>
    <w:uiPriority w:val="99"/>
    <w:qFormat/>
    <w:rPr>
      <w:lang w:val="en-US" w:eastAsia="zh-CN" w:bidi="ar-SA"/>
    </w:rPr>
    <w:tblPr/>
  </w:style>
  <w:style w:type="table" w:styleId="1000" w:customStyle="1">
    <w:name w:val="List Table 6 Colorful"/>
    <w:uiPriority w:val="99"/>
    <w:qFormat/>
    <w:rPr>
      <w:lang w:val="en-US" w:eastAsia="zh-CN" w:bidi="ar-SA"/>
    </w:rPr>
    <w:tblPr/>
  </w:style>
  <w:style w:type="table" w:styleId="1001" w:customStyle="1">
    <w:name w:val="Grid Table 7 Colorful - Accent 2"/>
    <w:uiPriority w:val="99"/>
    <w:qFormat/>
    <w:rPr>
      <w:lang w:val="en-US" w:eastAsia="zh-CN" w:bidi="ar-SA"/>
    </w:rPr>
    <w:tblPr/>
  </w:style>
  <w:style w:type="table" w:styleId="1002" w:customStyle="1">
    <w:name w:val="List Table 2 - Accent 4"/>
    <w:uiPriority w:val="99"/>
    <w:qFormat/>
    <w:rPr>
      <w:lang w:val="en-US" w:eastAsia="zh-CN" w:bidi="ar-SA"/>
    </w:rPr>
    <w:tblPr/>
  </w:style>
  <w:style w:type="table" w:styleId="1003" w:customStyle="1">
    <w:name w:val="Grid Table 6 Colorful - Accent 1"/>
    <w:uiPriority w:val="99"/>
    <w:qFormat/>
    <w:rPr>
      <w:lang w:val="en-US" w:eastAsia="zh-CN" w:bidi="ar-SA"/>
    </w:rPr>
    <w:tblPr/>
  </w:style>
  <w:style w:type="table" w:styleId="1004" w:customStyle="1">
    <w:name w:val="Grid Table 3 - Accent 2"/>
    <w:uiPriority w:val="99"/>
    <w:qFormat/>
    <w:rPr>
      <w:lang w:val="en-US" w:eastAsia="zh-CN" w:bidi="ar-SA"/>
    </w:rPr>
    <w:tblPr/>
  </w:style>
  <w:style w:type="table" w:styleId="1005" w:customStyle="1">
    <w:name w:val="Grid Table 5 Dark- Accent 4"/>
    <w:uiPriority w:val="99"/>
    <w:qFormat/>
    <w:rPr>
      <w:lang w:val="en-US" w:eastAsia="zh-CN" w:bidi="ar-SA"/>
    </w:rPr>
    <w:tblPr/>
  </w:style>
  <w:style w:type="table" w:styleId="1006" w:customStyle="1">
    <w:name w:val="List Table 7 Colorful - Accent 2"/>
    <w:uiPriority w:val="99"/>
    <w:qFormat/>
    <w:rPr>
      <w:lang w:val="en-US" w:eastAsia="zh-CN" w:bidi="ar-SA"/>
    </w:rPr>
    <w:tblPr/>
  </w:style>
  <w:style w:type="table" w:styleId="1007" w:customStyle="1">
    <w:name w:val="Grid Table 6 Colorful - Accent 4"/>
    <w:uiPriority w:val="99"/>
    <w:qFormat/>
    <w:rPr>
      <w:lang w:val="en-US" w:eastAsia="zh-CN" w:bidi="ar-SA"/>
    </w:rPr>
    <w:tblPr/>
  </w:style>
  <w:style w:type="table" w:styleId="1008" w:customStyle="1">
    <w:name w:val="List Table 3"/>
    <w:uiPriority w:val="99"/>
    <w:qFormat/>
    <w:rPr>
      <w:lang w:val="en-US" w:eastAsia="zh-CN" w:bidi="ar-SA"/>
    </w:rPr>
    <w:tblPr/>
  </w:style>
  <w:style w:type="table" w:styleId="1009" w:customStyle="1">
    <w:name w:val="Grid Table 2 - Accent 5"/>
    <w:uiPriority w:val="99"/>
    <w:qFormat/>
    <w:rPr>
      <w:lang w:val="en-US" w:eastAsia="zh-CN" w:bidi="ar-SA"/>
    </w:rPr>
    <w:tblPr/>
  </w:style>
  <w:style w:type="table" w:styleId="1010" w:customStyle="1">
    <w:name w:val="Grid Table 5 Dark - Accent 3"/>
    <w:uiPriority w:val="99"/>
    <w:qFormat/>
    <w:rPr>
      <w:lang w:val="en-US" w:eastAsia="zh-CN" w:bidi="ar-SA"/>
    </w:rPr>
    <w:tblPr/>
  </w:style>
  <w:style w:type="table" w:styleId="1011" w:customStyle="1">
    <w:name w:val="Grid Table 2"/>
    <w:uiPriority w:val="99"/>
    <w:qFormat/>
    <w:rPr>
      <w:lang w:val="en-US" w:eastAsia="zh-CN" w:bidi="ar-SA"/>
    </w:rPr>
    <w:tblPr/>
  </w:style>
  <w:style w:type="table" w:styleId="1012" w:customStyle="1">
    <w:name w:val="Lined - Accent 5"/>
    <w:uiPriority w:val="99"/>
    <w:qFormat/>
    <w:rPr>
      <w:color w:val="404040"/>
      <w:lang w:val="en-US" w:eastAsia="zh-CN" w:bidi="ar-SA"/>
    </w:rPr>
    <w:tblPr/>
  </w:style>
  <w:style w:type="table" w:styleId="1013" w:customStyle="1">
    <w:name w:val="Lined - Accent 4"/>
    <w:uiPriority w:val="99"/>
    <w:qFormat/>
    <w:rPr>
      <w:color w:val="404040"/>
      <w:lang w:val="en-US" w:eastAsia="zh-CN" w:bidi="ar-SA"/>
    </w:rPr>
    <w:tblPr/>
  </w:style>
  <w:style w:type="table" w:styleId="1014" w:customStyle="1">
    <w:name w:val="Plain Table 2"/>
    <w:uiPriority w:val="59"/>
    <w:qFormat/>
    <w:rPr>
      <w:lang w:val="en-US" w:eastAsia="zh-CN" w:bidi="ar-SA"/>
    </w:rPr>
    <w:tblPr/>
  </w:style>
  <w:style w:type="table" w:styleId="1015" w:customStyle="1">
    <w:name w:val="Bordered - Accent 6"/>
    <w:uiPriority w:val="99"/>
    <w:qFormat/>
    <w:rPr>
      <w:lang w:val="en-US" w:eastAsia="zh-CN" w:bidi="ar-SA"/>
    </w:rPr>
    <w:tblPr/>
  </w:style>
  <w:style w:type="table" w:styleId="1016" w:customStyle="1">
    <w:name w:val="Grid Table 3 - Accent 3"/>
    <w:uiPriority w:val="99"/>
    <w:qFormat/>
    <w:rPr>
      <w:lang w:val="en-US" w:eastAsia="zh-CN" w:bidi="ar-SA"/>
    </w:rPr>
    <w:tblPr/>
  </w:style>
  <w:style w:type="table" w:styleId="1017" w:customStyle="1">
    <w:name w:val="Table Grid Light"/>
    <w:uiPriority w:val="59"/>
    <w:qFormat/>
    <w:rPr>
      <w:lang w:val="en-US" w:eastAsia="zh-CN" w:bidi="ar-SA"/>
    </w:rPr>
    <w:tblPr/>
  </w:style>
  <w:style w:type="table" w:styleId="1018" w:customStyle="1">
    <w:name w:val="List Table 3 - Accent 4"/>
    <w:uiPriority w:val="99"/>
    <w:qFormat/>
    <w:rPr>
      <w:lang w:val="en-US" w:eastAsia="zh-CN" w:bidi="ar-SA"/>
    </w:rPr>
    <w:tblPr/>
  </w:style>
  <w:style w:type="table" w:styleId="1019" w:customStyle="1">
    <w:name w:val="List Table 7 Colorful - Accent 1"/>
    <w:uiPriority w:val="99"/>
    <w:qFormat/>
    <w:rPr>
      <w:lang w:val="en-US" w:eastAsia="zh-CN" w:bidi="ar-SA"/>
    </w:rPr>
    <w:tblPr/>
  </w:style>
  <w:style w:type="table" w:styleId="1020" w:customStyle="1">
    <w:name w:val="Grid Table 1 Light - Accent 1"/>
    <w:uiPriority w:val="99"/>
    <w:qFormat/>
    <w:rPr>
      <w:lang w:val="en-US" w:eastAsia="zh-CN" w:bidi="ar-SA"/>
    </w:rPr>
    <w:tblPr/>
  </w:style>
  <w:style w:type="table" w:styleId="1021" w:customStyle="1">
    <w:name w:val="Lined - Accent 1"/>
    <w:uiPriority w:val="99"/>
    <w:qFormat/>
    <w:rPr>
      <w:color w:val="404040"/>
      <w:lang w:val="en-US" w:eastAsia="zh-CN" w:bidi="ar-SA"/>
    </w:rPr>
    <w:tblPr/>
  </w:style>
  <w:style w:type="table" w:styleId="1022" w:customStyle="1">
    <w:name w:val="Grid Table 3 - Accent 6"/>
    <w:uiPriority w:val="99"/>
    <w:qFormat/>
    <w:rPr>
      <w:lang w:val="en-US" w:eastAsia="zh-CN" w:bidi="ar-SA"/>
    </w:rPr>
    <w:tblPr/>
  </w:style>
  <w:style w:type="table" w:styleId="1023" w:customStyle="1">
    <w:name w:val="Plain Table 3"/>
    <w:uiPriority w:val="99"/>
    <w:qFormat/>
    <w:rPr>
      <w:lang w:val="en-US" w:eastAsia="zh-CN" w:bidi="ar-SA"/>
    </w:rPr>
    <w:tblPr/>
  </w:style>
  <w:style w:type="table" w:styleId="1024" w:customStyle="1">
    <w:name w:val="Grid Table 4 - Accent 4"/>
    <w:uiPriority w:val="59"/>
    <w:qFormat/>
    <w:rPr>
      <w:lang w:val="en-US" w:eastAsia="zh-CN" w:bidi="ar-SA"/>
    </w:rPr>
    <w:tblPr/>
  </w:style>
  <w:style w:type="table" w:styleId="1025" w:customStyle="1">
    <w:name w:val="Grid Table 3 - Accent 5"/>
    <w:uiPriority w:val="99"/>
    <w:qFormat/>
    <w:rPr>
      <w:lang w:val="en-US" w:eastAsia="zh-CN" w:bidi="ar-SA"/>
    </w:rPr>
    <w:tblPr/>
  </w:style>
  <w:style w:type="table" w:styleId="1026" w:customStyle="1">
    <w:name w:val="Plain Table 1"/>
    <w:uiPriority w:val="59"/>
    <w:qFormat/>
    <w:rPr>
      <w:lang w:val="en-US" w:eastAsia="zh-CN" w:bidi="ar-SA"/>
    </w:rPr>
    <w:tblPr/>
  </w:style>
  <w:style w:type="table" w:styleId="1027" w:customStyle="1">
    <w:name w:val="Bordered - Accent 5"/>
    <w:uiPriority w:val="99"/>
    <w:qFormat/>
    <w:rPr>
      <w:lang w:val="en-US" w:eastAsia="zh-CN" w:bidi="ar-SA"/>
    </w:rPr>
    <w:tblPr/>
  </w:style>
  <w:style w:type="table" w:styleId="1028" w:customStyle="1">
    <w:name w:val="Grid Table 1 Light"/>
    <w:uiPriority w:val="99"/>
    <w:qFormat/>
    <w:rPr>
      <w:lang w:val="en-US" w:eastAsia="zh-CN" w:bidi="ar-SA"/>
    </w:rPr>
    <w:tblPr/>
  </w:style>
  <w:style w:type="table" w:styleId="1029" w:customStyle="1">
    <w:name w:val="Grid Table 6 Colorful - Accent 2"/>
    <w:uiPriority w:val="99"/>
    <w:qFormat/>
    <w:rPr>
      <w:lang w:val="en-US" w:eastAsia="zh-CN" w:bidi="ar-SA"/>
    </w:rPr>
    <w:tblPr/>
  </w:style>
  <w:style w:type="table" w:styleId="1030" w:customStyle="1">
    <w:name w:val="Grid Table 1 Light - Accent 4"/>
    <w:uiPriority w:val="99"/>
    <w:qFormat/>
    <w:rPr>
      <w:lang w:val="en-US" w:eastAsia="zh-CN" w:bidi="ar-SA"/>
    </w:rPr>
    <w:tblPr/>
  </w:style>
  <w:style w:type="table" w:styleId="1031" w:customStyle="1">
    <w:name w:val="Plain Table 4"/>
    <w:uiPriority w:val="99"/>
    <w:qFormat/>
    <w:rPr>
      <w:lang w:val="en-US" w:eastAsia="zh-CN" w:bidi="ar-SA"/>
    </w:rPr>
    <w:tblPr/>
  </w:style>
  <w:style w:type="table" w:styleId="1032" w:customStyle="1">
    <w:name w:val="Grid Table 4 - Accent 6"/>
    <w:uiPriority w:val="59"/>
    <w:qFormat/>
    <w:rPr>
      <w:lang w:val="en-US" w:eastAsia="zh-CN" w:bidi="ar-SA"/>
    </w:rPr>
    <w:tblPr/>
  </w:style>
  <w:style w:type="table" w:styleId="1033" w:customStyle="1">
    <w:name w:val="Grid Table 1 Light - Accent 3"/>
    <w:uiPriority w:val="99"/>
    <w:qFormat/>
    <w:rPr>
      <w:lang w:val="en-US" w:eastAsia="zh-CN" w:bidi="ar-SA"/>
    </w:rPr>
    <w:tblPr/>
  </w:style>
  <w:style w:type="table" w:styleId="1034" w:customStyle="1">
    <w:name w:val="Grid Table 1 Light - Accent 2"/>
    <w:uiPriority w:val="99"/>
    <w:qFormat/>
    <w:rPr>
      <w:lang w:val="en-US" w:eastAsia="zh-CN" w:bidi="ar-SA"/>
    </w:rPr>
    <w:tblPr/>
  </w:style>
  <w:style w:type="table" w:styleId="1035" w:customStyle="1">
    <w:name w:val="Grid Table 5 Dark- Accent 1"/>
    <w:uiPriority w:val="99"/>
    <w:qFormat/>
    <w:rPr>
      <w:lang w:val="en-US" w:eastAsia="zh-CN" w:bidi="ar-SA"/>
    </w:rPr>
    <w:tblPr/>
  </w:style>
  <w:style w:type="table" w:styleId="1036" w:customStyle="1">
    <w:name w:val="Grid Table 3 - Accent 1"/>
    <w:uiPriority w:val="99"/>
    <w:qFormat/>
    <w:rPr>
      <w:lang w:val="en-US" w:eastAsia="zh-CN" w:bidi="ar-SA"/>
    </w:rPr>
    <w:tblPr/>
  </w:style>
  <w:style w:type="table" w:styleId="1037" w:customStyle="1">
    <w:name w:val="Plain Table 5"/>
    <w:uiPriority w:val="99"/>
    <w:qFormat/>
    <w:rPr>
      <w:lang w:val="en-US" w:eastAsia="zh-CN" w:bidi="ar-SA"/>
    </w:rPr>
    <w:tblPr/>
  </w:style>
  <w:style w:type="table" w:styleId="1038" w:customStyle="1">
    <w:name w:val="Grid Table 4 - Accent 5"/>
    <w:uiPriority w:val="59"/>
    <w:qFormat/>
    <w:rPr>
      <w:lang w:val="en-US" w:eastAsia="zh-CN" w:bidi="ar-SA"/>
    </w:rPr>
    <w:tblPr/>
  </w:style>
  <w:style w:type="table" w:styleId="1039" w:customStyle="1">
    <w:name w:val="Grid Table 1 Light - Accent 5"/>
    <w:uiPriority w:val="99"/>
    <w:qFormat/>
    <w:rPr>
      <w:lang w:val="en-US" w:eastAsia="zh-CN" w:bidi="ar-SA"/>
    </w:rPr>
    <w:tblPr/>
  </w:style>
  <w:style w:type="table" w:styleId="1040" w:customStyle="1">
    <w:name w:val="List Table 7 Colorful - Accent 5"/>
    <w:uiPriority w:val="99"/>
    <w:qFormat/>
    <w:rPr>
      <w:lang w:val="en-US" w:eastAsia="zh-CN" w:bidi="ar-SA"/>
    </w:rPr>
    <w:tblPr/>
  </w:style>
  <w:style w:type="table" w:styleId="1041" w:customStyle="1">
    <w:name w:val="Grid Table 1 Light - Accent 6"/>
    <w:uiPriority w:val="99"/>
    <w:qFormat/>
    <w:rPr>
      <w:lang w:val="en-US" w:eastAsia="zh-CN" w:bidi="ar-SA"/>
    </w:rPr>
    <w:tblPr/>
  </w:style>
  <w:style w:type="table" w:styleId="1042" w:customStyle="1">
    <w:name w:val="Bordered &amp; Lined - Accent 5"/>
    <w:uiPriority w:val="99"/>
    <w:qFormat/>
    <w:rPr>
      <w:color w:val="404040"/>
      <w:lang w:val="en-US" w:eastAsia="zh-CN" w:bidi="ar-SA"/>
    </w:rPr>
    <w:tblPr/>
  </w:style>
  <w:style w:type="table" w:styleId="1043" w:customStyle="1">
    <w:name w:val="Lined - Accent"/>
    <w:uiPriority w:val="99"/>
    <w:qFormat/>
    <w:rPr>
      <w:color w:val="404040"/>
      <w:lang w:val="en-US" w:eastAsia="zh-CN" w:bidi="ar-SA"/>
    </w:rPr>
    <w:tblPr/>
  </w:style>
  <w:style w:type="table" w:styleId="1044" w:customStyle="1">
    <w:name w:val="Bordered &amp; Lined - Accent 4"/>
    <w:uiPriority w:val="99"/>
    <w:qFormat/>
    <w:rPr>
      <w:color w:val="404040"/>
      <w:lang w:val="en-US" w:eastAsia="zh-CN" w:bidi="ar-SA"/>
    </w:rPr>
    <w:tblPr/>
  </w:style>
  <w:style w:type="table" w:styleId="1045" w:customStyle="1">
    <w:name w:val="Grid Table 2 - Accent 1"/>
    <w:uiPriority w:val="99"/>
    <w:qFormat/>
    <w:rPr>
      <w:lang w:val="en-US" w:eastAsia="zh-CN" w:bidi="ar-SA"/>
    </w:rPr>
    <w:tblPr/>
  </w:style>
  <w:style w:type="table" w:styleId="1046" w:customStyle="1">
    <w:name w:val="List Table 5 Dark - Accent 5"/>
    <w:uiPriority w:val="99"/>
    <w:qFormat/>
    <w:rPr>
      <w:lang w:val="en-US" w:eastAsia="zh-CN" w:bidi="ar-SA"/>
    </w:rPr>
    <w:tblPr/>
  </w:style>
  <w:style w:type="table" w:styleId="1047" w:customStyle="1">
    <w:name w:val="List Table 7 Colorful - Accent 3"/>
    <w:uiPriority w:val="99"/>
    <w:qFormat/>
    <w:rPr>
      <w:lang w:val="en-US" w:eastAsia="zh-CN" w:bidi="ar-SA"/>
    </w:rPr>
    <w:tblPr/>
  </w:style>
  <w:style w:type="table" w:styleId="1048" w:customStyle="1">
    <w:name w:val="Bordered &amp; Lined - Accent 2"/>
    <w:uiPriority w:val="99"/>
    <w:qFormat/>
    <w:rPr>
      <w:color w:val="404040"/>
      <w:lang w:val="en-US" w:eastAsia="zh-CN" w:bidi="ar-SA"/>
    </w:rPr>
    <w:tblPr/>
  </w:style>
  <w:style w:type="table" w:styleId="1049" w:customStyle="1">
    <w:name w:val="Bordered &amp; Lined - Accent 6"/>
    <w:uiPriority w:val="99"/>
    <w:qFormat/>
    <w:rPr>
      <w:color w:val="404040"/>
      <w:lang w:val="en-US" w:eastAsia="zh-CN" w:bidi="ar-SA"/>
    </w:rPr>
    <w:tblPr/>
  </w:style>
  <w:style w:type="table" w:styleId="1050" w:customStyle="1">
    <w:name w:val="Grid Table 2 - Accent 2"/>
    <w:uiPriority w:val="99"/>
    <w:qFormat/>
    <w:rPr>
      <w:lang w:val="en-US" w:eastAsia="zh-CN" w:bidi="ar-SA"/>
    </w:rPr>
    <w:tblPr/>
  </w:style>
  <w:style w:type="table" w:styleId="1051" w:customStyle="1">
    <w:name w:val="Grid Table 6 Colorful - Accent 3"/>
    <w:uiPriority w:val="99"/>
    <w:qFormat/>
    <w:rPr>
      <w:lang w:val="en-US" w:eastAsia="zh-CN" w:bidi="ar-SA"/>
    </w:rPr>
    <w:tblPr/>
  </w:style>
  <w:style w:type="table" w:styleId="1052" w:customStyle="1">
    <w:name w:val="Grid Table 5 Dark - Accent 6"/>
    <w:uiPriority w:val="99"/>
    <w:qFormat/>
    <w:rPr>
      <w:lang w:val="en-US" w:eastAsia="zh-CN" w:bidi="ar-SA"/>
    </w:rPr>
    <w:tblPr/>
  </w:style>
  <w:style w:type="table" w:styleId="1053" w:customStyle="1">
    <w:name w:val="Grid Table 2 - Accent 3"/>
    <w:uiPriority w:val="99"/>
    <w:qFormat/>
    <w:rPr>
      <w:lang w:val="en-US" w:eastAsia="zh-CN" w:bidi="ar-SA"/>
    </w:rPr>
    <w:tblPr/>
  </w:style>
  <w:style w:type="table" w:styleId="1054" w:customStyle="1">
    <w:name w:val="Grid Table 5 Dark - Accent 2"/>
    <w:uiPriority w:val="99"/>
    <w:qFormat/>
    <w:rPr>
      <w:lang w:val="en-US" w:eastAsia="zh-CN" w:bidi="ar-SA"/>
    </w:rPr>
    <w:tblPr/>
  </w:style>
  <w:style w:type="table" w:styleId="1055" w:customStyle="1">
    <w:name w:val="Bordered &amp; Lined - Accent 3"/>
    <w:uiPriority w:val="99"/>
    <w:qFormat/>
    <w:rPr>
      <w:color w:val="404040"/>
      <w:lang w:val="en-US" w:eastAsia="zh-CN" w:bidi="ar-SA"/>
    </w:rPr>
    <w:tblPr/>
  </w:style>
  <w:style w:type="table" w:styleId="1056" w:customStyle="1">
    <w:name w:val="Grid Table 5 Dark - Accent 5"/>
    <w:uiPriority w:val="99"/>
    <w:qFormat/>
    <w:rPr>
      <w:lang w:val="en-US" w:eastAsia="zh-CN" w:bidi="ar-SA"/>
    </w:rPr>
    <w:tblPr/>
  </w:style>
  <w:style w:type="table" w:styleId="1057" w:customStyle="1">
    <w:name w:val="Grid Table 2 - Accent 6"/>
    <w:uiPriority w:val="99"/>
    <w:qFormat/>
    <w:rPr>
      <w:lang w:val="en-US" w:eastAsia="zh-CN" w:bidi="ar-SA"/>
    </w:rPr>
    <w:tblPr/>
  </w:style>
  <w:style w:type="table" w:styleId="1058" w:customStyle="1">
    <w:name w:val="Bordered &amp; Lined - Accent 1"/>
    <w:uiPriority w:val="99"/>
    <w:qFormat/>
    <w:rPr>
      <w:color w:val="404040"/>
      <w:lang w:val="en-US" w:eastAsia="zh-CN" w:bidi="ar-SA"/>
    </w:rPr>
    <w:tblPr/>
  </w:style>
  <w:style w:type="table" w:styleId="1059" w:customStyle="1">
    <w:name w:val="Bordered - Accent 3"/>
    <w:uiPriority w:val="99"/>
    <w:qFormat/>
    <w:rPr>
      <w:lang w:val="en-US" w:eastAsia="zh-CN" w:bidi="ar-SA"/>
    </w:rPr>
    <w:tblPr/>
  </w:style>
  <w:style w:type="table" w:styleId="1060" w:customStyle="1">
    <w:name w:val="Grid Table 4"/>
    <w:uiPriority w:val="59"/>
    <w:qFormat/>
    <w:rPr>
      <w:lang w:val="en-US" w:eastAsia="zh-CN" w:bidi="ar-SA"/>
    </w:rPr>
    <w:tblPr/>
  </w:style>
  <w:style w:type="table" w:styleId="1061" w:customStyle="1">
    <w:name w:val="Grid Table 3"/>
    <w:uiPriority w:val="99"/>
    <w:qFormat/>
    <w:rPr>
      <w:lang w:val="en-US" w:eastAsia="zh-CN" w:bidi="ar-SA"/>
    </w:rPr>
    <w:tblPr/>
  </w:style>
  <w:style w:type="table" w:styleId="1062" w:customStyle="1">
    <w:name w:val="Bordered &amp; Lined - Accent"/>
    <w:uiPriority w:val="99"/>
    <w:qFormat/>
    <w:rPr>
      <w:color w:val="404040"/>
      <w:lang w:val="en-US" w:eastAsia="zh-CN" w:bidi="ar-SA"/>
    </w:rPr>
    <w:tblPr/>
  </w:style>
  <w:style w:type="table" w:styleId="1063" w:customStyle="1">
    <w:name w:val="List Table 7 Colorful"/>
    <w:uiPriority w:val="99"/>
    <w:qFormat/>
    <w:rPr>
      <w:lang w:val="en-US" w:eastAsia="zh-CN" w:bidi="ar-SA"/>
    </w:rPr>
    <w:tblPr/>
  </w:style>
  <w:style w:type="table" w:styleId="1064" w:customStyle="1">
    <w:name w:val="Grid Table 6 Colorful"/>
    <w:uiPriority w:val="99"/>
    <w:qFormat/>
    <w:rPr>
      <w:lang w:val="en-US" w:eastAsia="zh-CN" w:bidi="ar-SA"/>
    </w:rPr>
    <w:tblPr/>
  </w:style>
  <w:style w:type="table" w:styleId="1065" w:customStyle="1">
    <w:name w:val="List Table 7 Colorful - Accent 6"/>
    <w:uiPriority w:val="99"/>
    <w:qFormat/>
    <w:rPr>
      <w:lang w:val="en-US" w:eastAsia="zh-CN" w:bidi="ar-SA"/>
    </w:rPr>
    <w:tblPr/>
  </w:style>
  <w:style w:type="table" w:styleId="1066" w:customStyle="1">
    <w:name w:val="Grid Table 4 - Accent 1"/>
    <w:uiPriority w:val="59"/>
    <w:qFormat/>
    <w:rPr>
      <w:lang w:val="en-US" w:eastAsia="zh-CN" w:bidi="ar-SA"/>
    </w:rPr>
    <w:tblPr/>
  </w:style>
  <w:style w:type="table" w:styleId="1067" w:customStyle="1">
    <w:name w:val="Bordered - Accent 1"/>
    <w:uiPriority w:val="99"/>
    <w:qFormat/>
    <w:rPr>
      <w:lang w:val="en-US" w:eastAsia="zh-CN" w:bidi="ar-SA"/>
    </w:rPr>
    <w:tblPr/>
  </w:style>
  <w:style w:type="table" w:styleId="1068" w:customStyle="1">
    <w:name w:val="Grid Table 5 Dark"/>
    <w:uiPriority w:val="99"/>
    <w:qFormat/>
    <w:rPr>
      <w:lang w:val="en-US" w:eastAsia="zh-CN" w:bidi="ar-SA"/>
    </w:rPr>
    <w:tblPr/>
  </w:style>
  <w:style w:type="table" w:styleId="1069" w:customStyle="1">
    <w:name w:val="Bordered - Accent 4"/>
    <w:uiPriority w:val="99"/>
    <w:qFormat/>
    <w:rPr>
      <w:lang w:val="en-US" w:eastAsia="zh-CN" w:bidi="ar-SA"/>
    </w:rPr>
    <w:tblPr/>
  </w:style>
  <w:style w:type="table" w:styleId="1070" w:customStyle="1">
    <w:name w:val="Grid Table 4 - Accent 3"/>
    <w:uiPriority w:val="59"/>
    <w:qFormat/>
    <w:rPr>
      <w:lang w:val="en-US" w:eastAsia="zh-CN" w:bidi="ar-SA"/>
    </w:rPr>
    <w:tblPr/>
  </w:style>
  <w:style w:type="table" w:styleId="1071" w:customStyle="1">
    <w:name w:val="Grid Table 3 - Accent 4"/>
    <w:uiPriority w:val="99"/>
    <w:qFormat/>
    <w:rPr>
      <w:lang w:val="en-US" w:eastAsia="zh-CN" w:bidi="ar-SA"/>
    </w:rPr>
    <w:tblPr/>
  </w:style>
  <w:style w:type="table" w:styleId="1072" w:customStyle="1">
    <w:name w:val="List Table 4 - Accent 6"/>
    <w:uiPriority w:val="99"/>
    <w:qFormat/>
    <w:rPr>
      <w:lang w:val="en-US" w:eastAsia="zh-CN" w:bidi="ar-SA"/>
    </w:rPr>
    <w:tblPr/>
  </w:style>
  <w:style w:type="table" w:styleId="1073" w:customStyle="1">
    <w:name w:val="Lined - Accent 2"/>
    <w:uiPriority w:val="99"/>
    <w:qFormat/>
    <w:rPr>
      <w:color w:val="404040"/>
      <w:lang w:val="en-US" w:eastAsia="zh-CN" w:bidi="ar-SA"/>
    </w:rPr>
    <w:tblPr/>
  </w:style>
  <w:style w:type="table" w:styleId="1074" w:customStyle="1">
    <w:name w:val="Grid Table 6 Colorful - Accent 5"/>
    <w:uiPriority w:val="99"/>
    <w:qFormat/>
    <w:rPr>
      <w:lang w:val="en-US" w:eastAsia="zh-CN" w:bidi="ar-SA"/>
    </w:rPr>
    <w:tblPr/>
  </w:style>
  <w:style w:type="table" w:styleId="1075" w:customStyle="1">
    <w:name w:val="List Table 5 Dark - Accent 4"/>
    <w:uiPriority w:val="99"/>
    <w:qFormat/>
    <w:rPr>
      <w:lang w:val="en-US" w:eastAsia="zh-CN" w:bidi="ar-SA"/>
    </w:rPr>
    <w:tblPr/>
  </w:style>
  <w:style w:type="table" w:styleId="1076" w:customStyle="1">
    <w:name w:val="Grid Table 6 Colorful - Accent 6"/>
    <w:uiPriority w:val="99"/>
    <w:qFormat/>
    <w:rPr>
      <w:lang w:val="en-US" w:eastAsia="zh-CN" w:bidi="ar-SA"/>
    </w:rPr>
    <w:tblPr/>
  </w:style>
  <w:style w:type="table" w:styleId="1077" w:customStyle="1">
    <w:name w:val="Bordered"/>
    <w:uiPriority w:val="99"/>
    <w:qFormat/>
    <w:rPr>
      <w:lang w:val="en-US" w:eastAsia="zh-CN" w:bidi="ar-SA"/>
    </w:rPr>
    <w:tblPr/>
  </w:style>
  <w:style w:type="table" w:styleId="1078" w:customStyle="1">
    <w:name w:val="Grid Table 7 Colorful - Accent 1"/>
    <w:uiPriority w:val="99"/>
    <w:qFormat/>
    <w:rPr>
      <w:lang w:val="en-US" w:eastAsia="zh-CN" w:bidi="ar-SA"/>
    </w:rPr>
    <w:tblPr/>
  </w:style>
  <w:style w:type="table" w:styleId="1079" w:customStyle="1">
    <w:name w:val="Bordered - Accent 2"/>
    <w:uiPriority w:val="99"/>
    <w:qFormat/>
    <w:rPr>
      <w:lang w:val="en-US" w:eastAsia="zh-CN" w:bidi="ar-SA"/>
    </w:rPr>
    <w:tblPr/>
  </w:style>
  <w:style w:type="table" w:styleId="1080" w:customStyle="1">
    <w:name w:val="List Table 6 Colorful - Accent 6"/>
    <w:uiPriority w:val="99"/>
    <w:qFormat/>
    <w:rPr>
      <w:lang w:val="en-US" w:eastAsia="zh-CN" w:bidi="ar-SA"/>
    </w:rPr>
    <w:tblPr/>
  </w:style>
  <w:style w:type="table" w:styleId="1081" w:customStyle="1">
    <w:name w:val="List Table 4"/>
    <w:uiPriority w:val="99"/>
    <w:qFormat/>
    <w:rPr>
      <w:lang w:val="en-US" w:eastAsia="zh-CN" w:bidi="ar-SA"/>
    </w:rPr>
    <w:tblPr/>
  </w:style>
  <w:style w:type="table" w:styleId="1082" w:customStyle="1">
    <w:name w:val="List Table 6 Colorful - Accent 5"/>
    <w:uiPriority w:val="99"/>
    <w:qFormat/>
    <w:rPr>
      <w:lang w:val="en-US" w:eastAsia="zh-CN" w:bidi="ar-SA"/>
    </w:rPr>
    <w:tblPr/>
  </w:style>
  <w:style w:type="table" w:styleId="1083" w:customStyle="1">
    <w:name w:val="List Table 2 - Accent 2"/>
    <w:uiPriority w:val="99"/>
    <w:qFormat/>
    <w:rPr>
      <w:lang w:val="en-US" w:eastAsia="zh-CN" w:bidi="ar-SA"/>
    </w:rPr>
    <w:tblPr/>
  </w:style>
  <w:style w:type="table" w:styleId="1084" w:customStyle="1">
    <w:name w:val="Grid Table 7 Colorful - Accent 4"/>
    <w:uiPriority w:val="99"/>
    <w:qFormat/>
    <w:rPr>
      <w:lang w:val="en-US" w:eastAsia="zh-CN" w:bidi="ar-SA"/>
    </w:rPr>
    <w:tblPr/>
  </w:style>
  <w:style w:type="table" w:styleId="1085" w:customStyle="1">
    <w:name w:val="List Table 1 Light - Accent 6"/>
    <w:uiPriority w:val="99"/>
    <w:qFormat/>
    <w:rPr>
      <w:lang w:val="en-US" w:eastAsia="zh-CN" w:bidi="ar-SA"/>
    </w:rPr>
    <w:tblPr/>
  </w:style>
  <w:style w:type="table" w:styleId="1086" w:customStyle="1">
    <w:name w:val="List Table 3 - Accent 1"/>
    <w:uiPriority w:val="99"/>
    <w:qFormat/>
    <w:rPr>
      <w:lang w:val="en-US" w:eastAsia="zh-CN" w:bidi="ar-SA"/>
    </w:rPr>
    <w:tblPr/>
  </w:style>
  <w:style w:type="table" w:styleId="1087" w:customStyle="1">
    <w:name w:val="List Table 2 - Accent 1"/>
    <w:uiPriority w:val="99"/>
    <w:qFormat/>
    <w:rPr>
      <w:lang w:val="en-US" w:eastAsia="zh-CN" w:bidi="ar-SA"/>
    </w:rPr>
    <w:tblPr/>
  </w:style>
  <w:style w:type="table" w:styleId="1088" w:customStyle="1">
    <w:name w:val="Grid Table 7 Colorful - Accent 6"/>
    <w:uiPriority w:val="99"/>
    <w:qFormat/>
    <w:rPr>
      <w:lang w:val="en-US" w:eastAsia="zh-CN" w:bidi="ar-SA"/>
    </w:rPr>
    <w:tblPr/>
  </w:style>
  <w:style w:type="table" w:styleId="1089" w:customStyle="1">
    <w:name w:val="List Table 2 - Accent 6"/>
    <w:uiPriority w:val="99"/>
    <w:qFormat/>
    <w:rPr>
      <w:lang w:val="en-US" w:eastAsia="zh-CN" w:bidi="ar-SA"/>
    </w:rPr>
    <w:tblPr/>
  </w:style>
  <w:style w:type="table" w:styleId="1090" w:customStyle="1">
    <w:name w:val="List Table 1 Light - Accent 1"/>
    <w:uiPriority w:val="99"/>
    <w:qFormat/>
    <w:rPr>
      <w:lang w:val="en-US" w:eastAsia="zh-CN" w:bidi="ar-SA"/>
    </w:rPr>
    <w:tblPr/>
  </w:style>
  <w:style w:type="table" w:styleId="1091" w:customStyle="1">
    <w:name w:val="List Table 6 Colorful - Accent 4"/>
    <w:uiPriority w:val="99"/>
    <w:qFormat/>
    <w:rPr>
      <w:lang w:val="en-US" w:eastAsia="zh-CN" w:bidi="ar-SA"/>
    </w:rPr>
    <w:tblPr/>
  </w:style>
  <w:style w:type="table" w:styleId="1092" w:customStyle="1">
    <w:name w:val="List Table 1 Light - Accent 2"/>
    <w:uiPriority w:val="99"/>
    <w:qFormat/>
    <w:rPr>
      <w:lang w:val="en-US" w:eastAsia="zh-CN" w:bidi="ar-SA"/>
    </w:rPr>
    <w:tblPr/>
  </w:style>
  <w:style w:type="table" w:styleId="1093" w:customStyle="1">
    <w:name w:val="List Table 7 Colorful - Accent 4"/>
    <w:uiPriority w:val="99"/>
    <w:qFormat/>
    <w:rPr>
      <w:lang w:val="en-US" w:eastAsia="zh-CN" w:bidi="ar-SA"/>
    </w:rPr>
    <w:tblPr/>
  </w:style>
  <w:style w:type="table" w:styleId="1094" w:customStyle="1">
    <w:name w:val="List Table 1 Light - Accent 3"/>
    <w:uiPriority w:val="99"/>
    <w:qFormat/>
    <w:rPr>
      <w:lang w:val="en-US" w:eastAsia="zh-CN" w:bidi="ar-SA"/>
    </w:rPr>
    <w:tblPr/>
  </w:style>
  <w:style w:type="table" w:styleId="1095" w:customStyle="1">
    <w:name w:val="List Table 4 - Accent 1"/>
    <w:uiPriority w:val="99"/>
    <w:qFormat/>
    <w:rPr>
      <w:lang w:val="en-US" w:eastAsia="zh-CN" w:bidi="ar-SA"/>
    </w:rPr>
    <w:tblPr/>
  </w:style>
  <w:style w:type="table" w:styleId="1096" w:customStyle="1">
    <w:name w:val="Lined - Accent 6"/>
    <w:uiPriority w:val="99"/>
    <w:qFormat/>
    <w:rPr>
      <w:color w:val="404040"/>
      <w:lang w:val="en-US" w:eastAsia="zh-CN" w:bidi="ar-SA"/>
    </w:rPr>
    <w:tblPr/>
  </w:style>
  <w:style w:type="paragraph" w:styleId="1097"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98" w:customStyle="1">
    <w:name w:val="15"/>
    <w:basedOn w:val="803"/>
    <w:uiPriority w:val="0"/>
    <w:qFormat/>
    <w:rPr>
      <w:rFonts w:hint="default" w:ascii="Times New Roman" w:hAnsi="Times New Roman" w:cs="Times New Roman"/>
      <w:sz w:val="21"/>
      <w:szCs w:val="21"/>
    </w:rPr>
  </w:style>
  <w:style w:type="character" w:styleId="1099" w:customStyle="1">
    <w:name w:val="16"/>
    <w:basedOn w:val="803"/>
    <w:uiPriority w:val="0"/>
    <w:qFormat/>
    <w:rPr>
      <w:rFonts w:hint="default" w:ascii="Times New Roman" w:hAnsi="Times New Roman" w:eastAsia="宋体" w:cs="Times New Roman"/>
      <w:sz w:val="21"/>
      <w:szCs w:val="21"/>
    </w:rPr>
  </w:style>
  <w:style w:type="character" w:styleId="1100" w:customStyle="1">
    <w:name w:val="页码1"/>
    <w:link w:val="793"/>
    <w:uiPriority w:val="0"/>
    <w:qFormat/>
  </w:style>
  <w:style w:type="character" w:styleId="1101" w:customStyle="1">
    <w:name w:val="font71"/>
    <w:basedOn w:val="803"/>
    <w:uiPriority w:val="0"/>
    <w:qFormat/>
    <w:rPr>
      <w:rFonts w:hint="eastAsia" w:ascii="宋体" w:hAnsi="宋体" w:eastAsia="宋体" w:cs="宋体"/>
      <w:color w:val="ff0000"/>
      <w:sz w:val="24"/>
      <w:szCs w:val="24"/>
      <w:u w:val="none"/>
    </w:rPr>
  </w:style>
  <w:style w:type="paragraph" w:styleId="1102" w:customStyle="1">
    <w:name w:val="p0"/>
    <w:basedOn w:val="793"/>
    <w:uiPriority w:val="0"/>
    <w:qFormat/>
    <w:pPr>
      <w:widowControl/>
    </w:pPr>
    <w:rPr>
      <w:szCs w:val="21"/>
    </w:rPr>
  </w:style>
  <w:style w:type="paragraph" w:styleId="1103" w:customStyle="1">
    <w:name w:val="一级条标题"/>
    <w:basedOn w:val="1104"/>
    <w:next w:val="9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4" w:customStyle="1">
    <w:name w:val="章标题"/>
    <w:next w:val="79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05" w:customStyle="1">
    <w:name w:val="纯文本11"/>
    <w:basedOn w:val="793"/>
    <w:uiPriority w:val="0"/>
    <w:qFormat/>
    <w:rPr>
      <w:rFonts w:ascii="宋体" w:hAnsi="Courier New"/>
      <w:szCs w:val="21"/>
    </w:rPr>
  </w:style>
  <w:style w:type="paragraph" w:styleId="1106" w:customStyle="1">
    <w:name w:val="正文 New"/>
    <w:uiPriority w:val="0"/>
    <w:qFormat/>
    <w:pPr>
      <w:jc w:val="both"/>
      <w:widowControl w:val="off"/>
    </w:pPr>
    <w:rPr>
      <w:rFonts w:hint="default" w:ascii="Georgia" w:hAnsi="Georgia" w:eastAsia="等线" w:cs="Georgia"/>
      <w:sz w:val="21"/>
      <w:lang w:val="en-US" w:eastAsia="zh-CN" w:bidi="ar-SA"/>
    </w:rPr>
  </w:style>
  <w:style w:type="paragraph" w:styleId="1107" w:customStyle="1">
    <w:name w:val="正文首行缩进1"/>
    <w:basedOn w:val="851"/>
    <w:next w:val="853"/>
    <w:uiPriority w:val="0"/>
    <w:qFormat/>
    <w:pPr>
      <w:ind w:firstLine="420"/>
    </w:pPr>
    <w:rPr>
      <w:rFonts w:ascii="仿宋_GB2312" w:hAnsi="Times New Roman" w:eastAsia="仿宋_GB2312"/>
      <w:sz w:val="30"/>
      <w:szCs w:val="30"/>
    </w:rPr>
  </w:style>
  <w:style w:type="paragraph" w:styleId="1108" w:customStyle="1">
    <w:name w:val="正文首行缩进 21"/>
    <w:basedOn w:val="858"/>
    <w:next w:val="846"/>
    <w:uiPriority w:val="0"/>
    <w:qFormat/>
    <w:pPr>
      <w:ind w:firstLine="420"/>
    </w:pPr>
    <w:rPr>
      <w:rFonts w:ascii="Times New Roman" w:hAnsi="Times New Roman"/>
    </w:rPr>
  </w:style>
  <w:style w:type="paragraph" w:styleId="1109" w:customStyle="1">
    <w:name w:val="正文13"/>
    <w:next w:val="11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L3"/>
    <w:basedOn w:val="796"/>
    <w:uiPriority w:val="0"/>
    <w:qFormat/>
    <w:pPr>
      <w:numPr>
        <w:ilvl w:val="2"/>
        <w:numId w:val="1"/>
      </w:numPr>
      <w:ind w:right="210"/>
      <w:spacing w:line="360" w:lineRule="auto"/>
    </w:pPr>
    <w:rPr>
      <w:rFonts w:ascii="宋体" w:hAnsi="宋体" w:eastAsia="宋体" w:cs="宋体"/>
    </w:rPr>
  </w:style>
  <w:style w:type="paragraph" w:styleId="1111" w:customStyle="1">
    <w:name w:val="列出段落1"/>
    <w:basedOn w:val="793"/>
    <w:uiPriority w:val="34"/>
    <w:qFormat/>
    <w:pPr>
      <w:ind w:firstLine="420"/>
    </w:pPr>
  </w:style>
  <w:style w:type="numbering" w:styleId="1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孟巍</cp:lastModifiedBy>
  <cp:revision>31</cp:revision>
  <dcterms:created xsi:type="dcterms:W3CDTF">2023-11-15T03:32:00Z</dcterms:created>
  <dcterms:modified xsi:type="dcterms:W3CDTF">2026-06-18T08:21:54Z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9F909A9E2A3B44FA9410C40BAC4682C8_13</vt:lpwstr>
  </property>
  <property fmtid="{D5CDD505-2E9C-101B-9397-08002B2CF9AE}" pid="4" name="KSOTemplateDocerSaveRecord">
    <vt:lpwstr>eyJoZGlkIjoiYjY3YWQyMzQ4YmYwNWNjNmJmYzliZGYxMDdjNTBiNTkiLCJ1c2VySWQiOiIxMTMxMDE3MTgxIn0=</vt:lpwstr>
  </property>
</Properties>
</file>