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left="0"/>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 </w:t>
      </w:r>
      <w:r/>
    </w:p>
    <w:p>
      <w:pPr>
        <w:pStyle w:val="1024"/>
        <w:rPr>
          <w:rFonts w:ascii="宋体" w:hAnsi="宋体" w:cs="宋体"/>
          <w:b/>
          <w:color w:val="000000"/>
          <w:szCs w:val="21"/>
        </w:rPr>
      </w:pPr>
      <w:r>
        <w:rPr>
          <w:rFonts w:ascii="宋体" w:hAnsi="宋体" w:cs="宋体"/>
          <w:b/>
          <w:color w:val="000000"/>
          <w:szCs w:val="21"/>
        </w:rPr>
      </w:r>
      <w:r/>
    </w:p>
    <w:p>
      <w:pPr>
        <w:pStyle w:val="1024"/>
        <w:rPr>
          <w:rFonts w:ascii="宋体" w:hAnsi="宋体" w:cs="宋体"/>
          <w:b/>
          <w:color w:val="000000"/>
          <w:szCs w:val="21"/>
        </w:rPr>
      </w:pPr>
      <w:r>
        <w:rPr>
          <w:rFonts w:ascii="宋体" w:hAnsi="宋体" w:cs="宋体"/>
          <w:b/>
          <w:color w:val="000000"/>
          <w:szCs w:val="21"/>
        </w:rPr>
      </w:r>
      <w:r/>
    </w:p>
    <w:p>
      <w:pPr>
        <w:pStyle w:val="1023"/>
        <w:rPr>
          <w:rFonts w:ascii="宋体" w:hAnsi="宋体" w:cs="宋体"/>
          <w:b/>
          <w:color w:val="000000"/>
          <w:szCs w:val="21"/>
        </w:rPr>
      </w:pPr>
      <w:r>
        <w:rPr>
          <w:rFonts w:ascii="宋体" w:hAnsi="宋体" w:cs="宋体"/>
          <w:b/>
          <w:color w:val="000000"/>
          <w:szCs w:val="21"/>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1023"/>
        <w:rPr>
          <w:rFonts w:ascii="宋体" w:hAnsi="宋体" w:cs="宋体"/>
          <w:color w:val="000000"/>
        </w:rPr>
      </w:pPr>
      <w:r>
        <w:rPr>
          <w:rFonts w:ascii="宋体" w:hAnsi="宋体" w:cs="宋体"/>
          <w:color w:val="000000"/>
        </w:rPr>
      </w:r>
      <w:r/>
    </w:p>
    <w:p>
      <w:pPr>
        <w:pStyle w:val="1023"/>
        <w:ind w:left="0"/>
        <w:rPr>
          <w:rFonts w:ascii="宋体" w:hAnsi="宋体" w:cs="宋体"/>
          <w:color w:val="000000"/>
        </w:rPr>
      </w:pPr>
      <w:r>
        <w:rPr>
          <w:rFonts w:ascii="宋体" w:hAnsi="宋体" w:cs="宋体"/>
          <w:color w:val="000000"/>
        </w:rPr>
      </w:r>
      <w:r/>
    </w:p>
    <w:p>
      <w:pPr>
        <w:pStyle w:val="1024"/>
        <w:rPr>
          <w:rFonts w:ascii="宋体" w:hAnsi="宋体" w:cs="宋体"/>
          <w:color w:val="000000"/>
        </w:rPr>
      </w:pPr>
      <w:r>
        <w:rPr>
          <w:rFonts w:ascii="宋体" w:hAnsi="宋体" w:cs="宋体"/>
          <w:color w:val="000000"/>
        </w:rPr>
      </w:r>
      <w:r/>
    </w:p>
    <w:p>
      <w:pPr>
        <w:pStyle w:val="1024"/>
        <w:jc w:val="center"/>
        <w:rPr>
          <w:rFonts w:ascii="宋体" w:hAnsi="宋体" w:cs="宋体"/>
          <w:color w:val="000000"/>
        </w:rPr>
      </w:pPr>
      <w:r>
        <w:rPr>
          <w:rFonts w:ascii="宋体" w:hAnsi="宋体" w:cs="宋体"/>
          <w:color w:val="000000"/>
        </w:rPr>
      </w:r>
      <w:r/>
    </w:p>
    <w:p>
      <w:pPr>
        <w:pStyle w:val="992"/>
        <w:ind w:left="0"/>
        <w:rPr>
          <w:rFonts w:ascii="宋体" w:hAnsi="宋体" w:cs="宋体"/>
        </w:rPr>
      </w:pPr>
      <w:r>
        <w:rPr>
          <w:rFonts w:ascii="宋体" w:hAnsi="宋体" w:cs="宋体"/>
        </w:rPr>
      </w:r>
      <w:r/>
    </w:p>
    <w:p>
      <w:pPr>
        <w:ind w:firstLine="842"/>
        <w:rPr>
          <w:rFonts w:ascii="宋体" w:hAnsi="宋体" w:cs="宋体"/>
          <w:b/>
          <w:bCs/>
          <w:sz w:val="32"/>
        </w:rPr>
      </w:pPr>
      <w:r>
        <w:rPr>
          <w:rFonts w:ascii="宋体" w:hAnsi="宋体" w:cs="宋体"/>
          <w:b/>
          <w:bCs/>
          <w:sz w:val="32"/>
        </w:rPr>
      </w:r>
      <w:r/>
    </w:p>
    <w:p>
      <w:pPr>
        <w:rPr>
          <w:rFonts w:hint="eastAsia" w:ascii="宋体" w:hAnsi="宋体" w:eastAsia="宋体" w:cs="宋体"/>
          <w:b/>
          <w:bCs/>
          <w:sz w:val="32"/>
          <w:lang w:eastAsia="zh-CN"/>
        </w:rPr>
      </w:pPr>
      <w:r>
        <w:rPr>
          <w:rFonts w:hint="eastAsia" w:ascii="宋体" w:hAnsi="宋体" w:cs="宋体"/>
          <w:b/>
          <w:bCs/>
          <w:sz w:val="32"/>
        </w:rPr>
        <w:t xml:space="preserve">项目编号：</w:t>
      </w:r>
      <w:r>
        <w:rPr>
          <w:rFonts w:hint="eastAsia" w:ascii="宋体" w:hAnsi="宋体" w:cs="宋体"/>
          <w:sz w:val="32"/>
        </w:rPr>
        <w:t xml:space="preserve">JSZC-320324-JSRL-C</w:t>
      </w:r>
      <w:r>
        <w:rPr>
          <w:rFonts w:hint="eastAsia" w:ascii="宋体" w:hAnsi="宋体" w:cs="宋体"/>
          <w:sz w:val="32"/>
          <w:lang w:eastAsia="zh-CN"/>
        </w:rPr>
        <w:t xml:space="preserve">2026-0004</w:t>
      </w:r>
      <w:r/>
    </w:p>
    <w:p>
      <w:pPr>
        <w:ind w:left="420" w:firstLine="842"/>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b/>
          <w:bCs/>
          <w:sz w:val="32"/>
        </w:rPr>
        <w:t xml:space="preserve">项目名称：</w:t>
      </w:r>
      <w:r>
        <w:rPr>
          <w:rFonts w:hint="eastAsia" w:ascii="宋体" w:hAnsi="宋体" w:cs="宋体"/>
          <w:sz w:val="32"/>
          <w:lang w:eastAsia="zh-CN"/>
        </w:rPr>
        <w:t xml:space="preserve">双沟镇爱民路(G104-徐沙河)污水管网建设工程</w:t>
      </w:r>
      <w:r/>
    </w:p>
    <w:p>
      <w:pPr>
        <w:ind w:firstLine="1383"/>
        <w:rPr>
          <w:rFonts w:ascii="宋体" w:hAnsi="宋体" w:cs="宋体"/>
          <w:b/>
          <w:bCs/>
          <w:sz w:val="32"/>
        </w:rPr>
      </w:pPr>
      <w:r>
        <w:rPr>
          <w:rFonts w:ascii="宋体" w:hAnsi="宋体" w:cs="宋体"/>
          <w:b/>
          <w:bCs/>
          <w:sz w:val="32"/>
        </w:rPr>
      </w:r>
      <w:r/>
    </w:p>
    <w:p>
      <w:pPr>
        <w:spacing w:line="600" w:lineRule="auto"/>
        <w:rPr>
          <w:rFonts w:hint="eastAsia" w:eastAsia="宋体"/>
          <w:lang w:eastAsia="zh-CN"/>
        </w:rPr>
      </w:pPr>
      <w:r>
        <w:rPr>
          <w:rFonts w:hint="eastAsia" w:ascii="宋体" w:hAnsi="宋体" w:cs="宋体"/>
          <w:b/>
          <w:bCs/>
          <w:sz w:val="32"/>
        </w:rPr>
        <w:t xml:space="preserve">采购单位：</w:t>
      </w:r>
      <w:r>
        <w:rPr>
          <w:rFonts w:hint="eastAsia" w:ascii="宋体" w:hAnsi="宋体" w:cs="宋体"/>
          <w:sz w:val="32"/>
          <w:lang w:eastAsia="zh-CN"/>
        </w:rPr>
        <w:t xml:space="preserve">睢宁县双沟镇人民政府</w:t>
      </w:r>
      <w:r/>
    </w:p>
    <w:p>
      <w:pPr>
        <w:spacing w:line="600" w:lineRule="auto"/>
        <w:rPr>
          <w:rFonts w:ascii="宋体" w:hAnsi="宋体" w:cs="宋体"/>
          <w:b/>
          <w:sz w:val="32"/>
        </w:rPr>
      </w:pPr>
      <w:r>
        <w:rPr>
          <w:rFonts w:hint="eastAsia" w:ascii="宋体" w:hAnsi="宋体" w:cs="宋体"/>
          <w:b/>
          <w:sz w:val="32"/>
        </w:rPr>
        <w:t xml:space="preserve">代理机构：</w:t>
      </w:r>
      <w:r>
        <w:rPr>
          <w:rFonts w:hint="eastAsia" w:ascii="宋体" w:hAnsi="宋体" w:cs="宋体"/>
          <w:sz w:val="32"/>
        </w:rPr>
        <w:t xml:space="preserve">江苏瑞利项目管理有限公司</w:t>
      </w:r>
      <w:r/>
    </w:p>
    <w:p>
      <w:pPr>
        <w:jc w:val="center"/>
        <w:spacing w:line="360" w:lineRule="auto"/>
        <w:rPr>
          <w:rFonts w:ascii="宋体" w:hAnsi="宋体" w:cs="宋体"/>
          <w:b/>
          <w:sz w:val="32"/>
        </w:rPr>
      </w:pPr>
      <w:r>
        <w:rPr>
          <w:rFonts w:ascii="宋体" w:hAnsi="宋体" w:cs="宋体"/>
          <w:b/>
          <w:sz w:val="32"/>
        </w:rPr>
      </w:r>
      <w:r/>
    </w:p>
    <w:p>
      <w:pPr>
        <w:pStyle w:val="1027"/>
        <w:rPr>
          <w:rFonts w:eastAsia="宋体" w:cs="宋体"/>
          <w:b/>
          <w:sz w:val="32"/>
        </w:rPr>
      </w:pPr>
      <w:r>
        <w:rPr>
          <w:rFonts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486"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七</w:t>
      </w:r>
      <w:r>
        <w:rPr>
          <w:rFonts w:hint="eastAsia" w:ascii="宋体" w:hAnsi="宋体" w:cs="宋体"/>
          <w:b/>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项目编号：JSZC-320324-JSRL-C</w:t>
      </w:r>
      <w:r>
        <w:rPr>
          <w:rFonts w:hint="eastAsia" w:ascii="宋体" w:hAnsi="宋体" w:cs="宋体"/>
          <w:b/>
          <w:bCs/>
          <w:color w:val="000000" w:themeColor="text1"/>
          <w:sz w:val="24"/>
          <w:lang w:eastAsia="zh-CN"/>
          <w14:textFill>
            <w14:solidFill>
              <w14:schemeClr w14:val="tx1"/>
            </w14:solidFill>
          </w14:textFill>
        </w:rPr>
        <w:t xml:space="preserve">2026-0004</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14:textFill>
            <w14:solidFill>
              <w14:schemeClr w14:val="tx1"/>
            </w14:solidFill>
          </w14:textFill>
        </w:rPr>
        <w:t xml:space="preserve">江苏瑞利项目管理有限公司</w:t>
      </w:r>
      <w:r>
        <w:rPr>
          <w:rFonts w:hint="eastAsia" w:ascii="宋体" w:hAnsi="宋体" w:cs="宋体"/>
          <w:color w:val="000000" w:themeColor="text1"/>
          <w:sz w:val="24"/>
          <w14:textFill>
            <w14:solidFill>
              <w14:schemeClr w14:val="tx1"/>
            </w14:solidFill>
          </w14:textFill>
        </w:rPr>
        <w:t xml:space="preserve">对</w:t>
      </w:r>
      <w:r>
        <w:rPr>
          <w:rFonts w:hint="eastAsia" w:ascii="宋体" w:hAnsi="宋体" w:cs="宋体"/>
          <w:color w:val="000000" w:themeColor="text1"/>
          <w:sz w:val="24"/>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rPr>
          <w:rFonts w:hint="eastAsia" w:ascii="宋体" w:hAnsi="宋体" w:cs="宋体"/>
          <w:color w:val="000000" w:themeColor="text1"/>
          <w:sz w:val="24"/>
          <w:lang w:val="en-US" w:eastAsia="zh-CN"/>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w:t>
      </w:r>
      <w:r/>
    </w:p>
    <w:p>
      <w:pPr>
        <w:pStyle w:val="986"/>
      </w:pP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b/>
          <w:bCs/>
          <w:color w:val="000000" w:themeColor="text1"/>
          <w:sz w:val="24"/>
          <w:lang w:val="en-US" w:eastAsia="zh-CN"/>
          <w14:textFill>
            <w14:solidFill>
              <w14:schemeClr w14:val="tx1"/>
            </w14:solidFill>
          </w14:textFill>
        </w:rPr>
        <w:t xml:space="preserve">办事指南</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资料下载</w:t>
      </w:r>
      <w:r>
        <w:rPr>
          <w:rFonts w:hint="eastAsia" w:ascii="宋体" w:hAnsi="宋体" w:cs="宋体"/>
          <w:b/>
          <w:bCs/>
          <w:color w:val="000000" w:themeColor="text1"/>
          <w:sz w:val="24"/>
          <w14:textFill>
            <w14:solidFill>
              <w14:schemeClr w14:val="tx1"/>
            </w14:solidFill>
          </w14:textFill>
        </w:rPr>
        <w:t xml:space="preserve">”中的《“苏采云”系统政务CA办理材料、操作手册及控件下载》。</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cs="宋体"/>
          <w:b/>
          <w:bCs/>
          <w:color w:val="000000" w:themeColor="text1"/>
          <w:sz w:val="24"/>
          <w:lang w:eastAsia="zh-CN"/>
          <w14:textFill>
            <w14:solidFill>
              <w14:schemeClr w14:val="tx1"/>
            </w14:solidFill>
          </w14:textFill>
        </w:rPr>
        <w:t xml:space="preserve">https://czj.xz.gov.cn/zfcg/</w:t>
      </w:r>
      <w:r>
        <w:rPr>
          <w:rFonts w:hint="eastAsia" w:ascii="宋体" w:hAnsi="宋体" w:cs="宋体"/>
          <w:b/>
          <w:bCs/>
          <w:color w:val="000000" w:themeColor="text1"/>
          <w:sz w:val="24"/>
          <w14:textFill>
            <w14:solidFill>
              <w14:schemeClr w14:val="tx1"/>
            </w14:solidFill>
          </w14:textFill>
        </w:rPr>
        <w:t xml:space="preserve">），点击“苏采云”进入系统），按照要求通过互联网方式提交首次响应文件。</w:t>
      </w:r>
      <w:r/>
    </w:p>
    <w:p>
      <w:pPr>
        <w:pStyle w:val="10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1019"/>
        <w:ind w:firstLine="480"/>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w:t>
      </w:r>
      <w:r>
        <w:rPr>
          <w:rFonts w:hint="eastAsia" w:eastAsia="宋体" w:cs="宋体"/>
          <w:b/>
          <w:bCs/>
          <w:color w:val="000000" w:themeColor="text1"/>
          <w14:textFill>
            <w14:solidFill>
              <w14:schemeClr w14:val="tx1"/>
            </w14:solidFill>
          </w14:textFill>
        </w:rPr>
        <w:t xml:space="preserve">日上午09:00（北京时间），</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 </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 </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（四）首次响应文件开启时间：：202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1019"/>
        <w:ind w:firstLine="480"/>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w:t>
      </w:r>
      <w:r>
        <w:rPr>
          <w:rFonts w:hint="eastAsia" w:eastAsia="宋体" w:cs="宋体"/>
          <w:color w:val="000000" w:themeColor="text1"/>
          <w:lang w:val="en-US" w:eastAsia="zh-CN"/>
          <w14:textFill>
            <w14:solidFill>
              <w14:schemeClr w14:val="tx1"/>
            </w14:solidFill>
          </w14:textFill>
        </w:rPr>
        <w:t xml:space="preserve"> </w:t>
      </w:r>
      <w:r>
        <w:rPr>
          <w:rFonts w:hint="eastAsia" w:eastAsia="宋体" w:cs="宋体"/>
          <w:color w:val="000000" w:themeColor="text1"/>
          <w14:textFill>
            <w14:solidFill>
              <w14:schemeClr w14:val="tx1"/>
            </w14:solidFill>
          </w14:textFill>
        </w:rPr>
        <w:t xml:space="preserve">办事指南-资料下载，点击进入《江苏省政府采购管理交易系统（苏采云）供应商操作手册及政府采购客户端》，进行下载。</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1019"/>
        <w:ind w:firstLine="425"/>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2、授权委托书（提供原件的扫描件，格式见《磋商文件》附件）；</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3、授权委托书中受托人身份证原件的扫描件；</w:t>
      </w:r>
      <w:r/>
    </w:p>
    <w:p>
      <w:pPr>
        <w:pStyle w:val="1010"/>
        <w:ind w:firstLine="480"/>
        <w:spacing w:before="0" w:beforeAutospacing="0" w:after="0" w:afterAutospacing="0" w:line="360" w:lineRule="auto"/>
        <w:shd w:val="clear" w:color="auto" w:fill="ffffff"/>
        <w:rPr>
          <w:rFonts w:cs="宋体"/>
        </w:rPr>
      </w:pPr>
      <w:r>
        <w:rPr>
          <w:rFonts w:hint="eastAsia" w:cs="宋体"/>
          <w:bCs/>
          <w:color w:val="000000" w:themeColor="text1"/>
          <w14:textFill>
            <w14:solidFill>
              <w14:schemeClr w14:val="tx1"/>
            </w14:solidFill>
          </w14:textFill>
        </w:rPr>
        <w:t xml:space="preserve">4、</w:t>
      </w:r>
      <w:r>
        <w:rPr>
          <w:rFonts w:hint="eastAsia" w:cs="宋体"/>
          <w:color w:val="000000"/>
          <w:shd w:val="clear" w:color="auto" w:fill="ffffff"/>
        </w:rPr>
        <w:t xml:space="preserve">所报产品的环境标志产品认证证书原件的扫描件（如有）。</w:t>
      </w:r>
      <w:r/>
    </w:p>
    <w:p>
      <w:pPr>
        <w:pStyle w:val="1010"/>
        <w:spacing w:before="0" w:beforeAutospacing="0" w:after="0" w:afterAutospacing="0" w:line="360" w:lineRule="auto"/>
        <w:shd w:val="clear" w:color="auto" w:fill="ffffff"/>
        <w:rPr>
          <w:rFonts w:cs="宋体"/>
        </w:rPr>
      </w:pPr>
      <w:r>
        <w:rPr>
          <w:rFonts w:hint="eastAsia" w:cs="宋体"/>
          <w:color w:val="000000"/>
          <w:shd w:val="clear" w:color="auto" w:fill="ffffff"/>
        </w:rPr>
        <w:t xml:space="preserve">注：（1）所报产品属于《环境标志产品政府采购品目清单》（由财政部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（2）环境标志产品认证证书是否符合要求，采购人评审时查询中国政府采购网（www.ccgp.gov.cn）相关内容后确定。</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5、所报产品的节能产品认证证书原件的扫描件（如有）。</w:t>
      </w:r>
      <w:r/>
    </w:p>
    <w:p>
      <w:pPr>
        <w:pStyle w:val="101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1010"/>
        <w:ind w:firstLine="48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（2）节能产品认证证书是否符合要求，采购人评审时查询中国政府采购网（www.ccgp.gov.cn）相关内容后确定。</w:t>
      </w:r>
      <w:r/>
    </w:p>
    <w:p>
      <w:pPr>
        <w:pStyle w:val="1010"/>
        <w:ind w:firstLine="482"/>
        <w:jc w:val="both"/>
        <w:spacing w:before="0" w:beforeAutospacing="0" w:after="0" w:afterAutospacing="0" w:line="360" w:lineRule="auto"/>
        <w:shd w:val="clear" w:color="auto" w:fill="ffffff"/>
        <w:widowControl w:val="off"/>
        <w:rPr>
          <w:rFonts w:cs="宋体"/>
          <w:bCs/>
          <w:color w:val="000000" w:themeColor="text1"/>
          <w14:textFill>
            <w14:solidFill>
              <w14:schemeClr w14:val="tx1"/>
            </w14:solidFill>
          </w14:textFill>
        </w:rPr>
      </w:pPr>
      <w:r>
        <w:rPr>
          <w:rFonts w:hint="eastAsia" w:cs="宋体"/>
          <w:color w:val="000000"/>
          <w:shd w:val="clear" w:color="auto" w:fill="ffffff"/>
        </w:rPr>
        <w:t xml:space="preserve">6、供应商认为需要提供的其他资料的扫描件（如有）。</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1.具有独立承担民事责任的能力，提供供应商合法有效的法人的营业执照(或事业单位法人证书)或其他组织应提供合法证明文件的原件扫描件。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财务状况报告，至少提供：即提供供应商的本项目开标时间前6个月内（不含开标当月）任何日期的资产负债表和利润表月报表扫描件各1份；或供应商基本开户银行出具的有效的资信证明扫描件；或其上一年度经审计的财务报告扫描件（202</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年度，应包括审计报告正文、资产负债表、现金流量表、利润表）；</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3.供应商的本项目开标时间前6个月内（不含开标当月）任何1月的</w:t>
      </w:r>
      <w:r>
        <w:rPr>
          <w:rFonts w:hint="eastAsia" w:ascii="宋体" w:hAnsi="宋体" w:cs="宋体"/>
          <w:b/>
          <w:color w:val="000000" w:themeColor="text1"/>
          <w:sz w:val="24"/>
          <w:szCs w:val="24"/>
          <w14:textFill>
            <w14:solidFill>
              <w14:schemeClr w14:val="tx1"/>
            </w14:solidFill>
          </w14:textFill>
        </w:rPr>
        <w:t xml:space="preserve">依法缴纳税收</w:t>
      </w:r>
      <w:r>
        <w:rPr>
          <w:rFonts w:hint="eastAsia" w:ascii="宋体" w:hAnsi="宋体" w:cs="宋体"/>
          <w:bCs/>
          <w:color w:val="000000" w:themeColor="text1"/>
          <w:sz w:val="24"/>
          <w:szCs w:val="24"/>
          <w14:textFill>
            <w14:solidFill>
              <w14:schemeClr w14:val="tx1"/>
            </w14:solidFill>
          </w14:textFill>
        </w:rPr>
        <w:t xml:space="preserve">和</w:t>
      </w:r>
      <w:r>
        <w:rPr>
          <w:rFonts w:hint="eastAsia" w:ascii="宋体" w:hAnsi="宋体" w:cs="宋体"/>
          <w:b/>
          <w:color w:val="000000" w:themeColor="text1"/>
          <w:sz w:val="24"/>
          <w:szCs w:val="24"/>
          <w14:textFill>
            <w14:solidFill>
              <w14:schemeClr w14:val="tx1"/>
            </w14:solidFill>
          </w14:textFill>
        </w:rPr>
        <w:t xml:space="preserve">社会保障资金</w:t>
      </w:r>
      <w:r>
        <w:rPr>
          <w:rFonts w:hint="eastAsia" w:ascii="宋体" w:hAnsi="宋体" w:cs="宋体"/>
          <w:bCs/>
          <w:color w:val="000000" w:themeColor="text1"/>
          <w:sz w:val="24"/>
          <w:szCs w:val="24"/>
          <w14:textFill>
            <w14:solidFill>
              <w14:schemeClr w14:val="tx1"/>
            </w14:solidFill>
          </w14:textFill>
        </w:rPr>
        <w:t xml:space="preserve">的相关材料扫描件；依法免税或不需要缴纳社会保障资金的供应商应提供相应其依法免税或不需要缴纳社会保障资金的证明文件扫描件；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4.具备履行合同所必需的设备和专业技术能力的证明材料提供具备履行合同所必需的设备和专业技术能力的书面声明（格式见《磋商文件》附件）。</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即要求如下： </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（1）供应商的</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施工总承包叁级（含）以上资质证书扫描件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（2）供应商拟选派项目负责人（注册建造师）具备</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专</w:t>
      </w:r>
      <w:r>
        <w:rPr>
          <w:rFonts w:hint="eastAsia" w:ascii="宋体" w:hAnsi="宋体" w:cs="宋体"/>
          <w:bCs/>
          <w:color w:val="000000" w:themeColor="text1"/>
          <w:sz w:val="24"/>
          <w:szCs w:val="24"/>
          <w14:textFill>
            <w14:solidFill>
              <w14:schemeClr w14:val="tx1"/>
            </w14:solidFill>
          </w14:textFill>
        </w:rPr>
        <w:t xml:space="preserve">业贰级（含）以上资格证书；并取得《建筑施工企业项目负责人安全生产考核合格证书》（B证），响应文件中提供证书扫描件，及项目负责人无在建工程证明材料或承诺书。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（3）供应商具备安全生产条件，取得《安全生产许可证》，响应文件中提供证书扫描件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6、本项目专门面向中小微企业，供应商应为中小微企业、监狱企业、残疾人福利性单位</w:t>
      </w:r>
      <w:r>
        <w:rPr>
          <w:rFonts w:hint="eastAsia" w:ascii="宋体" w:hAnsi="宋体" w:cs="宋体"/>
          <w:b/>
          <w:sz w:val="24"/>
          <w:szCs w:val="24"/>
          <w:lang w:eastAsia="zh-CN"/>
        </w:rPr>
        <w:t xml:space="preserve">。</w:t>
      </w:r>
      <w:r>
        <w:rPr>
          <w:rFonts w:hint="eastAsia" w:ascii="宋体" w:hAnsi="宋体" w:cs="宋体"/>
          <w:b/>
          <w:sz w:val="24"/>
          <w:szCs w:val="24"/>
        </w:rPr>
        <w:t xml:space="preserve">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2.《承诺书》（加盖电子签章，格式见《磋商文件》附件）；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3.《授权委托书》（提供原件的扫描件，格式见《磋商文件》附件）；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授权委托书中受托人</w:t>
      </w:r>
      <w:r>
        <w:rPr>
          <w:rFonts w:hint="eastAsia" w:ascii="宋体" w:hAnsi="宋体" w:cs="宋体"/>
          <w:bCs/>
          <w:color w:val="000000" w:themeColor="text1"/>
          <w:sz w:val="24"/>
          <w:highlight w:val="none"/>
          <w14:textFill>
            <w14:solidFill>
              <w14:schemeClr w14:val="tx1"/>
            </w14:solidFill>
          </w14:textFill>
        </w:rPr>
        <w:t xml:space="preserve">身份证扫描件</w:t>
      </w:r>
      <w:r>
        <w:rPr>
          <w:rFonts w:hint="eastAsia" w:ascii="宋体" w:hAnsi="宋体" w:cs="宋体"/>
          <w:bCs/>
          <w:color w:val="000000" w:themeColor="text1"/>
          <w:sz w:val="24"/>
          <w14:textFill>
            <w14:solidFill>
              <w14:schemeClr w14:val="tx1"/>
            </w14:solidFill>
          </w14:textFill>
        </w:rPr>
        <w:t xml:space="preserve">；</w:t>
      </w:r>
      <w:r/>
    </w:p>
    <w:p>
      <w:pPr>
        <w:pStyle w:val="1020"/>
        <w:ind w:right="-334"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5.《分项价格表》（具有标价的工程量清单与报价表，加盖电子签章，格式见《磋商文件》附件）；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6.《偏离表》（加盖电子签章，格式见《磋商文件》附件）；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7.《承包人用于本工程施工的机械设备表》（加盖电子签章，格式见《磋商文件》附件）；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8.《承包人主要施工管理人员表》（加盖电子签章，格式见《磋商文件》附件）；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1.1施工方案（要求见《磋商文件》附件1、《评分细则》及附件：2、《项目要求（采购需求）》）；</w:t>
      </w:r>
      <w:r/>
    </w:p>
    <w:p>
      <w:pPr>
        <w:pStyle w:val="1020"/>
        <w:ind w:right="-334" w:firstLine="480"/>
        <w:spacing w:line="360" w:lineRule="auto"/>
      </w:pPr>
      <w:r>
        <w:rPr>
          <w:rFonts w:hint="eastAsia" w:ascii="宋体" w:hAnsi="宋体" w:cs="宋体"/>
          <w:bCs/>
          <w:color w:val="000000" w:themeColor="text1"/>
          <w:sz w:val="24"/>
          <w14:textFill>
            <w14:solidFill>
              <w14:schemeClr w14:val="tx1"/>
            </w14:solidFill>
          </w14:textFill>
        </w:rPr>
        <w:t xml:space="preserve">1.2售后服务方案（要求见《磋商文件》附件1、《评分细则》及附件：2、《项目要求（采购需求）》）；</w:t>
      </w:r>
      <w:r/>
    </w:p>
    <w:p>
      <w:pPr>
        <w:pStyle w:val="1020"/>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pStyle w:val="1020"/>
        <w:ind w:right="-334" w:firstLine="480"/>
        <w:spacing w:line="360" w:lineRule="auto"/>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评分细则中评分得分需提供的相关证明文件原件扫描件或供应商认为需要提供的其他资料扫描件。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1、企业报价折扣证明：无。</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color w:val="000000" w:themeColor="text1"/>
          <w14:textFill>
            <w14:solidFill>
              <w14:schemeClr w14:val="tx1"/>
            </w14:solidFill>
          </w14:textFill>
        </w:rPr>
        <w:t xml:space="preserve">见《磋商文件》第九章附件中相关格式要求。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19"/>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hint="eastAsia" w:ascii="宋体" w:hAnsi="宋体" w:cs="宋体"/>
          <w:color w:val="000000" w:themeColor="text1"/>
          <w:sz w:val="24"/>
          <w14:textFill>
            <w14:solidFill>
              <w14:schemeClr w14:val="tx1"/>
            </w14:solidFill>
          </w14:textFill>
        </w:rPr>
        <w:t xml:space="preserve">2、采购人索取成交供应商的响应文件，须在双方签订政府采购合同后，由采购代理机构提供给采购人。</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1019"/>
        <w:spacing w:line="10" w:lineRule="atLeast"/>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000000" w:themeColor="text1"/>
          <w14:textFill>
            <w14:solidFill>
              <w14:schemeClr w14:val="tx1"/>
            </w14:solidFill>
          </w14:textFill>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p>
    <w:p>
      <w:pPr>
        <w:pStyle w:val="1019"/>
        <w:ind w:firstLine="480"/>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eastAsia="宋体" w:cs="宋体"/>
          <w:b/>
          <w:bCs/>
          <w:color w:val="000000" w:themeColor="text1"/>
          <w14:textFill>
            <w14:solidFill>
              <w14:schemeClr w14:val="tx1"/>
            </w14:solidFill>
          </w14:textFill>
        </w:rPr>
        <w:t xml:space="preserve">供应商未在规定时间内进行二轮磋商报价的将无法进入下一轮评审</w:t>
      </w:r>
      <w:r>
        <w:rPr>
          <w:rFonts w:hint="eastAsia" w:eastAsia="宋体" w:cs="宋体"/>
          <w:b/>
          <w:color w:val="000000" w:themeColor="text1"/>
          <w14:textFill>
            <w14:solidFill>
              <w14:schemeClr w14:val="tx1"/>
            </w14:solidFill>
          </w14:textFill>
        </w:rPr>
        <w:t xml:space="preserve">）。</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7.未在规定时间内进行报价的，视为响应无效。</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1019"/>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“诚信江苏”网（www.jiangsu.gov.cn/jsxy/index.htm）</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和或“信用江苏”网（http://credit.jiangsu.gov.cn/）；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(4)“诚信徐州”网（ http://www.xuzhoucredit.gov.cn）。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6.信用评价结果查询：见《磋商文件》附件1.《评分细则》。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磋商结束后，磋商小组应当要求所有参加磋商的供应商在规定时间内进行最后报价。供应商可按照磋商小组的要求在磋商现场（</w:t>
      </w:r>
      <w:r>
        <w:rPr>
          <w:rFonts w:hint="eastAsia" w:eastAsia="宋体" w:cs="宋体"/>
          <w:b/>
          <w:bCs/>
          <w:color w:val="000000" w:themeColor="text1"/>
          <w14:textFill>
            <w14:solidFill>
              <w14:schemeClr w14:val="tx1"/>
            </w14:solidFill>
          </w14:textFill>
        </w:rPr>
        <w:t xml:space="preserve">即“苏采云”系统</w:t>
      </w:r>
      <w:r>
        <w:rPr>
          <w:rFonts w:hint="eastAsia" w:eastAsia="宋体" w:cs="宋体"/>
          <w:b/>
          <w:bCs/>
          <w:color w:val="000000" w:themeColor="text1"/>
          <w:szCs w:val="24"/>
          <w14:textFill>
            <w14:solidFill>
              <w14:schemeClr w14:val="tx1"/>
            </w14:solidFill>
          </w14:textFill>
        </w:rPr>
        <w:t xml:space="preserve">开标大厅</w:t>
      </w:r>
      <w:r>
        <w:rPr>
          <w:rFonts w:hint="eastAsia" w:eastAsia="宋体" w:cs="宋体"/>
          <w:b/>
          <w:bCs/>
          <w:color w:val="000000" w:themeColor="text1"/>
          <w14:textFill>
            <w14:solidFill>
              <w14:schemeClr w14:val="tx1"/>
            </w14:solidFill>
          </w14:textFill>
        </w:rPr>
        <w:t xml:space="preserve">中</w:t>
      </w:r>
      <w:r>
        <w:rPr>
          <w:rFonts w:hint="eastAsia" w:eastAsia="宋体" w:cs="宋体"/>
          <w:color w:val="000000" w:themeColor="text1"/>
          <w14:textFill>
            <w14:solidFill>
              <w14:schemeClr w14:val="tx1"/>
            </w14:solidFill>
          </w14:textFill>
        </w:rPr>
        <w:t xml:space="preserve">）进行不少于两次的报价，首轮报价不公开，本项目二次报价为最后报价。</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color w:val="000000" w:themeColor="text1"/>
          <w14:textFill>
            <w14:solidFill>
              <w14:schemeClr w14:val="tx1"/>
            </w14:solidFill>
          </w14:textFill>
        </w:rPr>
        <w:t xml:space="preserve">施工组织方案</w:t>
      </w:r>
      <w:r>
        <w:rPr>
          <w:rFonts w:hint="eastAsia" w:eastAsia="宋体" w:cs="宋体"/>
          <w:color w:val="000000" w:themeColor="text1"/>
          <w14:textFill>
            <w14:solidFill>
              <w14:schemeClr w14:val="tx1"/>
            </w14:solidFill>
          </w14:textFill>
        </w:rPr>
        <w:t xml:space="preserve">优劣（得分）顺序推荐。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91"/>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二十二、成交供应商在收到成交通知书时，须向江苏瑞利项目管理有限公司提交《磋商报价表》（首次响应文件）和《分项价格表》（首次响应文件）的数据文件（WORD格式）。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质疑接收人：王霄霄      联系电话：18913453037</w:t>
      </w:r>
      <w:r>
        <w:rPr>
          <w:rFonts w:hint="eastAsia" w:ascii="宋体" w:hAnsi="宋体" w:cs="宋体"/>
          <w:color w:val="000000" w:themeColor="text1"/>
          <w:sz w:val="24"/>
          <w:lang w:val="en-US" w:eastAsia="zh-CN"/>
          <w14:textFill>
            <w14:solidFill>
              <w14:schemeClr w14:val="tx1"/>
            </w14:solidFill>
          </w14:textFill>
        </w:rPr>
        <w:t xml:space="preserve">/13685119726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Style w:val="1209"/>
          <w:rFonts w:hint="eastAsia" w:ascii="宋体" w:hAnsi="宋体" w:cs="宋体"/>
          <w:color w:val="000000" w:themeColor="text1"/>
          <w:sz w:val="24"/>
          <w14:textFill>
            <w14:solidFill>
              <w14:schemeClr w14:val="tx1"/>
            </w14:solidFill>
          </w14:textFill>
        </w:rPr>
        <w:t xml:space="preserve">睢宁县睢城街道润景商务广场1#楼3楼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1、代理服务费收取标准</w:t>
      </w:r>
      <w:r>
        <w:rPr>
          <w:rFonts w:hint="eastAsia" w:ascii="宋体" w:hAnsi="宋体" w:cs="宋体"/>
          <w:color w:val="000000" w:themeColor="text1"/>
          <w:sz w:val="24"/>
          <w:highlight w:val="none"/>
          <w:lang w:val="en-US" w:eastAsia="zh-CN"/>
          <w14:textFill>
            <w14:solidFill>
              <w14:schemeClr w14:val="tx1"/>
            </w14:solidFill>
          </w14:textFill>
        </w:rPr>
        <w:t xml:space="preserve">详</w:t>
      </w:r>
      <w:r>
        <w:rPr>
          <w:rFonts w:hint="eastAsia" w:ascii="宋体" w:hAnsi="宋体" w:cs="宋体"/>
          <w:color w:val="000000" w:themeColor="text1"/>
          <w:sz w:val="24"/>
          <w:highlight w:val="none"/>
          <w14:textFill>
            <w14:solidFill>
              <w14:schemeClr w14:val="tx1"/>
            </w14:solidFill>
          </w14:textFill>
        </w:rPr>
        <w:t xml:space="preserve">见附件。成交人领取成交通知书时需提交纸质响应文件3份（一正两副）及电子版响应文件（U盘）1份。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2、成交结果在徐州政府采购网</w:t>
      </w:r>
      <w:r>
        <w:rPr>
          <w:rFonts w:hint="eastAsia" w:ascii="宋体" w:hAnsi="宋体" w:cs="宋体"/>
          <w:color w:val="000000" w:themeColor="text1"/>
          <w:sz w:val="24"/>
          <w:lang w:eastAsia="zh-CN"/>
          <w14:textFill>
            <w14:solidFill>
              <w14:schemeClr w14:val="tx1"/>
            </w14:solidFill>
          </w14:textFill>
        </w:rPr>
        <w:t xml:space="preserve">https://czj.xz.gov.cn/zfcg/</w:t>
      </w:r>
      <w:r>
        <w:rPr>
          <w:rFonts w:hint="eastAsia" w:ascii="宋体" w:hAnsi="宋体" w:cs="宋体"/>
          <w:color w:val="000000" w:themeColor="text1"/>
          <w:sz w:val="24"/>
          <w14:textFill>
            <w14:solidFill>
              <w14:schemeClr w14:val="tx1"/>
            </w14:solidFill>
          </w14:textFill>
        </w:rPr>
        <w:t xml:space="preserve">上公布。</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3、采购人：</w:t>
      </w:r>
      <w:r>
        <w:rPr>
          <w:rStyle w:val="1209"/>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w:t>
      </w:r>
      <w:r>
        <w:rPr>
          <w:rStyle w:val="1209"/>
          <w:rFonts w:hint="eastAsia" w:ascii="宋体" w:hAnsi="宋体" w:cs="宋体"/>
          <w:color w:val="000000" w:themeColor="text1"/>
          <w:sz w:val="24"/>
          <w:lang w:eastAsia="zh-CN"/>
          <w14:textFill>
            <w14:solidFill>
              <w14:schemeClr w14:val="tx1"/>
            </w14:solidFill>
          </w14:textFill>
        </w:rPr>
        <w:t xml:space="preserve">睢宁县双沟镇幸福路1号</w:t>
      </w:r>
      <w:r/>
    </w:p>
    <w:p>
      <w:pPr>
        <w:ind w:firstLine="482"/>
        <w:spacing w:line="360" w:lineRule="auto"/>
        <w:rPr>
          <w:rStyle w:val="1209"/>
          <w:rFonts w:hint="default" w:ascii="宋体" w:hAnsi="宋体" w:eastAsia="宋体" w:cs="宋体"/>
          <w:color w:val="000000" w:themeColor="text1"/>
          <w:sz w:val="24"/>
          <w:highlight w:val="none"/>
          <w:lang w:val="en-US" w:eastAsia="zh-CN"/>
          <w14:textFill>
            <w14:solidFill>
              <w14:schemeClr w14:val="tx1"/>
            </w14:solidFill>
          </w14:textFill>
        </w:rPr>
      </w:pPr>
      <w:r>
        <w:rPr>
          <w:rStyle w:val="1209"/>
          <w:rFonts w:hint="eastAsia" w:ascii="宋体" w:hAnsi="宋体" w:cs="宋体"/>
          <w:color w:val="000000" w:themeColor="text1"/>
          <w:sz w:val="24"/>
          <w:highlight w:val="none"/>
          <w14:textFill>
            <w14:solidFill>
              <w14:schemeClr w14:val="tx1"/>
            </w14:solidFill>
          </w14:textFill>
        </w:rPr>
        <w:t xml:space="preserve"> 联系电话：</w:t>
      </w:r>
      <w:r>
        <w:rPr>
          <w:rStyle w:val="1209"/>
          <w:rFonts w:hint="eastAsia" w:ascii="宋体" w:hAnsi="宋体" w:cs="宋体"/>
          <w:color w:val="000000" w:themeColor="text1"/>
          <w:sz w:val="24"/>
          <w:highlight w:val="none"/>
          <w:lang w:val="en-US" w:eastAsia="zh-CN"/>
          <w14:textFill>
            <w14:solidFill>
              <w14:schemeClr w14:val="tx1"/>
            </w14:solidFill>
          </w14:textFill>
        </w:rPr>
        <w:t xml:space="preserve">13815355807</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4、采购代理公司：江苏瑞利项目管理有限公司</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地址：睢宁县睢城街道润景商务广场1#楼3楼</w:t>
      </w:r>
      <w:r/>
    </w:p>
    <w:p>
      <w:pPr>
        <w:pStyle w:val="1020"/>
        <w:ind w:firstLine="482"/>
        <w:jc w:val="left"/>
        <w:spacing w:line="360" w:lineRule="auto"/>
        <w:widowControl w:val="off"/>
        <w:rPr>
          <w:rStyle w:val="1209"/>
          <w:rFonts w:hint="default" w:ascii="宋体" w:hAnsi="宋体" w:eastAsia="宋体" w:cs="宋体"/>
          <w:color w:val="000000" w:themeColor="text1"/>
          <w:sz w:val="24"/>
          <w:lang w:val="en-US"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联系人：王霄霄      联系电话：18913453037</w:t>
      </w:r>
      <w:r>
        <w:rPr>
          <w:rStyle w:val="1209"/>
          <w:rFonts w:hint="eastAsia" w:ascii="宋体" w:hAnsi="宋体" w:cs="宋体"/>
          <w:color w:val="000000" w:themeColor="text1"/>
          <w:sz w:val="24"/>
          <w:lang w:val="en-US" w:eastAsia="zh-CN"/>
          <w14:textFill>
            <w14:solidFill>
              <w14:schemeClr w14:val="tx1"/>
            </w14:solidFill>
          </w14:textFill>
        </w:rPr>
        <w:t xml:space="preserve">/13685119726</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5、《承包人用于本工程施工的机械设备表》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991"/>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numPr>
          <w:ilvl w:val="0"/>
          <w:numId w:val="1"/>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评分细则</w:t>
      </w:r>
      <w:r/>
    </w:p>
    <w:tbl>
      <w:tblPr>
        <w:tblStyle w:val="985"/>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价格部分</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20"/>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w:t>
            </w:r>
            <w:r/>
          </w:p>
          <w:p>
            <w:pPr>
              <w:pStyle w:val="1020"/>
              <w:rPr>
                <w:rFonts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lang w:val="en-US" w:eastAsia="zh-CN"/>
              </w:rPr>
              <w:t xml:space="preserve">2</w:t>
            </w:r>
            <w:r>
              <w:rPr>
                <w:rFonts w:hint="eastAsia" w:ascii="宋体" w:hAnsi="宋体" w:cs="宋体"/>
                <w:sz w:val="24"/>
                <w:szCs w:val="24"/>
              </w:rPr>
              <w:t xml:space="preserve">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219"/>
              <w:jc w:val="center"/>
              <w:rPr>
                <w:rFonts w:ascii="宋体" w:hAnsi="宋体" w:cs="宋体"/>
                <w:color w:val="auto"/>
              </w:rPr>
            </w:pPr>
            <w:r>
              <w:rPr>
                <w:rFonts w:hint="eastAsia" w:ascii="宋体" w:hAnsi="宋体" w:cs="宋体"/>
                <w:color w:val="auto"/>
              </w:rPr>
              <w:t xml:space="preserve">施工方案</w:t>
            </w:r>
            <w:r/>
          </w:p>
          <w:p>
            <w:pPr>
              <w:pStyle w:val="1219"/>
              <w:jc w:val="center"/>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en-US" w:eastAsia="zh-CN"/>
              </w:rPr>
              <w:t xml:space="preserve">6</w:t>
            </w:r>
            <w:r>
              <w:rPr>
                <w:rFonts w:hint="eastAsia" w:ascii="宋体" w:hAnsi="宋体" w:cs="宋体"/>
                <w:color w:val="auto"/>
              </w:rPr>
              <w:t xml:space="preserve">分)</w:t>
            </w:r>
            <w:r/>
          </w:p>
          <w:p>
            <w:pPr>
              <w:pStyle w:val="1219"/>
              <w:ind w:firstLine="240"/>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rPr>
            </w:pPr>
            <w:r>
              <w:rPr>
                <w:rFonts w:hint="eastAsia" w:ascii="宋体" w:hAnsi="宋体" w:cs="宋体"/>
              </w:rPr>
              <w:t xml:space="preserve">总体施工</w:t>
            </w:r>
            <w:r/>
          </w:p>
          <w:p>
            <w:pPr>
              <w:pStyle w:val="1219"/>
              <w:jc w:val="center"/>
              <w:rPr>
                <w:rFonts w:ascii="宋体" w:hAnsi="宋体" w:cs="宋体"/>
              </w:rPr>
            </w:pPr>
            <w:r>
              <w:rPr>
                <w:rFonts w:hint="eastAsia" w:ascii="宋体" w:hAnsi="宋体" w:cs="宋体"/>
              </w:rPr>
              <w:t xml:space="preserve">方案</w:t>
            </w:r>
            <w:r/>
          </w:p>
          <w:p>
            <w:pPr>
              <w:pStyle w:val="1219"/>
              <w:jc w:val="center"/>
              <w:rPr>
                <w:rFonts w:ascii="宋体" w:hAnsi="宋体" w:cs="宋体"/>
                <w:color w:val="auto"/>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4</w:t>
            </w:r>
            <w:r>
              <w:rPr>
                <w:rFonts w:hint="eastAsia" w:ascii="宋体" w:hAnsi="宋体" w:cs="宋体"/>
                <w:sz w:val="24"/>
              </w:rPr>
              <w:t xml:space="preserve">分)：合理得</w:t>
            </w:r>
            <w:r>
              <w:rPr>
                <w:rFonts w:hint="eastAsia" w:ascii="宋体" w:hAnsi="宋体" w:cs="宋体"/>
                <w:sz w:val="24"/>
                <w:lang w:val="en-US" w:eastAsia="zh-CN"/>
              </w:rPr>
              <w:t xml:space="preserve">4</w:t>
            </w:r>
            <w:r>
              <w:rPr>
                <w:rFonts w:hint="eastAsia" w:ascii="宋体" w:hAnsi="宋体" w:cs="宋体"/>
                <w:sz w:val="24"/>
              </w:rPr>
              <w:t xml:space="preserve">分；较合理得</w:t>
            </w:r>
            <w:r>
              <w:rPr>
                <w:rFonts w:hint="eastAsia" w:ascii="宋体" w:hAnsi="宋体" w:cs="宋体"/>
                <w:sz w:val="24"/>
                <w:lang w:val="en-US" w:eastAsia="zh-CN"/>
              </w:rPr>
              <w:t xml:space="preserve">3</w:t>
            </w:r>
            <w:r>
              <w:rPr>
                <w:rFonts w:hint="eastAsia" w:ascii="宋体" w:hAnsi="宋体" w:cs="宋体"/>
                <w:sz w:val="24"/>
              </w:rPr>
              <w:t xml:space="preserve">分；不太合理的得</w:t>
            </w:r>
            <w:r>
              <w:rPr>
                <w:rFonts w:hint="eastAsia" w:ascii="宋体" w:hAnsi="宋体" w:cs="宋体"/>
                <w:sz w:val="24"/>
                <w:lang w:val="en-US" w:eastAsia="zh-CN"/>
              </w:rPr>
              <w:t xml:space="preserve">2</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4</w:t>
            </w:r>
            <w:r>
              <w:rPr>
                <w:rFonts w:hint="eastAsia" w:ascii="宋体" w:hAnsi="宋体" w:cs="宋体"/>
                <w:sz w:val="24"/>
              </w:rPr>
              <w:t xml:space="preserve">分)：符合实际切实可行得</w:t>
            </w:r>
            <w:r>
              <w:rPr>
                <w:rFonts w:hint="eastAsia" w:ascii="宋体" w:hAnsi="宋体" w:cs="宋体"/>
                <w:sz w:val="24"/>
                <w:lang w:val="en-US" w:eastAsia="zh-CN"/>
              </w:rPr>
              <w:t xml:space="preserve">4</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w:t>
            </w:r>
            <w:r>
              <w:rPr>
                <w:rFonts w:hint="eastAsia" w:ascii="宋体" w:hAnsi="宋体" w:cs="宋体"/>
                <w:sz w:val="24"/>
                <w:lang w:val="en-US" w:eastAsia="zh-CN"/>
              </w:rPr>
              <w:t xml:space="preserve">2</w:t>
            </w:r>
            <w:r>
              <w:rPr>
                <w:rFonts w:hint="eastAsia" w:ascii="宋体" w:hAnsi="宋体" w:cs="宋体"/>
                <w:sz w:val="24"/>
              </w:rPr>
              <w:t xml:space="preserve">分；</w:t>
            </w:r>
            <w:r/>
          </w:p>
          <w:p>
            <w:pPr>
              <w:pStyle w:val="1022"/>
              <w:rPr>
                <w:rFonts w:ascii="宋体" w:hAnsi="宋体" w:cs="宋体"/>
                <w:sz w:val="24"/>
                <w:szCs w:val="20"/>
              </w:rPr>
            </w:pPr>
            <w:r>
              <w:rPr>
                <w:rFonts w:hint="eastAsia" w:ascii="宋体" w:hAnsi="宋体" w:cs="宋体"/>
                <w:sz w:val="24"/>
              </w:rPr>
              <w:t xml:space="preserve">未提供的不得分。最高得1</w:t>
            </w:r>
            <w:r>
              <w:rPr>
                <w:rFonts w:hint="eastAsia" w:ascii="宋体" w:hAnsi="宋体" w:cs="宋体"/>
                <w:sz w:val="24"/>
                <w:lang w:val="en-US" w:eastAsia="zh-CN"/>
              </w:rPr>
              <w:t xml:space="preserve">2</w:t>
            </w:r>
            <w:r>
              <w:rPr>
                <w:rFonts w:hint="eastAsia" w:ascii="宋体" w:hAnsi="宋体" w:cs="宋体"/>
                <w:sz w:val="24"/>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施工进度计划及保证措施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p>
            <w:pPr>
              <w:pStyle w:val="1022"/>
              <w:ind w:firstLine="240"/>
              <w:jc w:val="center"/>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spacing w:line="288" w:lineRule="auto"/>
              <w:rPr>
                <w:rFonts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szCs w:val="20"/>
              </w:rPr>
            </w:pPr>
            <w:r>
              <w:rPr>
                <w:rFonts w:hint="eastAsia" w:ascii="宋体" w:hAnsi="宋体" w:cs="宋体"/>
                <w:sz w:val="24"/>
              </w:rPr>
              <w:t xml:space="preserve">未提供的不得分。最高得10分，最低不得分。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rPr>
                <w:rFonts w:ascii="宋体" w:hAnsi="宋体" w:cs="宋体"/>
                <w:sz w:val="24"/>
              </w:rPr>
            </w:pPr>
            <w:r>
              <w:rPr>
                <w:rFonts w:hint="eastAsia" w:ascii="宋体" w:hAnsi="宋体" w:cs="宋体"/>
                <w:sz w:val="24"/>
              </w:rPr>
              <w:t xml:space="preserve">施工质量</w:t>
            </w:r>
            <w:r/>
          </w:p>
          <w:p>
            <w:pPr>
              <w:jc w:val="center"/>
              <w:rPr>
                <w:rFonts w:ascii="宋体" w:hAnsi="宋体" w:cs="宋体"/>
                <w:sz w:val="24"/>
              </w:rPr>
            </w:pPr>
            <w:r>
              <w:rPr>
                <w:rFonts w:hint="eastAsia" w:ascii="宋体" w:hAnsi="宋体" w:cs="宋体"/>
                <w:sz w:val="24"/>
              </w:rPr>
              <w:t xml:space="preserve">保证</w:t>
            </w:r>
            <w:r/>
          </w:p>
          <w:p>
            <w:pPr>
              <w:jc w:val="center"/>
              <w:rPr>
                <w:rFonts w:ascii="宋体" w:hAnsi="宋体" w:cs="宋体"/>
                <w:sz w:val="24"/>
              </w:rPr>
            </w:pPr>
            <w:r>
              <w:rPr>
                <w:rFonts w:hint="eastAsia" w:ascii="宋体" w:hAnsi="宋体" w:cs="宋体"/>
                <w:sz w:val="24"/>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szCs w:val="20"/>
              </w:rPr>
              <w:t xml:space="preserve">根据供应商提供的质量保证措施，对施工质量管理规划及目标、施工质量保证措施及突发情况预防方式等方面进行</w:t>
            </w:r>
            <w:r>
              <w:rPr>
                <w:rFonts w:hint="eastAsia" w:ascii="宋体" w:hAnsi="宋体" w:cs="宋体"/>
                <w:sz w:val="24"/>
              </w:rPr>
              <w:t xml:space="preserve">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未提供的不得分。最高得10分，最低不得分。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安全文明施工措施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根据供应商提供的安全文明施工措施中安全生产管理措施、文明施工管理措施、环境保护措施等方面进行综合评分。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rPr>
            </w:pPr>
            <w:r>
              <w:rPr>
                <w:rFonts w:hint="eastAsia" w:ascii="宋体" w:hAnsi="宋体" w:cs="宋体"/>
                <w:sz w:val="24"/>
              </w:rPr>
              <w:t xml:space="preserve">未提供的不得分。最高得</w:t>
            </w:r>
            <w:r>
              <w:rPr>
                <w:rFonts w:hint="eastAsia" w:ascii="宋体" w:hAnsi="宋体" w:cs="宋体"/>
                <w:sz w:val="24"/>
                <w:lang w:val="en-US" w:eastAsia="zh-CN"/>
              </w:rPr>
              <w:t xml:space="preserve">9</w:t>
            </w:r>
            <w:r>
              <w:rPr>
                <w:rFonts w:hint="eastAsia" w:ascii="宋体" w:hAnsi="宋体" w:cs="宋体"/>
                <w:sz w:val="24"/>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施工资源需求计划，劳动力、机械设备和材料投入情况</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9</w:t>
            </w:r>
            <w:r>
              <w:rPr>
                <w:rFonts w:hint="eastAsia" w:ascii="宋体" w:hAnsi="宋体" w:cs="宋体"/>
                <w:color w:val="auto"/>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w:t>
            </w:r>
            <w:r>
              <w:rPr>
                <w:rFonts w:hint="eastAsia" w:ascii="宋体" w:hAnsi="宋体" w:cs="宋体"/>
                <w:color w:val="auto"/>
                <w:lang w:val="en-US" w:eastAsia="zh-CN"/>
              </w:rPr>
              <w:t xml:space="preserve">9</w:t>
            </w:r>
            <w:r>
              <w:rPr>
                <w:rFonts w:hint="eastAsia" w:ascii="宋体" w:hAnsi="宋体" w:cs="宋体"/>
                <w:color w:val="auto"/>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ascii="宋体" w:hAnsi="宋体" w:cs="宋体"/>
                <w:color w:val="auto"/>
              </w:rPr>
            </w:r>
            <w:r/>
          </w:p>
          <w:p>
            <w:pPr>
              <w:pStyle w:val="1219"/>
              <w:jc w:val="center"/>
              <w:rPr>
                <w:rFonts w:ascii="宋体" w:hAnsi="宋体" w:cs="宋体"/>
                <w:color w:val="auto"/>
              </w:rPr>
            </w:pPr>
            <w:r>
              <w:rPr>
                <w:rFonts w:hint="eastAsia" w:ascii="宋体" w:hAnsi="宋体" w:cs="宋体"/>
                <w:color w:val="auto"/>
              </w:rPr>
              <w:t xml:space="preserve">关键施工技术、工艺及</w:t>
            </w:r>
            <w:r/>
          </w:p>
          <w:p>
            <w:pPr>
              <w:pStyle w:val="1219"/>
              <w:jc w:val="center"/>
              <w:rPr>
                <w:rFonts w:ascii="宋体" w:hAnsi="宋体" w:cs="宋体"/>
                <w:color w:val="auto"/>
              </w:rPr>
            </w:pPr>
            <w:r>
              <w:rPr>
                <w:rFonts w:hint="eastAsia" w:ascii="宋体" w:hAnsi="宋体" w:cs="宋体"/>
                <w:color w:val="auto"/>
              </w:rPr>
              <w:t xml:space="preserve">工程项目实施的重点、难点和解决方案</w:t>
            </w:r>
            <w:r/>
          </w:p>
          <w:p>
            <w:pPr>
              <w:pStyle w:val="1219"/>
              <w:jc w:val="center"/>
              <w:rPr>
                <w:rFonts w:ascii="宋体" w:hAnsi="宋体" w:cs="宋体"/>
                <w:color w:val="auto"/>
              </w:rPr>
            </w:pPr>
            <w:r>
              <w:rPr>
                <w:rFonts w:hint="eastAsia" w:ascii="宋体" w:hAnsi="宋体" w:cs="宋体"/>
                <w:color w:val="auto"/>
              </w:rPr>
              <w:t xml:space="preserve">（10分）</w:t>
            </w:r>
            <w:r/>
          </w:p>
          <w:p>
            <w:pPr>
              <w:pStyle w:val="1219"/>
              <w:ind w:firstLine="240"/>
              <w:jc w:val="center"/>
              <w:rPr>
                <w:rFonts w:ascii="宋体" w:hAnsi="宋体" w:cs="宋体"/>
                <w:color w:val="auto"/>
              </w:rPr>
            </w:pPr>
            <w:r>
              <w:rPr>
                <w:rFonts w:ascii="宋体" w:hAnsi="宋体" w:cs="宋体"/>
                <w:color w:val="auto"/>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未提供的不得分。最高得10分，最低不得分。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项目管理班子的人员配备、素质及管理经验</w:t>
            </w:r>
            <w:r/>
          </w:p>
          <w:p>
            <w:pPr>
              <w:pStyle w:val="1219"/>
              <w:jc w:val="center"/>
              <w:rPr>
                <w:rFonts w:ascii="宋体" w:hAnsi="宋体" w:cs="宋体"/>
                <w:color w:val="auto"/>
              </w:rPr>
            </w:pPr>
            <w:r>
              <w:rPr>
                <w:rFonts w:hint="eastAsia" w:ascii="宋体" w:hAnsi="宋体" w:cs="宋体"/>
                <w:color w:val="auto"/>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rPr>
                <w:rFonts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ascii="宋体" w:hAnsi="宋体" w:cs="宋体"/>
                <w:sz w:val="24"/>
              </w:rPr>
            </w:pPr>
            <w:r>
              <w:rPr>
                <w:rFonts w:hint="eastAsia" w:ascii="宋体" w:hAnsi="宋体" w:cs="宋体"/>
                <w:sz w:val="24"/>
              </w:rPr>
              <w:t xml:space="preserve">合理性(2分)：合理得2分；较合理得1分；不太合理的得0.5分。</w:t>
            </w:r>
            <w:r/>
          </w:p>
          <w:p>
            <w:pPr>
              <w:rPr>
                <w:rFonts w:ascii="宋体" w:hAnsi="宋体" w:cs="宋体"/>
                <w:sz w:val="24"/>
              </w:rPr>
            </w:pPr>
            <w:r>
              <w:rPr>
                <w:rFonts w:hint="eastAsia" w:ascii="宋体" w:hAnsi="宋体" w:cs="宋体"/>
                <w:sz w:val="24"/>
              </w:rPr>
              <w:t xml:space="preserve">针对性（2分)：针对性强得2分；针对性一般的得1分，欠缺针对性的得0.5分。</w:t>
            </w:r>
            <w:r/>
          </w:p>
          <w:p>
            <w:pPr>
              <w:rPr>
                <w:rFonts w:ascii="宋体" w:hAnsi="宋体" w:cs="宋体"/>
                <w:sz w:val="24"/>
              </w:rPr>
            </w:pPr>
            <w:r>
              <w:rPr>
                <w:rFonts w:hint="eastAsia" w:ascii="宋体" w:hAnsi="宋体" w:cs="宋体"/>
                <w:sz w:val="24"/>
              </w:rPr>
              <w:t xml:space="preserve">可行性（2分)：符合实际切实可行得2分；较切实可行得1分；可行性欠缺得0.5分；</w:t>
            </w:r>
            <w:r/>
          </w:p>
          <w:p>
            <w:pPr>
              <w:pStyle w:val="1219"/>
              <w:jc w:val="both"/>
              <w:rPr>
                <w:rFonts w:ascii="宋体" w:hAnsi="宋体" w:cs="宋体"/>
                <w:color w:val="auto"/>
              </w:rPr>
            </w:pPr>
            <w:r>
              <w:rPr>
                <w:rFonts w:hint="eastAsia" w:ascii="宋体" w:hAnsi="宋体" w:cs="宋体"/>
                <w:color w:val="auto"/>
              </w:rPr>
              <w:t xml:space="preserve">未提供的不得分。最高得6分，最低不得分。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缺陷责任期内、外的服务方案</w:t>
            </w:r>
            <w:r/>
          </w:p>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依据响应文件中的售后服务方案，包含缺陷责任期内和缺陷责任期满后的服务方案进行综合评分。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4</w:t>
            </w:r>
            <w:r>
              <w:rPr>
                <w:rFonts w:hint="eastAsia" w:ascii="宋体" w:hAnsi="宋体" w:cs="宋体"/>
                <w:sz w:val="24"/>
              </w:rPr>
              <w:t xml:space="preserve">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20" w:lineRule="exact"/>
              <w:widowControl/>
              <w:rPr>
                <w:rFonts w:ascii="宋体" w:hAnsi="宋体" w:cs="宋体"/>
                <w:sz w:val="24"/>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10</w:t>
            </w:r>
            <w:bookmarkStart w:id="382" w:name="_GoBack"/>
            <w:r/>
            <w:bookmarkEnd w:id="382"/>
            <w:r>
              <w:rPr>
                <w:rFonts w:hint="eastAsia" w:ascii="宋体" w:hAnsi="宋体" w:cs="宋体"/>
                <w:sz w:val="24"/>
              </w:rPr>
              <w:t xml:space="preserve">分，最低不得分。</w:t>
            </w:r>
            <w:r/>
          </w:p>
        </w:tc>
      </w:tr>
      <w:tr>
        <w:trPr>
          <w:jc w:val="center"/>
          <w:trHeight w:val="2674"/>
        </w:trPr>
        <w:tc>
          <w:tcPr>
            <w:tcBorders>
              <w:top w:val="single" w:color="auto" w:sz="4" w:space="0"/>
              <w:left w:val="single" w:color="000000" w:sz="4" w:space="0"/>
              <w:right w:val="single" w:color="000000" w:sz="4" w:space="0"/>
            </w:tcBorders>
            <w:tcW w:w="1402"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商务部分（4分）</w:t>
            </w:r>
            <w:r/>
          </w:p>
        </w:tc>
        <w:tc>
          <w:tcPr>
            <w:tcBorders>
              <w:top w:val="single" w:color="000000" w:sz="4" w:space="0"/>
              <w:left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numPr>
                <w:ilvl w:val="0"/>
                <w:numId w:val="0"/>
              </w:num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月至今承担过合同内容与本次投标相同或类似的项目业绩。供应商必须在响应文件中提供中标通知书、施工合同及竣工验收报告</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（三者缺一不可，否则不得分），时间以竣工验收报告为准。（</w:t>
            </w:r>
            <w:r>
              <w:rPr>
                <w:rFonts w:hint="eastAsia" w:ascii="宋体" w:hAnsi="宋体" w:cs="宋体"/>
                <w:b/>
                <w:bCs/>
                <w:color w:val="auto"/>
                <w:sz w:val="24"/>
                <w:szCs w:val="24"/>
                <w:highlight w:val="none"/>
                <w:lang w:val="en-US" w:eastAsia="zh-CN"/>
              </w:rPr>
              <w:t xml:space="preserve">三者均须</w:t>
            </w:r>
            <w:r>
              <w:rPr>
                <w:rFonts w:hint="eastAsia" w:ascii="宋体" w:hAnsi="宋体" w:eastAsia="宋体" w:cs="宋体"/>
                <w:b/>
                <w:bCs/>
                <w:color w:val="auto"/>
                <w:sz w:val="24"/>
                <w:szCs w:val="24"/>
                <w:highlight w:val="none"/>
              </w:rPr>
              <w:t xml:space="preserve">原件扫描件上传</w:t>
            </w:r>
            <w:r>
              <w:rPr>
                <w:rFonts w:hint="eastAsia" w:ascii="宋体" w:hAnsi="宋体" w:eastAsia="宋体" w:cs="宋体"/>
                <w:color w:val="auto"/>
                <w:sz w:val="24"/>
                <w:szCs w:val="24"/>
                <w:highlight w:val="none"/>
              </w:rPr>
              <w:t xml:space="preserve">，不提供不得分）</w:t>
            </w:r>
            <w:r/>
          </w:p>
          <w:p>
            <w:pPr>
              <w:spacing w:line="320" w:lineRule="exact"/>
              <w:widowControl/>
              <w:rPr>
                <w:rFonts w:hint="eastAsia" w:ascii="宋体" w:hAnsi="宋体" w:cs="宋体"/>
                <w:sz w:val="24"/>
              </w:rPr>
            </w:pPr>
            <w:r>
              <w:rPr>
                <w:rFonts w:hint="eastAsia" w:ascii="宋体" w:hAnsi="宋体" w:eastAsia="宋体" w:cs="宋体"/>
                <w:color w:val="auto"/>
                <w:sz w:val="24"/>
                <w:szCs w:val="24"/>
                <w:highlight w:val="none"/>
              </w:rPr>
              <w:t xml:space="preserve">每提供一份有效类似业绩得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bl>
    <w:p>
      <w:pPr>
        <w:pStyle w:val="1020"/>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0"/>
        <w:contextualSpacing/>
        <w:jc w:val="left"/>
        <w:spacing w:line="312"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本章说明：</w:t>
      </w:r>
      <w:r>
        <w:rPr>
          <w:rFonts w:hint="eastAsia" w:ascii="宋体" w:hAnsi="宋体" w:cs="宋体"/>
          <w:color w:val="000000" w:themeColor="text1"/>
          <w:sz w:val="24"/>
          <w14:textFill>
            <w14:solidFill>
              <w14:schemeClr w14:val="tx1"/>
            </w14:solidFill>
          </w14:textFill>
        </w:rPr>
        <w:t xml:space="preserve">本项目采用</w:t>
      </w:r>
      <w:r>
        <w:rPr>
          <w:rFonts w:hint="eastAsia" w:ascii="宋体" w:hAnsi="宋体" w:cs="宋体"/>
          <w:b/>
          <w:bCs/>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t xml:space="preserve">。(供应商技术部分得分取所有评委的平均值，保留小数点后二位)</w:t>
      </w:r>
      <w:r>
        <w:rPr>
          <w:rFonts w:hint="eastAsia" w:ascii="宋体" w:hAnsi="宋体" w:cs="宋体"/>
          <w:b/>
          <w:bCs/>
          <w:color w:val="000000" w:themeColor="text1"/>
          <w:sz w:val="36"/>
          <w:szCs w:val="36"/>
          <w14:textFill>
            <w14:solidFill>
              <w14:schemeClr w14:val="tx1"/>
            </w14:solidFill>
          </w14:textFill>
        </w:rPr>
        <w:br w:type="page" w:clear="all"/>
      </w:r>
      <w:r>
        <w:rPr>
          <w:rFonts w:hint="eastAsia" w:ascii="宋体" w:hAnsi="宋体" w:cs="宋体"/>
          <w:b/>
          <w:bCs/>
          <w:color w:val="000000" w:themeColor="text1"/>
          <w:sz w:val="36"/>
          <w:szCs w:val="36"/>
          <w14:textFill>
            <w14:solidFill>
              <w14:schemeClr w14:val="tx1"/>
            </w14:solidFill>
          </w14:textFill>
        </w:rPr>
        <w:t xml:space="preserve">            2、项目要求（采购需求）</w:t>
      </w:r>
      <w:r/>
    </w:p>
    <w:p>
      <w:pPr>
        <w:pStyle w:val="12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一、本</w:t>
      </w:r>
      <w:r>
        <w:rPr>
          <w:rFonts w:hint="eastAsia" w:ascii="宋体" w:hAnsi="宋体" w:cs="宋体"/>
          <w:b/>
          <w:bCs/>
          <w:color w:val="000000" w:themeColor="text1"/>
          <w:highlight w:val="none"/>
          <w14:textFill>
            <w14:solidFill>
              <w14:schemeClr w14:val="tx1"/>
            </w14:solidFill>
          </w14:textFill>
        </w:rPr>
        <w:t xml:space="preserve">项目预算金额</w:t>
      </w:r>
      <w:r>
        <w:rPr>
          <w:rFonts w:hint="eastAsia" w:ascii="宋体" w:hAnsi="宋体" w:cs="宋体"/>
          <w:b/>
          <w:bCs/>
          <w:color w:val="000000" w:themeColor="text1"/>
          <w:highlight w:val="none"/>
          <w:lang w:val="en-US" w:eastAsia="zh-CN"/>
          <w14:textFill>
            <w14:solidFill>
              <w14:schemeClr w14:val="tx1"/>
            </w14:solidFill>
          </w14:textFill>
        </w:rPr>
        <w:t xml:space="preserve">2855211.64</w:t>
      </w:r>
      <w:r>
        <w:rPr>
          <w:rFonts w:hint="eastAsia" w:ascii="宋体" w:hAnsi="宋体" w:cs="宋体"/>
          <w:b/>
          <w:bCs/>
          <w:color w:val="000000" w:themeColor="text1"/>
          <w:highlight w:val="none"/>
          <w14:textFill>
            <w14:solidFill>
              <w14:schemeClr w14:val="tx1"/>
            </w14:solidFill>
          </w14:textFill>
        </w:rPr>
        <w:t xml:space="preserve">元，</w:t>
      </w:r>
      <w:r>
        <w:rPr>
          <w:rFonts w:hint="eastAsia" w:ascii="宋体" w:hAnsi="宋体" w:cs="宋体"/>
          <w:b/>
          <w:bCs/>
          <w:color w:val="000000" w:themeColor="text1"/>
          <w:highlight w:val="none"/>
          <w:lang w:val="en-US" w:eastAsia="zh-CN"/>
          <w14:textFill>
            <w14:solidFill>
              <w14:schemeClr w14:val="tx1"/>
            </w14:solidFill>
          </w14:textFill>
        </w:rPr>
        <w:t xml:space="preserve">最高限价为</w:t>
      </w:r>
      <w:r>
        <w:rPr>
          <w:rFonts w:hint="eastAsia" w:ascii="宋体" w:hAnsi="宋体" w:cs="宋体"/>
          <w:b/>
          <w:bCs/>
          <w:color w:val="000000" w:themeColor="text1"/>
          <w:highlight w:val="none"/>
          <w:lang w:eastAsia="zh-CN"/>
          <w14:textFill>
            <w14:solidFill>
              <w14:schemeClr w14:val="tx1"/>
            </w14:solidFill>
          </w14:textFill>
        </w:rPr>
        <w:t xml:space="preserve">2855211.64元</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不接收超过最高限价的投标报价，否则按无效标书处理</w:t>
      </w:r>
      <w:r>
        <w:rPr>
          <w:rFonts w:hint="eastAsia" w:ascii="宋体" w:hAnsi="宋体" w:cs="宋体"/>
          <w:bCs/>
          <w:color w:val="000000" w:themeColor="text1"/>
          <w14:textFill>
            <w14:solidFill>
              <w14:schemeClr w14:val="tx1"/>
            </w14:solidFill>
          </w14:textFill>
        </w:rPr>
        <w:t xml:space="preserve">），报价包含完成</w:t>
      </w:r>
      <w:r>
        <w:rPr>
          <w:rFonts w:hint="eastAsia" w:ascii="宋体" w:hAnsi="宋体" w:cs="宋体"/>
          <w:bCs/>
          <w:color w:val="000000" w:themeColor="text1"/>
          <w:lang w:val="en-US" w:eastAsia="zh-CN"/>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项目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双沟镇爱民路(G104-徐沙河)污水管网建设工程</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2、建设地点：睢宁县双沟镇</w:t>
      </w:r>
      <w:r/>
    </w:p>
    <w:p>
      <w:pPr>
        <w:pStyle w:val="1030"/>
        <w:ind w:firstLine="482"/>
        <w:rPr>
          <w:rFonts w:ascii="宋体" w:hAnsi="宋体" w:cs="宋体"/>
          <w:b/>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3、招标范围：</w:t>
      </w:r>
      <w:r>
        <w:rPr>
          <w:rFonts w:hint="eastAsia" w:ascii="宋体" w:hAnsi="宋体" w:cs="宋体"/>
          <w:b/>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b/>
          <w:color w:val="000000" w:themeColor="text1"/>
          <w:u w:val="single"/>
          <w14:textFill>
            <w14:solidFill>
              <w14:schemeClr w14:val="tx1"/>
            </w14:solidFill>
          </w14:textFill>
        </w:rPr>
        <w:t xml:space="preserve">，详见工程量清单</w:t>
      </w:r>
      <w:r>
        <w:rPr>
          <w:rFonts w:hint="eastAsia" w:ascii="宋体" w:hAnsi="宋体" w:cs="宋体"/>
          <w:b/>
          <w:color w:val="000000" w:themeColor="text1"/>
          <w:u w:val="single"/>
          <w:lang w:val="en-US" w:eastAsia="zh-CN"/>
          <w14:textFill>
            <w14:solidFill>
              <w14:schemeClr w14:val="tx1"/>
            </w14:solidFill>
          </w14:textFill>
        </w:rPr>
        <w:t xml:space="preserve">及图纸</w:t>
      </w:r>
      <w:r>
        <w:rPr>
          <w:rFonts w:hint="eastAsia" w:ascii="宋体" w:hAnsi="宋体" w:cs="宋体"/>
          <w:b/>
          <w:color w:val="000000" w:themeColor="text1"/>
          <w:u w:val="single"/>
          <w14:textFill>
            <w14:solidFill>
              <w14:schemeClr w14:val="tx1"/>
            </w14:solidFill>
          </w14:textFill>
        </w:rPr>
        <w:t xml:space="preserve">包含的所有内容。</w:t>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5、要求工期：</w:t>
      </w:r>
      <w:r>
        <w:rPr>
          <w:rFonts w:hint="eastAsia" w:ascii="宋体" w:hAnsi="宋体" w:cs="宋体"/>
          <w:bCs/>
          <w:color w:val="000000" w:themeColor="text1"/>
          <w:lang w:val="en-US" w:eastAsia="zh-CN"/>
          <w14:textFill>
            <w14:solidFill>
              <w14:schemeClr w14:val="tx1"/>
            </w14:solidFill>
          </w14:textFill>
        </w:rPr>
        <w:t xml:space="preserve">60</w:t>
      </w:r>
      <w:r>
        <w:rPr>
          <w:rFonts w:hint="eastAsia" w:ascii="宋体" w:hAnsi="宋体" w:cs="宋体"/>
          <w:bCs/>
          <w:color w:val="000000" w:themeColor="text1"/>
          <w14:textFill>
            <w14:solidFill>
              <w14:schemeClr w14:val="tx1"/>
            </w14:solidFill>
          </w14:textFill>
        </w:rPr>
        <w:t xml:space="preserve">日历天。</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6、工程质量标准：合格（符合国家标准及行业要求，满足采购人需求）。</w:t>
      </w:r>
      <w:r/>
    </w:p>
    <w:p>
      <w:pPr>
        <w:pStyle w:val="1030"/>
        <w:ind w:firstLine="48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7、本项目专门面向中小微企业，供应商应为中小微企业、监狱企业、残疾人福利性单位。</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8、</w:t>
      </w:r>
      <w:r>
        <w:rPr>
          <w:rFonts w:hint="eastAsia" w:ascii="宋体" w:hAnsi="宋体" w:cs="宋体"/>
          <w:bCs/>
          <w:color w:val="000000" w:themeColor="text1"/>
          <w14:textFill>
            <w14:solidFill>
              <w14:schemeClr w14:val="tx1"/>
            </w14:solidFill>
          </w14:textFill>
        </w:rPr>
        <w:t xml:space="preserve">现场勘察：供应商根据自身情况选择是否勘察现场，供应商根据勘察现场情况自行报价。供应商自行勘察现场，费用自理，若造成的人员伤害等各种损失由供应商负责。</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三、工程量清单报价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  工程量清单详见本项目竞争性磋商文件。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 《已标价的工程量清单》报价要求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1、报价内容</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响应报价应包括竞争性磋商文件中所确定的范围内工程量清单中所含的全部内容，以及为完成上述内容所需的全部费用。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1.5 技术参数、项目实施方案所描述的技术措施所发生的费用，视为已体现在供应商报价的非实体性消耗所发生的费用中。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1.8 垃圾外运，在报价中综合考虑。</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1.10地方关系协调费投标人自行考虑，就此项采购人不支付任何费用。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 本工程采用固定单价合同（除另有规定外）。供应商应充分考虑施工期间各类建材的市场风险，并计入总报价，供应商在计算报价时应考虑一定的风险系数。</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本工程执行现行国家标准《建设工程工程量清单计价规范》（GB50500-2013）, 《江苏省建筑与装饰工程计价定额</w:t>
      </w:r>
      <w:r>
        <w:rPr>
          <w:rFonts w:hint="eastAsia" w:ascii="宋体" w:hAnsi="宋体" w:cs="宋体"/>
          <w:bCs/>
          <w:color w:val="000000" w:themeColor="text1"/>
          <w14:textFill>
            <w14:solidFill>
              <w14:schemeClr w14:val="tx1"/>
            </w14:solidFill>
          </w14:textFill>
        </w:rPr>
        <w:t xml:space="preserve">(2014）》、《江苏省园林定额》（2007年）《江苏省房屋修缮工程计价表》（2009年）、《江苏省市政工程计价定额》（2014年）、《江苏省机械台班费用定额》（2007年）、《江苏省安装工程计价定额》(2014年）、《江苏省建设工程费用定额》（2014年）、苏建价[2016]154号《关于建筑业实施营改增后江苏省建设工程计价依据调整的通知》、《省住房城乡建设厅关于调整建设工程计价增值税税率的通知》苏建函价（2019）178号、及省市现行有关计价文件规定，还包括磋商文件、工程量清单及其补充通知和答疑纪要等。</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四、异常低价审查</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执行</w:t>
      </w:r>
      <w:r>
        <w:rPr>
          <w:rFonts w:hint="eastAsia" w:ascii="宋体" w:hAnsi="宋体" w:cs="宋体"/>
          <w:bCs/>
          <w:color w:val="000000" w:themeColor="text1"/>
          <w:lang w:val="en-US" w:eastAsia="zh-CN"/>
          <w14:textFill>
            <w14:solidFill>
              <w14:schemeClr w14:val="tx1"/>
            </w14:solidFill>
          </w14:textFill>
        </w:rPr>
        <w:t xml:space="preserve">徐</w:t>
      </w:r>
      <w:r>
        <w:rPr>
          <w:rFonts w:hint="eastAsia" w:ascii="宋体" w:hAnsi="宋体" w:cs="宋体"/>
          <w:bCs/>
          <w:color w:val="000000" w:themeColor="text1"/>
          <w14:textFill>
            <w14:solidFill>
              <w14:schemeClr w14:val="tx1"/>
            </w14:solidFill>
          </w14:textFill>
        </w:rPr>
        <w:t xml:space="preserve">财购〔202</w:t>
      </w:r>
      <w:r>
        <w:rPr>
          <w:rFonts w:hint="eastAsia" w:ascii="宋体" w:hAnsi="宋体" w:cs="宋体"/>
          <w:bCs/>
          <w:color w:val="000000" w:themeColor="text1"/>
          <w:lang w:val="en-US" w:eastAsia="zh-CN"/>
          <w14:textFill>
            <w14:solidFill>
              <w14:schemeClr w14:val="tx1"/>
            </w14:solidFill>
          </w14:textFill>
        </w:rPr>
        <w:t xml:space="preserve">6</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3</w:t>
      </w:r>
      <w:r>
        <w:rPr>
          <w:rFonts w:hint="eastAsia" w:ascii="宋体" w:hAnsi="宋体" w:cs="宋体"/>
          <w:bCs/>
          <w:color w:val="000000" w:themeColor="text1"/>
          <w14:textFill>
            <w14:solidFill>
              <w14:schemeClr w14:val="tx1"/>
            </w14:solidFill>
          </w14:textFill>
        </w:rPr>
        <w:t xml:space="preserve">号关于推动解决政府采购异常低价问题相关工作的通知文件，具体为：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（一）评审过程中出现下列情形之一的，磋商小组应当启动异常低价响应审查程序：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3．投标(响应)报价低于采购项目最高限价45%的，即投标(响应)报价&lt;采购项目最高限价×45%。 </w:t>
      </w:r>
      <w:r/>
    </w:p>
    <w:p>
      <w:pPr>
        <w:pStyle w:val="1030"/>
        <w:ind w:firstLine="482"/>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五、项目相关要求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1、供应商报价时需考虑完成本项目内容所涉及的人工费、材料费、机械费、税费、验收等相关的一切费用。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六、服务要求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1、质保期服务：执行国家相关标准。质保期外，工程质量出现问题，中标人应主动提供维修方案，只收取材料费。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2、质保期内，如发生故障，采购人通知成交供应商服务人员时，相关服务人员要在12小时内到达现场配合采购人处理问题，进行更换或进行必要的维修。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3、供应商需根据本项目特征及自身情况编制施工方案。</w:t>
      </w:r>
      <w:r/>
    </w:p>
    <w:p>
      <w:pPr>
        <w:pStyle w:val="1030"/>
        <w:ind w:firstLine="480"/>
        <w:rPr>
          <w:rFonts w:ascii="宋体" w:hAnsi="宋体" w:cs="宋体"/>
          <w:b/>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w:t>
      </w:r>
      <w:r>
        <w:rPr>
          <w:rFonts w:hint="eastAsia" w:ascii="宋体" w:hAnsi="宋体" w:cs="宋体"/>
          <w:b/>
          <w:color w:val="000000" w:themeColor="text1"/>
          <w14:textFill>
            <w14:solidFill>
              <w14:schemeClr w14:val="tx1"/>
            </w14:solidFill>
          </w14:textFill>
        </w:rPr>
        <w:t xml:space="preserve">其他要求：见《竞争性磋商文件》附件：《合同草案条款》。</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rPr>
      </w:pPr>
      <w:r>
        <w:rPr>
          <w:rFonts w:hint="eastAsia"/>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项目名称</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项目内容</w:t>
            </w:r>
            <w:r/>
          </w:p>
        </w:tc>
        <w:tc>
          <w:tcPr>
            <w:tcW w:w="307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总价（小写）</w:t>
            </w:r>
            <w:r/>
          </w:p>
        </w:tc>
      </w:tr>
      <w:tr>
        <w:trPr>
          <w:cantSplit/>
          <w:jc w:val="center"/>
          <w:trHeight w:val="106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lang w:eastAsia="zh-CN"/>
              </w:rPr>
              <w:t xml:space="preserve">双沟镇爱民路(G104-徐沙河)污水管网建设工程</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详见响应文件</w:t>
            </w:r>
            <w:r/>
          </w:p>
        </w:tc>
        <w:tc>
          <w:tcPr>
            <w:tcW w:w="3072"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r>
        <w:trPr>
          <w:cantSplit/>
          <w:jc w:val="center"/>
          <w:trHeight w:val="108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总价（大写）：</w:t>
            </w:r>
            <w:r/>
          </w:p>
        </w:tc>
        <w:tc>
          <w:tcPr>
            <w:gridSpan w:val="2"/>
            <w:tcW w:w="5013"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26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0" w:name="_Hlk81985238"/>
      <w:r>
        <w:rPr>
          <w:rFonts w:hint="eastAsia" w:ascii="宋体" w:hAnsi="宋体" w:cs="宋体"/>
          <w:b/>
          <w:bCs/>
          <w:color w:val="000000" w:themeColor="text1"/>
          <w:sz w:val="36"/>
          <w14:textFill>
            <w14:solidFill>
              <w14:schemeClr w14:val="tx1"/>
            </w14:solidFill>
          </w14:textFill>
        </w:rPr>
        <w:t xml:space="preserve">分项价格表</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（具有标价的工程量清单与报价表）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2280"/>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bookmarkEnd w:id="0"/>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sz w:val="24"/>
        </w:rPr>
      </w:pPr>
      <w:r>
        <w:rPr>
          <w:rFonts w:hint="eastAsia" w:ascii="宋体" w:hAnsi="宋体" w:cs="宋体"/>
          <w:sz w:val="24"/>
        </w:rPr>
        <w:t xml:space="preserve">注：</w:t>
      </w:r>
      <w:r>
        <w:rPr>
          <w:rFonts w:hint="eastAsia" w:ascii="宋体" w:hAnsi="宋体" w:cs="宋体"/>
          <w:color w:val="000000"/>
          <w:sz w:val="24"/>
        </w:rPr>
        <w:t xml:space="preserve">1、如果按单价计算的结果与总价不一致，以总价为准。</w:t>
      </w:r>
      <w:r/>
    </w:p>
    <w:p>
      <w:pPr>
        <w:ind w:firstLine="480"/>
        <w:rPr>
          <w:rFonts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ind w:firstLine="480"/>
        <w:rPr>
          <w:rFonts w:ascii="宋体" w:hAnsi="宋体" w:cs="宋体"/>
          <w:sz w:val="24"/>
        </w:rPr>
      </w:pPr>
      <w:r>
        <w:rPr>
          <w:rFonts w:hint="eastAsia" w:ascii="宋体" w:hAnsi="宋体" w:cs="宋体"/>
          <w:color w:val="000000"/>
          <w:sz w:val="24"/>
        </w:rPr>
        <w:t xml:space="preserve">3、供应商对以上数据的真实性负责。</w:t>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5、承包人用于本工程施工的机械设备表</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tbl>
      <w:tblPr>
        <w:tblStyle w:val="1012"/>
        <w:tblW w:w="915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016"/>
        <w:gridCol w:w="1016"/>
        <w:gridCol w:w="1017"/>
        <w:gridCol w:w="1017"/>
        <w:gridCol w:w="1017"/>
        <w:gridCol w:w="1017"/>
        <w:gridCol w:w="1017"/>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序号</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机械或设备名称</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数量</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产地</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制造年份</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额定功率(kW)</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bl>
    <w:p>
      <w:pPr>
        <w:ind w:firstLine="4072"/>
        <w:spacing w:before="240" w:after="240" w:line="51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072"/>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  </w:t>
      </w:r>
      <w:r/>
    </w:p>
    <w:p>
      <w:pPr>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43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pStyle w:val="98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5"/>
        <w:tblW w:w="914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1738"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名    称</w:t>
            </w:r>
            <w:r/>
          </w:p>
        </w:tc>
        <w:tc>
          <w:tcPr>
            <w:tcW w:w="132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950"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p>
      <w:pPr>
        <w:jc w:val="left"/>
        <w:spacing w:before="240" w:after="240" w:line="273" w:lineRule="atLeast"/>
        <w:rPr>
          <w:rFonts w:hint="eastAsia"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附:1.项目负责人在本单位签订劳动合同和交纳社会保险证明。(必须提供)</w:t>
      </w:r>
      <w:r/>
    </w:p>
    <w:p>
      <w:pPr>
        <w:ind w:firstLine="482"/>
        <w:jc w:val="left"/>
        <w:spacing w:before="240" w:after="240" w:line="273" w:lineRule="atLeast"/>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2.项目负责人无在建工程的承诺书。(必须提供)。</w:t>
      </w:r>
      <w:r/>
    </w:p>
    <w:p>
      <w:pPr>
        <w:pStyle w:val="1027"/>
        <w:rPr>
          <w:rFonts w:eastAsia="宋体" w:cs="宋体"/>
          <w:b/>
          <w:color w:val="000000" w:themeColor="text1"/>
          <w:sz w:val="24"/>
          <w14:textFill>
            <w14:solidFill>
              <w14:schemeClr w14:val="tx1"/>
            </w14:solidFill>
          </w14:textFill>
        </w:rPr>
      </w:pPr>
      <w:r>
        <w:rPr>
          <w:rFonts w:eastAsia="宋体" w:cs="宋体"/>
          <w:b/>
          <w:color w:val="000000" w:themeColor="text1"/>
          <w:sz w:val="24"/>
          <w14:textFill>
            <w14:solidFill>
              <w14:schemeClr w14:val="tx1"/>
            </w14:solidFill>
          </w14:textFill>
        </w:rPr>
      </w:r>
      <w:r/>
    </w:p>
    <w:p>
      <w:pPr>
        <w:pStyle w:val="1028"/>
      </w:pPr>
      <w:r/>
      <w:r/>
    </w:p>
    <w:p>
      <w:pPr>
        <w:ind w:firstLine="4578"/>
        <w:spacing w:before="240" w:after="240" w:line="273"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578"/>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w:t>
      </w:r>
      <w:r/>
    </w:p>
    <w:p>
      <w:pPr>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1" w:name="_Hlk81985343"/>
      <w:r>
        <w:rPr>
          <w:rFonts w:hint="eastAsia" w:ascii="宋体" w:hAnsi="宋体" w:cs="宋体"/>
          <w:b/>
          <w:bCs/>
          <w:color w:val="000000" w:themeColor="text1"/>
          <w:sz w:val="36"/>
          <w14:textFill>
            <w14:solidFill>
              <w14:schemeClr w14:val="tx1"/>
            </w14:solidFill>
          </w14:textFill>
        </w:rPr>
        <w:t xml:space="preserve">偏离表</w:t>
      </w:r>
      <w:r/>
    </w:p>
    <w:p>
      <w:pPr>
        <w:pStyle w:val="1029"/>
        <w:ind w:left="0" w:firstLine="0"/>
        <w:spacing w:before="0" w:after="0" w:line="360" w:lineRule="auto"/>
        <w:rPr>
          <w:rFonts w:ascii="宋体" w:hAnsi="宋体" w:eastAsia="宋体" w:cs="宋体"/>
          <w:b w:val="0"/>
          <w:bCs w:val="0"/>
          <w:color w:val="000000" w:themeColor="text1"/>
          <w:sz w:val="24"/>
          <w:szCs w:val="20"/>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项目编号：JSZC-320324-JSRL-C</w:t>
      </w:r>
      <w:r>
        <w:rPr>
          <w:rFonts w:hint="eastAsia" w:ascii="宋体" w:hAnsi="宋体" w:eastAsia="宋体" w:cs="宋体"/>
          <w:b w:val="0"/>
          <w:bCs w:val="0"/>
          <w:color w:val="000000" w:themeColor="text1"/>
          <w:sz w:val="24"/>
          <w:lang w:eastAsia="zh-CN"/>
          <w14:textFill>
            <w14:solidFill>
              <w14:schemeClr w14:val="tx1"/>
            </w14:solidFill>
          </w14:textFill>
        </w:rPr>
        <w:t xml:space="preserve">2026-0004</w:t>
      </w:r>
      <w:r>
        <w:rPr>
          <w:rFonts w:hint="eastAsia" w:ascii="宋体" w:hAnsi="宋体" w:eastAsia="宋体" w:cs="宋体"/>
          <w:b w:val="0"/>
          <w:bCs w:val="0"/>
          <w:color w:val="000000" w:themeColor="text1"/>
          <w:sz w:val="24"/>
          <w14:textFill>
            <w14:solidFill>
              <w14:schemeClr w14:val="tx1"/>
            </w14:solidFill>
          </w14:textFill>
        </w:rPr>
        <w:t xml:space="preserve"> </w:t>
      </w:r>
      <w:r/>
    </w:p>
    <w:p>
      <w:pPr>
        <w:pStyle w:val="1020"/>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tbl>
      <w:tblPr>
        <w:tblStyle w:val="98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30"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3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7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67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bookmarkEnd w:id="1"/>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2"/>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2"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JSZC-320324-JSRL-C</w:t>
      </w:r>
      <w:r>
        <w:rPr>
          <w:rFonts w:hint="eastAsia" w:ascii="宋体" w:hAnsi="宋体" w:cs="宋体"/>
          <w:color w:val="000000" w:themeColor="text1"/>
          <w:sz w:val="24"/>
          <w:lang w:eastAsia="zh-CN"/>
          <w14:textFill>
            <w14:solidFill>
              <w14:schemeClr w14:val="tx1"/>
            </w14:solidFill>
          </w14:textFill>
        </w:rPr>
        <w:t xml:space="preserve">2026-0004</w:t>
      </w:r>
      <w:r/>
    </w:p>
    <w:p>
      <w:pPr>
        <w:pStyle w:val="991"/>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991"/>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1020"/>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994"/>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406" w:bottom="1440" w:left="1406"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750"/>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rPr>
          <w:rFonts w:ascii="宋体" w:hAnsi="宋体" w:cs="宋体"/>
          <w:bCs/>
          <w:color w:val="000000" w:themeColor="text1"/>
          <w:sz w:val="48"/>
          <w:szCs w:val="48"/>
          <w14:textFill>
            <w14:solidFill>
              <w14:schemeClr w14:val="tx1"/>
            </w14:solidFill>
          </w14:textFill>
        </w:rPr>
      </w:pPr>
      <w:r/>
      <w:bookmarkStart w:id="3" w:name="_Toc351203652"/>
      <w:r/>
      <w:r/>
    </w:p>
    <w:p>
      <w:pPr>
        <w:pStyle w:val="103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1030"/>
        <w:jc w:val="center"/>
        <w:rPr>
          <w:rFonts w:ascii="宋体" w:hAnsi="宋体" w:cs="宋体"/>
          <w:color w:val="000000" w:themeColor="text1"/>
          <w:sz w:val="32"/>
          <w:szCs w:val="32"/>
          <w14:textFill>
            <w14:solidFill>
              <w14:schemeClr w14:val="tx1"/>
            </w14:solidFill>
          </w14:textFill>
        </w:rPr>
      </w:pPr>
      <w:r/>
      <w:bookmarkStart w:id="4" w:name="_Toc526760851"/>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4"/>
      <w:r/>
      <w:r/>
    </w:p>
    <w:p>
      <w:pPr>
        <w:pStyle w:val="1030"/>
        <w:tabs>
          <w:tab w:val="left" w:pos="7836" w:leader="none"/>
        </w:tabs>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发包人（全称）：</w:t>
      </w:r>
      <w:r>
        <w:rPr>
          <w:rFonts w:hint="eastAsia" w:ascii="宋体" w:hAnsi="宋体" w:cs="宋体"/>
          <w:b/>
          <w:bCs/>
          <w:color w:val="000000" w:themeColor="text1"/>
          <w:u w:val="single"/>
          <w:lang w:eastAsia="zh-CN"/>
          <w14:textFill>
            <w14:solidFill>
              <w14:schemeClr w14:val="tx1"/>
            </w14:solidFill>
          </w14:textFill>
        </w:rPr>
        <w:t xml:space="preserve">睢宁县双沟镇人民政府</w:t>
      </w:r>
      <w:r>
        <w:rPr>
          <w:rFonts w:hint="eastAsia" w:ascii="宋体" w:hAnsi="宋体" w:cs="宋体"/>
          <w:bCs/>
          <w:color w:val="000000" w:themeColor="text1"/>
          <w14:textFill>
            <w14:solidFill>
              <w14:schemeClr w14:val="tx1"/>
            </w14:solidFill>
          </w14:textFill>
        </w:rPr>
        <w:tab/>
      </w:r>
      <w:r/>
    </w:p>
    <w:p>
      <w:pPr>
        <w:pStyle w:val="1030"/>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承包人（全称）：</w:t>
      </w:r>
      <w:r>
        <w:rPr>
          <w:rFonts w:hint="eastAsia" w:ascii="宋体" w:hAnsi="宋体" w:cs="宋体"/>
          <w:b/>
          <w:color w:val="000000" w:themeColor="text1"/>
          <w:u w:val="single"/>
          <w14:textFill>
            <w14:solidFill>
              <w14:schemeClr w14:val="tx1"/>
            </w14:solidFill>
          </w14:textFill>
        </w:rPr>
        <w:t xml:space="preserve">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14:textFill>
            <w14:solidFill>
              <w14:schemeClr w14:val="tx1"/>
            </w14:solidFill>
          </w14:textFill>
        </w:rPr>
        <w:t xml:space="preserve">施工及有关事项协商一致，共同达成如下协议：</w:t>
      </w:r>
      <w:r/>
    </w:p>
    <w:p>
      <w:pPr>
        <w:pStyle w:val="1222"/>
        <w:spacing w:before="120" w:after="120"/>
        <w:rPr>
          <w:rFonts w:ascii="宋体" w:hAnsi="宋体" w:eastAsia="宋体" w:cs="宋体"/>
          <w:bCs w:val="0"/>
          <w:color w:val="000000" w:themeColor="text1"/>
          <w:sz w:val="24"/>
          <w:szCs w:val="24"/>
          <w14:textFill>
            <w14:solidFill>
              <w14:schemeClr w14:val="tx1"/>
            </w14:solidFill>
          </w14:textFill>
        </w:rPr>
      </w:pPr>
      <w:r/>
      <w:bookmarkStart w:id="5" w:name="_Toc351203481"/>
      <w:r>
        <w:rPr>
          <w:rFonts w:hint="eastAsia" w:ascii="宋体" w:hAnsi="宋体" w:eastAsia="宋体" w:cs="宋体"/>
          <w:color w:val="000000" w:themeColor="text1"/>
          <w:sz w:val="24"/>
          <w:szCs w:val="24"/>
          <w14:textFill>
            <w14:solidFill>
              <w14:schemeClr w14:val="tx1"/>
            </w14:solidFill>
          </w14:textFill>
        </w:rPr>
        <w:t xml:space="preserve">一、工程概况</w:t>
      </w:r>
      <w:bookmarkEnd w:id="5"/>
      <w:r/>
      <w:r/>
    </w:p>
    <w:p>
      <w:pPr>
        <w:pStyle w:val="1030"/>
        <w:ind w:firstLine="480"/>
        <w:rPr>
          <w:rFonts w:ascii="宋体" w:hAnsi="宋体" w:cs="宋体"/>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bCs/>
          <w:color w:val="000000" w:themeColor="text1"/>
          <w:u w:val="single"/>
          <w:lang w:eastAsia="zh-CN"/>
          <w14:textFill>
            <w14:solidFill>
              <w14:schemeClr w14:val="tx1"/>
            </w14:solidFill>
          </w14:textFill>
        </w:rPr>
        <w:t xml:space="preserve">双沟镇爱民路(G104-徐沙河)污水管网建设工程</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2.工程地点：</w:t>
      </w:r>
      <w:r>
        <w:rPr>
          <w:rFonts w:hint="eastAsia" w:ascii="宋体" w:hAnsi="宋体" w:cs="宋体"/>
          <w:b/>
          <w:bCs/>
          <w:color w:val="000000" w:themeColor="text1"/>
          <w:u w:val="single"/>
          <w14:textFill>
            <w14:solidFill>
              <w14:schemeClr w14:val="tx1"/>
            </w14:solidFill>
          </w14:textFill>
        </w:rPr>
        <w:t xml:space="preserve">睢宁县双沟镇</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3、工程立项批准文号：</w:t>
      </w:r>
      <w:r>
        <w:rPr>
          <w:rFonts w:hint="eastAsia" w:ascii="宋体" w:hAnsi="宋体" w:cs="宋体"/>
          <w:bCs/>
          <w:color w:val="000000" w:themeColor="text1"/>
          <w:u w:val="single"/>
          <w14:textFill>
            <w14:solidFill>
              <w14:schemeClr w14:val="tx1"/>
            </w14:solidFill>
          </w14:textFill>
        </w:rPr>
        <w:t xml:space="preserve">   /     </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4、资金来源：</w:t>
      </w:r>
      <w:r>
        <w:rPr>
          <w:rFonts w:hint="eastAsia" w:ascii="宋体" w:hAnsi="宋体" w:cs="宋体"/>
          <w:b/>
          <w:bCs/>
          <w:color w:val="000000" w:themeColor="text1"/>
          <w:u w:val="single"/>
          <w14:textFill>
            <w14:solidFill>
              <w14:schemeClr w14:val="tx1"/>
            </w14:solidFill>
          </w14:textFill>
        </w:rPr>
        <w:t xml:space="preserve">财政资金，已落实</w:t>
      </w:r>
      <w:r/>
    </w:p>
    <w:p>
      <w:pPr>
        <w:pStyle w:val="1030"/>
        <w:ind w:firstLine="482"/>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3.工程内容：</w:t>
      </w:r>
      <w:r>
        <w:rPr>
          <w:rFonts w:hint="eastAsia" w:ascii="宋体" w:hAnsi="宋体" w:cs="宋体"/>
          <w:b/>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b/>
          <w:color w:val="000000" w:themeColor="text1"/>
          <w:u w:val="single"/>
          <w14:textFill>
            <w14:solidFill>
              <w14:schemeClr w14:val="tx1"/>
            </w14:solidFill>
          </w14:textFill>
        </w:rPr>
        <w:t xml:space="preserve">，详见磋商文件《采购需求》和图纸以及工程量清单所含全部内容。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6、承包方式：包工包料</w:t>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6" w:name="_Toc351203482"/>
      <w:r>
        <w:rPr>
          <w:rFonts w:hint="eastAsia" w:ascii="宋体" w:hAnsi="宋体" w:eastAsia="宋体" w:cs="宋体"/>
          <w:color w:val="000000" w:themeColor="text1"/>
          <w:sz w:val="24"/>
          <w:szCs w:val="24"/>
          <w14:textFill>
            <w14:solidFill>
              <w14:schemeClr w14:val="tx1"/>
            </w14:solidFill>
          </w14:textFill>
        </w:rPr>
        <w:t xml:space="preserve">二、合同工期</w:t>
      </w:r>
      <w:bookmarkEnd w:id="6"/>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计划开工日期：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计划竣工日期：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工期总日历天数：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60</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天。工期总日历天数与根据前述计划开竣工日期计算的工期天数不一致的，以工期总日历天数为准。</w:t>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7" w:name="_Toc351203483"/>
      <w:r>
        <w:rPr>
          <w:rFonts w:hint="eastAsia" w:ascii="宋体" w:hAnsi="宋体" w:eastAsia="宋体" w:cs="宋体"/>
          <w:color w:val="000000" w:themeColor="text1"/>
          <w:sz w:val="24"/>
          <w:szCs w:val="24"/>
          <w14:textFill>
            <w14:solidFill>
              <w14:schemeClr w14:val="tx1"/>
            </w14:solidFill>
          </w14:textFill>
        </w:rPr>
        <w:t xml:space="preserve">三、质量标准</w:t>
      </w:r>
      <w:bookmarkEnd w:id="7"/>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工程质量符合</w:t>
      </w:r>
      <w:r>
        <w:rPr>
          <w:rFonts w:hint="eastAsia" w:ascii="宋体" w:hAnsi="宋体" w:cs="宋体"/>
          <w:color w:val="000000" w:themeColor="text1"/>
          <w:u w:val="single"/>
          <w14:textFill>
            <w14:solidFill>
              <w14:schemeClr w14:val="tx1"/>
            </w14:solidFill>
          </w14:textFill>
        </w:rPr>
        <w:t xml:space="preserve"> 合格</w:t>
      </w:r>
      <w:r>
        <w:rPr>
          <w:rFonts w:hint="eastAsia" w:ascii="宋体" w:hAnsi="宋体" w:cs="宋体"/>
          <w:color w:val="000000" w:themeColor="text1"/>
          <w14:textFill>
            <w14:solidFill>
              <w14:schemeClr w14:val="tx1"/>
            </w14:solidFill>
          </w14:textFill>
        </w:rPr>
        <w:t xml:space="preserve">标准。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8" w:name="_Toc351203484"/>
      <w:r>
        <w:rPr>
          <w:rFonts w:hint="eastAsia" w:ascii="宋体" w:hAnsi="宋体" w:eastAsia="宋体" w:cs="宋体"/>
          <w:color w:val="000000" w:themeColor="text1"/>
          <w:sz w:val="24"/>
          <w:szCs w:val="24"/>
          <w14:textFill>
            <w14:solidFill>
              <w14:schemeClr w14:val="tx1"/>
            </w14:solidFill>
          </w14:textFill>
        </w:rPr>
        <w:t xml:space="preserve">四、签约合同价</w:t>
      </w:r>
      <w:bookmarkEnd w:id="8"/>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1.签约合同价为：</w:t>
      </w:r>
      <w:r/>
    </w:p>
    <w:p>
      <w:pPr>
        <w:pStyle w:val="1030"/>
        <w:ind w:firstLine="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人民币（大写）</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元)；</w:t>
      </w:r>
      <w:r/>
    </w:p>
    <w:p>
      <w:pPr>
        <w:pStyle w:val="1034"/>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9" w:name="_Toc351203485"/>
      <w:r>
        <w:rPr>
          <w:rFonts w:hint="eastAsia" w:ascii="宋体" w:hAnsi="宋体" w:eastAsia="宋体" w:cs="宋体"/>
          <w:color w:val="000000" w:themeColor="text1"/>
          <w:sz w:val="24"/>
          <w:szCs w:val="24"/>
          <w14:textFill>
            <w14:solidFill>
              <w14:schemeClr w14:val="tx1"/>
            </w14:solidFill>
          </w14:textFill>
        </w:rPr>
        <w:t xml:space="preserve">五、</w:t>
      </w:r>
      <w:bookmarkEnd w:id="9"/>
      <w:r>
        <w:rPr>
          <w:rFonts w:hint="eastAsia" w:ascii="宋体" w:hAnsi="宋体" w:eastAsia="宋体" w:cs="宋体"/>
          <w:color w:val="000000" w:themeColor="text1"/>
          <w:sz w:val="24"/>
          <w:szCs w:val="24"/>
          <w14:textFill>
            <w14:solidFill>
              <w14:schemeClr w14:val="tx1"/>
            </w14:solidFill>
          </w14:textFill>
        </w:rPr>
        <w:t xml:space="preserve">项目经理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承包人项目经理：</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0" w:name="_Toc351203486"/>
      <w:r>
        <w:rPr>
          <w:rFonts w:hint="eastAsia" w:ascii="宋体" w:hAnsi="宋体" w:eastAsia="宋体" w:cs="宋体"/>
          <w:color w:val="000000" w:themeColor="text1"/>
          <w:sz w:val="24"/>
          <w:szCs w:val="24"/>
          <w14:textFill>
            <w14:solidFill>
              <w14:schemeClr w14:val="tx1"/>
            </w14:solidFill>
          </w14:textFill>
        </w:rPr>
        <w:t xml:space="preserve">六、合同文件构成</w:t>
      </w:r>
      <w:bookmarkEnd w:id="10"/>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本协议书与下列文件一起构成合同文件：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（1）成交通知书（如果有）；</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（2）最终报价表（如果有）；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（3）专用合同条款及其附件；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（4）通用合同条款；</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（5）技术标准和要求；</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（6）图纸；</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（7）已标价工程量清单或预算书；</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（8）其他合同文件。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在合同订立及履行过程中形成的与合同有关的文件均构成合同文件组成部分。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1" w:name="_Toc351203487"/>
      <w:r>
        <w:rPr>
          <w:rFonts w:hint="eastAsia" w:ascii="宋体" w:hAnsi="宋体" w:eastAsia="宋体" w:cs="宋体"/>
          <w:color w:val="000000" w:themeColor="text1"/>
          <w:sz w:val="24"/>
          <w:szCs w:val="24"/>
          <w14:textFill>
            <w14:solidFill>
              <w14:schemeClr w14:val="tx1"/>
            </w14:solidFill>
          </w14:textFill>
        </w:rPr>
        <w:t xml:space="preserve">七、承诺</w:t>
      </w:r>
      <w:bookmarkEnd w:id="11"/>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1.发包人承诺按照法律规定履行项目审批手续、筹集工程建设资金并按照合同约定的期限和方式支付合同价款。</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2" w:name="_Toc351203488"/>
      <w:r>
        <w:rPr>
          <w:rFonts w:hint="eastAsia" w:ascii="宋体" w:hAnsi="宋体" w:eastAsia="宋体" w:cs="宋体"/>
          <w:color w:val="000000" w:themeColor="text1"/>
          <w:sz w:val="24"/>
          <w:szCs w:val="24"/>
          <w14:textFill>
            <w14:solidFill>
              <w14:schemeClr w14:val="tx1"/>
            </w14:solidFill>
          </w14:textFill>
        </w:rPr>
        <w:t xml:space="preserve">八、词语含义</w:t>
      </w:r>
      <w:bookmarkEnd w:id="12"/>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本协议书中词语含义与第二部分通用合同条款中赋予的含义相同。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3" w:name="_Toc351203489"/>
      <w:r>
        <w:rPr>
          <w:rFonts w:hint="eastAsia" w:ascii="宋体" w:hAnsi="宋体" w:eastAsia="宋体" w:cs="宋体"/>
          <w:color w:val="000000" w:themeColor="text1"/>
          <w:sz w:val="24"/>
          <w:szCs w:val="24"/>
          <w14:textFill>
            <w14:solidFill>
              <w14:schemeClr w14:val="tx1"/>
            </w14:solidFill>
          </w14:textFill>
        </w:rPr>
        <w:t xml:space="preserve">九、签订时间</w:t>
      </w:r>
      <w:bookmarkEnd w:id="13"/>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本合同于</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日签订。</w:t>
      </w:r>
      <w:r/>
    </w:p>
    <w:p>
      <w:pPr>
        <w:pStyle w:val="1222"/>
        <w:spacing w:before="120" w:after="120"/>
        <w:tabs>
          <w:tab w:val="left" w:pos="6128" w:leader="none"/>
        </w:tabs>
        <w:rPr>
          <w:rFonts w:ascii="宋体" w:hAnsi="宋体" w:eastAsia="宋体" w:cs="宋体"/>
          <w:color w:val="000000" w:themeColor="text1"/>
          <w:sz w:val="24"/>
          <w:szCs w:val="24"/>
          <w14:textFill>
            <w14:solidFill>
              <w14:schemeClr w14:val="tx1"/>
            </w14:solidFill>
          </w14:textFill>
        </w:rPr>
      </w:pPr>
      <w:r/>
      <w:bookmarkStart w:id="14" w:name="_Toc351203490"/>
      <w:r>
        <w:rPr>
          <w:rFonts w:hint="eastAsia" w:ascii="宋体" w:hAnsi="宋体" w:eastAsia="宋体" w:cs="宋体"/>
          <w:color w:val="000000" w:themeColor="text1"/>
          <w:sz w:val="24"/>
          <w:szCs w:val="24"/>
          <w14:textFill>
            <w14:solidFill>
              <w14:schemeClr w14:val="tx1"/>
            </w14:solidFill>
          </w14:textFill>
        </w:rPr>
        <w:t xml:space="preserve">十、签订地点</w:t>
      </w:r>
      <w:bookmarkEnd w:id="14"/>
      <w:r>
        <w:rPr>
          <w:rFonts w:hint="eastAsia" w:ascii="宋体" w:hAnsi="宋体" w:eastAsia="宋体" w:cs="宋体"/>
          <w:color w:val="000000" w:themeColor="text1"/>
          <w:sz w:val="24"/>
          <w:szCs w:val="24"/>
          <w14:textFill>
            <w14:solidFill>
              <w14:schemeClr w14:val="tx1"/>
            </w14:solidFill>
          </w14:textFill>
        </w:rPr>
        <w:tab/>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本合同在</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签订。</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5" w:name="_Toc351203491"/>
      <w:r>
        <w:rPr>
          <w:rFonts w:hint="eastAsia" w:ascii="宋体" w:hAnsi="宋体" w:eastAsia="宋体" w:cs="宋体"/>
          <w:color w:val="000000" w:themeColor="text1"/>
          <w:sz w:val="24"/>
          <w:szCs w:val="24"/>
          <w14:textFill>
            <w14:solidFill>
              <w14:schemeClr w14:val="tx1"/>
            </w14:solidFill>
          </w14:textFill>
        </w:rPr>
        <w:t xml:space="preserve">十一、补充协议</w:t>
      </w:r>
      <w:bookmarkEnd w:id="15"/>
      <w:r/>
      <w:r/>
    </w:p>
    <w:p>
      <w:pPr>
        <w:pStyle w:val="1030"/>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合同未尽事宜，合同当事人另行签订补充协议，补充协议是合同的组成部分。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6" w:name="_Toc351203492"/>
      <w:r>
        <w:rPr>
          <w:rFonts w:hint="eastAsia" w:ascii="宋体" w:hAnsi="宋体" w:eastAsia="宋体" w:cs="宋体"/>
          <w:color w:val="000000" w:themeColor="text1"/>
          <w:sz w:val="24"/>
          <w:szCs w:val="24"/>
          <w14:textFill>
            <w14:solidFill>
              <w14:schemeClr w14:val="tx1"/>
            </w14:solidFill>
          </w14:textFill>
        </w:rPr>
        <w:t xml:space="preserve">十二、合同生效</w:t>
      </w:r>
      <w:bookmarkEnd w:id="16"/>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本合同自</w:t>
      </w:r>
      <w:r>
        <w:rPr>
          <w:rFonts w:hint="eastAsia" w:ascii="宋体" w:hAnsi="宋体" w:cs="宋体"/>
          <w:bCs/>
          <w:color w:val="000000" w:themeColor="text1"/>
          <w:u w:val="single"/>
          <w14:textFill>
            <w14:solidFill>
              <w14:schemeClr w14:val="tx1"/>
            </w14:solidFill>
          </w14:textFill>
        </w:rPr>
        <w:t xml:space="preserve">    合同签订之日起     </w:t>
      </w:r>
      <w:r>
        <w:rPr>
          <w:rFonts w:hint="eastAsia" w:ascii="宋体" w:hAnsi="宋体" w:cs="宋体"/>
          <w:bCs/>
          <w:color w:val="000000" w:themeColor="text1"/>
          <w14:textFill>
            <w14:solidFill>
              <w14:schemeClr w14:val="tx1"/>
            </w14:solidFill>
          </w14:textFill>
        </w:rPr>
        <w:t xml:space="preserve">生效。</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7" w:name="_Toc351203493"/>
      <w:r>
        <w:rPr>
          <w:rFonts w:hint="eastAsia" w:ascii="宋体" w:hAnsi="宋体" w:eastAsia="宋体" w:cs="宋体"/>
          <w:color w:val="000000" w:themeColor="text1"/>
          <w:sz w:val="24"/>
          <w:szCs w:val="24"/>
          <w14:textFill>
            <w14:solidFill>
              <w14:schemeClr w14:val="tx1"/>
            </w14:solidFill>
          </w14:textFill>
        </w:rPr>
        <w:t xml:space="preserve">十三、合同份数</w:t>
      </w:r>
      <w:bookmarkEnd w:id="17"/>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本合同一式</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份，均具有同等法律效力，发包人执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份，承包人执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w:t>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  (公章)             承包人：  (公章)</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法定代表人或其委托代理人：  法定代表人或其委托代理人：</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（签字）                    （签字）</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tabs>
          <w:tab w:val="left" w:pos="4410"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223"/>
        <w:jc w:val="center"/>
        <w:rPr>
          <w:rFonts w:ascii="宋体" w:hAnsi="宋体" w:eastAsia="宋体" w:cs="宋体"/>
          <w:color w:val="000000" w:themeColor="text1"/>
          <w:sz w:val="44"/>
          <w:szCs w:val="44"/>
          <w14:textFill>
            <w14:solidFill>
              <w14:schemeClr w14:val="tx1"/>
            </w14:solidFill>
          </w14:textFill>
        </w:rPr>
      </w:pPr>
      <w:r/>
      <w:bookmarkStart w:id="18" w:name="_Toc526760852"/>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18"/>
      <w:r/>
      <w:r/>
    </w:p>
    <w:p>
      <w:pPr>
        <w:pStyle w:val="1030"/>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1030"/>
        <w:ind w:firstLine="482"/>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u w:val="single"/>
          <w14:textFill>
            <w14:solidFill>
              <w14:schemeClr w14:val="tx1"/>
            </w14:solidFill>
          </w14:textFill>
        </w:rPr>
        <w:t xml:space="preserve">此部分在正式签订合同时应不加修改的、完整的装订在合同中。</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19"/>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5"/>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17"/>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26"/>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27"/>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77"/>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77"/>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9" w:name="_Toc351203633"/>
      <w:r>
        <w:rPr>
          <w:rFonts w:hint="eastAsia" w:ascii="宋体" w:hAnsi="宋体" w:eastAsia="宋体" w:cs="宋体"/>
          <w:b w:val="0"/>
          <w:color w:val="000000" w:themeColor="text1"/>
          <w:sz w:val="24"/>
          <w:szCs w:val="24"/>
          <w14:textFill>
            <w14:solidFill>
              <w14:schemeClr w14:val="tx1"/>
            </w14:solidFill>
          </w14:textFill>
        </w:rPr>
        <w:t xml:space="preserve">1</w:t>
      </w:r>
      <w:bookmarkStart w:id="20" w:name="_Toc292559361"/>
      <w:r/>
      <w:bookmarkStart w:id="21" w:name="_Toc296347155"/>
      <w:r/>
      <w:bookmarkStart w:id="22" w:name="_Toc296891196"/>
      <w:r/>
      <w:bookmarkStart w:id="23" w:name="_Toc296944495"/>
      <w:r/>
      <w:bookmarkStart w:id="24" w:name="_Toc296346657"/>
      <w:r/>
      <w:bookmarkStart w:id="25" w:name="_Toc292559866"/>
      <w:r/>
      <w:bookmarkStart w:id="26" w:name="_Toc296503156"/>
      <w:r/>
      <w:bookmarkStart w:id="27" w:name="_Toc297120456"/>
      <w:r/>
      <w:bookmarkStart w:id="28" w:name="_Toc297048342"/>
      <w:r/>
      <w:bookmarkStart w:id="29" w:name="_Toc296890984"/>
      <w:r>
        <w:rPr>
          <w:rFonts w:hint="eastAsia" w:ascii="宋体" w:hAnsi="宋体" w:eastAsia="宋体" w:cs="宋体"/>
          <w:b w:val="0"/>
          <w:color w:val="000000" w:themeColor="text1"/>
          <w:sz w:val="24"/>
          <w:szCs w:val="24"/>
          <w14:textFill>
            <w14:solidFill>
              <w14:schemeClr w14:val="tx1"/>
            </w14:solidFill>
          </w14:textFill>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 词语定义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1.1.1.10其他合同文件包括：</w:t>
      </w:r>
      <w:r>
        <w:rPr>
          <w:rFonts w:hint="eastAsia" w:ascii="宋体" w:hAnsi="宋体" w:cs="宋体"/>
          <w:color w:val="000000" w:themeColor="text1"/>
          <w:sz w:val="24"/>
          <w:u w:val="single"/>
          <w14:textFill>
            <w14:solidFill>
              <w14:schemeClr w14:val="tx1"/>
            </w14:solidFill>
          </w14:textFill>
        </w:rPr>
        <w:t xml:space="preserve">履行合同过程中双方书面确认的会议纪要、签证、设计变更等资料。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1.1.2.4监理人：</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1.1.2.5 设计人：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u w:val="single"/>
          <w14:textFill>
            <w14:solidFill>
              <w14:schemeClr w14:val="tx1"/>
            </w14:solidFill>
          </w14:textFill>
        </w:rPr>
        <w:t xml:space="preserve">现场临时办公及施工场地。</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按施工图设计确定。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合同履行中确定。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s="宋体"/>
          <w:color w:val="000000" w:themeColor="text1"/>
          <w:sz w:val="24"/>
          <w:u w:val="single"/>
          <w14:textFill>
            <w14:solidFill>
              <w14:schemeClr w14:val="tx1"/>
            </w14:solidFill>
          </w14:textFill>
        </w:rPr>
        <w:t xml:space="preserve">现行国家及江苏省、徐州市的有关标准及其他适用于本工程的技术标准、规范等。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符合有关行业主管部门及发包人的要求</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 合同文件的优先顺序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合同文件组成及优先顺序为：</w:t>
      </w:r>
      <w:r>
        <w:rPr>
          <w:rFonts w:hint="eastAsia" w:ascii="宋体" w:hAnsi="宋体" w:cs="宋体"/>
          <w:color w:val="000000" w:themeColor="text1"/>
          <w:sz w:val="24"/>
          <w:u w:val="single"/>
          <w14:textFill>
            <w14:solidFill>
              <w14:schemeClr w14:val="tx1"/>
            </w14:solidFill>
          </w14:textFill>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 图纸和承包人文件</w:t>
      </w:r>
      <w:r>
        <w:rPr>
          <w:rFonts w:hint="eastAsia" w:ascii="宋体" w:hAnsi="宋体" w:cs="宋体"/>
          <w:color w:val="000000" w:themeColor="text1"/>
          <w:sz w:val="24"/>
          <w14:textFill>
            <w14:solidFill>
              <w14:schemeClr w14:val="tx1"/>
            </w14:solidFill>
          </w14:textFill>
        </w:rPr>
        <w:tab/>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发包人向承包人提供图纸的期限：</w:t>
      </w:r>
      <w:r>
        <w:rPr>
          <w:rFonts w:hint="eastAsia" w:ascii="宋体" w:hAnsi="宋体" w:cs="宋体"/>
          <w:color w:val="000000" w:themeColor="text1"/>
          <w:sz w:val="24"/>
          <w:u w:val="single"/>
          <w14:textFill>
            <w14:solidFill>
              <w14:schemeClr w14:val="tx1"/>
            </w14:solidFill>
          </w14:textFill>
        </w:rPr>
        <w:t xml:space="preserve">开工前7天；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发包人向承包人提供图纸的数量：</w:t>
      </w:r>
      <w:r>
        <w:rPr>
          <w:rFonts w:hint="eastAsia" w:ascii="宋体" w:hAnsi="宋体" w:cs="宋体"/>
          <w:color w:val="000000" w:themeColor="text1"/>
          <w:sz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全套施工图纸。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 承包人文件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s="宋体"/>
          <w:color w:val="000000" w:themeColor="text1"/>
          <w:sz w:val="24"/>
          <w:u w:val="single"/>
          <w14:textFill>
            <w14:solidFill>
              <w14:schemeClr w14:val="tx1"/>
            </w14:solidFill>
          </w14:textFill>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②由承包人办理的许可和批准的办理结果书面报送监理人审核和发包人确认、留存；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③拟制施工人员名册（动态），并与为其办理工伤保险的有效证明一起报送监理人审核和发包人确认；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⑤特殊工种作业人员资格证明报送监理人审核和发包人确认；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⑦工程质量管理体系及措施文件、质量检查制度、质量控制文件，报送监理人审核和发包人确认；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⑧工程安全管理体系及措施文件、安全检查制度、安全控制文件，报送监理人审核和发包人确认；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⑨发包人管理需要的其他文件；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⑩上述文件如发包人因管理需增加时，承包人有义务按发包人提出的形式、格式、数量、时间等要求提供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宋体"/>
          <w:color w:val="000000" w:themeColor="text1"/>
          <w:sz w:val="24"/>
          <w:u w:val="single"/>
          <w14:textFill>
            <w14:solidFill>
              <w14:schemeClr w14:val="tx1"/>
            </w14:solidFill>
          </w14:textFill>
        </w:rPr>
        <w:t xml:space="preserve">合同签字后7日内；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纸质版肆套，电子版一套；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纸质版，电子版；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宋体"/>
          <w:color w:val="000000" w:themeColor="text1"/>
          <w:sz w:val="24"/>
          <w:u w:val="single"/>
          <w14:textFill>
            <w14:solidFill>
              <w14:schemeClr w14:val="tx1"/>
            </w14:solidFill>
          </w14:textFill>
        </w:rPr>
        <w:t xml:space="preserve">7个工作日内。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关于现场图纸准备的约定：</w:t>
      </w:r>
      <w:r>
        <w:rPr>
          <w:rFonts w:hint="eastAsia" w:ascii="宋体" w:hAnsi="宋体" w:cs="宋体"/>
          <w:color w:val="000000" w:themeColor="text1"/>
          <w:sz w:val="24"/>
          <w:u w:val="single"/>
          <w14:textFill>
            <w14:solidFill>
              <w14:schemeClr w14:val="tx1"/>
            </w14:solidFill>
          </w14:textFill>
        </w:rPr>
        <w:t xml:space="preserve">提供全套施工图二套，如承包人需增加图纸份数，发包人可代为复制，复制费用由承包人承担。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 联络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五 </w:t>
      </w:r>
      <w:r>
        <w:rPr>
          <w:rFonts w:hint="eastAsia" w:ascii="宋体" w:hAnsi="宋体" w:cs="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 发包人接收文件的地点：</w:t>
      </w:r>
      <w:r>
        <w:rPr>
          <w:rFonts w:hint="eastAsia" w:ascii="宋体" w:hAnsi="宋体" w:cs="宋体"/>
          <w:color w:val="000000" w:themeColor="text1"/>
          <w:sz w:val="24"/>
          <w:u w:val="single"/>
          <w14:textFill>
            <w14:solidFill>
              <w14:schemeClr w14:val="tx1"/>
            </w14:solidFill>
          </w14:textFill>
        </w:rPr>
        <w:t xml:space="preserve">发包人指定地点；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发包人指定的接收人为：</w:t>
      </w:r>
      <w:r>
        <w:rPr>
          <w:rFonts w:hint="eastAsia" w:ascii="宋体" w:hAnsi="宋体" w:cs="宋体"/>
          <w:color w:val="000000" w:themeColor="text1"/>
          <w:sz w:val="24"/>
          <w:u w:val="single"/>
          <w14:textFill>
            <w14:solidFill>
              <w14:schemeClr w14:val="tx1"/>
            </w14:solidFill>
          </w14:textFill>
        </w:rPr>
        <w:t xml:space="preserve">发包人派驻现场代表；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承包人接收文件的地点：</w:t>
      </w:r>
      <w:r>
        <w:rPr>
          <w:rFonts w:hint="eastAsia" w:ascii="宋体" w:hAnsi="宋体" w:cs="宋体"/>
          <w:color w:val="000000" w:themeColor="text1"/>
          <w:sz w:val="24"/>
          <w:u w:val="single"/>
          <w14:textFill>
            <w14:solidFill>
              <w14:schemeClr w14:val="tx1"/>
            </w14:solidFill>
          </w14:textFill>
        </w:rPr>
        <w:t xml:space="preserve">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承包人指定的接收人为：</w:t>
      </w:r>
      <w:r>
        <w:rPr>
          <w:rFonts w:hint="eastAsia" w:ascii="宋体" w:hAnsi="宋体" w:cs="宋体"/>
          <w:color w:val="000000" w:themeColor="text1"/>
          <w:sz w:val="24"/>
          <w:u w:val="single"/>
          <w14:textFill>
            <w14:solidFill>
              <w14:schemeClr w14:val="tx1"/>
            </w14:solidFill>
          </w14:textFill>
        </w:rPr>
        <w:t xml:space="preserve">项目经理；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监理人接收文件的地点：</w:t>
      </w:r>
      <w:r>
        <w:rPr>
          <w:rFonts w:hint="eastAsia" w:ascii="宋体" w:hAnsi="宋体" w:cs="宋体"/>
          <w:color w:val="000000" w:themeColor="text1"/>
          <w:sz w:val="24"/>
          <w:u w:val="single"/>
          <w14:textFill>
            <w14:solidFill>
              <w14:schemeClr w14:val="tx1"/>
            </w14:solidFill>
          </w14:textFill>
        </w:rPr>
        <w:t xml:space="preserve">监理人施工现场办公室；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宋体"/>
          <w:color w:val="000000" w:themeColor="text1"/>
          <w:sz w:val="24"/>
          <w:u w:val="single"/>
          <w14:textFill>
            <w14:solidFill>
              <w14:schemeClr w14:val="tx1"/>
            </w14:solidFill>
          </w14:textFill>
        </w:rPr>
        <w:t xml:space="preserve">总监或总监代表。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1.10 交通运输</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bookmarkStart w:id="30" w:name="_Toc303539100"/>
      <w:r/>
      <w:bookmarkStart w:id="31" w:name="_Toc312677986"/>
      <w:r/>
      <w:bookmarkStart w:id="32" w:name="_Toc304295521"/>
      <w:r/>
      <w:bookmarkStart w:id="33" w:name="_Toc318581155"/>
      <w:r/>
      <w:bookmarkStart w:id="34" w:name="_Toc300934943"/>
      <w:r>
        <w:rPr>
          <w:rFonts w:hint="eastAsia" w:ascii="宋体" w:hAnsi="宋体" w:cs="宋体"/>
          <w:color w:val="000000" w:themeColor="text1"/>
          <w:sz w:val="24"/>
          <w14:textFill>
            <w14:solidFill>
              <w14:schemeClr w14:val="tx1"/>
            </w14:solidFill>
          </w14:textFill>
        </w:rPr>
        <w:t xml:space="preserve">.10.1 出入现场的权利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35" w:name="_Toc304295522"/>
      <w:r/>
      <w:bookmarkStart w:id="36" w:name="_Toc300934944"/>
      <w:r/>
      <w:bookmarkStart w:id="37" w:name="_Toc312677987"/>
      <w:r/>
      <w:bookmarkStart w:id="38" w:name="_Toc303539101"/>
      <w:r/>
      <w:bookmarkStart w:id="39" w:name="_Toc318581156"/>
      <w:r>
        <w:rPr>
          <w:rFonts w:hint="eastAsia" w:ascii="宋体" w:hAnsi="宋体" w:cs="宋体"/>
          <w:color w:val="000000" w:themeColor="text1"/>
          <w:sz w:val="24"/>
          <w14:textFill>
            <w14:solidFill>
              <w14:schemeClr w14:val="tx1"/>
            </w14:solidFill>
          </w14:textFill>
        </w:rPr>
        <w:t xml:space="preserve">.10.3 场内交通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以现场实际施工条件为准。为保证道</w:t>
      </w:r>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cs="宋体"/>
          <w:color w:val="000000" w:themeColor="text1"/>
          <w:sz w:val="24"/>
          <w:u w:val="single"/>
          <w14:textFill>
            <w14:solidFill>
              <w14:schemeClr w14:val="tx1"/>
            </w14:solidFill>
          </w14:textFill>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1.10.4超大件和超重件的运输</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u w:val="single"/>
          <w14:textFill>
            <w14:solidFill>
              <w14:schemeClr w14:val="tx1"/>
            </w14:solidFill>
          </w14:textFill>
        </w:rPr>
        <w:t xml:space="preserve">承包人 </w:t>
      </w:r>
      <w:r>
        <w:rPr>
          <w:rFonts w:hint="eastAsia" w:ascii="宋体" w:hAnsi="宋体" w:cs="宋体"/>
          <w:color w:val="000000" w:themeColor="text1"/>
          <w:sz w:val="24"/>
          <w14:textFill>
            <w14:solidFill>
              <w14:schemeClr w14:val="tx1"/>
            </w14:solidFill>
          </w14:textFill>
        </w:rPr>
        <w:t xml:space="preserve">承担。</w:t>
      </w:r>
      <w:bookmarkEnd w:id="40"/>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 知识产权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u w:val="single"/>
          <w14:textFill>
            <w14:solidFill>
              <w14:schemeClr w14:val="tx1"/>
            </w14:solidFill>
          </w14:textFill>
        </w:rPr>
        <w:t xml:space="preserve">执行通用条款。</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s="宋体"/>
          <w:color w:val="000000" w:themeColor="text1"/>
          <w:sz w:val="24"/>
          <w:u w:val="single"/>
          <w14:textFill>
            <w14:solidFill>
              <w14:schemeClr w14:val="tx1"/>
            </w14:solidFill>
          </w14:textFill>
        </w:rPr>
        <w:t xml:space="preserve">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s="宋体"/>
          <w:color w:val="000000" w:themeColor="text1"/>
          <w:sz w:val="24"/>
          <w:u w:val="single"/>
          <w14:textFill>
            <w14:solidFill>
              <w14:schemeClr w14:val="tx1"/>
            </w14:solidFill>
          </w14:textFill>
        </w:rPr>
        <w:t xml:space="preserve">执行磋商文件；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41" w:name="_Toc351203634"/>
      <w:r>
        <w:rPr>
          <w:rFonts w:hint="eastAsia" w:ascii="宋体" w:hAnsi="宋体" w:eastAsia="宋体" w:cs="宋体"/>
          <w:b w:val="0"/>
          <w:color w:val="000000" w:themeColor="text1"/>
          <w:sz w:val="24"/>
          <w:szCs w:val="24"/>
          <w14:textFill>
            <w14:solidFill>
              <w14:schemeClr w14:val="tx1"/>
            </w14:solidFill>
          </w14:textFill>
        </w:rPr>
        <w:t xml:space="preserve">2</w:t>
      </w:r>
      <w:bookmarkStart w:id="42" w:name="_Toc297048343"/>
      <w:r/>
      <w:bookmarkStart w:id="43" w:name="_Toc296503157"/>
      <w:r/>
      <w:bookmarkStart w:id="44" w:name="_Toc292559362"/>
      <w:r/>
      <w:bookmarkStart w:id="45" w:name="_Toc292559867"/>
      <w:r/>
      <w:bookmarkStart w:id="46" w:name="_Toc296347156"/>
      <w:r/>
      <w:bookmarkStart w:id="47" w:name="_Toc296891197"/>
      <w:r/>
      <w:bookmarkStart w:id="48" w:name="_Toc296890985"/>
      <w:r/>
      <w:bookmarkStart w:id="49" w:name="_Toc297120457"/>
      <w:r/>
      <w:bookmarkStart w:id="50" w:name="_Toc296346658"/>
      <w:r/>
      <w:bookmarkStart w:id="51" w:name="_Toc296944496"/>
      <w:r>
        <w:rPr>
          <w:rFonts w:hint="eastAsia" w:ascii="宋体" w:hAnsi="宋体" w:eastAsia="宋体" w:cs="宋体"/>
          <w:b w:val="0"/>
          <w:color w:val="000000" w:themeColor="text1"/>
          <w:sz w:val="24"/>
          <w:szCs w:val="24"/>
          <w14:textFill>
            <w14:solidFill>
              <w14:schemeClr w14:val="tx1"/>
            </w14:solidFill>
          </w14:textFill>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2.2 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发包人对发包人代表的授权范围如下：</w:t>
      </w:r>
      <w:r>
        <w:rPr>
          <w:rFonts w:hint="eastAsia" w:ascii="宋体" w:hAnsi="宋体" w:cs="宋体"/>
          <w:color w:val="000000" w:themeColor="text1"/>
          <w:sz w:val="24"/>
          <w:u w:val="single"/>
          <w14:textFill>
            <w14:solidFill>
              <w14:schemeClr w14:val="tx1"/>
            </w14:solidFill>
          </w14:textFill>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需要取得发包人批准才能行使的职权：</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 提供施工现场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关于发包人移交施工现场的期限要求：</w:t>
      </w:r>
      <w:r>
        <w:rPr>
          <w:rFonts w:hint="eastAsia" w:ascii="宋体" w:hAnsi="宋体" w:cs="宋体"/>
          <w:color w:val="000000" w:themeColor="text1"/>
          <w:sz w:val="24"/>
          <w:u w:val="single"/>
          <w14:textFill>
            <w14:solidFill>
              <w14:schemeClr w14:val="tx1"/>
            </w14:solidFill>
          </w14:textFill>
        </w:rPr>
        <w:t xml:space="preserve">开工通知载明的开工日期7日内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关于发包人应负责提供施工所需要的条件，包括：</w:t>
      </w:r>
      <w:r>
        <w:rPr>
          <w:rFonts w:hint="eastAsia" w:ascii="宋体" w:hAnsi="宋体" w:cs="宋体"/>
          <w:color w:val="000000" w:themeColor="text1"/>
          <w:sz w:val="24"/>
          <w:u w:val="single"/>
          <w14:textFill>
            <w14:solidFill>
              <w14:schemeClr w14:val="tx1"/>
            </w14:solidFill>
          </w14:textFill>
        </w:rPr>
        <w:t xml:space="preserve">发包人不提供电源、水源，施工用水用电由承包人自费解决，且施工</w:t>
      </w:r>
      <w:r>
        <w:rPr>
          <w:rFonts w:hint="eastAsia" w:ascii="宋体" w:hAnsi="宋体" w:cs="宋体"/>
          <w:color w:val="000000" w:themeColor="text1"/>
          <w:sz w:val="24"/>
          <w:u w:val="single"/>
          <w14:textFill>
            <w14:solidFill>
              <w14:schemeClr w14:val="tx1"/>
            </w14:solidFill>
          </w14:textFill>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2.4.3提供基础资料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否。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52" w:name="_Toc351203635"/>
      <w:r>
        <w:rPr>
          <w:rFonts w:hint="eastAsia" w:ascii="宋体" w:hAnsi="宋体" w:eastAsia="宋体" w:cs="宋体"/>
          <w:b w:val="0"/>
          <w:color w:val="000000" w:themeColor="text1"/>
          <w:sz w:val="24"/>
          <w:szCs w:val="24"/>
          <w14:textFill>
            <w14:solidFill>
              <w14:schemeClr w14:val="tx1"/>
            </w14:solidFill>
          </w14:textFill>
        </w:rPr>
        <w:t xml:space="preserve">3</w:t>
      </w:r>
      <w:bookmarkStart w:id="53" w:name="_Toc297120458"/>
      <w:r/>
      <w:bookmarkStart w:id="54" w:name="_Toc292559363"/>
      <w:r/>
      <w:bookmarkStart w:id="55" w:name="_Toc296890986"/>
      <w:r/>
      <w:bookmarkStart w:id="56" w:name="_Toc296503158"/>
      <w:r/>
      <w:bookmarkStart w:id="57" w:name="_Toc296891198"/>
      <w:r/>
      <w:bookmarkStart w:id="58" w:name="_Toc292559868"/>
      <w:r/>
      <w:bookmarkStart w:id="59" w:name="_Toc296346659"/>
      <w:r/>
      <w:bookmarkStart w:id="60" w:name="_Toc296347157"/>
      <w:r/>
      <w:bookmarkStart w:id="61" w:name="_Toc296944497"/>
      <w:r/>
      <w:bookmarkStart w:id="62" w:name="_Toc297048344"/>
      <w:r>
        <w:rPr>
          <w:rFonts w:hint="eastAsia" w:ascii="宋体" w:hAnsi="宋体" w:eastAsia="宋体" w:cs="宋体"/>
          <w:b w:val="0"/>
          <w:color w:val="000000" w:themeColor="text1"/>
          <w:sz w:val="24"/>
          <w:szCs w:val="24"/>
          <w14:textFill>
            <w14:solidFill>
              <w14:schemeClr w14:val="tx1"/>
            </w14:solidFill>
          </w14:textFill>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 承包人的一般义务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承包人提交的竣工资料的内容：</w:t>
      </w:r>
      <w:r>
        <w:rPr>
          <w:rFonts w:hint="eastAsia" w:ascii="宋体" w:hAnsi="宋体" w:cs="宋体"/>
          <w:color w:val="000000" w:themeColor="text1"/>
          <w:sz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s="宋体"/>
          <w:color w:val="000000" w:themeColor="text1"/>
          <w:sz w:val="24"/>
          <w:u w:val="single"/>
          <w14:textFill>
            <w14:solidFill>
              <w14:schemeClr w14:val="tx1"/>
            </w14:solidFill>
          </w14:textFill>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s="宋体"/>
          <w:color w:val="000000" w:themeColor="text1"/>
          <w:sz w:val="24"/>
          <w:u w:val="single"/>
          <w14:textFill>
            <w14:solidFill>
              <w14:schemeClr w14:val="tx1"/>
            </w14:solidFill>
          </w14:textFill>
        </w:rPr>
        <w:t xml:space="preserve">工程竣工验收合格之日起28日内完成移交，若逾期提交，发包人有权暂停支付工程款。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s="宋体"/>
          <w:color w:val="000000" w:themeColor="text1"/>
          <w:sz w:val="24"/>
          <w:u w:val="single"/>
          <w14:textFill>
            <w14:solidFill>
              <w14:schemeClr w14:val="tx1"/>
            </w14:solidFill>
          </w14:textFill>
        </w:rPr>
        <w:t xml:space="preserve">立卷、装订成册的纸质文档和电子文档。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 办理合同备案及相关手续，并缴纳相关费用；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 应提供计划、报表的名称及完成时间：按月提供，每月25日后30日之前提供当月完成进度及下月施工计划。</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 承担施工安全保卫工作及非夜间施工照明的责任和要求：由承包人按建设行政管理部门和相关部门的要求自行承担，并设置明显警示标志和专职人员维护公共安全。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 向发包人提供的办公和生活房屋及设施的要求：发包人驻施工现场管理人员必要的办公用房及设施由承包人负责免费提供。</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 需承包人办理的有关施工场地交通、环卫和施工噪音管理等手续：由承包人负责承担，费用也由承包方承担。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 已完工程成品保护的特殊要求及费用承担：由承包人负责承担。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 施工场地清洁卫生和要求：应按建设行政主管部门和相关部门的规定办理，所需费用由承包人负担。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(10) 地方关系由承包人负责协调，费用包含在合同价款中。</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（13）对于在招投标、施工期间出台新的清单规范、计价定额及费用定额，本工程均不执行。</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宋体"/>
          <w:color w:val="000000" w:themeColor="text1"/>
          <w:sz w:val="24"/>
          <w:u w:val="single"/>
          <w14:textFill>
            <w14:solidFill>
              <w14:schemeClr w14:val="tx1"/>
            </w14:solidFill>
          </w14:textFill>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宋体"/>
          <w:color w:val="000000" w:themeColor="text1"/>
          <w:sz w:val="24"/>
          <w:u w:val="single"/>
          <w14:textFill>
            <w14:solidFill>
              <w14:schemeClr w14:val="tx1"/>
            </w14:solidFill>
          </w14:textFill>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3.2.1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建造师执业资格等级：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建造师注册证书号：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建造师执业印章号：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安全生产考核合格证书号：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36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承包人对项目经理的授权范围如下：</w:t>
      </w:r>
      <w:r>
        <w:rPr>
          <w:rFonts w:hint="eastAsia" w:ascii="宋体" w:hAnsi="宋体" w:cs="宋体"/>
          <w:color w:val="000000" w:themeColor="text1"/>
          <w:sz w:val="24"/>
          <w:u w:val="single"/>
          <w14:textFill>
            <w14:solidFill>
              <w14:schemeClr w14:val="tx1"/>
            </w14:solidFill>
          </w14:textFill>
        </w:rPr>
        <w:t xml:space="preserve">对工程质量、安全、进度和文明施工全面负责，并完成承包人应做的各项工作。</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3.2.2关于项目经理每月在施工现场的时间要求：</w:t>
      </w:r>
      <w:r>
        <w:rPr>
          <w:rFonts w:hint="eastAsia" w:ascii="宋体" w:hAnsi="宋体" w:cs="宋体"/>
          <w:color w:val="000000" w:themeColor="text1"/>
          <w:sz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u w:val="single"/>
          <w14:textFill>
            <w14:solidFill>
              <w14:schemeClr w14:val="tx1"/>
            </w14:solidFill>
          </w14:textFill>
        </w:rPr>
        <w:t xml:space="preserve">项目经理擅离职守，每发现一次，将向发包人支付5000元违约金。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3.2.3 </w:t>
      </w:r>
      <w:r>
        <w:rPr>
          <w:rFonts w:hint="eastAsia" w:ascii="宋体" w:hAnsi="宋体" w:cs="宋体"/>
          <w:color w:val="000000" w:themeColor="text1"/>
          <w:sz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3.2.4 承包人无正当理由拒绝更换项目经理的违约责任：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 承包人人员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u w:val="single"/>
          <w14:textFill>
            <w14:solidFill>
              <w14:schemeClr w14:val="tx1"/>
            </w14:solidFill>
          </w14:textFill>
        </w:rPr>
        <w:t xml:space="preserve">合同生效后7天内按照响应文件的项目管理机构及施工现场管理人员提交。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u w:val="single"/>
          <w14:textFill>
            <w14:solidFill>
              <w14:schemeClr w14:val="tx1"/>
            </w14:solidFill>
          </w14:textFill>
        </w:rPr>
        <w:t xml:space="preserve"> 擅自</w:t>
      </w:r>
      <w:r>
        <w:rPr>
          <w:rFonts w:hint="eastAsia" w:ascii="宋体" w:hAnsi="宋体" w:cs="宋体"/>
          <w:bCs/>
          <w:color w:val="000000" w:themeColor="text1"/>
          <w:sz w:val="24"/>
          <w:u w:val="single"/>
          <w14:textFill>
            <w14:solidFill>
              <w14:schemeClr w14:val="tx1"/>
            </w14:solidFill>
          </w14:textFill>
        </w:rPr>
        <w:t xml:space="preserve">撤换技术负责人、质量负责人、安全负责人等其他项目部主要成员每人次向发包人支付10000</w:t>
      </w:r>
      <w:r>
        <w:rPr>
          <w:rFonts w:hint="eastAsia" w:ascii="宋体" w:hAnsi="宋体" w:cs="宋体"/>
          <w:color w:val="000000" w:themeColor="text1"/>
          <w:sz w:val="24"/>
          <w:u w:val="single"/>
          <w14:textFill>
            <w14:solidFill>
              <w14:schemeClr w14:val="tx1"/>
            </w14:solidFill>
          </w14:textFill>
        </w:rPr>
        <w:t xml:space="preserve">元/人.次的</w:t>
      </w:r>
      <w:r>
        <w:rPr>
          <w:rFonts w:hint="eastAsia" w:ascii="宋体" w:hAnsi="宋体" w:cs="宋体"/>
          <w:bCs/>
          <w:color w:val="000000" w:themeColor="text1"/>
          <w:sz w:val="24"/>
          <w:u w:val="single"/>
          <w14:textFill>
            <w14:solidFill>
              <w14:schemeClr w14:val="tx1"/>
            </w14:solidFill>
          </w14:textFill>
        </w:rPr>
        <w:t xml:space="preserve">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 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3.5.1 分包的一般约定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禁止分包的工程包括：</w:t>
      </w:r>
      <w:r>
        <w:rPr>
          <w:rFonts w:hint="eastAsia" w:ascii="宋体" w:hAnsi="宋体" w:cs="宋体"/>
          <w:color w:val="000000" w:themeColor="text1"/>
          <w:sz w:val="24"/>
          <w:u w:val="single"/>
          <w14:textFill>
            <w14:solidFill>
              <w14:schemeClr w14:val="tx1"/>
            </w14:solidFill>
          </w14:textFill>
        </w:rPr>
        <w:t xml:space="preserve"> 本工程禁止分包。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主体结构、关键性工作的范围：</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3.5.2分包的确定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hint="eastAsia" w:ascii="宋体" w:hAnsi="宋体" w:cs="宋体"/>
          <w:color w:val="000000" w:themeColor="text1"/>
          <w:sz w:val="24"/>
          <w:u w:val="single"/>
          <w14:textFill>
            <w14:solidFill>
              <w14:schemeClr w14:val="tx1"/>
            </w14:solidFill>
          </w14:textFill>
        </w:rPr>
        <w:t xml:space="preserve">执行国家相关法律、法规规定。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s="宋体"/>
          <w:color w:val="000000" w:themeColor="text1"/>
          <w:sz w:val="24"/>
          <w:u w:val="single"/>
          <w14:textFill>
            <w14:solidFill>
              <w14:schemeClr w14:val="tx1"/>
            </w14:solidFill>
          </w14:textFill>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u w:val="single"/>
          <w14:textFill>
            <w14:solidFill>
              <w14:schemeClr w14:val="tx1"/>
            </w14:solidFill>
          </w14:textFill>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 履约担保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承包人提供履约担保的形式、金额及期限：</w:t>
      </w:r>
      <w:r>
        <w:rPr>
          <w:rFonts w:hint="eastAsia" w:ascii="宋体" w:hAnsi="宋体" w:cs="宋体"/>
          <w:color w:val="000000" w:themeColor="text1"/>
          <w:sz w:val="24"/>
          <w:u w:val="singl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履约保证金的返还：</w:t>
      </w:r>
      <w:r>
        <w:rPr>
          <w:rFonts w:hint="eastAsia" w:ascii="宋体" w:hAnsi="宋体" w:cs="宋体"/>
          <w:color w:val="000000" w:themeColor="text1"/>
          <w:sz w:val="24"/>
          <w:u w:val="single"/>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63" w:name="_Toc351203636"/>
      <w:r>
        <w:rPr>
          <w:rFonts w:hint="eastAsia" w:ascii="宋体" w:hAnsi="宋体" w:eastAsia="宋体" w:cs="宋体"/>
          <w:b w:val="0"/>
          <w:color w:val="000000" w:themeColor="text1"/>
          <w:sz w:val="24"/>
          <w:szCs w:val="24"/>
          <w14:textFill>
            <w14:solidFill>
              <w14:schemeClr w14:val="tx1"/>
            </w14:solidFill>
          </w14:textFill>
        </w:rPr>
        <w:t xml:space="preserve">4</w:t>
      </w:r>
      <w:bookmarkStart w:id="64" w:name="_Toc297120462"/>
      <w:r/>
      <w:bookmarkStart w:id="65" w:name="_Toc296346663"/>
      <w:r/>
      <w:bookmarkStart w:id="66" w:name="_Toc296503162"/>
      <w:r/>
      <w:bookmarkStart w:id="67" w:name="_Toc296891202"/>
      <w:r/>
      <w:bookmarkStart w:id="68" w:name="_Toc296944501"/>
      <w:r/>
      <w:bookmarkStart w:id="69" w:name="_Toc296347161"/>
      <w:r/>
      <w:bookmarkStart w:id="70" w:name="_Toc292559871"/>
      <w:r/>
      <w:bookmarkStart w:id="71" w:name="_Toc297048348"/>
      <w:r/>
      <w:bookmarkStart w:id="72" w:name="_Toc267251413"/>
      <w:r/>
      <w:bookmarkStart w:id="73" w:name="_Toc296890990"/>
      <w:r/>
      <w:bookmarkStart w:id="74" w:name="_Toc292559366"/>
      <w:r>
        <w:rPr>
          <w:rFonts w:hint="eastAsia" w:ascii="宋体" w:hAnsi="宋体" w:eastAsia="宋体" w:cs="宋体"/>
          <w:b w:val="0"/>
          <w:color w:val="000000" w:themeColor="text1"/>
          <w:sz w:val="24"/>
          <w:szCs w:val="24"/>
          <w14:textFill>
            <w14:solidFill>
              <w14:schemeClr w14:val="tx1"/>
            </w14:solidFill>
          </w14:textFill>
        </w:rPr>
        <w:t xml:space="preserve">. 监</w:t>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val="0"/>
          <w:color w:val="000000" w:themeColor="text1"/>
          <w:sz w:val="24"/>
          <w:szCs w:val="24"/>
          <w14:textFill>
            <w14:solidFill>
              <w14:schemeClr w14:val="tx1"/>
            </w14:solidFill>
          </w14:textFill>
        </w:rPr>
        <w:t xml:space="preserve">理人</w:t>
      </w:r>
      <w:bookmarkEnd w:id="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4.1监理人的一般规定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施工图设计范围内（含变更）工程施工的安全、质量、进度、文明施工、扬尘防治、成本控制。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（1）职责范围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（2）工程变更和签证授权</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监理人在征得委托人代表同意的前提下，有权要求承包人调换其人员。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监理人员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监理工程师执业资格证书号：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关于监理人的其他约定：</w:t>
      </w:r>
      <w:r>
        <w:rPr>
          <w:rFonts w:hint="eastAsia" w:ascii="宋体" w:hAnsi="宋体" w:cs="宋体"/>
          <w:color w:val="000000" w:themeColor="text1"/>
          <w:sz w:val="24"/>
          <w:u w:val="single"/>
          <w14:textFill>
            <w14:solidFill>
              <w14:schemeClr w14:val="tx1"/>
            </w14:solidFill>
          </w14:textFill>
        </w:rPr>
        <w:t xml:space="preserve">详见本工程监理合同（发包人在承包人进场时提供）。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商定或确定</w:t>
      </w:r>
      <w:r/>
    </w:p>
    <w:p>
      <w:pPr>
        <w:ind w:firstLine="480"/>
        <w:spacing w:line="360" w:lineRule="auto"/>
        <w:rPr>
          <w:rFonts w:ascii="宋体" w:hAnsi="宋体" w:cs="宋体"/>
          <w:color w:val="000000" w:themeColor="text1"/>
          <w:sz w:val="24"/>
          <w14:textFill>
            <w14:solidFill>
              <w14:schemeClr w14:val="tx1"/>
            </w14:solidFill>
          </w14:textFill>
        </w:rPr>
      </w:pPr>
      <w:r/>
      <w:bookmarkStart w:id="75" w:name="_Toc267251418"/>
      <w:r>
        <w:rPr>
          <w:rFonts w:hint="eastAsia" w:ascii="宋体" w:hAnsi="宋体" w:cs="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总监理工程师在对合同内涉及费用变化的任何事项进行商定或确定时，必须取得发包人的书面确认，否则无效。</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76" w:name="_Toc351203637"/>
      <w:r>
        <w:rPr>
          <w:rFonts w:hint="eastAsia" w:ascii="宋体" w:hAnsi="宋体" w:eastAsia="宋体" w:cs="宋体"/>
          <w:b w:val="0"/>
          <w:color w:val="000000" w:themeColor="text1"/>
          <w:sz w:val="24"/>
          <w:szCs w:val="24"/>
          <w14:textFill>
            <w14:solidFill>
              <w14:schemeClr w14:val="tx1"/>
            </w14:solidFill>
          </w14:textFill>
        </w:rPr>
        <w:t xml:space="preserve">5</w:t>
      </w:r>
      <w:bookmarkEnd w:id="75"/>
      <w:r/>
      <w:bookmarkStart w:id="77" w:name="_Toc297048349"/>
      <w:r/>
      <w:bookmarkStart w:id="78" w:name="_Toc296347162"/>
      <w:r/>
      <w:bookmarkStart w:id="79" w:name="_Toc296890991"/>
      <w:r/>
      <w:bookmarkStart w:id="80" w:name="_Toc296891203"/>
      <w:r/>
      <w:bookmarkStart w:id="81" w:name="_Toc292559367"/>
      <w:r/>
      <w:bookmarkStart w:id="82" w:name="_Toc292559872"/>
      <w:r/>
      <w:bookmarkStart w:id="83" w:name="_Toc296346664"/>
      <w:r/>
      <w:bookmarkStart w:id="84" w:name="_Toc297120463"/>
      <w:r/>
      <w:bookmarkStart w:id="85" w:name="_Toc296944502"/>
      <w:r/>
      <w:bookmarkStart w:id="86" w:name="_Toc296503163"/>
      <w:r>
        <w:rPr>
          <w:rFonts w:hint="eastAsia" w:ascii="宋体" w:hAnsi="宋体" w:eastAsia="宋体" w:cs="宋体"/>
          <w:b w:val="0"/>
          <w:color w:val="000000" w:themeColor="text1"/>
          <w:sz w:val="24"/>
          <w:szCs w:val="24"/>
          <w14:textFill>
            <w14:solidFill>
              <w14:schemeClr w14:val="tx1"/>
            </w14:solidFill>
          </w14:textFill>
        </w:rPr>
        <w:t xml:space="preserve">. 工程质量</w:t>
      </w:r>
      <w:bookmarkEnd w:id="76"/>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5.1质量要求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bookmarkStart w:id="87" w:name="_Toc304295527"/>
      <w:r/>
      <w:bookmarkStart w:id="88" w:name="_Toc300934949"/>
      <w:r/>
      <w:bookmarkStart w:id="89" w:name="_Toc297123496"/>
      <w:r/>
      <w:bookmarkStart w:id="90" w:name="_Toc318581164"/>
      <w:r/>
      <w:bookmarkStart w:id="91" w:name="_Toc312677997"/>
      <w:r/>
      <w:bookmarkStart w:id="92" w:name="_Toc297216155"/>
      <w:r/>
      <w:bookmarkStart w:id="93" w:name="_Toc303539106"/>
      <w:r>
        <w:rPr>
          <w:rFonts w:hint="eastAsia" w:ascii="宋体" w:hAnsi="宋体" w:cs="宋体"/>
          <w:color w:val="000000" w:themeColor="text1"/>
          <w:sz w:val="24"/>
          <w:szCs w:val="24"/>
          <w14:textFill>
            <w14:solidFill>
              <w14:schemeClr w14:val="tx1"/>
            </w14:solidFill>
          </w14:textFill>
        </w:rPr>
        <w:t xml:space="preserve">.1.1 特殊质量标准和要求：</w:t>
      </w:r>
      <w:r>
        <w:rPr>
          <w:rFonts w:hint="eastAsia" w:ascii="宋体" w:hAnsi="宋体" w:cs="宋体"/>
          <w:color w:val="000000" w:themeColor="text1"/>
          <w:sz w:val="24"/>
          <w:szCs w:val="24"/>
          <w:u w:val="single"/>
          <w14:textFill>
            <w14:solidFill>
              <w14:schemeClr w14:val="tx1"/>
            </w14:solidFill>
          </w14:textFill>
        </w:rPr>
        <w:t xml:space="preserve">严格按照《</w:t>
      </w:r>
      <w:r>
        <w:rPr>
          <w:rFonts w:hint="eastAsia" w:ascii="宋体" w:hAnsi="宋体" w:cs="宋体"/>
          <w:color w:val="000000" w:themeColor="text1"/>
          <w:sz w:val="24"/>
          <w:szCs w:val="24"/>
          <w:u w:val="single"/>
          <w:lang w:eastAsia="zh-CN"/>
          <w14:textFill>
            <w14:solidFill>
              <w14:schemeClr w14:val="tx1"/>
            </w14:solidFill>
          </w14:textFill>
        </w:rPr>
        <w:t xml:space="preserve">市政公用工程</w:t>
      </w:r>
      <w:r>
        <w:rPr>
          <w:rFonts w:hint="eastAsia" w:ascii="宋体" w:hAnsi="宋体" w:cs="宋体"/>
          <w:color w:val="000000" w:themeColor="text1"/>
          <w:sz w:val="24"/>
          <w:szCs w:val="24"/>
          <w:u w:val="single"/>
          <w14:textFill>
            <w14:solidFill>
              <w14:schemeClr w14:val="tx1"/>
            </w14:solidFill>
          </w14:textFill>
        </w:rPr>
        <w:t xml:space="preserve">施工质量验收统一标准》GB50300-2001执行。对不符合国家现行质量验收标准及图纸要求，所发生的一切责任和费用以及由此给发包人造成的经济损失由承包人承担。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①承包人必须按发包人批准的施工组织设计、分项工程及关键部位的专项施工方案施工，现场放线后，须经监理、发包人专业工程师复核后才能施工，严把工序报验关。</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②现场钢筋成形场地必须硬化，避免钢筋污染。</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关于工程奖项的约定：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 隐蔽工程检查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cs="宋体"/>
          <w:color w:val="000000" w:themeColor="text1"/>
          <w:sz w:val="24"/>
          <w:u w:val="single"/>
          <w14:textFill>
            <w14:solidFill>
              <w14:schemeClr w14:val="tx1"/>
            </w14:solidFill>
          </w14:textFill>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48</w:t>
      </w:r>
      <w:r>
        <w:rPr>
          <w:rFonts w:hint="eastAsia" w:ascii="宋体" w:hAnsi="宋体" w:cs="宋体"/>
          <w:color w:val="000000" w:themeColor="text1"/>
          <w:sz w:val="24"/>
          <w14:textFill>
            <w14:solidFill>
              <w14:schemeClr w14:val="tx1"/>
            </w14:solidFill>
          </w14:textFill>
        </w:rPr>
        <w:t xml:space="preserve">小时。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4" w:name="_Toc351203638"/>
      <w:r>
        <w:rPr>
          <w:rFonts w:hint="eastAsia" w:ascii="宋体" w:hAnsi="宋体" w:eastAsia="宋体" w:cs="宋体"/>
          <w:b w:val="0"/>
          <w:color w:val="000000" w:themeColor="text1"/>
          <w:sz w:val="24"/>
          <w:szCs w:val="24"/>
          <w14:textFill>
            <w14:solidFill>
              <w14:schemeClr w14:val="tx1"/>
            </w14:solidFill>
          </w14:textFill>
        </w:rPr>
        <w:t xml:space="preserve">6. 安全文明施工与环境保护</w:t>
      </w:r>
      <w:bookmarkEnd w:id="9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6.1安全文明施工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扬尘治理按徐建价2018年1号文执行，2号文计取。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项目安全生产的达标目标及相应事项的定：</w:t>
      </w:r>
      <w:r>
        <w:rPr>
          <w:rFonts w:hint="eastAsia" w:ascii="宋体" w:hAnsi="宋体" w:cs="宋体"/>
          <w:color w:val="000000" w:themeColor="text1"/>
          <w:sz w:val="24"/>
          <w:u w:val="single"/>
          <w14:textFill>
            <w14:solidFill>
              <w14:schemeClr w14:val="tx1"/>
            </w14:solidFill>
          </w14:textFill>
        </w:rPr>
        <w:t xml:space="preserve">达标目标为《建筑施工安全检查标准》及相关规范标准，其安全文明施工费用已经含在合同价款（即成交价）内；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4）消防设备:在施工期间，承包人应按需要提供灭火器、沙桶和其它有效的消防设备</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应符合当地政府法规及其它由工程师规定的要求。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6）承包人在施工现场的安全管理、教育和安全事故的责任皆由承包人自行承担。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7）承包人违反安全施工的有关规定，其责任及所发生的一切费用由承包人自行承担。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9）其他事项执行通用条款。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6.1.2关于治安保卫的特别约定：</w:t>
      </w:r>
      <w:r>
        <w:rPr>
          <w:rFonts w:hint="eastAsia" w:ascii="宋体" w:hAnsi="宋体" w:cs="宋体"/>
          <w:bCs/>
          <w:color w:val="000000" w:themeColor="text1"/>
          <w:sz w:val="24"/>
          <w:u w:val="single"/>
          <w14:textFill>
            <w14:solidFill>
              <w14:schemeClr w14:val="tx1"/>
            </w14:solidFill>
          </w14:textFill>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关于编制施工场地治安管理计划的约定：</w:t>
      </w:r>
      <w:r>
        <w:rPr>
          <w:rFonts w:hint="eastAsia" w:ascii="宋体" w:hAnsi="宋体" w:cs="宋体"/>
          <w:color w:val="000000" w:themeColor="text1"/>
          <w:sz w:val="24"/>
          <w:u w:val="single"/>
          <w14:textFill>
            <w14:solidFill>
              <w14:schemeClr w14:val="tx1"/>
            </w14:solidFill>
          </w14:textFill>
        </w:rPr>
        <w:t xml:space="preserve">承包人编制，开工通知载明的开工日期7天前提交施工场地治安管理计划。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6.1.3 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⑥现场施工及管理人员均需挂牌进场，否则，发包人有权对承包人处以 50元∕人·次的违约金。</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按照《徐州市</w:t>
      </w:r>
      <w:r>
        <w:rPr>
          <w:rFonts w:hint="eastAsia" w:ascii="宋体" w:hAnsi="宋体" w:cs="宋体"/>
          <w:bCs/>
          <w:color w:val="000000" w:themeColor="text1"/>
          <w:sz w:val="24"/>
          <w:u w:val="single"/>
          <w14:textFill>
            <w14:solidFill>
              <w14:schemeClr w14:val="tx1"/>
            </w14:solidFill>
          </w14:textFill>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⑧因扬尘治理、环境保护等情况未到达标准，而导致甲方被处罚，甲方将处罚金额从乙方工程款中扣除。</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⑨文明施工相关法律、标准和规范的其他要求。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承包人不得以现场增加投入、赶工等借口拖延工期或申请追加合同金额，否则视为违约。</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6.1.4 关于安全文明施工费支付比例和支付期限的约定：</w:t>
      </w:r>
      <w:r>
        <w:rPr>
          <w:rFonts w:hint="eastAsia" w:ascii="宋体" w:hAnsi="宋体" w:cs="宋体"/>
          <w:color w:val="000000" w:themeColor="text1"/>
          <w:sz w:val="24"/>
          <w:u w:val="single"/>
          <w14:textFill>
            <w14:solidFill>
              <w14:schemeClr w14:val="tx1"/>
            </w14:solidFill>
          </w14:textFill>
        </w:rPr>
        <w:t xml:space="preserve">合同价（即成交价）款中已含，与合同价款同期支付。</w:t>
      </w:r>
      <w:bookmarkEnd w:id="87"/>
      <w:r/>
      <w:bookmarkEnd w:id="88"/>
      <w:r/>
      <w:bookmarkEnd w:id="89"/>
      <w:r/>
      <w:bookmarkEnd w:id="90"/>
      <w:r/>
      <w:bookmarkEnd w:id="91"/>
      <w:r/>
      <w:bookmarkEnd w:id="92"/>
      <w:r/>
      <w:bookmarkEnd w:id="93"/>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5" w:name="_Toc351203639"/>
      <w:r>
        <w:rPr>
          <w:rFonts w:hint="eastAsia" w:ascii="宋体" w:hAnsi="宋体" w:eastAsia="宋体" w:cs="宋体"/>
          <w:b w:val="0"/>
          <w:color w:val="000000" w:themeColor="text1"/>
          <w:sz w:val="24"/>
          <w:szCs w:val="24"/>
          <w14:textFill>
            <w14:solidFill>
              <w14:schemeClr w14:val="tx1"/>
            </w14:solidFill>
          </w14:textFill>
        </w:rPr>
        <w:t xml:space="preserve">7. 工期和进度</w:t>
      </w:r>
      <w:bookmarkEnd w:id="9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施工组织设计</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7.1.2 施工组织设计的提交和修改</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承包人提交详细施工组织设计的期限的约定：</w:t>
      </w:r>
      <w:r>
        <w:rPr>
          <w:rFonts w:hint="eastAsia" w:ascii="宋体" w:hAnsi="宋体" w:cs="宋体"/>
          <w:color w:val="000000" w:themeColor="text1"/>
          <w:sz w:val="24"/>
          <w:u w:val="single"/>
          <w14:textFill>
            <w14:solidFill>
              <w14:schemeClr w14:val="tx1"/>
            </w14:solidFill>
          </w14:textFill>
        </w:rPr>
        <w:t xml:space="preserve">施工组织设计和总进度计划应于施工前7天提交发包人及监理工程师审批，总进度计划应满足磋商文件和合同对工期的要求，</w:t>
      </w:r>
      <w:r>
        <w:rPr>
          <w:rFonts w:hint="eastAsia" w:ascii="宋体" w:hAnsi="宋体" w:cs="宋体"/>
          <w:color w:val="000000" w:themeColor="text1"/>
          <w:sz w:val="24"/>
          <w:u w:val="single"/>
          <w14:textFill>
            <w14:solidFill>
              <w14:schemeClr w14:val="tx1"/>
            </w14:solidFill>
          </w14:textFill>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发包人和监理人在收到详细的施工组织设计后确认或提出修改意见的期限：收到后7日内。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96" w:name="_Toc312678005"/>
      <w:r/>
      <w:bookmarkStart w:id="97" w:name="_Toc297123514"/>
      <w:r/>
      <w:bookmarkStart w:id="98" w:name="_Toc303539123"/>
      <w:r/>
      <w:bookmarkStart w:id="99" w:name="_Toc297216173"/>
      <w:r/>
      <w:bookmarkStart w:id="100" w:name="_Toc312677479"/>
      <w:r/>
      <w:bookmarkStart w:id="101" w:name="_Toc304295541"/>
      <w:r/>
      <w:bookmarkStart w:id="102" w:name="_Toc300934966"/>
      <w:r>
        <w:rPr>
          <w:rFonts w:hint="eastAsia" w:ascii="宋体" w:hAnsi="宋体" w:cs="宋体"/>
          <w:color w:val="000000" w:themeColor="text1"/>
          <w:sz w:val="24"/>
          <w14:textFill>
            <w14:solidFill>
              <w14:schemeClr w14:val="tx1"/>
            </w14:solidFill>
          </w14:textFill>
        </w:rPr>
        <w:t xml:space="preserve">.2 施工进度计划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7.2.2 施工进度计划的修订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u w:val="single"/>
          <w14:textFill>
            <w14:solidFill>
              <w14:schemeClr w14:val="tx1"/>
            </w14:solidFill>
          </w14:textFill>
        </w:rPr>
        <w:t xml:space="preserve">收到后3日内。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 开工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7.3.1 开工准备</w:t>
      </w:r>
      <w:r/>
    </w:p>
    <w:p>
      <w:pPr>
        <w:ind w:firstLine="645"/>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关于承包人提交工程开工报审表的期限：</w:t>
      </w:r>
      <w:r>
        <w:rPr>
          <w:rFonts w:hint="eastAsia" w:ascii="宋体" w:hAnsi="宋体" w:cs="宋体"/>
          <w:color w:val="000000" w:themeColor="text1"/>
          <w:sz w:val="24"/>
          <w:u w:val="single"/>
          <w14:textFill>
            <w14:solidFill>
              <w14:schemeClr w14:val="tx1"/>
            </w14:solidFill>
          </w14:textFill>
        </w:rPr>
        <w:t xml:space="preserve">合同签订后、接到监理方的书面开工指令7日内。 </w:t>
      </w:r>
      <w:r/>
    </w:p>
    <w:p>
      <w:pPr>
        <w:ind w:firstLine="64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开工报告批准日期之前。</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7.3.2开工通知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天内发出开工通知的，承包人有权提出价格调整要求，或者解除合同。</w:t>
      </w:r>
      <w:bookmarkEnd w:id="96"/>
      <w:r/>
      <w:bookmarkEnd w:id="97"/>
      <w:r/>
      <w:bookmarkEnd w:id="98"/>
      <w:r/>
      <w:bookmarkEnd w:id="99"/>
      <w:r/>
      <w:bookmarkEnd w:id="100"/>
      <w:r/>
      <w:bookmarkEnd w:id="101"/>
      <w:r/>
      <w:bookmarkEnd w:id="10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 测量放线</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03" w:name="_Toc300934968"/>
      <w:r/>
      <w:bookmarkStart w:id="104" w:name="_Toc312677484"/>
      <w:r/>
      <w:bookmarkStart w:id="105" w:name="_Toc297216175"/>
      <w:r/>
      <w:bookmarkStart w:id="106" w:name="_Toc297123516"/>
      <w:r/>
      <w:bookmarkStart w:id="107" w:name="_Toc312678010"/>
      <w:r/>
      <w:bookmarkStart w:id="108" w:name="_Toc303539125"/>
      <w:r/>
      <w:bookmarkStart w:id="109" w:name="_Toc304295546"/>
      <w:r>
        <w:rPr>
          <w:rFonts w:hint="eastAsia" w:ascii="宋体" w:hAnsi="宋体" w:cs="宋体"/>
          <w:color w:val="000000" w:themeColor="text1"/>
          <w:sz w:val="24"/>
          <w14:textFill>
            <w14:solidFill>
              <w14:schemeClr w14:val="tx1"/>
            </w14:solidFill>
          </w14:textFill>
        </w:rPr>
        <w:t xml:space="preserve">.5 工期延误</w:t>
      </w:r>
      <w:bookmarkEnd w:id="103"/>
      <w:r/>
      <w:bookmarkEnd w:id="104"/>
      <w:r/>
      <w:bookmarkEnd w:id="105"/>
      <w:r/>
      <w:bookmarkEnd w:id="106"/>
      <w:r/>
      <w:bookmarkEnd w:id="107"/>
      <w:r/>
      <w:bookmarkEnd w:id="108"/>
      <w:r/>
      <w:bookmarkEnd w:id="10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7.5.1 因发包人原因导致工期延误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（7）因发包人原因导致工期延误的其他情形：</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10" w:name="_Toc312678012"/>
      <w:r/>
      <w:bookmarkStart w:id="111" w:name="_Toc312677486"/>
      <w:r/>
      <w:bookmarkStart w:id="112" w:name="_Toc318581169"/>
      <w:r/>
      <w:bookmarkStart w:id="113" w:name="_Toc300934970"/>
      <w:r/>
      <w:bookmarkStart w:id="114" w:name="_Toc304295548"/>
      <w:r/>
      <w:bookmarkStart w:id="115" w:name="_Toc303539127"/>
      <w:r/>
      <w:bookmarkStart w:id="116" w:name="_Toc297123518"/>
      <w:r/>
      <w:bookmarkStart w:id="117" w:name="_Toc297216177"/>
      <w:r>
        <w:rPr>
          <w:rFonts w:hint="eastAsia" w:ascii="宋体" w:hAnsi="宋体" w:cs="宋体"/>
          <w:color w:val="000000" w:themeColor="text1"/>
          <w:sz w:val="24"/>
          <w14:textFill>
            <w14:solidFill>
              <w14:schemeClr w14:val="tx1"/>
            </w14:solidFill>
          </w14:textFill>
        </w:rPr>
        <w:t xml:space="preserve">.5.2 因承包人原因导致工期延误</w:t>
      </w:r>
      <w:bookmarkEnd w:id="110"/>
      <w:r/>
      <w:bookmarkEnd w:id="111"/>
      <w:r/>
      <w:bookmarkEnd w:id="112"/>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w:t>
      </w:r>
      <w:bookmarkStart w:id="118" w:name="_Toc312677487"/>
      <w:r/>
      <w:bookmarkStart w:id="119" w:name="_Toc312678013"/>
      <w:r/>
      <w:bookmarkStart w:id="120" w:name="_Toc318581170"/>
      <w:r>
        <w:rPr>
          <w:rFonts w:hint="eastAsia" w:ascii="宋体" w:hAnsi="宋体" w:cs="宋体"/>
          <w:color w:val="000000" w:themeColor="text1"/>
          <w:sz w:val="24"/>
          <w14:textFill>
            <w14:solidFill>
              <w14:schemeClr w14:val="tx1"/>
            </w14:solidFill>
          </w14:textFill>
        </w:rPr>
        <w:t xml:space="preserve">承包人原因造成工期延误，逾期竣工违约金的计算方法为：</w:t>
      </w:r>
      <w:bookmarkEnd w:id="113"/>
      <w:r/>
      <w:bookmarkEnd w:id="114"/>
      <w:r/>
      <w:bookmarkEnd w:id="115"/>
      <w:r/>
      <w:bookmarkEnd w:id="116"/>
      <w:r/>
      <w:bookmarkEnd w:id="117"/>
      <w:r/>
      <w:bookmarkEnd w:id="118"/>
      <w:r/>
      <w:bookmarkEnd w:id="119"/>
      <w:r/>
      <w:bookmarkEnd w:id="120"/>
      <w:r>
        <w:rPr>
          <w:rFonts w:hint="eastAsia" w:ascii="宋体" w:hAnsi="宋体" w:cs="宋体"/>
          <w:color w:val="000000" w:themeColor="text1"/>
          <w:sz w:val="24"/>
          <w:u w:val="single"/>
          <w14:textFill>
            <w14:solidFill>
              <w14:schemeClr w14:val="tx1"/>
            </w14:solidFill>
          </w14:textFill>
        </w:rPr>
        <w:t xml:space="preserve">每延误一天，由承包人向发包人按合同价款的千分之一/天支付违约金。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因承包人原因造成工期延误，逾</w:t>
      </w:r>
      <w:bookmarkStart w:id="121" w:name="_Toc318581171"/>
      <w:r/>
      <w:bookmarkStart w:id="122" w:name="_Toc312678014"/>
      <w:r>
        <w:rPr>
          <w:rFonts w:hint="eastAsia" w:ascii="宋体" w:hAnsi="宋体" w:cs="宋体"/>
          <w:color w:val="000000" w:themeColor="text1"/>
          <w:sz w:val="24"/>
          <w14:textFill>
            <w14:solidFill>
              <w14:schemeClr w14:val="tx1"/>
            </w14:solidFill>
          </w14:textFill>
        </w:rPr>
        <w:t xml:space="preserve">期竣工违约金的上限：</w:t>
      </w:r>
      <w:r>
        <w:rPr>
          <w:rFonts w:hint="eastAsia" w:ascii="宋体" w:hAnsi="宋体" w:cs="宋体"/>
          <w:color w:val="000000" w:themeColor="text1"/>
          <w:sz w:val="24"/>
          <w:u w:val="single"/>
          <w14:textFill>
            <w14:solidFill>
              <w14:schemeClr w14:val="tx1"/>
            </w14:solidFill>
          </w14:textFill>
        </w:rPr>
        <w:t xml:space="preserve">总额不超过合同价款的 20%。 </w:t>
      </w:r>
      <w:bookmarkEnd w:id="121"/>
      <w:r/>
      <w:bookmarkEnd w:id="12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23" w:name="_Toc312678015"/>
      <w:r/>
      <w:bookmarkStart w:id="124" w:name="_Toc304295549"/>
      <w:r/>
      <w:bookmarkStart w:id="125" w:name="_Toc297123519"/>
      <w:r/>
      <w:bookmarkStart w:id="126" w:name="_Toc303539128"/>
      <w:r/>
      <w:bookmarkStart w:id="127" w:name="_Toc300934971"/>
      <w:r/>
      <w:bookmarkStart w:id="128" w:name="_Toc297216178"/>
      <w:r>
        <w:rPr>
          <w:rFonts w:hint="eastAsia" w:ascii="宋体" w:hAnsi="宋体" w:cs="宋体"/>
          <w:color w:val="000000" w:themeColor="text1"/>
          <w:sz w:val="24"/>
          <w14:textFill>
            <w14:solidFill>
              <w14:schemeClr w14:val="tx1"/>
            </w14:solidFill>
          </w14:textFill>
        </w:rPr>
        <w:t xml:space="preserve">.6 不</w:t>
      </w:r>
      <w:bookmarkEnd w:id="123"/>
      <w:r/>
      <w:bookmarkEnd w:id="124"/>
      <w:r/>
      <w:bookmarkEnd w:id="125"/>
      <w:r/>
      <w:bookmarkEnd w:id="126"/>
      <w:r/>
      <w:bookmarkEnd w:id="127"/>
      <w:r/>
      <w:bookmarkEnd w:id="128"/>
      <w:r>
        <w:rPr>
          <w:rFonts w:hint="eastAsia" w:ascii="宋体" w:hAnsi="宋体" w:cs="宋体"/>
          <w:color w:val="000000" w:themeColor="text1"/>
          <w:sz w:val="24"/>
          <w14:textFill>
            <w14:solidFill>
              <w14:schemeClr w14:val="tx1"/>
            </w14:solidFill>
          </w14:textFill>
        </w:rPr>
        <w:t xml:space="preserve">利物质条件</w:t>
      </w:r>
      <w:r/>
    </w:p>
    <w:p>
      <w:pPr>
        <w:ind w:firstLine="480"/>
        <w:spacing w:line="360" w:lineRule="auto"/>
        <w:rPr>
          <w:rFonts w:ascii="宋体" w:hAnsi="宋体" w:cs="宋体"/>
          <w:color w:val="000000" w:themeColor="text1"/>
          <w:sz w:val="24"/>
          <w14:textFill>
            <w14:solidFill>
              <w14:schemeClr w14:val="tx1"/>
            </w14:solidFill>
          </w14:textFill>
        </w:rPr>
      </w:pPr>
      <w:r/>
      <w:bookmarkStart w:id="129" w:name="_Toc303539129"/>
      <w:r/>
      <w:bookmarkStart w:id="130" w:name="_Toc297123520"/>
      <w:r/>
      <w:bookmarkStart w:id="131" w:name="_Toc304295550"/>
      <w:r/>
      <w:bookmarkStart w:id="132" w:name="_Toc312678016"/>
      <w:r/>
      <w:bookmarkStart w:id="133" w:name="_Toc300934972"/>
      <w:r/>
      <w:bookmarkStart w:id="134" w:name="_Toc297216179"/>
      <w:r/>
      <w:bookmarkStart w:id="135" w:name="_Toc318581172"/>
      <w:r>
        <w:rPr>
          <w:rFonts w:hint="eastAsia" w:ascii="宋体" w:hAnsi="宋体" w:cs="宋体"/>
          <w:color w:val="000000" w:themeColor="text1"/>
          <w:sz w:val="24"/>
          <w14:textFill>
            <w14:solidFill>
              <w14:schemeClr w14:val="tx1"/>
            </w14:solidFill>
          </w14:textFill>
        </w:rPr>
        <w:t xml:space="preserve">不利物质条件的其他情形和有关约定：</w:t>
      </w:r>
      <w:r>
        <w:rPr>
          <w:rFonts w:hint="eastAsia" w:ascii="宋体" w:hAnsi="宋体" w:cs="宋体"/>
          <w:color w:val="000000" w:themeColor="text1"/>
          <w:sz w:val="24"/>
          <w:u w:val="single"/>
          <w14:textFill>
            <w14:solidFill>
              <w14:schemeClr w14:val="tx1"/>
            </w14:solidFill>
          </w14:textFill>
        </w:rPr>
        <w:t xml:space="preserve">执行通用条款。</w:t>
      </w:r>
      <w:bookmarkEnd w:id="129"/>
      <w:r/>
      <w:bookmarkEnd w:id="130"/>
      <w:r/>
      <w:bookmarkEnd w:id="131"/>
      <w:r/>
      <w:bookmarkEnd w:id="132"/>
      <w:r/>
      <w:bookmarkEnd w:id="133"/>
      <w:r/>
      <w:bookmarkEnd w:id="134"/>
      <w:r/>
      <w:bookmarkEnd w:id="1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36" w:name="_Toc297216180"/>
      <w:r/>
      <w:bookmarkStart w:id="137" w:name="_Toc297123521"/>
      <w:r/>
      <w:bookmarkStart w:id="138" w:name="_Toc303539130"/>
      <w:r/>
      <w:bookmarkStart w:id="139" w:name="_Toc304295551"/>
      <w:r/>
      <w:bookmarkStart w:id="140" w:name="_Toc300934973"/>
      <w:r/>
      <w:bookmarkStart w:id="141" w:name="_Toc312678017"/>
      <w:r>
        <w:rPr>
          <w:rFonts w:hint="eastAsia" w:ascii="宋体" w:hAnsi="宋体" w:cs="宋体"/>
          <w:color w:val="000000" w:themeColor="text1"/>
          <w:sz w:val="24"/>
          <w14:textFill>
            <w14:solidFill>
              <w14:schemeClr w14:val="tx1"/>
            </w14:solidFill>
          </w14:textFill>
        </w:rPr>
        <w:t xml:space="preserve">.7异常恶劣的气候条件</w:t>
      </w:r>
      <w:bookmarkEnd w:id="136"/>
      <w:r/>
      <w:bookmarkEnd w:id="137"/>
      <w:r/>
      <w:bookmarkEnd w:id="138"/>
      <w:r/>
      <w:bookmarkEnd w:id="139"/>
      <w:r/>
      <w:bookmarkEnd w:id="140"/>
      <w:r/>
      <w:bookmarkEnd w:id="1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发包人和承包人同意以下情形视为异常恶劣的气候条件：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异常恶劣的气候条件的认定标准，以政府有关部门的规定为准。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7.9 提前竣工的奖励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7.9.2提前竣工的奖励：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2" w:name="_Toc351203640"/>
      <w:r>
        <w:rPr>
          <w:rFonts w:hint="eastAsia" w:ascii="宋体" w:hAnsi="宋体" w:eastAsia="宋体" w:cs="宋体"/>
          <w:b w:val="0"/>
          <w:color w:val="000000" w:themeColor="text1"/>
          <w:sz w:val="24"/>
          <w:szCs w:val="24"/>
          <w14:textFill>
            <w14:solidFill>
              <w14:schemeClr w14:val="tx1"/>
            </w14:solidFill>
          </w14:textFill>
        </w:rPr>
        <w:t xml:space="preserve">8. 材料与设备</w:t>
      </w:r>
      <w:bookmarkEnd w:id="77"/>
      <w:r/>
      <w:bookmarkEnd w:id="78"/>
      <w:r/>
      <w:bookmarkEnd w:id="79"/>
      <w:r/>
      <w:bookmarkEnd w:id="80"/>
      <w:r/>
      <w:bookmarkEnd w:id="81"/>
      <w:r/>
      <w:bookmarkEnd w:id="82"/>
      <w:r/>
      <w:bookmarkEnd w:id="83"/>
      <w:r/>
      <w:bookmarkEnd w:id="84"/>
      <w:r/>
      <w:bookmarkEnd w:id="85"/>
      <w:r/>
      <w:bookmarkEnd w:id="86"/>
      <w:r/>
      <w:bookmarkEnd w:id="14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8.2材料与工程设备的保管与使用</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8.2.1发包人供应的材料设备的保管费用的承担：</w:t>
      </w:r>
      <w:r>
        <w:rPr>
          <w:rFonts w:hint="eastAsia" w:ascii="宋体" w:hAnsi="宋体" w:cs="宋体"/>
          <w:color w:val="000000" w:themeColor="text1"/>
          <w:sz w:val="24"/>
          <w:u w:val="single"/>
          <w14:textFill>
            <w14:solidFill>
              <w14:schemeClr w14:val="tx1"/>
            </w14:solidFill>
          </w14:textFill>
        </w:rPr>
        <w:t xml:space="preserve">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8.3样品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8.3.1</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样品的报送与封存</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 承包人提供的施工设备和临时设施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由承包人自行承担，另外发包人驻施工现场管理人员必要的办公用房及设施由承包人负责免费提供。</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3" w:name="_Toc280868656"/>
      <w:r/>
      <w:bookmarkStart w:id="144" w:name="_Toc267251424"/>
      <w:r/>
      <w:bookmarkStart w:id="145" w:name="_Toc280868655"/>
      <w:r/>
      <w:bookmarkStart w:id="146" w:name="_Toc351203641"/>
      <w:r>
        <w:rPr>
          <w:rFonts w:hint="eastAsia" w:ascii="宋体" w:hAnsi="宋体" w:eastAsia="宋体" w:cs="宋体"/>
          <w:b w:val="0"/>
          <w:color w:val="000000" w:themeColor="text1"/>
          <w:sz w:val="24"/>
          <w:szCs w:val="24"/>
          <w14:textFill>
            <w14:solidFill>
              <w14:schemeClr w14:val="tx1"/>
            </w14:solidFill>
          </w14:textFill>
        </w:rPr>
        <w:t xml:space="preserve">9</w:t>
      </w:r>
      <w:bookmarkEnd w:id="143"/>
      <w:r/>
      <w:bookmarkEnd w:id="144"/>
      <w:r/>
      <w:bookmarkEnd w:id="145"/>
      <w:r/>
      <w:bookmarkStart w:id="147" w:name="_Toc297123533"/>
      <w:r/>
      <w:bookmarkStart w:id="148" w:name="_Toc300934982"/>
      <w:r/>
      <w:bookmarkStart w:id="149" w:name="_Toc304295559"/>
      <w:r/>
      <w:bookmarkStart w:id="150" w:name="_Toc303539139"/>
      <w:r/>
      <w:bookmarkStart w:id="151" w:name="_Toc312678021"/>
      <w:r/>
      <w:bookmarkStart w:id="152" w:name="_Toc297216192"/>
      <w:r/>
      <w:bookmarkStart w:id="153" w:name="_Toc312677495"/>
      <w:r/>
      <w:bookmarkStart w:id="154" w:name="_Toc296891001"/>
      <w:r/>
      <w:bookmarkStart w:id="155" w:name="_Toc296347172"/>
      <w:r/>
      <w:bookmarkStart w:id="156" w:name="_Toc296503173"/>
      <w:r/>
      <w:bookmarkStart w:id="157" w:name="_Toc292559883"/>
      <w:r/>
      <w:bookmarkStart w:id="158" w:name="_Toc297048359"/>
      <w:r/>
      <w:bookmarkStart w:id="159" w:name="_Toc267251428"/>
      <w:r/>
      <w:bookmarkStart w:id="160" w:name="_Toc296891213"/>
      <w:r/>
      <w:bookmarkStart w:id="161" w:name="_Toc296944512"/>
      <w:r/>
      <w:bookmarkStart w:id="162" w:name="_Toc296346674"/>
      <w:r/>
      <w:bookmarkStart w:id="163" w:name="_Toc297120473"/>
      <w:r/>
      <w:bookmarkStart w:id="164" w:name="_Toc292559378"/>
      <w:r/>
      <w:bookmarkStart w:id="165" w:name="_Toc267251427"/>
      <w:r>
        <w:rPr>
          <w:rFonts w:hint="eastAsia" w:ascii="宋体" w:hAnsi="宋体" w:eastAsia="宋体" w:cs="宋体"/>
          <w:b w:val="0"/>
          <w:color w:val="000000" w:themeColor="text1"/>
          <w:sz w:val="24"/>
          <w:szCs w:val="24"/>
          <w14:textFill>
            <w14:solidFill>
              <w14:schemeClr w14:val="tx1"/>
            </w14:solidFill>
          </w14:textFill>
        </w:rPr>
        <w:t xml:space="preserve">. 试验与检验</w:t>
      </w:r>
      <w:bookmarkEnd w:id="146"/>
      <w:r/>
      <w:bookmarkEnd w:id="147"/>
      <w:r/>
      <w:bookmarkEnd w:id="148"/>
      <w:r/>
      <w:bookmarkEnd w:id="149"/>
      <w:r/>
      <w:bookmarkEnd w:id="150"/>
      <w:r/>
      <w:bookmarkEnd w:id="151"/>
      <w:r/>
      <w:bookmarkEnd w:id="152"/>
      <w:r/>
      <w:bookmarkEnd w:id="15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66" w:name="_Toc304295560"/>
      <w:r/>
      <w:bookmarkStart w:id="167" w:name="_Toc297216193"/>
      <w:r/>
      <w:bookmarkStart w:id="168" w:name="_Toc300934983"/>
      <w:r/>
      <w:bookmarkStart w:id="169" w:name="_Toc297123534"/>
      <w:r/>
      <w:bookmarkStart w:id="170" w:name="_Toc303539140"/>
      <w:r/>
      <w:bookmarkStart w:id="171" w:name="_Toc312678022"/>
      <w:r/>
      <w:bookmarkStart w:id="172" w:name="_Toc312677496"/>
      <w:r>
        <w:rPr>
          <w:rFonts w:hint="eastAsia" w:ascii="宋体" w:hAnsi="宋体" w:cs="宋体"/>
          <w:color w:val="000000" w:themeColor="text1"/>
          <w:sz w:val="24"/>
          <w14:textFill>
            <w14:solidFill>
              <w14:schemeClr w14:val="tx1"/>
            </w14:solidFill>
          </w14:textFill>
        </w:rPr>
        <w:t xml:space="preserve">.1试验设备与试验人员</w:t>
      </w:r>
      <w:bookmarkEnd w:id="166"/>
      <w:r/>
      <w:bookmarkEnd w:id="167"/>
      <w:r/>
      <w:bookmarkEnd w:id="168"/>
      <w:r/>
      <w:bookmarkEnd w:id="169"/>
      <w:r/>
      <w:bookmarkEnd w:id="170"/>
      <w:r/>
      <w:bookmarkEnd w:id="171"/>
      <w:r/>
      <w:bookmarkEnd w:id="17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73" w:name="_Toc303539141"/>
      <w:r/>
      <w:bookmarkStart w:id="174" w:name="_Toc297123535"/>
      <w:r/>
      <w:bookmarkStart w:id="175" w:name="_Toc300934984"/>
      <w:r/>
      <w:bookmarkStart w:id="176" w:name="_Toc297216194"/>
      <w:r/>
      <w:bookmarkStart w:id="177" w:name="_Toc312678023"/>
      <w:r/>
      <w:bookmarkStart w:id="178" w:name="_Toc312677497"/>
      <w:r/>
      <w:bookmarkStart w:id="179" w:name="_Toc304295561"/>
      <w:r/>
      <w:bookmarkStart w:id="180" w:name="_Toc318581174"/>
      <w:r>
        <w:rPr>
          <w:rFonts w:hint="eastAsia" w:ascii="宋体" w:hAnsi="宋体" w:cs="宋体"/>
          <w:color w:val="000000" w:themeColor="text1"/>
          <w:sz w:val="24"/>
          <w14:textFill>
            <w14:solidFill>
              <w14:schemeClr w14:val="tx1"/>
            </w14:solidFill>
          </w14:textFill>
        </w:rPr>
        <w:t xml:space="preserve">.1.2 试验设备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施工现场需要配置的试验场所：</w:t>
      </w:r>
      <w:bookmarkEnd w:id="173"/>
      <w:r/>
      <w:bookmarkEnd w:id="174"/>
      <w:r/>
      <w:bookmarkEnd w:id="175"/>
      <w:r/>
      <w:bookmarkEnd w:id="176"/>
      <w:r/>
      <w:bookmarkEnd w:id="177"/>
      <w:r/>
      <w:bookmarkEnd w:id="178"/>
      <w:r/>
      <w:bookmarkEnd w:id="179"/>
      <w:r/>
      <w:bookmarkStart w:id="181" w:name="_Toc303539142"/>
      <w:r/>
      <w:bookmarkStart w:id="182" w:name="_Toc312678024"/>
      <w:r/>
      <w:bookmarkStart w:id="183" w:name="_Toc304295562"/>
      <w:r/>
      <w:bookmarkStart w:id="184" w:name="_Toc300934985"/>
      <w:r/>
      <w:bookmarkStart w:id="185" w:name="_Toc297216195"/>
      <w:r/>
      <w:bookmarkStart w:id="186" w:name="_Toc297123536"/>
      <w:r/>
      <w:bookmarkStart w:id="187" w:name="_Toc312677498"/>
      <w:r>
        <w:rPr>
          <w:rFonts w:hint="eastAsia" w:ascii="宋体" w:hAnsi="宋体" w:cs="宋体"/>
          <w:color w:val="000000" w:themeColor="text1"/>
          <w:sz w:val="24"/>
          <w:u w:val="single"/>
          <w14:textFill>
            <w14:solidFill>
              <w14:schemeClr w14:val="tx1"/>
            </w14:solidFill>
          </w14:textFill>
        </w:rPr>
        <w:t xml:space="preserve">按有关规定执行。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施工现场需要配备的试验设备：</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施工现场需要具备的其他试验条件：</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9.4 现场工艺试验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bCs/>
          <w:color w:val="000000" w:themeColor="text1"/>
          <w:sz w:val="24"/>
          <w:u w:val="single"/>
          <w14:textFill>
            <w14:solidFill>
              <w14:schemeClr w14:val="tx1"/>
            </w14:solidFill>
          </w14:textFill>
        </w:rPr>
        <w:t xml:space="preserve">承包人根据相关规范、标准进行试验并承担检测费用</w:t>
      </w:r>
      <w:r>
        <w:rPr>
          <w:rFonts w:hint="eastAsia" w:ascii="宋体" w:hAnsi="宋体" w:cs="宋体"/>
          <w:color w:val="000000" w:themeColor="text1"/>
          <w:sz w:val="24"/>
          <w:u w:val="single"/>
          <w14:textFill>
            <w14:solidFill>
              <w14:schemeClr w14:val="tx1"/>
            </w14:solidFill>
          </w14:textFill>
        </w:rPr>
        <w:t xml:space="preserve">。</w:t>
      </w:r>
      <w:bookmarkEnd w:id="180"/>
      <w:r/>
      <w:bookmarkEnd w:id="181"/>
      <w:r/>
      <w:bookmarkEnd w:id="182"/>
      <w:r/>
      <w:bookmarkEnd w:id="183"/>
      <w:r/>
      <w:bookmarkEnd w:id="184"/>
      <w:r/>
      <w:bookmarkEnd w:id="185"/>
      <w:r/>
      <w:bookmarkEnd w:id="186"/>
      <w:r/>
      <w:bookmarkEnd w:id="187"/>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88" w:name="_Toc351203642"/>
      <w:r>
        <w:rPr>
          <w:rFonts w:hint="eastAsia" w:ascii="宋体" w:hAnsi="宋体" w:eastAsia="宋体" w:cs="宋体"/>
          <w:b w:val="0"/>
          <w:color w:val="000000" w:themeColor="text1"/>
          <w:sz w:val="24"/>
          <w:szCs w:val="24"/>
          <w14:textFill>
            <w14:solidFill>
              <w14:schemeClr w14:val="tx1"/>
            </w14:solidFill>
          </w14:textFill>
        </w:rPr>
        <w:t xml:space="preserve">1</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89" w:name="_Toc297120493"/>
      <w:r/>
      <w:bookmarkStart w:id="190" w:name="_Toc296346694"/>
      <w:r/>
      <w:bookmarkStart w:id="191" w:name="_Toc297123540"/>
      <w:r/>
      <w:bookmarkStart w:id="192" w:name="_Toc296891233"/>
      <w:r/>
      <w:bookmarkStart w:id="193" w:name="_Toc297048379"/>
      <w:r/>
      <w:bookmarkStart w:id="194" w:name="_Toc292559398"/>
      <w:r/>
      <w:bookmarkStart w:id="195" w:name="_Toc296891021"/>
      <w:r/>
      <w:bookmarkStart w:id="196" w:name="_Toc304295566"/>
      <w:r/>
      <w:bookmarkStart w:id="197" w:name="_Toc312678025"/>
      <w:r/>
      <w:bookmarkStart w:id="198" w:name="_Toc303539146"/>
      <w:r/>
      <w:bookmarkStart w:id="199" w:name="_Toc300934989"/>
      <w:r/>
      <w:bookmarkStart w:id="200" w:name="_Toc297216199"/>
      <w:r/>
      <w:bookmarkStart w:id="201" w:name="_Toc296347192"/>
      <w:r/>
      <w:bookmarkStart w:id="202" w:name="_Toc296944532"/>
      <w:r/>
      <w:bookmarkStart w:id="203" w:name="_Toc296503193"/>
      <w:r/>
      <w:bookmarkStart w:id="204" w:name="_Toc292559903"/>
      <w:r/>
      <w:bookmarkStart w:id="205" w:name="_Toc312677499"/>
      <w:r/>
      <w:bookmarkStart w:id="206" w:name="_Toc267251435"/>
      <w:r/>
      <w:bookmarkStart w:id="207" w:name="_Toc267251441"/>
      <w:r/>
      <w:bookmarkStart w:id="208" w:name="_Toc267251437"/>
      <w:r/>
      <w:bookmarkStart w:id="209" w:name="_Toc267251440"/>
      <w:r/>
      <w:bookmarkStart w:id="210" w:name="_Toc267251433"/>
      <w:r/>
      <w:bookmarkStart w:id="211" w:name="_Toc267251439"/>
      <w:r/>
      <w:bookmarkStart w:id="212" w:name="_Toc267251442"/>
      <w:r>
        <w:rPr>
          <w:rFonts w:hint="eastAsia" w:ascii="宋体" w:hAnsi="宋体" w:eastAsia="宋体" w:cs="宋体"/>
          <w:b w:val="0"/>
          <w:color w:val="000000" w:themeColor="text1"/>
          <w:sz w:val="24"/>
          <w:szCs w:val="24"/>
          <w14:textFill>
            <w14:solidFill>
              <w14:schemeClr w14:val="tx1"/>
            </w14:solidFill>
          </w14:textFill>
        </w:rPr>
        <w:t xml:space="preserve">0. 变更</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 变更的范围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10.2变更估价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 变更估价原则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w:t>
      </w:r>
      <w:r>
        <w:rPr>
          <w:rFonts w:hint="eastAsia" w:ascii="宋体" w:hAnsi="宋体" w:cs="宋体"/>
          <w:color w:val="000000" w:themeColor="text1"/>
          <w:sz w:val="24"/>
          <w:u w:val="single"/>
          <w14:textFill>
            <w14:solidFill>
              <w14:schemeClr w14:val="tx1"/>
            </w14:solidFill>
          </w14:textFill>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10.2.1.1</w:t>
      </w:r>
      <w:r>
        <w:rPr>
          <w:rFonts w:hint="eastAsia" w:ascii="宋体" w:hAnsi="宋体" w:cs="宋体"/>
          <w:color w:val="000000" w:themeColor="text1"/>
          <w:sz w:val="24"/>
          <w:u w:val="single"/>
          <w14:textFill>
            <w14:solidFill>
              <w14:schemeClr w14:val="tx1"/>
            </w14:solidFill>
          </w14:textFill>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10.2.1.2</w:t>
      </w:r>
      <w:r>
        <w:rPr>
          <w:rFonts w:hint="eastAsia" w:ascii="宋体" w:hAnsi="宋体" w:cs="宋体"/>
          <w:color w:val="000000" w:themeColor="text1"/>
          <w:sz w:val="24"/>
          <w:u w:val="single"/>
          <w14:textFill>
            <w14:solidFill>
              <w14:schemeClr w14:val="tx1"/>
            </w14:solidFill>
          </w14:textFill>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10.2.1.3</w:t>
      </w:r>
      <w:r>
        <w:rPr>
          <w:rFonts w:hint="eastAsia" w:ascii="宋体" w:hAnsi="宋体" w:cs="宋体"/>
          <w:color w:val="000000" w:themeColor="text1"/>
          <w:sz w:val="24"/>
          <w:u w:val="single"/>
          <w14:textFill>
            <w14:solidFill>
              <w14:schemeClr w14:val="tx1"/>
            </w14:solidFill>
          </w14:textFill>
        </w:rPr>
        <w:t xml:space="preserve">以上10.2.1.1、10.2.1.2条以外原因引起的价款调整按照以下方法处理：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（1）有类似单价的，参照类似单价；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10.2.1.4</w:t>
      </w:r>
      <w:r>
        <w:rPr>
          <w:rFonts w:hint="eastAsia" w:ascii="宋体" w:hAnsi="宋体" w:cs="宋体"/>
          <w:color w:val="000000" w:themeColor="text1"/>
          <w:sz w:val="24"/>
          <w:u w:val="single"/>
          <w14:textFill>
            <w14:solidFill>
              <w14:schemeClr w14:val="tx1"/>
            </w14:solidFill>
          </w14:textFill>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（1）总价措施措施费仍按响应时费率进行调整（其中安全文明增加费及按质论价费的费率按实调整）。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10.3承包人的合理化建议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s="宋体"/>
          <w:color w:val="000000" w:themeColor="text1"/>
          <w:sz w:val="24"/>
          <w:u w:val="single"/>
          <w14:textFill>
            <w14:solidFill>
              <w14:schemeClr w14:val="tx1"/>
            </w14:solidFill>
          </w14:textFill>
        </w:rPr>
        <w:t xml:space="preserve">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13" w:name="_Toc351203643"/>
      <w:r>
        <w:rPr>
          <w:rFonts w:hint="eastAsia" w:ascii="宋体" w:hAnsi="宋体" w:eastAsia="宋体" w:cs="宋体"/>
          <w:b w:val="0"/>
          <w:color w:val="000000" w:themeColor="text1"/>
          <w:sz w:val="24"/>
          <w:szCs w:val="24"/>
          <w14:textFill>
            <w14:solidFill>
              <w14:schemeClr w14:val="tx1"/>
            </w14:solidFill>
          </w14:textFill>
        </w:rPr>
        <w:t xml:space="preserve">11. 价格调整</w:t>
      </w:r>
      <w:bookmarkEnd w:id="213"/>
      <w:r/>
      <w:r/>
    </w:p>
    <w:p>
      <w:pPr>
        <w:ind w:firstLine="480"/>
        <w:spacing w:line="360" w:lineRule="auto"/>
        <w:rPr>
          <w:rFonts w:ascii="宋体" w:hAnsi="宋体" w:cs="宋体"/>
          <w:color w:val="000000" w:themeColor="text1"/>
          <w:sz w:val="24"/>
          <w14:textFill>
            <w14:solidFill>
              <w14:schemeClr w14:val="tx1"/>
            </w14:solidFill>
          </w14:textFill>
        </w:rPr>
      </w:pPr>
      <w:r/>
      <w:bookmarkStart w:id="214" w:name="_Toc296891029"/>
      <w:r/>
      <w:bookmarkStart w:id="215" w:name="_Toc297120501"/>
      <w:r/>
      <w:bookmarkStart w:id="216" w:name="_Toc297048387"/>
      <w:r/>
      <w:bookmarkStart w:id="217" w:name="_Toc296944540"/>
      <w:r/>
      <w:bookmarkStart w:id="218" w:name="_Toc292559911"/>
      <w:r/>
      <w:bookmarkStart w:id="219" w:name="_Toc296503201"/>
      <w:r/>
      <w:bookmarkStart w:id="220" w:name="_Toc297123550"/>
      <w:r/>
      <w:bookmarkStart w:id="221" w:name="_Toc300935000"/>
      <w:r/>
      <w:bookmarkStart w:id="222" w:name="_Toc297216209"/>
      <w:r/>
      <w:bookmarkStart w:id="223" w:name="_Toc304295577"/>
      <w:r/>
      <w:bookmarkStart w:id="224" w:name="_Toc296891241"/>
      <w:r/>
      <w:bookmarkStart w:id="225" w:name="_Toc296347200"/>
      <w:r/>
      <w:bookmarkStart w:id="226" w:name="_Toc312678039"/>
      <w:r/>
      <w:bookmarkStart w:id="227" w:name="_Toc303539157"/>
      <w:r/>
      <w:bookmarkStart w:id="228" w:name="_Toc296346702"/>
      <w:r/>
      <w:bookmarkStart w:id="229" w:name="_Toc292559406"/>
      <w:r>
        <w:rPr>
          <w:rFonts w:hint="eastAsia" w:ascii="宋体" w:hAnsi="宋体" w:cs="宋体"/>
          <w:color w:val="000000" w:themeColor="text1"/>
          <w:sz w:val="24"/>
          <w14:textFill>
            <w14:solidFill>
              <w14:schemeClr w14:val="tx1"/>
            </w14:solidFill>
          </w14:textFill>
        </w:rPr>
        <w:t xml:space="preserve">11.1 市场价格波动引起的调整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市场价格波动是否调整合同价格的约定：</w:t>
      </w:r>
      <w:r>
        <w:rPr>
          <w:rFonts w:hint="eastAsia" w:ascii="宋体" w:hAnsi="宋体" w:cs="宋体"/>
          <w:color w:val="000000" w:themeColor="text1"/>
          <w:sz w:val="24"/>
          <w:highlight w:val="none"/>
          <w:u w:val="single"/>
          <w:lang w:val="en-US" w:eastAsia="zh-CN"/>
          <w14:textFill>
            <w14:solidFill>
              <w14:schemeClr w14:val="tx1"/>
            </w14:solidFill>
          </w14:textFill>
        </w:rPr>
        <w:t xml:space="preserve">工期较短，</w:t>
      </w:r>
      <w:r>
        <w:rPr>
          <w:rFonts w:hint="eastAsia" w:ascii="宋体" w:hAnsi="宋体" w:cs="宋体"/>
          <w:color w:val="000000" w:themeColor="text1"/>
          <w:sz w:val="24"/>
          <w:highlight w:val="none"/>
          <w:u w:val="single"/>
          <w14:textFill>
            <w14:solidFill>
              <w14:schemeClr w14:val="tx1"/>
            </w14:solidFill>
          </w14:textFill>
        </w:rPr>
        <w:t xml:space="preserve">不予调整。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因市场价格波动调整合同价格，采用以下第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种方式对合同价格进行调整：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第1种方式：采用价格指数进行价格调整。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第2种方式：采用造价信息进行价格调整。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（2）关于基准价格的约定：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u w:val="single"/>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③承包人在已标价工程量清单或预算书中载明的材料单价等于基准单价的：专用合同条款合同履行期间材料单价涨幅以基准单价为基础超过</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%时，跌幅以基准单价为基础超过</w:t>
      </w:r>
      <w:r>
        <w:rPr>
          <w:rFonts w:hint="eastAsia" w:ascii="宋体" w:hAnsi="宋体" w:cs="宋体"/>
          <w:color w:val="000000" w:themeColor="text1"/>
          <w:sz w:val="24"/>
          <w:u w:val="single"/>
          <w14:textFill>
            <w14:solidFill>
              <w14:schemeClr w14:val="tx1"/>
            </w14:solidFill>
          </w14:textFill>
        </w:rPr>
        <w:t xml:space="preserve"> 5 </w:t>
      </w:r>
      <w:r>
        <w:rPr>
          <w:rFonts w:hint="eastAsia" w:ascii="宋体" w:hAnsi="宋体" w:cs="宋体"/>
          <w:color w:val="000000" w:themeColor="text1"/>
          <w:sz w:val="24"/>
          <w14:textFill>
            <w14:solidFill>
              <w14:schemeClr w14:val="tx1"/>
            </w14:solidFill>
          </w14:textFill>
        </w:rPr>
        <w:t xml:space="preserve">%时，其超过部分据实调整。</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第3种方式：其他价格调整方式：</w:t>
      </w:r>
      <w:r>
        <w:rPr>
          <w:rFonts w:hint="eastAsia" w:ascii="宋体" w:hAnsi="宋体" w:cs="宋体"/>
          <w:color w:val="000000" w:themeColor="text1"/>
          <w:sz w:val="24"/>
          <w:u w:val="single"/>
          <w14:textFill>
            <w14:solidFill>
              <w14:schemeClr w14:val="tx1"/>
            </w14:solidFill>
          </w14:textFill>
        </w:rPr>
        <w:t xml:space="preserve">本工程工期较短，市场价格波动不调整。</w:t>
      </w:r>
      <w:bookmarkEnd w:id="206"/>
      <w:r/>
      <w:bookmarkEnd w:id="207"/>
      <w:r/>
      <w:bookmarkEnd w:id="208"/>
      <w:r/>
      <w:bookmarkEnd w:id="209"/>
      <w:r/>
      <w:bookmarkEnd w:id="210"/>
      <w:r/>
      <w:bookmarkEnd w:id="21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30" w:name="_Toc296347204"/>
      <w:r/>
      <w:bookmarkStart w:id="231" w:name="_Toc296891033"/>
      <w:r/>
      <w:bookmarkStart w:id="232" w:name="_Toc296346706"/>
      <w:r/>
      <w:bookmarkStart w:id="233" w:name="_Toc297048391"/>
      <w:r/>
      <w:bookmarkStart w:id="234" w:name="_Toc296944544"/>
      <w:r/>
      <w:bookmarkStart w:id="235" w:name="_Toc292559915"/>
      <w:r/>
      <w:bookmarkStart w:id="236" w:name="_Toc292559410"/>
      <w:r/>
      <w:bookmarkStart w:id="237" w:name="_Toc296891245"/>
      <w:r/>
      <w:bookmarkStart w:id="238" w:name="_Toc296503205"/>
      <w:r/>
      <w:bookmarkStart w:id="239" w:name="_Toc297120505"/>
      <w:r/>
      <w:bookmarkStart w:id="240" w:name="_Toc351203644"/>
      <w:r/>
      <w:bookmarkStart w:id="241" w:name="_Toc297123552"/>
      <w:r/>
      <w:bookmarkStart w:id="242" w:name="_Toc303539159"/>
      <w:r/>
      <w:bookmarkStart w:id="243" w:name="_Toc312678040"/>
      <w:r/>
      <w:bookmarkStart w:id="244" w:name="_Toc297216211"/>
      <w:r/>
      <w:bookmarkStart w:id="245" w:name="_Toc304295579"/>
      <w:r/>
      <w:bookmarkStart w:id="246" w:name="_Toc300935002"/>
      <w:r>
        <w:rPr>
          <w:rFonts w:hint="eastAsia" w:ascii="宋体" w:hAnsi="宋体" w:eastAsia="宋体" w:cs="宋体"/>
          <w:b w:val="0"/>
          <w:color w:val="000000" w:themeColor="text1"/>
          <w:sz w:val="24"/>
          <w:szCs w:val="24"/>
          <w14:textFill>
            <w14:solidFill>
              <w14:schemeClr w14:val="tx1"/>
            </w14:solidFill>
          </w14:textFill>
        </w:rPr>
        <w:t xml:space="preserve">12. </w:t>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eastAsia="宋体" w:cs="宋体"/>
          <w:b w:val="0"/>
          <w:color w:val="000000" w:themeColor="text1"/>
          <w:sz w:val="24"/>
          <w:szCs w:val="24"/>
          <w14:textFill>
            <w14:solidFill>
              <w14:schemeClr w14:val="tx1"/>
            </w14:solidFill>
          </w14:textFill>
        </w:rPr>
        <w:t xml:space="preserve">合同价格、计量与支付</w:t>
      </w:r>
      <w:bookmarkEnd w:id="240"/>
      <w:r/>
      <w:bookmarkEnd w:id="241"/>
      <w:r/>
      <w:bookmarkEnd w:id="242"/>
      <w:r/>
      <w:bookmarkEnd w:id="243"/>
      <w:r/>
      <w:bookmarkEnd w:id="244"/>
      <w:r/>
      <w:bookmarkEnd w:id="245"/>
      <w:r/>
      <w:bookmarkEnd w:id="246"/>
      <w:r/>
      <w:r/>
    </w:p>
    <w:p>
      <w:pPr>
        <w:ind w:firstLine="480"/>
        <w:spacing w:line="360" w:lineRule="auto"/>
        <w:rPr>
          <w:rFonts w:ascii="宋体" w:hAnsi="宋体" w:cs="宋体"/>
          <w:color w:val="000000" w:themeColor="text1"/>
          <w:sz w:val="24"/>
          <w14:textFill>
            <w14:solidFill>
              <w14:schemeClr w14:val="tx1"/>
            </w14:solidFill>
          </w14:textFill>
        </w:rPr>
      </w:pPr>
      <w:r/>
      <w:bookmarkStart w:id="247" w:name="_Toc267251461"/>
      <w:r/>
      <w:bookmarkStart w:id="248" w:name="_Toc292559411"/>
      <w:r/>
      <w:bookmarkStart w:id="249" w:name="_Toc292559916"/>
      <w:r/>
      <w:bookmarkStart w:id="250" w:name="_Toc296347205"/>
      <w:r/>
      <w:bookmarkStart w:id="251" w:name="_Toc296503206"/>
      <w:r/>
      <w:bookmarkStart w:id="252" w:name="_Toc296944545"/>
      <w:r/>
      <w:bookmarkStart w:id="253" w:name="_Toc296891246"/>
      <w:r/>
      <w:bookmarkStart w:id="254" w:name="_Toc296346707"/>
      <w:r/>
      <w:bookmarkStart w:id="255" w:name="_Toc296891034"/>
      <w:r/>
      <w:bookmarkStart w:id="256" w:name="_Toc297120506"/>
      <w:r/>
      <w:bookmarkStart w:id="257" w:name="_Toc297048392"/>
      <w:r/>
      <w:bookmarkStart w:id="258" w:name="_Toc297123553"/>
      <w:r/>
      <w:bookmarkStart w:id="259" w:name="_Toc300935003"/>
      <w:r/>
      <w:bookmarkStart w:id="260" w:name="_Toc297216212"/>
      <w:r/>
      <w:bookmarkStart w:id="261" w:name="_Toc312678041"/>
      <w:r/>
      <w:bookmarkStart w:id="262" w:name="_Toc304295580"/>
      <w:r/>
      <w:bookmarkStart w:id="263" w:name="_Toc303539160"/>
      <w:r>
        <w:rPr>
          <w:rFonts w:hint="eastAsia" w:ascii="宋体" w:hAnsi="宋体" w:cs="宋体"/>
          <w:color w:val="000000" w:themeColor="text1"/>
          <w:sz w:val="24"/>
          <w14:textFill>
            <w14:solidFill>
              <w14:schemeClr w14:val="tx1"/>
            </w14:solidFill>
          </w14:textFill>
        </w:rPr>
        <w:t xml:space="preserve">12.1 合</w:t>
      </w:r>
      <w:bookmarkEnd w:id="247"/>
      <w:r/>
      <w:bookmarkEnd w:id="248"/>
      <w:r/>
      <w:bookmarkEnd w:id="249"/>
      <w:r>
        <w:rPr>
          <w:rFonts w:hint="eastAsia" w:ascii="宋体" w:hAnsi="宋体" w:cs="宋体"/>
          <w:color w:val="000000" w:themeColor="text1"/>
          <w:sz w:val="24"/>
          <w14:textFill>
            <w14:solidFill>
              <w14:schemeClr w14:val="tx1"/>
            </w14:solidFill>
          </w14:textFill>
        </w:rPr>
        <w:t xml:space="preserve">同价</w:t>
      </w:r>
      <w:bookmarkEnd w:id="250"/>
      <w:r/>
      <w:bookmarkEnd w:id="251"/>
      <w:r/>
      <w:bookmarkEnd w:id="252"/>
      <w:r/>
      <w:bookmarkEnd w:id="253"/>
      <w:r/>
      <w:bookmarkEnd w:id="254"/>
      <w:r/>
      <w:bookmarkEnd w:id="255"/>
      <w:r/>
      <w:bookmarkEnd w:id="256"/>
      <w:r/>
      <w:bookmarkEnd w:id="257"/>
      <w:r>
        <w:rPr>
          <w:rFonts w:hint="eastAsia" w:ascii="宋体" w:hAnsi="宋体" w:cs="宋体"/>
          <w:color w:val="000000" w:themeColor="text1"/>
          <w:sz w:val="24"/>
          <w14:textFill>
            <w14:solidFill>
              <w14:schemeClr w14:val="tx1"/>
            </w14:solidFill>
          </w14:textFill>
        </w:rPr>
        <w:t xml:space="preserve">格形式</w:t>
      </w:r>
      <w:bookmarkEnd w:id="258"/>
      <w:r/>
      <w:bookmarkEnd w:id="259"/>
      <w:r/>
      <w:bookmarkEnd w:id="260"/>
      <w:r/>
      <w:bookmarkEnd w:id="261"/>
      <w:r/>
      <w:bookmarkEnd w:id="262"/>
      <w:r/>
      <w:bookmarkEnd w:id="2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综合单价包含的风险范围：</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②承包人建设标准高于发包人要求标准时引起多投入的费用已包含在合同价款中，不再另行增补。</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③磋商文件及合同明确约定给予调整的情形外的其他一切风险。</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④材料风险执行本工程工期较短，市场价格波动不调整。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总价包含的风险范围：</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风险范围以外合同价格的调整方法：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3、其他价格方式：</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64" w:name="_Toc304295581"/>
      <w:r/>
      <w:bookmarkStart w:id="265" w:name="_Toc297123554"/>
      <w:r/>
      <w:bookmarkStart w:id="266" w:name="_Toc303539161"/>
      <w:r/>
      <w:bookmarkStart w:id="267" w:name="_Toc300935004"/>
      <w:r/>
      <w:bookmarkStart w:id="268" w:name="_Toc297216213"/>
      <w:r/>
      <w:bookmarkStart w:id="269" w:name="_Toc312678042"/>
      <w:r/>
      <w:bookmarkStart w:id="270" w:name="_Toc296503207"/>
      <w:r/>
      <w:bookmarkStart w:id="271" w:name="_Toc296944546"/>
      <w:r/>
      <w:bookmarkStart w:id="272" w:name="_Toc297120507"/>
      <w:r/>
      <w:bookmarkStart w:id="273" w:name="_Toc292559412"/>
      <w:r/>
      <w:bookmarkStart w:id="274" w:name="_Toc297048393"/>
      <w:r/>
      <w:bookmarkStart w:id="275" w:name="_Toc296347206"/>
      <w:r/>
      <w:bookmarkStart w:id="276" w:name="_Toc296891247"/>
      <w:r/>
      <w:bookmarkStart w:id="277" w:name="_Toc296891035"/>
      <w:r/>
      <w:bookmarkStart w:id="278" w:name="_Toc292559917"/>
      <w:r/>
      <w:bookmarkStart w:id="279" w:name="_Toc296346708"/>
      <w:r>
        <w:rPr>
          <w:rFonts w:hint="eastAsia" w:ascii="宋体" w:hAnsi="宋体" w:cs="宋体"/>
          <w:color w:val="000000" w:themeColor="text1"/>
          <w:sz w:val="24"/>
          <w14:textFill>
            <w14:solidFill>
              <w14:schemeClr w14:val="tx1"/>
            </w14:solidFill>
          </w14:textFill>
        </w:rPr>
        <w:t xml:space="preserve">12.2 预付款</w:t>
      </w:r>
      <w:bookmarkEnd w:id="264"/>
      <w:r/>
      <w:bookmarkEnd w:id="265"/>
      <w:r/>
      <w:bookmarkEnd w:id="266"/>
      <w:r/>
      <w:bookmarkEnd w:id="267"/>
      <w:r/>
      <w:bookmarkEnd w:id="268"/>
      <w:r/>
      <w:bookmarkEnd w:id="26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12.2.1 预付款的支付</w:t>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预付款支付比例或金额：</w:t>
      </w:r>
      <w:r>
        <w:rPr>
          <w:rFonts w:hint="eastAsia" w:ascii="宋体" w:hAnsi="宋体" w:cs="宋体"/>
          <w:color w:val="000000" w:themeColor="text1"/>
          <w:sz w:val="24"/>
          <w:u w:val="single"/>
          <w14:textFill>
            <w14:solidFill>
              <w14:schemeClr w14:val="tx1"/>
            </w14:solidFill>
          </w14:textFill>
        </w:rPr>
        <w:t xml:space="preserve">     /    。 </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预付款支付期限：</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预付款扣回的方式：</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12.2.2 预付款担保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承包人提交预付款担保的期限：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预付款担保的形式为：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 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12.3.1 计量原则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工程量计算规则：</w:t>
      </w:r>
      <w:r>
        <w:rPr>
          <w:rFonts w:hint="eastAsia" w:ascii="宋体" w:hAnsi="宋体" w:cs="宋体"/>
          <w:color w:val="000000" w:themeColor="text1"/>
          <w:u w:val="single"/>
          <w14:textFill>
            <w14:solidFill>
              <w14:schemeClr w14:val="tx1"/>
            </w14:solidFill>
          </w14:textFill>
        </w:rPr>
        <w:t xml:space="preserve">执行现行国家标准《建设工程工程量清单计价规范》（GB50500-2013）、《市政工程工程量计算规范》（GB50857-2013）、《</w:t>
      </w:r>
      <w:r>
        <w:rPr>
          <w:rFonts w:hint="eastAsia" w:ascii="宋体" w:hAnsi="宋体" w:cs="宋体"/>
          <w:color w:val="000000" w:themeColor="text1"/>
          <w:u w:val="single"/>
          <w14:textFill>
            <w14:solidFill>
              <w14:schemeClr w14:val="tx1"/>
            </w14:solidFill>
          </w14:textFill>
        </w:rPr>
        <w:t xml:space="preserve">江苏省市政工程计价定额》（2014）、《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w:t>
      </w:r>
      <w:r>
        <w:rPr>
          <w:rFonts w:hint="eastAsia" w:ascii="宋体" w:hAnsi="宋体" w:cs="宋体"/>
          <w:color w:val="000000" w:themeColor="text1"/>
          <w:highlight w:val="none"/>
          <w:u w:val="single"/>
          <w14:textFill>
            <w14:solidFill>
              <w14:schemeClr w14:val="tx1"/>
            </w14:solidFill>
          </w14:textFill>
        </w:rPr>
        <w:t xml:space="preserve">苏建函价〔202</w:t>
      </w:r>
      <w:r>
        <w:rPr>
          <w:rFonts w:hint="eastAsia" w:ascii="宋体" w:hAnsi="宋体" w:cs="宋体"/>
          <w:color w:val="000000" w:themeColor="text1"/>
          <w:highlight w:val="none"/>
          <w:u w:val="single"/>
          <w:lang w:val="en-US" w:eastAsia="zh-CN"/>
          <w14:textFill>
            <w14:solidFill>
              <w14:schemeClr w14:val="tx1"/>
            </w14:solidFill>
          </w14:textFill>
        </w:rPr>
        <w:t xml:space="preserve">5</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273</w:t>
      </w:r>
      <w:r>
        <w:rPr>
          <w:rFonts w:hint="eastAsia" w:ascii="宋体" w:hAnsi="宋体" w:cs="宋体"/>
          <w:color w:val="000000" w:themeColor="text1"/>
          <w:highlight w:val="none"/>
          <w:u w:val="single"/>
          <w14:textFill>
            <w14:solidFill>
              <w14:schemeClr w14:val="tx1"/>
            </w14:solidFill>
          </w14:textFill>
        </w:rPr>
        <w:t xml:space="preserve">号等</w:t>
      </w:r>
      <w:r>
        <w:rPr>
          <w:rFonts w:hint="eastAsia" w:ascii="宋体" w:hAnsi="宋体" w:cs="宋体"/>
          <w:color w:val="000000" w:themeColor="text1"/>
          <w:u w:val="single"/>
          <w14:textFill>
            <w14:solidFill>
              <w14:schemeClr w14:val="tx1"/>
            </w14:solidFill>
          </w14:textFill>
        </w:rPr>
        <w:t xml:space="preserve">有关文件规定以及括磋商文件、图纸、工程量清单及其补充通知和答疑纪要</w:t>
      </w:r>
      <w:r>
        <w:rPr>
          <w:rFonts w:hint="eastAsia" w:ascii="宋体" w:hAnsi="宋体" w:cs="宋体"/>
          <w:bCs/>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12.3.2 计量周期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关于计量周期的约定：</w:t>
      </w:r>
      <w:r>
        <w:rPr>
          <w:rFonts w:hint="eastAsia" w:ascii="宋体" w:hAnsi="宋体" w:cs="宋体"/>
          <w:color w:val="000000" w:themeColor="text1"/>
          <w:sz w:val="24"/>
          <w:u w:val="single"/>
          <w14:textFill>
            <w14:solidFill>
              <w14:schemeClr w14:val="tx1"/>
            </w14:solidFill>
          </w14:textFill>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12.3.3 单价合同的计量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12.3.4 总价合同的计量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关于总价合同计量的约定：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12.3.6 其他价格形式合同的计量</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其他价格形式的计量方式和程序：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 工程进度款支付</w:t>
      </w:r>
      <w:r/>
    </w:p>
    <w:p>
      <w:pPr>
        <w:ind w:firstLine="480"/>
        <w:spacing w:line="360" w:lineRule="auto"/>
        <w:rPr>
          <w:rFonts w:ascii="宋体" w:hAnsi="宋体" w:cs="宋体"/>
          <w:color w:val="000000" w:themeColor="text1"/>
          <w:sz w:val="24"/>
          <w14:textFill>
            <w14:solidFill>
              <w14:schemeClr w14:val="tx1"/>
            </w14:solidFill>
          </w14:textFill>
        </w:rPr>
      </w:pPr>
      <w:r/>
      <w:bookmarkStart w:id="280" w:name="_Toc300935006"/>
      <w:r/>
      <w:bookmarkStart w:id="281" w:name="_Toc303539163"/>
      <w:r/>
      <w:bookmarkStart w:id="282" w:name="_Toc292559921"/>
      <w:r/>
      <w:bookmarkStart w:id="283" w:name="_Toc296346712"/>
      <w:r/>
      <w:bookmarkStart w:id="284" w:name="_Toc297120511"/>
      <w:r/>
      <w:bookmarkStart w:id="285" w:name="_Toc296891251"/>
      <w:r/>
      <w:bookmarkStart w:id="286" w:name="_Toc296347210"/>
      <w:r/>
      <w:bookmarkStart w:id="287" w:name="_Toc296891039"/>
      <w:r/>
      <w:bookmarkStart w:id="288" w:name="_Toc292559416"/>
      <w:r/>
      <w:bookmarkStart w:id="289" w:name="_Toc297048397"/>
      <w:r/>
      <w:bookmarkStart w:id="290" w:name="_Toc296944550"/>
      <w:r/>
      <w:bookmarkStart w:id="291" w:name="_Toc296503211"/>
      <w:r/>
      <w:bookmarkStart w:id="292" w:name="_Toc297216215"/>
      <w:r/>
      <w:bookmarkStart w:id="293" w:name="_Toc297123556"/>
      <w:r>
        <w:rPr>
          <w:rFonts w:hint="eastAsia" w:ascii="宋体" w:hAnsi="宋体" w:cs="宋体"/>
          <w:color w:val="000000" w:themeColor="text1"/>
          <w:sz w:val="24"/>
          <w14:textFill>
            <w14:solidFill>
              <w14:schemeClr w14:val="tx1"/>
            </w14:solidFill>
          </w14:textFill>
        </w:rPr>
        <w:t xml:space="preserve">12.4.1 付款周期</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ind w:left="0" w:right="6" w:firstLine="420"/>
        <w:spacing w:before="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工程验收合格后付至合同价款的80%，竣工结算资料报送招标人并完成竣工结算审核后付至双方认可结算价的97%，剩余3%作为质保金于缺陷责任期满后无息结清。</w:t>
      </w:r>
      <w:r/>
    </w:p>
    <w:p>
      <w:pPr>
        <w:numPr>
          <w:ilvl w:val="0"/>
          <w:numId w:val="0"/>
        </w:numPr>
        <w:ind w:left="420"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进度款与质量挂钩，如果所完成工程的质量达不到验收规范要求，发包人有权</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暂缓支付该部分工程款。待承包人整改完成符合验收规范要求后再行支付。付款前</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承包方应提供符合发包方要求的增值税发票。</w:t>
      </w:r>
      <w:r/>
    </w:p>
    <w:p>
      <w:pPr>
        <w:numPr>
          <w:ilvl w:val="0"/>
          <w:numId w:val="0"/>
        </w:numPr>
        <w:ind w:right="6"/>
        <w:spacing w:after="200"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注：农民工工资支付需按照《关于转发〈关于扎实推进房屋建筑和市政基础设施建设领域保障农 民工工资支付工作的通知〉的通知》徐住建发〔2023〕119 号文件严格落实。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12.4.2 进度付款申请单的编制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关于进度付款申请单编制的约定：</w:t>
      </w:r>
      <w:r>
        <w:rPr>
          <w:rFonts w:hint="eastAsia" w:ascii="宋体" w:hAnsi="宋体" w:cs="宋体"/>
          <w:color w:val="000000" w:themeColor="text1"/>
          <w:sz w:val="24"/>
          <w:u w:val="single"/>
          <w14:textFill>
            <w14:solidFill>
              <w14:schemeClr w14:val="tx1"/>
            </w14:solidFill>
          </w14:textFill>
        </w:rPr>
        <w:t xml:space="preserve">每月20日前提交本月已完工程量报告及相关形象进度影像资料。逾期提交的，发包人有权拒绝支付工程款。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color w:val="000000" w:themeColor="text1"/>
          <w:sz w:val="24"/>
          <w14:textFill>
            <w14:solidFill>
              <w14:schemeClr w14:val="tx1"/>
            </w14:solidFill>
          </w14:textFill>
        </w:rPr>
        <w:t xml:space="preserve">2.4.3 进度付款申请单的提交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（1）单价合同进度付款申请单提交的约定：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按发包人工程款支付管理规定和本合同约定执行。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12.4.4 进度款审核和支付</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（1）监理人审查并报送发包人的期限：</w:t>
      </w:r>
      <w:r>
        <w:rPr>
          <w:rFonts w:hint="eastAsia" w:ascii="宋体" w:hAnsi="宋体" w:cs="宋体"/>
          <w:color w:val="000000" w:themeColor="text1"/>
          <w:sz w:val="24"/>
          <w:u w:val="single"/>
          <w14:textFill>
            <w14:solidFill>
              <w14:schemeClr w14:val="tx1"/>
            </w14:solidFill>
          </w14:textFill>
        </w:rPr>
        <w:t xml:space="preserve">收到承包人进度付款申请单及发票后3个工作日内。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u w:val="single"/>
          <w14:textFill>
            <w14:solidFill>
              <w14:schemeClr w14:val="tx1"/>
            </w14:solidFill>
          </w14:textFill>
        </w:rPr>
        <w:t xml:space="preserve">收到监理人报送的进度付款申请单及相关资料后10个工作日内。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（2）发包人支付进度款的期限：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12.4.6 支付分解表的编制</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12"/>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94" w:name="_Toc296503219"/>
      <w:r/>
      <w:bookmarkStart w:id="295" w:name="_Toc296347218"/>
      <w:r/>
      <w:bookmarkStart w:id="296" w:name="_Toc296944558"/>
      <w:r/>
      <w:bookmarkStart w:id="297" w:name="_Toc297123564"/>
      <w:r/>
      <w:bookmarkStart w:id="298" w:name="_Toc351203645"/>
      <w:r/>
      <w:bookmarkStart w:id="299" w:name="_Toc296891259"/>
      <w:r/>
      <w:bookmarkStart w:id="300" w:name="_Toc297120519"/>
      <w:r/>
      <w:bookmarkStart w:id="301" w:name="_Toc300935015"/>
      <w:r/>
      <w:bookmarkStart w:id="302" w:name="_Toc292559424"/>
      <w:r/>
      <w:bookmarkStart w:id="303" w:name="_Toc303539172"/>
      <w:r/>
      <w:bookmarkStart w:id="304" w:name="_Toc292559929"/>
      <w:r/>
      <w:bookmarkStart w:id="305" w:name="_Toc296346720"/>
      <w:r/>
      <w:bookmarkStart w:id="306" w:name="_Toc304295593"/>
      <w:r/>
      <w:bookmarkStart w:id="307" w:name="_Toc296891047"/>
      <w:r/>
      <w:bookmarkStart w:id="308" w:name="_Toc312678053"/>
      <w:r/>
      <w:bookmarkStart w:id="309" w:name="_Toc297216223"/>
      <w:r/>
      <w:bookmarkStart w:id="310" w:name="_Toc297048405"/>
      <w:r>
        <w:rPr>
          <w:rFonts w:hint="eastAsia" w:ascii="宋体" w:hAnsi="宋体" w:eastAsia="宋体" w:cs="宋体"/>
          <w:b w:val="0"/>
          <w:color w:val="000000" w:themeColor="text1"/>
          <w:sz w:val="24"/>
          <w:szCs w:val="24"/>
          <w14:textFill>
            <w14:solidFill>
              <w14:schemeClr w14:val="tx1"/>
            </w14:solidFill>
          </w14:textFill>
        </w:rPr>
        <w:t xml:space="preserve">13. 验收和工程试车</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 分部分项工程验收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13.1.2监理人不能按时进行验收时，应提前</w:t>
      </w:r>
      <w:r>
        <w:rPr>
          <w:rFonts w:hint="eastAsia" w:ascii="宋体" w:hAnsi="宋体" w:cs="宋体"/>
          <w:color w:val="000000" w:themeColor="text1"/>
          <w:sz w:val="24"/>
          <w:u w:val="single"/>
          <w14:textFill>
            <w14:solidFill>
              <w14:schemeClr w14:val="tx1"/>
            </w14:solidFill>
          </w14:textFill>
        </w:rPr>
        <w:t xml:space="preserve">24</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p>
    <w:p>
      <w:pPr>
        <w:ind w:firstLine="480"/>
        <w:spacing w:line="360" w:lineRule="auto"/>
        <w:rPr>
          <w:rFonts w:ascii="宋体" w:hAnsi="宋体" w:cs="宋体"/>
          <w:color w:val="000000" w:themeColor="text1"/>
          <w:sz w:val="24"/>
          <w14:textFill>
            <w14:solidFill>
              <w14:schemeClr w14:val="tx1"/>
            </w14:solidFill>
          </w14:textFill>
        </w:rPr>
      </w:pPr>
      <w:r/>
      <w:bookmarkStart w:id="311" w:name="_Toc292559933"/>
      <w:r/>
      <w:bookmarkStart w:id="312" w:name="_Toc296346724"/>
      <w:r/>
      <w:bookmarkStart w:id="313" w:name="_Toc296891263"/>
      <w:r/>
      <w:bookmarkStart w:id="314" w:name="_Toc304295596"/>
      <w:r/>
      <w:bookmarkStart w:id="315" w:name="_Toc296503223"/>
      <w:r/>
      <w:bookmarkStart w:id="316" w:name="_Toc296944562"/>
      <w:r/>
      <w:bookmarkStart w:id="317" w:name="_Toc297120523"/>
      <w:r/>
      <w:bookmarkStart w:id="318" w:name="_Toc296891051"/>
      <w:r/>
      <w:bookmarkStart w:id="319" w:name="_Toc292559428"/>
      <w:r/>
      <w:bookmarkStart w:id="320" w:name="_Toc297048409"/>
      <w:r/>
      <w:bookmarkStart w:id="321" w:name="_Toc300935016"/>
      <w:r/>
      <w:bookmarkStart w:id="322" w:name="_Toc303539173"/>
      <w:r/>
      <w:bookmarkStart w:id="323" w:name="_Toc297123565"/>
      <w:r/>
      <w:bookmarkStart w:id="324" w:name="_Toc297216224"/>
      <w:r/>
      <w:bookmarkStart w:id="325" w:name="_Toc312678056"/>
      <w:r/>
      <w:bookmarkStart w:id="326" w:name="_Toc296347222"/>
      <w:r/>
      <w:bookmarkStart w:id="327" w:name="_Toc267251471"/>
      <w:r/>
      <w:bookmarkStart w:id="328" w:name="_Toc267251473"/>
      <w:r/>
      <w:bookmarkStart w:id="329" w:name="_Toc267251470"/>
      <w:r/>
      <w:bookmarkStart w:id="330" w:name="_Toc267251472"/>
      <w:r/>
      <w:bookmarkStart w:id="331" w:name="_Toc267251474"/>
      <w:r/>
      <w:bookmarkStart w:id="332" w:name="_Toc267251476"/>
      <w:r/>
      <w:bookmarkStart w:id="333" w:name="_Toc267251475"/>
      <w:r>
        <w:rPr>
          <w:rFonts w:hint="eastAsia" w:ascii="宋体" w:hAnsi="宋体" w:cs="宋体"/>
          <w:color w:val="000000" w:themeColor="text1"/>
          <w:sz w:val="24"/>
          <w14:textFill>
            <w14:solidFill>
              <w14:schemeClr w14:val="tx1"/>
            </w14:solidFill>
          </w14:textFill>
        </w:rPr>
        <w:t xml:space="preserve">13.2 竣工验收</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60" w:lineRule="auto"/>
        <w:rPr>
          <w:rFonts w:ascii="宋体" w:hAnsi="宋体" w:cs="宋体"/>
          <w:color w:val="000000" w:themeColor="text1"/>
          <w:sz w:val="24"/>
          <w14:textFill>
            <w14:solidFill>
              <w14:schemeClr w14:val="tx1"/>
            </w14:solidFill>
          </w14:textFill>
        </w:rPr>
      </w:pPr>
      <w:r/>
      <w:bookmarkStart w:id="334" w:name="_Toc280868704"/>
      <w:r/>
      <w:bookmarkStart w:id="335" w:name="_Toc280868705"/>
      <w:r/>
      <w:bookmarkStart w:id="336" w:name="_Toc280868706"/>
      <w:r/>
      <w:bookmarkStart w:id="337" w:name="_Toc280868707"/>
      <w:r/>
      <w:bookmarkStart w:id="338" w:name="_Toc280868708"/>
      <w:r/>
      <w:bookmarkStart w:id="339" w:name="_Toc280868709"/>
      <w:r>
        <w:rPr>
          <w:rFonts w:hint="eastAsia" w:ascii="宋体" w:hAnsi="宋体" w:cs="宋体"/>
          <w:color w:val="000000" w:themeColor="text1"/>
          <w:sz w:val="24"/>
          <w14:textFill>
            <w14:solidFill>
              <w14:schemeClr w14:val="tx1"/>
            </w14:solidFill>
          </w14:textFill>
        </w:rPr>
        <w:t xml:space="preserve">13.2.2竣工验收程序</w:t>
      </w:r>
      <w:bookmarkEnd w:id="334"/>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关于竣工验收程序的约定：</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3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13.2.5移交、接收全部与部分工程</w:t>
      </w:r>
      <w:bookmarkEnd w:id="336"/>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发包人收到《工程移交证书》并签发《工程接收证书》后10个工作日内。 </w:t>
      </w:r>
      <w:bookmarkEnd w:id="337"/>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 工程试车</w:t>
      </w:r>
      <w:bookmarkEnd w:id="338"/>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13.3.1 试车程序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13.3.3 投料试车</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关于投料试车相关事项的约定：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13.6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13.6.1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承包人完成竣工退场的期限：</w:t>
      </w:r>
      <w:r>
        <w:rPr>
          <w:rFonts w:hint="eastAsia" w:ascii="宋体" w:hAnsi="宋体" w:cs="宋体"/>
          <w:color w:val="000000" w:themeColor="text1"/>
          <w:sz w:val="24"/>
          <w:u w:val="single"/>
          <w14:textFill>
            <w14:solidFill>
              <w14:schemeClr w14:val="tx1"/>
            </w14:solidFill>
          </w14:textFill>
        </w:rPr>
        <w:t xml:space="preserve">移交工程后7个工作日内。</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0" w:name="_Toc351203646"/>
      <w:r>
        <w:rPr>
          <w:rFonts w:hint="eastAsia" w:ascii="宋体" w:hAnsi="宋体" w:eastAsia="宋体" w:cs="宋体"/>
          <w:b w:val="0"/>
          <w:color w:val="000000" w:themeColor="text1"/>
          <w:sz w:val="24"/>
          <w:szCs w:val="24"/>
          <w14:textFill>
            <w14:solidFill>
              <w14:schemeClr w14:val="tx1"/>
            </w14:solidFill>
          </w14:textFill>
        </w:rPr>
        <w:t xml:space="preserve">14. 竣工结算</w:t>
      </w:r>
      <w:bookmarkEnd w:id="34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 竣工结算申请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承包人提交竣工结算申请单的期限：</w:t>
      </w:r>
      <w:r>
        <w:rPr>
          <w:rFonts w:hint="eastAsia" w:ascii="宋体" w:hAnsi="宋体" w:cs="宋体"/>
          <w:color w:val="000000" w:themeColor="text1"/>
          <w:sz w:val="24"/>
          <w:u w:val="single"/>
          <w14:textFill>
            <w14:solidFill>
              <w14:schemeClr w14:val="tx1"/>
            </w14:solidFill>
          </w14:textFill>
        </w:rPr>
        <w:t xml:space="preserve">工程竣工验收合格后28天内。</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竣工结算申请单应包括的内容：</w:t>
      </w:r>
      <w:r>
        <w:rPr>
          <w:rFonts w:hint="eastAsia" w:ascii="宋体" w:hAnsi="宋体" w:cs="宋体"/>
          <w:color w:val="000000" w:themeColor="text1"/>
          <w:sz w:val="24"/>
          <w:u w:val="single"/>
          <w14:textFill>
            <w14:solidFill>
              <w14:schemeClr w14:val="tx1"/>
            </w14:solidFill>
          </w14:textFill>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14.2 竣工结算审核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s="宋体"/>
          <w:color w:val="000000" w:themeColor="text1"/>
          <w:sz w:val="24"/>
          <w:u w:val="single"/>
          <w14:textFill>
            <w14:solidFill>
              <w14:schemeClr w14:val="tx1"/>
            </w14:solidFill>
          </w14:textFill>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s="宋体"/>
          <w:color w:val="000000" w:themeColor="text1"/>
          <w:sz w:val="24"/>
          <w:u w:val="single"/>
          <w14:textFill>
            <w14:solidFill>
              <w14:schemeClr w14:val="tx1"/>
            </w14:solidFill>
          </w14:textFill>
        </w:rPr>
        <w:t xml:space="preserve">竣工验收合格后且审计结束，收到承包人竣工付款申请表后 15 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 最终结清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14.4.1 最终结清申请单</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承包人提交最终结清申请单的份数：</w:t>
      </w:r>
      <w:r>
        <w:rPr>
          <w:rFonts w:hint="eastAsia" w:ascii="宋体" w:hAnsi="宋体" w:cs="宋体"/>
          <w:color w:val="000000" w:themeColor="text1"/>
          <w:sz w:val="24"/>
          <w:u w:val="single"/>
          <w14:textFill>
            <w14:solidFill>
              <w14:schemeClr w14:val="tx1"/>
            </w14:solidFill>
          </w14:textFill>
        </w:rPr>
        <w:t xml:space="preserve">一式五份。</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承包人提交最终结算申请单的期限：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14.4.2 最终结清证书和支付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收到承包人提交的最终结清申请单后15日内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最终结清申请单的审批结束后15个工作日内。</w:t>
      </w:r>
      <w:bookmarkEnd w:id="327"/>
      <w:r/>
      <w:bookmarkEnd w:id="328"/>
      <w:r/>
      <w:bookmarkEnd w:id="329"/>
      <w:r/>
      <w:bookmarkEnd w:id="330"/>
      <w:r/>
      <w:bookmarkEnd w:id="331"/>
      <w:r/>
      <w:bookmarkEnd w:id="332"/>
      <w:r/>
      <w:bookmarkEnd w:id="333"/>
      <w:r/>
      <w:bookmarkEnd w:id="33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1" w:name="_Toc351203647"/>
      <w:r/>
      <w:bookmarkStart w:id="342" w:name="_Toc267251483"/>
      <w:r/>
      <w:bookmarkStart w:id="343" w:name="_Toc267251484"/>
      <w:r/>
      <w:bookmarkStart w:id="344" w:name="_Toc267251482"/>
      <w:r/>
      <w:bookmarkStart w:id="345" w:name="_Toc267251485"/>
      <w:r/>
      <w:bookmarkStart w:id="346" w:name="_Toc267251490"/>
      <w:r/>
      <w:bookmarkStart w:id="347" w:name="_Toc267251488"/>
      <w:r/>
      <w:bookmarkStart w:id="348" w:name="_Toc267251486"/>
      <w:r/>
      <w:bookmarkStart w:id="349" w:name="_Toc267251489"/>
      <w:r/>
      <w:bookmarkStart w:id="350" w:name="_Toc267251501"/>
      <w:r/>
      <w:bookmarkStart w:id="351" w:name="_Toc267251493"/>
      <w:r/>
      <w:bookmarkStart w:id="352" w:name="_Toc267251496"/>
      <w:r/>
      <w:bookmarkStart w:id="353" w:name="_Toc267251502"/>
      <w:r/>
      <w:bookmarkStart w:id="354" w:name="_Toc267251503"/>
      <w:r/>
      <w:bookmarkStart w:id="355" w:name="_Toc267251499"/>
      <w:r/>
      <w:bookmarkStart w:id="356" w:name="_Toc267251497"/>
      <w:r/>
      <w:bookmarkStart w:id="357" w:name="_Toc267251491"/>
      <w:r/>
      <w:bookmarkStart w:id="358" w:name="_Toc267251498"/>
      <w:r/>
      <w:bookmarkStart w:id="359" w:name="_Toc267251495"/>
      <w:r/>
      <w:bookmarkStart w:id="360" w:name="_Toc267251494"/>
      <w:r/>
      <w:bookmarkStart w:id="361" w:name="_Toc267251492"/>
      <w:r/>
      <w:bookmarkStart w:id="362" w:name="_Toc267251504"/>
      <w:r/>
      <w:bookmarkStart w:id="363" w:name="_Toc267251506"/>
      <w:r/>
      <w:bookmarkStart w:id="364" w:name="_Toc267251507"/>
      <w:r/>
      <w:bookmarkStart w:id="365" w:name="_Toc267251508"/>
      <w:r/>
      <w:bookmarkStart w:id="366" w:name="_Toc267251511"/>
      <w:r/>
      <w:bookmarkStart w:id="367" w:name="_Toc267251514"/>
      <w:r/>
      <w:bookmarkStart w:id="368" w:name="_Toc267251513"/>
      <w:r/>
      <w:bookmarkStart w:id="369" w:name="_Toc267251515"/>
      <w:r/>
      <w:bookmarkStart w:id="370" w:name="_Toc267251509"/>
      <w:r/>
      <w:bookmarkStart w:id="371" w:name="_Toc267251510"/>
      <w:r>
        <w:rPr>
          <w:rFonts w:hint="eastAsia" w:ascii="宋体" w:hAnsi="宋体" w:eastAsia="宋体" w:cs="宋体"/>
          <w:b w:val="0"/>
          <w:color w:val="000000" w:themeColor="text1"/>
          <w:sz w:val="24"/>
          <w:szCs w:val="24"/>
          <w14:textFill>
            <w14:solidFill>
              <w14:schemeClr w14:val="tx1"/>
            </w14:solidFill>
          </w14:textFill>
        </w:rPr>
        <w:t xml:space="preserve">15. 缺陷责任期与保修</w:t>
      </w:r>
      <w:bookmarkEnd w:id="3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15.2缺陷责任期</w:t>
      </w:r>
      <w:bookmarkEnd w:id="34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缺陷责任期的具体期限：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工程竣工验收合格移交发包人之日起24个月，本合同其他约定与本约定不一致的，以本约定为准。 </w:t>
      </w:r>
      <w:bookmarkEnd w:id="343"/>
      <w:r/>
      <w:bookmarkEnd w:id="34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15.4保修</w:t>
      </w:r>
      <w:bookmarkEnd w:id="345"/>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15.4.1 保修责任</w:t>
      </w:r>
      <w:r/>
    </w:p>
    <w:p>
      <w:pPr>
        <w:ind w:firstLine="468"/>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工程保修期为：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15.4.3 修复通知</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u w:val="single"/>
          <w14:textFill>
            <w14:solidFill>
              <w14:schemeClr w14:val="tx1"/>
            </w14:solidFill>
          </w14:textFill>
        </w:rPr>
        <w:t xml:space="preserve">接到发包人通知后24小时内。</w:t>
      </w:r>
      <w:bookmarkEnd w:id="346"/>
      <w:r/>
      <w:bookmarkEnd w:id="347"/>
      <w:r/>
      <w:bookmarkEnd w:id="348"/>
      <w:r/>
      <w:bookmarkEnd w:id="34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2" w:name="_Toc351203648"/>
      <w:r/>
      <w:bookmarkStart w:id="373" w:name="_Toc280868717"/>
      <w:r/>
      <w:bookmarkStart w:id="374" w:name="_Toc280868718"/>
      <w:r>
        <w:rPr>
          <w:rFonts w:hint="eastAsia" w:ascii="宋体" w:hAnsi="宋体" w:eastAsia="宋体" w:cs="宋体"/>
          <w:b w:val="0"/>
          <w:color w:val="000000" w:themeColor="text1"/>
          <w:sz w:val="24"/>
          <w:szCs w:val="24"/>
          <w14:textFill>
            <w14:solidFill>
              <w14:schemeClr w14:val="tx1"/>
            </w14:solidFill>
          </w14:textFill>
        </w:rPr>
        <w:t xml:space="preserve">16. 违约</w:t>
      </w:r>
      <w:bookmarkEnd w:id="37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16.1 发包人违约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16.1.1发包人违约的情形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发包人违约的其他情形：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hanging="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16.1.2 发包人违约的责任</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发包人违约责任的承担方式和计算方法：</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16.1.3 因发包人违约解除合同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16.2 承包人违约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16.2.1 承包人违约的情形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承包人违约的其他情形：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①承包人在成交后，未能按规定的时间办理相关手续、缴纳相关费用，影响办理施工许可证。</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成交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③没有合理的原因而未能按期开工、或拖延工期、或拖延竣工。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④承包人无正当理由停工。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⑤拒绝或不遵照发包人或监理工程师要求整改、更换或拆除有缺陷的工程，不合适的材料或物资的书面通知；或执行（整改）不力的。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⑧本工程由发包人委托第三方中介机构进行结算审计，工程竣工验收后，承包人应即时将关于工程决算资料报采购人送审，承包人应充分考虑审计过程及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⑨其他执行通用条款和专用条款约定。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16.2.2承包人违约的责任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承包人违约责任的承担方式和计算方法：</w:t>
      </w:r>
      <w:r>
        <w:rPr>
          <w:rFonts w:hint="eastAsia" w:ascii="宋体" w:hAnsi="宋体" w:cs="宋体"/>
          <w:color w:val="000000" w:themeColor="text1"/>
          <w:sz w:val="24"/>
          <w:u w:val="single"/>
          <w14:textFill>
            <w14:solidFill>
              <w14:schemeClr w14:val="tx1"/>
            </w14:solidFill>
          </w14:textFill>
        </w:rPr>
        <w:t xml:space="preserve">由承包人承担全部费用并承担相关法律责任。</w:t>
      </w:r>
      <w:r/>
    </w:p>
    <w:p>
      <w:pPr>
        <w:ind w:left="200"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关于承包人违约解除合同的特别约定：</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u w:val="single"/>
          <w14:textFill>
            <w14:solidFill>
              <w14:schemeClr w14:val="tx1"/>
            </w14:solidFill>
          </w14:textFill>
        </w:rPr>
        <w:t xml:space="preserve">发包人免费使用，发包人继续使用的行为不免除或减轻承包人应承担的违约责任。 </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5" w:name="_Toc351203649"/>
      <w:r>
        <w:rPr>
          <w:rFonts w:hint="eastAsia" w:ascii="宋体" w:hAnsi="宋体" w:eastAsia="宋体" w:cs="宋体"/>
          <w:b w:val="0"/>
          <w:color w:val="000000" w:themeColor="text1"/>
          <w:sz w:val="24"/>
          <w:szCs w:val="24"/>
          <w14:textFill>
            <w14:solidFill>
              <w14:schemeClr w14:val="tx1"/>
            </w14:solidFill>
          </w14:textFill>
        </w:rPr>
        <w:t xml:space="preserve">17. 不可抗力</w:t>
      </w:r>
      <w:bookmarkEnd w:id="373"/>
      <w:r/>
      <w:bookmarkEnd w:id="37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 不可抗力的确认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17.4 因不可抗力解除合同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u w:val="single"/>
          <w14:textFill>
            <w14:solidFill>
              <w14:schemeClr w14:val="tx1"/>
            </w14:solidFill>
          </w14:textFill>
        </w:rPr>
        <w:t xml:space="preserve">28</w:t>
      </w:r>
      <w:r>
        <w:rPr>
          <w:rFonts w:hint="eastAsia" w:ascii="宋体" w:hAnsi="宋体" w:cs="宋体"/>
          <w:color w:val="000000" w:themeColor="text1"/>
          <w:sz w:val="24"/>
          <w14:textFill>
            <w14:solidFill>
              <w14:schemeClr w14:val="tx1"/>
            </w14:solidFill>
          </w14:textFill>
        </w:rPr>
        <w:t xml:space="preserve">天内完成款项的支付。</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6" w:name="_Toc351203650"/>
      <w:r>
        <w:rPr>
          <w:rFonts w:hint="eastAsia" w:ascii="宋体" w:hAnsi="宋体" w:eastAsia="宋体" w:cs="宋体"/>
          <w:b w:val="0"/>
          <w:color w:val="000000" w:themeColor="text1"/>
          <w:sz w:val="24"/>
          <w:szCs w:val="24"/>
          <w14:textFill>
            <w14:solidFill>
              <w14:schemeClr w14:val="tx1"/>
            </w14:solidFill>
          </w14:textFill>
        </w:rPr>
        <w:t xml:space="preserve">18. 保险</w:t>
      </w:r>
      <w:bookmarkEnd w:id="374"/>
      <w:r/>
      <w:bookmarkEnd w:id="376"/>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 工程保险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关于工程保险的特别约定：</w:t>
      </w:r>
      <w:r>
        <w:rPr>
          <w:rFonts w:hint="eastAsia" w:ascii="宋体" w:hAnsi="宋体" w:cs="宋体"/>
          <w:color w:val="000000" w:themeColor="text1"/>
          <w:sz w:val="24"/>
          <w:u w:val="single"/>
          <w14:textFill>
            <w14:solidFill>
              <w14:schemeClr w14:val="tx1"/>
            </w14:solidFill>
          </w14:textFill>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18.3 其他保险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关于其他保险的约定：</w:t>
      </w:r>
      <w:r>
        <w:rPr>
          <w:rFonts w:hint="eastAsia" w:ascii="宋体" w:hAnsi="宋体" w:cs="宋体"/>
          <w:color w:val="000000" w:themeColor="text1"/>
          <w:sz w:val="24"/>
          <w:u w:val="single"/>
          <w14:textFill>
            <w14:solidFill>
              <w14:schemeClr w14:val="tx1"/>
            </w14:solidFill>
          </w14:textFill>
        </w:rPr>
        <w:t xml:space="preserve">按通用条款执行。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u w:val="single"/>
          <w14:textFill>
            <w14:solidFill>
              <w14:schemeClr w14:val="tx1"/>
            </w14:solidFill>
          </w14:textFill>
        </w:rPr>
        <w:t xml:space="preserve">承包人应为其施工设备等办理财产保险。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 通知义务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关于变更保险合同时的通知义务的约定：</w:t>
      </w:r>
      <w:r>
        <w:rPr>
          <w:rFonts w:hint="eastAsia" w:ascii="宋体" w:hAnsi="宋体" w:cs="宋体"/>
          <w:color w:val="000000" w:themeColor="text1"/>
          <w:sz w:val="24"/>
          <w:u w:val="single"/>
          <w14:textFill>
            <w14:solidFill>
              <w14:schemeClr w14:val="tx1"/>
            </w14:solidFill>
          </w14:textFill>
        </w:rPr>
        <w:t xml:space="preserve">执行通用条款。</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7" w:name="_Toc351203651"/>
      <w:r>
        <w:rPr>
          <w:rFonts w:hint="eastAsia" w:ascii="宋体" w:hAnsi="宋体" w:eastAsia="宋体" w:cs="宋体"/>
          <w:b w:val="0"/>
          <w:color w:val="000000" w:themeColor="text1"/>
          <w:sz w:val="24"/>
          <w:szCs w:val="24"/>
          <w14:textFill>
            <w14:solidFill>
              <w14:schemeClr w14:val="tx1"/>
            </w14:solidFill>
          </w14:textFill>
        </w:rPr>
        <w:t xml:space="preserve">20. 争议解决</w:t>
      </w:r>
      <w:bookmarkEnd w:id="362"/>
      <w:r/>
      <w:bookmarkEnd w:id="363"/>
      <w:r/>
      <w:bookmarkEnd w:id="377"/>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 争</w:t>
      </w:r>
      <w:bookmarkEnd w:id="364"/>
      <w:r>
        <w:rPr>
          <w:rFonts w:hint="eastAsia" w:ascii="宋体" w:hAnsi="宋体" w:cs="宋体"/>
          <w:color w:val="000000" w:themeColor="text1"/>
          <w:sz w:val="24"/>
          <w14:textFill>
            <w14:solidFill>
              <w14:schemeClr w14:val="tx1"/>
            </w14:solidFill>
          </w14:textFill>
        </w:rPr>
        <w:t xml:space="preserve">议评审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20.3.1 争议评审小组的确定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争议评审小组成员的确定：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选定争议评审员的期限：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争议评审小组成员的报酬承担方式：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20.3.2 争议评审小组的决定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合同当事人关于本项的约定：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20.4仲裁或诉讼</w:t>
      </w:r>
      <w:bookmarkEnd w:id="36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u w:val="single"/>
          <w14:textFill>
            <w14:solidFill>
              <w14:schemeClr w14:val="tx1"/>
            </w14:solidFill>
          </w14:textFill>
        </w:rPr>
        <w:t xml:space="preserve">  2  </w:t>
      </w:r>
      <w:r>
        <w:rPr>
          <w:rFonts w:hint="eastAsia" w:ascii="宋体" w:hAnsi="宋体" w:cs="宋体"/>
          <w:color w:val="000000" w:themeColor="text1"/>
          <w:sz w:val="24"/>
          <w14:textFill>
            <w14:solidFill>
              <w14:schemeClr w14:val="tx1"/>
            </w14:solidFill>
          </w14:textFill>
        </w:rPr>
        <w:t xml:space="preserve">种方式解决：</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仲裁委员会申请仲裁；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w:t>
      </w:r>
      <w:r>
        <w:rPr>
          <w:rFonts w:hint="eastAsia" w:ascii="宋体" w:hAnsi="宋体" w:cs="宋体"/>
          <w:color w:val="000000" w:themeColor="text1"/>
          <w:sz w:val="24"/>
          <w:u w:val="single"/>
          <w14:textFill>
            <w14:solidFill>
              <w14:schemeClr w14:val="tx1"/>
            </w14:solidFill>
          </w14:textFill>
        </w:rPr>
        <w:t xml:space="preserve">   工程所在地  </w:t>
      </w:r>
      <w:r>
        <w:rPr>
          <w:rFonts w:hint="eastAsia" w:ascii="宋体" w:hAnsi="宋体" w:cs="宋体"/>
          <w:color w:val="000000" w:themeColor="text1"/>
          <w:sz w:val="24"/>
          <w14:textFill>
            <w14:solidFill>
              <w14:schemeClr w14:val="tx1"/>
            </w14:solidFill>
          </w14:textFill>
        </w:rPr>
        <w:t xml:space="preserve">人民法院起诉。</w:t>
      </w:r>
      <w:bookmarkEnd w:id="366"/>
      <w:r/>
      <w:bookmarkEnd w:id="367"/>
      <w:r/>
      <w:bookmarkEnd w:id="368"/>
      <w:r/>
      <w:bookmarkEnd w:id="369"/>
      <w:r/>
      <w:bookmarkEnd w:id="370"/>
      <w:r/>
      <w:bookmarkEnd w:id="371"/>
      <w:r>
        <w:rPr>
          <w:rFonts w:hint="eastAsia" w:ascii="宋体" w:hAnsi="宋体" w:cs="宋体"/>
          <w:color w:val="000000" w:themeColor="text1"/>
          <w:sz w:val="24"/>
          <w14:textFill>
            <w14:solidFill>
              <w14:schemeClr w14:val="tx1"/>
            </w14:solidFill>
          </w14:textFill>
        </w:rPr>
        <w:t xml:space="preserve">发包人由此产生的诉讼费、保全费、律师费鉴定费、差旅费等费用由败诉方承担。</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pPr>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3"/>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双沟镇爱民路(G104-徐沙河)污水管网建设工程</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8"/>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2年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六、双方约定的其他工程质量保修事项：</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1.</w:t>
      </w:r>
      <w:r>
        <w:rPr>
          <w:rFonts w:hint="eastAsia" w:ascii="宋体" w:hAnsi="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2"/>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994"/>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》（项目编号：JSZC-320324-JSRL-C</w:t>
      </w:r>
      <w:r>
        <w:rPr>
          <w:rFonts w:hint="eastAsia" w:ascii="宋体" w:hAnsi="宋体" w:cs="宋体"/>
          <w:color w:val="000000" w:themeColor="text1"/>
          <w:sz w:val="21"/>
          <w:szCs w:val="21"/>
          <w:lang w:eastAsia="zh-CN"/>
          <w14:textFill>
            <w14:solidFill>
              <w14:schemeClr w14:val="tx1"/>
            </w14:solidFill>
          </w14:textFill>
        </w:rPr>
        <w:t xml:space="preserve">2026-0004</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八、采购人或采购代理机构有权将我单位本项目的《磋商报价表》和《分项价格表》予以公示，公示的方式由江苏瑞利项目管理有限公司确定。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8"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双沟镇爱民路(G104-徐沙河)污水管网建设工程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pStyle w:val="1020"/>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16"/>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pStyle w:val="1216"/>
        <w:jc w:val="center"/>
        <w:spacing w:before="0" w:beforeAutospacing="0" w:after="0" w:afterAutospacing="0" w:line="360" w:lineRule="auto"/>
        <w:rPr>
          <w:rFonts w:cs="宋体"/>
          <w:color w:val="000000" w:themeColor="text1"/>
          <w:sz w:val="15"/>
          <w:szCs w:val="15"/>
          <w14:textFill>
            <w14:solidFill>
              <w14:schemeClr w14:val="tx1"/>
            </w14:solidFill>
          </w14:textFill>
        </w:rPr>
      </w:pPr>
      <w:r>
        <w:rPr>
          <w:rFonts w:hint="eastAsia" w:cs="宋体"/>
          <w:b/>
          <w:color w:val="000000" w:themeColor="text1"/>
          <w14:textFill>
            <w14:solidFill>
              <w14:schemeClr w14:val="tx1"/>
            </w14:solidFill>
          </w14:textFill>
        </w:rPr>
        <w:t xml:space="preserve">《中小企业声明函》查询渠道参考工业和信息化部发布的中小企业规模自测小程序</w:t>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w:t>
      </w:r>
      <w:r/>
    </w:p>
    <w:p>
      <w:pPr>
        <w:pStyle w:val="1216"/>
        <w:ind w:firstLine="440"/>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如有疑问，可与市工信局中小企业综合协调处咨询联系。联系电话：0516-83861958</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mc:AlternateContent>
          <mc:Choice Requires="wpg">
            <w:drawing>
              <wp:inline xmlns:wp="http://schemas.openxmlformats.org/drawingml/2006/wordprocessingDrawing" distT="0" distB="0" distL="0" distR="0">
                <wp:extent cx="2905125" cy="4823460"/>
                <wp:effectExtent l="0" t="0" r="5715" b="762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3"/>
                        <a:stretch/>
                      </pic:blipFill>
                      <pic:spPr bwMode="auto">
                        <a:xfrm>
                          <a:off x="0" y="0"/>
                          <a:ext cx="2905125" cy="482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8.8pt;height:379.8pt;mso-wrap-distance-left:0.0pt;mso-wrap-distance-top:0.0pt;mso-wrap-distance-right:0.0pt;mso-wrap-distance-bottom:0.0pt;" stroked="f">
                <v:path textboxrect="0,0,0,0"/>
                <v:imagedata r:id="rId23" o:title=""/>
              </v:shape>
            </w:pict>
          </mc:Fallback>
        </mc:AlternateContent>
      </w:r>
      <w:bookmarkEnd w:id="378"/>
      <w:r/>
      <w:r/>
    </w:p>
    <w:p>
      <w:pPr>
        <w:ind w:right="480"/>
        <w:spacing w:before="100" w:beforeAutospacing="1" w:afterAutospacing="1" w:line="450" w:lineRule="atLeas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31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pStyle w:val="1010"/>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1023"/>
        <w:ind w:left="0" w:firstLine="482"/>
        <w:spacing w:after="0" w:line="360" w:lineRule="auto"/>
        <w:widowControl w:val="off"/>
        <w:rPr>
          <w:rFonts w:ascii="宋体" w:hAnsi="宋体" w:cs="宋体"/>
          <w:sz w:val="24"/>
          <w:szCs w:val="24"/>
        </w:rPr>
      </w:pPr>
      <w:r>
        <w:rPr>
          <w:rFonts w:ascii="宋体" w:hAnsi="宋体" w:cs="宋体"/>
          <w:sz w:val="24"/>
          <w:szCs w:val="24"/>
        </w:rPr>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①供应商的</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施工总承包三级（含</w:t>
      </w:r>
      <w:r>
        <w:rPr>
          <w:rFonts w:hint="eastAsia" w:ascii="宋体" w:hAnsi="宋体" w:cs="宋体"/>
          <w:bCs/>
          <w:color w:val="000000" w:themeColor="text1"/>
          <w:sz w:val="24"/>
          <w:szCs w:val="24"/>
          <w14:textFill>
            <w14:solidFill>
              <w14:schemeClr w14:val="tx1"/>
            </w14:solidFill>
          </w14:textFill>
        </w:rPr>
        <w:t xml:space="preserve">）以上资质证书；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②供应商的有效的《安全生产许可证》证书；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③拟派项目负责人须具备</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专业贰</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含</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及以上注册建造师资格，《建筑施工企业安全生产考核合格证书》（B证）；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79" w:name="OLE_LINK13"/>
      <w:r/>
      <w:bookmarkStart w:id="380" w:name="OLE_LINK14"/>
      <w:r>
        <w:rPr>
          <w:rFonts w:hint="eastAsia" w:ascii="宋体" w:hAnsi="宋体" w:cs="宋体"/>
          <w:b/>
          <w:color w:val="000000" w:themeColor="text1"/>
          <w:sz w:val="36"/>
          <w:szCs w:val="36"/>
          <w14:textFill>
            <w14:solidFill>
              <w14:schemeClr w14:val="tx1"/>
            </w14:solidFill>
          </w14:textFill>
        </w:rPr>
        <w:t xml:space="preserve">14、</w:t>
      </w:r>
      <w:bookmarkStart w:id="381"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79"/>
      <w:r/>
      <w:bookmarkEnd w:id="380"/>
      <w:r/>
      <w:r/>
    </w:p>
    <w:p>
      <w:pPr>
        <w:pStyle w:val="1020"/>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center"/>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目编号：JSZC-320324-JSRL-C</w:t>
      </w:r>
      <w:r>
        <w:rPr>
          <w:rFonts w:hint="eastAsia" w:ascii="宋体" w:hAnsi="宋体" w:cs="宋体"/>
          <w:color w:val="000000" w:themeColor="text1"/>
          <w:spacing w:val="6"/>
          <w:sz w:val="24"/>
          <w:lang w:eastAsia="zh-CN"/>
          <w14:textFill>
            <w14:solidFill>
              <w14:schemeClr w14:val="tx1"/>
            </w14:solidFill>
          </w14:textFill>
        </w:rPr>
        <w:t xml:space="preserve">2026-0004</w:t>
      </w:r>
      <w:r>
        <w:rPr>
          <w:rFonts w:hint="eastAsia" w:ascii="宋体" w:hAnsi="宋体" w:cs="宋体"/>
          <w:color w:val="000000" w:themeColor="text1"/>
          <w:spacing w:val="6"/>
          <w:sz w:val="24"/>
          <w14:textFill>
            <w14:solidFill>
              <w14:schemeClr w14:val="tx1"/>
            </w14:solidFill>
          </w14:textFill>
        </w:rPr>
        <w:t xml:space="preserve"> </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381"/>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99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991"/>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93"/>
        <w:numPr>
          <w:ilvl w:val="0"/>
          <w:numId w:val="9"/>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993"/>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pStyle w:val="991"/>
        <w:ind w:left="596"/>
        <w:jc w:val="center"/>
        <w:spacing w:before="85" w:line="221" w:lineRule="auto"/>
        <w:rPr>
          <w:sz w:val="30"/>
          <w:szCs w:val="30"/>
        </w:rPr>
      </w:pPr>
      <w:r>
        <w:rPr>
          <w:b/>
          <w:bCs/>
          <w:spacing w:val="5"/>
          <w:sz w:val="30"/>
          <w:szCs w:val="30"/>
        </w:rPr>
        <w:t xml:space="preserve">徐州市政府采购代理服务行业收费指导价</w:t>
      </w:r>
      <w:r/>
    </w:p>
    <w:p>
      <w:pPr>
        <w:spacing w:line="188" w:lineRule="exact"/>
      </w:pPr>
      <w:r/>
      <w:r/>
    </w:p>
    <w:tbl>
      <w:tblPr>
        <w:tblStyle w:val="1228"/>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27"/>
              <w:ind w:left="1929"/>
              <w:spacing w:before="153" w:line="219" w:lineRule="auto"/>
              <w:rPr>
                <w:sz w:val="28"/>
                <w:szCs w:val="28"/>
              </w:rPr>
            </w:pPr>
            <w:r>
              <w:rPr>
                <w:b/>
                <w:bCs/>
                <w:spacing w:val="-3"/>
                <w:sz w:val="28"/>
                <w:szCs w:val="28"/>
              </w:rPr>
              <w:t xml:space="preserve">中标或者成交金额</w:t>
            </w:r>
            <w:r/>
          </w:p>
        </w:tc>
        <w:tc>
          <w:tcPr>
            <w:tcW w:w="2382" w:type="dxa"/>
            <w:vAlign w:val="top"/>
            <w:textDirection w:val="lrTb"/>
            <w:noWrap w:val="false"/>
          </w:tcPr>
          <w:p>
            <w:pPr>
              <w:pStyle w:val="1227"/>
              <w:ind w:left="932"/>
              <w:spacing w:before="153" w:line="219" w:lineRule="auto"/>
              <w:rPr>
                <w:sz w:val="28"/>
                <w:szCs w:val="28"/>
              </w:rPr>
            </w:pPr>
            <w:r>
              <w:rPr>
                <w:b/>
                <w:bCs/>
                <w:spacing w:val="-1"/>
                <w:sz w:val="28"/>
                <w:szCs w:val="28"/>
              </w:rPr>
              <w:t xml:space="preserve">费率</w:t>
            </w:r>
            <w:r/>
          </w:p>
        </w:tc>
      </w:tr>
      <w:tr>
        <w:trPr>
          <w:trHeight w:val="609"/>
        </w:trPr>
        <w:tc>
          <w:tcPr>
            <w:tcW w:w="6257" w:type="dxa"/>
            <w:vAlign w:val="top"/>
            <w:textDirection w:val="lrTb"/>
            <w:noWrap w:val="false"/>
          </w:tcPr>
          <w:p>
            <w:pPr>
              <w:pStyle w:val="1227"/>
              <w:ind w:left="114"/>
              <w:spacing w:before="153" w:line="219" w:lineRule="auto"/>
              <w:rPr>
                <w:sz w:val="28"/>
                <w:szCs w:val="28"/>
              </w:rPr>
            </w:pPr>
            <w:r>
              <w:rPr>
                <w:spacing w:val="4"/>
                <w:sz w:val="28"/>
                <w:szCs w:val="28"/>
              </w:rPr>
              <w:t xml:space="preserve">最低收费金额(每个委托项目)</w:t>
            </w:r>
            <w:r/>
          </w:p>
        </w:tc>
        <w:tc>
          <w:tcPr>
            <w:tcW w:w="2382" w:type="dxa"/>
            <w:vAlign w:val="top"/>
            <w:textDirection w:val="lrTb"/>
            <w:noWrap w:val="false"/>
          </w:tcPr>
          <w:p>
            <w:pPr>
              <w:pStyle w:val="1227"/>
              <w:ind w:left="87"/>
              <w:spacing w:before="154" w:line="220" w:lineRule="auto"/>
              <w:rPr>
                <w:sz w:val="28"/>
                <w:szCs w:val="28"/>
              </w:rPr>
            </w:pPr>
            <w:r>
              <w:rPr>
                <w:spacing w:val="2"/>
                <w:sz w:val="28"/>
                <w:szCs w:val="28"/>
              </w:rPr>
              <w:t xml:space="preserve">5000元</w:t>
            </w:r>
            <w:r/>
          </w:p>
        </w:tc>
      </w:tr>
      <w:tr>
        <w:trPr>
          <w:trHeight w:val="619"/>
        </w:trPr>
        <w:tc>
          <w:tcPr>
            <w:tcW w:w="6257" w:type="dxa"/>
            <w:vAlign w:val="top"/>
            <w:textDirection w:val="lrTb"/>
            <w:noWrap w:val="false"/>
          </w:tcPr>
          <w:p>
            <w:pPr>
              <w:pStyle w:val="1227"/>
              <w:ind w:left="114"/>
              <w:spacing w:before="164" w:line="219" w:lineRule="auto"/>
              <w:rPr>
                <w:sz w:val="28"/>
                <w:szCs w:val="28"/>
              </w:rPr>
            </w:pPr>
            <w:r>
              <w:rPr>
                <w:spacing w:val="5"/>
                <w:sz w:val="28"/>
                <w:szCs w:val="28"/>
              </w:rPr>
              <w:t xml:space="preserve">50万元以下(含50万元)</w:t>
            </w:r>
            <w:r/>
          </w:p>
        </w:tc>
        <w:tc>
          <w:tcPr>
            <w:tcW w:w="2382" w:type="dxa"/>
            <w:vAlign w:val="top"/>
            <w:textDirection w:val="lrTb"/>
            <w:noWrap w:val="false"/>
          </w:tcPr>
          <w:p>
            <w:pPr>
              <w:pStyle w:val="1227"/>
              <w:ind w:left="87"/>
              <w:spacing w:before="243" w:line="184" w:lineRule="auto"/>
              <w:rPr>
                <w:sz w:val="28"/>
                <w:szCs w:val="28"/>
              </w:rPr>
            </w:pPr>
            <w:r>
              <w:rPr>
                <w:spacing w:val="-7"/>
                <w:sz w:val="28"/>
                <w:szCs w:val="28"/>
              </w:rPr>
              <w:t xml:space="preserve">1.6%</w:t>
            </w:r>
            <w:r/>
          </w:p>
        </w:tc>
      </w:tr>
      <w:tr>
        <w:trPr>
          <w:trHeight w:val="619"/>
        </w:trPr>
        <w:tc>
          <w:tcPr>
            <w:tcW w:w="6257" w:type="dxa"/>
            <w:vAlign w:val="top"/>
            <w:textDirection w:val="lrTb"/>
            <w:noWrap w:val="false"/>
          </w:tcPr>
          <w:p>
            <w:pPr>
              <w:pStyle w:val="1227"/>
              <w:ind w:left="114"/>
              <w:spacing w:before="165" w:line="219" w:lineRule="auto"/>
              <w:rPr>
                <w:sz w:val="28"/>
                <w:szCs w:val="28"/>
              </w:rPr>
            </w:pPr>
            <w:r>
              <w:rPr>
                <w:spacing w:val="3"/>
                <w:sz w:val="28"/>
                <w:szCs w:val="28"/>
              </w:rPr>
              <w:t xml:space="preserve">50-400万元(含400万元)</w:t>
            </w:r>
            <w:r/>
          </w:p>
        </w:tc>
        <w:tc>
          <w:tcPr>
            <w:tcW w:w="2382" w:type="dxa"/>
            <w:vAlign w:val="top"/>
            <w:textDirection w:val="lrTb"/>
            <w:noWrap w:val="false"/>
          </w:tcPr>
          <w:p>
            <w:pPr>
              <w:pStyle w:val="1227"/>
              <w:ind w:left="87"/>
              <w:spacing w:before="244" w:line="184" w:lineRule="auto"/>
              <w:rPr>
                <w:sz w:val="28"/>
                <w:szCs w:val="28"/>
              </w:rPr>
            </w:pPr>
            <w:r>
              <w:rPr>
                <w:spacing w:val="-7"/>
                <w:sz w:val="28"/>
                <w:szCs w:val="28"/>
              </w:rPr>
              <w:t xml:space="preserve">1.5%</w:t>
            </w:r>
            <w:r/>
          </w:p>
        </w:tc>
      </w:tr>
      <w:tr>
        <w:trPr>
          <w:trHeight w:val="619"/>
        </w:trPr>
        <w:tc>
          <w:tcPr>
            <w:tcW w:w="6257" w:type="dxa"/>
            <w:vAlign w:val="top"/>
            <w:textDirection w:val="lrTb"/>
            <w:noWrap w:val="false"/>
          </w:tcPr>
          <w:p>
            <w:pPr>
              <w:pStyle w:val="1227"/>
              <w:ind w:left="114"/>
              <w:spacing w:before="166" w:line="219" w:lineRule="auto"/>
              <w:rPr>
                <w:sz w:val="28"/>
                <w:szCs w:val="28"/>
              </w:rPr>
            </w:pPr>
            <w:r>
              <w:rPr>
                <w:spacing w:val="3"/>
                <w:sz w:val="28"/>
                <w:szCs w:val="28"/>
              </w:rPr>
              <w:t xml:space="preserve">400-1000万元(含1000万元)</w:t>
            </w:r>
            <w:r/>
          </w:p>
        </w:tc>
        <w:tc>
          <w:tcPr>
            <w:tcW w:w="2382" w:type="dxa"/>
            <w:vAlign w:val="top"/>
            <w:textDirection w:val="lrTb"/>
            <w:noWrap w:val="false"/>
          </w:tcPr>
          <w:p>
            <w:pPr>
              <w:pStyle w:val="1227"/>
              <w:ind w:left="87"/>
              <w:spacing w:before="245" w:line="184" w:lineRule="auto"/>
              <w:rPr>
                <w:sz w:val="28"/>
                <w:szCs w:val="28"/>
              </w:rPr>
            </w:pPr>
            <w:r>
              <w:rPr>
                <w:spacing w:val="-5"/>
                <w:sz w:val="28"/>
                <w:szCs w:val="28"/>
              </w:rPr>
              <w:t xml:space="preserve">1.1%</w:t>
            </w:r>
            <w:r/>
          </w:p>
        </w:tc>
      </w:tr>
      <w:tr>
        <w:trPr>
          <w:trHeight w:val="609"/>
        </w:trPr>
        <w:tc>
          <w:tcPr>
            <w:tcW w:w="6257" w:type="dxa"/>
            <w:vAlign w:val="top"/>
            <w:textDirection w:val="lrTb"/>
            <w:noWrap w:val="false"/>
          </w:tcPr>
          <w:p>
            <w:pPr>
              <w:pStyle w:val="1227"/>
              <w:ind w:left="114"/>
              <w:spacing w:before="157" w:line="219" w:lineRule="auto"/>
              <w:rPr>
                <w:sz w:val="28"/>
                <w:szCs w:val="28"/>
              </w:rPr>
            </w:pPr>
            <w:r>
              <w:rPr>
                <w:spacing w:val="3"/>
                <w:sz w:val="28"/>
                <w:szCs w:val="28"/>
              </w:rPr>
              <w:t xml:space="preserve">1000-5000万元(含5000万元)</w:t>
            </w:r>
            <w:r/>
          </w:p>
        </w:tc>
        <w:tc>
          <w:tcPr>
            <w:tcW w:w="2382" w:type="dxa"/>
            <w:vAlign w:val="top"/>
            <w:textDirection w:val="lrTb"/>
            <w:noWrap w:val="false"/>
          </w:tcPr>
          <w:p>
            <w:pPr>
              <w:pStyle w:val="1227"/>
              <w:ind w:left="87"/>
              <w:spacing w:before="237" w:line="183" w:lineRule="auto"/>
              <w:rPr>
                <w:sz w:val="28"/>
                <w:szCs w:val="28"/>
              </w:rPr>
            </w:pPr>
            <w:r>
              <w:rPr>
                <w:spacing w:val="-2"/>
                <w:sz w:val="28"/>
                <w:szCs w:val="28"/>
              </w:rPr>
              <w:t xml:space="preserve">0.8%</w:t>
            </w:r>
            <w:r/>
          </w:p>
        </w:tc>
      </w:tr>
      <w:tr>
        <w:trPr>
          <w:trHeight w:val="619"/>
        </w:trPr>
        <w:tc>
          <w:tcPr>
            <w:tcW w:w="6257" w:type="dxa"/>
            <w:vAlign w:val="top"/>
            <w:textDirection w:val="lrTb"/>
            <w:noWrap w:val="false"/>
          </w:tcPr>
          <w:p>
            <w:pPr>
              <w:pStyle w:val="1227"/>
              <w:ind w:left="114"/>
              <w:spacing w:before="168" w:line="219" w:lineRule="auto"/>
              <w:rPr>
                <w:sz w:val="28"/>
                <w:szCs w:val="28"/>
              </w:rPr>
            </w:pPr>
            <w:r>
              <w:rPr>
                <w:spacing w:val="4"/>
                <w:sz w:val="28"/>
                <w:szCs w:val="28"/>
              </w:rPr>
              <w:t xml:space="preserve">5000-1亿元(含1亿元)</w:t>
            </w:r>
            <w:r/>
          </w:p>
        </w:tc>
        <w:tc>
          <w:tcPr>
            <w:tcW w:w="2382" w:type="dxa"/>
            <w:vAlign w:val="top"/>
            <w:textDirection w:val="lrTb"/>
            <w:noWrap w:val="false"/>
          </w:tcPr>
          <w:p>
            <w:pPr>
              <w:pStyle w:val="1227"/>
              <w:ind w:left="87"/>
              <w:spacing w:before="248" w:line="183" w:lineRule="auto"/>
              <w:rPr>
                <w:sz w:val="28"/>
                <w:szCs w:val="28"/>
              </w:rPr>
            </w:pPr>
            <w:r>
              <w:rPr>
                <w:spacing w:val="-2"/>
                <w:sz w:val="28"/>
                <w:szCs w:val="28"/>
              </w:rPr>
              <w:t xml:space="preserve">0.25%</w:t>
            </w:r>
            <w:r/>
          </w:p>
        </w:tc>
      </w:tr>
      <w:tr>
        <w:trPr>
          <w:trHeight w:val="619"/>
        </w:trPr>
        <w:tc>
          <w:tcPr>
            <w:tcW w:w="6257" w:type="dxa"/>
            <w:vAlign w:val="top"/>
            <w:textDirection w:val="lrTb"/>
            <w:noWrap w:val="false"/>
          </w:tcPr>
          <w:p>
            <w:pPr>
              <w:pStyle w:val="1227"/>
              <w:ind w:left="114"/>
              <w:spacing w:before="169" w:line="219" w:lineRule="auto"/>
              <w:rPr>
                <w:sz w:val="28"/>
                <w:szCs w:val="28"/>
              </w:rPr>
            </w:pPr>
            <w:r>
              <w:rPr>
                <w:spacing w:val="5"/>
                <w:sz w:val="28"/>
                <w:szCs w:val="28"/>
              </w:rPr>
              <w:t xml:space="preserve">1-10亿元(含10亿元)</w:t>
            </w:r>
            <w:r/>
          </w:p>
        </w:tc>
        <w:tc>
          <w:tcPr>
            <w:tcW w:w="2382" w:type="dxa"/>
            <w:vAlign w:val="top"/>
            <w:textDirection w:val="lrTb"/>
            <w:noWrap w:val="false"/>
          </w:tcPr>
          <w:p>
            <w:pPr>
              <w:pStyle w:val="1227"/>
              <w:ind w:left="87"/>
              <w:spacing w:before="249" w:line="183" w:lineRule="auto"/>
              <w:rPr>
                <w:sz w:val="28"/>
                <w:szCs w:val="28"/>
              </w:rPr>
            </w:pPr>
            <w:r>
              <w:rPr>
                <w:spacing w:val="-2"/>
                <w:sz w:val="28"/>
                <w:szCs w:val="28"/>
              </w:rPr>
              <w:t xml:space="preserve">0.05%</w:t>
            </w:r>
            <w:r/>
          </w:p>
        </w:tc>
      </w:tr>
      <w:tr>
        <w:trPr>
          <w:trHeight w:val="609"/>
        </w:trPr>
        <w:tc>
          <w:tcPr>
            <w:tcW w:w="6257" w:type="dxa"/>
            <w:vAlign w:val="top"/>
            <w:textDirection w:val="lrTb"/>
            <w:noWrap w:val="false"/>
          </w:tcPr>
          <w:p>
            <w:pPr>
              <w:pStyle w:val="1227"/>
              <w:ind w:left="114"/>
              <w:spacing w:before="160" w:line="219" w:lineRule="auto"/>
              <w:rPr>
                <w:sz w:val="28"/>
                <w:szCs w:val="28"/>
              </w:rPr>
            </w:pPr>
            <w:r>
              <w:rPr>
                <w:spacing w:val="4"/>
                <w:sz w:val="28"/>
                <w:szCs w:val="28"/>
              </w:rPr>
              <w:t xml:space="preserve">10-50亿元(含50亿元)</w:t>
            </w:r>
            <w:r/>
          </w:p>
        </w:tc>
        <w:tc>
          <w:tcPr>
            <w:tcW w:w="2382" w:type="dxa"/>
            <w:vAlign w:val="top"/>
            <w:textDirection w:val="lrTb"/>
            <w:noWrap w:val="false"/>
          </w:tcPr>
          <w:p>
            <w:pPr>
              <w:pStyle w:val="1227"/>
              <w:ind w:left="87"/>
              <w:spacing w:before="239" w:line="184" w:lineRule="auto"/>
              <w:rPr>
                <w:sz w:val="28"/>
                <w:szCs w:val="28"/>
              </w:rPr>
            </w:pPr>
            <w:r>
              <w:rPr>
                <w:spacing w:val="-2"/>
                <w:sz w:val="28"/>
                <w:szCs w:val="28"/>
              </w:rPr>
              <w:t xml:space="preserve">0.01%</w:t>
            </w:r>
            <w:r/>
          </w:p>
        </w:tc>
      </w:tr>
      <w:tr>
        <w:trPr>
          <w:trHeight w:val="634"/>
        </w:trPr>
        <w:tc>
          <w:tcPr>
            <w:tcW w:w="6257" w:type="dxa"/>
            <w:vAlign w:val="top"/>
            <w:textDirection w:val="lrTb"/>
            <w:noWrap w:val="false"/>
          </w:tcPr>
          <w:p>
            <w:pPr>
              <w:pStyle w:val="1227"/>
              <w:ind w:left="114"/>
              <w:spacing w:before="172" w:line="220" w:lineRule="auto"/>
              <w:rPr>
                <w:sz w:val="28"/>
                <w:szCs w:val="28"/>
              </w:rPr>
            </w:pPr>
            <w:r>
              <w:rPr>
                <w:spacing w:val="2"/>
                <w:sz w:val="28"/>
                <w:szCs w:val="28"/>
              </w:rPr>
              <w:t xml:space="preserve">50亿元以上</w:t>
            </w:r>
            <w:r/>
          </w:p>
        </w:tc>
        <w:tc>
          <w:tcPr>
            <w:tcW w:w="2382" w:type="dxa"/>
            <w:vAlign w:val="top"/>
            <w:textDirection w:val="lrTb"/>
            <w:noWrap w:val="false"/>
          </w:tcPr>
          <w:p>
            <w:pPr>
              <w:pStyle w:val="1227"/>
              <w:ind w:left="87"/>
              <w:spacing w:before="251" w:line="183" w:lineRule="auto"/>
              <w:rPr>
                <w:sz w:val="28"/>
                <w:szCs w:val="28"/>
              </w:rPr>
            </w:pPr>
            <w:r>
              <w:rPr>
                <w:spacing w:val="-2"/>
                <w:sz w:val="28"/>
                <w:szCs w:val="28"/>
              </w:rPr>
              <w:t xml:space="preserve">0.005%</w:t>
            </w:r>
            <w:r/>
          </w:p>
        </w:tc>
      </w:tr>
    </w:tbl>
    <w:p>
      <w:pPr>
        <w:pStyle w:val="991"/>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991"/>
        <w:ind w:left="59" w:firstLine="750"/>
        <w:spacing w:before="149" w:line="292" w:lineRule="auto"/>
      </w:pPr>
      <w:r>
        <w:rPr>
          <w:rFonts w:ascii="宋体" w:hAnsi="宋体" w:eastAsia="宋体" w:cs="宋体"/>
          <w:spacing w:val="-1"/>
        </w:rPr>
        <w:t xml:space="preserve">1.</w:t>
      </w:r>
      <w:r>
        <w:rPr>
          <w:spacing w:val="-1"/>
        </w:rPr>
        <w:t xml:space="preserve">按上表计算的收费为代理服务全过程的收费金额。各社会</w:t>
      </w:r>
      <w:r>
        <w:rPr>
          <w:spacing w:val="-2"/>
        </w:rPr>
        <w:t xml:space="preserve">代理机构不再收取采购文件制作售卖费用。</w:t>
      </w:r>
      <w:r/>
    </w:p>
    <w:p>
      <w:pPr>
        <w:pStyle w:val="991"/>
        <w:ind w:left="699"/>
        <w:spacing w:before="57" w:line="222" w:lineRule="auto"/>
      </w:pPr>
      <w:r>
        <w:rPr>
          <w:rFonts w:ascii="宋体" w:hAnsi="宋体" w:eastAsia="宋体" w:cs="宋体"/>
          <w:spacing w:val="-2"/>
        </w:rPr>
        <w:t xml:space="preserve">2.</w:t>
      </w:r>
      <w:r>
        <w:rPr>
          <w:spacing w:val="-2"/>
        </w:rPr>
        <w:t xml:space="preserve">代理服务费按差额定率累进法计算。</w:t>
      </w:r>
      <w:r/>
    </w:p>
    <w:p>
      <w:pPr>
        <w:pStyle w:val="991"/>
        <w:ind w:left="110" w:right="27" w:firstLine="589"/>
        <w:spacing w:before="129" w:line="300" w:lineRule="auto"/>
      </w:pPr>
      <w:r>
        <w:rPr>
          <w:rFonts w:ascii="宋体" w:hAnsi="宋体" w:eastAsia="宋体" w:cs="宋体"/>
          <w:spacing w:val="8"/>
        </w:rPr>
        <w:t xml:space="preserve">3.</w:t>
      </w:r>
      <w:r>
        <w:rPr>
          <w:spacing w:val="8"/>
        </w:rPr>
        <w:t xml:space="preserve">代理服务费基准金额(按差额定率累进法计算的)=中标金</w:t>
      </w:r>
      <w:r>
        <w:rPr>
          <w:spacing w:val="44"/>
        </w:rPr>
        <w:t xml:space="preserve">额(按差额定率累进法计算的)*费率(%)。</w:t>
      </w:r>
      <w:r/>
    </w:p>
    <w:p>
      <w:pPr>
        <w:pStyle w:val="991"/>
        <w:ind w:left="110" w:right="21" w:firstLine="589"/>
        <w:spacing w:before="22" w:line="306" w:lineRule="auto"/>
      </w:pPr>
      <w:r>
        <w:rPr>
          <w:rFonts w:ascii="宋体" w:hAnsi="宋体" w:eastAsia="宋体" w:cs="宋体"/>
          <w:spacing w:val="3"/>
        </w:rPr>
        <w:t xml:space="preserve">4.</w:t>
      </w:r>
      <w:r>
        <w:rPr>
          <w:spacing w:val="3"/>
        </w:rPr>
        <w:t xml:space="preserve">代理服务费应收取金额=代理服务费基准</w:t>
      </w:r>
      <w:r>
        <w:rPr>
          <w:spacing w:val="2"/>
        </w:rPr>
        <w:t xml:space="preserve">金额(按差额定率</w:t>
      </w:r>
      <w:r>
        <w:rPr>
          <w:spacing w:val="9"/>
        </w:rPr>
        <w:t xml:space="preserve">累进法计算的)的合计数。</w:t>
      </w:r>
      <w:r/>
    </w:p>
    <w:p>
      <w:pPr>
        <w:pStyle w:val="991"/>
        <w:ind w:left="9" w:right="29" w:firstLine="689"/>
        <w:spacing w:before="13" w:line="300" w:lineRule="auto"/>
      </w:pPr>
      <w:r>
        <w:rPr>
          <w:rFonts w:ascii="宋体" w:hAnsi="宋体" w:eastAsia="宋体" w:cs="宋体"/>
          <w:spacing w:val="2"/>
        </w:rPr>
        <w:t xml:space="preserve">5.</w:t>
      </w:r>
      <w:r>
        <w:rPr>
          <w:spacing w:val="2"/>
        </w:rPr>
        <w:t xml:space="preserve">定点类等无金额或事先不能计算出价格总额的项目，按中</w:t>
      </w:r>
      <w:r>
        <w:rPr>
          <w:spacing w:val="30"/>
        </w:rPr>
        <w:t xml:space="preserve">标(成交)金额100万元计算。</w:t>
      </w:r>
      <w:r/>
    </w:p>
    <w:p>
      <w:pPr>
        <w:pStyle w:val="991"/>
        <w:ind w:left="699"/>
        <w:spacing w:before="40" w:line="222" w:lineRule="auto"/>
      </w:pPr>
      <w:r>
        <w:rPr>
          <w:rFonts w:ascii="宋体" w:hAnsi="宋体" w:eastAsia="宋体" w:cs="宋体"/>
          <w:spacing w:val="17"/>
        </w:rPr>
        <w:t xml:space="preserve">6.</w:t>
      </w:r>
      <w:r>
        <w:rPr>
          <w:spacing w:val="17"/>
        </w:rPr>
        <w:t xml:space="preserve">有分包(分标段)的按一个项目计算。</w:t>
      </w:r>
      <w:r/>
    </w:p>
    <w:p>
      <w:pPr>
        <w:pStyle w:val="991"/>
        <w:ind w:right="47" w:firstLine="699"/>
        <w:spacing w:before="118" w:line="302" w:lineRule="auto"/>
        <w:rPr>
          <w:spacing w:val="-2"/>
        </w:rPr>
      </w:pPr>
      <w:r>
        <w:rPr>
          <w:rFonts w:ascii="宋体" w:hAnsi="宋体" w:eastAsia="宋体" w:cs="宋体"/>
          <w:spacing w:val="2"/>
        </w:rPr>
        <w:t xml:space="preserve">7.</w:t>
      </w:r>
      <w:r>
        <w:rPr>
          <w:spacing w:val="2"/>
        </w:rPr>
        <w:t xml:space="preserve">以上价格为协会指导价，双方可根据项目难易程</w:t>
      </w:r>
      <w:r>
        <w:rPr>
          <w:spacing w:val="1"/>
        </w:rPr>
        <w:t xml:space="preserve">度和优质</w:t>
      </w:r>
      <w:r>
        <w:rPr>
          <w:spacing w:val="-2"/>
        </w:rPr>
        <w:t xml:space="preserve">优价原则协商确定。</w:t>
      </w:r>
      <w:r/>
    </w:p>
    <w:p>
      <w:pPr>
        <w:pStyle w:val="991"/>
        <w:ind w:right="47" w:firstLine="699"/>
        <w:spacing w:before="118" w:line="302" w:lineRule="auto"/>
        <w:rPr>
          <w:rFonts w:hint="default" w:eastAsia="宋体"/>
          <w:spacing w:val="-2"/>
          <w:lang w:val="en-US" w:eastAsia="zh-CN"/>
        </w:rPr>
      </w:pPr>
      <w:r>
        <w:rPr>
          <w:rFonts w:hint="eastAsia"/>
          <w:spacing w:val="-2"/>
          <w:lang w:val="en-US" w:eastAsia="zh-CN"/>
        </w:rPr>
        <w:t xml:space="preserve">8.本项目代理服务费由采购人支付。</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1"/>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TOC Heading"/>
    <w:uiPriority w:val="39"/>
    <w:unhideWhenUsed/>
  </w:style>
  <w:style w:type="paragraph" w:styleId="974" w:default="1">
    <w:name w:val="Normal"/>
    <w:next w:val="986"/>
    <w:uiPriority w:val="0"/>
    <w:qFormat/>
    <w:pPr>
      <w:jc w:val="both"/>
      <w:widowControl w:val="off"/>
    </w:pPr>
    <w:rPr>
      <w:rFonts w:ascii="Times New Roman" w:hAnsi="Times New Roman" w:eastAsia="宋体" w:cs="Times New Roman"/>
      <w:sz w:val="21"/>
      <w:szCs w:val="24"/>
      <w:lang w:val="en-US" w:eastAsia="zh-CN" w:bidi="ar-SA"/>
    </w:rPr>
  </w:style>
  <w:style w:type="paragraph" w:styleId="975">
    <w:name w:val="Heading 1"/>
    <w:basedOn w:val="974"/>
    <w:next w:val="974"/>
    <w:link w:val="1060"/>
    <w:uiPriority w:val="9"/>
    <w:qFormat/>
    <w:pPr>
      <w:keepLines/>
      <w:keepNext/>
      <w:spacing w:before="480" w:after="200"/>
      <w:outlineLvl w:val="0"/>
    </w:pPr>
    <w:rPr>
      <w:rFonts w:ascii="Arial" w:hAnsi="Arial" w:eastAsia="Arial" w:cs="Arial"/>
      <w:sz w:val="40"/>
      <w:szCs w:val="40"/>
    </w:rPr>
  </w:style>
  <w:style w:type="paragraph" w:styleId="976">
    <w:name w:val="Heading 2"/>
    <w:basedOn w:val="974"/>
    <w:next w:val="974"/>
    <w:link w:val="1061"/>
    <w:uiPriority w:val="9"/>
    <w:unhideWhenUsed/>
    <w:qFormat/>
    <w:pPr>
      <w:keepLines/>
      <w:keepNext/>
      <w:spacing w:before="360" w:after="200"/>
      <w:outlineLvl w:val="1"/>
    </w:pPr>
    <w:rPr>
      <w:rFonts w:ascii="Arial" w:hAnsi="Arial" w:eastAsia="Arial" w:cs="Arial"/>
      <w:sz w:val="34"/>
    </w:rPr>
  </w:style>
  <w:style w:type="paragraph" w:styleId="977">
    <w:name w:val="Heading 3"/>
    <w:basedOn w:val="974"/>
    <w:next w:val="974"/>
    <w:link w:val="1062"/>
    <w:uiPriority w:val="9"/>
    <w:unhideWhenUsed/>
    <w:qFormat/>
    <w:pPr>
      <w:keepLines/>
      <w:keepNext/>
      <w:spacing w:before="320" w:after="200"/>
      <w:outlineLvl w:val="2"/>
    </w:pPr>
    <w:rPr>
      <w:rFonts w:ascii="Arial" w:hAnsi="Arial" w:eastAsia="Arial" w:cs="Arial"/>
      <w:sz w:val="30"/>
      <w:szCs w:val="30"/>
    </w:rPr>
  </w:style>
  <w:style w:type="paragraph" w:styleId="978">
    <w:name w:val="Heading 4"/>
    <w:basedOn w:val="974"/>
    <w:next w:val="974"/>
    <w:link w:val="1063"/>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64"/>
    <w:uiPriority w:val="9"/>
    <w:unhideWhenUsed/>
    <w:qFormat/>
    <w:pPr>
      <w:keepLines/>
      <w:keepNext/>
      <w:spacing w:before="320" w:after="200"/>
      <w:outlineLvl w:val="4"/>
    </w:pPr>
    <w:rPr>
      <w:rFonts w:ascii="Arial" w:hAnsi="Arial" w:eastAsia="Arial" w:cs="Arial"/>
      <w:b/>
      <w:bCs/>
      <w:sz w:val="24"/>
    </w:rPr>
  </w:style>
  <w:style w:type="paragraph" w:styleId="980">
    <w:name w:val="Heading 6"/>
    <w:basedOn w:val="974"/>
    <w:next w:val="974"/>
    <w:link w:val="1065"/>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67"/>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68"/>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footnote text"/>
    <w:basedOn w:val="974"/>
    <w:next w:val="987"/>
    <w:link w:val="1205"/>
    <w:uiPriority w:val="0"/>
    <w:unhideWhenUsed/>
    <w:qFormat/>
    <w:pPr>
      <w:spacing w:after="40"/>
    </w:pPr>
    <w:rPr>
      <w:sz w:val="18"/>
    </w:rPr>
  </w:style>
  <w:style w:type="paragraph" w:styleId="987">
    <w:name w:val="index 5"/>
    <w:basedOn w:val="974"/>
    <w:next w:val="974"/>
    <w:uiPriority w:val="0"/>
    <w:qFormat/>
    <w:pPr>
      <w:ind w:left="798"/>
      <w:jc w:val="left"/>
    </w:pPr>
    <w:rPr>
      <w:rFonts w:ascii="Calibri" w:hAnsi="Calibri"/>
    </w:rPr>
  </w:style>
  <w:style w:type="paragraph" w:styleId="988">
    <w:name w:val="toc 7"/>
    <w:basedOn w:val="974"/>
    <w:next w:val="974"/>
    <w:uiPriority w:val="39"/>
    <w:unhideWhenUsed/>
    <w:qFormat/>
    <w:pPr>
      <w:ind w:left="1701"/>
      <w:spacing w:after="57"/>
    </w:pPr>
  </w:style>
  <w:style w:type="paragraph" w:styleId="989">
    <w:name w:val="Caption"/>
    <w:basedOn w:val="974"/>
    <w:next w:val="9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annotation text"/>
    <w:basedOn w:val="974"/>
    <w:uiPriority w:val="99"/>
    <w:semiHidden/>
    <w:unhideWhenUsed/>
    <w:qFormat/>
    <w:pPr>
      <w:jc w:val="left"/>
    </w:pPr>
  </w:style>
  <w:style w:type="paragraph" w:styleId="991">
    <w:name w:val="Body Text"/>
    <w:basedOn w:val="974"/>
    <w:uiPriority w:val="0"/>
    <w:qFormat/>
    <w:pPr>
      <w:spacing w:after="120"/>
    </w:pPr>
  </w:style>
  <w:style w:type="paragraph" w:styleId="992">
    <w:name w:val="Body Text Indent"/>
    <w:basedOn w:val="974"/>
    <w:next w:val="993"/>
    <w:uiPriority w:val="99"/>
    <w:qFormat/>
    <w:pPr>
      <w:ind w:left="420"/>
      <w:spacing w:after="120"/>
    </w:pPr>
  </w:style>
  <w:style w:type="paragraph" w:styleId="993">
    <w:name w:val="envelope return"/>
    <w:basedOn w:val="974"/>
    <w:uiPriority w:val="0"/>
    <w:qFormat/>
    <w:rPr>
      <w:rFonts w:ascii="Arial" w:hAnsi="Arial"/>
    </w:rPr>
  </w:style>
  <w:style w:type="paragraph" w:styleId="994">
    <w:name w:val="Block Text"/>
    <w:basedOn w:val="974"/>
    <w:uiPriority w:val="6"/>
    <w:qFormat/>
    <w:pPr>
      <w:ind w:left="420" w:right="33"/>
      <w:jc w:val="left"/>
    </w:pPr>
    <w:rPr>
      <w:sz w:val="24"/>
      <w:szCs w:val="20"/>
    </w:rPr>
  </w:style>
  <w:style w:type="paragraph" w:styleId="995">
    <w:name w:val="toc 5"/>
    <w:basedOn w:val="974"/>
    <w:next w:val="974"/>
    <w:uiPriority w:val="39"/>
    <w:unhideWhenUsed/>
    <w:qFormat/>
    <w:pPr>
      <w:ind w:left="1134"/>
      <w:spacing w:after="57"/>
    </w:pPr>
  </w:style>
  <w:style w:type="paragraph" w:styleId="996">
    <w:name w:val="toc 3"/>
    <w:basedOn w:val="974"/>
    <w:next w:val="974"/>
    <w:uiPriority w:val="39"/>
    <w:unhideWhenUsed/>
    <w:qFormat/>
    <w:pPr>
      <w:ind w:left="567"/>
      <w:spacing w:after="57"/>
    </w:pPr>
  </w:style>
  <w:style w:type="paragraph" w:styleId="997">
    <w:name w:val="toc 8"/>
    <w:basedOn w:val="974"/>
    <w:next w:val="974"/>
    <w:uiPriority w:val="39"/>
    <w:unhideWhenUsed/>
    <w:qFormat/>
    <w:pPr>
      <w:ind w:left="1984"/>
      <w:spacing w:after="57"/>
    </w:pPr>
  </w:style>
  <w:style w:type="paragraph" w:styleId="998">
    <w:name w:val="endnote text"/>
    <w:basedOn w:val="974"/>
    <w:link w:val="1206"/>
    <w:uiPriority w:val="99"/>
    <w:semiHidden/>
    <w:unhideWhenUsed/>
    <w:qFormat/>
    <w:rPr>
      <w:sz w:val="20"/>
    </w:rPr>
  </w:style>
  <w:style w:type="paragraph" w:styleId="999">
    <w:name w:val="Balloon Text"/>
    <w:basedOn w:val="974"/>
    <w:link w:val="1226"/>
    <w:uiPriority w:val="99"/>
    <w:semiHidden/>
    <w:unhideWhenUsed/>
    <w:qFormat/>
    <w:rPr>
      <w:sz w:val="18"/>
      <w:szCs w:val="18"/>
    </w:rPr>
  </w:style>
  <w:style w:type="paragraph" w:styleId="1000">
    <w:name w:val="Footer"/>
    <w:basedOn w:val="974"/>
    <w:link w:val="1079"/>
    <w:uiPriority w:val="0"/>
    <w:unhideWhenUsed/>
    <w:qFormat/>
    <w:pPr>
      <w:jc w:val="left"/>
      <w:tabs>
        <w:tab w:val="center" w:pos="4153" w:leader="none"/>
        <w:tab w:val="right" w:pos="8306" w:leader="none"/>
      </w:tabs>
    </w:pPr>
    <w:rPr>
      <w:sz w:val="18"/>
      <w:szCs w:val="18"/>
    </w:rPr>
  </w:style>
  <w:style w:type="paragraph" w:styleId="1001">
    <w:name w:val="Header"/>
    <w:basedOn w:val="974"/>
    <w:link w:val="107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02">
    <w:name w:val="toc 1"/>
    <w:basedOn w:val="974"/>
    <w:next w:val="974"/>
    <w:uiPriority w:val="39"/>
    <w:unhideWhenUsed/>
    <w:qFormat/>
    <w:pPr>
      <w:spacing w:after="57"/>
    </w:pPr>
  </w:style>
  <w:style w:type="paragraph" w:styleId="1003">
    <w:name w:val="toc 4"/>
    <w:basedOn w:val="974"/>
    <w:next w:val="974"/>
    <w:uiPriority w:val="39"/>
    <w:unhideWhenUsed/>
    <w:qFormat/>
    <w:pPr>
      <w:ind w:left="850"/>
      <w:spacing w:after="57"/>
    </w:pPr>
  </w:style>
  <w:style w:type="paragraph" w:styleId="1004">
    <w:name w:val="Subtitle"/>
    <w:basedOn w:val="974"/>
    <w:next w:val="974"/>
    <w:link w:val="1072"/>
    <w:uiPriority w:val="11"/>
    <w:qFormat/>
    <w:pPr>
      <w:spacing w:before="200" w:after="200"/>
    </w:pPr>
    <w:rPr>
      <w:sz w:val="24"/>
    </w:rPr>
  </w:style>
  <w:style w:type="paragraph" w:styleId="1005">
    <w:name w:val="toc 6"/>
    <w:basedOn w:val="974"/>
    <w:next w:val="974"/>
    <w:uiPriority w:val="39"/>
    <w:unhideWhenUsed/>
    <w:qFormat/>
    <w:pPr>
      <w:ind w:left="1417"/>
      <w:spacing w:after="57"/>
    </w:pPr>
  </w:style>
  <w:style w:type="paragraph" w:styleId="1006">
    <w:name w:val="table of figures"/>
    <w:basedOn w:val="974"/>
    <w:next w:val="974"/>
    <w:uiPriority w:val="99"/>
    <w:unhideWhenUsed/>
    <w:qFormat/>
  </w:style>
  <w:style w:type="paragraph" w:styleId="1007">
    <w:name w:val="toc 2"/>
    <w:basedOn w:val="974"/>
    <w:next w:val="974"/>
    <w:uiPriority w:val="39"/>
    <w:unhideWhenUsed/>
    <w:qFormat/>
    <w:pPr>
      <w:ind w:left="283"/>
      <w:spacing w:after="57"/>
    </w:pPr>
  </w:style>
  <w:style w:type="paragraph" w:styleId="1008">
    <w:name w:val="toc 9"/>
    <w:basedOn w:val="974"/>
    <w:next w:val="974"/>
    <w:uiPriority w:val="39"/>
    <w:unhideWhenUsed/>
    <w:qFormat/>
    <w:pPr>
      <w:ind w:left="2268"/>
      <w:spacing w:after="57"/>
    </w:pPr>
  </w:style>
  <w:style w:type="paragraph" w:styleId="1009">
    <w:name w:val="Body Text 2"/>
    <w:basedOn w:val="974"/>
    <w:uiPriority w:val="0"/>
    <w:qFormat/>
    <w:pPr>
      <w:jc w:val="center"/>
      <w:widowControl/>
    </w:pPr>
    <w:rPr>
      <w:rFonts w:ascii="楷体_GB2312" w:eastAsia="楷体_GB2312"/>
      <w:sz w:val="28"/>
      <w:szCs w:val="28"/>
    </w:rPr>
  </w:style>
  <w:style w:type="paragraph" w:styleId="1010">
    <w:name w:val="Normal (Web)"/>
    <w:basedOn w:val="974"/>
    <w:uiPriority w:val="0"/>
    <w:qFormat/>
    <w:pPr>
      <w:jc w:val="left"/>
      <w:spacing w:before="100" w:beforeAutospacing="1" w:after="100" w:afterAutospacing="1"/>
      <w:widowControl/>
    </w:pPr>
    <w:rPr>
      <w:rFonts w:ascii="宋体" w:hAnsi="宋体"/>
      <w:sz w:val="24"/>
    </w:rPr>
  </w:style>
  <w:style w:type="paragraph" w:styleId="1011">
    <w:name w:val="Title"/>
    <w:basedOn w:val="974"/>
    <w:next w:val="974"/>
    <w:link w:val="1071"/>
    <w:uiPriority w:val="10"/>
    <w:qFormat/>
    <w:pPr>
      <w:contextualSpacing/>
      <w:spacing w:before="300" w:after="200"/>
    </w:pPr>
    <w:rPr>
      <w:sz w:val="48"/>
      <w:szCs w:val="48"/>
    </w:rPr>
  </w:style>
  <w:style w:type="table" w:styleId="1012">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endnote reference"/>
    <w:uiPriority w:val="99"/>
    <w:semiHidden/>
    <w:unhideWhenUsed/>
    <w:qFormat/>
    <w:rPr>
      <w:vertAlign w:val="superscript"/>
    </w:rPr>
  </w:style>
  <w:style w:type="character" w:styleId="1014">
    <w:name w:val="page number"/>
    <w:basedOn w:val="984"/>
    <w:uiPriority w:val="0"/>
    <w:unhideWhenUsed/>
    <w:qFormat/>
  </w:style>
  <w:style w:type="character" w:styleId="1015">
    <w:name w:val="Hyperlink"/>
    <w:basedOn w:val="984"/>
    <w:uiPriority w:val="0"/>
    <w:qFormat/>
    <w:rPr>
      <w:color w:val="0000ff"/>
      <w:u w:val="single"/>
    </w:rPr>
  </w:style>
  <w:style w:type="character" w:styleId="1016">
    <w:name w:val="footnote reference"/>
    <w:uiPriority w:val="99"/>
    <w:unhideWhenUsed/>
    <w:qFormat/>
    <w:rPr>
      <w:vertAlign w:val="superscript"/>
    </w:rPr>
  </w:style>
  <w:style w:type="paragraph" w:styleId="1017" w:customStyle="1">
    <w:name w:val="一级条标题"/>
    <w:basedOn w:val="1018"/>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basedOn w:val="1019"/>
    <w:next w:val="974"/>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19" w:customStyle="1">
    <w:name w:val="正文1"/>
    <w:basedOn w:val="1020"/>
    <w:next w:val="1025"/>
    <w:uiPriority w:val="0"/>
    <w:qFormat/>
    <w:pPr>
      <w:ind w:firstLine="361"/>
      <w:spacing w:line="360" w:lineRule="auto"/>
    </w:pPr>
    <w:rPr>
      <w:rFonts w:ascii="宋体" w:hAnsi="宋体" w:eastAsia="仿宋_GB2312"/>
      <w:sz w:val="24"/>
    </w:rPr>
  </w:style>
  <w:style w:type="paragraph" w:styleId="1020" w:customStyle="1">
    <w:name w:val="正文11"/>
    <w:next w:val="1021"/>
    <w:link w:val="1225"/>
    <w:uiPriority w:val="0"/>
    <w:qFormat/>
    <w:pPr>
      <w:jc w:val="both"/>
    </w:pPr>
    <w:rPr>
      <w:rFonts w:ascii="Times New Roman" w:hAnsi="Times New Roman" w:eastAsia="宋体" w:cs="Times New Roman"/>
      <w:lang w:val="en-US" w:eastAsia="zh-CN" w:bidi="ar-SA"/>
    </w:rPr>
  </w:style>
  <w:style w:type="paragraph" w:styleId="1021" w:customStyle="1">
    <w:name w:val="文本块1"/>
    <w:basedOn w:val="1022"/>
    <w:next w:val="974"/>
    <w:uiPriority w:val="0"/>
    <w:qFormat/>
    <w:pPr>
      <w:ind w:left="256" w:right="6" w:firstLine="624"/>
    </w:pPr>
    <w:rPr>
      <w:sz w:val="28"/>
    </w:rPr>
  </w:style>
  <w:style w:type="paragraph" w:styleId="1022" w:customStyle="1">
    <w:name w:val="正文111"/>
    <w:next w:val="1023"/>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正文文本缩进1"/>
    <w:basedOn w:val="1020"/>
    <w:next w:val="1024"/>
    <w:uiPriority w:val="0"/>
    <w:qFormat/>
    <w:pPr>
      <w:ind w:left="420"/>
      <w:spacing w:after="120"/>
    </w:pPr>
  </w:style>
  <w:style w:type="paragraph" w:styleId="1024" w:customStyle="1">
    <w:name w:val="寄信人地址1"/>
    <w:basedOn w:val="1020"/>
    <w:uiPriority w:val="0"/>
    <w:qFormat/>
    <w:rPr>
      <w:rFonts w:ascii="Arial" w:hAnsi="Arial"/>
    </w:rPr>
  </w:style>
  <w:style w:type="paragraph" w:styleId="1025" w:customStyle="1">
    <w:name w:val="正文文本1"/>
    <w:basedOn w:val="1019"/>
    <w:next w:val="1017"/>
    <w:uiPriority w:val="0"/>
    <w:qFormat/>
    <w:pPr>
      <w:spacing w:after="120"/>
    </w:pPr>
  </w:style>
  <w:style w:type="paragraph" w:styleId="1026" w:customStyle="1">
    <w:name w:val="段"/>
    <w:basedOn w:val="1020"/>
    <w:next w:val="974"/>
    <w:uiPriority w:val="0"/>
    <w:qFormat/>
    <w:pPr>
      <w:ind w:firstLine="200"/>
    </w:pPr>
    <w:rPr>
      <w:rFonts w:hint="eastAsia" w:ascii="宋体"/>
    </w:rPr>
  </w:style>
  <w:style w:type="paragraph" w:styleId="1027" w:customStyle="1">
    <w:name w:val="标题1"/>
    <w:basedOn w:val="1019"/>
    <w:next w:val="1028"/>
    <w:uiPriority w:val="10"/>
    <w:qFormat/>
    <w:pPr>
      <w:contextualSpacing/>
      <w:spacing w:before="300" w:after="200"/>
    </w:pPr>
    <w:rPr>
      <w:sz w:val="48"/>
      <w:szCs w:val="48"/>
    </w:rPr>
  </w:style>
  <w:style w:type="paragraph" w:styleId="1028" w:customStyle="1">
    <w:name w:val="纯文本1"/>
    <w:basedOn w:val="1019"/>
    <w:uiPriority w:val="0"/>
    <w:qFormat/>
    <w:rPr>
      <w:rFonts w:hAnsi="Courier New"/>
      <w:szCs w:val="21"/>
    </w:rPr>
  </w:style>
  <w:style w:type="paragraph" w:styleId="1029" w:customStyle="1">
    <w:name w:val="标题 41"/>
    <w:basedOn w:val="1030"/>
    <w:next w:val="1020"/>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2"/>
    <w:next w:val="103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1" w:customStyle="1">
    <w:name w:val="脚注文本1"/>
    <w:basedOn w:val="1019"/>
    <w:next w:val="1032"/>
    <w:uiPriority w:val="0"/>
    <w:qFormat/>
    <w:rPr>
      <w:sz w:val="18"/>
      <w:szCs w:val="18"/>
    </w:rPr>
  </w:style>
  <w:style w:type="paragraph" w:styleId="1032" w:customStyle="1">
    <w:name w:val="索引 51"/>
    <w:basedOn w:val="1019"/>
    <w:next w:val="1019"/>
    <w:uiPriority w:val="0"/>
    <w:qFormat/>
    <w:pPr>
      <w:ind w:left="798"/>
      <w:jc w:val="left"/>
    </w:pPr>
    <w:rPr>
      <w:rFonts w:ascii="Calibri" w:hAnsi="Calibri"/>
    </w:rPr>
  </w:style>
  <w:style w:type="paragraph" w:styleId="1033" w:customStyle="1">
    <w:name w:val="正文首行缩进1"/>
    <w:basedOn w:val="1034"/>
    <w:next w:val="1036"/>
    <w:uiPriority w:val="99"/>
    <w:unhideWhenUsed/>
    <w:qFormat/>
    <w:pPr>
      <w:ind w:firstLine="420"/>
    </w:pPr>
    <w:rPr>
      <w:sz w:val="22"/>
      <w:szCs w:val="22"/>
    </w:rPr>
  </w:style>
  <w:style w:type="paragraph" w:styleId="1034" w:customStyle="1">
    <w:name w:val="正文文本11"/>
    <w:basedOn w:val="1035"/>
    <w:next w:val="1020"/>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首行缩进 21"/>
    <w:basedOn w:val="1023"/>
    <w:next w:val="1022"/>
    <w:uiPriority w:val="0"/>
    <w:qFormat/>
    <w:pPr>
      <w:ind w:firstLine="420"/>
    </w:pPr>
    <w:rPr>
      <w:sz w:val="28"/>
    </w:rPr>
  </w:style>
  <w:style w:type="paragraph" w:styleId="1037" w:customStyle="1">
    <w:name w:val="正文首行缩进11"/>
    <w:basedOn w:val="1025"/>
    <w:next w:val="1038"/>
    <w:uiPriority w:val="0"/>
    <w:qFormat/>
    <w:pPr>
      <w:ind w:firstLine="420"/>
    </w:pPr>
    <w:rPr>
      <w:rFonts w:ascii="仿宋_GB2312"/>
      <w:sz w:val="30"/>
      <w:szCs w:val="30"/>
    </w:rPr>
  </w:style>
  <w:style w:type="paragraph" w:styleId="1038" w:customStyle="1">
    <w:name w:val="正文首行缩进 211"/>
    <w:basedOn w:val="1039"/>
    <w:uiPriority w:val="99"/>
    <w:unhideWhenUsed/>
    <w:qFormat/>
    <w:pPr>
      <w:ind w:left="0" w:firstLine="420"/>
    </w:pPr>
  </w:style>
  <w:style w:type="paragraph" w:styleId="1039" w:customStyle="1">
    <w:name w:val="正文文本缩进11"/>
    <w:basedOn w:val="1030"/>
    <w:next w:val="1040"/>
    <w:uiPriority w:val="0"/>
    <w:qFormat/>
    <w:pPr>
      <w:ind w:left="420"/>
      <w:spacing w:after="120"/>
    </w:pPr>
  </w:style>
  <w:style w:type="paragraph" w:styleId="1040" w:customStyle="1">
    <w:name w:val="寄信人地址11"/>
    <w:basedOn w:val="1030"/>
    <w:uiPriority w:val="0"/>
    <w:qFormat/>
    <w:rPr>
      <w:rFonts w:ascii="Arial" w:hAnsi="Arial"/>
    </w:rPr>
  </w:style>
  <w:style w:type="paragraph" w:styleId="1041" w:customStyle="1">
    <w:name w:val="标题 21"/>
    <w:basedOn w:val="974"/>
    <w:next w:val="102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42" w:customStyle="1">
    <w:name w:val="Heading 1 Char"/>
    <w:basedOn w:val="984"/>
    <w:uiPriority w:val="9"/>
    <w:qFormat/>
    <w:rPr>
      <w:rFonts w:ascii="Arial" w:hAnsi="Arial" w:eastAsia="Arial" w:cs="Arial"/>
      <w:sz w:val="40"/>
      <w:szCs w:val="40"/>
    </w:rPr>
  </w:style>
  <w:style w:type="character" w:styleId="1043" w:customStyle="1">
    <w:name w:val="Heading 2 Char"/>
    <w:basedOn w:val="984"/>
    <w:uiPriority w:val="9"/>
    <w:qFormat/>
    <w:rPr>
      <w:rFonts w:ascii="Arial" w:hAnsi="Arial" w:eastAsia="Arial" w:cs="Arial"/>
      <w:sz w:val="34"/>
    </w:rPr>
  </w:style>
  <w:style w:type="character" w:styleId="1044" w:customStyle="1">
    <w:name w:val="Heading 3 Char"/>
    <w:basedOn w:val="984"/>
    <w:uiPriority w:val="9"/>
    <w:qFormat/>
    <w:rPr>
      <w:rFonts w:ascii="Arial" w:hAnsi="Arial" w:eastAsia="Arial" w:cs="Arial"/>
      <w:sz w:val="30"/>
      <w:szCs w:val="30"/>
    </w:rPr>
  </w:style>
  <w:style w:type="character" w:styleId="1045" w:customStyle="1">
    <w:name w:val="Heading 4 Char"/>
    <w:basedOn w:val="984"/>
    <w:uiPriority w:val="9"/>
    <w:qFormat/>
    <w:rPr>
      <w:rFonts w:ascii="Arial" w:hAnsi="Arial" w:eastAsia="Arial" w:cs="Arial"/>
      <w:b/>
      <w:bCs/>
      <w:sz w:val="26"/>
      <w:szCs w:val="26"/>
    </w:rPr>
  </w:style>
  <w:style w:type="character" w:styleId="1046" w:customStyle="1">
    <w:name w:val="Heading 5 Char"/>
    <w:basedOn w:val="984"/>
    <w:uiPriority w:val="9"/>
    <w:qFormat/>
    <w:rPr>
      <w:rFonts w:ascii="Arial" w:hAnsi="Arial" w:eastAsia="Arial" w:cs="Arial"/>
      <w:b/>
      <w:bCs/>
      <w:sz w:val="24"/>
      <w:szCs w:val="24"/>
    </w:rPr>
  </w:style>
  <w:style w:type="character" w:styleId="1047" w:customStyle="1">
    <w:name w:val="Heading 6 Char"/>
    <w:basedOn w:val="984"/>
    <w:uiPriority w:val="9"/>
    <w:qFormat/>
    <w:rPr>
      <w:rFonts w:ascii="Arial" w:hAnsi="Arial" w:eastAsia="Arial" w:cs="Arial"/>
      <w:b/>
      <w:bCs/>
      <w:sz w:val="22"/>
      <w:szCs w:val="22"/>
    </w:rPr>
  </w:style>
  <w:style w:type="character" w:styleId="1048" w:customStyle="1">
    <w:name w:val="Heading 7 Char"/>
    <w:basedOn w:val="984"/>
    <w:uiPriority w:val="9"/>
    <w:qFormat/>
    <w:rPr>
      <w:rFonts w:ascii="Arial" w:hAnsi="Arial" w:eastAsia="Arial" w:cs="Arial"/>
      <w:b/>
      <w:bCs/>
      <w:i/>
      <w:iCs/>
      <w:sz w:val="22"/>
      <w:szCs w:val="22"/>
    </w:rPr>
  </w:style>
  <w:style w:type="character" w:styleId="1049" w:customStyle="1">
    <w:name w:val="Heading 8 Char"/>
    <w:basedOn w:val="984"/>
    <w:uiPriority w:val="9"/>
    <w:qFormat/>
    <w:rPr>
      <w:rFonts w:ascii="Arial" w:hAnsi="Arial" w:eastAsia="Arial" w:cs="Arial"/>
      <w:i/>
      <w:iCs/>
      <w:sz w:val="22"/>
      <w:szCs w:val="22"/>
    </w:rPr>
  </w:style>
  <w:style w:type="character" w:styleId="1050" w:customStyle="1">
    <w:name w:val="Heading 9 Char"/>
    <w:basedOn w:val="984"/>
    <w:uiPriority w:val="9"/>
    <w:qFormat/>
    <w:rPr>
      <w:rFonts w:ascii="Arial" w:hAnsi="Arial" w:eastAsia="Arial" w:cs="Arial"/>
      <w:i/>
      <w:iCs/>
      <w:sz w:val="21"/>
      <w:szCs w:val="21"/>
    </w:rPr>
  </w:style>
  <w:style w:type="character" w:styleId="1051" w:customStyle="1">
    <w:name w:val="Title Char"/>
    <w:basedOn w:val="984"/>
    <w:uiPriority w:val="10"/>
    <w:qFormat/>
    <w:rPr>
      <w:sz w:val="48"/>
      <w:szCs w:val="48"/>
    </w:rPr>
  </w:style>
  <w:style w:type="character" w:styleId="1052" w:customStyle="1">
    <w:name w:val="Subtitle Char"/>
    <w:basedOn w:val="984"/>
    <w:uiPriority w:val="11"/>
    <w:qFormat/>
    <w:rPr>
      <w:sz w:val="24"/>
      <w:szCs w:val="24"/>
    </w:rPr>
  </w:style>
  <w:style w:type="character" w:styleId="1053" w:customStyle="1">
    <w:name w:val="Quote Char"/>
    <w:uiPriority w:val="29"/>
    <w:qFormat/>
    <w:rPr>
      <w:i/>
    </w:rPr>
  </w:style>
  <w:style w:type="character" w:styleId="1054" w:customStyle="1">
    <w:name w:val="Intense Quote Char"/>
    <w:uiPriority w:val="30"/>
    <w:qFormat/>
    <w:rPr>
      <w:i/>
    </w:rPr>
  </w:style>
  <w:style w:type="character" w:styleId="1055" w:customStyle="1">
    <w:name w:val="Header Char"/>
    <w:basedOn w:val="984"/>
    <w:uiPriority w:val="99"/>
    <w:qFormat/>
  </w:style>
  <w:style w:type="character" w:styleId="1056" w:customStyle="1">
    <w:name w:val="Caption Char"/>
    <w:uiPriority w:val="99"/>
    <w:qFormat/>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无间隔1"/>
    <w:uiPriority w:val="0"/>
    <w:qFormat/>
    <w:rPr>
      <w:rFonts w:ascii="Times New Roman" w:hAnsi="Times New Roman" w:eastAsia="宋体" w:cs="Times New Roman"/>
      <w:sz w:val="22"/>
      <w:szCs w:val="22"/>
      <w:lang w:val="en-US" w:eastAsia="en-US" w:bidi="ar-SA"/>
    </w:rPr>
  </w:style>
  <w:style w:type="character" w:styleId="1060" w:customStyle="1">
    <w:name w:val="标题 1 Char"/>
    <w:link w:val="975"/>
    <w:uiPriority w:val="9"/>
    <w:qFormat/>
    <w:rPr>
      <w:rFonts w:ascii="Arial" w:hAnsi="Arial" w:eastAsia="Arial" w:cs="Arial"/>
      <w:sz w:val="40"/>
      <w:szCs w:val="40"/>
    </w:rPr>
  </w:style>
  <w:style w:type="character" w:styleId="1061" w:customStyle="1">
    <w:name w:val="标题 2 Char"/>
    <w:link w:val="976"/>
    <w:uiPriority w:val="9"/>
    <w:qFormat/>
    <w:rPr>
      <w:rFonts w:ascii="Arial" w:hAnsi="Arial" w:eastAsia="Arial" w:cs="Arial"/>
      <w:sz w:val="34"/>
    </w:rPr>
  </w:style>
  <w:style w:type="character" w:styleId="1062" w:customStyle="1">
    <w:name w:val="标题 3 Char"/>
    <w:link w:val="977"/>
    <w:uiPriority w:val="9"/>
    <w:qFormat/>
    <w:rPr>
      <w:rFonts w:ascii="Arial" w:hAnsi="Arial" w:eastAsia="Arial" w:cs="Arial"/>
      <w:sz w:val="30"/>
      <w:szCs w:val="30"/>
    </w:rPr>
  </w:style>
  <w:style w:type="character" w:styleId="1063" w:customStyle="1">
    <w:name w:val="标题 4 Char"/>
    <w:link w:val="978"/>
    <w:uiPriority w:val="9"/>
    <w:qFormat/>
    <w:rPr>
      <w:rFonts w:ascii="Arial" w:hAnsi="Arial" w:eastAsia="Arial" w:cs="Arial"/>
      <w:b/>
      <w:bCs/>
      <w:sz w:val="26"/>
      <w:szCs w:val="26"/>
    </w:rPr>
  </w:style>
  <w:style w:type="character" w:styleId="1064" w:customStyle="1">
    <w:name w:val="标题 5 Char"/>
    <w:link w:val="979"/>
    <w:uiPriority w:val="9"/>
    <w:qFormat/>
    <w:rPr>
      <w:rFonts w:ascii="Arial" w:hAnsi="Arial" w:eastAsia="Arial" w:cs="Arial"/>
      <w:b/>
      <w:bCs/>
      <w:sz w:val="24"/>
      <w:szCs w:val="24"/>
    </w:rPr>
  </w:style>
  <w:style w:type="character" w:styleId="1065" w:customStyle="1">
    <w:name w:val="标题 6 Char"/>
    <w:link w:val="980"/>
    <w:uiPriority w:val="9"/>
    <w:qFormat/>
    <w:rPr>
      <w:rFonts w:ascii="Arial" w:hAnsi="Arial" w:eastAsia="Arial" w:cs="Arial"/>
      <w:b/>
      <w:bCs/>
      <w:sz w:val="22"/>
      <w:szCs w:val="22"/>
    </w:rPr>
  </w:style>
  <w:style w:type="character" w:styleId="1066" w:customStyle="1">
    <w:name w:val="标题 7 Char"/>
    <w:link w:val="981"/>
    <w:uiPriority w:val="9"/>
    <w:qFormat/>
    <w:rPr>
      <w:rFonts w:ascii="Arial" w:hAnsi="Arial" w:eastAsia="Arial" w:cs="Arial"/>
      <w:b/>
      <w:bCs/>
      <w:i/>
      <w:iCs/>
      <w:sz w:val="22"/>
      <w:szCs w:val="22"/>
    </w:rPr>
  </w:style>
  <w:style w:type="character" w:styleId="1067" w:customStyle="1">
    <w:name w:val="标题 8 Char"/>
    <w:link w:val="982"/>
    <w:uiPriority w:val="9"/>
    <w:qFormat/>
    <w:rPr>
      <w:rFonts w:ascii="Arial" w:hAnsi="Arial" w:eastAsia="Arial" w:cs="Arial"/>
      <w:i/>
      <w:iCs/>
      <w:sz w:val="22"/>
      <w:szCs w:val="22"/>
    </w:rPr>
  </w:style>
  <w:style w:type="character" w:styleId="1068" w:customStyle="1">
    <w:name w:val="标题 9 Char"/>
    <w:link w:val="983"/>
    <w:uiPriority w:val="9"/>
    <w:qFormat/>
    <w:rPr>
      <w:rFonts w:ascii="Arial" w:hAnsi="Arial" w:eastAsia="Arial" w:cs="Arial"/>
      <w:i/>
      <w:iCs/>
      <w:sz w:val="21"/>
      <w:szCs w:val="21"/>
    </w:rPr>
  </w:style>
  <w:style w:type="paragraph" w:styleId="1069">
    <w:name w:val="List Paragraph"/>
    <w:basedOn w:val="974"/>
    <w:uiPriority w:val="34"/>
    <w:qFormat/>
    <w:pPr>
      <w:contextualSpacing/>
      <w:ind w:left="720"/>
    </w:pPr>
  </w:style>
  <w:style w:type="paragraph" w:styleId="1070">
    <w:name w:val="No Spacing"/>
    <w:uiPriority w:val="1"/>
    <w:qFormat/>
    <w:rPr>
      <w:rFonts w:ascii="Times New Roman" w:hAnsi="Times New Roman" w:eastAsia="宋体" w:cs="Times New Roman"/>
      <w:lang w:val="en-US" w:eastAsia="zh-CN" w:bidi="ar-SA"/>
    </w:rPr>
  </w:style>
  <w:style w:type="character" w:styleId="1071" w:customStyle="1">
    <w:name w:val="标题 Char"/>
    <w:link w:val="1011"/>
    <w:uiPriority w:val="10"/>
    <w:qFormat/>
    <w:rPr>
      <w:sz w:val="48"/>
      <w:szCs w:val="48"/>
    </w:rPr>
  </w:style>
  <w:style w:type="character" w:styleId="1072" w:customStyle="1">
    <w:name w:val="副标题 Char"/>
    <w:link w:val="1004"/>
    <w:uiPriority w:val="11"/>
    <w:qFormat/>
    <w:rPr>
      <w:sz w:val="24"/>
      <w:szCs w:val="24"/>
    </w:rPr>
  </w:style>
  <w:style w:type="paragraph" w:styleId="1073">
    <w:name w:val="Quote"/>
    <w:basedOn w:val="974"/>
    <w:next w:val="974"/>
    <w:link w:val="1074"/>
    <w:uiPriority w:val="29"/>
    <w:qFormat/>
    <w:pPr>
      <w:ind w:left="720" w:right="720"/>
    </w:pPr>
    <w:rPr>
      <w:i/>
    </w:rPr>
  </w:style>
  <w:style w:type="character" w:styleId="1074" w:customStyle="1">
    <w:name w:val="引用 Char"/>
    <w:link w:val="1073"/>
    <w:uiPriority w:val="29"/>
    <w:qFormat/>
    <w:rPr>
      <w:i/>
    </w:rPr>
  </w:style>
  <w:style w:type="paragraph" w:styleId="1075">
    <w:name w:val="Intense Quote"/>
    <w:basedOn w:val="974"/>
    <w:next w:val="974"/>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Char"/>
    <w:link w:val="1075"/>
    <w:uiPriority w:val="30"/>
    <w:qFormat/>
    <w:rPr>
      <w:i/>
    </w:rPr>
  </w:style>
  <w:style w:type="character" w:styleId="1077" w:customStyle="1">
    <w:name w:val="页眉 Char"/>
    <w:link w:val="1001"/>
    <w:uiPriority w:val="0"/>
    <w:qFormat/>
  </w:style>
  <w:style w:type="character" w:styleId="1078" w:customStyle="1">
    <w:name w:val="Footer Char"/>
    <w:uiPriority w:val="99"/>
    <w:qFormat/>
  </w:style>
  <w:style w:type="character" w:styleId="1079" w:customStyle="1">
    <w:name w:val="页脚 Char"/>
    <w:link w:val="1000"/>
    <w:uiPriority w:val="0"/>
    <w:qFormat/>
  </w:style>
  <w:style w:type="table" w:styleId="10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脚注文本 Char"/>
    <w:link w:val="986"/>
    <w:uiPriority w:val="99"/>
    <w:qFormat/>
    <w:rPr>
      <w:sz w:val="18"/>
    </w:rPr>
  </w:style>
  <w:style w:type="character" w:styleId="1206" w:customStyle="1">
    <w:name w:val="尾注文本 Char"/>
    <w:link w:val="998"/>
    <w:uiPriority w:val="99"/>
    <w:qFormat/>
    <w:rPr>
      <w:sz w:val="20"/>
    </w:rPr>
  </w:style>
  <w:style w:type="paragraph" w:styleId="1207" w:customStyle="1">
    <w:name w:val="TOC 标题1"/>
    <w:uiPriority w:val="39"/>
    <w:unhideWhenUsed/>
    <w:qFormat/>
    <w:rPr>
      <w:rFonts w:ascii="Times New Roman" w:hAnsi="Times New Roman" w:eastAsia="宋体" w:cs="Times New Roman"/>
      <w:lang w:val="en-US" w:eastAsia="zh-CN" w:bidi="ar-SA"/>
    </w:rPr>
  </w:style>
  <w:style w:type="paragraph" w:styleId="1208" w:customStyle="1">
    <w:name w:val="目录 11"/>
    <w:basedOn w:val="1030"/>
    <w:next w:val="1030"/>
    <w:uiPriority w:val="0"/>
    <w:qFormat/>
    <w:pPr>
      <w:spacing w:after="100" w:line="259" w:lineRule="auto"/>
    </w:pPr>
    <w:rPr>
      <w:rFonts w:ascii="Calibri" w:hAnsi="Calibri"/>
      <w:sz w:val="22"/>
      <w:szCs w:val="22"/>
    </w:rPr>
  </w:style>
  <w:style w:type="character" w:styleId="1209" w:customStyle="1">
    <w:name w:val="NormalCharacter1"/>
    <w:uiPriority w:val="0"/>
    <w:semiHidden/>
    <w:qFormat/>
    <w:rPr>
      <w:rFonts w:ascii="Times New Roman" w:hAnsi="Times New Roman" w:eastAsia="宋体" w:cs="Times New Roman"/>
      <w:sz w:val="21"/>
      <w:szCs w:val="24"/>
    </w:rPr>
  </w:style>
  <w:style w:type="character" w:styleId="1210" w:customStyle="1">
    <w:name w:val="页码1"/>
    <w:basedOn w:val="1211"/>
    <w:uiPriority w:val="0"/>
    <w:qFormat/>
  </w:style>
  <w:style w:type="character" w:styleId="1211" w:customStyle="1">
    <w:name w:val="默认段落字体1"/>
    <w:uiPriority w:val="0"/>
    <w:semiHidden/>
    <w:qFormat/>
  </w:style>
  <w:style w:type="paragraph" w:styleId="1212" w:customStyle="1">
    <w:name w:val="正文1111"/>
    <w:next w:val="1213"/>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文本块11"/>
    <w:basedOn w:val="1212"/>
    <w:uiPriority w:val="0"/>
    <w:qFormat/>
    <w:pPr>
      <w:ind w:left="567" w:right="454" w:firstLine="498"/>
      <w:jc w:val="left"/>
      <w:widowControl/>
    </w:pPr>
    <w:rPr>
      <w:rFonts w:ascii="仿宋_GB2312" w:eastAsia="仿宋_GB2312"/>
      <w:sz w:val="30"/>
      <w:szCs w:val="20"/>
    </w:rPr>
  </w:style>
  <w:style w:type="paragraph" w:styleId="1214" w:customStyle="1">
    <w:name w:val="正文文本111"/>
    <w:basedOn w:val="1030"/>
    <w:next w:val="1030"/>
    <w:uiPriority w:val="0"/>
    <w:qFormat/>
  </w:style>
  <w:style w:type="paragraph" w:styleId="1215" w:customStyle="1">
    <w:name w:val="页脚1"/>
    <w:basedOn w:val="974"/>
    <w:uiPriority w:val="99"/>
    <w:qFormat/>
    <w:pPr>
      <w:jc w:val="left"/>
      <w:tabs>
        <w:tab w:val="center" w:pos="4153" w:leader="none"/>
        <w:tab w:val="right" w:pos="8306" w:leader="none"/>
      </w:tabs>
    </w:pPr>
    <w:rPr>
      <w:sz w:val="18"/>
      <w:szCs w:val="18"/>
    </w:rPr>
  </w:style>
  <w:style w:type="paragraph" w:styleId="1216" w:customStyle="1">
    <w:name w:val="普通(网站)1"/>
    <w:basedOn w:val="1020"/>
    <w:uiPriority w:val="0"/>
    <w:qFormat/>
    <w:pPr>
      <w:jc w:val="left"/>
      <w:spacing w:before="100" w:beforeAutospacing="1" w:after="100" w:afterAutospacing="1"/>
    </w:pPr>
    <w:rPr>
      <w:rFonts w:ascii="宋体" w:hAnsi="宋体"/>
      <w:sz w:val="24"/>
      <w:szCs w:val="24"/>
    </w:rPr>
  </w:style>
  <w:style w:type="paragraph" w:styleId="1217" w:customStyle="1">
    <w:name w:val="正文_0"/>
    <w:uiPriority w:val="0"/>
    <w:unhideWhenUsed/>
    <w:qFormat/>
    <w:rPr>
      <w:rFonts w:hint="eastAsia" w:ascii="Times New Roman" w:hAnsi="Times New Roman" w:eastAsia="宋体" w:cs="Times New Roman"/>
      <w:sz w:val="21"/>
      <w:lang w:val="en-US" w:eastAsia="zh-CN" w:bidi="ar-SA"/>
    </w:rPr>
  </w:style>
  <w:style w:type="paragraph" w:styleId="1218" w:customStyle="1">
    <w:name w:val="Fließtext"/>
    <w:basedOn w:val="974"/>
    <w:uiPriority w:val="99"/>
    <w:qFormat/>
    <w:rPr>
      <w:rFonts w:ascii="Calibri" w:hAnsi="Calibri"/>
    </w:rPr>
  </w:style>
  <w:style w:type="paragraph" w:styleId="121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20" w:customStyle="1">
    <w:name w:val="页眉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22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222" w:customStyle="1">
    <w:name w:val="标题 411"/>
    <w:basedOn w:val="1030"/>
    <w:next w:val="1030"/>
    <w:uiPriority w:val="0"/>
    <w:qFormat/>
    <w:pPr>
      <w:keepLines/>
      <w:keepNext/>
      <w:spacing w:before="320" w:after="200"/>
      <w:outlineLvl w:val="3"/>
    </w:pPr>
    <w:rPr>
      <w:rFonts w:ascii="Arial" w:hAnsi="Arial" w:eastAsia="Arial"/>
      <w:b/>
      <w:bCs/>
      <w:sz w:val="26"/>
      <w:szCs w:val="26"/>
    </w:rPr>
  </w:style>
  <w:style w:type="paragraph" w:styleId="1223" w:customStyle="1">
    <w:name w:val="标题 311"/>
    <w:basedOn w:val="1030"/>
    <w:next w:val="1030"/>
    <w:uiPriority w:val="0"/>
    <w:qFormat/>
    <w:pPr>
      <w:keepLines/>
      <w:keepNext/>
      <w:spacing w:before="320" w:after="200"/>
      <w:outlineLvl w:val="2"/>
    </w:pPr>
    <w:rPr>
      <w:rFonts w:ascii="Arial" w:hAnsi="Arial" w:eastAsia="Arial"/>
      <w:sz w:val="30"/>
      <w:szCs w:val="30"/>
    </w:rPr>
  </w:style>
  <w:style w:type="paragraph" w:styleId="1224" w:customStyle="1">
    <w:name w:val="Char Char Char Char Char Char Char"/>
    <w:basedOn w:val="974"/>
    <w:uiPriority w:val="0"/>
    <w:qFormat/>
    <w:pPr>
      <w:ind w:left="-60"/>
      <w:tabs>
        <w:tab w:val="left" w:pos="360" w:leader="none"/>
        <w:tab w:val="left" w:pos="720" w:leader="none"/>
      </w:tabs>
    </w:pPr>
    <w:rPr>
      <w:rFonts w:ascii="等线" w:hAnsi="等线"/>
    </w:rPr>
  </w:style>
  <w:style w:type="character" w:styleId="1225" w:customStyle="1">
    <w:name w:val="NormalCharacter"/>
    <w:link w:val="1020"/>
    <w:uiPriority w:val="0"/>
    <w:semiHidden/>
    <w:qFormat/>
    <w:rPr>
      <w:rFonts w:hint="default" w:ascii="Times New Roman" w:hAnsi="Times New Roman" w:eastAsia="宋体" w:cs="Times New Roman"/>
      <w:lang w:val="en-US" w:eastAsia="zh-CN" w:bidi="ar-SA"/>
    </w:rPr>
  </w:style>
  <w:style w:type="character" w:styleId="1226" w:customStyle="1">
    <w:name w:val="批注框文本 Char"/>
    <w:basedOn w:val="984"/>
    <w:link w:val="999"/>
    <w:uiPriority w:val="99"/>
    <w:semiHidden/>
    <w:qFormat/>
    <w:rPr>
      <w:sz w:val="18"/>
      <w:szCs w:val="18"/>
    </w:rPr>
  </w:style>
  <w:style w:type="paragraph" w:styleId="1227" w:customStyle="1">
    <w:name w:val="Table Text"/>
    <w:basedOn w:val="974"/>
    <w:uiPriority w:val="0"/>
    <w:semiHidden/>
    <w:qFormat/>
    <w:rPr>
      <w:rFonts w:ascii="宋体" w:hAnsi="宋体" w:eastAsia="宋体" w:cs="宋体"/>
      <w:sz w:val="31"/>
      <w:szCs w:val="31"/>
      <w:lang w:val="en-US" w:eastAsia="en-US" w:bidi="ar-SA"/>
    </w:rPr>
  </w:style>
  <w:style w:type="table" w:styleId="1228" w:customStyle="1">
    <w:name w:val="Table Normal"/>
    <w:uiPriority w:val="0"/>
    <w:semiHidden/>
    <w:unhideWhenUsed/>
    <w:qFormat/>
    <w:tblPr>
      <w:tblCellMar>
        <w:left w:w="0" w:type="dxa"/>
        <w:top w:w="0" w:type="dxa"/>
        <w:right w:w="0" w:type="dxa"/>
        <w:bottom w:w="0" w:type="dxa"/>
      </w:tblCellMar>
    </w:tbl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王霄霄</cp:lastModifiedBy>
  <cp:revision>36</cp:revision>
  <dcterms:created xsi:type="dcterms:W3CDTF">2023-09-09T08:12:00Z</dcterms:created>
  <dcterms:modified xsi:type="dcterms:W3CDTF">2026-07-17T08:38:58Z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E73154FDFE674BF29FE03C9C86E9D3B3_13</vt:lpwstr>
  </property>
  <property fmtid="{D5CDD505-2E9C-101B-9397-08002B2CF9AE}" pid="4" name="KSOTemplateDocerSaveRecord">
    <vt:lpwstr>eyJoZGlkIjoiOTRiYzdkZDk4ZWZjNjFlMWMwMjNiOGRhODIwZjAyYTciLCJ1c2VySWQiOiI1NzUzOTM2NTYifQ==</vt:lpwstr>
  </property>
</Properties>
</file>