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46"/>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46"/>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46"/>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46"/>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46"/>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rPr>
          <w:rFonts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00"/>
          <w:szCs w:val="100"/>
          <w14:textFill>
            <w14:solidFill>
              <w14:schemeClr w14:val="tx1"/>
            </w14:solidFill>
          </w14:textFill>
        </w:rPr>
        <w:t xml:space="preserve">竞争性磋商文件</w:t>
      </w:r>
      <w:r/>
    </w:p>
    <w:p>
      <w:pPr>
        <w:pStyle w:val="941"/>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41"/>
        <w:ind w:left="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46"/>
        <w:jc w:val="center"/>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643"/>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ind w:firstLine="320"/>
        <w:spacing w:line="360" w:lineRule="auto"/>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ind w:firstLine="320"/>
        <w:spacing w:line="360" w:lineRule="auto"/>
        <w:rPr>
          <w:rFonts w:hint="eastAsia" w:eastAsia="宋体"/>
          <w:color w:val="000000" w:themeColor="text1"/>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lang w:eastAsia="zh-CN"/>
          <w14:textFill>
            <w14:solidFill>
              <w14:schemeClr w14:val="tx1"/>
            </w14:solidFill>
          </w14:textFill>
        </w:rPr>
        <w:t xml:space="preserve">JSZC-320303-JSRM-C2026-0012</w:t>
      </w:r>
      <w:r/>
    </w:p>
    <w:p>
      <w:pPr>
        <w:ind w:left="1919" w:hanging="1600"/>
        <w:spacing w:line="360" w:lineRule="auto"/>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ind w:firstLine="320"/>
        <w:spacing w:line="360" w:lineRule="auto"/>
        <w:rPr>
          <w:rFonts w:hint="default" w:ascii="宋体" w:hAnsi="宋体" w:eastAsia="宋体" w:cs="宋体"/>
          <w:color w:val="c00000"/>
          <w:sz w:val="32"/>
          <w:szCs w:val="32"/>
          <w:lang w:val="en-US"/>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ascii="宋体" w:hAnsi="宋体" w:cs="宋体"/>
          <w:color w:val="auto"/>
          <w:sz w:val="32"/>
          <w:szCs w:val="32"/>
          <w:lang w:eastAsia="zh-CN"/>
        </w:rPr>
        <w:t xml:space="preserve">云龙区绿地养护（郭庄路、主城区、三环路以东等绿地）</w:t>
      </w:r>
      <w:r/>
    </w:p>
    <w:p>
      <w:pPr>
        <w:ind w:firstLine="320"/>
        <w:spacing w:line="360" w:lineRule="auto"/>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ind w:firstLine="320"/>
        <w:spacing w:line="360" w:lineRule="auto"/>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w:t>
      </w:r>
      <w:r>
        <w:rPr>
          <w:rFonts w:hint="eastAsia" w:ascii="宋体" w:hAnsi="宋体" w:cs="宋体"/>
          <w:color w:val="000000" w:themeColor="text1"/>
          <w:sz w:val="32"/>
          <w:szCs w:val="32"/>
          <w:lang w:eastAsia="zh-CN"/>
          <w14:textFill>
            <w14:solidFill>
              <w14:schemeClr w14:val="tx1"/>
            </w14:solidFill>
          </w14:textFill>
        </w:rPr>
        <w:t xml:space="preserve">徐州市云龙区城市管理局</w:t>
      </w:r>
      <w:r/>
    </w:p>
    <w:p>
      <w:pPr>
        <w:pStyle w:val="941"/>
        <w:ind w:left="0"/>
        <w:spacing w:line="360" w:lineRule="auto"/>
        <w:rPr>
          <w:rFonts w:ascii="宋体" w:hAnsi="宋体" w:cs="宋体"/>
          <w:color w:val="000000" w:themeColor="text1"/>
          <w:sz w:val="44"/>
          <w14:textFill>
            <w14:solidFill>
              <w14:schemeClr w14:val="tx1"/>
            </w14:solidFill>
          </w14:textFill>
        </w:rPr>
      </w:pPr>
      <w:r>
        <w:rPr>
          <w:rFonts w:ascii="宋体" w:hAnsi="宋体" w:cs="宋体"/>
          <w:color w:val="000000" w:themeColor="text1"/>
          <w:sz w:val="44"/>
          <w14:textFill>
            <w14:solidFill>
              <w14:schemeClr w14:val="tx1"/>
            </w14:solidFill>
          </w14:textFill>
        </w:rPr>
      </w:r>
      <w:r/>
    </w:p>
    <w:p>
      <w:pPr>
        <w:ind w:right="-159"/>
        <w:jc w:val="center"/>
        <w:spacing w:line="360" w:lineRule="auto"/>
        <w:rPr>
          <w:rFonts w:ascii="宋体" w:hAnsi="宋体" w:cs="宋体"/>
          <w:color w:val="000000" w:themeColor="text1"/>
          <w:sz w:val="44"/>
          <w14:textFill>
            <w14:solidFill>
              <w14:schemeClr w14:val="tx1"/>
            </w14:solidFill>
          </w14:textFill>
        </w:rPr>
      </w:pPr>
      <w:r>
        <w:rPr>
          <w:rFonts w:ascii="宋体" w:hAnsi="宋体" w:cs="宋体"/>
          <w:color w:val="000000" w:themeColor="text1"/>
          <w:sz w:val="44"/>
          <w14:textFill>
            <w14:solidFill>
              <w14:schemeClr w14:val="tx1"/>
            </w14:solidFill>
          </w14:textFill>
        </w:rPr>
      </w:r>
      <w:r/>
    </w:p>
    <w:p>
      <w:pPr>
        <w:ind w:right="-159" w:firstLine="2112"/>
        <w:spacing w:line="360" w:lineRule="auto"/>
        <w:rPr>
          <w:rFonts w:ascii="宋体" w:hAnsi="宋体" w:cs="宋体"/>
          <w:color w:val="000000" w:themeColor="text1"/>
          <w:sz w:val="44"/>
          <w14:textFill>
            <w14:solidFill>
              <w14:schemeClr w14:val="tx1"/>
            </w14:solidFill>
          </w14:textFill>
        </w:rPr>
      </w:pPr>
      <w:r>
        <w:rPr>
          <w:rFonts w:ascii="宋体" w:hAnsi="宋体" w:cs="宋体"/>
          <w:color w:val="000000" w:themeColor="text1"/>
          <w:sz w:val="44"/>
          <w14:textFill>
            <w14:solidFill>
              <w14:schemeClr w14:val="tx1"/>
            </w14:solidFill>
          </w14:textFill>
        </w:rPr>
      </w:r>
      <w:r/>
    </w:p>
    <w:p>
      <w:pPr>
        <w:jc w:val="center"/>
        <w:spacing w:line="360" w:lineRule="auto"/>
        <w:rPr>
          <w:rFonts w:hint="eastAsia" w:ascii="宋体" w:hAnsi="宋体" w:eastAsia="宋体" w:cs="宋体"/>
          <w:color w:val="000000" w:themeColor="text1"/>
          <w:sz w:val="30"/>
          <w:lang w:eastAsia="zh-CN"/>
          <w14:textFill>
            <w14:solidFill>
              <w14:schemeClr w14:val="tx1"/>
            </w14:solidFill>
          </w14:textFill>
        </w:rPr>
      </w:pPr>
      <w:r>
        <w:rPr>
          <w:rFonts w:hint="eastAsia" w:ascii="宋体" w:hAnsi="宋体" w:cs="宋体"/>
          <w:color w:val="000000" w:themeColor="text1"/>
          <w:sz w:val="30"/>
          <w14:textFill>
            <w14:solidFill>
              <w14:schemeClr w14:val="tx1"/>
            </w14:solidFill>
          </w14:textFill>
        </w:rPr>
        <w:t xml:space="preserve">采购代理机构：</w:t>
      </w:r>
      <w:r>
        <w:rPr>
          <w:rFonts w:hint="eastAsia" w:ascii="宋体" w:hAnsi="宋体" w:cs="宋体"/>
          <w:color w:val="000000" w:themeColor="text1"/>
          <w:sz w:val="30"/>
          <w:lang w:eastAsia="zh-CN"/>
          <w14:textFill>
            <w14:solidFill>
              <w14:schemeClr w14:val="tx1"/>
            </w14:solidFill>
          </w14:textFill>
        </w:rPr>
        <w:t xml:space="preserve">江苏润沐工程管理咨询有限公司</w:t>
      </w:r>
      <w:r/>
    </w:p>
    <w:p>
      <w:pPr>
        <w:jc w:val="center"/>
        <w:spacing w:line="360" w:lineRule="auto"/>
        <w:rPr>
          <w:rFonts w:ascii="宋体" w:hAnsi="宋体" w:cs="宋体"/>
          <w:color w:val="000000" w:themeColor="text1"/>
          <w:sz w:val="32"/>
          <w:szCs w:val="32"/>
          <w14:textFill>
            <w14:solidFill>
              <w14:schemeClr w14:val="tx1"/>
            </w14:solidFill>
          </w14:textFill>
        </w:rPr>
      </w:pPr>
      <w:r>
        <w:rPr>
          <w:rFonts w:hint="eastAsia" w:ascii="宋体" w:hAnsi="宋体" w:cs="宋体"/>
          <w:bCs/>
          <w:color w:val="000000" w:themeColor="text1"/>
          <w:sz w:val="30"/>
          <w14:textFill>
            <w14:solidFill>
              <w14:schemeClr w14:val="tx1"/>
            </w14:solidFill>
          </w14:textFill>
        </w:rPr>
        <w:t xml:space="preserve">二〇二</w:t>
      </w:r>
      <w:r>
        <w:rPr>
          <w:rFonts w:hint="eastAsia" w:ascii="宋体" w:hAnsi="宋体" w:cs="宋体"/>
          <w:bCs/>
          <w:color w:val="000000" w:themeColor="text1"/>
          <w:sz w:val="30"/>
          <w:lang w:val="en-US" w:eastAsia="zh-CN"/>
          <w14:textFill>
            <w14:solidFill>
              <w14:schemeClr w14:val="tx1"/>
            </w14:solidFill>
          </w14:textFill>
        </w:rPr>
        <w:t xml:space="preserve">六</w:t>
      </w:r>
      <w:r>
        <w:rPr>
          <w:rFonts w:hint="eastAsia" w:ascii="宋体" w:hAnsi="宋体" w:cs="宋体"/>
          <w:bCs/>
          <w:color w:val="000000" w:themeColor="text1"/>
          <w:sz w:val="30"/>
          <w14:textFill>
            <w14:solidFill>
              <w14:schemeClr w14:val="tx1"/>
            </w14:solidFill>
          </w14:textFill>
        </w:rPr>
        <w:t xml:space="preserve">年</w:t>
      </w:r>
      <w:r>
        <w:rPr>
          <w:rFonts w:hint="eastAsia" w:ascii="宋体" w:hAnsi="宋体" w:cs="宋体"/>
          <w:bCs/>
          <w:color w:val="000000" w:themeColor="text1"/>
          <w:sz w:val="30"/>
          <w:lang w:val="en-US" w:eastAsia="zh-CN"/>
          <w14:textFill>
            <w14:solidFill>
              <w14:schemeClr w14:val="tx1"/>
            </w14:solidFill>
          </w14:textFill>
        </w:rPr>
        <w:t xml:space="preserve">七</w:t>
      </w:r>
      <w:r>
        <w:rPr>
          <w:rFonts w:hint="eastAsia" w:ascii="宋体" w:hAnsi="宋体" w:cs="宋体"/>
          <w:bCs/>
          <w:color w:val="000000" w:themeColor="text1"/>
          <w:sz w:val="30"/>
          <w14:textFill>
            <w14:solidFill>
              <w14:schemeClr w14:val="tx1"/>
            </w14:solidFill>
          </w14:textFill>
        </w:rPr>
        <w:t xml:space="preserve">月</w:t>
      </w:r>
      <w:r/>
    </w:p>
    <w:p>
      <w:pPr>
        <w:spacing w:line="0" w:lineRule="atLeast"/>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jc w:val="center"/>
        <w:spacing w:line="0" w:lineRule="atLeast"/>
        <w:rPr>
          <w:rFonts w:ascii="宋体" w:hAnsi="宋体" w:cs="宋体"/>
          <w:b/>
          <w:color w:val="000000" w:themeColor="text1"/>
          <w:sz w:val="36"/>
          <w14:textFill>
            <w14:solidFill>
              <w14:schemeClr w14:val="tx1"/>
            </w14:solidFill>
          </w14:textFill>
        </w:rPr>
        <w:sectPr>
          <w:headerReference w:type="default" r:id="rId9"/>
          <w:headerReference w:type="first" r:id="rId10"/>
          <w:footerReference w:type="even" r:id="rId13"/>
          <w:footnotePr/>
          <w:endnotePr/>
          <w:type w:val="nextPage"/>
          <w:pgSz w:w="11906" w:h="16838" w:orient="portrait"/>
          <w:pgMar w:top="1434" w:right="1434" w:bottom="1434" w:left="1434" w:header="851" w:footer="992" w:gutter="0"/>
          <w:pgNumType w:start="1"/>
          <w:cols w:num="1" w:sep="0" w:space="1701" w:equalWidth="1"/>
          <w:docGrid w:linePitch="360"/>
          <w:titlePg/>
        </w:sectPr>
      </w:pPr>
      <w:r>
        <w:rPr>
          <w:rFonts w:ascii="宋体" w:hAnsi="宋体" w:cs="宋体"/>
          <w:b/>
          <w:color w:val="000000" w:themeColor="text1"/>
          <w:sz w:val="36"/>
          <w14:textFill>
            <w14:solidFill>
              <w14:schemeClr w14:val="tx1"/>
            </w14:solidFill>
          </w14:textFill>
        </w:rPr>
      </w:r>
      <w:r/>
    </w:p>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竞争性磋商文件</w:t>
      </w:r>
      <w:r/>
    </w:p>
    <w:p>
      <w:pPr>
        <w:jc w:val="center"/>
        <w:spacing w:line="360" w:lineRule="auto"/>
        <w:rPr>
          <w:rFonts w:hint="eastAsia" w:ascii="宋体" w:hAnsi="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项目编号：</w:t>
      </w:r>
      <w:r>
        <w:rPr>
          <w:rFonts w:hint="eastAsia" w:ascii="宋体" w:hAnsi="宋体" w:cs="宋体"/>
          <w:b/>
          <w:bCs/>
          <w:color w:val="000000" w:themeColor="text1"/>
          <w:sz w:val="24"/>
          <w:lang w:eastAsia="zh-CN"/>
          <w14:textFill>
            <w14:solidFill>
              <w14:schemeClr w14:val="tx1"/>
            </w14:solidFill>
          </w14:textFill>
        </w:rPr>
        <w:t xml:space="preserve">JSZC-320303-JSRM-C2026-0012</w:t>
      </w:r>
      <w:r/>
    </w:p>
    <w:p>
      <w:pPr>
        <w:spacing w:line="360" w:lineRule="auto"/>
        <w:tabs>
          <w:tab w:val="left" w:pos="324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（供应商）：</w:t>
      </w:r>
      <w:r/>
    </w:p>
    <w:p>
      <w:pPr>
        <w:ind w:firstLine="480"/>
        <w:spacing w:line="360" w:lineRule="auto"/>
        <w:rPr>
          <w:rFonts w:hint="eastAsia" w:ascii="宋体" w:hAnsi="宋体" w:cs="宋体"/>
          <w:color w:val="auto"/>
          <w:sz w:val="24"/>
          <w:u w:val="none"/>
          <w:lang w:eastAsia="zh-CN"/>
        </w:rPr>
      </w:pPr>
      <w:r>
        <w:rPr>
          <w:rFonts w:hint="eastAsia" w:ascii="宋体" w:hAnsi="宋体" w:cs="宋体"/>
          <w:color w:val="000000" w:themeColor="text1"/>
          <w:sz w:val="24"/>
          <w:u w:val="none"/>
          <w:lang w:eastAsia="zh-CN"/>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u w:val="single"/>
          <w:lang w:eastAsia="zh-CN"/>
          <w14:textFill>
            <w14:solidFill>
              <w14:schemeClr w14:val="tx1"/>
            </w14:solidFill>
          </w14:textFill>
        </w:rPr>
        <w:t xml:space="preserve">江苏润沐工程管理咨询有限公司</w:t>
      </w:r>
      <w:r>
        <w:rPr>
          <w:rFonts w:hint="eastAsia" w:ascii="宋体" w:hAnsi="宋体" w:cs="宋体"/>
          <w:color w:val="auto"/>
          <w:sz w:val="24"/>
          <w:u w:val="none"/>
          <w:lang w:eastAsia="zh-CN"/>
        </w:rPr>
        <w:t xml:space="preserve">对</w:t>
      </w:r>
      <w:r>
        <w:rPr>
          <w:rFonts w:hint="eastAsia" w:ascii="宋体" w:hAnsi="宋体" w:cs="宋体"/>
          <w:color w:val="auto"/>
          <w:sz w:val="24"/>
          <w:u w:val="single"/>
          <w:lang w:eastAsia="zh-CN"/>
        </w:rPr>
        <w:t xml:space="preserve">云龙区绿地养护（郭庄路、主城区、三环路以东等绿地）</w:t>
      </w:r>
      <w:r>
        <w:rPr>
          <w:rFonts w:hint="eastAsia" w:ascii="宋体" w:hAnsi="宋体" w:cs="宋体"/>
          <w:color w:val="auto"/>
          <w:sz w:val="24"/>
          <w:u w:val="none"/>
          <w:lang w:val="en-US" w:eastAsia="zh-CN"/>
        </w:rPr>
        <w:t xml:space="preserve">项目</w:t>
      </w:r>
      <w:r>
        <w:rPr>
          <w:rFonts w:hint="eastAsia" w:ascii="宋体" w:hAnsi="宋体" w:cs="宋体"/>
          <w:color w:val="auto"/>
          <w:sz w:val="24"/>
          <w:u w:val="none"/>
          <w:lang w:eastAsia="zh-CN"/>
        </w:rPr>
        <w:t xml:space="preserve">采取竞争性磋商采购方式进行采购。如贵单位有意参与，请按以下竞争性磋商文件（以下简称磋商文件）要求参加磋商。</w:t>
      </w:r>
      <w:r/>
    </w:p>
    <w:p>
      <w:pPr>
        <w:ind w:left="497"/>
        <w:jc w:val="center"/>
        <w:spacing w:line="360" w:lineRule="auto"/>
        <w:rPr>
          <w:rFonts w:ascii="宋体" w:hAnsi="宋体" w:cs="宋体"/>
          <w:color w:val="auto"/>
          <w:sz w:val="24"/>
        </w:rPr>
      </w:pPr>
      <w:r>
        <w:rPr>
          <w:rFonts w:hint="eastAsia" w:ascii="宋体" w:hAnsi="宋体" w:cs="宋体"/>
          <w:b/>
          <w:bCs/>
          <w:color w:val="auto"/>
          <w:sz w:val="24"/>
        </w:rPr>
        <w:t xml:space="preserve">第一章 项目说明</w:t>
      </w:r>
      <w:r/>
    </w:p>
    <w:p>
      <w:pPr>
        <w:spacing w:line="360" w:lineRule="auto"/>
        <w:rPr>
          <w:rFonts w:hint="eastAsia" w:ascii="宋体" w:hAnsi="宋体" w:eastAsia="宋体" w:cs="宋体"/>
          <w:color w:val="auto"/>
          <w:sz w:val="24"/>
        </w:rPr>
      </w:pPr>
      <w:r>
        <w:rPr>
          <w:rFonts w:hint="eastAsia" w:ascii="宋体" w:hAnsi="宋体" w:cs="宋体"/>
          <w:b/>
          <w:bCs/>
          <w:color w:val="auto"/>
          <w:sz w:val="24"/>
        </w:rPr>
        <w:t xml:space="preserve">一、</w:t>
      </w:r>
      <w:r>
        <w:rPr>
          <w:rFonts w:hint="eastAsia" w:ascii="宋体" w:hAnsi="宋体" w:cs="宋体"/>
          <w:color w:val="auto"/>
          <w:sz w:val="24"/>
        </w:rPr>
        <w:t xml:space="preserve">采购人：</w:t>
      </w:r>
      <w:r>
        <w:rPr>
          <w:rFonts w:hint="eastAsia" w:ascii="宋体" w:hAnsi="宋体" w:cs="宋体"/>
          <w:color w:val="auto"/>
          <w:sz w:val="24"/>
          <w:lang w:eastAsia="zh-CN"/>
        </w:rPr>
        <w:t xml:space="preserve">徐州市云龙区城市管理局</w:t>
      </w:r>
      <w:r/>
    </w:p>
    <w:p>
      <w:pPr>
        <w:spacing w:line="360" w:lineRule="auto"/>
        <w:rPr>
          <w:rFonts w:hint="eastAsia" w:ascii="宋体" w:hAnsi="宋体" w:eastAsia="宋体" w:cs="宋体"/>
          <w:color w:val="auto"/>
          <w:sz w:val="24"/>
        </w:rPr>
      </w:pPr>
      <w:r>
        <w:rPr>
          <w:rFonts w:hint="eastAsia" w:ascii="宋体" w:hAnsi="宋体" w:cs="宋体"/>
          <w:b/>
          <w:bCs/>
          <w:color w:val="auto"/>
          <w:sz w:val="24"/>
        </w:rPr>
        <w:t xml:space="preserve">二、</w:t>
      </w:r>
      <w:r>
        <w:rPr>
          <w:rFonts w:hint="eastAsia" w:ascii="宋体" w:hAnsi="宋体" w:cs="宋体"/>
          <w:color w:val="auto"/>
          <w:sz w:val="24"/>
        </w:rPr>
        <w:t xml:space="preserve">项目名称：</w:t>
      </w:r>
      <w:r>
        <w:rPr>
          <w:rFonts w:hint="eastAsia" w:ascii="宋体" w:hAnsi="宋体" w:cs="宋体"/>
          <w:color w:val="auto"/>
          <w:sz w:val="24"/>
          <w:lang w:eastAsia="zh-CN"/>
        </w:rPr>
        <w:t xml:space="preserve">云龙区绿地养护（郭庄路、主城区、三环路以东等绿地）</w:t>
      </w:r>
      <w:r/>
    </w:p>
    <w:p>
      <w:pPr>
        <w:jc w:val="left"/>
        <w:spacing w:line="360" w:lineRule="auto"/>
        <w:rPr>
          <w:rFonts w:hint="eastAsia" w:ascii="宋体" w:hAnsi="宋体" w:cs="宋体"/>
          <w:b w:val="0"/>
          <w:bCs w:val="0"/>
          <w:color w:val="auto"/>
          <w:sz w:val="24"/>
          <w:lang w:eastAsia="zh-CN"/>
        </w:rPr>
      </w:pPr>
      <w:r>
        <w:rPr>
          <w:rFonts w:hint="eastAsia" w:ascii="宋体" w:hAnsi="宋体" w:cs="宋体"/>
          <w:b w:val="0"/>
          <w:bCs w:val="0"/>
          <w:color w:val="auto"/>
          <w:sz w:val="24"/>
        </w:rPr>
        <w:t xml:space="preserve">三、项目编号：</w:t>
      </w:r>
      <w:r>
        <w:rPr>
          <w:rFonts w:hint="eastAsia" w:ascii="宋体" w:hAnsi="宋体" w:cs="宋体"/>
          <w:b w:val="0"/>
          <w:bCs w:val="0"/>
          <w:color w:val="auto"/>
          <w:sz w:val="24"/>
          <w:lang w:eastAsia="zh-CN"/>
        </w:rPr>
        <w:t xml:space="preserve">JSZC-320303-JSRM-C2026-0012</w:t>
      </w:r>
      <w:r/>
    </w:p>
    <w:p>
      <w:pPr>
        <w:spacing w:line="360" w:lineRule="auto"/>
        <w:rPr>
          <w:rFonts w:ascii="宋体" w:hAnsi="宋体" w:cs="宋体"/>
          <w:b w:val="0"/>
          <w:bCs w:val="0"/>
          <w:color w:val="auto"/>
          <w:sz w:val="24"/>
        </w:rPr>
      </w:pPr>
      <w:r>
        <w:rPr>
          <w:rFonts w:hint="eastAsia" w:ascii="宋体" w:hAnsi="宋体" w:cs="宋体"/>
          <w:b w:val="0"/>
          <w:bCs w:val="0"/>
          <w:color w:val="auto"/>
          <w:sz w:val="24"/>
        </w:rPr>
        <w:t xml:space="preserve">四、采购邀请：通过发布公告的方式邀请符合相应资格条件的供应商参与竞争性磋商采购活动。</w:t>
      </w:r>
      <w:r/>
    </w:p>
    <w:p>
      <w:pPr>
        <w:jc w:val="left"/>
        <w:spacing w:line="360" w:lineRule="auto"/>
        <w:widowControl/>
        <w:rPr>
          <w:rFonts w:ascii="宋体" w:hAnsi="宋体" w:cs="宋体"/>
          <w:b w:val="0"/>
          <w:bCs w:val="0"/>
          <w:color w:val="auto"/>
          <w:sz w:val="24"/>
        </w:rPr>
      </w:pPr>
      <w:r>
        <w:rPr>
          <w:rFonts w:hint="eastAsia" w:ascii="宋体" w:hAnsi="宋体" w:cs="宋体"/>
          <w:b w:val="0"/>
          <w:bCs w:val="0"/>
          <w:color w:val="auto"/>
          <w:sz w:val="24"/>
        </w:rPr>
        <w:t xml:space="preserve">五、采购方式：本项目采用竞争性磋商采购方式。</w:t>
      </w:r>
      <w:r/>
    </w:p>
    <w:p>
      <w:pPr>
        <w:jc w:val="left"/>
        <w:keepLines/>
        <w:spacing w:line="360" w:lineRule="auto"/>
        <w:widowControl/>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auto"/>
          <w:sz w:val="24"/>
        </w:rPr>
        <w:t xml:space="preserve">六、供应商资格条件：见竞争性磋商公告</w:t>
      </w:r>
      <w:r>
        <w:rPr>
          <w:rFonts w:hint="eastAsia" w:ascii="宋体" w:hAnsi="宋体" w:cs="宋体"/>
          <w:b w:val="0"/>
          <w:bCs w:val="0"/>
          <w:color w:val="auto"/>
          <w:sz w:val="24"/>
          <w:highlight w:val="none"/>
        </w:rPr>
        <w:t xml:space="preserve">（项目编号：</w:t>
      </w:r>
      <w:r>
        <w:rPr>
          <w:rFonts w:hint="eastAsia" w:ascii="宋体" w:hAnsi="宋体" w:cs="宋体"/>
          <w:b w:val="0"/>
          <w:bCs w:val="0"/>
          <w:color w:val="auto"/>
          <w:sz w:val="24"/>
          <w:highlight w:val="none"/>
          <w:lang w:eastAsia="zh-CN"/>
        </w:rPr>
        <w:t xml:space="preserve">JSZC-320303-JSRM-C2026-0012</w:t>
      </w:r>
      <w:r>
        <w:rPr>
          <w:rFonts w:hint="eastAsia" w:ascii="宋体" w:hAnsi="宋体" w:cs="宋体"/>
          <w:b w:val="0"/>
          <w:bCs w:val="0"/>
          <w:color w:val="000000" w:themeColor="text1"/>
          <w:sz w:val="24"/>
          <w:highlight w:val="none"/>
          <w14:textFill>
            <w14:solidFill>
              <w14:schemeClr w14:val="tx1"/>
            </w14:solidFill>
          </w14:textFill>
        </w:rPr>
        <w:t xml:space="preserve">）。</w:t>
      </w:r>
      <w:r/>
    </w:p>
    <w:p>
      <w:pPr>
        <w:spacing w:line="360" w:lineRule="auto"/>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七、采购预算（采购项目预算金额）：见《磋商文件》附件2、《项目要求（采购需求）》。</w:t>
      </w:r>
      <w:r/>
    </w:p>
    <w:p>
      <w:pPr>
        <w:spacing w:line="360" w:lineRule="auto"/>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八、采购需求：见《磋商文件》附件2、《项目要求（采购需求）》。</w:t>
      </w:r>
      <w:r/>
    </w:p>
    <w:p>
      <w:pPr>
        <w:spacing w:line="360" w:lineRule="auto"/>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九、</w:t>
      </w:r>
      <w:r>
        <w:rPr>
          <w:rFonts w:hint="eastAsia" w:ascii="宋体" w:hAnsi="宋体" w:cs="宋体"/>
          <w:b w:val="0"/>
          <w:bCs w:val="0"/>
          <w:sz w:val="24"/>
          <w:highlight w:val="none"/>
        </w:rPr>
        <w:t xml:space="preserve">合同草案条款</w:t>
      </w:r>
      <w:r>
        <w:rPr>
          <w:rFonts w:hint="eastAsia" w:ascii="宋体" w:hAnsi="宋体" w:cs="宋体"/>
          <w:b w:val="0"/>
          <w:bCs w:val="0"/>
          <w:color w:val="000000" w:themeColor="text1"/>
          <w:sz w:val="24"/>
          <w:highlight w:val="none"/>
          <w14:textFill>
            <w14:solidFill>
              <w14:schemeClr w14:val="tx1"/>
            </w14:solidFill>
          </w14:textFill>
        </w:rPr>
        <w:t xml:space="preserve">：见《磋商文件》附件6、《</w:t>
      </w:r>
      <w:r>
        <w:rPr>
          <w:rFonts w:hint="eastAsia" w:ascii="宋体" w:hAnsi="宋体" w:cs="宋体"/>
          <w:b w:val="0"/>
          <w:bCs w:val="0"/>
          <w:sz w:val="24"/>
          <w:highlight w:val="none"/>
        </w:rPr>
        <w:t xml:space="preserve">合同草案条款</w:t>
      </w:r>
      <w:r>
        <w:rPr>
          <w:rFonts w:hint="eastAsia" w:ascii="宋体" w:hAnsi="宋体" w:cs="宋体"/>
          <w:b w:val="0"/>
          <w:bCs w:val="0"/>
          <w:color w:val="000000" w:themeColor="text1"/>
          <w:sz w:val="24"/>
          <w:highlight w:val="none"/>
          <w14:textFill>
            <w14:solidFill>
              <w14:schemeClr w14:val="tx1"/>
            </w14:solidFill>
          </w14:textFill>
        </w:rPr>
        <w:t xml:space="preserve">》。</w:t>
      </w:r>
      <w:r/>
    </w:p>
    <w:p>
      <w:pPr>
        <w:spacing w:line="360" w:lineRule="auto"/>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十、报价要求</w:t>
      </w:r>
      <w:r/>
    </w:p>
    <w:p>
      <w:pPr>
        <w:ind w:firstLine="480"/>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hint="eastAsia" w:ascii="宋体" w:hAnsi="宋体" w:cs="宋体"/>
          <w:bCs/>
          <w:color w:val="000000" w:themeColor="text1"/>
          <w:sz w:val="24"/>
          <w14:textFill>
            <w14:solidFill>
              <w14:schemeClr w14:val="tx1"/>
            </w14:solidFill>
          </w14:textFill>
        </w:rPr>
        <w:t xml:space="preserve">1、供应商报价为要约，</w:t>
      </w:r>
      <w:r>
        <w:rPr>
          <w:rStyle w:val="1207"/>
          <w:rFonts w:hint="eastAsia" w:ascii="宋体" w:hAnsi="宋体" w:cs="宋体"/>
          <w:bCs/>
          <w:color w:val="000000" w:themeColor="text1"/>
          <w:sz w:val="24"/>
          <w:lang w:val="en-US" w:eastAsia="zh-CN"/>
          <w14:textFill>
            <w14:solidFill>
              <w14:schemeClr w14:val="tx1"/>
            </w14:solidFill>
          </w14:textFill>
        </w:rPr>
        <w:t xml:space="preserve">采购人</w:t>
      </w:r>
      <w:r>
        <w:rPr>
          <w:rStyle w:val="1207"/>
          <w:rFonts w:hint="eastAsia" w:ascii="宋体" w:hAnsi="宋体" w:cs="宋体"/>
          <w:bCs/>
          <w:color w:val="000000" w:themeColor="text1"/>
          <w:sz w:val="24"/>
          <w14:textFill>
            <w14:solidFill>
              <w14:schemeClr w14:val="tx1"/>
            </w14:solidFill>
          </w14:textFill>
        </w:rPr>
        <w:t xml:space="preserve">无承诺表示时视为未成交，</w:t>
      </w:r>
      <w:r>
        <w:rPr>
          <w:rStyle w:val="1207"/>
          <w:rFonts w:hint="eastAsia" w:ascii="宋体" w:hAnsi="宋体" w:cs="宋体"/>
          <w:bCs/>
          <w:color w:val="000000" w:themeColor="text1"/>
          <w:sz w:val="24"/>
          <w:lang w:val="en-US" w:eastAsia="zh-CN"/>
          <w14:textFill>
            <w14:solidFill>
              <w14:schemeClr w14:val="tx1"/>
            </w14:solidFill>
          </w14:textFill>
        </w:rPr>
        <w:t xml:space="preserve">采购人</w:t>
      </w:r>
      <w:r>
        <w:rPr>
          <w:rStyle w:val="1207"/>
          <w:rFonts w:hint="eastAsia" w:ascii="宋体" w:hAnsi="宋体" w:cs="宋体"/>
          <w:bCs/>
          <w:color w:val="000000" w:themeColor="text1"/>
          <w:sz w:val="24"/>
          <w14:textFill>
            <w14:solidFill>
              <w14:schemeClr w14:val="tx1"/>
            </w14:solidFill>
          </w14:textFill>
        </w:rPr>
        <w:t xml:space="preserve">认为必要时可重新进行竞争性磋商采购或采取其它方式采购。</w:t>
      </w:r>
      <w:r/>
    </w:p>
    <w:p>
      <w:pPr>
        <w:ind w:firstLine="480"/>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hint="eastAsia" w:ascii="宋体" w:hAnsi="宋体" w:cs="宋体"/>
          <w:bCs/>
          <w:color w:val="000000" w:themeColor="text1"/>
          <w:sz w:val="24"/>
          <w14:textFill>
            <w14:solidFill>
              <w14:schemeClr w14:val="tx1"/>
            </w14:solidFill>
          </w14:textFill>
        </w:rPr>
        <w:t xml:space="preserve">2、按照《磋商报价表》要求填写首次报价。</w:t>
      </w:r>
      <w:r/>
    </w:p>
    <w:p>
      <w:pPr>
        <w:ind w:firstLine="480"/>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hint="eastAsia" w:ascii="宋体" w:hAnsi="宋体" w:cs="宋体"/>
          <w:bCs/>
          <w:color w:val="000000" w:themeColor="text1"/>
          <w:sz w:val="24"/>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第二章 磋商保证金</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十一、供应商提交磋商保证金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1、磋商保证金交纳数额和形式：不需交纳。</w:t>
      </w:r>
      <w:r/>
    </w:p>
    <w:p>
      <w:pPr>
        <w:ind w:left="497"/>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第三章 响应文件</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十二、提交响应文件要求</w:t>
      </w:r>
      <w:r/>
    </w:p>
    <w:p>
      <w:pPr>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ascii="宋体" w:hAnsi="宋体" w:cs="宋体"/>
          <w:bCs/>
          <w:color w:val="000000" w:themeColor="text1"/>
          <w:sz w:val="24"/>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rPr>
          <w:rStyle w:val="1207"/>
          <w:rFonts w:ascii="宋体" w:hAnsi="宋体" w:cs="宋体"/>
          <w:bCs/>
          <w:color w:val="000000" w:themeColor="text1"/>
          <w:sz w:val="24"/>
          <w14:textFill>
            <w14:solidFill>
              <w14:schemeClr w14:val="tx1"/>
            </w14:solidFill>
          </w14:textFill>
        </w:rPr>
      </w:pPr>
      <w:r>
        <w:rPr>
          <w:rStyle w:val="1207"/>
          <w:rFonts w:ascii="宋体" w:hAnsi="宋体" w:cs="宋体"/>
          <w:bCs/>
          <w:color w:val="000000" w:themeColor="text1"/>
          <w:sz w:val="24"/>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w:t>
      </w:r>
      <w:r>
        <w:rPr>
          <w:rStyle w:val="1207"/>
          <w:rFonts w:hint="eastAsia" w:ascii="宋体" w:hAnsi="宋体" w:cs="宋体"/>
          <w:bCs/>
          <w:color w:val="000000" w:themeColor="text1"/>
          <w:sz w:val="24"/>
          <w14:textFill>
            <w14:solidFill>
              <w14:schemeClr w14:val="tx1"/>
            </w14:solidFill>
          </w14:textFill>
        </w:rPr>
        <w:t xml:space="preserve">按照无效响应处理。</w:t>
      </w:r>
      <w:r/>
    </w:p>
    <w:p>
      <w:pPr>
        <w:ind w:firstLine="480"/>
        <w:spacing w:line="360" w:lineRule="auto"/>
        <w:rPr>
          <w:color w:val="000000" w:themeColor="text1"/>
          <w14:textFill>
            <w14:solidFill>
              <w14:schemeClr w14:val="tx1"/>
            </w14:solidFill>
          </w14:textFill>
        </w:rPr>
      </w:pPr>
      <w:r>
        <w:rPr>
          <w:rStyle w:val="1207"/>
          <w:rFonts w:ascii="宋体" w:hAnsi="宋体" w:cs="宋体"/>
          <w:bCs/>
          <w:color w:val="000000" w:themeColor="text1"/>
          <w:sz w:val="24"/>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2"/>
        <w:jc w:val="left"/>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pPr>
      <w:r>
        <w:rPr>
          <w:rStyle w:val="1207"/>
          <w:rFonts w:ascii="宋体" w:hAnsi="宋体" w:cs="宋体"/>
          <w:bCs/>
          <w:color w:val="000000" w:themeColor="text1"/>
          <w:sz w:val="24"/>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仿宋" w:hAnsi="仿宋" w:eastAsia="仿宋" w:cs="仿宋"/>
          <w:bCs/>
          <w:color w:val="auto"/>
          <w:sz w:val="24"/>
          <w:szCs w:val="24"/>
          <w:highlight w:val="none"/>
          <w:lang w:eastAsia="zh-CN"/>
        </w:rPr>
        <w:t xml:space="preserve">https://czj.xz.gov.cn/zfcg/index.html</w:t>
      </w:r>
      <w:r>
        <w:rPr>
          <w:rStyle w:val="1207"/>
          <w:rFonts w:ascii="宋体" w:hAnsi="宋体" w:cs="宋体"/>
          <w:bCs/>
          <w:color w:val="000000" w:themeColor="text1"/>
          <w:sz w:val="24"/>
          <w14:textFill>
            <w14:solidFill>
              <w14:schemeClr w14:val="tx1"/>
            </w14:solidFill>
          </w14:textFill>
        </w:rPr>
        <w:t xml:space="preserve">）</w:t>
      </w:r>
      <w:r>
        <w:rPr>
          <w:rStyle w:val="1207"/>
          <w:rFonts w:hint="eastAsia" w:ascii="宋体" w:hAnsi="宋体" w:cs="宋体"/>
          <w:bCs/>
          <w:color w:val="000000" w:themeColor="text1"/>
          <w:sz w:val="24"/>
          <w:lang w:eastAsia="zh-CN"/>
          <w14:textFill>
            <w14:solidFill>
              <w14:schemeClr w14:val="tx1"/>
            </w14:solidFill>
          </w14:textFill>
        </w:rPr>
        <w:t xml:space="preserve">，</w:t>
      </w:r>
      <w:r>
        <w:rPr>
          <w:rStyle w:val="1207"/>
          <w:rFonts w:ascii="宋体" w:hAnsi="宋体" w:cs="宋体"/>
          <w:bCs/>
          <w:color w:val="000000" w:themeColor="text1"/>
          <w:sz w:val="24"/>
          <w14:textFill>
            <w14:solidFill>
              <w14:schemeClr w14:val="tx1"/>
            </w14:solidFill>
          </w14:textFill>
        </w:rPr>
        <w:t xml:space="preserve">点击“苏采云”进入系统），按照要求通过互联网方式提交首次响应文件。</w:t>
      </w:r>
      <w:r/>
    </w:p>
    <w:p>
      <w:pPr>
        <w:keepLines w:val="0"/>
        <w:keepNext w:val="0"/>
        <w:pageBreakBefore w:val="0"/>
        <w:spacing w:line="360" w:lineRule="auto"/>
        <w:widowControl w:val="off"/>
        <w:rPr>
          <w:rStyle w:val="1207"/>
          <w:rFonts w:ascii="宋体" w:hAnsi="宋体"/>
          <w:b/>
          <w:color w:val="000000" w:themeColor="text1"/>
          <w:sz w:val="24"/>
          <w14:textFill>
            <w14:solidFill>
              <w14:schemeClr w14:val="tx1"/>
            </w14:solidFill>
          </w14:textFill>
        </w:rPr>
        <w:outlineLvl w:val="9"/>
      </w:pPr>
      <w:r>
        <w:rPr>
          <w:rStyle w:val="1207"/>
          <w:rFonts w:ascii="宋体" w:hAnsi="宋体"/>
          <w:b/>
          <w:color w:val="000000" w:themeColor="text1"/>
          <w:sz w:val="24"/>
          <w14:textFill>
            <w14:solidFill>
              <w14:schemeClr w14:val="tx1"/>
            </w14:solidFill>
          </w14:textFill>
        </w:rPr>
        <w:t xml:space="preserve">“苏采云”系统使用要求：</w:t>
      </w:r>
      <w:r/>
    </w:p>
    <w:p>
      <w:pPr>
        <w:ind w:firstLine="480"/>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ascii="宋体" w:hAnsi="宋体" w:cs="宋体"/>
          <w:bCs/>
          <w:color w:val="000000" w:themeColor="text1"/>
          <w:sz w:val="24"/>
          <w14:textFill>
            <w14:solidFill>
              <w14:schemeClr w14:val="tx1"/>
            </w14:solidFill>
          </w14:textFill>
        </w:rPr>
        <w:t xml:space="preserve">1、使用谷歌浏览器参与不见面开标及磋商环节。</w:t>
      </w:r>
      <w:r/>
    </w:p>
    <w:p>
      <w:pPr>
        <w:ind w:firstLine="480"/>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ascii="宋体" w:hAnsi="宋体" w:cs="宋体"/>
          <w:bCs/>
          <w:color w:val="000000" w:themeColor="text1"/>
          <w:sz w:val="24"/>
          <w14:textFill>
            <w14:solidFill>
              <w14:schemeClr w14:val="tx1"/>
            </w14:solidFill>
          </w14:textFill>
        </w:rPr>
        <w:t xml:space="preserve">2、电脑需提前准备好麦克风、音响，摄像头，提前检查保证能够正常使用。</w:t>
      </w:r>
      <w:r/>
    </w:p>
    <w:p>
      <w:pPr>
        <w:ind w:firstLine="480"/>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ascii="宋体" w:hAnsi="宋体" w:cs="宋体"/>
          <w:bCs/>
          <w:color w:val="000000" w:themeColor="text1"/>
          <w:sz w:val="24"/>
          <w14:textFill>
            <w14:solidFill>
              <w14:schemeClr w14:val="tx1"/>
            </w14:solidFill>
          </w14:textFill>
        </w:rPr>
        <w:t xml:space="preserve">3、操作系统至少win7以上，建议使用win10操作系统。</w:t>
      </w:r>
      <w:r/>
    </w:p>
    <w:p>
      <w:pPr>
        <w:pStyle w:val="94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（二）首次响应文件提交的截止时间：</w:t>
      </w:r>
      <w:r>
        <w:rPr>
          <w:rFonts w:hint="eastAsia" w:ascii="宋体" w:hAnsi="宋体" w:cs="宋体"/>
          <w:b/>
          <w:bCs/>
          <w:color w:val="000000" w:themeColor="text1"/>
          <w:sz w:val="24"/>
          <w:lang w:eastAsia="zh-CN"/>
          <w14:textFill>
            <w14:solidFill>
              <w14:schemeClr w14:val="tx1"/>
            </w14:solidFill>
          </w14:textFill>
        </w:rPr>
        <w:t xml:space="preserve">202</w:t>
      </w:r>
      <w:r>
        <w:rPr>
          <w:rFonts w:hint="eastAsia" w:ascii="宋体" w:hAnsi="宋体" w:cs="宋体"/>
          <w:b/>
          <w:bCs/>
          <w:color w:val="000000" w:themeColor="text1"/>
          <w:sz w:val="24"/>
          <w:lang w:val="en-US" w:eastAsia="zh-CN"/>
          <w14:textFill>
            <w14:solidFill>
              <w14:schemeClr w14:val="tx1"/>
            </w14:solidFill>
          </w14:textFill>
        </w:rPr>
        <w:t xml:space="preserve">6</w:t>
      </w:r>
      <w:r>
        <w:rPr>
          <w:rFonts w:hint="eastAsia" w:ascii="宋体" w:hAnsi="宋体" w:cs="宋体"/>
          <w:b/>
          <w:bCs/>
          <w:color w:val="000000" w:themeColor="text1"/>
          <w:sz w:val="24"/>
          <w:highlight w:val="white"/>
          <w14:textFill>
            <w14:solidFill>
              <w14:schemeClr w14:val="tx1"/>
            </w14:solidFill>
          </w14:textFill>
        </w:rPr>
        <w:t xml:space="preserve">年</w:t>
      </w:r>
      <w:r>
        <w:rPr>
          <w:rFonts w:hint="eastAsia" w:ascii="宋体" w:hAnsi="宋体" w:cs="宋体"/>
          <w:b/>
          <w:bCs/>
          <w:color w:val="000000" w:themeColor="text1"/>
          <w:sz w:val="24"/>
          <w:highlight w:val="white"/>
          <w:u w:val="single"/>
          <w:lang w:val="en-US" w:eastAsia="zh-CN"/>
          <w14:textFill>
            <w14:solidFill>
              <w14:schemeClr w14:val="tx1"/>
            </w14:solidFill>
          </w14:textFill>
        </w:rPr>
        <w:t xml:space="preserve">  7  </w:t>
      </w:r>
      <w:r>
        <w:rPr>
          <w:rFonts w:hint="eastAsia" w:ascii="宋体" w:hAnsi="宋体" w:cs="宋体"/>
          <w:b/>
          <w:bCs/>
          <w:color w:val="000000" w:themeColor="text1"/>
          <w:sz w:val="24"/>
          <w:highlight w:val="white"/>
          <w14:textFill>
            <w14:solidFill>
              <w14:schemeClr w14:val="tx1"/>
            </w14:solidFill>
          </w14:textFill>
        </w:rPr>
        <w:t xml:space="preserve">月</w:t>
      </w:r>
      <w:r>
        <w:rPr>
          <w:rFonts w:hint="eastAsia" w:ascii="宋体" w:hAnsi="宋体" w:cs="宋体"/>
          <w:b/>
          <w:bCs/>
          <w:color w:val="000000" w:themeColor="text1"/>
          <w:sz w:val="24"/>
          <w:highlight w:val="white"/>
          <w:u w:val="single"/>
          <w:lang w:val="en-US" w:eastAsia="zh-CN"/>
          <w14:textFill>
            <w14:solidFill>
              <w14:schemeClr w14:val="tx1"/>
            </w14:solidFill>
          </w14:textFill>
        </w:rPr>
        <w:t xml:space="preserve"> 27 </w:t>
      </w:r>
      <w:r>
        <w:rPr>
          <w:rFonts w:hint="eastAsia" w:ascii="宋体" w:hAnsi="宋体" w:cs="宋体"/>
          <w:b/>
          <w:bCs/>
          <w:color w:val="000000" w:themeColor="text1"/>
          <w:sz w:val="24"/>
          <w:highlight w:val="white"/>
          <w14:textFill>
            <w14:solidFill>
              <w14:schemeClr w14:val="tx1"/>
            </w14:solidFill>
          </w14:textFill>
        </w:rPr>
        <w:t xml:space="preserve">日09：30（</w:t>
      </w:r>
      <w:r>
        <w:rPr>
          <w:rFonts w:hint="eastAsia" w:ascii="宋体" w:hAnsi="宋体" w:cs="宋体"/>
          <w:b/>
          <w:bCs/>
          <w:color w:val="000000" w:themeColor="text1"/>
          <w:sz w:val="24"/>
          <w14:textFill>
            <w14:solidFill>
              <w14:schemeClr w14:val="tx1"/>
            </w14:solidFill>
          </w14:textFill>
        </w:rPr>
        <w:t xml:space="preserve">北京时间），</w:t>
      </w:r>
      <w:r>
        <w:rPr>
          <w:rFonts w:hint="eastAsia" w:ascii="宋体" w:hAnsi="宋体" w:cs="宋体"/>
          <w:color w:val="000000" w:themeColor="text1"/>
          <w:sz w:val="24"/>
          <w14:textFill>
            <w14:solidFill>
              <w14:schemeClr w14:val="tx1"/>
            </w14:solidFill>
          </w14:textFill>
        </w:rPr>
        <w:t xml:space="preserve">在截止时间后提交的首次响应文件为无效文件，将被拒收。</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（三）首次响应文件提交时间、地点：</w:t>
      </w:r>
      <w:r/>
    </w:p>
    <w:p>
      <w:pPr>
        <w:pStyle w:val="942"/>
        <w:ind w:firstLine="482"/>
        <w:keepLines w:val="0"/>
        <w:keepNext w:val="0"/>
        <w:pageBreakBefore w:val="0"/>
        <w:spacing w:line="360" w:lineRule="auto"/>
        <w:widowControl w:val="off"/>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1、提交时间</w:t>
      </w:r>
      <w:r>
        <w:rPr>
          <w:rFonts w:hint="eastAsia" w:ascii="宋体" w:hAnsi="宋体" w:cs="宋体"/>
          <w:b/>
          <w:bCs/>
          <w:color w:val="000000" w:themeColor="text1"/>
          <w:sz w:val="24"/>
          <w:lang w:eastAsia="zh-CN"/>
          <w14:textFill>
            <w14:solidFill>
              <w14:schemeClr w14:val="tx1"/>
            </w14:solidFill>
          </w14:textFill>
        </w:rPr>
        <w:t xml:space="preserve">：</w:t>
      </w:r>
      <w:r/>
    </w:p>
    <w:p>
      <w:pPr>
        <w:pStyle w:val="942"/>
        <w:ind w:firstLine="480"/>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首次响应文件提交的截止时间</w:t>
      </w:r>
      <w:r>
        <w:rPr>
          <w:rFonts w:hint="eastAsia" w:ascii="宋体" w:hAnsi="宋体" w:cs="宋体"/>
          <w:b/>
          <w:bCs/>
          <w:color w:val="000000" w:themeColor="text1"/>
          <w:sz w:val="24"/>
          <w:highlight w:val="white"/>
          <w:lang w:eastAsia="zh-CN"/>
          <w14:textFill>
            <w14:solidFill>
              <w14:schemeClr w14:val="tx1"/>
            </w14:solidFill>
          </w14:textFill>
        </w:rPr>
        <w:t xml:space="preserve">202</w:t>
      </w:r>
      <w:r>
        <w:rPr>
          <w:rFonts w:hint="eastAsia" w:ascii="宋体" w:hAnsi="宋体" w:cs="宋体"/>
          <w:b/>
          <w:bCs/>
          <w:color w:val="000000" w:themeColor="text1"/>
          <w:sz w:val="24"/>
          <w:highlight w:val="white"/>
          <w:lang w:val="en-US" w:eastAsia="zh-CN"/>
          <w14:textFill>
            <w14:solidFill>
              <w14:schemeClr w14:val="tx1"/>
            </w14:solidFill>
          </w14:textFill>
        </w:rPr>
        <w:t xml:space="preserve">6</w:t>
      </w:r>
      <w:r>
        <w:rPr>
          <w:rFonts w:hint="eastAsia" w:ascii="宋体" w:hAnsi="宋体" w:cs="宋体"/>
          <w:b/>
          <w:bCs/>
          <w:color w:val="000000" w:themeColor="text1"/>
          <w:sz w:val="24"/>
          <w:highlight w:val="white"/>
          <w14:textFill>
            <w14:solidFill>
              <w14:schemeClr w14:val="tx1"/>
            </w14:solidFill>
          </w14:textFill>
        </w:rPr>
        <w:t xml:space="preserve">年</w:t>
      </w:r>
      <w:r>
        <w:rPr>
          <w:rFonts w:hint="eastAsia" w:ascii="宋体" w:hAnsi="宋体" w:cs="宋体"/>
          <w:b/>
          <w:bCs/>
          <w:color w:val="000000" w:themeColor="text1"/>
          <w:sz w:val="24"/>
          <w:highlight w:val="white"/>
          <w:u w:val="single"/>
          <w:lang w:val="en-US" w:eastAsia="zh-CN"/>
          <w14:textFill>
            <w14:solidFill>
              <w14:schemeClr w14:val="tx1"/>
            </w14:solidFill>
          </w14:textFill>
        </w:rPr>
        <w:t xml:space="preserve">  7  </w:t>
      </w:r>
      <w:r>
        <w:rPr>
          <w:rFonts w:hint="eastAsia" w:ascii="宋体" w:hAnsi="宋体" w:cs="宋体"/>
          <w:b/>
          <w:bCs/>
          <w:color w:val="000000" w:themeColor="text1"/>
          <w:sz w:val="24"/>
          <w:highlight w:val="white"/>
          <w14:textFill>
            <w14:solidFill>
              <w14:schemeClr w14:val="tx1"/>
            </w14:solidFill>
          </w14:textFill>
        </w:rPr>
        <w:t xml:space="preserve">月</w:t>
      </w:r>
      <w:r>
        <w:rPr>
          <w:rFonts w:hint="eastAsia" w:ascii="宋体" w:hAnsi="宋体" w:cs="宋体"/>
          <w:b/>
          <w:bCs/>
          <w:color w:val="000000" w:themeColor="text1"/>
          <w:sz w:val="24"/>
          <w:highlight w:val="white"/>
          <w:u w:val="single"/>
          <w:lang w:val="en-US" w:eastAsia="zh-CN"/>
          <w14:textFill>
            <w14:solidFill>
              <w14:schemeClr w14:val="tx1"/>
            </w14:solidFill>
          </w14:textFill>
        </w:rPr>
        <w:t xml:space="preserve"> 27 </w:t>
      </w:r>
      <w:r>
        <w:rPr>
          <w:rFonts w:hint="eastAsia" w:ascii="宋体" w:hAnsi="宋体" w:cs="宋体"/>
          <w:b/>
          <w:bCs/>
          <w:color w:val="000000" w:themeColor="text1"/>
          <w:sz w:val="24"/>
          <w:highlight w:val="white"/>
          <w14:textFill>
            <w14:solidFill>
              <w14:schemeClr w14:val="tx1"/>
            </w14:solidFill>
          </w14:textFill>
        </w:rPr>
        <w:t xml:space="preserve">日09：30</w:t>
      </w:r>
      <w:r>
        <w:rPr>
          <w:rFonts w:ascii="宋体" w:hAnsi="宋体" w:eastAsia="宋体" w:cs="宋体"/>
          <w:b/>
          <w:color w:val="000000"/>
          <w:sz w:val="24"/>
          <w:highlight w:val="white"/>
        </w:rPr>
        <w:t xml:space="preserve">（</w:t>
      </w:r>
      <w:r>
        <w:rPr>
          <w:rFonts w:ascii="宋体" w:hAnsi="宋体" w:eastAsia="宋体" w:cs="宋体"/>
          <w:b/>
          <w:color w:val="000000"/>
          <w:sz w:val="24"/>
        </w:rPr>
        <w:t xml:space="preserve">北京时间）</w:t>
      </w:r>
      <w:r>
        <w:rPr>
          <w:rFonts w:hint="eastAsia" w:ascii="宋体" w:hAnsi="宋体" w:cs="宋体"/>
          <w:b/>
          <w:bCs/>
          <w:color w:val="000000" w:themeColor="text1"/>
          <w:sz w:val="24"/>
          <w14:textFill>
            <w14:solidFill>
              <w14:schemeClr w14:val="tx1"/>
            </w14:solidFill>
          </w14:textFill>
        </w:rPr>
        <w:t xml:space="preserve">前。</w:t>
      </w:r>
      <w:r/>
    </w:p>
    <w:p>
      <w:pPr>
        <w:pStyle w:val="942"/>
        <w:ind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2、提交地点：</w:t>
      </w:r>
      <w:r/>
    </w:p>
    <w:p>
      <w:pPr>
        <w:pStyle w:val="942"/>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“苏采云”系统（网址：http://jszfcg.jsczt.cn/）“开标大厅”或进入徐州政府采购网（网址：</w:t>
      </w:r>
      <w:r>
        <w:rPr>
          <w:rFonts w:hint="eastAsia" w:ascii="仿宋" w:hAnsi="仿宋" w:eastAsia="仿宋" w:cs="仿宋"/>
          <w:color w:val="auto"/>
          <w:sz w:val="24"/>
          <w:szCs w:val="24"/>
          <w:highlight w:val="none"/>
          <w:lang w:eastAsia="zh-CN"/>
        </w:rPr>
        <w:t xml:space="preserve">https://czj.xz.gov.cn/zfcg/index.html</w:t>
      </w:r>
      <w:r>
        <w:rPr>
          <w:rFonts w:hint="eastAsia" w:ascii="宋体" w:hAnsi="宋体" w:cs="宋体"/>
          <w:color w:val="000000" w:themeColor="text1"/>
          <w:sz w:val="24"/>
          <w14:textFill>
            <w14:solidFill>
              <w14:schemeClr w14:val="tx1"/>
            </w14:solidFill>
          </w14:textFill>
        </w:rPr>
        <w:t xml:space="preserve">），点击“苏采云”进入系统“开标大厅”。 </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（四）首次响应文件开启时间：</w:t>
      </w:r>
      <w:r>
        <w:rPr>
          <w:rFonts w:hint="eastAsia" w:ascii="宋体" w:hAnsi="宋体" w:cs="宋体"/>
          <w:b/>
          <w:bCs/>
          <w:color w:val="000000" w:themeColor="text1"/>
          <w:sz w:val="24"/>
          <w:lang w:eastAsia="zh-CN"/>
          <w14:textFill>
            <w14:solidFill>
              <w14:schemeClr w14:val="tx1"/>
            </w14:solidFill>
          </w14:textFill>
        </w:rPr>
        <w:t xml:space="preserve">202</w:t>
      </w:r>
      <w:r>
        <w:rPr>
          <w:rFonts w:hint="eastAsia" w:ascii="宋体" w:hAnsi="宋体" w:cs="宋体"/>
          <w:b/>
          <w:bCs/>
          <w:color w:val="000000" w:themeColor="text1"/>
          <w:sz w:val="24"/>
          <w:lang w:val="en-US" w:eastAsia="zh-CN"/>
          <w14:textFill>
            <w14:solidFill>
              <w14:schemeClr w14:val="tx1"/>
            </w14:solidFill>
          </w14:textFill>
        </w:rPr>
        <w:t xml:space="preserve">6</w:t>
      </w:r>
      <w:r>
        <w:rPr>
          <w:rFonts w:hint="eastAsia" w:ascii="宋体" w:hAnsi="宋体" w:cs="宋体"/>
          <w:b/>
          <w:bCs/>
          <w:color w:val="000000" w:themeColor="text1"/>
          <w:sz w:val="24"/>
          <w14:textFill>
            <w14:solidFill>
              <w14:schemeClr w14:val="tx1"/>
            </w14:solidFill>
          </w14:textFill>
        </w:rPr>
        <w:t xml:space="preserve">年</w:t>
      </w:r>
      <w:r>
        <w:rPr>
          <w:rFonts w:hint="eastAsia" w:ascii="宋体" w:hAnsi="宋体" w:cs="宋体"/>
          <w:b/>
          <w:bCs/>
          <w:color w:val="000000" w:themeColor="text1"/>
          <w:sz w:val="24"/>
          <w:highlight w:val="white"/>
          <w:u w:val="single"/>
          <w:lang w:val="en-US" w:eastAsia="zh-CN"/>
          <w14:textFill>
            <w14:solidFill>
              <w14:schemeClr w14:val="tx1"/>
            </w14:solidFill>
          </w14:textFill>
        </w:rPr>
        <w:t xml:space="preserve">  7  </w:t>
      </w:r>
      <w:r>
        <w:rPr>
          <w:rFonts w:hint="eastAsia" w:ascii="宋体" w:hAnsi="宋体" w:cs="宋体"/>
          <w:b/>
          <w:bCs/>
          <w:color w:val="000000" w:themeColor="text1"/>
          <w:sz w:val="24"/>
          <w:highlight w:val="white"/>
          <w14:textFill>
            <w14:solidFill>
              <w14:schemeClr w14:val="tx1"/>
            </w14:solidFill>
          </w14:textFill>
        </w:rPr>
        <w:t xml:space="preserve">月</w:t>
      </w:r>
      <w:r>
        <w:rPr>
          <w:rFonts w:hint="eastAsia" w:ascii="宋体" w:hAnsi="宋体" w:cs="宋体"/>
          <w:b/>
          <w:bCs/>
          <w:color w:val="000000" w:themeColor="text1"/>
          <w:sz w:val="24"/>
          <w:highlight w:val="white"/>
          <w:u w:val="single"/>
          <w:lang w:val="en-US" w:eastAsia="zh-CN"/>
          <w14:textFill>
            <w14:solidFill>
              <w14:schemeClr w14:val="tx1"/>
            </w14:solidFill>
          </w14:textFill>
        </w:rPr>
        <w:t xml:space="preserve"> 27 </w:t>
      </w:r>
      <w:r>
        <w:rPr>
          <w:rFonts w:hint="eastAsia" w:ascii="宋体" w:hAnsi="宋体" w:cs="宋体"/>
          <w:b/>
          <w:bCs/>
          <w:color w:val="000000" w:themeColor="text1"/>
          <w:sz w:val="24"/>
          <w:highlight w:val="white"/>
          <w14:textFill>
            <w14:solidFill>
              <w14:schemeClr w14:val="tx1"/>
            </w14:solidFill>
          </w14:textFill>
        </w:rPr>
        <w:t xml:space="preserve">日09：</w:t>
      </w:r>
      <w:r>
        <w:rPr>
          <w:rFonts w:hint="eastAsia" w:ascii="宋体" w:hAnsi="宋体" w:cs="宋体"/>
          <w:b/>
          <w:bCs/>
          <w:color w:val="000000" w:themeColor="text1"/>
          <w:sz w:val="24"/>
          <w14:textFill>
            <w14:solidFill>
              <w14:schemeClr w14:val="tx1"/>
            </w14:solidFill>
          </w14:textFill>
        </w:rPr>
        <w:t xml:space="preserve">30</w:t>
      </w:r>
      <w:r>
        <w:rPr>
          <w:rFonts w:ascii="宋体" w:hAnsi="宋体" w:eastAsia="宋体" w:cs="宋体"/>
          <w:b/>
          <w:color w:val="000000"/>
          <w:sz w:val="24"/>
        </w:rPr>
        <w:t xml:space="preserve">（北京时间）</w:t>
      </w:r>
      <w:r>
        <w:rPr>
          <w:rFonts w:hint="eastAsia" w:ascii="宋体" w:hAnsi="宋体" w:cs="宋体"/>
          <w:b/>
          <w:bCs/>
          <w:color w:val="000000" w:themeColor="text1"/>
          <w:sz w:val="24"/>
          <w14:textFill>
            <w14:solidFill>
              <w14:schemeClr w14:val="tx1"/>
            </w14:solidFill>
          </w14:textFill>
        </w:rPr>
        <w:t xml:space="preserve">。</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（五）首次响应文件开启地点：</w:t>
      </w:r>
      <w:r/>
    </w:p>
    <w:p>
      <w:pPr>
        <w:pStyle w:val="942"/>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“苏采云”系统（网址：http://jszfcg.jsczt.cn/）“开标大厅”或进入徐州政府采购网（网址：</w:t>
      </w:r>
      <w:r>
        <w:rPr>
          <w:rFonts w:hint="eastAsia" w:ascii="仿宋" w:hAnsi="仿宋" w:eastAsia="仿宋" w:cs="仿宋"/>
          <w:bCs/>
          <w:color w:val="auto"/>
          <w:sz w:val="24"/>
          <w:szCs w:val="24"/>
          <w:highlight w:val="none"/>
          <w:lang w:eastAsia="zh-CN"/>
        </w:rPr>
        <w:t xml:space="preserve">https://czj.xz.gov.cn/zfcg/index.html</w:t>
      </w:r>
      <w:r>
        <w:rPr>
          <w:rFonts w:hint="eastAsia" w:ascii="宋体" w:hAnsi="宋体" w:cs="宋体"/>
          <w:color w:val="000000" w:themeColor="text1"/>
          <w:sz w:val="24"/>
          <w14:textFill>
            <w14:solidFill>
              <w14:schemeClr w14:val="tx1"/>
            </w14:solidFill>
          </w14:textFill>
        </w:rPr>
        <w:t xml:space="preserve">），点击“苏采云”进入系统“开标大厅”。</w:t>
      </w:r>
      <w:r/>
    </w:p>
    <w:p>
      <w:pPr>
        <w:pStyle w:val="942"/>
        <w:numPr>
          <w:ilvl w:val="0"/>
          <w:numId w:val="2"/>
        </w:numPr>
        <w:jc w:val="left"/>
        <w:spacing w:line="360" w:lineRule="auto"/>
        <w:shd w:val="clear" w:color="auto" w:fill="ffffff"/>
        <w:widowControl/>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供应商在首次响应文件提交的截止时间前，可以对所提交的首次响应文件进行补充、修改或者撤回。补充、修改首次响应文件的，须先撤回首次响应文件，重新编制（即补充、修改）后，在提交截止时间前完成首次响应文件的传输提交。</w:t>
      </w:r>
      <w:r/>
    </w:p>
    <w:p>
      <w:pPr>
        <w:pStyle w:val="942"/>
        <w:numPr>
          <w:ilvl w:val="0"/>
          <w:numId w:val="0"/>
        </w:numPr>
        <w:jc w:val="left"/>
        <w:spacing w:line="360" w:lineRule="auto"/>
        <w:shd w:val="clear" w:color="auto" w:fill="ffffff"/>
        <w:widowControl/>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提交截止时间前未完成首次响应文件传输的，视为撤回首次响应文件。提交截止时间后送达的首次响应文件，“苏采云”系统应当拒收。</w:t>
      </w:r>
      <w:r/>
    </w:p>
    <w:p>
      <w:pPr>
        <w:pStyle w:val="942"/>
        <w:jc w:val="left"/>
        <w:spacing w:line="360" w:lineRule="auto"/>
        <w:shd w:val="clear" w:color="auto" w:fill="ffffff"/>
        <w:widowControl/>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（七）不接受不按要求加盖公章（电子签章）的首次响应文件。电子签章相关要求见“苏采云”系统。</w:t>
      </w:r>
      <w:r/>
    </w:p>
    <w:p>
      <w:pPr>
        <w:pStyle w:val="94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（八）首次响应文件解密：到达开启时间，</w:t>
      </w:r>
      <w:r>
        <w:rPr>
          <w:rFonts w:hint="eastAsia" w:ascii="宋体" w:hAnsi="宋体" w:cs="宋体"/>
          <w:color w:val="000000" w:themeColor="text1"/>
          <w:sz w:val="24"/>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themeColor="text1"/>
          <w:sz w:val="24"/>
          <w14:textFill>
            <w14:solidFill>
              <w14:schemeClr w14:val="tx1"/>
            </w14:solidFill>
          </w14:textFill>
        </w:rPr>
        <w:t xml:space="preserve">开启时间后30分钟内</w:t>
      </w:r>
      <w:r>
        <w:rPr>
          <w:rFonts w:hint="eastAsia" w:ascii="宋体" w:hAnsi="宋体" w:cs="宋体"/>
          <w:color w:val="000000" w:themeColor="text1"/>
          <w:sz w:val="24"/>
          <w14:textFill>
            <w14:solidFill>
              <w14:schemeClr w14:val="tx1"/>
            </w14:solidFill>
          </w14:textFill>
        </w:rPr>
        <w:t xml:space="preserve">，通过“苏采云”系统（使用“CA数字证书”）解密。</w:t>
      </w:r>
      <w:r/>
    </w:p>
    <w:p>
      <w:pPr>
        <w:pStyle w:val="942"/>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（九）采购文件（后缀名为“.kedt”）、供应商操作手册及政府采购客户端工具可通过“苏采云”系统（网址：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 xml:space="preserve">http://jszfcg.jsczt.cn/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）--已报名项目--报名详情页面内相应链接进行下载；供应商操作手册及政府采购客户端工具也可通过徐州政府采购网-</w:t>
      </w:r>
      <w:r>
        <w:rPr>
          <w:rFonts w:hint="eastAsia" w:ascii="宋体" w:hAnsi="宋体" w:cs="宋体"/>
          <w:color w:val="000000" w:themeColor="text1"/>
          <w:sz w:val="24"/>
          <w:lang w:val="en-US" w:eastAsia="zh-CN"/>
          <w14:textFill>
            <w14:solidFill>
              <w14:schemeClr w14:val="tx1"/>
            </w14:solidFill>
          </w14:textFill>
        </w:rPr>
        <w:t xml:space="preserve">办事指南</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资料下载</w:t>
      </w:r>
      <w:r>
        <w:rPr>
          <w:rFonts w:hint="eastAsia" w:ascii="宋体" w:hAnsi="宋体" w:cs="宋体"/>
          <w:color w:val="000000" w:themeColor="text1"/>
          <w:sz w:val="24"/>
          <w14:textFill>
            <w14:solidFill>
              <w14:schemeClr w14:val="tx1"/>
            </w14:solidFill>
          </w14:textFill>
        </w:rPr>
        <w:t xml:space="preserve">，点击进入《江苏省政府采购管理交易系统（苏采云）供应商操作手册及政府采购客户端》，进行下载。</w:t>
      </w:r>
      <w:r/>
    </w:p>
    <w:p>
      <w:pPr>
        <w:pStyle w:val="942"/>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（十）相关说明</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供应商在“苏采云”系统中提交首次响应文件的时间即为数据电文（响应文件，下同）的发送时间和接收时间。</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十三、响应文件编制要求</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请按照以下要求（包括但不限于以下要求）制作：</w:t>
      </w:r>
      <w:r/>
    </w:p>
    <w:p>
      <w:pPr>
        <w:pStyle w:val="942"/>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（一）基本目录</w:t>
      </w:r>
      <w:r/>
    </w:p>
    <w:p>
      <w:pPr>
        <w:pStyle w:val="942"/>
        <w:ind w:firstLine="482"/>
        <w:keepLines w:val="0"/>
        <w:keepNext w:val="0"/>
        <w:pageBreakBefore w:val="0"/>
        <w:spacing w:line="360" w:lineRule="auto"/>
        <w:widowControl w:val="off"/>
        <w:rPr>
          <w:rFonts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sz w:val="24"/>
          <w14:textFill>
            <w14:solidFill>
              <w14:schemeClr w14:val="tx1"/>
            </w14:solidFill>
          </w14:textFill>
        </w:rPr>
        <w:t xml:space="preserve">1、《磋商报价表》（加盖电子签章，格式见《磋商文件》附件。政府采购客户端工具输入报价自动生成）；</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2、供应商认为需要提供的其他资料的扫描件（如有）。</w:t>
      </w:r>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（二）资格条件（1～6项必须提供，否则响应无效）</w:t>
      </w:r>
      <w:r/>
    </w:p>
    <w:p>
      <w:pPr>
        <w:ind w:right="0" w:firstLine="482"/>
        <w:pageBreakBefore w:val="0"/>
        <w:spacing w:line="360" w:lineRule="auto"/>
        <w:widowControl w:val="off"/>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1、具有独立承担民事责任的能力：</w:t>
      </w:r>
      <w:r>
        <w:rPr>
          <w:rFonts w:hint="eastAsia" w:ascii="宋体" w:hAnsi="宋体" w:cs="宋体"/>
          <w:b w:val="0"/>
          <w:bCs w:val="0"/>
          <w:color w:val="000000" w:themeColor="text1"/>
          <w:sz w:val="24"/>
          <w14:textFill>
            <w14:solidFill>
              <w14:schemeClr w14:val="tx1"/>
            </w14:solidFill>
          </w14:textFill>
        </w:rPr>
        <w:t xml:space="preserve">即提供供应商合法有效的营业执照或者其他组织的法人证明文件扫描件并加盖电子签章；</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2、</w:t>
      </w:r>
      <w:r>
        <w:rPr>
          <w:rFonts w:hint="eastAsia" w:ascii="宋体" w:hAnsi="宋体" w:cs="宋体"/>
          <w:b/>
          <w:color w:val="000000" w:themeColor="text1"/>
          <w:sz w:val="24"/>
          <w14:textFill>
            <w14:solidFill>
              <w14:schemeClr w14:val="tx1"/>
            </w14:solidFill>
          </w14:textFill>
        </w:rPr>
        <w:t xml:space="preserve">具有良好的商业信誉和健全的财务会计制度：</w:t>
      </w:r>
      <w:r>
        <w:rPr>
          <w:rFonts w:hint="eastAsia" w:ascii="宋体" w:hAnsi="宋体" w:cs="宋体"/>
          <w:b w:val="0"/>
          <w:bCs/>
          <w:color w:val="000000" w:themeColor="text1"/>
          <w:sz w:val="24"/>
          <w14:textFill>
            <w14:solidFill>
              <w14:schemeClr w14:val="tx1"/>
            </w14:solidFill>
          </w14:textFill>
        </w:rPr>
        <w:t xml:space="preserve">即提供供应商的本项目开标时间前6个月内任何日期（不含“提交首次响应文件截止时间”当月）的资产负债表和利润月报表扫描件各一份；或提供合法有效的经第三方机构审计的2024年度或2025年度财务审计报告扫描件（应包括审计报告正文、资产负债表、现金流量表、利润表）扫描件加盖电子签章；</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3、具有依法缴纳税收和社会保障资金的良好记录：</w:t>
      </w:r>
      <w:r>
        <w:rPr>
          <w:rFonts w:hint="eastAsia" w:ascii="宋体" w:hAnsi="宋体" w:cs="宋体"/>
          <w:b w:val="0"/>
          <w:bCs/>
          <w:color w:val="000000" w:themeColor="text1"/>
          <w:sz w:val="24"/>
          <w14:textFill>
            <w14:solidFill>
              <w14:schemeClr w14:val="tx1"/>
            </w14:solidFill>
          </w14:textFill>
        </w:rPr>
        <w:t xml:space="preserve">即提供供应商的本项目开标时间前6个月内（不含“提交首次响应文件截止时间”当月）任何1个月的依法缴纳税收扫描件和社会保障资金扫描件加盖电子签章（依法免税或不需要缴纳社会保障资金的供应商，提供相应文件扫描件证明其依法免税或不需要缴纳社会保障资金）；</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4、具有履行合同所必需的设备和专业技术能力：</w:t>
      </w:r>
      <w:r>
        <w:rPr>
          <w:rFonts w:hint="eastAsia" w:ascii="宋体" w:hAnsi="宋体" w:cs="宋体"/>
          <w:b w:val="0"/>
          <w:bCs/>
          <w:color w:val="000000" w:themeColor="text1"/>
          <w:sz w:val="24"/>
          <w14:textFill>
            <w14:solidFill>
              <w14:schemeClr w14:val="tx1"/>
            </w14:solidFill>
          </w14:textFill>
        </w:rPr>
        <w:t xml:space="preserve">即提供具备履行合同所必需的设备和专业技术能力的书面声明（附证明材料原件的扫描件）（加盖电子签章，格式见《磋商文件》附件）；</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5、参加政府采购活动前</w:t>
      </w:r>
      <w:r>
        <w:rPr>
          <w:rFonts w:hint="eastAsia" w:ascii="宋体" w:hAnsi="宋体" w:cs="宋体"/>
          <w:b/>
          <w:color w:val="000000" w:themeColor="text1"/>
          <w:sz w:val="24"/>
          <w:lang w:val="en-US" w:eastAsia="zh-CN"/>
          <w14:textFill>
            <w14:solidFill>
              <w14:schemeClr w14:val="tx1"/>
            </w14:solidFill>
          </w14:textFill>
        </w:rPr>
        <w:t xml:space="preserve">3</w:t>
      </w:r>
      <w:r>
        <w:rPr>
          <w:rFonts w:hint="eastAsia" w:ascii="宋体" w:hAnsi="宋体" w:cs="宋体"/>
          <w:b/>
          <w:color w:val="000000" w:themeColor="text1"/>
          <w:sz w:val="24"/>
          <w14:textFill>
            <w14:solidFill>
              <w14:schemeClr w14:val="tx1"/>
            </w14:solidFill>
          </w14:textFill>
        </w:rPr>
        <w:t xml:space="preserve">年内在经营活动中没有重大违法记录：</w:t>
      </w:r>
      <w:r>
        <w:rPr>
          <w:rFonts w:hint="eastAsia" w:ascii="宋体" w:hAnsi="宋体" w:cs="宋体"/>
          <w:b w:val="0"/>
          <w:bCs/>
          <w:color w:val="000000" w:themeColor="text1"/>
          <w:sz w:val="24"/>
          <w14:textFill>
            <w14:solidFill>
              <w14:schemeClr w14:val="tx1"/>
            </w14:solidFill>
          </w14:textFill>
        </w:rPr>
        <w:t xml:space="preserve">即提供供应商参加政府采购活动前3年内在经营活动中没有重大违法记录的书面声明（加盖电子签章，格式见《磋商文件》附件）；</w:t>
      </w:r>
      <w:r/>
    </w:p>
    <w:p>
      <w:pPr>
        <w:ind w:right="0" w:firstLine="482"/>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6、本项目属于专门面向中小微企业的项目，供应商应为中小企业（含中型、小型、微型企业，下同），提供《中小企业声明函》（加盖电子签章，填写完整。格式见《磋商文件》附件）。</w:t>
      </w:r>
      <w:r>
        <w:rPr>
          <w:rFonts w:hint="eastAsia" w:ascii="宋体" w:hAnsi="宋体" w:cs="宋体"/>
          <w:b w:val="0"/>
          <w:bCs/>
          <w:color w:val="000000" w:themeColor="text1"/>
          <w:sz w:val="24"/>
          <w14:textFill>
            <w14:solidFill>
              <w14:schemeClr w14:val="tx1"/>
            </w14:solidFill>
          </w14:textFill>
        </w:rPr>
        <w:t xml:space="preserve">《中小企业声明函》查询渠道用微信搜索“中小企业规模类型自测小程序”。</w:t>
      </w:r>
      <w:r/>
    </w:p>
    <w:p>
      <w:pPr>
        <w:ind w:right="-33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注：中小微企业，应当同时符合以下条件：</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① 符合中小企业划分标准；</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② 提供本企业制造的货物、承担的工程或者服务，或者提供其他中小企业制造的货物。本项所称货物不包括使用大型企业注册商标的货物。</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小型、微型企业提供中型企业制造的货物的，视同为中型企业。</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供应商为享受政府采购支持政策的残疾人福利性单位的，提供《残疾人福利性单位声明函》（加盖电子签章，格式见《磋商文件》附件）。</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享受政府采购支持政策的残疾人福利性单位应当同时满足以下条件：</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（一）安置的残疾人占本单位在职职工人数的比例不低于25%（含25%），并且安置的残疾人人数不少于10人（含10人）；</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（二）依法与安置的每位残疾人签订了一年以上（含一年）的劳动合同或服务协议；</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（三）为安置的每位残疾人按月足额缴纳了基本养老保险、基本医疗保险、失业保险、工伤保险和生育保险等社会保险费；</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（四）通过银行等金融机构向安置的每位残疾人，按月支付了不低于单位所在区县适用的经省级人民政府批准的月最低工资标准的工资；</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（五）提供本单位制造的货物、承担的工程或者服务（以下简称产品），或者提供其他残疾人福利性单位制造的货物（不包括使用非残疾人福利性单位注册商标的货物）。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具体以《三部门联合发布关于促进残疾人就业政府采购政策的通知》（财库〔2017〕141号）规定为准。</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（三）符合条件（必须提供，否则响应无效）</w:t>
      </w:r>
      <w:r/>
    </w:p>
    <w:p>
      <w:pPr>
        <w:ind w:right="0"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1、《承诺书》（加盖电子签章，格式见《磋商文件》附件）；</w:t>
      </w:r>
      <w:r/>
    </w:p>
    <w:p>
      <w:pPr>
        <w:ind w:right="0" w:firstLine="482"/>
        <w:keepLines w:val="0"/>
        <w:keepNext w:val="0"/>
        <w:pageBreakBefore w:val="0"/>
        <w:spacing w:line="360" w:lineRule="auto"/>
        <w:widowControl w:val="off"/>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2、</w:t>
      </w:r>
      <w:r>
        <w:rPr>
          <w:rFonts w:hint="eastAsia" w:ascii="宋体" w:hAnsi="宋体" w:cs="宋体"/>
          <w:b/>
          <w:bCs/>
          <w:color w:val="000000" w:themeColor="text1"/>
          <w:sz w:val="24"/>
          <w14:textFill>
            <w14:solidFill>
              <w14:schemeClr w14:val="tx1"/>
            </w14:solidFill>
          </w14:textFill>
        </w:rPr>
        <w:t xml:space="preserve">《授权委托书》（加盖电子签章，格式见《磋商文件》附件）；</w:t>
      </w:r>
      <w:r/>
    </w:p>
    <w:p>
      <w:pPr>
        <w:ind w:right="0" w:firstLine="482"/>
        <w:keepLines w:val="0"/>
        <w:keepNext w:val="0"/>
        <w:pageBreakBefore w:val="0"/>
        <w:spacing w:line="360" w:lineRule="auto"/>
        <w:widowControl w:val="off"/>
        <w:rPr>
          <w:rFonts w:ascii="宋体" w:hAnsi="宋体" w:eastAsia="宋体" w:cs="宋体"/>
          <w:b/>
          <w:color w:val="000000"/>
          <w:sz w:val="24"/>
        </w:rPr>
      </w:pPr>
      <w:r>
        <w:rPr>
          <w:rFonts w:hint="eastAsia" w:ascii="宋体" w:hAnsi="宋体" w:cs="宋体"/>
          <w:b/>
          <w:bCs/>
          <w:color w:val="000000" w:themeColor="text1"/>
          <w:sz w:val="24"/>
          <w:lang w:val="en-US" w:eastAsia="zh-CN"/>
          <w14:textFill>
            <w14:solidFill>
              <w14:schemeClr w14:val="tx1"/>
            </w14:solidFill>
          </w14:textFill>
        </w:rPr>
        <w:t xml:space="preserve">3</w:t>
      </w:r>
      <w:r>
        <w:rPr>
          <w:rFonts w:hint="eastAsia" w:ascii="宋体" w:hAnsi="宋体" w:cs="宋体"/>
          <w:b/>
          <w:bCs/>
          <w:color w:val="000000" w:themeColor="text1"/>
          <w:sz w:val="24"/>
          <w14:textFill>
            <w14:solidFill>
              <w14:schemeClr w14:val="tx1"/>
            </w14:solidFill>
          </w14:textFill>
        </w:rPr>
        <w:t xml:space="preserve">、</w:t>
      </w:r>
      <w:r>
        <w:rPr>
          <w:rFonts w:ascii="宋体" w:hAnsi="宋体" w:eastAsia="宋体" w:cs="宋体"/>
          <w:b/>
          <w:color w:val="000000"/>
          <w:sz w:val="24"/>
        </w:rPr>
        <w:t xml:space="preserve">《磋商报价表》（加盖电子签章</w:t>
      </w:r>
      <w:r>
        <w:rPr>
          <w:rFonts w:hint="eastAsia" w:ascii="宋体" w:hAnsi="宋体" w:cs="宋体"/>
          <w:b/>
          <w:color w:val="000000"/>
          <w:sz w:val="24"/>
          <w:lang w:eastAsia="zh-CN"/>
        </w:rPr>
        <w:t xml:space="preserve">，格式见</w:t>
      </w:r>
      <w:r>
        <w:rPr>
          <w:rFonts w:hint="eastAsia" w:ascii="宋体" w:hAnsi="宋体" w:cs="宋体"/>
          <w:b/>
          <w:bCs/>
          <w:color w:val="000000" w:themeColor="text1"/>
          <w:sz w:val="24"/>
          <w14:textFill>
            <w14:solidFill>
              <w14:schemeClr w14:val="tx1"/>
            </w14:solidFill>
          </w14:textFill>
        </w:rPr>
        <w:t xml:space="preserve">《磋商文件》附件）</w:t>
      </w:r>
      <w:r>
        <w:rPr>
          <w:rFonts w:ascii="宋体" w:hAnsi="宋体" w:eastAsia="宋体" w:cs="宋体"/>
          <w:b/>
          <w:color w:val="000000"/>
          <w:sz w:val="24"/>
        </w:rPr>
        <w:t xml:space="preserve">）；</w:t>
      </w:r>
      <w:r/>
    </w:p>
    <w:p>
      <w:pPr>
        <w:ind w:right="0"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color w:val="000000"/>
          <w:sz w:val="24"/>
          <w:lang w:val="en-US" w:eastAsia="zh-CN"/>
        </w:rPr>
        <w:t xml:space="preserve">4、《</w:t>
      </w:r>
      <w:r>
        <w:rPr>
          <w:rFonts w:hint="eastAsia" w:ascii="宋体" w:hAnsi="宋体" w:cs="宋体"/>
          <w:b/>
          <w:bCs/>
          <w:color w:val="000000" w:themeColor="text1"/>
          <w:sz w:val="24"/>
          <w14:textFill>
            <w14:solidFill>
              <w14:schemeClr w14:val="tx1"/>
            </w14:solidFill>
          </w14:textFill>
        </w:rPr>
        <w:t xml:space="preserve">偏离表</w:t>
      </w:r>
      <w:r>
        <w:rPr>
          <w:rFonts w:hint="eastAsia" w:ascii="宋体" w:hAnsi="宋体" w:cs="宋体"/>
          <w:b/>
          <w:color w:val="000000"/>
          <w:sz w:val="24"/>
          <w:lang w:val="en-US" w:eastAsia="zh-CN"/>
        </w:rPr>
        <w:t xml:space="preserve">》</w:t>
      </w:r>
      <w:r>
        <w:rPr>
          <w:rFonts w:hint="eastAsia" w:ascii="宋体" w:hAnsi="宋体" w:cs="宋体"/>
          <w:b/>
          <w:bCs/>
          <w:color w:val="000000" w:themeColor="text1"/>
          <w:sz w:val="24"/>
          <w14:textFill>
            <w14:solidFill>
              <w14:schemeClr w14:val="tx1"/>
            </w14:solidFill>
          </w14:textFill>
        </w:rPr>
        <w:t xml:space="preserve">（加盖电子签章，格式见《磋商文件》附件）；</w:t>
      </w:r>
      <w:r/>
    </w:p>
    <w:p>
      <w:pPr>
        <w:ind w:right="0"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5</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分项价格表</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（加盖电子签章，格式《磋商文件》附件）；</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（四）综合评审评分项</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一)技术部分：</w:t>
      </w:r>
      <w:r/>
    </w:p>
    <w:p>
      <w:pPr>
        <w:ind w:firstLine="482"/>
        <w:keepLines w:val="0"/>
        <w:keepNext w:val="0"/>
        <w:pageBreakBefore w:val="0"/>
        <w:spacing w:line="360" w:lineRule="auto"/>
        <w:widowControl w:val="off"/>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1、养护实施方案</w:t>
      </w:r>
      <w:r>
        <w:rPr>
          <w:rFonts w:hint="eastAsia" w:ascii="宋体" w:hAnsi="宋体" w:cs="宋体"/>
          <w:color w:val="000000" w:themeColor="text1"/>
          <w:sz w:val="24"/>
          <w:highlight w:val="none"/>
          <w:lang w:val="en-US" w:eastAsia="zh-CN"/>
          <w14:textFill>
            <w14:solidFill>
              <w14:schemeClr w14:val="tx1"/>
            </w14:solidFill>
          </w14:textFill>
        </w:rPr>
        <w:t xml:space="preserve">（要求见《磋商文件》附件1、《评分细则》及附件：2、《项目要求（采购需求）》）；</w:t>
      </w:r>
      <w:r/>
    </w:p>
    <w:p>
      <w:pPr>
        <w:ind w:firstLine="482"/>
        <w:keepLines w:val="0"/>
        <w:keepNext w:val="0"/>
        <w:pageBreakBefore w:val="0"/>
        <w:spacing w:line="360" w:lineRule="auto"/>
        <w:widowControl w:val="off"/>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lang w:val="en-US"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评分细则中评分得分需提供的相关证明文件扫描件或供应商认为需要提供的其他资料扫描件。</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二）商务部分：</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1、供应商业绩（要求见《磋商文件》附件1、《评分细则》）；</w:t>
      </w:r>
      <w:r/>
    </w:p>
    <w:p>
      <w:pPr>
        <w:ind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2</w:t>
      </w:r>
      <w:r>
        <w:rPr>
          <w:rFonts w:hint="eastAsia" w:ascii="宋体" w:hAnsi="宋体" w:cs="宋体"/>
          <w:b/>
          <w:bCs/>
          <w:color w:val="000000" w:themeColor="text1"/>
          <w:sz w:val="24"/>
          <w14:textFill>
            <w14:solidFill>
              <w14:schemeClr w14:val="tx1"/>
            </w14:solidFill>
          </w14:textFill>
        </w:rPr>
        <w:t xml:space="preserve">、评分细则中评分得分需提供的相关证明文件扫描件或供应商认为需要提供的其他资料扫描件。</w:t>
      </w:r>
      <w:r/>
    </w:p>
    <w:p>
      <w:pPr>
        <w:pStyle w:val="942"/>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pStyle w:val="942"/>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1、企业报价折扣证明：无。</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（六）提交的首次响应文件的密封、签署、盖章要求：</w:t>
      </w:r>
      <w:r/>
    </w:p>
    <w:p>
      <w:pPr>
        <w:pStyle w:val="942"/>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1、密封（加密）要求：</w:t>
      </w:r>
      <w:r/>
    </w:p>
    <w:p>
      <w:pPr>
        <w:pStyle w:val="942"/>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42"/>
        <w:numPr>
          <w:ilvl w:val="0"/>
          <w:numId w:val="3"/>
        </w:num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签署要求：见《磋商文件》第九章附件中相关格式要求</w:t>
      </w:r>
      <w:r>
        <w:rPr>
          <w:rFonts w:hint="eastAsia" w:ascii="宋体" w:hAnsi="宋体" w:cs="宋体"/>
          <w:color w:val="000000" w:themeColor="text1"/>
          <w:sz w:val="24"/>
          <w:lang w:eastAsia="zh-CN"/>
          <w14:textFill>
            <w14:solidFill>
              <w14:schemeClr w14:val="tx1"/>
            </w14:solidFill>
          </w14:textFill>
        </w:rPr>
        <w:t xml:space="preserve">。</w:t>
      </w:r>
      <w:r/>
    </w:p>
    <w:p>
      <w:pPr>
        <w:pStyle w:val="942"/>
        <w:numPr>
          <w:ilvl w:val="0"/>
          <w:numId w:val="0"/>
        </w:numPr>
        <w:ind w:firstLine="482"/>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942"/>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（七）通过“苏采云”系统提交政府采购客户端工具导出加密的响应文件（后缀名为zip）。响应文件不得超过150M！ </w:t>
      </w:r>
      <w:r/>
    </w:p>
    <w:p>
      <w:pPr>
        <w:pStyle w:val="942"/>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w:t>
      </w:r>
      <w:r/>
    </w:p>
    <w:p>
      <w:pPr>
        <w:pStyle w:val="942"/>
        <w:numPr>
          <w:ilvl w:val="0"/>
          <w:numId w:val="4"/>
        </w:numPr>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供应商应当按照《磋商文件》的要求编制响应文件，并对其提交的响应文件的真实性、合法性承担法律责任。</w:t>
      </w:r>
      <w:r/>
    </w:p>
    <w:p>
      <w:pPr>
        <w:pStyle w:val="942"/>
        <w:numPr>
          <w:ilvl w:val="0"/>
          <w:numId w:val="4"/>
        </w:numPr>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采购人索取成交供应商的响应文件，须在双方签订政府采购合同后，由采购代理机构提供给采购人。</w:t>
      </w:r>
      <w:r/>
    </w:p>
    <w:p>
      <w:pPr>
        <w:pStyle w:val="942"/>
        <w:ind w:firstLine="478"/>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pStyle w:val="942"/>
        <w:ind w:firstLine="478"/>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第四章 磋商相关说明</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十四、磋商相关说明</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（一）磋商要求</w:t>
      </w:r>
      <w:r/>
    </w:p>
    <w:p>
      <w:pPr>
        <w:pStyle w:val="942"/>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942"/>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2、供应商可通过CA数字证书，在首次响应文件开启时间后，使用CA数字证书在规定时间内解密各自响应文件。</w:t>
      </w:r>
      <w:r/>
    </w:p>
    <w:p>
      <w:pPr>
        <w:pStyle w:val="942"/>
        <w:ind w:firstLine="482"/>
        <w:keepLines w:val="0"/>
        <w:keepNext w:val="0"/>
        <w:pageBreakBefore w:val="0"/>
        <w:spacing w:line="360" w:lineRule="auto"/>
        <w:widowControl w:val="off"/>
        <w:rPr>
          <w:rFonts w:ascii="宋体" w:hAnsi="宋体" w:cs="宋体"/>
          <w:b/>
          <w:bCs/>
          <w:color w:val="000000" w:themeColor="text1"/>
          <w:sz w:val="24"/>
          <w:highlight w:val="yellow"/>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3、供应商的授权代表或法人须全程守候在“苏采云”系统开标大厅，并确保视频设备正常使用。</w:t>
      </w:r>
      <w:r/>
    </w:p>
    <w:p>
      <w:pPr>
        <w:pStyle w:val="942"/>
        <w:ind w:firstLine="480"/>
        <w:keepLines w:val="0"/>
        <w:keepNext w:val="0"/>
        <w:pageBreakBefore w:val="0"/>
        <w:spacing w:line="360" w:lineRule="auto"/>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firstLine="482"/>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942"/>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6、未在规定时间内进行答疑澄清的，视同放弃澄清。</w:t>
      </w:r>
      <w:r/>
    </w:p>
    <w:p>
      <w:pPr>
        <w:pStyle w:val="942"/>
        <w:ind w:firstLine="482"/>
        <w:keepLines w:val="0"/>
        <w:keepNext w:val="0"/>
        <w:pageBreakBefore w:val="0"/>
        <w:spacing w:line="360" w:lineRule="auto"/>
        <w:widowControl w:val="off"/>
        <w:rPr>
          <w:rFonts w:hint="eastAsia"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sz w:val="24"/>
          <w14:textFill>
            <w14:solidFill>
              <w14:schemeClr w14:val="tx1"/>
            </w14:solidFill>
          </w14:textFill>
        </w:rPr>
        <w:t xml:space="preserve">7、未在规定时间内进行报价的，视为响应无效。</w:t>
      </w:r>
      <w:r/>
    </w:p>
    <w:p>
      <w:pPr>
        <w:pStyle w:val="934"/>
        <w:ind w:left="0" w:firstLine="482"/>
        <w:spacing w:line="360" w:lineRule="auto"/>
        <w:rPr>
          <w:rFonts w:hint="eastAsia" w:ascii="宋体" w:hAnsi="宋体" w:eastAsia="宋体" w:cs="宋体"/>
          <w:b/>
          <w:color w:val="000000" w:themeColor="text1"/>
          <w:sz w:val="24"/>
          <w:szCs w:val="24"/>
          <w:lang w:val="en-US" w:eastAsia="zh-CN" w:bidi="ar-SA"/>
          <w14:textFill>
            <w14:solidFill>
              <w14:schemeClr w14:val="tx1"/>
            </w14:solidFill>
          </w14:textFill>
        </w:rPr>
      </w:pP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注：各供应商在未进行第二次报价前，请不要离开开标系统，随时接受评标委员会提出的二次报价，因供应商未能及时二次报价而引起的废标及损失，由供应商负责。</w:t>
      </w:r>
      <w:r/>
    </w:p>
    <w:p>
      <w:pPr>
        <w:pStyle w:val="942"/>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8、被邀请参与磋商的供应商如未按上述磋商要求执行，视同放弃磋商的权利。</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 (</w:t>
      </w:r>
      <w:r>
        <w:rPr>
          <w:rFonts w:hint="eastAsia" w:ascii="宋体" w:hAnsi="宋体" w:cs="宋体"/>
          <w:b/>
          <w:bCs/>
          <w:color w:val="000000" w:themeColor="text1"/>
          <w:sz w:val="24"/>
          <w:lang w:val="en-US" w:eastAsia="zh-CN"/>
          <w14:textFill>
            <w14:solidFill>
              <w14:schemeClr w14:val="tx1"/>
            </w14:solidFill>
          </w14:textFill>
        </w:rPr>
        <w:t xml:space="preserve">二</w:t>
      </w:r>
      <w:r>
        <w:rPr>
          <w:rFonts w:hint="eastAsia" w:ascii="宋体" w:hAnsi="宋体" w:cs="宋体"/>
          <w:b/>
          <w:bCs/>
          <w:color w:val="000000" w:themeColor="text1"/>
          <w:sz w:val="24"/>
          <w14:textFill>
            <w14:solidFill>
              <w14:schemeClr w14:val="tx1"/>
            </w14:solidFill>
          </w14:textFill>
        </w:rPr>
        <w:t xml:space="preserve">) 查询及使用供应商信用记录</w:t>
      </w:r>
      <w:r/>
    </w:p>
    <w:p>
      <w:pPr>
        <w:pStyle w:val="942"/>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1、由采购人查询信用信息。</w:t>
      </w:r>
      <w:r/>
    </w:p>
    <w:p>
      <w:pPr>
        <w:pStyle w:val="942"/>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2、查询渠道包括：</w:t>
      </w:r>
      <w:r/>
    </w:p>
    <w:p>
      <w:pPr>
        <w:pStyle w:val="942"/>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（1）“信用中国”网（www.creditchina.gov.cn）；</w:t>
      </w:r>
      <w:r/>
    </w:p>
    <w:p>
      <w:pPr>
        <w:pStyle w:val="942"/>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（2）中国政府采购网（www.ccgp.gov.cn）；</w:t>
      </w:r>
      <w:r/>
    </w:p>
    <w:p>
      <w:pPr>
        <w:pStyle w:val="1074"/>
        <w:ind w:right="0" w:firstLine="480"/>
        <w:keepLines w:val="0"/>
        <w:keepNext w:val="0"/>
        <w:pageBreakBefore w:val="0"/>
        <w:spacing w:line="360" w:lineRule="auto"/>
        <w:rPr>
          <w:rStyle w:val="998"/>
          <w:rFonts w:ascii="宋体" w:hAnsi="宋体"/>
          <w:color w:val="000000" w:themeColor="text1"/>
          <w:sz w:val="24"/>
          <w14:textFill>
            <w14:solidFill>
              <w14:schemeClr w14:val="tx1"/>
            </w14:solidFill>
          </w14:textFill>
        </w:rPr>
      </w:pPr>
      <w:r>
        <w:rPr>
          <w:rStyle w:val="998"/>
          <w:rFonts w:hint="eastAsia" w:ascii="宋体" w:hAnsi="宋体"/>
          <w:color w:val="000000" w:themeColor="text1"/>
          <w:sz w:val="24"/>
          <w14:textFill>
            <w14:solidFill>
              <w14:schemeClr w14:val="tx1"/>
            </w14:solidFill>
          </w14:textFill>
        </w:rPr>
        <w:t xml:space="preserve">（3）“信用江苏”网（http://credit.jiangsu.gov.cn/）；</w:t>
      </w:r>
      <w:r/>
    </w:p>
    <w:p>
      <w:pPr>
        <w:pStyle w:val="107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Style w:val="998"/>
          <w:rFonts w:hint="eastAsia" w:ascii="宋体" w:hAnsi="宋体"/>
          <w:color w:val="000000" w:themeColor="text1"/>
          <w:sz w:val="24"/>
          <w14:textFill>
            <w14:solidFill>
              <w14:schemeClr w14:val="tx1"/>
            </w14:solidFill>
          </w14:textFill>
        </w:rPr>
        <w:t xml:space="preserve">（4）“信用徐州”网（http://www.xuzhoucredit.gov.cn）</w:t>
      </w:r>
      <w:r>
        <w:rPr>
          <w:rStyle w:val="998"/>
          <w:rFonts w:ascii="宋体" w:hAnsi="宋体"/>
          <w:color w:val="000000" w:themeColor="text1"/>
          <w:sz w:val="24"/>
          <w14:textFill>
            <w14:solidFill>
              <w14:schemeClr w14:val="tx1"/>
            </w14:solidFill>
          </w14:textFill>
        </w:rPr>
        <w:t xml:space="preserve">。</w:t>
      </w:r>
      <w:r/>
    </w:p>
    <w:p>
      <w:pPr>
        <w:pStyle w:val="942"/>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3、截止时点（查询环节）：首次响应文件开启后资格审查结束前。</w:t>
      </w:r>
      <w:r/>
    </w:p>
    <w:p>
      <w:pPr>
        <w:pStyle w:val="942"/>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4、信用信息查询记录和证据留存的具体方式：</w:t>
      </w:r>
      <w:r/>
    </w:p>
    <w:p>
      <w:pPr>
        <w:pStyle w:val="942"/>
        <w:ind w:right="0" w:firstLine="482"/>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网页截屏打印，与其他采购文件一并保存。</w:t>
      </w:r>
      <w:r/>
    </w:p>
    <w:p>
      <w:pPr>
        <w:pStyle w:val="942"/>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5、信用信息的使用规则：</w:t>
      </w:r>
      <w:r/>
    </w:p>
    <w:p>
      <w:pPr>
        <w:pStyle w:val="942"/>
        <w:ind w:right="0" w:firstLine="480"/>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十五、评审程序</w:t>
      </w:r>
      <w:r/>
    </w:p>
    <w:p>
      <w:pPr>
        <w:pStyle w:val="942"/>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942"/>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942"/>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结束后，磋商小组应当要求所有参加磋商的供应商在规定时间内进行最后报价。供应商可按照磋商小组的要求在磋商现场（即“苏采云”系统开标大厅中）进行不少于两次的报价，首轮报价不公开，本项目二次报价为最后报价。</w:t>
      </w:r>
      <w:r/>
    </w:p>
    <w:p>
      <w:pPr>
        <w:pStyle w:val="942"/>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w:t>
      </w:r>
      <w:r>
        <w:rPr>
          <w:rFonts w:hint="eastAsia" w:ascii="宋体" w:hAnsi="宋体" w:cs="宋体"/>
          <w:color w:val="000000" w:themeColor="text1"/>
          <w:sz w:val="24"/>
          <w:highlight w:val="none"/>
          <w14:textFill>
            <w14:solidFill>
              <w14:schemeClr w14:val="tx1"/>
            </w14:solidFill>
          </w14:textFill>
        </w:rPr>
        <w:t xml:space="preserve">的，按照</w:t>
      </w:r>
      <w:r>
        <w:rPr>
          <w:rFonts w:hint="eastAsia" w:ascii="宋体" w:hAnsi="宋体" w:cs="宋体"/>
          <w:b/>
          <w:bCs/>
          <w:color w:val="000000" w:themeColor="text1"/>
          <w:sz w:val="24"/>
          <w:highlight w:val="none"/>
          <w:lang w:val="en-US" w:eastAsia="zh-CN"/>
          <w14:textFill>
            <w14:solidFill>
              <w14:schemeClr w14:val="tx1"/>
            </w14:solidFill>
          </w14:textFill>
        </w:rPr>
        <w:t xml:space="preserve">养护实施方案</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得分</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顺序推荐。</w:t>
      </w:r>
      <w:r/>
    </w:p>
    <w:p>
      <w:pPr>
        <w:pStyle w:val="942"/>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42"/>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评审过程中出现下列情形之一的，磋商小组应当启动异常低价投标（响应）审查程序：</w:t>
      </w:r>
      <w:r/>
    </w:p>
    <w:p>
      <w:pPr>
        <w:pStyle w:val="942"/>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pStyle w:val="942"/>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②投标(响应)报价低于通过符合性审查的次低报价供应商投标(响应)报价50的，即投标(响应)报价〈通过符合性审查的次低报价供应商投标(响应)报价×50%；</w:t>
      </w:r>
      <w:r/>
    </w:p>
    <w:p>
      <w:pPr>
        <w:pStyle w:val="942"/>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③投标(响应)报价低于采购项目最高限价45%的，即投标(响应)报价&lt;采购项目最高限价×45%；</w:t>
      </w:r>
      <w:r/>
    </w:p>
    <w:p>
      <w:pPr>
        <w:pStyle w:val="942"/>
        <w:ind w:firstLine="482"/>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④磋商小组基于专业判断，认为供应商报价过低，有可能影响产品质量或者不能诚信履约的其他情形。</w:t>
      </w:r>
      <w:r/>
    </w:p>
    <w:p>
      <w:pPr>
        <w:pStyle w:val="942"/>
        <w:ind w:firstLine="482"/>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42"/>
        <w:ind w:firstLine="482"/>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942"/>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942"/>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异常低价投标(响应)审查的启动原因、审查意见和审查结果应当在评审报告中记录，并随供应商提供的相关书面说明及证明材料，以及磋商小组有关互联网浏览、查询历史一并归档。</w:t>
      </w:r>
      <w:r/>
    </w:p>
    <w:p>
      <w:pPr>
        <w:pStyle w:val="942"/>
        <w:ind w:firstLine="48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42"/>
        <w:ind w:right="0"/>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十六、</w:t>
      </w:r>
      <w:r>
        <w:rPr>
          <w:rFonts w:hint="eastAsia" w:ascii="宋体" w:hAnsi="宋体" w:cs="宋体"/>
          <w:b/>
          <w:bCs/>
          <w:color w:val="000000" w:themeColor="text1"/>
          <w:sz w:val="24"/>
          <w14:textFill>
            <w14:solidFill>
              <w14:schemeClr w14:val="tx1"/>
            </w14:solidFill>
          </w14:textFill>
        </w:rPr>
        <w:t xml:space="preserve">评审方法和评审标准</w:t>
      </w:r>
      <w:r/>
    </w:p>
    <w:p>
      <w:pPr>
        <w:pStyle w:val="942"/>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1、评审方法：综合评分法。</w:t>
      </w:r>
      <w:r/>
    </w:p>
    <w:p>
      <w:pPr>
        <w:pStyle w:val="942"/>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2、评审标准：详见《磋商文件》附件1、《评分细则》。</w:t>
      </w:r>
      <w:r/>
    </w:p>
    <w:p>
      <w:pPr>
        <w:pStyle w:val="942"/>
        <w:ind w:right="29"/>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w:t>
      </w:r>
      <w:r>
        <w:rPr>
          <w:rFonts w:hint="eastAsia" w:ascii="宋体" w:hAnsi="宋体" w:cs="宋体"/>
          <w:b/>
          <w:bCs/>
          <w:color w:val="000000" w:themeColor="text1"/>
          <w:sz w:val="24"/>
          <w:lang w:val="en-US" w:eastAsia="zh-CN"/>
          <w14:textFill>
            <w14:solidFill>
              <w14:schemeClr w14:val="tx1"/>
            </w14:solidFill>
          </w14:textFill>
        </w:rPr>
        <w:t xml:space="preserve">七</w:t>
      </w:r>
      <w:r>
        <w:rPr>
          <w:rFonts w:hint="eastAsia" w:ascii="宋体" w:hAnsi="宋体" w:cs="宋体"/>
          <w:b/>
          <w:bCs/>
          <w:color w:val="000000" w:themeColor="text1"/>
          <w:sz w:val="24"/>
          <w14:textFill>
            <w14:solidFill>
              <w14:schemeClr w14:val="tx1"/>
            </w14:solidFill>
          </w14:textFill>
        </w:rPr>
        <w:t xml:space="preserve">、有下列情形之一的，其响应无效：</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1、供应商未在规定时间内解密电子响应文件的；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2、电子响应文件未按磋商文件要求签章的；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3、供应商未在规定时间内进行二轮报价的；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4、供应商的法定代表人参加投标未提供法人资格证明的；授权代表无法定代表人授权委托书的；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5、不具备磋商文件中规定的资格要求或未按磋商文件规定的要求提供资格、资信证明文件的；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6、被列入“信用中国”网站（www.creditchina.gov.cn）失信被执行人、重大税收违法案件当事人名单、政府采购严重违法失信行为记录名单的；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7、响应文件未按磋商文件规定的内容和要求填写的；没有在系统指定位置上传对应文件、材料的；</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8、响应文件含有采购人不能接受的附加条件的；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9、磋商报价超过本项目（采购包）预算或最高限价的；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10、响应文件中工作人员配备要求、养护管理设备配置不满足项目需求的；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11、响应文件提出了不能满足磋商文件要求或采购人不能接受的验收、计量、价款结算和支付办法的；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12、不同供应商的响应文件以及响应文件制作过程出现了磋商小组认为不应当雷同的情况的；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13、不同供应商委托同一单位或者个人办理磋商事宜的。</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14、未按磋商文件规定的格式填写，内容不全或关键字模糊、无法辨认的；</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15、响应文件内容不全或不符合磋商文件中规定的其他实质性要求的；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17、法律法规和磋商文件规定的其他无效情形。</w:t>
      </w:r>
      <w:r/>
    </w:p>
    <w:p>
      <w:pPr>
        <w:pStyle w:val="942"/>
        <w:ind w:right="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w:t>
      </w:r>
      <w:r>
        <w:rPr>
          <w:rFonts w:hint="eastAsia" w:ascii="宋体" w:hAnsi="宋体" w:cs="宋体"/>
          <w:b/>
          <w:bCs/>
          <w:color w:val="000000" w:themeColor="text1"/>
          <w:sz w:val="24"/>
          <w:lang w:val="en-US" w:eastAsia="zh-CN"/>
          <w14:textFill>
            <w14:solidFill>
              <w14:schemeClr w14:val="tx1"/>
            </w14:solidFill>
          </w14:textFill>
        </w:rPr>
        <w:t xml:space="preserve">八</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磋商过程中可能实质性变动的内容：在磋商过程中，磋商小组可以根据《磋商文件》和磋商情况实质性变动采购需求中的技术、服务要求以及拟签订的合同文本。</w:t>
      </w:r>
      <w:r/>
    </w:p>
    <w:p>
      <w:pPr>
        <w:pStyle w:val="942"/>
        <w:ind w:right="29"/>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w:t>
      </w:r>
      <w:r>
        <w:rPr>
          <w:rFonts w:hint="eastAsia" w:ascii="宋体" w:hAnsi="宋体" w:cs="宋体"/>
          <w:b/>
          <w:bCs/>
          <w:color w:val="000000" w:themeColor="text1"/>
          <w:sz w:val="24"/>
          <w:lang w:val="en-US" w:eastAsia="zh-CN"/>
          <w14:textFill>
            <w14:solidFill>
              <w14:schemeClr w14:val="tx1"/>
            </w14:solidFill>
          </w14:textFill>
        </w:rPr>
        <w:t xml:space="preserve">九</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val="0"/>
          <w:bCs w:val="0"/>
          <w:color w:val="000000" w:themeColor="text1"/>
          <w:sz w:val="24"/>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42"/>
        <w:ind w:left="2" w:right="29" w:firstLine="480"/>
        <w:jc w:val="both"/>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pStyle w:val="942"/>
        <w:ind w:right="29"/>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第五章 确定成交供应商及合同签订等</w:t>
      </w:r>
      <w:r/>
    </w:p>
    <w:p>
      <w:pPr>
        <w:pStyle w:val="942"/>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二十</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42"/>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二十一</w:t>
      </w:r>
      <w:r>
        <w:rPr>
          <w:rFonts w:hint="eastAsia" w:ascii="宋体" w:hAnsi="宋体" w:cs="宋体"/>
          <w:b/>
          <w:bCs/>
          <w:color w:val="000000" w:themeColor="text1"/>
          <w:sz w:val="24"/>
          <w14:textFill>
            <w14:solidFill>
              <w14:schemeClr w14:val="tx1"/>
            </w14:solidFill>
          </w14:textFill>
        </w:rPr>
        <w:t xml:space="preserve">、采购人与成交供应商应当在成交通知书发出之日起30日内，</w:t>
      </w:r>
      <w:r>
        <w:rPr>
          <w:rFonts w:hint="eastAsia" w:ascii="宋体" w:hAnsi="宋体" w:cs="宋体"/>
          <w:color w:val="000000" w:themeColor="text1"/>
          <w:sz w:val="24"/>
          <w14:textFill>
            <w14:solidFill>
              <w14:schemeClr w14:val="tx1"/>
            </w14:solidFill>
          </w14:textFill>
        </w:rPr>
        <w:t xml:space="preserve">按照《磋商文件》确定的合同文本以及采购标的、规格型号、采购金额、采购数量、技术和服务要求等事项签订政府采购合同。</w:t>
      </w:r>
      <w:bookmarkStart w:id="4" w:name="_GoBack"/>
      <w:r/>
      <w:bookmarkEnd w:id="4"/>
      <w:r/>
      <w:r/>
    </w:p>
    <w:p>
      <w:pPr>
        <w:pStyle w:val="942"/>
        <w:ind w:firstLine="48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特别说明：</w:t>
      </w:r>
      <w:r>
        <w:rPr>
          <w:rFonts w:hint="eastAsia" w:ascii="宋体" w:hAnsi="宋体" w:cs="宋体"/>
          <w:color w:val="000000" w:themeColor="text1"/>
          <w:sz w:val="24"/>
          <w14:textFill>
            <w14:solidFill>
              <w14:schemeClr w14:val="tx1"/>
            </w14:solidFill>
          </w14:textFill>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942"/>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二十</w:t>
      </w:r>
      <w:r>
        <w:rPr>
          <w:rFonts w:hint="eastAsia" w:ascii="宋体" w:hAnsi="宋体" w:cs="宋体"/>
          <w:b/>
          <w:bCs/>
          <w:color w:val="000000" w:themeColor="text1"/>
          <w:sz w:val="24"/>
          <w:lang w:val="en-US" w:eastAsia="zh-CN"/>
          <w14:textFill>
            <w14:solidFill>
              <w14:schemeClr w14:val="tx1"/>
            </w14:solidFill>
          </w14:textFill>
        </w:rPr>
        <w:t xml:space="preserve">二</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942"/>
        <w:ind w:firstLine="480"/>
        <w:jc w:val="center"/>
        <w:spacing w:line="360" w:lineRule="auto"/>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pStyle w:val="942"/>
        <w:ind w:firstLine="480"/>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第六章 磋商文件的澄清或者修改</w:t>
      </w:r>
      <w:r/>
    </w:p>
    <w:p>
      <w:pPr>
        <w:pStyle w:val="942"/>
        <w:jc w:val="left"/>
        <w:spacing w:line="36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二十</w:t>
      </w:r>
      <w:r>
        <w:rPr>
          <w:rFonts w:hint="eastAsia" w:ascii="宋体" w:hAnsi="宋体" w:cs="宋体"/>
          <w:b/>
          <w:bCs/>
          <w:color w:val="000000" w:themeColor="text1"/>
          <w:sz w:val="24"/>
          <w:lang w:val="en-US" w:eastAsia="zh-CN"/>
          <w14:textFill>
            <w14:solidFill>
              <w14:schemeClr w14:val="tx1"/>
            </w14:solidFill>
          </w14:textFill>
        </w:rPr>
        <w:t xml:space="preserve">三</w:t>
      </w:r>
      <w:r>
        <w:rPr>
          <w:rFonts w:hint="eastAsia" w:ascii="宋体" w:hAnsi="宋体" w:cs="宋体"/>
          <w:b/>
          <w:bCs/>
          <w:color w:val="000000" w:themeColor="text1"/>
          <w:sz w:val="24"/>
          <w14:textFill>
            <w14:solidFill>
              <w14:schemeClr w14:val="tx1"/>
            </w14:solidFill>
          </w14:textFill>
        </w:rPr>
        <w:t xml:space="preserve">、《磋商文件》的澄清或者修改</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第七章 询问和质疑</w:t>
      </w:r>
      <w:r/>
    </w:p>
    <w:p>
      <w:pPr>
        <w:jc w:val="left"/>
        <w:spacing w:line="36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二十</w:t>
      </w:r>
      <w:r>
        <w:rPr>
          <w:rFonts w:hint="eastAsia" w:ascii="宋体" w:hAnsi="宋体" w:cs="宋体"/>
          <w:b/>
          <w:bCs/>
          <w:color w:val="000000" w:themeColor="text1"/>
          <w:sz w:val="24"/>
          <w:lang w:val="en-US" w:eastAsia="zh-CN"/>
          <w14:textFill>
            <w14:solidFill>
              <w14:schemeClr w14:val="tx1"/>
            </w14:solidFill>
          </w14:textFill>
        </w:rPr>
        <w:t xml:space="preserve">四</w:t>
      </w:r>
      <w:r>
        <w:rPr>
          <w:rFonts w:hint="eastAsia" w:ascii="宋体" w:hAnsi="宋体" w:cs="宋体"/>
          <w:b/>
          <w:bCs/>
          <w:color w:val="000000" w:themeColor="text1"/>
          <w:sz w:val="24"/>
          <w14:textFill>
            <w14:solidFill>
              <w14:schemeClr w14:val="tx1"/>
            </w14:solidFill>
          </w14:textFill>
        </w:rPr>
        <w:t xml:space="preserve">、询问和质疑</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2、供应商针对同一采购程序环节的质疑应当在法定质疑期内一次性提出。</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3、质疑和投诉按《政府采购质疑和投诉办法》执行。</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4、接收质疑函的方式：供应商直接送交或供应商通过EMS邮寄。</w:t>
      </w:r>
      <w:r/>
    </w:p>
    <w:p>
      <w:pPr>
        <w:ind w:firstLine="480"/>
        <w:keepLines w:val="0"/>
        <w:keepNext w:val="0"/>
        <w:pageBreakBefore w:val="0"/>
        <w:spacing w:line="360" w:lineRule="auto"/>
        <w:widowControl w:val="off"/>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尹素琴</w:t>
      </w:r>
      <w:r>
        <w:rPr>
          <w:rFonts w:hint="eastAsia" w:ascii="宋体" w:hAnsi="宋体" w:cs="宋体"/>
          <w:color w:val="000000" w:themeColor="text1"/>
          <w:sz w:val="24"/>
          <w:highlight w:val="none"/>
          <w14:textFill>
            <w14:solidFill>
              <w14:schemeClr w14:val="tx1"/>
            </w14:solidFill>
          </w14:textFill>
        </w:rPr>
        <w:t xml:space="preserve">        联系电话：</w:t>
      </w:r>
      <w:r>
        <w:rPr>
          <w:rFonts w:hint="eastAsia" w:ascii="宋体" w:hAnsi="宋体" w:cs="宋体"/>
          <w:color w:val="000000" w:themeColor="text1"/>
          <w:sz w:val="24"/>
          <w:highlight w:val="none"/>
          <w:lang w:val="en-US" w:eastAsia="zh-CN"/>
          <w14:textFill>
            <w14:solidFill>
              <w14:schemeClr w14:val="tx1"/>
            </w14:solidFill>
          </w14:textFill>
        </w:rPr>
        <w:t xml:space="preserve">0516-83820866</w:t>
      </w:r>
      <w:r/>
    </w:p>
    <w:p>
      <w:pPr>
        <w:ind w:firstLine="480"/>
        <w:keepLines w:val="0"/>
        <w:keepNext w:val="0"/>
        <w:pageBreakBefore w:val="0"/>
        <w:spacing w:line="360" w:lineRule="auto"/>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val="en-US" w:eastAsia="zh-CN"/>
          <w14:textFill>
            <w14:solidFill>
              <w14:schemeClr w14:val="tx1"/>
            </w14:solidFill>
          </w14:textFill>
        </w:rPr>
        <w:t xml:space="preserve">徐州市云龙区和平路64号帝都大厦405室</w:t>
      </w:r>
      <w:r/>
    </w:p>
    <w:p>
      <w:pPr>
        <w:ind w:firstLine="420"/>
        <w:jc w:val="center"/>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第八章 </w:t>
      </w:r>
      <w:r>
        <w:rPr>
          <w:rFonts w:hint="eastAsia" w:ascii="宋体" w:hAnsi="宋体" w:cs="宋体"/>
          <w:b/>
          <w:bCs/>
          <w:color w:val="000000" w:themeColor="text1"/>
          <w:sz w:val="24"/>
          <w:lang w:val="en-US" w:eastAsia="zh-CN"/>
          <w14:textFill>
            <w14:solidFill>
              <w14:schemeClr w14:val="tx1"/>
            </w14:solidFill>
          </w14:textFill>
        </w:rPr>
        <w:t xml:space="preserve">其他</w:t>
      </w:r>
      <w:r/>
    </w:p>
    <w:p>
      <w:pPr>
        <w:ind w:firstLine="480"/>
        <w:spacing w:line="360" w:lineRule="auto"/>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bCs/>
          <w:color w:val="auto"/>
          <w:sz w:val="24"/>
          <w:highlight w:val="none"/>
        </w:rPr>
        <w:t xml:space="preserve">成交供应商在领取成交通知书前，向采购代理机构缴纳代理服务费，此项费用包含在</w:t>
      </w:r>
      <w:r>
        <w:rPr>
          <w:rFonts w:hint="eastAsia" w:ascii="宋体" w:hAnsi="宋体" w:eastAsia="宋体" w:cs="宋体"/>
          <w:b/>
          <w:bCs/>
          <w:color w:val="auto"/>
          <w:sz w:val="24"/>
          <w:highlight w:val="none"/>
          <w:lang w:val="en-US" w:eastAsia="zh-CN"/>
        </w:rPr>
        <w:t xml:space="preserve">磋商</w:t>
      </w:r>
      <w:r>
        <w:rPr>
          <w:rFonts w:hint="eastAsia" w:ascii="宋体" w:hAnsi="宋体" w:eastAsia="宋体" w:cs="宋体"/>
          <w:b/>
          <w:bCs/>
          <w:color w:val="auto"/>
          <w:sz w:val="24"/>
          <w:highlight w:val="none"/>
        </w:rPr>
        <w:t xml:space="preserve">报价中，并不单独列支，</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编制</w:t>
      </w:r>
      <w:r>
        <w:rPr>
          <w:rFonts w:hint="eastAsia" w:ascii="宋体" w:hAnsi="宋体" w:eastAsia="宋体" w:cs="宋体"/>
          <w:b/>
          <w:bCs/>
          <w:color w:val="auto"/>
          <w:sz w:val="24"/>
          <w:highlight w:val="none"/>
          <w:lang w:val="en-US" w:eastAsia="zh-CN"/>
        </w:rPr>
        <w:t xml:space="preserve">响应</w:t>
      </w:r>
      <w:r>
        <w:rPr>
          <w:rFonts w:hint="eastAsia" w:ascii="宋体" w:hAnsi="宋体" w:eastAsia="宋体" w:cs="宋体"/>
          <w:b/>
          <w:bCs/>
          <w:color w:val="auto"/>
          <w:sz w:val="24"/>
          <w:highlight w:val="none"/>
        </w:rPr>
        <w:t xml:space="preserve">文件时考虑到</w:t>
      </w:r>
      <w:r>
        <w:rPr>
          <w:rFonts w:hint="eastAsia" w:ascii="宋体" w:hAnsi="宋体" w:eastAsia="宋体" w:cs="宋体"/>
          <w:b/>
          <w:bCs/>
          <w:color w:val="auto"/>
          <w:sz w:val="24"/>
          <w:highlight w:val="none"/>
          <w:lang w:val="en-US" w:eastAsia="zh-CN"/>
        </w:rPr>
        <w:t xml:space="preserve">磋商</w:t>
      </w:r>
      <w:r>
        <w:rPr>
          <w:rFonts w:hint="eastAsia" w:ascii="宋体" w:hAnsi="宋体" w:eastAsia="宋体" w:cs="宋体"/>
          <w:b/>
          <w:bCs/>
          <w:color w:val="auto"/>
          <w:sz w:val="24"/>
          <w:highlight w:val="none"/>
        </w:rPr>
        <w:t xml:space="preserve">报价中。收取标准见附件。</w:t>
      </w:r>
      <w:r/>
    </w:p>
    <w:p>
      <w:pPr>
        <w:ind w:firstLine="480"/>
        <w:keepLines w:val="0"/>
        <w:keepNext w:val="0"/>
        <w:pageBreakBefore w:val="0"/>
        <w:spacing w:line="360" w:lineRule="auto"/>
        <w:widowControl w:val="off"/>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2、联系方式</w:t>
      </w:r>
      <w:r/>
    </w:p>
    <w:p>
      <w:p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采购人</w:t>
      </w:r>
      <w:r>
        <w:rPr>
          <w:rFonts w:hint="eastAsia" w:ascii="宋体" w:hAnsi="宋体" w:cs="宋体"/>
          <w:color w:val="000000" w:themeColor="text1"/>
          <w:sz w:val="24"/>
          <w14:textFill>
            <w14:solidFill>
              <w14:schemeClr w14:val="tx1"/>
            </w14:solidFill>
          </w14:textFill>
        </w:rPr>
        <w:t xml:space="preserve">：徐州市云龙区城市管理局</w:t>
      </w:r>
      <w:r/>
    </w:p>
    <w:p>
      <w:p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地址：江苏省徐州市云龙区淮海文博园18号</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联系方式：田</w:t>
      </w:r>
      <w:r>
        <w:rPr>
          <w:rFonts w:hint="eastAsia" w:ascii="宋体" w:hAnsi="宋体" w:cs="宋体"/>
          <w:color w:val="000000" w:themeColor="text1"/>
          <w:sz w:val="24"/>
          <w:lang w:val="en-US" w:eastAsia="zh-CN"/>
          <w14:textFill>
            <w14:solidFill>
              <w14:schemeClr w14:val="tx1"/>
            </w14:solidFill>
          </w14:textFill>
        </w:rPr>
        <w:t xml:space="preserve">敬安</w:t>
      </w:r>
      <w:r>
        <w:rPr>
          <w:rFonts w:hint="eastAsia" w:ascii="宋体" w:hAnsi="宋体" w:cs="宋体"/>
          <w:color w:val="000000" w:themeColor="text1"/>
          <w:sz w:val="24"/>
          <w14:textFill>
            <w14:solidFill>
              <w14:schemeClr w14:val="tx1"/>
            </w14:solidFill>
          </w14:textFill>
        </w:rPr>
        <w:t xml:space="preserve">   </w:t>
      </w:r>
      <w:r>
        <w:rPr>
          <w:rFonts w:ascii="宋体" w:hAnsi="宋体" w:eastAsia="宋体" w:cs="宋体"/>
          <w:color w:val="000000"/>
          <w:sz w:val="24"/>
        </w:rPr>
        <w:t xml:space="preserve"> 0516-83870790</w:t>
      </w:r>
      <w:r/>
    </w:p>
    <w:p>
      <w:pPr>
        <w:pStyle w:val="934"/>
      </w:pPr>
      <w:r/>
      <w:r/>
    </w:p>
    <w:p>
      <w:pPr>
        <w:ind w:firstLine="480"/>
        <w:keepLines w:val="0"/>
        <w:keepNext w:val="0"/>
        <w:pageBreakBefore w:val="0"/>
        <w:spacing w:line="360" w:lineRule="auto"/>
        <w:widowControl w:val="off"/>
        <w:rPr>
          <w:rFonts w:hint="eastAsia" w:eastAsia="宋体"/>
          <w:highlight w:val="none"/>
          <w:lang w:eastAsia="zh-CN"/>
        </w:rPr>
      </w:pPr>
      <w:r>
        <w:rPr>
          <w:rFonts w:hint="eastAsia" w:ascii="宋体" w:hAnsi="宋体" w:cs="宋体"/>
          <w:color w:val="000000" w:themeColor="text1"/>
          <w:sz w:val="24"/>
          <w:highlight w:val="none"/>
          <w14:textFill>
            <w14:solidFill>
              <w14:schemeClr w14:val="tx1"/>
            </w14:solidFill>
          </w14:textFill>
        </w:rPr>
        <w:t xml:space="preserve">采购代理机构</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江苏润沐工程管理咨询有限公司</w:t>
      </w:r>
      <w:r/>
    </w:p>
    <w:p>
      <w:pPr>
        <w:pStyle w:val="926"/>
        <w:ind w:left="0" w:firstLine="480"/>
        <w:jc w:val="both"/>
        <w:keepLines w:val="0"/>
        <w:keepNext w:val="0"/>
        <w:spacing w:before="0" w:beforeAutospacing="0" w:after="0" w:afterAutospacing="0"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徐州市云龙区和平路64号帝都大厦405室</w:t>
      </w:r>
      <w:r/>
    </w:p>
    <w:p>
      <w:pPr>
        <w:ind w:firstLine="480"/>
        <w:keepLines w:val="0"/>
        <w:keepNext w:val="0"/>
        <w:pageBreakBefore w:val="0"/>
        <w:spacing w:line="360" w:lineRule="auto"/>
        <w:widowControl w:val="off"/>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rPr>
        <w:t xml:space="preserve">联系方式：</w:t>
      </w:r>
      <w:r>
        <w:rPr>
          <w:rFonts w:hint="eastAsia" w:ascii="宋体" w:hAnsi="宋体" w:cs="宋体"/>
          <w:color w:val="000000" w:themeColor="text1"/>
          <w:sz w:val="24"/>
          <w:highlight w:val="none"/>
          <w:lang w:val="en-US" w:eastAsia="zh-CN"/>
          <w14:textFill>
            <w14:solidFill>
              <w14:schemeClr w14:val="tx1"/>
            </w14:solidFill>
          </w14:textFill>
        </w:rPr>
        <w:t xml:space="preserve">尹素琴   0516-83820866</w:t>
      </w:r>
      <w:r/>
    </w:p>
    <w:p>
      <w:pPr>
        <w:pStyle w:val="926"/>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第九章 附件</w:t>
      </w:r>
      <w:r/>
    </w:p>
    <w:p>
      <w:pPr>
        <w:ind w:firstLine="482"/>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b/>
          <w:bCs/>
          <w:color w:val="000000" w:themeColor="text1"/>
          <w:sz w:val="24"/>
          <w:lang w:eastAsia="zh-CN"/>
          <w14:textFill>
            <w14:solidFill>
              <w14:schemeClr w14:val="tx1"/>
            </w14:solidFill>
          </w14:textFill>
        </w:rPr>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1、《评分细则》</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2、《项目要求（采购需求）》</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3、《磋商报价表》</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rPr>
          <w:rFonts w:hint="eastAsia" w:ascii="宋体" w:hAnsi="宋体" w:cs="宋体"/>
          <w:bCs/>
          <w:color w:val="000000" w:themeColor="text1"/>
          <w:sz w:val="24"/>
          <w14:textFill>
            <w14:solidFill>
              <w14:schemeClr w14:val="tx1"/>
            </w14:solidFill>
          </w14:textFill>
        </w:rPr>
        <w:t xml:space="preserve">分项价格表</w:t>
      </w:r>
      <w:r>
        <w:rPr>
          <w:rFonts w:hint="eastAsia" w:ascii="宋体" w:hAnsi="宋体" w:cs="宋体"/>
          <w:color w:val="000000" w:themeColor="text1"/>
          <w:sz w:val="24"/>
          <w14:textFill>
            <w14:solidFill>
              <w14:schemeClr w14:val="tx1"/>
            </w14:solidFill>
          </w14:textFill>
        </w:rPr>
        <w:t xml:space="preserve">》</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5、《偏离表》</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6、《拟签订的合同文本》</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7、《承诺书》</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rPr>
          <w:rFonts w:hint="eastAsia" w:ascii="宋体" w:hAnsi="宋体" w:cs="宋体"/>
          <w:b w:val="0"/>
          <w:bCs w:val="0"/>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《授权委托书》</w:t>
      </w:r>
      <w:r/>
    </w:p>
    <w:p>
      <w:pPr>
        <w:ind w:firstLine="482"/>
        <w:keepLines w:val="0"/>
        <w:keepNext w:val="0"/>
        <w:pageBreakBefore w:val="0"/>
        <w:spacing w:line="360" w:lineRule="auto"/>
        <w:widowControl w:val="off"/>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9、</w:t>
      </w:r>
      <w:r>
        <w:rPr>
          <w:rFonts w:hint="eastAsia" w:ascii="宋体" w:hAnsi="宋体" w:cs="宋体"/>
          <w:b w:val="0"/>
          <w:bCs w:val="0"/>
          <w:color w:val="000000" w:themeColor="text1"/>
          <w:sz w:val="24"/>
          <w14:textFill>
            <w14:solidFill>
              <w14:schemeClr w14:val="tx1"/>
            </w14:solidFill>
          </w14:textFill>
        </w:rPr>
        <w:t xml:space="preserve">《中小企业声明函》</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en-US" w:eastAsia="zh-CN"/>
          <w14:textFill>
            <w14:solidFill>
              <w14:schemeClr w14:val="tx1"/>
            </w14:solidFill>
          </w14:textFill>
        </w:rPr>
        <w:t xml:space="preserve">0</w:t>
      </w:r>
      <w:r>
        <w:rPr>
          <w:rFonts w:hint="eastAsia" w:ascii="宋体" w:hAnsi="宋体" w:cs="宋体"/>
          <w:color w:val="000000" w:themeColor="text1"/>
          <w:sz w:val="24"/>
          <w14:textFill>
            <w14:solidFill>
              <w14:schemeClr w14:val="tx1"/>
            </w14:solidFill>
          </w14:textFill>
        </w:rPr>
        <w:t xml:space="preserve">、《供应商参加政府采购活动前3年内在经营活动中没有重大违法记录的书面声明》</w:t>
      </w:r>
      <w:r/>
    </w:p>
    <w:p>
      <w:pPr>
        <w:ind w:firstLine="482"/>
        <w:keepLines w:val="0"/>
        <w:keepNext w:val="0"/>
        <w:pageBreakBefore w:val="0"/>
        <w:spacing w:line="360" w:lineRule="auto"/>
        <w:widowControl w:val="off"/>
        <w:rPr>
          <w:rFonts w:hint="default" w:ascii="宋体" w:hAnsi="宋体" w:eastAsia="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11、《具备履行合同所必需的设备和专业技术能力的书面声明（附证明材料扫描件）》</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、《残疾人福利性单位声明函》</w:t>
      </w:r>
      <w:r/>
    </w:p>
    <w:p>
      <w:p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、《预付款保函支付条款模板》</w:t>
      </w:r>
      <w:r/>
    </w:p>
    <w:p>
      <w:pPr>
        <w:ind w:firstLine="480"/>
        <w:keepLines w:val="0"/>
        <w:keepNext w:val="0"/>
        <w:pageBreakBefore w:val="0"/>
        <w:spacing w:line="360" w:lineRule="auto"/>
        <w:widowControl w:val="off"/>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14、</w:t>
      </w:r>
      <w:r>
        <w:rPr>
          <w:rFonts w:ascii="宋体" w:hAnsi="宋体" w:eastAsia="宋体" w:cs="宋体"/>
          <w:color w:val="000000"/>
          <w:sz w:val="24"/>
        </w:rPr>
        <w:t xml:space="preserve">《代理服务收费标准》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righ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月15</w:t>
      </w:r>
      <w:r>
        <w:rPr>
          <w:rFonts w:hint="eastAsia" w:ascii="宋体" w:hAnsi="宋体" w:cs="宋体"/>
          <w:color w:val="000000" w:themeColor="text1"/>
          <w:sz w:val="24"/>
          <w:highlight w:val="none"/>
          <w14:textFill>
            <w14:solidFill>
              <w14:schemeClr w14:val="tx1"/>
            </w14:solidFill>
          </w14:textFill>
        </w:rPr>
        <w:t xml:space="preserve">日</w:t>
      </w:r>
      <w:r/>
    </w:p>
    <w:p>
      <w:pPr>
        <w:numPr>
          <w:ilvl w:val="0"/>
          <w:numId w:val="5"/>
        </w:numPr>
        <w:jc w:val="right"/>
        <w:spacing w:line="0" w:lineRule="atLeast"/>
        <w:rPr>
          <w:rFonts w:ascii="宋体" w:hAnsi="宋体" w:cs="宋体"/>
          <w:b/>
          <w:color w:val="000000" w:themeColor="text1"/>
          <w:sz w:val="36"/>
          <w14:textFill>
            <w14:solidFill>
              <w14:schemeClr w14:val="tx1"/>
            </w14:solidFill>
          </w14:textFill>
        </w:rPr>
        <w:sectPr>
          <w:footerReference w:type="default" r:id="rId14"/>
          <w:footerReference w:type="first" r:id="rId15"/>
          <w:footnotePr/>
          <w:endnotePr/>
          <w:type w:val="nextPage"/>
          <w:pgSz w:w="11906" w:h="16838" w:orient="portrait"/>
          <w:pgMar w:top="1434" w:right="1434" w:bottom="1434" w:left="1434" w:header="851" w:footer="992" w:gutter="0"/>
          <w:pgNumType w:start="1"/>
          <w:cols w:num="1" w:sep="0" w:space="1701" w:equalWidth="1"/>
          <w:docGrid w:linePitch="360"/>
          <w:titlePg/>
        </w:sectPr>
      </w:pPr>
      <w:r>
        <w:rPr>
          <w:rFonts w:ascii="宋体" w:hAnsi="宋体" w:cs="宋体"/>
          <w:b/>
          <w:color w:val="000000" w:themeColor="text1"/>
          <w:sz w:val="36"/>
          <w14:textFill>
            <w14:solidFill>
              <w14:schemeClr w14:val="tx1"/>
            </w14:solidFill>
          </w14:textFill>
        </w:rPr>
      </w:r>
      <w:r/>
    </w:p>
    <w:p>
      <w:pPr>
        <w:numPr>
          <w:ilvl w:val="0"/>
          <w:numId w:val="5"/>
        </w:numPr>
        <w:jc w:val="center"/>
        <w:spacing w:line="0" w:lineRule="atLeas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评分细则</w:t>
      </w:r>
      <w:r/>
    </w:p>
    <w:tbl>
      <w:tblPr>
        <w:tblStyle w:val="905"/>
        <w:tblW w:w="98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1294"/>
        <w:gridCol w:w="7239"/>
      </w:tblGrid>
      <w:tr>
        <w:trPr>
          <w:jc w:val="center"/>
          <w:trHeight w:val="268"/>
        </w:trPr>
        <w:tc>
          <w:tcPr>
            <w:tcW w:w="1311" w:type="dxa"/>
            <w:vAlign w:val="center"/>
            <w:textDirection w:val="lrTb"/>
            <w:noWrap w:val="false"/>
          </w:tcPr>
          <w:p>
            <w:pPr>
              <w:jc w:val="center"/>
              <w:spacing w:line="160" w:lineRule="atLeast"/>
              <w:rPr>
                <w:rFonts w:ascii="宋体" w:hAnsi="宋体" w:cs="宋体"/>
                <w:color w:val="000000" w:themeColor="text1"/>
                <w:sz w:val="24"/>
                <w14:textFill>
                  <w14:solidFill>
                    <w14:schemeClr w14:val="tx1"/>
                  </w14:solidFill>
                </w14:textFill>
              </w:rPr>
            </w:pPr>
            <w:r>
              <w:rPr>
                <w:rFonts w:hint="eastAsia" w:ascii="宋体" w:hAnsi="宋体" w:eastAsia="宋体" w:cs="宋体"/>
                <w:b/>
                <w:bCs/>
                <w:color w:val="000000"/>
                <w:sz w:val="24"/>
                <w:szCs w:val="24"/>
              </w:rPr>
              <w:t xml:space="preserve">评分项目</w:t>
            </w:r>
            <w:r/>
          </w:p>
        </w:tc>
        <w:tc>
          <w:tcPr>
            <w:gridSpan w:val="2"/>
            <w:tcW w:w="8533" w:type="dxa"/>
            <w:vAlign w:val="center"/>
            <w:textDirection w:val="lrTb"/>
            <w:noWrap w:val="false"/>
          </w:tcPr>
          <w:p>
            <w:pPr>
              <w:jc w:val="center"/>
              <w:spacing w:line="160" w:lineRule="atLeast"/>
              <w:rPr>
                <w:rFonts w:ascii="宋体" w:hAnsi="宋体" w:cs="宋体"/>
                <w:b/>
                <w:color w:val="000000" w:themeColor="text1"/>
                <w:sz w:val="24"/>
                <w14:textFill>
                  <w14:solidFill>
                    <w14:schemeClr w14:val="tx1"/>
                  </w14:solidFill>
                </w14:textFill>
              </w:rPr>
            </w:pPr>
            <w:r>
              <w:rPr>
                <w:rFonts w:hint="eastAsia" w:ascii="宋体" w:hAnsi="宋体" w:eastAsia="宋体" w:cs="宋体"/>
                <w:b/>
                <w:bCs/>
                <w:color w:val="000000"/>
                <w:sz w:val="24"/>
                <w:szCs w:val="24"/>
              </w:rPr>
              <w:t xml:space="preserve">评分标准</w:t>
            </w:r>
            <w:r/>
          </w:p>
        </w:tc>
      </w:tr>
      <w:tr>
        <w:trPr>
          <w:cantSplit/>
          <w:jc w:val="center"/>
          <w:trHeight w:val="1628"/>
        </w:trPr>
        <w:tc>
          <w:tcPr>
            <w:tcW w:w="1311" w:type="dxa"/>
            <w:vAlign w:val="center"/>
            <w:textDirection w:val="lrTb"/>
            <w:noWrap w:val="false"/>
          </w:tcPr>
          <w:p>
            <w:pPr>
              <w:pStyle w:val="942"/>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w:t>
            </w:r>
            <w:r/>
          </w:p>
          <w:p>
            <w:pPr>
              <w:pStyle w:val="942"/>
              <w:jc w:val="center"/>
              <w:rPr>
                <w:rFonts w:ascii="宋体" w:hAnsi="宋体" w:cs="宋体"/>
                <w:color w:val="000000" w:themeColor="text1"/>
                <w:sz w:val="24"/>
                <w14:textFill>
                  <w14:solidFill>
                    <w14:schemeClr w14:val="tx1"/>
                  </w14:solidFill>
                </w14:textFill>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tc>
        <w:tc>
          <w:tcPr>
            <w:gridSpan w:val="2"/>
            <w:tcW w:w="8533" w:type="dxa"/>
            <w:vAlign w:val="center"/>
            <w:textDirection w:val="lrTb"/>
            <w:noWrap w:val="false"/>
          </w:tcPr>
          <w:p>
            <w:pPr>
              <w:keepLines w:val="0"/>
              <w:keepNext w:val="0"/>
              <w:pageBreakBefore w:val="0"/>
              <w:spacing w:line="24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采用低价优先法计算，即满足磋商文件要求且最后报价最低的供应商的价格为磋商基准价，其价格分为满分。</w:t>
            </w:r>
            <w:r/>
          </w:p>
          <w:p>
            <w:pPr>
              <w:pStyle w:val="942"/>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其他供应商的价格分统一按照下列公式计算：磋商报价得分=（磋商基准价/最后磋商报价）×</w:t>
            </w:r>
            <w:r>
              <w:rPr>
                <w:rFonts w:hint="eastAsia" w:ascii="宋体" w:hAnsi="宋体" w:cs="宋体"/>
                <w:color w:val="000000" w:themeColor="text1"/>
                <w:sz w:val="24"/>
                <w:lang w:val="en-US" w:eastAsia="zh-CN"/>
                <w14:textFill>
                  <w14:solidFill>
                    <w14:schemeClr w14:val="tx1"/>
                  </w14:solidFill>
                </w14:textFill>
              </w:rPr>
              <w:t xml:space="preserve">25</w:t>
            </w:r>
            <w:r/>
          </w:p>
          <w:p>
            <w:pPr>
              <w:pStyle w:val="942"/>
              <w:rPr>
                <w:rFonts w:hint="eastAsia" w:ascii="宋体" w:hAnsi="宋体" w:eastAsia="宋体" w:cs="宋体"/>
                <w:color w:val="000000" w:themeColor="text1"/>
                <w:sz w:val="24"/>
                <w14:textFill>
                  <w14:solidFill>
                    <w14:schemeClr w14:val="tx1"/>
                  </w14:solidFill>
                </w14:textFill>
              </w:rPr>
            </w:pPr>
            <w:r>
              <w:rPr>
                <w:rFonts w:hint="eastAsia" w:ascii="宋体" w:hAnsi="宋体" w:cs="宋体"/>
                <w:b/>
                <w:bCs/>
                <w:sz w:val="24"/>
                <w:szCs w:val="24"/>
              </w:rPr>
              <w:t xml:space="preserve">注：得分四舍五入保留小数点后2位。</w:t>
            </w:r>
            <w:r/>
          </w:p>
        </w:tc>
      </w:tr>
      <w:tr>
        <w:trPr>
          <w:cantSplit/>
          <w:jc w:val="center"/>
          <w:trHeight w:val="1550"/>
        </w:trPr>
        <w:tc>
          <w:tcPr>
            <w:tcW w:w="1311" w:type="dxa"/>
            <w:vAlign w:val="center"/>
            <w:textDirection w:val="lrTb"/>
            <w:noWrap w:val="false"/>
          </w:tcPr>
          <w:p>
            <w:pPr>
              <w:pStyle w:val="942"/>
              <w:jc w:val="center"/>
              <w:rPr>
                <w:rFonts w:hint="default" w:ascii="宋体" w:hAnsi="宋体" w:eastAsia="宋体" w:cs="宋体"/>
                <w:color w:val="000000" w:themeColor="text1"/>
                <w:sz w:val="24"/>
                <w14:textFill>
                  <w14:solidFill>
                    <w14:schemeClr w14:val="tx1"/>
                  </w14:solidFill>
                </w14:textFill>
              </w:rPr>
            </w:pPr>
            <w:r/>
            <w:bookmarkStart w:id="0" w:name="OLE_LINK1"/>
            <w:r>
              <w:rPr>
                <w:rFonts w:hint="eastAsia" w:ascii="宋体" w:hAnsi="宋体" w:eastAsia="宋体" w:cs="宋体"/>
                <w:color w:val="000000"/>
                <w:sz w:val="24"/>
                <w:szCs w:val="24"/>
              </w:rPr>
              <w:t xml:space="preserve">业绩</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tc>
        <w:tc>
          <w:tcPr>
            <w:tcW w:w="1294" w:type="dxa"/>
            <w:vAlign w:val="center"/>
            <w:textDirection w:val="lrTb"/>
            <w:noWrap w:val="false"/>
          </w:tcPr>
          <w:p>
            <w:pPr>
              <w:pStyle w:val="942"/>
              <w:jc w:val="center"/>
              <w:rPr>
                <w:rFonts w:hint="eastAsia" w:ascii="宋体" w:hAnsi="宋体" w:cs="宋体"/>
                <w:b/>
                <w:bCs/>
                <w:color w:val="000000" w:themeColor="text1"/>
                <w:sz w:val="24"/>
                <w14:textFill>
                  <w14:solidFill>
                    <w14:schemeClr w14:val="tx1"/>
                  </w14:solidFill>
                </w14:textFill>
              </w:rPr>
            </w:pPr>
            <w:r>
              <w:rPr>
                <w:rFonts w:hint="eastAsia" w:ascii="宋体" w:hAnsi="宋体" w:eastAsia="宋体" w:cs="宋体"/>
                <w:color w:val="000000"/>
                <w:sz w:val="24"/>
                <w:szCs w:val="24"/>
              </w:rPr>
              <w:t xml:space="preserve">业绩</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tc>
        <w:tc>
          <w:tcPr>
            <w:tcW w:w="7239" w:type="dxa"/>
            <w:vAlign w:val="top"/>
            <w:textDirection w:val="lrTb"/>
            <w:noWrap w:val="false"/>
          </w:tcPr>
          <w:p>
            <w:pPr>
              <w:pStyle w:val="942"/>
              <w:rPr>
                <w:rFonts w:hint="eastAsia" w:ascii="宋体" w:hAnsi="宋体" w:cs="宋体"/>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供应商自2023年7月1日（含）以来承接过与本项目内容相同或类似项目业绩的，每份得2分，本项最高得4分。</w:t>
            </w:r>
            <w:r/>
          </w:p>
          <w:p>
            <w:pPr>
              <w:pStyle w:val="942"/>
              <w:rPr>
                <w:lang w:val="en-US"/>
              </w:rPr>
            </w:pPr>
            <w:r>
              <w:rPr>
                <w:rFonts w:hint="eastAsia" w:ascii="宋体" w:hAnsi="宋体" w:cs="宋体"/>
                <w:b/>
                <w:bCs/>
                <w:color w:val="000000" w:themeColor="text1"/>
                <w:sz w:val="24"/>
                <w:highlight w:val="none"/>
                <w:lang w:val="en-US" w:eastAsia="zh-CN"/>
                <w14:textFill>
                  <w14:solidFill>
                    <w14:schemeClr w14:val="tx1"/>
                  </w14:solidFill>
                </w14:textFill>
              </w:rPr>
              <w:t xml:space="preserve">响应文件中提供合同、中标（成交）通知书和网上公示截图原件扫描件方为有效。三者需同时具备，时间以合同签订时间为准，否则不得分。</w:t>
            </w:r>
            <w:r>
              <w:rPr>
                <w:rFonts w:hint="eastAsia" w:ascii="宋体" w:hAnsi="宋体" w:cs="宋体"/>
                <w:b/>
                <w:bCs/>
                <w:color w:val="000000" w:themeColor="text1"/>
                <w:sz w:val="24"/>
                <w:lang w:val="en-US" w:eastAsia="zh-CN"/>
                <w14:textFill>
                  <w14:solidFill>
                    <w14:schemeClr w14:val="tx1"/>
                  </w14:solidFill>
                </w14:textFill>
              </w:rPr>
              <w:t xml:space="preserve"> </w:t>
            </w:r>
            <w:bookmarkEnd w:id="0"/>
            <w:r/>
            <w:r/>
          </w:p>
        </w:tc>
      </w:tr>
      <w:tr>
        <w:trPr>
          <w:cantSplit/>
          <w:jc w:val="center"/>
          <w:trHeight w:val="3168"/>
        </w:trPr>
        <w:tc>
          <w:tcPr>
            <w:tcW w:w="1311" w:type="dxa"/>
            <w:vAlign w:val="center"/>
            <w:vMerge w:val="restart"/>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养护实施方案</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（7</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分）</w:t>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94"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绿化养护管理方案</w:t>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lang w:val="en-US" w:eastAsia="zh-CN"/>
              </w:rPr>
              <w:t xml:space="preserve">分）</w:t>
            </w:r>
            <w:r/>
          </w:p>
        </w:tc>
        <w:tc>
          <w:tcPr>
            <w:tcW w:w="7239" w:type="dxa"/>
            <w:vAlign w:val="center"/>
            <w:textDirection w:val="lrTb"/>
            <w:noWrap w:val="false"/>
          </w:tcPr>
          <w:p>
            <w:pPr>
              <w:pStyle w:val="1069"/>
              <w:jc w:val="left"/>
              <w:rPr>
                <w:rFonts w:hint="default" w:ascii="宋体" w:hAnsi="宋体" w:eastAsia="宋体" w:cs="宋体"/>
                <w:color w:val="000000"/>
                <w:sz w:val="24"/>
                <w:szCs w:val="24"/>
                <w:lang w:val="en-US" w:eastAsia="zh-CN"/>
              </w:rPr>
            </w:pPr>
            <w:r>
              <w:rPr>
                <w:rFonts w:hint="eastAsia" w:ascii="宋体" w:hAnsi="宋体" w:cs="宋体"/>
                <w:b w:val="0"/>
                <w:bCs w:val="0"/>
                <w:color w:val="auto"/>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b w:val="0"/>
                <w:bCs w:val="0"/>
                <w:color w:val="auto"/>
                <w:sz w:val="24"/>
                <w:szCs w:val="24"/>
                <w:lang w:val="en-US" w:eastAsia="zh-CN"/>
              </w:rPr>
              <w:t xml:space="preserve">文件中提供</w:t>
            </w:r>
            <w:r>
              <w:rPr>
                <w:rFonts w:hint="eastAsia" w:ascii="宋体" w:hAnsi="宋体" w:cs="宋体"/>
                <w:b w:val="0"/>
                <w:bCs w:val="0"/>
                <w:color w:val="auto"/>
                <w:sz w:val="24"/>
                <w:szCs w:val="24"/>
                <w:lang w:val="en-US" w:eastAsia="zh-CN"/>
              </w:rPr>
              <w:t xml:space="preserve">的</w:t>
            </w:r>
            <w:r>
              <w:rPr>
                <w:rFonts w:hint="eastAsia" w:ascii="宋体" w:hAnsi="宋体" w:eastAsia="宋体" w:cs="宋体"/>
                <w:b w:val="0"/>
                <w:bCs w:val="0"/>
                <w:color w:val="auto"/>
                <w:sz w:val="24"/>
                <w:szCs w:val="24"/>
              </w:rPr>
              <w:t xml:space="preserve">绿化养护管理方案</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包括但不限于</w:t>
            </w:r>
            <w:r>
              <w:rPr>
                <w:rFonts w:hint="eastAsia" w:ascii="宋体" w:hAnsi="宋体" w:eastAsia="宋体" w:cs="宋体"/>
                <w:b w:val="0"/>
                <w:bCs w:val="0"/>
                <w:color w:val="auto"/>
                <w:sz w:val="24"/>
                <w:szCs w:val="24"/>
              </w:rPr>
              <w:t xml:space="preserve">草坪修剪</w:t>
            </w:r>
            <w:r>
              <w:rPr>
                <w:rFonts w:hint="eastAsia" w:ascii="宋体" w:hAnsi="宋体" w:eastAsia="宋体" w:cs="宋体"/>
                <w:b w:val="0"/>
                <w:bCs w:val="0"/>
                <w:color w:val="auto"/>
                <w:sz w:val="24"/>
                <w:szCs w:val="24"/>
                <w:lang w:val="en-US" w:eastAsia="zh-CN"/>
              </w:rPr>
              <w:t xml:space="preserve">及养护</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灌溉方案；</w:t>
            </w:r>
            <w:r>
              <w:rPr>
                <w:rFonts w:hint="eastAsia" w:ascii="宋体" w:hAnsi="宋体" w:eastAsia="宋体" w:cs="宋体"/>
                <w:b w:val="0"/>
                <w:bCs w:val="0"/>
                <w:color w:val="auto"/>
                <w:sz w:val="24"/>
                <w:szCs w:val="24"/>
                <w:lang w:eastAsia="zh-CN"/>
              </w:rPr>
              <w:t xml:space="preserve">切边、开穴；除草、松土、涂白；死株清理；缺株补植；</w:t>
            </w:r>
            <w:r>
              <w:rPr>
                <w:rFonts w:hint="eastAsia" w:ascii="宋体" w:hAnsi="宋体" w:cs="宋体"/>
                <w:color w:val="000000"/>
                <w:sz w:val="24"/>
                <w:szCs w:val="24"/>
                <w:lang w:val="en-US" w:eastAsia="zh-CN"/>
              </w:rPr>
              <w:t xml:space="preserve">灾害天气防治方案等进行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cs="宋体"/>
                <w:color w:val="000000"/>
                <w:sz w:val="24"/>
                <w:szCs w:val="24"/>
                <w:lang w:val="en-US" w:eastAsia="zh-CN"/>
              </w:rPr>
              <w:t xml:space="preserve">；</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全面性(4分)：全面具体详实得4分；较全面得3分；基本具备的得2分，不全面得1分；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可行性（3分)：符合实际切实可行得3分；较切实可行得2分;可行性一般的得1分；</w:t>
            </w:r>
            <w:r/>
          </w:p>
          <w:p>
            <w:pPr>
              <w:pStyle w:val="1069"/>
              <w:jc w:val="left"/>
            </w:pPr>
            <w:r>
              <w:rPr>
                <w:rFonts w:hint="eastAsia" w:ascii="宋体" w:hAnsi="宋体" w:cs="宋体"/>
                <w:color w:val="000000"/>
                <w:sz w:val="24"/>
                <w:szCs w:val="24"/>
                <w:lang w:val="en-US" w:eastAsia="zh-CN"/>
              </w:rPr>
              <w:t xml:space="preserve">未提供的不得分；最高得10分，最低得0分。</w:t>
            </w:r>
            <w:r/>
          </w:p>
        </w:tc>
      </w:tr>
      <w:tr>
        <w:trPr>
          <w:cantSplit/>
          <w:jc w:val="center"/>
          <w:trHeight w:val="2856"/>
        </w:trPr>
        <w:tc>
          <w:tcPr>
            <w:tcW w:w="1311" w:type="dxa"/>
            <w:vAlign w:val="center"/>
            <w:vMerge w:val="continue"/>
            <w:textDirection w:val="lrTb"/>
            <w:noWrap w:val="false"/>
          </w:tcPr>
          <w:p>
            <w:pPr>
              <w:pStyle w:val="942"/>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29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lang w:val="en-US" w:eastAsia="zh-CN"/>
              </w:rPr>
              <w:t xml:space="preserve">项目</w:t>
            </w:r>
            <w:r>
              <w:rPr>
                <w:rFonts w:hint="eastAsia" w:ascii="宋体" w:hAnsi="宋体" w:cs="宋体"/>
                <w:sz w:val="24"/>
                <w:szCs w:val="24"/>
              </w:rPr>
              <w:t xml:space="preserve">组织实施</w:t>
            </w:r>
            <w:r>
              <w:rPr>
                <w:rFonts w:hint="eastAsia" w:ascii="宋体" w:hAnsi="宋体" w:cs="宋体"/>
                <w:sz w:val="24"/>
                <w:szCs w:val="24"/>
                <w:lang w:val="en-US" w:eastAsia="zh-CN"/>
              </w:rPr>
              <w:t xml:space="preserve">及</w:t>
            </w:r>
            <w:r>
              <w:rPr>
                <w:rFonts w:hint="eastAsia" w:ascii="宋体" w:hAnsi="宋体" w:cs="宋体"/>
                <w:sz w:val="24"/>
                <w:szCs w:val="24"/>
              </w:rPr>
              <w:t xml:space="preserve">组织机构设置</w:t>
            </w:r>
            <w:r/>
          </w:p>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lang w:val="en-US" w:eastAsia="zh-CN"/>
              </w:rPr>
              <w:t xml:space="preserve">0</w:t>
            </w:r>
            <w:r>
              <w:rPr>
                <w:rFonts w:hint="eastAsia" w:ascii="宋体" w:hAnsi="宋体" w:cs="宋体"/>
                <w:sz w:val="24"/>
                <w:szCs w:val="24"/>
              </w:rPr>
              <w:t xml:space="preserve">分）</w:t>
            </w:r>
            <w:r/>
          </w:p>
        </w:tc>
        <w:tc>
          <w:tcPr>
            <w:tcW w:w="7239" w:type="dxa"/>
            <w:vAlign w:val="center"/>
            <w:textDirection w:val="lrTb"/>
            <w:noWrap w:val="false"/>
          </w:tcPr>
          <w:p>
            <w:pPr>
              <w:pStyle w:val="1069"/>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000000"/>
                <w:sz w:val="24"/>
                <w:szCs w:val="24"/>
                <w:lang w:val="en-US" w:eastAsia="zh-CN"/>
              </w:rPr>
              <w:t xml:space="preserve">文件中提供的项目组织实施及组织机构设置，包括但不限于管理工作程序；自查体系、反馈渠道、整改保障措施等进行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000000"/>
                <w:sz w:val="24"/>
                <w:szCs w:val="24"/>
                <w:lang w:val="en-US" w:eastAsia="zh-CN"/>
              </w:rPr>
              <w:t xml:space="preserve">；</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全面性(4分)：全面具体详实得4分；较全面得3分；基本具备的得2分，不全面得1分；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可行性（3分)：符合实际切实可行得3分；较切实可行得2分;可行性一般的得1分；</w:t>
            </w:r>
            <w:r/>
          </w:p>
          <w:p>
            <w:pPr>
              <w:pStyle w:val="1069"/>
              <w:jc w:val="left"/>
            </w:pPr>
            <w:r>
              <w:rPr>
                <w:rFonts w:hint="eastAsia" w:ascii="宋体" w:hAnsi="宋体" w:cs="宋体"/>
                <w:color w:val="000000"/>
                <w:sz w:val="24"/>
                <w:szCs w:val="24"/>
                <w:lang w:val="en-US" w:eastAsia="zh-CN"/>
              </w:rPr>
              <w:t xml:space="preserve">未提供的不得分；最高得10分，最低得0分。</w:t>
            </w:r>
            <w:r/>
          </w:p>
        </w:tc>
      </w:tr>
      <w:tr>
        <w:trPr>
          <w:cantSplit/>
          <w:jc w:val="center"/>
          <w:trHeight w:val="800"/>
        </w:trPr>
        <w:tc>
          <w:tcPr>
            <w:tcW w:w="1311" w:type="dxa"/>
            <w:vAlign w:val="center"/>
            <w:vMerge w:val="continue"/>
            <w:textDirection w:val="lrTb"/>
            <w:noWrap w:val="false"/>
          </w:tcPr>
          <w:p>
            <w:pPr>
              <w:pStyle w:val="942"/>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r>
            <w:r/>
          </w:p>
        </w:tc>
        <w:tc>
          <w:tcPr>
            <w:tcW w:w="1294"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安全、文明及环保保障方案</w:t>
            </w:r>
            <w:r/>
          </w:p>
          <w:p>
            <w:pPr>
              <w:ind w:firstLine="0"/>
              <w:jc w:val="center"/>
              <w:keepLines w:val="0"/>
              <w:keepNext w:val="0"/>
              <w:pageBreakBefore w:val="0"/>
              <w:spacing w:after="0" w:line="240" w:lineRule="auto"/>
              <w:widowControl/>
              <w:rPr>
                <w:rFonts w:hint="eastAsia" w:ascii="宋体" w:hAnsi="宋体" w:cs="宋体"/>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分）</w:t>
            </w:r>
            <w:r/>
          </w:p>
        </w:tc>
        <w:tc>
          <w:tcPr>
            <w:tcW w:w="7239" w:type="dxa"/>
            <w:vAlign w:val="center"/>
            <w:textDirection w:val="lrTb"/>
            <w:noWrap w:val="false"/>
          </w:tcPr>
          <w:p>
            <w:pPr>
              <w:ind w:firstLine="0"/>
              <w:jc w:val="both"/>
              <w:keepLines w:val="0"/>
              <w:keepNext w:val="0"/>
              <w:pageBreakBefore w:val="0"/>
              <w:spacing w:after="0" w:line="240"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000000"/>
                <w:sz w:val="24"/>
                <w:szCs w:val="24"/>
                <w:lang w:val="en-US" w:eastAsia="zh-CN"/>
              </w:rPr>
              <w:t xml:space="preserve">文件中提供</w:t>
            </w:r>
            <w:r>
              <w:rPr>
                <w:rFonts w:hint="eastAsia" w:ascii="宋体" w:hAnsi="宋体" w:eastAsia="宋体" w:cs="宋体"/>
                <w:color w:val="auto"/>
                <w:sz w:val="24"/>
                <w:highlight w:val="none"/>
                <w:lang w:val="en-US" w:eastAsia="zh-CN"/>
              </w:rPr>
              <w:t xml:space="preserve">的安全、文明及环保施工方案的全面性、针对性以及可行性等进行综合评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pStyle w:val="1069"/>
              <w:numPr>
                <w:ilvl w:val="0"/>
                <w:numId w:val="0"/>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全面性(3分)：全面具体详实得3分；较全面得2分；基本具备的得1分；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可行性（2分)：符合实际切实可行得2分；较切实可行得1分;可行性一般的得0.5分；</w:t>
            </w:r>
            <w:r/>
          </w:p>
          <w:p>
            <w:pPr>
              <w:ind w:firstLine="0"/>
              <w:jc w:val="both"/>
              <w:keepLines w:val="0"/>
              <w:keepNext w:val="0"/>
              <w:pageBreakBefore w:val="0"/>
              <w:spacing w:after="0" w:line="240" w:lineRule="auto"/>
              <w:widowControl/>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未提供的不得分；最高得8分，最低得0分。</w:t>
            </w:r>
            <w:r/>
          </w:p>
        </w:tc>
      </w:tr>
      <w:tr>
        <w:trPr>
          <w:cantSplit/>
          <w:jc w:val="center"/>
          <w:trHeight w:val="800"/>
        </w:trPr>
        <w:tc>
          <w:tcPr>
            <w:tcW w:w="1311" w:type="dxa"/>
            <w:vAlign w:val="center"/>
            <w:vMerge w:val="continue"/>
            <w:textDirection w:val="lrTb"/>
            <w:noWrap w:val="false"/>
          </w:tcPr>
          <w:p>
            <w:pPr>
              <w:pStyle w:val="942"/>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r>
            <w:r/>
          </w:p>
        </w:tc>
        <w:tc>
          <w:tcPr>
            <w:tcW w:w="129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应急、突击保障方案</w:t>
            </w:r>
            <w:r/>
          </w:p>
          <w:p>
            <w:pPr>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分）</w:t>
            </w:r>
            <w:r/>
          </w:p>
        </w:tc>
        <w:tc>
          <w:tcPr>
            <w:tcW w:w="7239" w:type="dxa"/>
            <w:vAlign w:val="center"/>
            <w:textDirection w:val="lrTb"/>
            <w:noWrap w:val="false"/>
          </w:tcPr>
          <w:p>
            <w:pPr>
              <w:pStyle w:val="1069"/>
              <w:numPr>
                <w:ilvl w:val="0"/>
                <w:numId w:val="0"/>
              </w:numPr>
              <w:jc w:val="left"/>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000000"/>
                <w:sz w:val="24"/>
                <w:szCs w:val="24"/>
                <w:lang w:val="en-US" w:eastAsia="zh-CN"/>
              </w:rPr>
              <w:t xml:space="preserve">文件中提供</w:t>
            </w:r>
            <w:r>
              <w:rPr>
                <w:rFonts w:hint="eastAsia" w:ascii="宋体" w:hAnsi="宋体" w:eastAsia="宋体" w:cs="宋体"/>
                <w:color w:val="auto"/>
                <w:sz w:val="24"/>
                <w:highlight w:val="none"/>
                <w:lang w:val="en-US" w:eastAsia="zh-CN"/>
              </w:rPr>
              <w:t xml:space="preserve">的</w:t>
            </w:r>
            <w:r>
              <w:rPr>
                <w:rFonts w:hint="eastAsia" w:ascii="宋体" w:hAnsi="宋体" w:cs="宋体"/>
                <w:color w:val="000000"/>
                <w:sz w:val="24"/>
                <w:szCs w:val="24"/>
                <w:lang w:val="en-US" w:eastAsia="zh-CN"/>
              </w:rPr>
              <w:t xml:space="preserve">针对假日重大活动期间、自然灾害、上级突击检查等方面的突发事件的应急处理方案进行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全面性(4分)：全面具体详实得4分；较全面得3分；基本具备的得2分，不全面得1分；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可行性（3分)：符合实际切实可行得3分；较切实可行得2分;可行性一般的得1分；</w:t>
            </w:r>
            <w:r/>
          </w:p>
          <w:p>
            <w:pPr>
              <w:pStyle w:val="1069"/>
              <w:jc w:val="left"/>
            </w:pPr>
            <w:r>
              <w:rPr>
                <w:rFonts w:hint="eastAsia" w:ascii="宋体" w:hAnsi="宋体" w:cs="宋体"/>
                <w:color w:val="000000"/>
                <w:sz w:val="24"/>
                <w:szCs w:val="24"/>
                <w:lang w:val="en-US" w:eastAsia="zh-CN"/>
              </w:rPr>
              <w:t xml:space="preserve">未提供的不得分；最高得10分，最低得0分。</w:t>
            </w:r>
            <w:r/>
          </w:p>
        </w:tc>
      </w:tr>
      <w:tr>
        <w:trPr>
          <w:cantSplit/>
          <w:jc w:val="center"/>
          <w:trHeight w:val="800"/>
        </w:trPr>
        <w:tc>
          <w:tcPr>
            <w:tcW w:w="1311" w:type="dxa"/>
            <w:vAlign w:val="center"/>
            <w:vMerge w:val="continue"/>
            <w:textDirection w:val="lrTb"/>
            <w:noWrap w:val="false"/>
          </w:tcPr>
          <w:p>
            <w:pPr>
              <w:pStyle w:val="942"/>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r>
            <w:r/>
          </w:p>
        </w:tc>
        <w:tc>
          <w:tcPr>
            <w:tcW w:w="1294" w:type="dxa"/>
            <w:vAlign w:val="center"/>
            <w:textDirection w:val="lrTb"/>
            <w:noWrap w:val="false"/>
          </w:tcPr>
          <w:p>
            <w:pPr>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eastAsia="宋体" w:cs="宋体"/>
                <w:sz w:val="24"/>
                <w:szCs w:val="24"/>
              </w:rPr>
              <w:t xml:space="preserve">环境卫生保洁管理方案</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(10分)</w:t>
            </w:r>
            <w:r/>
          </w:p>
        </w:tc>
        <w:tc>
          <w:tcPr>
            <w:tcW w:w="7239" w:type="dxa"/>
            <w:vAlign w:val="center"/>
            <w:textDirection w:val="lrTb"/>
            <w:noWrap w:val="false"/>
          </w:tcPr>
          <w:p>
            <w:pPr>
              <w:pStyle w:val="1069"/>
              <w:numPr>
                <w:ilvl w:val="0"/>
                <w:numId w:val="0"/>
              </w:numPr>
              <w:jc w:val="left"/>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000000"/>
                <w:sz w:val="24"/>
                <w:szCs w:val="24"/>
                <w:lang w:val="en-US" w:eastAsia="zh-CN"/>
              </w:rPr>
              <w:t xml:space="preserve">文件中提供</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sz w:val="24"/>
                <w:szCs w:val="24"/>
                <w:lang w:val="en-US" w:eastAsia="zh-CN"/>
              </w:rPr>
              <w:t xml:space="preserve">针对本项目</w:t>
            </w:r>
            <w:r>
              <w:rPr>
                <w:rFonts w:hint="eastAsia" w:ascii="宋体" w:hAnsi="宋体" w:eastAsia="宋体" w:cs="宋体"/>
                <w:sz w:val="24"/>
                <w:szCs w:val="24"/>
              </w:rPr>
              <w:t xml:space="preserve">绿地内秩序卫生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垃圾清运</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环境卫生保洁管理方案</w:t>
            </w:r>
            <w:r>
              <w:rPr>
                <w:rFonts w:hint="eastAsia" w:ascii="宋体" w:hAnsi="宋体" w:eastAsia="宋体" w:cs="宋体"/>
                <w:sz w:val="24"/>
                <w:szCs w:val="24"/>
                <w:lang w:val="en-US" w:eastAsia="zh-CN"/>
              </w:rPr>
              <w:t xml:space="preserve">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全面性(4分)：全面具体详实得4分；较全面得3分；基本具备的得2分，不全面得1分。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可行性（3分)：符合实际切实可行得3分；较切实可行得2分;可行性一般的得1分；</w:t>
            </w:r>
            <w:r/>
          </w:p>
          <w:p>
            <w:pPr>
              <w:jc w:val="left"/>
            </w:pPr>
            <w:r>
              <w:rPr>
                <w:rFonts w:hint="eastAsia" w:ascii="宋体" w:hAnsi="宋体" w:cs="宋体"/>
                <w:color w:val="000000"/>
                <w:sz w:val="24"/>
                <w:szCs w:val="24"/>
                <w:lang w:val="en-US" w:eastAsia="zh-CN"/>
              </w:rPr>
              <w:t xml:space="preserve">未提供的不得分；最高得10分，最低得0分。</w:t>
            </w:r>
            <w:r/>
          </w:p>
        </w:tc>
      </w:tr>
      <w:tr>
        <w:trPr>
          <w:cantSplit/>
          <w:jc w:val="center"/>
          <w:trHeight w:val="800"/>
        </w:trPr>
        <w:tc>
          <w:tcPr>
            <w:tcW w:w="1311" w:type="dxa"/>
            <w:vAlign w:val="center"/>
            <w:vMerge w:val="continue"/>
            <w:textDirection w:val="lrTb"/>
            <w:noWrap w:val="false"/>
          </w:tcPr>
          <w:p>
            <w:pPr>
              <w:pStyle w:val="942"/>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r>
            <w:r/>
          </w:p>
        </w:tc>
        <w:tc>
          <w:tcPr>
            <w:tcW w:w="129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重点难点措施</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（6分）</w:t>
            </w:r>
            <w:r/>
          </w:p>
        </w:tc>
        <w:tc>
          <w:tcPr>
            <w:tcW w:w="7239" w:type="dxa"/>
            <w:vAlign w:val="center"/>
            <w:textDirection w:val="lrTb"/>
            <w:noWrap w:val="false"/>
          </w:tcPr>
          <w:p>
            <w:pPr>
              <w:pStyle w:val="1069"/>
              <w:jc w:val="left"/>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000000"/>
                <w:sz w:val="24"/>
                <w:szCs w:val="24"/>
                <w:lang w:val="en-US" w:eastAsia="zh-CN"/>
              </w:rPr>
              <w:t xml:space="preserve">文件中提供</w:t>
            </w:r>
            <w:r>
              <w:rPr>
                <w:rFonts w:hint="eastAsia" w:ascii="宋体" w:hAnsi="宋体" w:eastAsia="宋体" w:cs="宋体"/>
                <w:color w:val="auto"/>
                <w:sz w:val="24"/>
                <w:highlight w:val="none"/>
                <w:lang w:val="en-US" w:eastAsia="zh-CN"/>
              </w:rPr>
              <w:t xml:space="preserve">的</w:t>
            </w:r>
            <w:r>
              <w:rPr>
                <w:rFonts w:hint="eastAsia" w:ascii="宋体" w:hAnsi="宋体" w:cs="宋体"/>
                <w:color w:val="000000"/>
                <w:sz w:val="24"/>
                <w:szCs w:val="24"/>
                <w:lang w:val="en-US" w:eastAsia="zh-CN"/>
              </w:rPr>
              <w:t xml:space="preserve">针对本项目的难点、重点的分析及针对性合理化建议（措施）的全面性、针对性及可行性进行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全面性(2分)：全面具体详实得2分；较全面得1分；不全面得0.5分；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针对性(2分)：针对性强得2分；针对性较强得1分；欠缺针对性的得0.5分；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可行性（2分)：符合实际切实可行得2分；较切实可行得1分;可行性欠缺得0.5分；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未提供的不得分；最高得6分，最低得0分。</w:t>
            </w:r>
            <w:r/>
          </w:p>
        </w:tc>
      </w:tr>
      <w:tr>
        <w:trPr>
          <w:cantSplit/>
          <w:jc w:val="center"/>
          <w:trHeight w:val="800"/>
        </w:trPr>
        <w:tc>
          <w:tcPr>
            <w:tcW w:w="1311" w:type="dxa"/>
            <w:vAlign w:val="center"/>
            <w:vMerge w:val="continue"/>
            <w:textDirection w:val="lrTb"/>
            <w:noWrap w:val="false"/>
          </w:tcPr>
          <w:p>
            <w:pPr>
              <w:pStyle w:val="942"/>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r>
            <w:r/>
          </w:p>
        </w:tc>
        <w:tc>
          <w:tcPr>
            <w:tcW w:w="1294" w:type="dxa"/>
            <w:vAlign w:val="center"/>
            <w:textDirection w:val="lrTb"/>
            <w:noWrap w:val="false"/>
          </w:tcPr>
          <w:p>
            <w:pPr>
              <w:pStyle w:val="1069"/>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人员配备方案</w:t>
            </w:r>
            <w:r/>
          </w:p>
          <w:p>
            <w:pPr>
              <w:pStyle w:val="1069"/>
              <w:jc w:val="center"/>
              <w:rPr>
                <w:rFonts w:hint="eastAsia" w:ascii="宋体" w:hAnsi="宋体" w:eastAsia="宋体" w:cs="宋体"/>
                <w:sz w:val="24"/>
                <w:szCs w:val="24"/>
              </w:rPr>
            </w:pPr>
            <w:r>
              <w:rPr>
                <w:rFonts w:hint="eastAsia" w:ascii="宋体" w:hAnsi="宋体" w:cs="宋体"/>
                <w:color w:val="000000"/>
                <w:sz w:val="24"/>
                <w:szCs w:val="24"/>
                <w:lang w:val="en-US" w:eastAsia="zh-CN"/>
              </w:rPr>
              <w:t xml:space="preserve">（8分）</w:t>
            </w:r>
            <w:r/>
          </w:p>
        </w:tc>
        <w:tc>
          <w:tcPr>
            <w:tcW w:w="7239" w:type="dxa"/>
            <w:vAlign w:val="center"/>
            <w:textDirection w:val="lrTb"/>
            <w:noWrap w:val="false"/>
          </w:tcPr>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根据响应文件中提供的人员配备方案的全面性、针对性和可行性进行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pStyle w:val="1069"/>
              <w:numPr>
                <w:ilvl w:val="0"/>
                <w:numId w:val="0"/>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全面性(3分)：全面具体详实得3分；较全面得2分；基本具备的得1分；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可行性（2分)：符合实际切实可行得2分；较切实可行得1分;可行性一般的得0.5分；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未提供的不得分；最高得8分，最低得0分。</w:t>
            </w:r>
            <w:r/>
          </w:p>
        </w:tc>
      </w:tr>
      <w:tr>
        <w:trPr>
          <w:cantSplit/>
          <w:jc w:val="center"/>
          <w:trHeight w:val="800"/>
        </w:trPr>
        <w:tc>
          <w:tcPr>
            <w:tcW w:w="1311" w:type="dxa"/>
            <w:vAlign w:val="center"/>
            <w:vMerge w:val="continue"/>
            <w:textDirection w:val="lrTb"/>
            <w:noWrap w:val="false"/>
          </w:tcPr>
          <w:p>
            <w:pPr>
              <w:pStyle w:val="942"/>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r>
            <w:r/>
          </w:p>
        </w:tc>
        <w:tc>
          <w:tcPr>
            <w:tcW w:w="1294" w:type="dxa"/>
            <w:vAlign w:val="center"/>
            <w:textDirection w:val="lrTb"/>
            <w:noWrap w:val="false"/>
          </w:tcPr>
          <w:p>
            <w:pPr>
              <w:pStyle w:val="1069"/>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机械设备</w:t>
            </w:r>
            <w:r/>
          </w:p>
          <w:p>
            <w:pPr>
              <w:pStyle w:val="1069"/>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配备方案</w:t>
            </w:r>
            <w:r/>
          </w:p>
          <w:p>
            <w:pPr>
              <w:pStyle w:val="1069"/>
              <w:jc w:val="center"/>
              <w:rPr>
                <w:rFonts w:hint="eastAsia" w:ascii="宋体" w:hAnsi="宋体" w:eastAsia="宋体" w:cs="宋体"/>
                <w:sz w:val="24"/>
                <w:szCs w:val="24"/>
              </w:rPr>
            </w:pPr>
            <w:r>
              <w:rPr>
                <w:rFonts w:hint="eastAsia" w:ascii="宋体" w:hAnsi="宋体" w:cs="宋体"/>
                <w:color w:val="000000"/>
                <w:sz w:val="24"/>
                <w:szCs w:val="24"/>
                <w:lang w:val="en-US" w:eastAsia="zh-CN"/>
              </w:rPr>
              <w:t xml:space="preserve">（9分）</w:t>
            </w:r>
            <w:r/>
          </w:p>
        </w:tc>
        <w:tc>
          <w:tcPr>
            <w:tcW w:w="7239" w:type="dxa"/>
            <w:vAlign w:val="center"/>
            <w:textDirection w:val="lrTb"/>
            <w:noWrap w:val="false"/>
          </w:tcPr>
          <w:p>
            <w:pPr>
              <w:pStyle w:val="1069"/>
              <w:jc w:val="left"/>
              <w:rPr>
                <w:rFonts w:hint="eastAsia" w:ascii="宋体" w:hAnsi="宋体" w:eastAsia="宋体" w:cs="宋体"/>
                <w:color w:val="auto"/>
                <w:sz w:val="24"/>
                <w:highlight w:val="none"/>
                <w:lang w:val="en-US" w:eastAsia="zh-CN"/>
              </w:rPr>
            </w:pPr>
            <w:r>
              <w:rPr>
                <w:rFonts w:hint="eastAsia" w:ascii="宋体" w:hAnsi="宋体" w:cs="宋体"/>
                <w:color w:val="000000"/>
                <w:sz w:val="24"/>
                <w:szCs w:val="24"/>
                <w:lang w:val="en-US" w:eastAsia="zh-CN"/>
              </w:rPr>
              <w:t xml:space="preserve">根据响应文件中的机械设备配备方案的全面性、针对性和可行性进行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全面性(3分)：全面具体详实得3分；较全面得2分；基本具备的得1分；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可行性（3分)：符合实际切实可行得3分；较切实可行得2分;可行性一般的得1分；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未提供的不得分；最高得9分，最低得0分。</w:t>
            </w:r>
            <w:r/>
          </w:p>
        </w:tc>
      </w:tr>
    </w:tbl>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说明：本项目采用综合评分法。</w:t>
      </w:r>
      <w:r/>
    </w:p>
    <w:p>
      <w:pPr>
        <w:numPr>
          <w:ilvl w:val="0"/>
          <w:numId w:val="5"/>
        </w:numPr>
        <w:jc w:val="center"/>
        <w:rPr>
          <w:rFonts w:ascii="宋体" w:hAnsi="宋体" w:cs="宋体"/>
          <w:b/>
          <w:bCs/>
          <w:color w:val="000000" w:themeColor="text1"/>
          <w:sz w:val="36"/>
          <w:szCs w:val="36"/>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ascii="宋体" w:hAnsi="宋体" w:cs="宋体"/>
          <w:b/>
          <w:bCs/>
          <w:color w:val="000000" w:themeColor="text1"/>
          <w:sz w:val="36"/>
          <w:szCs w:val="36"/>
          <w14:textFill>
            <w14:solidFill>
              <w14:schemeClr w14:val="tx1"/>
            </w14:solidFill>
          </w14:textFill>
        </w:rPr>
      </w:r>
      <w:r/>
    </w:p>
    <w:p>
      <w:pPr>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2、项目要求（采购需求）</w:t>
      </w:r>
      <w:r/>
    </w:p>
    <w:p>
      <w:pPr>
        <w:numPr>
          <w:ilvl w:val="0"/>
          <w:numId w:val="0"/>
        </w:numPr>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rPr>
        <w:t xml:space="preserve">一、</w:t>
      </w:r>
      <w:r>
        <w:rPr>
          <w:rFonts w:hint="eastAsia" w:ascii="宋体" w:hAnsi="宋体" w:eastAsia="宋体" w:cs="宋体"/>
          <w:b/>
          <w:bCs/>
          <w:color w:val="auto"/>
          <w:sz w:val="24"/>
          <w:szCs w:val="24"/>
          <w:highlight w:val="none"/>
        </w:rPr>
        <w:t xml:space="preserve">本项目不接受超过</w:t>
      </w:r>
      <w:r>
        <w:rPr>
          <w:rFonts w:hint="eastAsia" w:ascii="宋体" w:hAnsi="宋体" w:eastAsia="宋体" w:cs="宋体"/>
          <w:b/>
          <w:bCs/>
          <w:color w:val="auto"/>
          <w:sz w:val="24"/>
          <w:szCs w:val="24"/>
          <w:highlight w:val="none"/>
          <w:lang w:val="en-US" w:eastAsia="zh-CN"/>
        </w:rPr>
        <w:t xml:space="preserve">267.07</w:t>
      </w:r>
      <w:r>
        <w:rPr>
          <w:rFonts w:hint="eastAsia" w:ascii="宋体" w:hAnsi="宋体" w:eastAsia="宋体" w:cs="宋体"/>
          <w:b/>
          <w:bCs/>
          <w:color w:val="auto"/>
          <w:sz w:val="24"/>
          <w:szCs w:val="24"/>
          <w:highlight w:val="none"/>
          <w:lang w:val="en-US"/>
        </w:rPr>
        <w:t xml:space="preserve">万元人民币</w:t>
      </w:r>
      <w:r>
        <w:rPr>
          <w:rFonts w:hint="eastAsia" w:ascii="宋体" w:hAnsi="宋体" w:eastAsia="宋体" w:cs="宋体"/>
          <w:bCs/>
          <w:color w:val="auto"/>
          <w:sz w:val="24"/>
          <w:szCs w:val="24"/>
          <w:highlight w:val="none"/>
        </w:rPr>
        <w:t xml:space="preserve">（采购项目预算金额）的报价。</w:t>
      </w:r>
      <w:r/>
    </w:p>
    <w:p>
      <w:pPr>
        <w:numPr>
          <w:ilvl w:val="0"/>
          <w:numId w:val="0"/>
        </w:num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注：报价包含但不限于水电费、车辆运行、日常养护、工具劳务用品、保险、人员的各项工资、福利，劳保，管理费和税费等全部费用，采购人不再支付报价以外的任何费用。</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二、项目</w:t>
      </w:r>
      <w:r>
        <w:rPr>
          <w:rFonts w:hint="eastAsia" w:ascii="宋体" w:hAnsi="宋体" w:eastAsia="宋体" w:cs="宋体"/>
          <w:b/>
          <w:bCs/>
          <w:color w:val="auto"/>
          <w:sz w:val="24"/>
          <w:szCs w:val="24"/>
          <w:highlight w:val="none"/>
          <w:lang w:eastAsia="zh-CN"/>
        </w:rPr>
        <w:t xml:space="preserve">概况：</w:t>
      </w:r>
      <w:r/>
    </w:p>
    <w:p>
      <w:pPr>
        <w:numPr>
          <w:ilvl w:val="0"/>
          <w:numId w:val="0"/>
        </w:num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 w:val="0"/>
          <w:i w:val="0"/>
          <w:caps w:val="0"/>
          <w:color w:val="auto"/>
          <w:spacing w:val="0"/>
          <w:sz w:val="24"/>
          <w:szCs w:val="24"/>
          <w:highlight w:val="none"/>
          <w:lang w:val="en-US" w:eastAsia="zh-CN" w:bidi="ar-SA"/>
        </w:rPr>
      </w:pPr>
      <w:r>
        <w:rPr>
          <w:rFonts w:hint="eastAsia" w:ascii="宋体" w:hAnsi="宋体" w:eastAsia="宋体" w:cs="宋体"/>
          <w:b w:val="0"/>
          <w:i w:val="0"/>
          <w:caps w:val="0"/>
          <w:color w:val="auto"/>
          <w:spacing w:val="0"/>
          <w:sz w:val="24"/>
          <w:szCs w:val="24"/>
          <w:highlight w:val="none"/>
          <w:lang w:val="en-US" w:eastAsia="zh-CN" w:bidi="ar-SA"/>
        </w:rPr>
        <w:t xml:space="preserve">1、养护服务期：17个月。</w:t>
      </w:r>
      <w:r/>
    </w:p>
    <w:p>
      <w:pPr>
        <w:numPr>
          <w:ilvl w:val="0"/>
          <w:numId w:val="0"/>
        </w:num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 w:val="0"/>
          <w:i w:val="0"/>
          <w:caps w:val="0"/>
          <w:color w:val="auto"/>
          <w:spacing w:val="0"/>
          <w:sz w:val="24"/>
          <w:szCs w:val="24"/>
          <w:highlight w:val="none"/>
          <w:lang w:val="en-US" w:eastAsia="zh-CN" w:bidi="ar-SA"/>
        </w:rPr>
      </w:pPr>
      <w:r>
        <w:rPr>
          <w:rFonts w:hint="eastAsia" w:ascii="宋体" w:hAnsi="宋体" w:eastAsia="宋体" w:cs="宋体"/>
          <w:b w:val="0"/>
          <w:i w:val="0"/>
          <w:caps w:val="0"/>
          <w:color w:val="auto"/>
          <w:spacing w:val="0"/>
          <w:sz w:val="24"/>
          <w:szCs w:val="24"/>
          <w:highlight w:val="none"/>
          <w:lang w:val="en-US" w:eastAsia="zh-CN" w:bidi="ar-SA"/>
        </w:rPr>
        <w:t xml:space="preserve">2、项目养护范围及面积：绿化面积331947平方米、行道树9020棵，养护范围详见附表1。</w:t>
      </w:r>
      <w:r/>
    </w:p>
    <w:p>
      <w:pPr>
        <w:numPr>
          <w:ilvl w:val="0"/>
          <w:numId w:val="0"/>
        </w:num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 w:val="0"/>
          <w:i w:val="0"/>
          <w:caps w:val="0"/>
          <w:color w:val="auto"/>
          <w:spacing w:val="0"/>
          <w:sz w:val="24"/>
          <w:szCs w:val="24"/>
          <w:highlight w:val="none"/>
          <w:lang w:val="en-US" w:eastAsia="zh-CN" w:bidi="ar-SA"/>
        </w:rPr>
      </w:pPr>
      <w:r>
        <w:rPr>
          <w:rFonts w:hint="eastAsia" w:ascii="宋体" w:hAnsi="宋体" w:eastAsia="宋体" w:cs="宋体"/>
          <w:b w:val="0"/>
          <w:i w:val="0"/>
          <w:caps w:val="0"/>
          <w:color w:val="auto"/>
          <w:spacing w:val="0"/>
          <w:sz w:val="24"/>
          <w:szCs w:val="24"/>
          <w:highlight w:val="none"/>
          <w:lang w:val="en-US" w:eastAsia="zh-CN" w:bidi="ar-SA"/>
        </w:rPr>
        <w:t xml:space="preserve">3、养护内容：</w:t>
      </w:r>
      <w:r/>
    </w:p>
    <w:p>
      <w:pPr>
        <w:numPr>
          <w:ilvl w:val="0"/>
          <w:numId w:val="0"/>
        </w:num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 w:val="0"/>
          <w:i w:val="0"/>
          <w:caps w:val="0"/>
          <w:color w:val="auto"/>
          <w:spacing w:val="0"/>
          <w:sz w:val="24"/>
          <w:szCs w:val="24"/>
          <w:highlight w:val="none"/>
          <w:lang w:val="en-US" w:eastAsia="zh-CN" w:bidi="ar-SA"/>
        </w:rPr>
      </w:pPr>
      <w:r>
        <w:rPr>
          <w:rFonts w:hint="eastAsia" w:ascii="宋体" w:hAnsi="宋体" w:eastAsia="宋体" w:cs="宋体"/>
          <w:b w:val="0"/>
          <w:i w:val="0"/>
          <w:caps w:val="0"/>
          <w:color w:val="auto"/>
          <w:spacing w:val="0"/>
          <w:sz w:val="24"/>
          <w:szCs w:val="24"/>
          <w:highlight w:val="none"/>
          <w:lang w:val="en-US" w:eastAsia="zh-CN" w:bidi="ar-SA"/>
        </w:rPr>
        <w:t xml:space="preserve">包括但不限于修剪、除草、施肥、浇水、抹芽、除萌、病虫害防治、草坪修剪、苗木补植、防寒、防涝、防旱、防火、卫生保洁、秩序管理、设施设备维修保养、垃圾清理清运等。</w:t>
      </w:r>
      <w:r/>
    </w:p>
    <w:p>
      <w:pPr>
        <w:ind w:right="0"/>
        <w:jc w:val="both"/>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服务</w:t>
      </w:r>
      <w:r>
        <w:rPr>
          <w:rFonts w:hint="eastAsia" w:ascii="宋体" w:hAnsi="宋体" w:eastAsia="宋体" w:cs="宋体"/>
          <w:b/>
          <w:bCs/>
          <w:color w:val="000000"/>
          <w:sz w:val="24"/>
          <w:szCs w:val="24"/>
          <w:highlight w:val="none"/>
        </w:rPr>
        <w:t xml:space="preserve">要求：</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（一）园艺部分</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1、树木</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1.1生长旺盛，树干挺直，倾斜度不超过10度，树冠圆整，主侧枝分枝均匀，内膛通风透光；行道树分枝点统一、整齐；花灌木修剪及时合理。</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1.2叶色正常，无卷叶、黄叶（生长季节），无病虫害；枝干健壮，无枯死枝，无蛀干害虫危害。</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1.3无死树枯枝，缺株率在2%以下（含2%）。</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1.4树干伤口及时处理，树洞及时修补。</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1.5树池规格一致，池缘整齐，完好无损。</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1.6涂白均匀，上口平齐，距地面1.2米。</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1.7苗木扶正，要求对道路及绿地内歪斜苗木进行及时扶正。</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1.8生长季节连续20天无降雨需及时浇水或喷雾除尘，喷雾除尘时需结合使用植物清洗剂，提高植物鲜洁度。</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1.9、5-10月每月修剪（或剥芽）二次，冬天整形修剪一次。</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1.10 每年施厩肥一次。</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2、草坪、地被</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2.1生长旺盛，色泽正常，覆盖率不低于95%，单块空秃面积不超过0.1平方米（0.3m*0.3m）。草坪绿色期：冷季型草坪不得少于300天，暖季型草坪不得少于210天。</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2.2、5-10月每半月清除杂草一遍，冬季前再清除一遍，确保绿地内基本无杂草，杂草率不超过10%</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修剪及时，4月修剪一次，5-10月份冷季型草坪一月修剪两次，暖季型一个月一次，11月上旬一次。修剪高度符合要求，净高度冷季型草坪冬季不超过8cm，夏季不超过10cm，暖季型草坪夏季不超过8cm，冬季尽量低剪。</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2.4、地形平整，无坑，不积水。</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2.5、草坪与模纹及苗木树穴之间界限清晰，切边线条流畅。</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2.6、生长季节连续15天无降雨需及时浇水，确保无旱情；进入冬季前全面灌冬水一遍。</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2.7、每年施尿素、复合肥等4次以上，确保长势良好。</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3、绿篱色块及球类</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3.1生长旺盛，枝条茂密，色泽正常。</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3.2、“五一”前全面修剪一次，5—1 0月生长旺季随时修剪，新生萌蘖枝条不得高于2cm；修剪线条整齐划一，按设计要求严格控制高度，同一地段球类的形状、规格一致。</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3.3、完整无缺，缺株空秃应及时补齐。</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3.4、生长季节连续15天无降雨需及时浇水，并结合使用植物清洗剂，冲刷除尘一次，确保植物无旱情并保持清洁度；进入冬季前全面灌冬水一遍。</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3.5、冬、春季及时清理越冬杂草，5—10月杂草生长旺季，随时清除，确保无明显杂草；冬季前再彻底清除一遍。</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3.6、生长季节每月叶面施肥一次；绿篱、色块、球类每年施厩肥二次，确保生长旺盛。</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(二)病虫害防治部分</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病虫害控制在不影响观赏效果的程度内，防治费用由乙方承担。</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1、树木基本无明显的病虫害危害迹象，危害率在8％以下。</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2、草坪、地被类地上地下无明显病虫危害迹象，危害率8％以下。</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3、花坛内无严重地上地下无明显病虫危害现象，危害率8％以下。</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4、绿篱色块及球类基本无明显病虫危害迹象，危害率5％以下。</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(三)其他</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1、园林设施完好无损，广场、体育设施、卫生间等完好，无乱贴乱画现象。</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2、绿化生产垃圾能及时清运。</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3、秩序管理绿地内无设摊摆卖，无拴挂，无践踏绿地和其他破坏绿化的行为。</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4、台账记录详细如实。</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5、确保甲方在上级各种检查以及各类创建评比活动中不失分，做到批评投诉少。</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6、履行合同承诺，每分区绿地内有固定养护人员进行日常养护。</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7、养护单位须配备必要的种植、运输工具，负责养护范围内的树木修补、种植、迁移工作。</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、负责养护范围内的盆花、盆景及水生植物的修剪、施肥、除草、浇水等日常养护工作。</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、按要求每月将苗木生长情况及日常养护计划，人员安排计划上报业主。</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、遭遇市政工程、重大活动时，乙方应派人员做好绿地的维护管理工作，保证绿化及设施完好。</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、及时缴纳水费电费，及时修复各类设备设施。</w:t>
      </w:r>
      <w:r/>
    </w:p>
    <w:p>
      <w:pPr>
        <w:ind w:right="0"/>
        <w:jc w:val="both"/>
        <w:pageBreakBefore w:val="0"/>
        <w:spacing w:line="360" w:lineRule="auto"/>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w:t>
      </w:r>
      <w:r>
        <w:rPr>
          <w:rFonts w:hint="eastAsia" w:ascii="宋体" w:hAnsi="宋体" w:eastAsia="宋体" w:cs="宋体"/>
          <w:b/>
          <w:bCs/>
          <w:sz w:val="24"/>
          <w:szCs w:val="24"/>
          <w:lang w:val="en-US" w:eastAsia="zh-CN"/>
        </w:rPr>
        <w:t xml:space="preserve">工作人员配备要求和养护机械设备配置要求</w:t>
      </w:r>
      <w:r>
        <w:rPr>
          <w:rFonts w:hint="eastAsia" w:ascii="宋体" w:hAnsi="宋体" w:eastAsia="宋体" w:cs="宋体"/>
          <w:b/>
          <w:bCs/>
          <w:color w:val="000000"/>
          <w:sz w:val="24"/>
          <w:szCs w:val="24"/>
          <w:highlight w:val="none"/>
        </w:rPr>
        <w:t xml:space="preserve">（本条为实质性响应指标，</w:t>
      </w:r>
      <w:r>
        <w:rPr>
          <w:rFonts w:hint="eastAsia" w:ascii="宋体" w:hAnsi="宋体" w:eastAsia="宋体" w:cs="宋体"/>
          <w:b/>
          <w:bCs/>
          <w:sz w:val="24"/>
          <w:szCs w:val="24"/>
          <w:lang w:val="en-US" w:eastAsia="zh-CN"/>
        </w:rPr>
        <w:t xml:space="preserve">如有任何一项不满足或负偏离则视为无效投标</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w:t>
      </w:r>
      <w:r/>
    </w:p>
    <w:p>
      <w:pPr>
        <w:ind w:right="0" w:firstLine="241"/>
        <w:jc w:val="both"/>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工作人员配备要求</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（1）工作人员年龄符合相关政策要求。</w:t>
      </w:r>
      <w:r/>
    </w:p>
    <w:p>
      <w:pPr>
        <w:ind w:firstLine="48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（2）拟投入本项目的项目负责人不得少于2人，现场养护管理工人不得少于56人。</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注：</w:t>
      </w:r>
      <w:r>
        <w:rPr>
          <w:rFonts w:hint="eastAsia" w:ascii="宋体" w:hAnsi="宋体" w:eastAsia="宋体" w:cs="宋体"/>
          <w:b/>
          <w:color w:val="000000"/>
          <w:sz w:val="24"/>
          <w:highlight w:val="none"/>
        </w:rPr>
        <w:t xml:space="preserve">负责本项目的项目负责人常驻现场并不得同时兼任其他同类项目的项目负责人。</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ind w:right="0" w:firstLine="241"/>
        <w:jc w:val="both"/>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sz w:val="24"/>
          <w:szCs w:val="24"/>
          <w:lang w:val="en-US" w:eastAsia="zh-CN"/>
        </w:rPr>
        <w:t xml:space="preserve">养护机械</w:t>
      </w:r>
      <w:r>
        <w:rPr>
          <w:rFonts w:hint="eastAsia" w:ascii="宋体" w:hAnsi="宋体" w:eastAsia="宋体" w:cs="宋体"/>
          <w:b/>
          <w:bCs/>
          <w:color w:val="000000"/>
          <w:sz w:val="24"/>
          <w:szCs w:val="24"/>
          <w:highlight w:val="none"/>
        </w:rPr>
        <w:t xml:space="preserve">设备配置要求</w:t>
      </w:r>
      <w:r/>
    </w:p>
    <w:tbl>
      <w:tblPr>
        <w:tblStyle w:val="905"/>
        <w:tblW w:w="88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2"/>
        <w:gridCol w:w="1290"/>
        <w:gridCol w:w="911"/>
        <w:gridCol w:w="967"/>
        <w:gridCol w:w="1489"/>
        <w:gridCol w:w="1674"/>
        <w:gridCol w:w="1014"/>
      </w:tblGrid>
      <w:tr>
        <w:trPr>
          <w:jc w:val="center"/>
          <w:trHeight w:val="997" w:hRule="exact"/>
        </w:trPr>
        <w:tc>
          <w:tcPr>
            <w:tcW w:w="1522"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rPr>
              <w:t xml:space="preserve">吊车或货车</w:t>
            </w:r>
            <w:r/>
          </w:p>
        </w:tc>
        <w:tc>
          <w:tcPr>
            <w:tcW w:w="1290"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rPr>
              <w:t xml:space="preserve">打药、喷药设备</w:t>
            </w:r>
            <w:r/>
          </w:p>
        </w:tc>
        <w:tc>
          <w:tcPr>
            <w:tcW w:w="91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rPr>
              <w:t xml:space="preserve">水泵</w:t>
            </w:r>
            <w:r/>
          </w:p>
        </w:tc>
        <w:tc>
          <w:tcPr>
            <w:tcW w:w="96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草坪修剪机</w:t>
            </w:r>
            <w:r/>
          </w:p>
        </w:tc>
        <w:tc>
          <w:tcPr>
            <w:tcW w:w="1489"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rPr>
              <w:t xml:space="preserve">绿篱修剪机</w:t>
            </w:r>
            <w:r/>
          </w:p>
        </w:tc>
        <w:tc>
          <w:tcPr>
            <w:tcW w:w="167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其他小型园林机具</w:t>
            </w:r>
            <w:r/>
          </w:p>
        </w:tc>
        <w:tc>
          <w:tcPr>
            <w:tcW w:w="101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道路洒水车</w:t>
            </w:r>
            <w:r/>
          </w:p>
        </w:tc>
      </w:tr>
      <w:tr>
        <w:trPr>
          <w:jc w:val="center"/>
          <w:trHeight w:val="730" w:hRule="exact"/>
        </w:trPr>
        <w:tc>
          <w:tcPr>
            <w:tcW w:w="1522"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辆</w:t>
            </w:r>
            <w:r/>
          </w:p>
        </w:tc>
        <w:tc>
          <w:tcPr>
            <w:tcW w:w="1290"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eastAsia="zh-CN"/>
              </w:rPr>
              <w:t xml:space="preserve">6</w:t>
            </w:r>
            <w:r>
              <w:rPr>
                <w:rFonts w:hint="eastAsia" w:ascii="宋体" w:hAnsi="宋体" w:eastAsia="宋体" w:cs="宋体"/>
                <w:bCs/>
                <w:color w:val="000000"/>
                <w:sz w:val="24"/>
                <w:szCs w:val="24"/>
                <w:highlight w:val="none"/>
              </w:rPr>
              <w:t xml:space="preserve">台</w:t>
            </w:r>
            <w:r/>
          </w:p>
        </w:tc>
        <w:tc>
          <w:tcPr>
            <w:tcW w:w="91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台</w:t>
            </w:r>
            <w:r/>
          </w:p>
        </w:tc>
        <w:tc>
          <w:tcPr>
            <w:tcW w:w="96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5台</w:t>
            </w:r>
            <w:r/>
          </w:p>
        </w:tc>
        <w:tc>
          <w:tcPr>
            <w:tcW w:w="1489"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台</w:t>
            </w:r>
            <w:r/>
          </w:p>
        </w:tc>
        <w:tc>
          <w:tcPr>
            <w:tcW w:w="167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15台</w:t>
            </w:r>
            <w:r/>
          </w:p>
        </w:tc>
        <w:tc>
          <w:tcPr>
            <w:tcW w:w="101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1辆</w:t>
            </w:r>
            <w:r/>
          </w:p>
        </w:tc>
      </w:tr>
    </w:tbl>
    <w:p>
      <w:pPr>
        <w:ind w:right="0"/>
        <w:jc w:val="both"/>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ind w:right="0"/>
        <w:jc w:val="both"/>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五、其他要求</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1、员工管理：遵纪守法、服从领导；统一着装，仪表整洁；文明用语；定期接受培训。</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2、采购人有各种重大活动时，积极做好突击保障任务。</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3、供应商必须按国家、省、市法律法规制度，及时、足额给员工缴纳员工社会保险费。若因供应商每月给员工缴纳社会保险费引起的任何劳务纠纷，由中标供应商承担全部责任，与采购人无关。</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4、供应商管理不善或操作不当等原因造成事故的，由中标供应商承担责任并负责赔偿，并负责善后处理（产生事故的直接原因以政府部门的鉴定结论为准）。</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5、供应商须加强应急管理，制定各类突发事件应急预案，加强应急演练。需积极完成采购人另行安排的其他工作，如抗洪防汛、清除积雪、整治环境卫生等。</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6、所有人员必须遵守采购人的工作纪律要求。</w:t>
      </w:r>
      <w:r/>
    </w:p>
    <w:p>
      <w:pPr>
        <w:rPr>
          <w:rFonts w:hint="eastAsia" w:ascii="宋体" w:hAnsi="宋体" w:eastAsia="宋体" w:cs="宋体"/>
          <w:b/>
          <w:bCs/>
          <w:color w:val="000000"/>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i w:val="0"/>
          <w:caps w:val="0"/>
          <w:color w:val="auto"/>
          <w:spacing w:val="0"/>
          <w:sz w:val="24"/>
          <w:szCs w:val="24"/>
          <w:highlight w:val="none"/>
          <w:lang w:val="en-US" w:eastAsia="zh-CN" w:bidi="ar-SA"/>
        </w:rPr>
        <w:t xml:space="preserve">7、其他要求：</w:t>
      </w:r>
      <w:r>
        <w:rPr>
          <w:rFonts w:hint="eastAsia" w:ascii="宋体" w:hAnsi="宋体" w:eastAsia="宋体" w:cs="宋体"/>
          <w:b/>
          <w:bCs/>
          <w:color w:val="000000"/>
          <w:sz w:val="24"/>
        </w:rPr>
        <w:t xml:space="preserve">见《磋商文件》附件：6、《</w:t>
      </w:r>
      <w:r>
        <w:rPr>
          <w:rFonts w:hint="eastAsia" w:ascii="宋体" w:hAnsi="宋体" w:eastAsia="宋体" w:cs="宋体"/>
          <w:sz w:val="24"/>
          <w:highlight w:val="none"/>
        </w:rPr>
        <w:t xml:space="preserve">合同草案条款</w:t>
      </w:r>
      <w:r>
        <w:rPr>
          <w:rFonts w:hint="eastAsia" w:ascii="宋体" w:hAnsi="宋体" w:eastAsia="宋体" w:cs="宋体"/>
          <w:b/>
          <w:bCs/>
          <w:color w:val="000000"/>
          <w:sz w:val="24"/>
        </w:rPr>
        <w:t xml:space="preserve">》。</w:t>
      </w:r>
      <w:r/>
    </w:p>
    <w:p>
      <w:pPr>
        <w:rPr>
          <w:rFonts w:hint="default"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附表1</w:t>
      </w:r>
      <w:r/>
    </w:p>
    <w:tbl>
      <w:tblPr>
        <w:tblStyle w:val="905"/>
        <w:tblW w:w="9300" w:type="dxa"/>
        <w:tblInd w:w="-29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8"/>
        <w:gridCol w:w="2012"/>
        <w:gridCol w:w="2563"/>
        <w:gridCol w:w="1037"/>
        <w:gridCol w:w="875"/>
        <w:gridCol w:w="2125"/>
      </w:tblGrid>
      <w:tr>
        <w:trPr>
          <w:trHeight w:val="443"/>
        </w:trPr>
        <w:tc>
          <w:tcPr>
            <w:gridSpan w:val="6"/>
            <w:shd w:val="clear" w:color="auto" w:fill="auto"/>
            <w:tcBorders>
              <w:top w:val="none" w:color="000000" w:sz="4" w:space="0"/>
              <w:left w:val="none" w:color="000000" w:sz="4" w:space="0"/>
              <w:bottom w:val="none" w:color="000000" w:sz="4" w:space="0"/>
              <w:right w:val="none" w:color="000000" w:sz="4" w:space="0"/>
            </w:tcBorders>
            <w:tcW w:w="9300"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1"/>
                <w:szCs w:val="21"/>
                <w:u w:val="none"/>
                <w:lang w:val="en-US" w:eastAsia="zh-CN" w:bidi="ar"/>
              </w:rPr>
              <w:t xml:space="preserve">云龙区绿地养护（郭庄路、主城区、三环路以东等绿地）明细</w:t>
            </w:r>
            <w:r/>
          </w:p>
        </w:tc>
      </w:tr>
      <w:tr>
        <w:trPr>
          <w:trHeight w:val="320"/>
        </w:trPr>
        <w:tc>
          <w:tcPr>
            <w:gridSpan w:val="6"/>
            <w:shd w:val="clear" w:color="auto" w:fill="auto"/>
            <w:tcBorders>
              <w:top w:val="none" w:color="000000" w:sz="4" w:space="0"/>
              <w:left w:val="none" w:color="000000" w:sz="4" w:space="0"/>
              <w:bottom w:val="none" w:color="000000" w:sz="4" w:space="0"/>
              <w:right w:val="none" w:color="000000" w:sz="4" w:space="0"/>
            </w:tcBorders>
            <w:tcW w:w="93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养护范围及面积：绿化面积331947平方米、行道树9020棵，养护范围附表</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起止范围</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绿地面积（平方米）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行道树（棵）</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234"/>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中山路—复兴路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Tahoma" w:hAnsi="Tahoma" w:eastAsia="Tahoma" w:cs="Tahoma"/>
                <w:i w:val="0"/>
                <w:iCs w:val="0"/>
                <w:color w:val="000000"/>
                <w:sz w:val="21"/>
                <w:szCs w:val="21"/>
                <w:u w:val="none"/>
              </w:rPr>
            </w:pPr>
            <w:r>
              <w:rPr>
                <w:rFonts w:hint="eastAsia" w:ascii="Tahoma" w:hAnsi="Tahoma" w:eastAsia="Tahoma" w:cs="Tahoma"/>
                <w:i w:val="0"/>
                <w:iCs w:val="0"/>
                <w:color w:val="000000"/>
                <w:sz w:val="21"/>
                <w:szCs w:val="21"/>
                <w:u w:val="none"/>
              </w:rPr>
            </w:r>
            <w:r/>
          </w:p>
        </w:tc>
      </w:tr>
      <w:tr>
        <w:trPr>
          <w:trHeight w:val="234"/>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民和路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民主路—宣武路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197"/>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公园巷绿地</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彭城路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淮海路—建国路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宣武路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淮海路—建国路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淮海路—青年路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大同街</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彭城路—解放路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4"/>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淮海路—和平路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含香樟</w:t>
            </w:r>
            <w:r>
              <w:rPr>
                <w:rFonts w:ascii="Tahoma" w:hAnsi="Tahoma" w:eastAsia="Tahoma" w:cs="Tahoma"/>
                <w:color w:val="000000"/>
                <w:sz w:val="21"/>
                <w:szCs w:val="21"/>
                <w:u w:val="none"/>
                <w:lang w:val="en-US" w:eastAsia="zh-CN" w:bidi="ar"/>
              </w:rPr>
              <w:t xml:space="preserve">68</w:t>
            </w:r>
            <w:r/>
          </w:p>
        </w:tc>
      </w:tr>
      <w:tr>
        <w:trPr>
          <w:trHeight w:val="12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复兴路地铁口</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复兴路沿线地铁3号线出入口</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中山路—和平桥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377"/>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大庆路立交—迎宾路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default" w:ascii="Calibri" w:hAnsi="Calibri" w:eastAsia="宋体" w:cs="Times New Roman"/>
                <w:sz w:val="21"/>
                <w:szCs w:val="21"/>
                <w:lang w:val="en-US" w:eastAsia="zh-CN" w:bidi="ar"/>
              </w:rPr>
              <w:suppressLineNumbers w:val="0"/>
            </w:pPr>
            <w:r>
              <w:rPr>
                <w:rFonts w:hint="eastAsia" w:ascii="宋体" w:hAnsi="宋体" w:eastAsia="宋体" w:cs="宋体"/>
                <w:color w:val="000000"/>
                <w:sz w:val="21"/>
                <w:szCs w:val="21"/>
                <w:u w:val="none"/>
                <w:lang w:val="en-US" w:eastAsia="zh-CN" w:bidi="ar"/>
              </w:rPr>
              <w:t xml:space="preserve">法桐</w:t>
            </w:r>
            <w:r>
              <w:rPr>
                <w:rFonts w:ascii="Tahoma" w:hAnsi="Tahoma" w:eastAsia="Tahoma" w:cs="Tahoma"/>
                <w:color w:val="000000"/>
                <w:sz w:val="21"/>
                <w:szCs w:val="21"/>
                <w:u w:val="none"/>
                <w:lang w:val="en-US" w:eastAsia="zh-CN" w:bidi="ar"/>
              </w:rPr>
              <w:t xml:space="preserve">513 </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广玉兰</w:t>
            </w:r>
            <w:r>
              <w:rPr>
                <w:rFonts w:ascii="Tahoma" w:hAnsi="Tahoma" w:eastAsia="Tahoma" w:cs="Tahoma"/>
                <w:color w:val="000000"/>
                <w:sz w:val="21"/>
                <w:szCs w:val="21"/>
                <w:u w:val="none"/>
                <w:lang w:val="en-US" w:eastAsia="zh-CN" w:bidi="ar"/>
              </w:rPr>
              <w:t xml:space="preserve">15</w:t>
            </w:r>
            <w:r/>
          </w:p>
        </w:tc>
      </w:tr>
      <w:tr>
        <w:trPr>
          <w:trHeight w:val="134"/>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解放路—云龙山东坡</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97"/>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云东路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和平路—泰山路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香樟</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袁桥游园</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134"/>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和平桥游园</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津浦西路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火车站周边</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197"/>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铁路游泳馆绿地</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云龙山西下坡绿地</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957</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共建路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奎河—和平路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项王路、劳动巷</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状元街—解放路—劳动巷</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云东一道街</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泰山路—和平路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圆梦东路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圆梦花园小区东侧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王杰东巷</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康怡大道</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响山路—铜山路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铜山路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复兴路—三环东路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骆驼山立交周边</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津浦东路及绿地</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郭庄路—响山路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郭庄路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复兴路—汉源大道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128150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1449</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响山路绿地及南侧行道树</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子房美景—润金家园</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郭庄路水塘绿地</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子房山轨道站</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b/>
                <w:bCs/>
                <w:i w:val="0"/>
                <w:iCs w:val="0"/>
                <w:color w:val="000000"/>
                <w:sz w:val="21"/>
                <w:szCs w:val="21"/>
                <w:u w:val="none"/>
              </w:rPr>
            </w:pPr>
            <w:r>
              <w:rPr>
                <w:rFonts w:hint="default" w:ascii="Tahoma" w:hAnsi="Tahoma" w:eastAsia="Tahoma" w:cs="Tahoma"/>
                <w:b/>
                <w:bCs/>
                <w:i w:val="0"/>
                <w:iCs w:val="0"/>
                <w:color w:val="000000"/>
                <w:sz w:val="21"/>
                <w:szCs w:val="21"/>
                <w:u w:val="none"/>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和平路口袋公园</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b/>
                <w:bCs/>
                <w:i w:val="0"/>
                <w:iCs w:val="0"/>
                <w:color w:val="000000"/>
                <w:sz w:val="21"/>
                <w:szCs w:val="21"/>
                <w:u w:val="none"/>
              </w:rPr>
            </w:pPr>
            <w:r>
              <w:rPr>
                <w:rFonts w:hint="default" w:ascii="Tahoma" w:hAnsi="Tahoma" w:eastAsia="Tahoma" w:cs="Tahoma"/>
                <w:b/>
                <w:bCs/>
                <w:i w:val="0"/>
                <w:iCs w:val="0"/>
                <w:color w:val="000000"/>
                <w:sz w:val="21"/>
                <w:szCs w:val="21"/>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地铁2号线师大地铁站、建国路口地铁站</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8487</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b/>
                <w:bCs/>
                <w:i w:val="0"/>
                <w:iCs w:val="0"/>
                <w:color w:val="000000"/>
                <w:sz w:val="21"/>
                <w:szCs w:val="21"/>
                <w:u w:val="none"/>
              </w:rPr>
            </w:pPr>
            <w:r>
              <w:rPr>
                <w:rFonts w:hint="default" w:ascii="Tahoma" w:hAnsi="Tahoma" w:eastAsia="Tahoma" w:cs="Tahoma"/>
                <w:b/>
                <w:bCs/>
                <w:i w:val="0"/>
                <w:iCs w:val="0"/>
                <w:color w:val="000000"/>
                <w:sz w:val="21"/>
                <w:szCs w:val="21"/>
                <w:u w:val="none"/>
              </w:rPr>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东方锦城绿地</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b/>
                <w:bCs/>
                <w:i w:val="0"/>
                <w:iCs w:val="0"/>
                <w:color w:val="000000"/>
                <w:sz w:val="21"/>
                <w:szCs w:val="21"/>
                <w:u w:val="none"/>
              </w:rPr>
            </w:pPr>
            <w:r>
              <w:rPr>
                <w:rFonts w:hint="default" w:ascii="Tahoma" w:hAnsi="Tahoma" w:eastAsia="Tahoma" w:cs="Tahoma"/>
                <w:b/>
                <w:bCs/>
                <w:i w:val="0"/>
                <w:iCs w:val="0"/>
                <w:color w:val="000000"/>
                <w:sz w:val="21"/>
                <w:szCs w:val="21"/>
                <w:u w:val="none"/>
              </w:rPr>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德政路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郭庄路-城东大道</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10580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法桐 332， 重阳木18 ，女贞树 35</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民祥园路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郭庄路-城东大道</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8590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栾树 249 女贞树 213 重阳木54 国槐 26</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民祥园路绿地 </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庆丰路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郭庄路-城东大道</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重阳木337 香樟19 </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女贞树245 重阳木41</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经一路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郭庄路-三八河南岸路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重阳木233</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兴云路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郭庄路-三八河南岸路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重阳木223</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黄山大道</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庆丰路-三环东路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法桐302</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绿苑路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民祥园路-黄山路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女贞树 31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汉景大道</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三环东路-汉源大道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15346</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重阳木 157 香樟34 </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法桐 147 栾树512</w:t>
            </w:r>
            <w:r/>
          </w:p>
        </w:tc>
      </w:tr>
      <w:tr>
        <w:trPr>
          <w:trHeight w:val="238"/>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幸福路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庆丰路-云苑路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朴树221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美地南巷</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德政路-民祥园路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重阳木 66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纬一路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庆丰路-云和路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女贞102</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名邸路    </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和平路-黄山大道</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重阳木 73 </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云祥路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名邸路-香溪路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重阳木47 </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房亭河绿地  </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欣欣路绿地  </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民富园口袋公园</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3235</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坤荣路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云润路-兴云路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法桐65</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丰储街</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民主路-奎河桥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黄山路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和平大道-黄山大道</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榉树108</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云龙山隧道-淮海东路（东侧）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法桐72 广玉兰15</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淮海路</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中山路-复兴路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2484</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国槐26 香樟23</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悠沃广场</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淮海路与中山路交叉口东南角</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淮海路东延</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津浦东路-康怡大道</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法桐66</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云富路公园</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云富路北侧、云苑路西侧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建国路停车场</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云龙医院西侧、建国路南侧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85"/>
        </w:trPr>
        <w:tc>
          <w:tcPr>
            <w:gridSpan w:val="2"/>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总     计</w:t>
            </w:r>
            <w:r/>
          </w:p>
        </w:tc>
        <w:tc>
          <w:tcPr>
            <w:shd w:val="clear" w:color="auto" w:fill="auto"/>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left"/>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331947</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default" w:ascii="Tahoma" w:hAnsi="Tahoma" w:eastAsia="Tahoma" w:cs="Tahoma"/>
                <w:i w:val="0"/>
                <w:iCs w:val="0"/>
                <w:color w:val="000000"/>
                <w:sz w:val="22"/>
                <w:szCs w:val="22"/>
                <w:u w:val="none"/>
              </w:rPr>
              <w:suppressLineNumbers w:val="0"/>
            </w:pPr>
            <w:r>
              <w:rPr>
                <w:rFonts w:hint="default" w:ascii="Tahoma" w:hAnsi="Tahoma" w:eastAsia="Tahoma" w:cs="Tahoma"/>
                <w:i w:val="0"/>
                <w:iCs w:val="0"/>
                <w:color w:val="000000"/>
                <w:sz w:val="22"/>
                <w:szCs w:val="22"/>
                <w:u w:val="none"/>
                <w:lang w:val="en-US" w:eastAsia="zh-CN" w:bidi="ar"/>
              </w:rPr>
              <w:t xml:space="preserve">9020</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default" w:ascii="Tahoma" w:hAnsi="Tahoma" w:eastAsia="Tahoma" w:cs="Tahoma"/>
                <w:b/>
                <w:bCs/>
                <w:i w:val="0"/>
                <w:iCs w:val="0"/>
                <w:color w:val="000000"/>
                <w:sz w:val="20"/>
                <w:szCs w:val="20"/>
                <w:u w:val="none"/>
              </w:rPr>
            </w:pPr>
            <w:r>
              <w:rPr>
                <w:rFonts w:hint="default" w:ascii="Tahoma" w:hAnsi="Tahoma" w:eastAsia="Tahoma" w:cs="Tahoma"/>
                <w:b/>
                <w:bCs/>
                <w:i w:val="0"/>
                <w:iCs w:val="0"/>
                <w:color w:val="000000"/>
                <w:sz w:val="20"/>
                <w:szCs w:val="20"/>
                <w:u w:val="none"/>
              </w:rPr>
            </w:r>
            <w:r/>
          </w:p>
        </w:tc>
      </w:tr>
    </w:tbl>
    <w:p>
      <w:pPr>
        <w:jc w:val="center"/>
        <w:pageBreakBefore/>
        <w:spacing w:line="0" w:lineRule="atLeast"/>
        <w:rPr>
          <w:rFonts w:ascii="宋体" w:hAnsi="宋体" w:cs="宋体"/>
          <w:b/>
          <w:bCs/>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3、磋商</w:t>
      </w:r>
      <w:r>
        <w:rPr>
          <w:rFonts w:hint="eastAsia" w:ascii="宋体" w:hAnsi="宋体" w:cs="宋体"/>
          <w:b/>
          <w:bCs/>
          <w:color w:val="000000" w:themeColor="text1"/>
          <w:sz w:val="36"/>
          <w:highlight w:val="none"/>
          <w14:textFill>
            <w14:solidFill>
              <w14:schemeClr w14:val="tx1"/>
            </w14:solidFill>
          </w14:textFill>
        </w:rPr>
        <w:t xml:space="preserve">报价表</w:t>
      </w:r>
      <w:r/>
    </w:p>
    <w:p>
      <w:pPr>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520" w:lineRule="exact"/>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项目编号：</w:t>
      </w:r>
      <w:r/>
    </w:p>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本次为首次报价</w:t>
      </w:r>
      <w:r/>
    </w:p>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货币单位：人民币元</w:t>
      </w:r>
      <w:r/>
    </w:p>
    <w:tbl>
      <w:tblPr>
        <w:tblStyle w:val="905"/>
        <w:tblW w:w="961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881"/>
        <w:gridCol w:w="2100"/>
        <w:gridCol w:w="2229"/>
        <w:gridCol w:w="1405"/>
      </w:tblGrid>
      <w:tr>
        <w:trPr>
          <w:cantSplit/>
          <w:jc w:val="center"/>
          <w:trHeight w:val="731"/>
        </w:trPr>
        <w:tc>
          <w:tcPr>
            <w:tcW w:w="3881"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项目名称</w:t>
            </w:r>
            <w:r/>
          </w:p>
        </w:tc>
        <w:tc>
          <w:tcPr>
            <w:tcW w:w="2100"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项目内容</w:t>
            </w:r>
            <w:r/>
          </w:p>
        </w:tc>
        <w:tc>
          <w:tcPr>
            <w:tcW w:w="2229"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报价</w:t>
            </w:r>
            <w:r>
              <w:rPr>
                <w:rFonts w:hint="eastAsia" w:ascii="宋体" w:hAnsi="宋体" w:cs="宋体"/>
                <w:b/>
                <w:bCs/>
                <w:color w:val="000000" w:themeColor="text1"/>
                <w:sz w:val="24"/>
                <w14:textFill>
                  <w14:solidFill>
                    <w14:schemeClr w14:val="tx1"/>
                  </w14:solidFill>
                </w14:textFill>
              </w:rPr>
              <w:t xml:space="preserve">（小写）</w:t>
            </w:r>
            <w:r/>
          </w:p>
        </w:tc>
        <w:tc>
          <w:tcPr>
            <w:tcW w:w="1405" w:type="dxa"/>
            <w:vAlign w:val="center"/>
            <w:textDirection w:val="lrTb"/>
            <w:noWrap w:val="false"/>
          </w:tcPr>
          <w:p>
            <w:pPr>
              <w:jc w:val="center"/>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备注</w:t>
            </w:r>
            <w:r/>
          </w:p>
        </w:tc>
      </w:tr>
      <w:tr>
        <w:trPr>
          <w:cantSplit/>
          <w:jc w:val="center"/>
          <w:trHeight w:val="1260"/>
        </w:trPr>
        <w:tc>
          <w:tcPr>
            <w:tcW w:w="3881"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eastAsia="zh-CN"/>
                <w14:textFill>
                  <w14:solidFill>
                    <w14:schemeClr w14:val="tx1"/>
                  </w14:solidFill>
                </w14:textFill>
              </w:rPr>
              <w:t xml:space="preserve">云龙区绿地养护（郭庄路、主城区、三环路以东等绿地）</w:t>
            </w:r>
            <w:r/>
          </w:p>
        </w:tc>
        <w:tc>
          <w:tcPr>
            <w:tcW w:w="2100"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w:t>
            </w:r>
            <w:r>
              <w:rPr>
                <w:rFonts w:hint="eastAsia" w:ascii="宋体" w:hAnsi="宋体" w:cs="宋体"/>
                <w:bCs/>
                <w:color w:val="000000" w:themeColor="text1"/>
                <w:sz w:val="24"/>
                <w14:textFill>
                  <w14:solidFill>
                    <w14:schemeClr w14:val="tx1"/>
                  </w14:solidFill>
                </w14:textFill>
              </w:rPr>
              <w:t xml:space="preserve">响应文件</w:t>
            </w:r>
            <w:r/>
          </w:p>
        </w:tc>
        <w:tc>
          <w:tcPr>
            <w:tcW w:w="2229"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5" w:type="dxa"/>
            <w:vAlign w:val="center"/>
            <w:vMerge w:val="restart"/>
            <w:textDirection w:val="lrTb"/>
            <w:noWrap w:val="false"/>
          </w:tcPr>
          <w:p>
            <w:pPr>
              <w:jc w:val="center"/>
              <w:spacing w:line="520" w:lineRule="exact"/>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t xml:space="preserve">报价为</w:t>
            </w:r>
            <w:r/>
          </w:p>
          <w:p>
            <w:pPr>
              <w:jc w:val="center"/>
              <w:spacing w:line="520" w:lineRule="exact"/>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t xml:space="preserve">《分项价格表》</w:t>
            </w:r>
            <w:r/>
          </w:p>
          <w:p>
            <w:pPr>
              <w:jc w:val="center"/>
              <w:spacing w:line="520" w:lineRule="exact"/>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t xml:space="preserve">的总价</w:t>
            </w:r>
            <w:r/>
          </w:p>
        </w:tc>
      </w:tr>
      <w:tr>
        <w:trPr>
          <w:cantSplit/>
          <w:jc w:val="center"/>
          <w:trHeight w:val="707"/>
        </w:trPr>
        <w:tc>
          <w:tcPr>
            <w:tcW w:w="3881"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报价</w:t>
            </w:r>
            <w:r>
              <w:rPr>
                <w:rFonts w:hint="eastAsia" w:ascii="宋体" w:hAnsi="宋体" w:cs="宋体"/>
                <w:color w:val="000000" w:themeColor="text1"/>
                <w:sz w:val="24"/>
                <w14:textFill>
                  <w14:solidFill>
                    <w14:schemeClr w14:val="tx1"/>
                  </w14:solidFill>
                </w14:textFill>
              </w:rPr>
              <w:t xml:space="preserve">（大写）：</w:t>
            </w:r>
            <w:r/>
          </w:p>
        </w:tc>
        <w:tc>
          <w:tcPr>
            <w:gridSpan w:val="2"/>
            <w:tcW w:w="4329"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5" w:type="dxa"/>
            <w:vAlign w:val="center"/>
            <w:vMerge w:val="continue"/>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供应商承诺：本报价（总价）为供应商本企业提供的服务。</w:t>
      </w:r>
      <w:r/>
    </w:p>
    <w:p>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报价说明：</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1、报价应包括全部内容，以及为完成上述内容所需的全部费用。</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2、报价以总价为准，大小写不一致以大写为准；</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3、偏离说明：详见《偏离表》；</w:t>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right="29" w:firstLine="480"/>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firstLine="480"/>
        <w:spacing w:line="520" w:lineRule="exact"/>
        <w:rPr>
          <w:rFonts w:ascii="宋体" w:hAnsi="宋体" w:cs="宋体"/>
          <w:color w:val="000000" w:themeColor="text1"/>
          <w:sz w:val="24"/>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s="宋体"/>
          <w:color w:val="000000" w:themeColor="text1"/>
          <w:sz w:val="24"/>
          <w14:textFill>
            <w14:solidFill>
              <w14:schemeClr w14:val="tx1"/>
            </w14:solidFill>
          </w14:textFill>
        </w:rPr>
        <w:t xml:space="preserve">日期：   年  月  日</w:t>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4、分项价格表</w:t>
      </w:r>
      <w:r/>
    </w:p>
    <w:p>
      <w:pPr>
        <w:jc w:val="center"/>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本次为首次报价</w:t>
      </w:r>
      <w:r/>
    </w:p>
    <w:p>
      <w:pPr>
        <w:jc w:val="lef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u w:val="single"/>
          <w14:textFill>
            <w14:solidFill>
              <w14:schemeClr w14:val="tx1"/>
            </w14:solidFill>
          </w14:textFill>
        </w:rPr>
        <w:t xml:space="preserve">               </w:t>
      </w:r>
      <w:r/>
    </w:p>
    <w:p>
      <w:pPr>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u w:val="single"/>
          <w14:textFill>
            <w14:solidFill>
              <w14:schemeClr w14:val="tx1"/>
            </w14:solidFill>
          </w14:textFill>
        </w:rPr>
        <w:t xml:space="preserve">               </w:t>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42"/>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格式自制</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供应商（电子签章）：</w:t>
      </w:r>
      <w:r/>
    </w:p>
    <w:p>
      <w:pPr>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  年  月  日</w:t>
      </w:r>
      <w:r/>
    </w:p>
    <w:p>
      <w:pPr>
        <w:rPr>
          <w:rFonts w:ascii="宋体" w:hAnsi="宋体" w:cs="宋体"/>
          <w:color w:val="000000" w:themeColor="text1"/>
          <w:sz w:val="28"/>
          <w:szCs w:val="28"/>
          <w:u w:val="single"/>
          <w14:textFill>
            <w14:solidFill>
              <w14:schemeClr w14:val="tx1"/>
            </w14:solidFill>
          </w14:textFill>
        </w:rPr>
      </w:pPr>
      <w:r>
        <w:rPr>
          <w:rFonts w:ascii="宋体" w:hAnsi="宋体" w:cs="宋体"/>
          <w:color w:val="000000" w:themeColor="text1"/>
          <w:sz w:val="28"/>
          <w:szCs w:val="28"/>
          <w:u w:val="single"/>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0" w:right="0" w:firstLine="0"/>
        <w:jc w:val="both"/>
        <w:spacing w:before="0" w:after="0" w:line="85" w:lineRule="atLeas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b/>
          <w:color w:val="000000"/>
          <w:sz w:val="24"/>
        </w:rPr>
        <w:t xml:space="preserve">如果不提供《分项价格表》将视为没有实质性响应。</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供应商对以上数据的真实性负责。</w:t>
      </w:r>
      <w:r/>
    </w:p>
    <w:p>
      <w:pPr>
        <w:pStyle w:val="937"/>
        <w:ind w:firstLine="480"/>
        <w:pageBreakBefore w:val="0"/>
        <w:spacing w:after="0"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 如果按单价计算的结果与总价不一致，以总价为准。</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default" w:ascii="宋体" w:hAnsi="宋体" w:eastAsia="宋体" w:cs="宋体"/>
          <w:color w:val="000000" w:themeColor="text1"/>
          <w:sz w:val="24"/>
          <w:lang w:val="en-US" w:eastAsia="zh-CN"/>
          <w14:textFill>
            <w14:solidFill>
              <w14:schemeClr w14:val="tx1"/>
            </w14:solidFill>
          </w14:textFill>
        </w:rPr>
      </w:r>
      <w:r/>
    </w:p>
    <w:p>
      <w:pPr>
        <w:ind w:firstLine="482"/>
        <w:spacing w:line="360" w:lineRule="auto"/>
        <w:rPr>
          <w:rFonts w:ascii="宋体" w:hAnsi="宋体" w:cs="宋体"/>
          <w:b/>
          <w:i/>
          <w:color w:val="000000" w:themeColor="text1"/>
          <w:sz w:val="24"/>
          <w:u w:val="single"/>
          <w14:textFill>
            <w14:solidFill>
              <w14:schemeClr w14:val="tx1"/>
            </w14:solidFill>
          </w14:textFill>
        </w:rPr>
      </w:pPr>
      <w:r>
        <w:rPr>
          <w:rFonts w:hint="eastAsia" w:ascii="宋体" w:hAnsi="宋体" w:cs="宋体"/>
          <w:b/>
          <w:i/>
          <w:color w:val="000000" w:themeColor="text1"/>
          <w:sz w:val="24"/>
          <w:u w:val="single"/>
          <w14:textFill>
            <w14:solidFill>
              <w14:schemeClr w14:val="tx1"/>
            </w14:solidFill>
          </w14:textFill>
        </w:rPr>
        <w:t xml:space="preserve">采购人或采购代理机构有权将以上内容进行公示。</w:t>
      </w:r>
      <w:r/>
    </w:p>
    <w:p>
      <w:pPr>
        <w:jc w:val="center"/>
        <w:rPr>
          <w:rFonts w:ascii="宋体" w:hAnsi="宋体" w:cs="宋体"/>
          <w:b/>
          <w:bCs/>
          <w:color w:val="000000" w:themeColor="text1"/>
          <w:sz w:val="36"/>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ascii="宋体" w:hAnsi="宋体" w:cs="宋体"/>
          <w:b/>
          <w:bCs/>
          <w:color w:val="000000" w:themeColor="text1"/>
          <w:sz w:val="36"/>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5、偏离表</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tbl>
      <w:tblPr>
        <w:tblStyle w:val="905"/>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50"/>
        <w:gridCol w:w="2446"/>
        <w:gridCol w:w="1575"/>
        <w:gridCol w:w="1351"/>
        <w:gridCol w:w="2123"/>
      </w:tblGrid>
      <w:tr>
        <w:trPr>
          <w:jc w:val="center"/>
          <w:trHeight w:val="414"/>
        </w:trPr>
        <w:tc>
          <w:tcPr>
            <w:tcW w:w="72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序号</w:t>
            </w:r>
            <w:r/>
          </w:p>
        </w:tc>
        <w:tc>
          <w:tcPr>
            <w:tcW w:w="135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偏离内容</w:t>
            </w:r>
            <w:r/>
          </w:p>
        </w:tc>
        <w:tc>
          <w:tcPr>
            <w:tcW w:w="2446"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首次响应文件中的内容</w:t>
            </w:r>
            <w:r/>
          </w:p>
        </w:tc>
        <w:tc>
          <w:tcPr>
            <w:tcW w:w="1351"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（正/负/无）偏离</w:t>
            </w:r>
            <w:r/>
          </w:p>
        </w:tc>
        <w:tc>
          <w:tcPr>
            <w:tcW w:w="2123"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说明</w:t>
            </w:r>
            <w:r/>
          </w:p>
        </w:tc>
      </w:tr>
      <w:tr>
        <w:trPr>
          <w:jc w:val="center"/>
          <w:trHeight w:val="794"/>
        </w:trPr>
        <w:tc>
          <w:tcPr>
            <w:tcW w:w="72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9"/>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right="29"/>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360" w:lineRule="exac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br w:type="page" w:clear="all"/>
      </w:r>
      <w:r/>
    </w:p>
    <w:p>
      <w:pPr>
        <w:contextualSpacing/>
        <w:jc w:val="center"/>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6、合同草案条款</w:t>
      </w:r>
      <w:r/>
    </w:p>
    <w:p>
      <w:pPr>
        <w:pStyle w:val="1025"/>
        <w:jc w:val="center"/>
        <w:spacing w:after="312" w:line="520" w:lineRule="exact"/>
        <w:rPr>
          <w:rFonts w:hAnsi="宋体" w:cs="宋体"/>
          <w:b/>
          <w:color w:val="000000" w:themeColor="text1"/>
          <w:sz w:val="32"/>
          <w:szCs w:val="32"/>
          <w14:textFill>
            <w14:solidFill>
              <w14:schemeClr w14:val="tx1"/>
            </w14:solidFill>
          </w14:textFill>
        </w:rPr>
      </w:pPr>
      <w:r>
        <w:rPr>
          <w:rFonts w:hAnsi="宋体" w:cs="宋体"/>
          <w:b/>
          <w:color w:val="000000" w:themeColor="text1"/>
          <w:sz w:val="32"/>
          <w:szCs w:val="32"/>
          <w14:textFill>
            <w14:solidFill>
              <w14:schemeClr w14:val="tx1"/>
            </w14:solidFill>
          </w14:textFill>
        </w:rPr>
      </w:r>
      <w:r/>
    </w:p>
    <w:p>
      <w:pPr>
        <w:pStyle w:val="1061"/>
        <w:ind w:firstLine="442"/>
        <w:jc w:val="center"/>
        <w:spacing w:line="360" w:lineRule="auto"/>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lang w:eastAsia="zh-CN"/>
          <w14:textFill>
            <w14:solidFill>
              <w14:schemeClr w14:val="tx1"/>
            </w14:solidFill>
          </w14:textFill>
        </w:rPr>
        <w:t xml:space="preserve">云龙区绿地养护（郭庄路、主城区、三环路以东等绿地）</w:t>
      </w:r>
      <w:r>
        <w:rPr>
          <w:rFonts w:hint="eastAsia" w:ascii="宋体" w:hAnsi="宋体" w:cs="宋体"/>
          <w:b/>
          <w:color w:val="000000" w:themeColor="text1"/>
          <w:sz w:val="44"/>
          <w:szCs w:val="44"/>
          <w:lang w:val="en-US" w:eastAsia="zh-CN"/>
          <w14:textFill>
            <w14:solidFill>
              <w14:schemeClr w14:val="tx1"/>
            </w14:solidFill>
          </w14:textFill>
        </w:rPr>
        <w:t xml:space="preserve">项目</w:t>
      </w:r>
      <w:r>
        <w:rPr>
          <w:rFonts w:hint="eastAsia" w:ascii="宋体" w:hAnsi="宋体" w:cs="宋体"/>
          <w:b/>
          <w:color w:val="000000" w:themeColor="text1"/>
          <w:sz w:val="44"/>
          <w:szCs w:val="44"/>
          <w14:textFill>
            <w14:solidFill>
              <w14:schemeClr w14:val="tx1"/>
            </w14:solidFill>
          </w14:textFill>
        </w:rPr>
        <w:t xml:space="preserve">合同</w:t>
      </w:r>
      <w:r/>
    </w:p>
    <w:p>
      <w:pPr>
        <w:pStyle w:val="1061"/>
        <w:ind w:firstLine="321"/>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1061"/>
        <w:spacing w:line="360" w:lineRule="auto"/>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pStyle w:val="1061"/>
        <w:ind w:firstLine="562"/>
        <w:spacing w:line="360" w:lineRule="auto"/>
        <w:rPr>
          <w:rFonts w:hint="eastAsia" w:ascii="宋体" w:hAnsi="宋体" w:eastAsia="宋体" w:cs="宋体"/>
          <w:b/>
          <w:color w:val="000000" w:themeColor="text1"/>
          <w:sz w:val="30"/>
          <w:szCs w:val="30"/>
          <w:lang w:eastAsia="zh-CN"/>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项目编号：</w:t>
      </w:r>
      <w:r/>
    </w:p>
    <w:p>
      <w:pPr>
        <w:pStyle w:val="1061"/>
        <w:ind w:firstLine="904"/>
        <w:spacing w:line="360" w:lineRule="auto"/>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pStyle w:val="1061"/>
        <w:ind w:firstLine="562"/>
        <w:spacing w:line="360" w:lineRule="auto"/>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项目名称：</w:t>
      </w:r>
      <w:r>
        <w:rPr>
          <w:rFonts w:hint="eastAsia" w:ascii="宋体" w:hAnsi="宋体" w:cs="宋体"/>
          <w:b/>
          <w:color w:val="000000" w:themeColor="text1"/>
          <w:sz w:val="30"/>
          <w:szCs w:val="30"/>
          <w:lang w:eastAsia="zh-CN"/>
          <w14:textFill>
            <w14:solidFill>
              <w14:schemeClr w14:val="tx1"/>
            </w14:solidFill>
          </w14:textFill>
        </w:rPr>
        <w:t xml:space="preserve">云龙区绿地养护（郭庄路、主城区、三环路以东等绿地）</w:t>
      </w:r>
      <w:r/>
    </w:p>
    <w:p>
      <w:pPr>
        <w:pStyle w:val="1061"/>
        <w:spacing w:line="360" w:lineRule="auto"/>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pStyle w:val="1061"/>
        <w:ind w:firstLine="562"/>
        <w:spacing w:line="360" w:lineRule="auto"/>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lang w:val="en-US" w:eastAsia="zh-CN"/>
          <w14:textFill>
            <w14:solidFill>
              <w14:schemeClr w14:val="tx1"/>
            </w14:solidFill>
          </w14:textFill>
        </w:rPr>
        <w:t xml:space="preserve">甲方</w:t>
      </w:r>
      <w:r>
        <w:rPr>
          <w:rFonts w:hint="eastAsia" w:ascii="宋体" w:hAnsi="宋体" w:cs="宋体"/>
          <w:b/>
          <w:color w:val="000000" w:themeColor="text1"/>
          <w:sz w:val="30"/>
          <w:szCs w:val="30"/>
          <w14:textFill>
            <w14:solidFill>
              <w14:schemeClr w14:val="tx1"/>
            </w14:solidFill>
          </w14:textFill>
        </w:rPr>
        <w:t xml:space="preserve">：</w:t>
      </w:r>
      <w:r>
        <w:rPr>
          <w:rFonts w:hint="eastAsia" w:ascii="宋体" w:hAnsi="宋体" w:cs="宋体"/>
          <w:b/>
          <w:color w:val="000000" w:themeColor="text1"/>
          <w:sz w:val="30"/>
          <w:szCs w:val="30"/>
          <w:lang w:eastAsia="zh-CN"/>
          <w14:textFill>
            <w14:solidFill>
              <w14:schemeClr w14:val="tx1"/>
            </w14:solidFill>
          </w14:textFill>
        </w:rPr>
        <w:t xml:space="preserve">徐州市云龙区城市管理局</w:t>
      </w:r>
      <w:r/>
    </w:p>
    <w:p>
      <w:pPr>
        <w:pStyle w:val="1061"/>
        <w:spacing w:line="360" w:lineRule="auto"/>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pStyle w:val="1061"/>
        <w:ind w:firstLine="562"/>
        <w:spacing w:line="360" w:lineRule="auto"/>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乙   方：</w:t>
      </w:r>
      <w:r/>
    </w:p>
    <w:p>
      <w:pPr>
        <w:pStyle w:val="1061"/>
        <w:spacing w:line="360" w:lineRule="auto"/>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pStyle w:val="1061"/>
        <w:ind w:firstLine="562"/>
        <w:spacing w:line="360" w:lineRule="auto"/>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签订时间：  年  月  日 </w:t>
      </w:r>
      <w:r/>
    </w:p>
    <w:p>
      <w:pPr>
        <w:pStyle w:val="1061"/>
        <w:ind w:firstLine="643"/>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1061"/>
        <w:ind w:firstLine="562"/>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1061"/>
        <w:ind w:firstLine="562"/>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1061"/>
        <w:ind w:firstLine="562"/>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1061"/>
        <w:ind w:firstLine="562"/>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友情提醒：</w:t>
      </w:r>
      <w:r>
        <w:rPr>
          <w:rFonts w:hint="eastAsia" w:ascii="宋体" w:hAnsi="宋体" w:cs="宋体"/>
          <w:bCs/>
          <w:color w:val="000000" w:themeColor="text1"/>
          <w:sz w:val="24"/>
          <w:szCs w:val="24"/>
          <w14:textFill>
            <w14:solidFill>
              <w14:schemeClr w14:val="tx1"/>
            </w14:solidFill>
          </w14:textFill>
        </w:rPr>
        <w:t xml:space="preserve">采购人与成交供应商应当在成交通知书发出之日起三十日内，按照采购文件确定的事项签订政府采购合同。</w:t>
      </w:r>
      <w:r/>
    </w:p>
    <w:p>
      <w:pPr>
        <w:pStyle w:val="1061"/>
        <w:ind w:firstLine="560"/>
        <w:spacing w:line="360" w:lineRule="auto"/>
        <w:rPr>
          <w:rFonts w:hint="eastAsia" w:ascii="宋体" w:hAnsi="宋体" w:cs="宋体"/>
          <w:bCs/>
          <w:color w:val="000000" w:themeColor="text1"/>
          <w:sz w:val="28"/>
          <w:szCs w:val="28"/>
          <w14:textFill>
            <w14:solidFill>
              <w14:schemeClr w14:val="tx1"/>
            </w14:solidFill>
          </w14:textFill>
        </w:rPr>
        <w:sectPr>
          <w:headerReference w:type="default" r:id="rId11"/>
          <w:footerReference w:type="default" r:id="rId16"/>
          <w:footerReference w:type="first" r:id="rId17"/>
          <w:footnotePr/>
          <w:endnotePr/>
          <w:type w:val="nextPage"/>
          <w:pgSz w:w="11906" w:h="16838" w:orient="portrait"/>
          <w:pgMar w:top="1434" w:right="1434" w:bottom="1434" w:left="1434" w:header="851" w:footer="992" w:gutter="0"/>
          <w:cols w:num="1" w:sep="0" w:space="1701" w:equalWidth="1"/>
          <w:docGrid w:linePitch="360"/>
        </w:sectPr>
      </w:pPr>
      <w:r>
        <w:rPr>
          <w:rFonts w:hint="eastAsia" w:ascii="宋体" w:hAnsi="宋体" w:cs="宋体"/>
          <w:bCs/>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b/>
          <w:bCs/>
          <w:color w:val="000000" w:themeColor="text1"/>
          <w:sz w:val="36"/>
          <w:szCs w:val="36"/>
          <w:lang w:eastAsia="zh-CN"/>
          <w14:textFill>
            <w14:solidFill>
              <w14:schemeClr w14:val="tx1"/>
            </w14:solidFill>
          </w14:textFill>
        </w:rPr>
      </w:pPr>
      <w:r>
        <w:rPr>
          <w:rFonts w:hint="eastAsia" w:ascii="宋体" w:hAnsi="宋体"/>
          <w:b/>
          <w:bCs/>
          <w:color w:val="000000" w:themeColor="text1"/>
          <w:sz w:val="36"/>
          <w:szCs w:val="36"/>
          <w:lang w:eastAsia="zh-CN"/>
          <w14:textFill>
            <w14:solidFill>
              <w14:schemeClr w14:val="tx1"/>
            </w14:solidFill>
          </w14:textFill>
        </w:rPr>
        <w:t xml:space="preserve">云龙区绿地养护（郭庄路、主城区、三环路以东等绿地）</w:t>
      </w:r>
      <w:r/>
    </w:p>
    <w:p>
      <w:pPr>
        <w:jc w:val="center"/>
        <w:spacing w:line="360" w:lineRule="auto"/>
        <w:rPr>
          <w:rFonts w:ascii="宋体" w:hAnsi="宋体"/>
          <w:b/>
          <w:bCs/>
          <w:color w:val="000000" w:themeColor="text1"/>
          <w:sz w:val="36"/>
          <w:szCs w:val="36"/>
          <w14:textFill>
            <w14:solidFill>
              <w14:schemeClr w14:val="tx1"/>
            </w14:solidFill>
          </w14:textFill>
        </w:rPr>
      </w:pPr>
      <w:r>
        <w:rPr>
          <w:rFonts w:hint="eastAsia" w:ascii="宋体" w:hAnsi="宋体"/>
          <w:b/>
          <w:bCs/>
          <w:color w:val="000000" w:themeColor="text1"/>
          <w:sz w:val="36"/>
          <w:szCs w:val="36"/>
          <w:lang w:val="en-US" w:eastAsia="zh-CN"/>
          <w14:textFill>
            <w14:solidFill>
              <w14:schemeClr w14:val="tx1"/>
            </w14:solidFill>
          </w14:textFill>
        </w:rPr>
        <w:t xml:space="preserve">项目</w:t>
      </w:r>
      <w:r>
        <w:rPr>
          <w:rFonts w:hint="eastAsia" w:ascii="宋体" w:hAnsi="宋体"/>
          <w:b/>
          <w:bCs/>
          <w:color w:val="000000" w:themeColor="text1"/>
          <w:sz w:val="36"/>
          <w:szCs w:val="36"/>
          <w14:textFill>
            <w14:solidFill>
              <w14:schemeClr w14:val="tx1"/>
            </w14:solidFill>
          </w14:textFill>
        </w:rPr>
        <w:t xml:space="preserve">合同</w:t>
      </w:r>
      <w:r/>
    </w:p>
    <w:p>
      <w:pPr>
        <w:ind w:right="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徐州市云龙区城市管理局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合同编码：</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签定日期：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签定地点：徐州市云龙区城市管理局</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甲方通过公开招标，将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工作委托乙方进行养护管理，双方本着平等、互利、合作的原则，协商达成如下合同条款。</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一、养护项目相关情况</w:t>
      </w:r>
      <w:r/>
    </w:p>
    <w:p>
      <w:pPr>
        <w:ind w:firstLine="480"/>
        <w:spacing w:line="360" w:lineRule="auto"/>
        <w:rPr>
          <w:rFonts w:hint="default" w:ascii="宋体" w:hAnsi="宋体" w:eastAsia="宋体" w:cs="宋体"/>
          <w:color w:val="000000"/>
          <w:sz w:val="24"/>
          <w:highlight w:val="none"/>
          <w:u w:val="single"/>
          <w:lang w:val="en-US" w:eastAsia="zh-CN"/>
        </w:rPr>
      </w:pPr>
      <w:r>
        <w:rPr>
          <w:rFonts w:hint="eastAsia" w:ascii="宋体" w:hAnsi="宋体" w:cs="宋体"/>
          <w:color w:val="000000"/>
          <w:sz w:val="24"/>
          <w:highlight w:val="none"/>
        </w:rPr>
        <w:t xml:space="preserve">养护项目名称：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养护地点：</w:t>
      </w:r>
      <w:r>
        <w:rPr>
          <w:rFonts w:hint="eastAsia" w:ascii="宋体" w:hAnsi="宋体" w:cs="宋体"/>
          <w:color w:val="000000"/>
          <w:sz w:val="24"/>
          <w:highlight w:val="none"/>
          <w:u w:val="single"/>
          <w:lang w:val="en-US" w:eastAsia="zh-CN"/>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养护面积：</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平方米。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养护期限自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日至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日止。</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二、合同价款与支付</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(一)、合同价款的确定</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本工程的合同价为；合同期</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年，计人民币</w:t>
      </w:r>
      <w:r>
        <w:rPr>
          <w:rFonts w:hint="eastAsia" w:ascii="宋体" w:hAnsi="宋体" w:cs="宋体"/>
          <w:color w:val="000000"/>
          <w:sz w:val="24"/>
          <w:highlight w:val="none"/>
          <w:u w:val="single"/>
        </w:rPr>
        <w:t xml:space="preserve">     万元</w:t>
      </w: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万元整</w:t>
      </w:r>
      <w:r>
        <w:rPr>
          <w:rFonts w:hint="eastAsia" w:ascii="宋体" w:hAnsi="宋体" w:cs="宋体"/>
          <w:color w:val="000000"/>
          <w:sz w:val="24"/>
          <w:highlight w:val="none"/>
        </w:rPr>
        <w:t xml:space="preserve">。（  万元/年）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(二)、付款方式：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经双方协商一致，选择以下第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种付款方式：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（1）付款方式（提交预付款保函的）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合同签订且乙方向甲方出具预付款保函后1</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个工作日内，甲方应支付合同价款的</w:t>
      </w:r>
      <w:r>
        <w:rPr>
          <w:rFonts w:hint="eastAsia" w:ascii="宋体" w:hAnsi="宋体" w:cs="宋体"/>
          <w:b/>
          <w:bCs/>
          <w:color w:val="000000"/>
          <w:sz w:val="24"/>
          <w:highlight w:val="none"/>
          <w:u w:val="single"/>
        </w:rPr>
        <w:t xml:space="preserve">百分之四十（40%）</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。剩余合同价款每月月底前对当月养护情况进行考核，按照甲方出具的考核结果按季据实支付。</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（2）付款方式（不提交预付款保函的）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合同签订后1</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个工作日内甲方支付合同价款的</w:t>
      </w:r>
      <w:r>
        <w:rPr>
          <w:rFonts w:hint="eastAsia" w:ascii="宋体" w:hAnsi="宋体" w:cs="宋体"/>
          <w:b/>
          <w:bCs/>
          <w:color w:val="000000"/>
          <w:sz w:val="24"/>
          <w:highlight w:val="none"/>
          <w:u w:val="single"/>
        </w:rPr>
        <w:t xml:space="preserve">百分之十（10%）</w:t>
      </w:r>
      <w:r>
        <w:rPr>
          <w:rFonts w:hint="eastAsia" w:ascii="宋体" w:hAnsi="宋体" w:cs="宋体"/>
          <w:color w:val="000000"/>
          <w:sz w:val="24"/>
          <w:highlight w:val="none"/>
        </w:rPr>
        <w:t xml:space="preserve">作为预付款，剩余合同价款每月月底前对当月养护情况进行考核，按照甲方出具的考核结果按季据实支付。</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注：</w:t>
      </w:r>
      <w:r>
        <w:rPr>
          <w:rFonts w:hint="eastAsia" w:ascii="宋体" w:hAnsi="宋体" w:eastAsia="宋体" w:cs="宋体"/>
          <w:sz w:val="24"/>
          <w:szCs w:val="20"/>
          <w:highlight w:val="none"/>
        </w:rPr>
        <w:t xml:space="preserve">考核得分在9</w:t>
      </w:r>
      <w:r>
        <w:rPr>
          <w:rFonts w:hint="eastAsia" w:ascii="宋体" w:hAnsi="宋体" w:eastAsia="宋体" w:cs="宋体"/>
          <w:sz w:val="24"/>
          <w:szCs w:val="20"/>
          <w:highlight w:val="none"/>
          <w:lang w:val="en-US" w:eastAsia="zh-CN"/>
        </w:rPr>
        <w:t xml:space="preserve">6</w:t>
      </w:r>
      <w:r>
        <w:rPr>
          <w:rFonts w:hint="eastAsia" w:ascii="宋体" w:hAnsi="宋体" w:eastAsia="宋体" w:cs="宋体"/>
          <w:sz w:val="24"/>
          <w:szCs w:val="20"/>
          <w:highlight w:val="none"/>
        </w:rPr>
        <w:t xml:space="preserve">分以上（含9</w:t>
      </w:r>
      <w:r>
        <w:rPr>
          <w:rFonts w:hint="eastAsia" w:ascii="宋体" w:hAnsi="宋体" w:eastAsia="宋体" w:cs="宋体"/>
          <w:sz w:val="24"/>
          <w:szCs w:val="20"/>
          <w:highlight w:val="none"/>
          <w:lang w:val="en-US" w:eastAsia="zh-CN"/>
        </w:rPr>
        <w:t xml:space="preserve">6</w:t>
      </w:r>
      <w:r>
        <w:rPr>
          <w:rFonts w:hint="eastAsia" w:ascii="宋体" w:hAnsi="宋体" w:eastAsia="宋体" w:cs="宋体"/>
          <w:sz w:val="24"/>
          <w:szCs w:val="20"/>
          <w:highlight w:val="none"/>
        </w:rPr>
        <w:t xml:space="preserve">分）的，全额支付合同约定的</w:t>
      </w:r>
      <w:r>
        <w:rPr>
          <w:rFonts w:hint="eastAsia" w:ascii="宋体" w:hAnsi="宋体" w:cs="宋体"/>
          <w:color w:val="000000"/>
          <w:sz w:val="24"/>
          <w:highlight w:val="none"/>
        </w:rPr>
        <w:t xml:space="preserve">养护费</w:t>
      </w:r>
      <w:r>
        <w:rPr>
          <w:rFonts w:hint="eastAsia" w:ascii="宋体" w:hAnsi="宋体" w:eastAsia="宋体" w:cs="宋体"/>
          <w:sz w:val="24"/>
          <w:szCs w:val="20"/>
          <w:highlight w:val="none"/>
        </w:rPr>
        <w:t xml:space="preserve">；考核得分在9</w:t>
      </w:r>
      <w:r>
        <w:rPr>
          <w:rFonts w:hint="eastAsia" w:ascii="宋体" w:hAnsi="宋体" w:eastAsia="宋体" w:cs="宋体"/>
          <w:sz w:val="24"/>
          <w:szCs w:val="20"/>
          <w:highlight w:val="none"/>
          <w:lang w:val="en-US" w:eastAsia="zh-CN"/>
        </w:rPr>
        <w:t xml:space="preserve">6</w:t>
      </w:r>
      <w:r>
        <w:rPr>
          <w:rFonts w:hint="eastAsia" w:ascii="宋体" w:hAnsi="宋体" w:eastAsia="宋体" w:cs="宋体"/>
          <w:sz w:val="24"/>
          <w:szCs w:val="20"/>
          <w:highlight w:val="none"/>
        </w:rPr>
        <w:t xml:space="preserve">分以</w:t>
      </w:r>
      <w:r>
        <w:rPr>
          <w:rFonts w:hint="eastAsia" w:ascii="宋体" w:hAnsi="宋体" w:eastAsia="宋体" w:cs="宋体"/>
          <w:sz w:val="24"/>
          <w:szCs w:val="20"/>
          <w:highlight w:val="none"/>
          <w:lang w:val="en-US" w:eastAsia="zh-CN"/>
        </w:rPr>
        <w:t xml:space="preserve">下</w:t>
      </w:r>
      <w:r>
        <w:rPr>
          <w:rFonts w:hint="eastAsia" w:ascii="宋体" w:hAnsi="宋体" w:eastAsia="宋体" w:cs="宋体"/>
          <w:sz w:val="24"/>
          <w:szCs w:val="20"/>
          <w:highlight w:val="none"/>
        </w:rPr>
        <w:t xml:space="preserve">（</w:t>
      </w:r>
      <w:r>
        <w:rPr>
          <w:rFonts w:hint="eastAsia" w:ascii="宋体" w:hAnsi="宋体" w:eastAsia="宋体" w:cs="宋体"/>
          <w:sz w:val="24"/>
          <w:szCs w:val="20"/>
          <w:highlight w:val="none"/>
          <w:lang w:val="en-US" w:eastAsia="zh-CN"/>
        </w:rPr>
        <w:t xml:space="preserve">不</w:t>
      </w:r>
      <w:r>
        <w:rPr>
          <w:rFonts w:hint="eastAsia" w:ascii="宋体" w:hAnsi="宋体" w:eastAsia="宋体" w:cs="宋体"/>
          <w:sz w:val="24"/>
          <w:szCs w:val="20"/>
          <w:highlight w:val="none"/>
        </w:rPr>
        <w:t xml:space="preserve">含</w:t>
      </w:r>
      <w:r>
        <w:rPr>
          <w:rFonts w:hint="eastAsia" w:ascii="宋体" w:hAnsi="宋体" w:eastAsia="宋体" w:cs="宋体"/>
          <w:sz w:val="24"/>
          <w:szCs w:val="20"/>
          <w:highlight w:val="none"/>
          <w:lang w:val="en-US" w:eastAsia="zh-CN"/>
        </w:rPr>
        <w:t xml:space="preserve">96</w:t>
      </w:r>
      <w:r>
        <w:rPr>
          <w:rFonts w:hint="eastAsia" w:ascii="宋体" w:hAnsi="宋体" w:eastAsia="宋体" w:cs="宋体"/>
          <w:sz w:val="24"/>
          <w:szCs w:val="20"/>
          <w:highlight w:val="none"/>
        </w:rPr>
        <w:t xml:space="preserve">分）的，</w:t>
      </w:r>
      <w:r>
        <w:rPr>
          <w:rFonts w:hint="eastAsia" w:ascii="宋体" w:hAnsi="宋体" w:cs="宋体"/>
          <w:color w:val="000000"/>
          <w:sz w:val="24"/>
          <w:highlight w:val="none"/>
          <w:lang w:val="en-US" w:eastAsia="zh-CN"/>
        </w:rPr>
        <w:t xml:space="preserve">按每低1分扣1%的比例计算。例如；</w:t>
      </w:r>
      <w:r>
        <w:rPr>
          <w:rFonts w:hint="eastAsia" w:ascii="宋体" w:hAnsi="宋体" w:eastAsia="宋体" w:cs="宋体"/>
          <w:sz w:val="24"/>
          <w:szCs w:val="20"/>
          <w:highlight w:val="none"/>
        </w:rPr>
        <w:t xml:space="preserve">考核得分</w:t>
      </w:r>
      <w:r>
        <w:rPr>
          <w:rFonts w:hint="eastAsia" w:ascii="宋体" w:hAnsi="宋体" w:cs="宋体"/>
          <w:sz w:val="24"/>
          <w:szCs w:val="20"/>
          <w:highlight w:val="none"/>
          <w:lang w:val="en-US" w:eastAsia="zh-CN"/>
        </w:rPr>
        <w:t xml:space="preserve">为90分</w:t>
      </w:r>
      <w:r>
        <w:rPr>
          <w:rFonts w:hint="eastAsia" w:ascii="宋体" w:hAnsi="宋体" w:cs="宋体"/>
          <w:sz w:val="24"/>
          <w:szCs w:val="20"/>
          <w:highlight w:val="none"/>
          <w:lang w:eastAsia="zh-CN"/>
        </w:rPr>
        <w:t xml:space="preserve">，</w:t>
      </w:r>
      <w:r>
        <w:rPr>
          <w:rFonts w:hint="eastAsia" w:ascii="宋体" w:hAnsi="宋体" w:cs="宋体"/>
          <w:sz w:val="24"/>
          <w:szCs w:val="20"/>
          <w:highlight w:val="none"/>
          <w:lang w:val="en-US" w:eastAsia="zh-CN"/>
        </w:rPr>
        <w:t xml:space="preserve">扣除当月养护费的6%。</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三、绿地养护管理要点及内容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（一）园艺部分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1、树木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1.1生长旺盛，树干挺直，倾斜度不超过10度，树冠圆整，主侧枝分枝均匀，内膛通风透光；行道树分枝点统一、整齐；花灌木修剪及时合理。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1.2叶色正常，无卷叶、黄叶（生长季节），无病虫害；枝干健壮，无枯死枝，无蛀干害虫危害。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1.3无死树枯枝，缺株率在2%以下（含2%）。</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1.4树干伤口及时处理，树洞及时修补。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1.5树池规格一致，池缘整齐，完好无损。</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1.6涂白均匀，上口平齐，距地面1.2米。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1.7苗木扶正，要求对道路及绿地内歪斜苗木进行及时扶正。</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1.8生长季节连续20天无降雨需及时浇水或喷雾除尘，喷雾除尘时需结合使用植物清洗剂，提高植物鲜洁度。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1.9、5-10月每月修剪（或剥芽）二次，冬天整形修剪一次。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1.10 每年施厩肥一次。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2、草坪、地被</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2.1生长旺盛，色泽正常，覆盖率不低于95%，单块空秃面积不超过0.1平方米（0.3m*0.3m）。草坪绿色期：冷季型草坪不得少于300天，暖季型草坪不得少于210天。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2.2、5-10月每半月清除杂草一遍，冬季前再清除一遍，确保绿地内基本无杂草，杂草率不超过10%</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修剪及时，4月修剪一次，5-10月份冷季型草坪一月修剪两次，暖季型一个月一次，11月上旬一次。修剪高度符合要求，净高度冷季型草坪冬季不超过8cm，夏季不超过10cm，暖季型草坪夏季不超过8cm，冬季尽量低剪。</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2.4、地形平整，无坑，不积水。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2.5、草坪与模纹及苗木树穴之间界限清晰，切边线条流畅。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2.6、生长季节连续15天无降雨需及时浇水，确保无旱情；进入冬季前全面灌冬水一遍。</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2.7、每年施尿素、复合肥等4次以上，确保长势良好。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3、绿篱色块及球类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3.1生长旺盛，枝条茂密，色泽正常。</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3.2、“五一”前全面修剪一次，5—10月生长旺季随时修剪，新生萌蘖枝条不得高于2cm；修剪线条整齐划一，按设计要求严格控制高度，同一地段球类的形状、规格一致。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3.3、完整无缺，缺株空秃应及时补齐。</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3.4、生长季节连续15天无降雨需及时浇水，并结合使用植物清洗剂，冲刷除尘一次，确保植物无旱情并保持清洁度；进入冬季前全面灌冬水一遍。</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3.5、冬、春季及时清理越冬杂草，5—10月杂草生长旺季，随时清除，确保无明显杂草；冬季前再彻底清除一遍。</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3.6、生长季节每月叶面施肥一次；绿篱、色块、球类每年施厩肥二次，确保生长旺盛。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(二)病虫害防治部分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病虫害控制在不影响观赏效果的程度内，防治费用由乙方承担。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1、树木基本无明显的病虫害危害迹象，危害率在8％以下。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2、草坪、地被类地上地下无明显病虫危害迹象，危害率8％以下。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3、花坛内无严重地上地下无明显病虫危害现象，危害率8％以下。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4、绿篱色块及球类基本无明显病虫危害迹象，危害率5％以下。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(三)其他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1、园林设施完好无损，广场、体育设施、卫生间等完好，无乱贴乱画现象。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2、绿化生产垃圾能及时清运。</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3、秩序管理绿地内无设摊摆卖，无拴挂，无践踏绿地和其他破坏绿化的行为。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4、台账记录详细如实。</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5、确保甲方在上级各种检查以及各类创建评比活动中不失分，做到批评投诉少。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6、履行合同承诺，每分区绿地内有固定养护人员进行日常养护。</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7、养护单位须配备必要的种植、运输工具，负责养护范围内的树木修补、种植、迁移工作。</w:t>
      </w:r>
      <w:r/>
    </w:p>
    <w:p>
      <w:pPr>
        <w:ind w:firstLine="480"/>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8、做好养护范围内的森林防火工作，整治清理各种火险隐患，一旦出现火情，养护人员能积极参加相关扑救工作。</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9</w:t>
      </w:r>
      <w:r>
        <w:rPr>
          <w:rFonts w:hint="eastAsia" w:ascii="宋体" w:hAnsi="宋体" w:cs="宋体"/>
          <w:color w:val="000000"/>
          <w:sz w:val="24"/>
          <w:highlight w:val="none"/>
        </w:rPr>
        <w:t xml:space="preserve">、负责养护范围内的盆花、盆景及水生植物的修剪、施肥、除草、浇水等日常养护工作。</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10</w:t>
      </w:r>
      <w:r>
        <w:rPr>
          <w:rFonts w:hint="eastAsia" w:ascii="宋体" w:hAnsi="宋体" w:cs="宋体"/>
          <w:color w:val="000000"/>
          <w:sz w:val="24"/>
          <w:highlight w:val="none"/>
        </w:rPr>
        <w:t xml:space="preserve">、按要求每月将苗木生长情况及日常养护计划，人员安排计划上报业主 。</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11</w:t>
      </w:r>
      <w:r>
        <w:rPr>
          <w:rFonts w:hint="eastAsia" w:ascii="宋体" w:hAnsi="宋体" w:cs="宋体"/>
          <w:color w:val="000000"/>
          <w:sz w:val="24"/>
          <w:highlight w:val="none"/>
        </w:rPr>
        <w:t xml:space="preserve">、遭遇市政工程、重大活动时，乙方应派人员做好绿地的维护管理工作，保证绿化及设施完好。</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12</w:t>
      </w:r>
      <w:r>
        <w:rPr>
          <w:rFonts w:hint="eastAsia" w:ascii="宋体" w:hAnsi="宋体" w:cs="宋体"/>
          <w:color w:val="000000"/>
          <w:sz w:val="24"/>
          <w:highlight w:val="none"/>
        </w:rPr>
        <w:t xml:space="preserve">、及时缴纳水费电费，及时修复各类设备设施，</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四、工作人员要求</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最低工作人员配备要求：项目负责人</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人、现场养护管理工人最低配备</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人</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(6000平方米绿化配备1人)</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负责本项目的项目负责人常驻现场并不得同时兼任其他同类项目的项目负责人。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在总人数不变的情况下，合理安排乙方养护范围内重要景点的工作人员数量。工作人员具体要求如下；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l、工作人员应穿戴统一服装，遵守徐州市云龙区城市管理局管理区域内公共绿地园林养护管理及森林防火有关规定，施工现场有明显标志，有管理人员管理。甲方有权要求乙方调换认为不合格的人员。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2、工作人员必须严格执行安全操作规程，加强安全防护，妥善保管和使用农药等，因工作人员违规造成的安全责任由乙方承担。</w:t>
      </w:r>
      <w:r/>
    </w:p>
    <w:p>
      <w:pPr>
        <w:ind w:firstLine="480"/>
        <w:spacing w:line="360" w:lineRule="auto"/>
        <w:rPr>
          <w:rFonts w:hint="eastAsia"/>
          <w:color w:val="000000"/>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、工作人员在执行养护工作同时兼顾负责范围内的森林防火工作。</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、确保24小时应急服务和承诺服务工作，乙方有固定市区办公地点、值班人员及联系电话。</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五、考核验收标准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验收标准及考核办法依据《徐州市云龙区园林绿化管护考核办法》。养护质量标准：乙类二级。乙方未经甲方同意擅自转包，甲方有权终止承包合同。</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六、甲乙双方的权利和义务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(一)、甲方的权利和义务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1、甲方对乙方承包项目有实施日常检查、考核、管理的权利。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2、甲方可对乙方存在问题作限期整改要求，整改费用由乙方承担。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3、乙方如连续两次整改不合格，甲方有权终止乙方承包项目。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4、甲方检查人员必须公平、公开、公正检查考核。</w:t>
      </w:r>
      <w:r/>
    </w:p>
    <w:p>
      <w:pPr>
        <w:pStyle w:val="1213"/>
        <w:ind w:firstLine="300"/>
        <w:spacing w:line="360" w:lineRule="auto"/>
        <w:rPr>
          <w:rFonts w:hint="eastAsia" w:ascii="宋体" w:hAnsi="宋体" w:eastAsia="宋体" w:cs="宋体"/>
          <w:color w:val="000000"/>
          <w:sz w:val="24"/>
          <w:szCs w:val="24"/>
          <w:highlight w:val="none"/>
        </w:rPr>
      </w:pPr>
      <w:r/>
      <w:bookmarkStart w:id="1" w:name="_Hlk159406955"/>
      <w:r>
        <w:rPr>
          <w:rFonts w:hint="eastAsia"/>
          <w:color w:val="000000"/>
          <w:highlight w:val="none"/>
        </w:rPr>
        <w:t xml:space="preserve"> </w:t>
      </w:r>
      <w:r>
        <w:rPr>
          <w:rFonts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t xml:space="preserve">、甲方有权利要求乙方配合森林防火工作，完成相关整治任务。</w:t>
      </w:r>
      <w:bookmarkEnd w:id="1"/>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(二)、乙方的权利和义务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1、乙方应自觉接受甲方的检查、考核、指导和监督。</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2、乙方必须保证不得雇用18周岁以下和60周岁以上的养护人员、如出现乙方雇用18周岁以下和60周岁以上的养护人员，甲方有权单方终止合同。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3、乙方必须按照招标定员配备相关人员，如发现相关人员到岗率达不到招标定员要求，甲方有权单方终止合同并扣除合同保证金。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4、承包项目养护期间内，乙方所需要的作业、管理、机具停放等用房、用地由乙方自行解决。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5、乙方要加强工作人员的安全教育，完善相关措施，承包项目养护期间内如遇人身伤、亡事故，均由乙方负责，与甲方无关。</w:t>
      </w:r>
      <w:r/>
    </w:p>
    <w:p>
      <w:pPr>
        <w:pStyle w:val="1213"/>
        <w:ind w:firstLine="300"/>
        <w:spacing w:line="360" w:lineRule="auto"/>
        <w:rPr>
          <w:rFonts w:ascii="宋体" w:eastAsia="宋体" w:cs="宋体"/>
          <w:color w:val="000000"/>
          <w:sz w:val="24"/>
          <w:szCs w:val="24"/>
          <w:highlight w:val="none"/>
        </w:rPr>
      </w:pPr>
      <w:r>
        <w:rPr>
          <w:rFonts w:hint="eastAsia"/>
          <w:color w:val="000000"/>
          <w:highlight w:val="none"/>
        </w:rPr>
        <w:t xml:space="preserve"> </w:t>
      </w:r>
      <w:r>
        <w:rPr>
          <w:rFonts w:ascii="宋体" w:eastAsia="宋体" w:cs="宋体"/>
          <w:color w:val="000000"/>
          <w:sz w:val="24"/>
          <w:szCs w:val="24"/>
          <w:highlight w:val="none"/>
        </w:rPr>
        <w:t xml:space="preserve">6</w:t>
      </w:r>
      <w:r>
        <w:rPr>
          <w:rFonts w:hint="eastAsia" w:ascii="宋体" w:eastAsia="宋体" w:cs="宋体"/>
          <w:color w:val="000000"/>
          <w:sz w:val="24"/>
          <w:szCs w:val="24"/>
          <w:highlight w:val="none"/>
        </w:rPr>
        <w:t xml:space="preserve">、乙方要按照甲方防火工作的要求，保障管护区域的安全。</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七、其它</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 养护管理中，如出现养护管理不当或管理不到位造成</w:t>
      </w:r>
      <w:r>
        <w:rPr>
          <w:rFonts w:hint="eastAsia" w:ascii="宋体" w:hAnsi="宋体" w:cs="宋体"/>
          <w:color w:val="000000"/>
          <w:sz w:val="24"/>
          <w:highlight w:val="none"/>
          <w:lang w:val="en-US" w:eastAsia="zh-CN"/>
        </w:rPr>
        <w:t xml:space="preserve">一切安全事故</w:t>
      </w:r>
      <w:r>
        <w:rPr>
          <w:rFonts w:hint="eastAsia" w:ascii="宋体" w:hAnsi="宋体" w:cs="宋体"/>
          <w:color w:val="000000"/>
          <w:sz w:val="24"/>
          <w:highlight w:val="none"/>
        </w:rPr>
        <w:t xml:space="preserve">，由乙方承担全部责任，与甲方无关。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 在日常养护管理中，发现由于乙方养护或管理不当造成园林树木失去正常生长形态或死亡，乙方应及时进行处置、补植，补植的品种、规格应与原树木相同，费用由乙方承担。同时，甲方将在月考核总评分中加以惩罚性扣分。乙方如不及时进行处置、补植，甲方有权终止承包合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 合同执行过程中，如国家、省、市等有关部门对养护管理标准和要求等作出重大调整的，按调整后的标准和要求执行。因市政建设等绿化面积发生变化的，养护费用相应调整。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 发生下列情况之一的甲方将有权终止合同：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1、检查考核过程中，发现有转包或分包行为的：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2、合同期内不服从甲方或相关检查考核单位管理的；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3、全年累计二次考核不合格的；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4、因养护管理措施不当，全年累计被市级及以上新闻媒体曝光两次的；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5、因政府行为，辖区绿地管理权限调整的，合同终止或养护面积相应核减。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6、乙方未按甲方森林防火工作要求进行管护，造成森林火灾。</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八、附则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l、承包项目养护期内，任何一方无正当理由不得单方终止合同，如无正当理由终止合同，向对方支付年度承包项目费用5％的违约金。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2、本合同一式六份，甲方三份，乙方三份。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3、本合同自甲、乙双方签章后生效。</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甲方(公章)                          乙方(公章)   </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法定代表人：（签名）                法定代表人：（签名）</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授权人代表：（签名）                授权人代表：（签名）</w:t>
      </w:r>
      <w:r>
        <w:rPr>
          <w:rFonts w:hint="eastAsia" w:ascii="宋体" w:hAnsi="宋体" w:cs="宋体"/>
          <w:bCs/>
          <w:color w:val="000000"/>
          <w:sz w:val="24"/>
          <w:highlight w:val="none"/>
          <w:u w:val="none"/>
        </w:rPr>
        <w:t xml:space="preserve">      </w:t>
      </w:r>
      <w:r/>
    </w:p>
    <w:p>
      <w:pPr>
        <w:ind w:firstLine="2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                              地址：</w:t>
      </w:r>
      <w:r/>
    </w:p>
    <w:p>
      <w:pPr>
        <w:ind w:firstLine="2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邮编：                              邮编：</w:t>
      </w:r>
      <w:r/>
    </w:p>
    <w:p>
      <w:pPr>
        <w:ind w:firstLine="2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传真：                              传真：</w:t>
      </w:r>
      <w:r/>
    </w:p>
    <w:p>
      <w:pPr>
        <w:ind w:firstLine="2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电话：                              </w:t>
      </w:r>
      <w:r>
        <w:rPr>
          <w:rFonts w:hint="eastAsia" w:ascii="宋体" w:hAnsi="宋体" w:cs="宋体"/>
          <w:color w:val="000000"/>
          <w:sz w:val="24"/>
          <w:highlight w:val="none"/>
          <w:lang w:val="en-US" w:eastAsia="zh-CN"/>
        </w:rPr>
        <w:t xml:space="preserve">电话：</w:t>
      </w:r>
      <w:r/>
    </w:p>
    <w:p>
      <w:pPr>
        <w:pStyle w:val="1025"/>
        <w:jc w:val="center"/>
        <w:keepLines w:val="0"/>
        <w:keepNext w:val="0"/>
        <w:pageBreakBefore w:val="0"/>
        <w:spacing w:line="360" w:lineRule="auto"/>
        <w:widowControl w:val="off"/>
        <w:rPr>
          <w:rFonts w:hint="default" w:hAnsi="宋体" w:cs="宋体"/>
          <w:b/>
          <w:color w:val="000000" w:themeColor="text1"/>
          <w:sz w:val="32"/>
          <w:szCs w:val="32"/>
          <w:lang w:val="en-US" w:eastAsia="zh-CN"/>
          <w14:textFill>
            <w14:solidFill>
              <w14:schemeClr w14:val="tx1"/>
            </w14:solidFill>
          </w14:textFill>
        </w:rPr>
      </w:pPr>
      <w:r>
        <w:rPr>
          <w:rFonts w:hint="default" w:hAnsi="宋体" w:cs="宋体"/>
          <w:b/>
          <w:color w:val="000000" w:themeColor="text1"/>
          <w:sz w:val="32"/>
          <w:szCs w:val="32"/>
          <w:lang w:val="en-US" w:eastAsia="zh-CN"/>
          <w14:textFill>
            <w14:solidFill>
              <w14:schemeClr w14:val="tx1"/>
            </w14:solidFill>
          </w14:textFill>
        </w:rPr>
      </w:r>
      <w:r/>
    </w:p>
    <w:p>
      <w:pPr>
        <w:pStyle w:val="1025"/>
        <w:jc w:val="center"/>
        <w:keepLines w:val="0"/>
        <w:keepNext w:val="0"/>
        <w:pageBreakBefore w:val="0"/>
        <w:spacing w:line="360" w:lineRule="auto"/>
        <w:widowControl w:val="off"/>
        <w:rPr>
          <w:rFonts w:hint="default" w:hAnsi="宋体" w:cs="宋体"/>
          <w:b/>
          <w:color w:val="000000" w:themeColor="text1"/>
          <w:sz w:val="32"/>
          <w:szCs w:val="32"/>
          <w:lang w:val="en-US" w:eastAsia="zh-CN"/>
          <w14:textFill>
            <w14:solidFill>
              <w14:schemeClr w14:val="tx1"/>
            </w14:solidFill>
          </w14:textFill>
        </w:rPr>
      </w:pPr>
      <w:r>
        <w:rPr>
          <w:rFonts w:hint="default" w:hAnsi="宋体" w:cs="宋体"/>
          <w:b/>
          <w:color w:val="000000" w:themeColor="text1"/>
          <w:sz w:val="32"/>
          <w:szCs w:val="32"/>
          <w:lang w:val="en-US" w:eastAsia="zh-CN"/>
          <w14:textFill>
            <w14:solidFill>
              <w14:schemeClr w14:val="tx1"/>
            </w14:solidFill>
          </w14:textFill>
        </w:rPr>
      </w:r>
      <w:r/>
    </w:p>
    <w:p>
      <w:pPr>
        <w:rPr>
          <w:rFonts w:hint="eastAsia" w:hAnsi="宋体" w:cs="宋体"/>
          <w:b/>
          <w:color w:val="000000" w:themeColor="text1"/>
          <w:sz w:val="32"/>
          <w:szCs w:val="32"/>
          <w:lang w:val="en-US" w:eastAsia="zh-CN"/>
          <w14:textFill>
            <w14:solidFill>
              <w14:schemeClr w14:val="tx1"/>
            </w14:solidFill>
          </w14:textFill>
        </w:rPr>
      </w:pPr>
      <w:r>
        <w:rPr>
          <w:rFonts w:hint="eastAsia" w:hAnsi="宋体" w:cs="宋体"/>
          <w:b/>
          <w:color w:val="000000" w:themeColor="text1"/>
          <w:sz w:val="32"/>
          <w:szCs w:val="32"/>
          <w:lang w:val="en-US" w:eastAsia="zh-CN"/>
          <w14:textFill>
            <w14:solidFill>
              <w14:schemeClr w14:val="tx1"/>
            </w14:solidFill>
          </w14:textFill>
        </w:rPr>
        <w:br w:type="page" w:clear="all"/>
      </w:r>
      <w:r/>
    </w:p>
    <w:p>
      <w:pPr>
        <w:pStyle w:val="1025"/>
        <w:jc w:val="both"/>
        <w:keepLines w:val="0"/>
        <w:keepNext w:val="0"/>
        <w:pageBreakBefore w:val="0"/>
        <w:spacing w:line="360" w:lineRule="auto"/>
        <w:widowControl w:val="off"/>
        <w:rPr>
          <w:rFonts w:hint="eastAsia" w:hAnsi="宋体" w:cs="宋体"/>
          <w:b/>
          <w:color w:val="000000" w:themeColor="text1"/>
          <w:sz w:val="32"/>
          <w:szCs w:val="32"/>
          <w:lang w:val="en-US" w:eastAsia="zh-CN"/>
          <w14:textFill>
            <w14:solidFill>
              <w14:schemeClr w14:val="tx1"/>
            </w14:solidFill>
          </w14:textFill>
        </w:rPr>
      </w:pPr>
      <w:r>
        <w:rPr>
          <w:rFonts w:hint="eastAsia" w:hAnsi="宋体" w:cs="宋体"/>
          <w:b/>
          <w:color w:val="000000" w:themeColor="text1"/>
          <w:sz w:val="32"/>
          <w:szCs w:val="32"/>
          <w:lang w:val="en-US" w:eastAsia="zh-CN"/>
          <w14:textFill>
            <w14:solidFill>
              <w14:schemeClr w14:val="tx1"/>
            </w14:solidFill>
          </w14:textFill>
        </w:rPr>
        <w:t xml:space="preserve">附件1：</w:t>
      </w:r>
      <w:r/>
    </w:p>
    <w:p>
      <w:pPr>
        <w:jc w:val="center"/>
        <w:rPr>
          <w:rFonts w:hint="eastAsia"/>
          <w:b/>
          <w:bCs/>
          <w:sz w:val="28"/>
          <w:szCs w:val="28"/>
        </w:rPr>
      </w:pPr>
      <w:r>
        <w:rPr>
          <w:rFonts w:hint="eastAsia"/>
          <w:b/>
          <w:bCs/>
          <w:sz w:val="28"/>
          <w:szCs w:val="28"/>
          <w:lang w:val="en-US" w:eastAsia="zh-CN"/>
        </w:rPr>
        <w:t xml:space="preserve">xxx</w:t>
      </w:r>
      <w:r>
        <w:rPr>
          <w:rFonts w:hint="eastAsia"/>
          <w:b/>
          <w:bCs/>
          <w:sz w:val="28"/>
          <w:szCs w:val="28"/>
        </w:rPr>
        <w:t xml:space="preserve">年</w:t>
      </w:r>
      <w:r>
        <w:rPr>
          <w:rFonts w:hint="eastAsia"/>
          <w:b/>
          <w:bCs/>
          <w:sz w:val="28"/>
          <w:szCs w:val="28"/>
          <w:u w:val="single"/>
        </w:rPr>
        <w:t xml:space="preserve"> </w:t>
      </w:r>
      <w:r>
        <w:rPr>
          <w:rFonts w:hint="eastAsia"/>
          <w:b/>
          <w:bCs/>
          <w:sz w:val="28"/>
          <w:szCs w:val="28"/>
          <w:u w:val="single"/>
          <w:lang w:val="en-US" w:eastAsia="zh-CN"/>
        </w:rPr>
        <w:t xml:space="preserve">xxx</w:t>
      </w:r>
      <w:r>
        <w:rPr>
          <w:rFonts w:hint="eastAsia"/>
          <w:b/>
          <w:bCs/>
          <w:sz w:val="28"/>
          <w:szCs w:val="28"/>
          <w:u w:val="single"/>
        </w:rPr>
        <w:t xml:space="preserve"> </w:t>
      </w:r>
      <w:r>
        <w:rPr>
          <w:rFonts w:hint="eastAsia"/>
          <w:b/>
          <w:bCs/>
          <w:sz w:val="28"/>
          <w:szCs w:val="28"/>
        </w:rPr>
        <w:t xml:space="preserve">月份</w:t>
      </w:r>
      <w:r>
        <w:rPr>
          <w:rFonts w:hint="eastAsia"/>
          <w:b/>
          <w:bCs/>
          <w:sz w:val="28"/>
          <w:szCs w:val="28"/>
          <w:lang w:eastAsia="zh-CN"/>
        </w:rPr>
        <w:t xml:space="preserve">云龙区绿地养护（郭庄路、主城区、三环路以东等绿地）</w:t>
      </w:r>
      <w:r>
        <w:rPr>
          <w:rFonts w:hint="eastAsia"/>
          <w:b/>
          <w:bCs/>
          <w:sz w:val="28"/>
          <w:szCs w:val="28"/>
          <w:lang w:val="en-US" w:eastAsia="zh-CN"/>
        </w:rPr>
        <w:t xml:space="preserve">项目</w:t>
      </w:r>
      <w:r/>
    </w:p>
    <w:p>
      <w:pPr>
        <w:jc w:val="center"/>
        <w:rPr>
          <w:rFonts w:hint="eastAsia"/>
          <w:b w:val="0"/>
          <w:bCs w:val="0"/>
          <w:sz w:val="24"/>
          <w:szCs w:val="24"/>
          <w:lang w:eastAsia="zh-CN"/>
        </w:rPr>
      </w:pPr>
      <w:r>
        <w:rPr>
          <w:rFonts w:hint="eastAsia"/>
          <w:b w:val="0"/>
          <w:bCs w:val="0"/>
          <w:sz w:val="24"/>
          <w:szCs w:val="24"/>
          <w:lang w:eastAsia="zh-CN"/>
        </w:rPr>
      </w:r>
      <w:r/>
    </w:p>
    <w:p>
      <w:pPr>
        <w:jc w:val="center"/>
        <w:rPr>
          <w:rFonts w:hint="default"/>
          <w:b/>
          <w:bCs/>
          <w:sz w:val="21"/>
          <w:szCs w:val="21"/>
          <w:lang w:val="en-US" w:eastAsia="zh-CN"/>
        </w:rPr>
      </w:pPr>
      <w:r>
        <w:rPr>
          <w:rFonts w:hint="eastAsia"/>
          <w:b w:val="0"/>
          <w:bCs w:val="0"/>
          <w:sz w:val="24"/>
          <w:szCs w:val="24"/>
          <w:lang w:eastAsia="zh-CN"/>
        </w:rPr>
        <w:t xml:space="preserve">检查单位：云龙区园林绿化处</w:t>
      </w:r>
      <w:r>
        <w:rPr>
          <w:rFonts w:hint="eastAsia"/>
          <w:b w:val="0"/>
          <w:bCs w:val="0"/>
          <w:sz w:val="24"/>
          <w:szCs w:val="24"/>
          <w:lang w:val="en-US" w:eastAsia="zh-CN"/>
        </w:rPr>
        <w:t xml:space="preserve">                 检查时间：xxx年xx月xx日</w:t>
      </w:r>
      <w:r/>
    </w:p>
    <w:tbl>
      <w:tblPr>
        <w:tblStyle w:val="905"/>
        <w:tblW w:w="10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650"/>
        <w:gridCol w:w="720"/>
        <w:gridCol w:w="4050"/>
        <w:gridCol w:w="1045"/>
        <w:gridCol w:w="890"/>
        <w:gridCol w:w="960"/>
      </w:tblGrid>
      <w:tr>
        <w:trPr>
          <w:jc w:val="center"/>
          <w:trHeight w:val="679"/>
        </w:trPr>
        <w:tc>
          <w:tcPr>
            <w:tcW w:w="975" w:type="dxa"/>
            <w:vAlign w:val="center"/>
            <w:textDirection w:val="lrTb"/>
            <w:noWrap w:val="false"/>
          </w:tcPr>
          <w:p>
            <w:pPr>
              <w:ind w:right="-330"/>
              <w:rPr>
                <w:rFonts w:hint="eastAsia"/>
                <w:b/>
                <w:bCs/>
                <w:szCs w:val="21"/>
              </w:rPr>
            </w:pPr>
            <w:r>
              <w:rPr>
                <w:rFonts w:hint="eastAsia"/>
                <w:b/>
                <w:bCs/>
                <w:szCs w:val="21"/>
              </w:rPr>
              <w:t xml:space="preserve"> 考核</w:t>
            </w:r>
            <w:r/>
          </w:p>
          <w:p>
            <w:pPr>
              <w:ind w:right="-330"/>
              <w:rPr>
                <w:rFonts w:hint="eastAsia"/>
                <w:b/>
                <w:bCs/>
                <w:szCs w:val="21"/>
              </w:rPr>
            </w:pPr>
            <w:r>
              <w:rPr>
                <w:rFonts w:hint="eastAsia"/>
                <w:b/>
                <w:bCs/>
                <w:szCs w:val="21"/>
              </w:rPr>
              <w:t xml:space="preserve"> 项目</w:t>
            </w:r>
            <w:r/>
          </w:p>
        </w:tc>
        <w:tc>
          <w:tcPr>
            <w:tcW w:w="1650" w:type="dxa"/>
            <w:vAlign w:val="center"/>
            <w:textDirection w:val="lrTb"/>
            <w:noWrap w:val="false"/>
          </w:tcPr>
          <w:p>
            <w:pPr>
              <w:ind w:right="-374"/>
              <w:rPr>
                <w:rFonts w:hint="eastAsia"/>
                <w:b/>
                <w:bCs/>
                <w:szCs w:val="21"/>
              </w:rPr>
            </w:pPr>
            <w:r>
              <w:rPr>
                <w:rFonts w:hint="eastAsia"/>
                <w:b/>
                <w:bCs/>
                <w:szCs w:val="21"/>
              </w:rPr>
              <w:t xml:space="preserve">    考核内容</w:t>
            </w:r>
            <w:r/>
          </w:p>
        </w:tc>
        <w:tc>
          <w:tcPr>
            <w:tcW w:w="720" w:type="dxa"/>
            <w:vAlign w:val="center"/>
            <w:textDirection w:val="lrTb"/>
            <w:noWrap w:val="false"/>
          </w:tcPr>
          <w:p>
            <w:pPr>
              <w:jc w:val="center"/>
              <w:rPr>
                <w:rFonts w:hint="eastAsia"/>
                <w:b/>
                <w:bCs/>
                <w:szCs w:val="21"/>
              </w:rPr>
            </w:pPr>
            <w:r>
              <w:rPr>
                <w:rFonts w:hint="eastAsia"/>
                <w:b/>
                <w:bCs/>
                <w:szCs w:val="21"/>
              </w:rPr>
              <w:t xml:space="preserve">分值</w:t>
            </w:r>
            <w:r/>
          </w:p>
        </w:tc>
        <w:tc>
          <w:tcPr>
            <w:tcW w:w="4050" w:type="dxa"/>
            <w:vAlign w:val="center"/>
            <w:textDirection w:val="lrTb"/>
            <w:noWrap w:val="false"/>
          </w:tcPr>
          <w:p>
            <w:pPr>
              <w:jc w:val="center"/>
              <w:rPr>
                <w:rFonts w:hint="eastAsia"/>
                <w:b/>
                <w:bCs/>
                <w:szCs w:val="21"/>
              </w:rPr>
            </w:pPr>
            <w:r>
              <w:rPr>
                <w:rFonts w:hint="eastAsia"/>
                <w:b/>
                <w:bCs/>
                <w:szCs w:val="21"/>
              </w:rPr>
              <w:t xml:space="preserve">项目</w:t>
            </w:r>
            <w:r/>
          </w:p>
          <w:p>
            <w:pPr>
              <w:jc w:val="center"/>
              <w:rPr>
                <w:rFonts w:hint="eastAsia"/>
                <w:b/>
                <w:bCs/>
                <w:szCs w:val="21"/>
              </w:rPr>
            </w:pPr>
            <w:r>
              <w:rPr>
                <w:rFonts w:hint="eastAsia"/>
                <w:b/>
                <w:bCs/>
                <w:szCs w:val="21"/>
              </w:rPr>
              <w:t xml:space="preserve">扣分标准</w:t>
            </w:r>
            <w:r/>
          </w:p>
        </w:tc>
        <w:tc>
          <w:tcPr>
            <w:tcW w:w="1045" w:type="dxa"/>
            <w:vAlign w:val="center"/>
            <w:textDirection w:val="lrTb"/>
            <w:noWrap w:val="false"/>
          </w:tcPr>
          <w:p>
            <w:pPr>
              <w:jc w:val="center"/>
              <w:rPr>
                <w:rFonts w:hint="eastAsia"/>
                <w:b/>
                <w:bCs/>
                <w:szCs w:val="21"/>
              </w:rPr>
            </w:pPr>
            <w:r>
              <w:rPr>
                <w:rFonts w:hint="eastAsia"/>
                <w:b/>
                <w:bCs/>
                <w:szCs w:val="21"/>
              </w:rPr>
              <w:t xml:space="preserve">单位</w:t>
            </w:r>
            <w:r/>
          </w:p>
          <w:p>
            <w:pPr>
              <w:jc w:val="center"/>
              <w:rPr>
                <w:rFonts w:hint="eastAsia"/>
                <w:b/>
                <w:bCs/>
                <w:szCs w:val="21"/>
              </w:rPr>
            </w:pPr>
            <w:r>
              <w:rPr>
                <w:rFonts w:hint="eastAsia"/>
                <w:b/>
                <w:bCs/>
                <w:szCs w:val="21"/>
              </w:rPr>
              <w:t xml:space="preserve">分值</w:t>
            </w:r>
            <w:r/>
          </w:p>
        </w:tc>
        <w:tc>
          <w:tcPr>
            <w:tcW w:w="890" w:type="dxa"/>
            <w:vAlign w:val="center"/>
            <w:textDirection w:val="lrTb"/>
            <w:noWrap w:val="false"/>
          </w:tcPr>
          <w:p>
            <w:pPr>
              <w:jc w:val="center"/>
              <w:rPr>
                <w:rFonts w:hint="eastAsia"/>
                <w:b/>
                <w:bCs/>
                <w:szCs w:val="21"/>
              </w:rPr>
            </w:pPr>
            <w:r>
              <w:rPr>
                <w:rFonts w:hint="eastAsia"/>
                <w:b/>
                <w:bCs/>
                <w:szCs w:val="21"/>
              </w:rPr>
              <w:t xml:space="preserve">扣分</w:t>
            </w:r>
            <w:r/>
          </w:p>
        </w:tc>
        <w:tc>
          <w:tcPr>
            <w:tcW w:w="960" w:type="dxa"/>
            <w:vAlign w:val="center"/>
            <w:textDirection w:val="lrTb"/>
            <w:noWrap w:val="false"/>
          </w:tcPr>
          <w:p>
            <w:pPr>
              <w:jc w:val="center"/>
              <w:rPr>
                <w:rFonts w:hint="eastAsia"/>
                <w:b/>
                <w:bCs/>
                <w:szCs w:val="21"/>
              </w:rPr>
            </w:pPr>
            <w:r>
              <w:rPr>
                <w:rFonts w:hint="eastAsia"/>
                <w:b/>
                <w:bCs/>
                <w:szCs w:val="21"/>
              </w:rPr>
              <w:t xml:space="preserve">项目</w:t>
            </w:r>
            <w:r/>
          </w:p>
          <w:p>
            <w:pPr>
              <w:jc w:val="center"/>
              <w:rPr>
                <w:rFonts w:hint="eastAsia"/>
                <w:b/>
                <w:bCs/>
                <w:szCs w:val="21"/>
              </w:rPr>
            </w:pPr>
            <w:r>
              <w:rPr>
                <w:rFonts w:hint="eastAsia"/>
                <w:b/>
                <w:bCs/>
                <w:szCs w:val="21"/>
              </w:rPr>
              <w:t xml:space="preserve">得分</w:t>
            </w:r>
            <w:r/>
          </w:p>
        </w:tc>
      </w:tr>
      <w:tr>
        <w:trPr>
          <w:jc w:val="center"/>
          <w:trHeight w:val="510"/>
        </w:trPr>
        <w:tc>
          <w:tcPr>
            <w:tcW w:w="975" w:type="dxa"/>
            <w:vAlign w:val="center"/>
            <w:vMerge w:val="restart"/>
            <w:textDirection w:val="lrTb"/>
            <w:noWrap w:val="false"/>
          </w:tcPr>
          <w:p>
            <w:pPr>
              <w:jc w:val="center"/>
              <w:rPr>
                <w:rFonts w:hint="eastAsia"/>
                <w:sz w:val="18"/>
                <w:szCs w:val="18"/>
              </w:rPr>
            </w:pPr>
            <w:r>
              <w:rPr>
                <w:rFonts w:hint="eastAsia"/>
                <w:sz w:val="18"/>
                <w:szCs w:val="18"/>
              </w:rPr>
            </w:r>
            <w:r/>
          </w:p>
          <w:p>
            <w:pPr>
              <w:jc w:val="center"/>
              <w:rPr>
                <w:rFonts w:hint="eastAsia"/>
                <w:sz w:val="18"/>
                <w:szCs w:val="18"/>
              </w:rPr>
            </w:pPr>
            <w:r>
              <w:rPr>
                <w:rFonts w:hint="eastAsia"/>
                <w:sz w:val="18"/>
                <w:szCs w:val="18"/>
              </w:rPr>
              <w:t xml:space="preserve">园</w:t>
            </w:r>
            <w:r/>
          </w:p>
          <w:p>
            <w:pPr>
              <w:jc w:val="center"/>
              <w:rPr>
                <w:rFonts w:hint="eastAsia"/>
                <w:sz w:val="18"/>
                <w:szCs w:val="18"/>
              </w:rPr>
            </w:pPr>
            <w:r>
              <w:rPr>
                <w:rFonts w:hint="eastAsia"/>
                <w:sz w:val="18"/>
                <w:szCs w:val="18"/>
              </w:rPr>
              <w:t xml:space="preserve">艺</w:t>
            </w:r>
            <w:r/>
          </w:p>
          <w:p>
            <w:pPr>
              <w:jc w:val="center"/>
              <w:rPr>
                <w:rFonts w:hint="eastAsia"/>
                <w:sz w:val="18"/>
                <w:szCs w:val="18"/>
              </w:rPr>
            </w:pPr>
            <w:r>
              <w:rPr>
                <w:rFonts w:hint="eastAsia"/>
                <w:sz w:val="18"/>
                <w:szCs w:val="18"/>
              </w:rPr>
              <w:t xml:space="preserve">管</w:t>
            </w:r>
            <w:r/>
          </w:p>
          <w:p>
            <w:pPr>
              <w:jc w:val="center"/>
              <w:rPr>
                <w:rFonts w:hint="eastAsia"/>
                <w:sz w:val="18"/>
                <w:szCs w:val="18"/>
              </w:rPr>
            </w:pPr>
            <w:r>
              <w:rPr>
                <w:rFonts w:hint="eastAsia"/>
                <w:sz w:val="18"/>
                <w:szCs w:val="18"/>
              </w:rPr>
              <w:t xml:space="preserve">理</w:t>
            </w:r>
            <w:r/>
          </w:p>
          <w:p>
            <w:pPr>
              <w:jc w:val="center"/>
              <w:rPr>
                <w:rFonts w:hint="eastAsia"/>
                <w:sz w:val="18"/>
                <w:szCs w:val="18"/>
              </w:rPr>
            </w:pPr>
            <w:r>
              <w:rPr>
                <w:rFonts w:hint="eastAsia"/>
                <w:sz w:val="18"/>
                <w:szCs w:val="18"/>
              </w:rPr>
              <w:t xml:space="preserve">（50）</w:t>
            </w:r>
            <w:r/>
          </w:p>
        </w:tc>
        <w:tc>
          <w:tcPr>
            <w:tcW w:w="1650" w:type="dxa"/>
            <w:vAlign w:val="center"/>
            <w:textDirection w:val="lrTb"/>
            <w:noWrap w:val="false"/>
          </w:tcPr>
          <w:p>
            <w:pPr>
              <w:jc w:val="center"/>
              <w:rPr>
                <w:rFonts w:hint="eastAsia"/>
                <w:sz w:val="18"/>
                <w:szCs w:val="18"/>
              </w:rPr>
            </w:pPr>
            <w:r>
              <w:rPr>
                <w:rFonts w:hint="eastAsia"/>
                <w:sz w:val="18"/>
                <w:szCs w:val="18"/>
              </w:rPr>
              <w:t xml:space="preserve">草坪修剪</w:t>
            </w:r>
            <w:r/>
          </w:p>
        </w:tc>
        <w:tc>
          <w:tcPr>
            <w:tcW w:w="720" w:type="dxa"/>
            <w:vAlign w:val="center"/>
            <w:textDirection w:val="lrTb"/>
            <w:noWrap w:val="false"/>
          </w:tcPr>
          <w:p>
            <w:pPr>
              <w:jc w:val="center"/>
              <w:rPr>
                <w:rFonts w:hint="eastAsia"/>
                <w:sz w:val="18"/>
                <w:szCs w:val="18"/>
              </w:rPr>
            </w:pPr>
            <w:r>
              <w:rPr>
                <w:rFonts w:hint="eastAsia"/>
                <w:sz w:val="18"/>
                <w:szCs w:val="18"/>
              </w:rPr>
              <w:t xml:space="preserve">6</w:t>
            </w:r>
            <w:r/>
          </w:p>
        </w:tc>
        <w:tc>
          <w:tcPr>
            <w:tcW w:w="4050" w:type="dxa"/>
            <w:vAlign w:val="center"/>
            <w:textDirection w:val="lrTb"/>
            <w:noWrap w:val="false"/>
          </w:tcPr>
          <w:p>
            <w:pPr>
              <w:jc w:val="center"/>
              <w:rPr>
                <w:rFonts w:hint="eastAsia"/>
                <w:sz w:val="18"/>
                <w:szCs w:val="18"/>
              </w:rPr>
            </w:pPr>
            <w:r>
              <w:rPr>
                <w:rFonts w:hint="eastAsia"/>
                <w:sz w:val="18"/>
                <w:szCs w:val="18"/>
              </w:rPr>
              <w:t xml:space="preserve">草坪未及时修剪，高度超过8厘米</w:t>
            </w:r>
            <w:r/>
          </w:p>
        </w:tc>
        <w:tc>
          <w:tcPr>
            <w:tcW w:w="1045" w:type="dxa"/>
            <w:vAlign w:val="center"/>
            <w:textDirection w:val="lrTb"/>
            <w:noWrap w:val="false"/>
          </w:tcPr>
          <w:p>
            <w:pPr>
              <w:jc w:val="center"/>
              <w:rPr>
                <w:rFonts w:hint="eastAsia" w:ascii="宋体" w:hAnsi="宋体" w:cs="宋体"/>
                <w:sz w:val="18"/>
                <w:szCs w:val="18"/>
              </w:rPr>
            </w:pPr>
            <w:r>
              <w:rPr>
                <w:rFonts w:hint="eastAsia"/>
                <w:sz w:val="18"/>
                <w:szCs w:val="18"/>
              </w:rPr>
              <w:t xml:space="preserve">0.5分</w:t>
            </w:r>
            <w:r>
              <w:rPr>
                <w:rFonts w:hint="eastAsia" w:ascii="宋体" w:hAnsi="宋体" w:cs="宋体"/>
                <w:sz w:val="18"/>
                <w:szCs w:val="18"/>
              </w:rPr>
              <w:t xml:space="preserve">/</w:t>
            </w:r>
            <w:r/>
          </w:p>
          <w:p>
            <w:pPr>
              <w:rPr>
                <w:rFonts w:hint="eastAsia"/>
                <w:sz w:val="18"/>
                <w:szCs w:val="18"/>
              </w:rPr>
            </w:pPr>
            <w:r>
              <w:rPr>
                <w:rFonts w:hint="eastAsia" w:ascii="宋体" w:hAnsi="宋体" w:cs="宋体"/>
                <w:sz w:val="18"/>
                <w:szCs w:val="18"/>
              </w:rPr>
              <w:t xml:space="preserve">  平方</w:t>
            </w:r>
            <w:r/>
          </w:p>
        </w:tc>
        <w:tc>
          <w:tcPr>
            <w:tcW w:w="89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花灌木、藤类修剪</w:t>
            </w:r>
            <w:r/>
          </w:p>
        </w:tc>
        <w:tc>
          <w:tcPr>
            <w:tcW w:w="720" w:type="dxa"/>
            <w:vAlign w:val="center"/>
            <w:textDirection w:val="lrTb"/>
            <w:noWrap w:val="false"/>
          </w:tcPr>
          <w:p>
            <w:pPr>
              <w:jc w:val="center"/>
              <w:rPr>
                <w:rFonts w:hint="eastAsia"/>
                <w:sz w:val="18"/>
                <w:szCs w:val="18"/>
              </w:rPr>
            </w:pPr>
            <w:r>
              <w:rPr>
                <w:rFonts w:hint="eastAsia"/>
                <w:sz w:val="18"/>
                <w:szCs w:val="18"/>
              </w:rPr>
              <w:t xml:space="preserve">6</w:t>
            </w:r>
            <w:r/>
          </w:p>
        </w:tc>
        <w:tc>
          <w:tcPr>
            <w:tcW w:w="4050" w:type="dxa"/>
            <w:vAlign w:val="center"/>
            <w:textDirection w:val="lrTb"/>
            <w:noWrap w:val="false"/>
          </w:tcPr>
          <w:p>
            <w:pPr>
              <w:jc w:val="center"/>
              <w:rPr>
                <w:rFonts w:hint="eastAsia"/>
                <w:sz w:val="18"/>
                <w:szCs w:val="18"/>
              </w:rPr>
            </w:pPr>
            <w:r>
              <w:rPr>
                <w:rFonts w:hint="eastAsia"/>
                <w:sz w:val="18"/>
                <w:szCs w:val="18"/>
              </w:rPr>
              <w:t xml:space="preserve">未及时抹芽，有徒长枝、</w:t>
            </w:r>
            <w:r/>
          </w:p>
          <w:p>
            <w:pPr>
              <w:jc w:val="center"/>
              <w:rPr>
                <w:rFonts w:hint="eastAsia"/>
                <w:sz w:val="18"/>
                <w:szCs w:val="18"/>
              </w:rPr>
            </w:pPr>
            <w:r>
              <w:rPr>
                <w:rFonts w:hint="eastAsia"/>
                <w:sz w:val="18"/>
                <w:szCs w:val="18"/>
              </w:rPr>
              <w:t xml:space="preserve">枯死枝、病虫枝等</w:t>
            </w:r>
            <w:r/>
          </w:p>
        </w:tc>
        <w:tc>
          <w:tcPr>
            <w:tcW w:w="1045" w:type="dxa"/>
            <w:vAlign w:val="center"/>
            <w:textDirection w:val="lrTb"/>
            <w:noWrap w:val="false"/>
          </w:tcPr>
          <w:p>
            <w:pPr>
              <w:jc w:val="center"/>
              <w:rPr>
                <w:rFonts w:hint="eastAsia" w:ascii="宋体" w:hAnsi="宋体" w:cs="宋体"/>
                <w:sz w:val="18"/>
                <w:szCs w:val="18"/>
              </w:rPr>
            </w:pPr>
            <w:r>
              <w:rPr>
                <w:rFonts w:hint="eastAsia"/>
                <w:sz w:val="18"/>
                <w:szCs w:val="18"/>
              </w:rPr>
              <w:t xml:space="preserve">0.5分</w:t>
            </w:r>
            <w:r>
              <w:rPr>
                <w:rFonts w:hint="eastAsia" w:ascii="宋体" w:hAnsi="宋体" w:cs="宋体"/>
                <w:sz w:val="18"/>
                <w:szCs w:val="18"/>
              </w:rPr>
              <w:t xml:space="preserve">/</w:t>
            </w:r>
            <w:r/>
          </w:p>
          <w:p>
            <w:pPr>
              <w:jc w:val="center"/>
              <w:rPr>
                <w:rFonts w:hint="eastAsia"/>
                <w:sz w:val="18"/>
                <w:szCs w:val="18"/>
              </w:rPr>
            </w:pPr>
            <w:r>
              <w:rPr>
                <w:rFonts w:hint="eastAsia" w:ascii="宋体" w:hAnsi="宋体" w:cs="宋体"/>
                <w:sz w:val="18"/>
                <w:szCs w:val="18"/>
              </w:rPr>
              <w:t xml:space="preserve">株</w:t>
            </w:r>
            <w:r/>
          </w:p>
        </w:tc>
        <w:tc>
          <w:tcPr>
            <w:tcW w:w="89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球类、绿篱修剪</w:t>
            </w:r>
            <w:r/>
          </w:p>
        </w:tc>
        <w:tc>
          <w:tcPr>
            <w:tcW w:w="720" w:type="dxa"/>
            <w:vAlign w:val="center"/>
            <w:textDirection w:val="lrTb"/>
            <w:noWrap w:val="false"/>
          </w:tcPr>
          <w:p>
            <w:pPr>
              <w:jc w:val="center"/>
              <w:rPr>
                <w:rFonts w:hint="eastAsia"/>
                <w:sz w:val="18"/>
                <w:szCs w:val="18"/>
              </w:rPr>
            </w:pPr>
            <w:r>
              <w:rPr>
                <w:rFonts w:hint="eastAsia"/>
                <w:sz w:val="18"/>
                <w:szCs w:val="18"/>
              </w:rPr>
              <w:t xml:space="preserve">6</w:t>
            </w:r>
            <w:r/>
          </w:p>
        </w:tc>
        <w:tc>
          <w:tcPr>
            <w:tcW w:w="4050" w:type="dxa"/>
            <w:vAlign w:val="center"/>
            <w:textDirection w:val="lrTb"/>
            <w:noWrap w:val="false"/>
          </w:tcPr>
          <w:p>
            <w:pPr>
              <w:jc w:val="center"/>
              <w:rPr>
                <w:rFonts w:hint="eastAsia"/>
                <w:sz w:val="18"/>
                <w:szCs w:val="18"/>
              </w:rPr>
            </w:pPr>
            <w:r>
              <w:rPr>
                <w:rFonts w:hint="eastAsia"/>
                <w:sz w:val="18"/>
                <w:szCs w:val="18"/>
              </w:rPr>
              <w:t xml:space="preserve">未及时修剪，不能做到整齐一致</w:t>
            </w:r>
            <w:r/>
          </w:p>
        </w:tc>
        <w:tc>
          <w:tcPr>
            <w:tcW w:w="1045" w:type="dxa"/>
            <w:vAlign w:val="center"/>
            <w:textDirection w:val="lrTb"/>
            <w:noWrap w:val="false"/>
          </w:tcPr>
          <w:p>
            <w:pPr>
              <w:jc w:val="center"/>
              <w:rPr>
                <w:rFonts w:hint="eastAsia" w:ascii="宋体" w:hAnsi="宋体" w:cs="宋体"/>
                <w:sz w:val="18"/>
                <w:szCs w:val="18"/>
              </w:rPr>
            </w:pPr>
            <w:r>
              <w:rPr>
                <w:rFonts w:hint="eastAsia"/>
                <w:sz w:val="18"/>
                <w:szCs w:val="18"/>
              </w:rPr>
              <w:t xml:space="preserve">0.5分</w:t>
            </w:r>
            <w:r>
              <w:rPr>
                <w:rFonts w:hint="eastAsia" w:ascii="宋体" w:hAnsi="宋体" w:cs="宋体"/>
                <w:sz w:val="18"/>
                <w:szCs w:val="18"/>
              </w:rPr>
              <w:t xml:space="preserve">/</w:t>
            </w:r>
            <w:r/>
          </w:p>
          <w:p>
            <w:pPr>
              <w:jc w:val="center"/>
              <w:rPr>
                <w:rFonts w:hint="eastAsia"/>
                <w:sz w:val="18"/>
                <w:szCs w:val="18"/>
              </w:rPr>
            </w:pPr>
            <w:r>
              <w:rPr>
                <w:rFonts w:hint="eastAsia" w:ascii="宋体" w:hAnsi="宋体" w:cs="宋体"/>
                <w:sz w:val="18"/>
                <w:szCs w:val="18"/>
              </w:rPr>
              <w:t xml:space="preserve">株或米</w:t>
            </w:r>
            <w:r/>
          </w:p>
        </w:tc>
        <w:tc>
          <w:tcPr>
            <w:tcW w:w="89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乔木整型修剪</w:t>
            </w:r>
            <w:r/>
          </w:p>
        </w:tc>
        <w:tc>
          <w:tcPr>
            <w:tcW w:w="720" w:type="dxa"/>
            <w:vAlign w:val="center"/>
            <w:textDirection w:val="lrTb"/>
            <w:noWrap w:val="false"/>
          </w:tcPr>
          <w:p>
            <w:pPr>
              <w:jc w:val="center"/>
              <w:rPr>
                <w:rFonts w:hint="eastAsia"/>
                <w:sz w:val="18"/>
                <w:szCs w:val="18"/>
              </w:rPr>
            </w:pPr>
            <w:r>
              <w:rPr>
                <w:rFonts w:hint="eastAsia"/>
                <w:sz w:val="18"/>
                <w:szCs w:val="18"/>
              </w:rPr>
              <w:t xml:space="preserve">6</w:t>
            </w:r>
            <w:r/>
          </w:p>
        </w:tc>
        <w:tc>
          <w:tcPr>
            <w:tcW w:w="4050" w:type="dxa"/>
            <w:vAlign w:val="center"/>
            <w:textDirection w:val="lrTb"/>
            <w:noWrap w:val="false"/>
          </w:tcPr>
          <w:p>
            <w:pPr>
              <w:jc w:val="center"/>
              <w:rPr>
                <w:rFonts w:hint="eastAsia"/>
                <w:sz w:val="18"/>
                <w:szCs w:val="18"/>
              </w:rPr>
            </w:pPr>
            <w:r>
              <w:rPr>
                <w:rFonts w:hint="eastAsia"/>
                <w:sz w:val="18"/>
                <w:szCs w:val="18"/>
              </w:rPr>
              <w:t xml:space="preserve">未及时抹芽，有过密枝、徒长枝、枯死枝、</w:t>
            </w:r>
            <w:r/>
          </w:p>
          <w:p>
            <w:pPr>
              <w:jc w:val="center"/>
              <w:rPr>
                <w:rFonts w:hint="eastAsia"/>
                <w:sz w:val="18"/>
                <w:szCs w:val="18"/>
              </w:rPr>
            </w:pPr>
            <w:r>
              <w:rPr>
                <w:rFonts w:hint="eastAsia"/>
                <w:sz w:val="18"/>
                <w:szCs w:val="18"/>
              </w:rPr>
              <w:t xml:space="preserve">病虫枝等</w:t>
            </w:r>
            <w:r/>
          </w:p>
        </w:tc>
        <w:tc>
          <w:tcPr>
            <w:tcW w:w="104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/株</w:t>
            </w:r>
            <w:r/>
          </w:p>
        </w:tc>
        <w:tc>
          <w:tcPr>
            <w:tcW w:w="89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雨季苗木</w:t>
            </w:r>
            <w:r/>
          </w:p>
          <w:p>
            <w:pPr>
              <w:jc w:val="center"/>
              <w:rPr>
                <w:rFonts w:hint="eastAsia"/>
                <w:sz w:val="18"/>
                <w:szCs w:val="18"/>
              </w:rPr>
            </w:pPr>
            <w:r>
              <w:rPr>
                <w:rFonts w:hint="eastAsia"/>
                <w:sz w:val="18"/>
                <w:szCs w:val="18"/>
              </w:rPr>
              <w:t xml:space="preserve">调整与补植</w:t>
            </w:r>
            <w:r/>
          </w:p>
        </w:tc>
        <w:tc>
          <w:tcPr>
            <w:tcW w:w="720" w:type="dxa"/>
            <w:vAlign w:val="center"/>
            <w:textDirection w:val="lrTb"/>
            <w:noWrap w:val="false"/>
          </w:tcPr>
          <w:p>
            <w:pPr>
              <w:jc w:val="center"/>
              <w:rPr>
                <w:rFonts w:hint="eastAsia"/>
                <w:sz w:val="18"/>
                <w:szCs w:val="18"/>
              </w:rPr>
            </w:pPr>
            <w:r>
              <w:rPr>
                <w:rFonts w:hint="eastAsia"/>
                <w:sz w:val="18"/>
                <w:szCs w:val="18"/>
              </w:rPr>
              <w:t xml:space="preserve">4</w:t>
            </w:r>
            <w:r/>
          </w:p>
        </w:tc>
        <w:tc>
          <w:tcPr>
            <w:tcW w:w="4050" w:type="dxa"/>
            <w:vAlign w:val="center"/>
            <w:textDirection w:val="lrTb"/>
            <w:noWrap w:val="false"/>
          </w:tcPr>
          <w:p>
            <w:pPr>
              <w:jc w:val="center"/>
              <w:rPr>
                <w:rFonts w:hint="eastAsia"/>
                <w:sz w:val="18"/>
                <w:szCs w:val="18"/>
              </w:rPr>
            </w:pPr>
            <w:r>
              <w:rPr>
                <w:rFonts w:hint="eastAsia"/>
                <w:sz w:val="18"/>
                <w:szCs w:val="18"/>
              </w:rPr>
              <w:t xml:space="preserve">在雨季未及时进行苗木补植</w:t>
            </w:r>
            <w:r/>
          </w:p>
        </w:tc>
        <w:tc>
          <w:tcPr>
            <w:tcW w:w="104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/平方（株）</w:t>
            </w:r>
            <w:r/>
          </w:p>
        </w:tc>
        <w:tc>
          <w:tcPr>
            <w:tcW w:w="89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雨季排涝</w:t>
            </w:r>
            <w:r/>
          </w:p>
          <w:p>
            <w:pPr>
              <w:jc w:val="center"/>
              <w:rPr>
                <w:rFonts w:hint="eastAsia"/>
                <w:sz w:val="18"/>
                <w:szCs w:val="18"/>
              </w:rPr>
            </w:pPr>
            <w:r>
              <w:rPr>
                <w:rFonts w:hint="eastAsia"/>
                <w:sz w:val="18"/>
                <w:szCs w:val="18"/>
              </w:rPr>
              <w:t xml:space="preserve">（或抗旱浇水）</w:t>
            </w:r>
            <w:r/>
          </w:p>
        </w:tc>
        <w:tc>
          <w:tcPr>
            <w:tcW w:w="720" w:type="dxa"/>
            <w:vAlign w:val="center"/>
            <w:textDirection w:val="lrTb"/>
            <w:noWrap w:val="false"/>
          </w:tcPr>
          <w:p>
            <w:pPr>
              <w:jc w:val="center"/>
              <w:rPr>
                <w:rFonts w:hint="eastAsia"/>
                <w:sz w:val="18"/>
                <w:szCs w:val="18"/>
              </w:rPr>
            </w:pPr>
            <w:r>
              <w:rPr>
                <w:rFonts w:hint="eastAsia"/>
                <w:sz w:val="18"/>
                <w:szCs w:val="18"/>
              </w:rPr>
              <w:t xml:space="preserve">4</w:t>
            </w:r>
            <w:r/>
          </w:p>
        </w:tc>
        <w:tc>
          <w:tcPr>
            <w:tcW w:w="4050" w:type="dxa"/>
            <w:vAlign w:val="center"/>
            <w:textDirection w:val="lrTb"/>
            <w:noWrap w:val="false"/>
          </w:tcPr>
          <w:p>
            <w:pPr>
              <w:jc w:val="center"/>
              <w:rPr>
                <w:rFonts w:hint="eastAsia"/>
                <w:sz w:val="18"/>
                <w:szCs w:val="18"/>
              </w:rPr>
            </w:pPr>
            <w:r>
              <w:rPr>
                <w:rFonts w:hint="eastAsia"/>
                <w:sz w:val="18"/>
                <w:szCs w:val="18"/>
              </w:rPr>
              <w:t xml:space="preserve">雨季未采取排涝措施或旱季未及时浇水，大范围绿地出现明显旱情、乔灌木出现旱死，则该项不得分</w:t>
            </w:r>
            <w:r/>
          </w:p>
        </w:tc>
        <w:tc>
          <w:tcPr>
            <w:tcW w:w="1045" w:type="dxa"/>
            <w:vAlign w:val="center"/>
            <w:textDirection w:val="lrTb"/>
            <w:noWrap w:val="false"/>
          </w:tcPr>
          <w:p>
            <w:pPr>
              <w:jc w:val="center"/>
              <w:rPr>
                <w:rFonts w:hint="eastAsia"/>
                <w:sz w:val="18"/>
                <w:szCs w:val="18"/>
              </w:rPr>
            </w:pPr>
            <w:r>
              <w:rPr>
                <w:rFonts w:hint="eastAsia"/>
                <w:sz w:val="18"/>
                <w:szCs w:val="18"/>
              </w:rPr>
              <w:t xml:space="preserve">0.2分</w:t>
            </w:r>
            <w:r>
              <w:rPr>
                <w:rFonts w:hint="eastAsia" w:ascii="宋体" w:hAnsi="宋体" w:cs="宋体"/>
                <w:sz w:val="18"/>
                <w:szCs w:val="18"/>
              </w:rPr>
              <w:t xml:space="preserve">/处</w:t>
            </w:r>
            <w:r/>
          </w:p>
        </w:tc>
        <w:tc>
          <w:tcPr>
            <w:tcW w:w="890" w:type="dxa"/>
            <w:vAlign w:val="center"/>
            <w:textDirection w:val="lrTb"/>
            <w:noWrap w:val="false"/>
          </w:tcPr>
          <w:p>
            <w:pPr>
              <w:jc w:val="center"/>
              <w:rPr>
                <w:rFonts w:hint="eastAsia" w:eastAsia="宋体"/>
                <w:sz w:val="18"/>
                <w:szCs w:val="18"/>
                <w:lang w:val="en-US" w:eastAsia="zh-CN"/>
              </w:rPr>
            </w:pPr>
            <w:r>
              <w:rPr>
                <w:rFonts w:hint="eastAsia"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除    草</w:t>
            </w:r>
            <w:r/>
          </w:p>
        </w:tc>
        <w:tc>
          <w:tcPr>
            <w:tcW w:w="720" w:type="dxa"/>
            <w:vAlign w:val="center"/>
            <w:textDirection w:val="lrTb"/>
            <w:noWrap w:val="false"/>
          </w:tcPr>
          <w:p>
            <w:pPr>
              <w:jc w:val="center"/>
              <w:rPr>
                <w:rFonts w:hint="eastAsia"/>
                <w:sz w:val="18"/>
                <w:szCs w:val="18"/>
              </w:rPr>
            </w:pPr>
            <w:r>
              <w:rPr>
                <w:rFonts w:hint="eastAsia"/>
                <w:sz w:val="18"/>
                <w:szCs w:val="18"/>
              </w:rPr>
              <w:t xml:space="preserve">5</w:t>
            </w:r>
            <w:r/>
          </w:p>
        </w:tc>
        <w:tc>
          <w:tcPr>
            <w:tcW w:w="4050" w:type="dxa"/>
            <w:vAlign w:val="center"/>
            <w:textDirection w:val="lrTb"/>
            <w:noWrap w:val="false"/>
          </w:tcPr>
          <w:p>
            <w:pPr>
              <w:jc w:val="center"/>
              <w:rPr>
                <w:rFonts w:hint="eastAsia"/>
                <w:sz w:val="18"/>
                <w:szCs w:val="18"/>
              </w:rPr>
            </w:pPr>
            <w:r>
              <w:rPr>
                <w:rFonts w:hint="eastAsia"/>
                <w:sz w:val="18"/>
                <w:szCs w:val="18"/>
              </w:rPr>
              <w:t xml:space="preserve">各类杂草清理不及时或未清理，杂草保存率</w:t>
            </w:r>
            <w:r/>
          </w:p>
          <w:p>
            <w:pPr>
              <w:jc w:val="center"/>
              <w:rPr>
                <w:rFonts w:hint="eastAsia"/>
                <w:sz w:val="18"/>
                <w:szCs w:val="18"/>
              </w:rPr>
            </w:pPr>
            <w:r>
              <w:rPr>
                <w:rFonts w:hint="eastAsia"/>
                <w:sz w:val="18"/>
                <w:szCs w:val="18"/>
              </w:rPr>
              <w:t xml:space="preserve">超过20</w:t>
            </w:r>
            <w:r>
              <w:rPr>
                <w:rFonts w:hint="eastAsia" w:ascii="宋体" w:hAnsi="宋体" w:cs="宋体"/>
                <w:sz w:val="18"/>
                <w:szCs w:val="18"/>
              </w:rPr>
              <w:t xml:space="preserve">％则该项次不得分</w:t>
            </w:r>
            <w:r/>
          </w:p>
        </w:tc>
        <w:tc>
          <w:tcPr>
            <w:tcW w:w="1045" w:type="dxa"/>
            <w:vAlign w:val="center"/>
            <w:textDirection w:val="lrTb"/>
            <w:noWrap w:val="false"/>
          </w:tcPr>
          <w:p>
            <w:pPr>
              <w:jc w:val="center"/>
              <w:rPr>
                <w:rFonts w:hint="eastAsia"/>
                <w:sz w:val="18"/>
                <w:szCs w:val="18"/>
              </w:rPr>
            </w:pPr>
            <w:r>
              <w:rPr>
                <w:rFonts w:hint="eastAsia"/>
                <w:sz w:val="18"/>
                <w:szCs w:val="18"/>
              </w:rPr>
              <w:t xml:space="preserve">0.2分</w:t>
            </w:r>
            <w:r>
              <w:rPr>
                <w:rFonts w:hint="eastAsia" w:ascii="宋体" w:hAnsi="宋体" w:cs="宋体"/>
                <w:sz w:val="18"/>
                <w:szCs w:val="18"/>
              </w:rPr>
              <w:t xml:space="preserve">/处</w:t>
            </w:r>
            <w:r/>
          </w:p>
        </w:tc>
        <w:tc>
          <w:tcPr>
            <w:tcW w:w="89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清理枯死株</w:t>
            </w:r>
            <w:r/>
          </w:p>
        </w:tc>
        <w:tc>
          <w:tcPr>
            <w:tcW w:w="720" w:type="dxa"/>
            <w:vAlign w:val="center"/>
            <w:textDirection w:val="lrTb"/>
            <w:noWrap w:val="false"/>
          </w:tcPr>
          <w:p>
            <w:pPr>
              <w:jc w:val="center"/>
              <w:rPr>
                <w:rFonts w:hint="eastAsia"/>
                <w:sz w:val="18"/>
                <w:szCs w:val="18"/>
              </w:rPr>
            </w:pPr>
            <w:r>
              <w:rPr>
                <w:rFonts w:hint="eastAsia"/>
                <w:sz w:val="18"/>
                <w:szCs w:val="18"/>
              </w:rPr>
              <w:t xml:space="preserve">3</w:t>
            </w:r>
            <w:r/>
          </w:p>
        </w:tc>
        <w:tc>
          <w:tcPr>
            <w:tcW w:w="4050" w:type="dxa"/>
            <w:vAlign w:val="center"/>
            <w:textDirection w:val="lrTb"/>
            <w:noWrap w:val="false"/>
          </w:tcPr>
          <w:p>
            <w:pPr>
              <w:jc w:val="center"/>
              <w:rPr>
                <w:rFonts w:hint="eastAsia"/>
                <w:sz w:val="18"/>
                <w:szCs w:val="18"/>
              </w:rPr>
            </w:pPr>
            <w:r>
              <w:rPr>
                <w:rFonts w:hint="eastAsia"/>
                <w:sz w:val="18"/>
                <w:szCs w:val="18"/>
              </w:rPr>
              <w:t xml:space="preserve">未及时清理植物枯枝及死株</w:t>
            </w:r>
            <w:r/>
          </w:p>
        </w:tc>
        <w:tc>
          <w:tcPr>
            <w:tcW w:w="104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/处</w:t>
            </w:r>
            <w:r/>
          </w:p>
        </w:tc>
        <w:tc>
          <w:tcPr>
            <w:tcW w:w="89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喷水除尘</w:t>
            </w:r>
            <w:r/>
          </w:p>
        </w:tc>
        <w:tc>
          <w:tcPr>
            <w:tcW w:w="720" w:type="dxa"/>
            <w:vAlign w:val="center"/>
            <w:textDirection w:val="lrTb"/>
            <w:noWrap w:val="false"/>
          </w:tcPr>
          <w:p>
            <w:pPr>
              <w:jc w:val="center"/>
              <w:rPr>
                <w:rFonts w:hint="eastAsia"/>
                <w:sz w:val="18"/>
                <w:szCs w:val="18"/>
              </w:rPr>
            </w:pPr>
            <w:r>
              <w:rPr>
                <w:rFonts w:hint="eastAsia"/>
                <w:sz w:val="18"/>
                <w:szCs w:val="18"/>
              </w:rPr>
              <w:t xml:space="preserve">5</w:t>
            </w:r>
            <w:r/>
          </w:p>
        </w:tc>
        <w:tc>
          <w:tcPr>
            <w:tcW w:w="4050" w:type="dxa"/>
            <w:vAlign w:val="center"/>
            <w:textDirection w:val="lrTb"/>
            <w:noWrap w:val="false"/>
          </w:tcPr>
          <w:p>
            <w:pPr>
              <w:jc w:val="center"/>
              <w:rPr>
                <w:rFonts w:hint="eastAsia"/>
                <w:sz w:val="18"/>
                <w:szCs w:val="18"/>
              </w:rPr>
            </w:pPr>
            <w:r>
              <w:rPr>
                <w:rFonts w:hint="eastAsia"/>
                <w:sz w:val="18"/>
                <w:szCs w:val="18"/>
              </w:rPr>
              <w:t xml:space="preserve">花灌木、绿篱有明显灰尘，未及时冲刷</w:t>
            </w:r>
            <w:r/>
          </w:p>
        </w:tc>
        <w:tc>
          <w:tcPr>
            <w:tcW w:w="104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/次</w:t>
            </w:r>
            <w:r/>
          </w:p>
        </w:tc>
        <w:tc>
          <w:tcPr>
            <w:tcW w:w="890" w:type="dxa"/>
            <w:vAlign w:val="center"/>
            <w:textDirection w:val="lrTb"/>
            <w:noWrap w:val="false"/>
          </w:tcPr>
          <w:p>
            <w:pPr>
              <w:jc w:val="center"/>
              <w:rPr>
                <w:rFonts w:hint="eastAsia" w:eastAsia="宋体"/>
                <w:sz w:val="18"/>
                <w:szCs w:val="18"/>
                <w:lang w:val="en-US" w:eastAsia="zh-CN"/>
              </w:rPr>
            </w:pPr>
            <w:r>
              <w:rPr>
                <w:rFonts w:hint="eastAsia"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切    边</w:t>
            </w:r>
            <w:r/>
          </w:p>
        </w:tc>
        <w:tc>
          <w:tcPr>
            <w:tcW w:w="720" w:type="dxa"/>
            <w:vAlign w:val="center"/>
            <w:textDirection w:val="lrTb"/>
            <w:noWrap w:val="false"/>
          </w:tcPr>
          <w:p>
            <w:pPr>
              <w:jc w:val="center"/>
              <w:rPr>
                <w:rFonts w:hint="eastAsia"/>
                <w:sz w:val="18"/>
                <w:szCs w:val="18"/>
              </w:rPr>
            </w:pPr>
            <w:r>
              <w:rPr>
                <w:rFonts w:hint="eastAsia"/>
                <w:sz w:val="18"/>
                <w:szCs w:val="18"/>
              </w:rPr>
              <w:t xml:space="preserve">5</w:t>
            </w:r>
            <w:r/>
          </w:p>
        </w:tc>
        <w:tc>
          <w:tcPr>
            <w:tcW w:w="4050" w:type="dxa"/>
            <w:vAlign w:val="center"/>
            <w:textDirection w:val="lrTb"/>
            <w:noWrap w:val="false"/>
          </w:tcPr>
          <w:p>
            <w:pPr>
              <w:jc w:val="center"/>
              <w:rPr>
                <w:rFonts w:hint="eastAsia"/>
                <w:sz w:val="18"/>
                <w:szCs w:val="18"/>
              </w:rPr>
            </w:pPr>
            <w:r>
              <w:rPr>
                <w:rFonts w:hint="eastAsia"/>
                <w:sz w:val="18"/>
                <w:szCs w:val="18"/>
              </w:rPr>
              <w:t xml:space="preserve">未按要求对花灌木和球类根部进行松土</w:t>
            </w:r>
            <w:r/>
          </w:p>
        </w:tc>
        <w:tc>
          <w:tcPr>
            <w:tcW w:w="1045" w:type="dxa"/>
            <w:vAlign w:val="center"/>
            <w:textDirection w:val="lrTb"/>
            <w:noWrap w:val="false"/>
          </w:tcPr>
          <w:p>
            <w:pPr>
              <w:jc w:val="center"/>
              <w:rPr>
                <w:rFonts w:hint="eastAsia"/>
                <w:sz w:val="18"/>
                <w:szCs w:val="18"/>
              </w:rPr>
            </w:pPr>
            <w:r>
              <w:rPr>
                <w:rFonts w:hint="eastAsia"/>
                <w:sz w:val="18"/>
                <w:szCs w:val="18"/>
              </w:rPr>
              <w:t xml:space="preserve">0.2分</w:t>
            </w:r>
            <w:r>
              <w:rPr>
                <w:rFonts w:hint="eastAsia" w:ascii="宋体" w:hAnsi="宋体" w:cs="宋体"/>
                <w:sz w:val="18"/>
                <w:szCs w:val="18"/>
              </w:rPr>
              <w:t xml:space="preserve">/株</w:t>
            </w:r>
            <w:r/>
          </w:p>
        </w:tc>
        <w:tc>
          <w:tcPr>
            <w:tcW w:w="890" w:type="dxa"/>
            <w:vAlign w:val="center"/>
            <w:textDirection w:val="lrTb"/>
            <w:noWrap w:val="false"/>
          </w:tcPr>
          <w:p>
            <w:pPr>
              <w:jc w:val="center"/>
              <w:rPr>
                <w:rFonts w:hint="eastAsia" w:eastAsia="宋体"/>
                <w:sz w:val="18"/>
                <w:szCs w:val="18"/>
                <w:lang w:val="en-US" w:eastAsia="zh-CN"/>
              </w:rPr>
            </w:pPr>
            <w:r>
              <w:rPr>
                <w:rFonts w:hint="eastAsia"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restart"/>
            <w:textDirection w:val="lrTb"/>
            <w:noWrap w:val="false"/>
          </w:tcPr>
          <w:p>
            <w:pPr>
              <w:jc w:val="center"/>
              <w:rPr>
                <w:rFonts w:hint="eastAsia"/>
                <w:sz w:val="18"/>
                <w:szCs w:val="18"/>
              </w:rPr>
            </w:pPr>
            <w:r>
              <w:rPr>
                <w:rFonts w:hint="eastAsia"/>
                <w:sz w:val="18"/>
                <w:szCs w:val="18"/>
              </w:rPr>
              <w:t xml:space="preserve">病虫害</w:t>
            </w:r>
            <w:r/>
          </w:p>
          <w:p>
            <w:pPr>
              <w:jc w:val="center"/>
              <w:rPr>
                <w:rFonts w:hint="eastAsia"/>
                <w:sz w:val="18"/>
                <w:szCs w:val="18"/>
              </w:rPr>
            </w:pPr>
            <w:r>
              <w:rPr>
                <w:rFonts w:hint="eastAsia"/>
                <w:sz w:val="18"/>
                <w:szCs w:val="18"/>
              </w:rPr>
              <w:t xml:space="preserve">防治</w:t>
            </w:r>
            <w:r/>
          </w:p>
          <w:p>
            <w:pPr>
              <w:jc w:val="center"/>
              <w:rPr>
                <w:rFonts w:hint="eastAsia"/>
                <w:sz w:val="18"/>
                <w:szCs w:val="18"/>
              </w:rPr>
            </w:pPr>
            <w:r>
              <w:rPr>
                <w:rFonts w:hint="eastAsia"/>
                <w:sz w:val="18"/>
                <w:szCs w:val="18"/>
              </w:rPr>
              <w:t xml:space="preserve">（20）</w:t>
            </w:r>
            <w:r/>
          </w:p>
        </w:tc>
        <w:tc>
          <w:tcPr>
            <w:tcW w:w="1650" w:type="dxa"/>
            <w:vAlign w:val="center"/>
            <w:textDirection w:val="lrTb"/>
            <w:noWrap w:val="false"/>
          </w:tcPr>
          <w:p>
            <w:pPr>
              <w:jc w:val="center"/>
              <w:rPr>
                <w:rFonts w:hint="eastAsia"/>
                <w:sz w:val="18"/>
                <w:szCs w:val="18"/>
              </w:rPr>
            </w:pPr>
            <w:r>
              <w:rPr>
                <w:rFonts w:hint="eastAsia"/>
                <w:sz w:val="18"/>
                <w:szCs w:val="18"/>
              </w:rPr>
              <w:t xml:space="preserve">乔、灌木</w:t>
            </w:r>
            <w:r/>
          </w:p>
        </w:tc>
        <w:tc>
          <w:tcPr>
            <w:tcW w:w="720" w:type="dxa"/>
            <w:vAlign w:val="center"/>
            <w:textDirection w:val="lrTb"/>
            <w:noWrap w:val="false"/>
          </w:tcPr>
          <w:p>
            <w:pPr>
              <w:jc w:val="center"/>
              <w:rPr>
                <w:rFonts w:hint="eastAsia"/>
                <w:sz w:val="18"/>
                <w:szCs w:val="18"/>
              </w:rPr>
            </w:pPr>
            <w:r>
              <w:rPr>
                <w:rFonts w:hint="eastAsia"/>
                <w:sz w:val="18"/>
                <w:szCs w:val="18"/>
              </w:rPr>
              <w:t xml:space="preserve">8</w:t>
            </w:r>
            <w:r/>
          </w:p>
        </w:tc>
        <w:tc>
          <w:tcPr>
            <w:tcW w:w="4050" w:type="dxa"/>
            <w:vAlign w:val="center"/>
            <w:textDirection w:val="lrTb"/>
            <w:noWrap w:val="false"/>
          </w:tcPr>
          <w:p>
            <w:pPr>
              <w:jc w:val="center"/>
              <w:rPr>
                <w:rFonts w:hint="eastAsia"/>
                <w:sz w:val="18"/>
                <w:szCs w:val="18"/>
              </w:rPr>
            </w:pPr>
            <w:r>
              <w:rPr>
                <w:rFonts w:hint="eastAsia"/>
                <w:sz w:val="18"/>
                <w:szCs w:val="18"/>
              </w:rPr>
              <w:t xml:space="preserve">防治不及时、造成明显危害的</w:t>
            </w:r>
            <w:r/>
          </w:p>
        </w:tc>
        <w:tc>
          <w:tcPr>
            <w:tcW w:w="104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/株</w:t>
            </w:r>
            <w:r/>
          </w:p>
        </w:tc>
        <w:tc>
          <w:tcPr>
            <w:tcW w:w="89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球类、绿篱</w:t>
            </w:r>
            <w:r/>
          </w:p>
        </w:tc>
        <w:tc>
          <w:tcPr>
            <w:tcW w:w="720" w:type="dxa"/>
            <w:vAlign w:val="center"/>
            <w:textDirection w:val="lrTb"/>
            <w:noWrap w:val="false"/>
          </w:tcPr>
          <w:p>
            <w:pPr>
              <w:jc w:val="center"/>
              <w:rPr>
                <w:rFonts w:hint="eastAsia"/>
                <w:sz w:val="18"/>
                <w:szCs w:val="18"/>
              </w:rPr>
            </w:pPr>
            <w:r>
              <w:rPr>
                <w:rFonts w:hint="eastAsia"/>
                <w:sz w:val="18"/>
                <w:szCs w:val="18"/>
              </w:rPr>
              <w:t xml:space="preserve">7</w:t>
            </w:r>
            <w:r/>
          </w:p>
        </w:tc>
        <w:tc>
          <w:tcPr>
            <w:tcW w:w="4050" w:type="dxa"/>
            <w:vAlign w:val="center"/>
            <w:textDirection w:val="lrTb"/>
            <w:noWrap w:val="false"/>
          </w:tcPr>
          <w:p>
            <w:pPr>
              <w:jc w:val="center"/>
              <w:rPr>
                <w:rFonts w:hint="eastAsia"/>
                <w:sz w:val="18"/>
                <w:szCs w:val="18"/>
              </w:rPr>
            </w:pPr>
            <w:r>
              <w:rPr>
                <w:rFonts w:hint="eastAsia"/>
                <w:sz w:val="18"/>
                <w:szCs w:val="18"/>
              </w:rPr>
              <w:t xml:space="preserve">防治不及时、造成明显危害的</w:t>
            </w:r>
            <w:r/>
          </w:p>
        </w:tc>
        <w:tc>
          <w:tcPr>
            <w:tcW w:w="104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/株</w:t>
            </w:r>
            <w:r/>
          </w:p>
        </w:tc>
        <w:tc>
          <w:tcPr>
            <w:tcW w:w="89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草坪、地被</w:t>
            </w:r>
            <w:r/>
          </w:p>
        </w:tc>
        <w:tc>
          <w:tcPr>
            <w:tcW w:w="720" w:type="dxa"/>
            <w:vAlign w:val="center"/>
            <w:textDirection w:val="lrTb"/>
            <w:noWrap w:val="false"/>
          </w:tcPr>
          <w:p>
            <w:pPr>
              <w:jc w:val="center"/>
              <w:rPr>
                <w:rFonts w:hint="eastAsia"/>
                <w:sz w:val="18"/>
                <w:szCs w:val="18"/>
              </w:rPr>
            </w:pPr>
            <w:r>
              <w:rPr>
                <w:rFonts w:hint="eastAsia"/>
                <w:sz w:val="18"/>
                <w:szCs w:val="18"/>
              </w:rPr>
              <w:t xml:space="preserve">5</w:t>
            </w:r>
            <w:r/>
          </w:p>
        </w:tc>
        <w:tc>
          <w:tcPr>
            <w:tcW w:w="4050" w:type="dxa"/>
            <w:vAlign w:val="center"/>
            <w:textDirection w:val="lrTb"/>
            <w:noWrap w:val="false"/>
          </w:tcPr>
          <w:p>
            <w:pPr>
              <w:jc w:val="center"/>
              <w:rPr>
                <w:rFonts w:hint="eastAsia"/>
                <w:sz w:val="18"/>
                <w:szCs w:val="18"/>
              </w:rPr>
            </w:pPr>
            <w:r>
              <w:rPr>
                <w:rFonts w:hint="eastAsia"/>
                <w:sz w:val="18"/>
                <w:szCs w:val="18"/>
              </w:rPr>
              <w:t xml:space="preserve">防治不及时、造成明显危害的</w:t>
            </w:r>
            <w:r/>
          </w:p>
        </w:tc>
        <w:tc>
          <w:tcPr>
            <w:tcW w:w="1045" w:type="dxa"/>
            <w:vAlign w:val="center"/>
            <w:textDirection w:val="lrTb"/>
            <w:noWrap w:val="false"/>
          </w:tcPr>
          <w:p>
            <w:pPr>
              <w:jc w:val="center"/>
              <w:rPr>
                <w:rFonts w:hint="eastAsia" w:ascii="宋体" w:hAnsi="宋体" w:cs="宋体"/>
                <w:sz w:val="18"/>
                <w:szCs w:val="18"/>
              </w:rPr>
            </w:pPr>
            <w:r>
              <w:rPr>
                <w:rFonts w:hint="eastAsia"/>
                <w:sz w:val="18"/>
                <w:szCs w:val="18"/>
              </w:rPr>
              <w:t xml:space="preserve">0.1分</w:t>
            </w:r>
            <w:r>
              <w:rPr>
                <w:rFonts w:hint="eastAsia" w:ascii="宋体" w:hAnsi="宋体" w:cs="宋体"/>
                <w:sz w:val="18"/>
                <w:szCs w:val="18"/>
              </w:rPr>
              <w:t xml:space="preserve">/</w:t>
            </w:r>
            <w:r/>
          </w:p>
          <w:p>
            <w:pPr>
              <w:jc w:val="center"/>
              <w:rPr>
                <w:rFonts w:hint="eastAsia"/>
                <w:sz w:val="18"/>
                <w:szCs w:val="18"/>
              </w:rPr>
            </w:pPr>
            <w:r>
              <w:rPr>
                <w:rFonts w:hint="eastAsia" w:ascii="宋体" w:hAnsi="宋体" w:cs="宋体"/>
                <w:sz w:val="18"/>
                <w:szCs w:val="18"/>
              </w:rPr>
              <w:t xml:space="preserve">平方</w:t>
            </w:r>
            <w:r/>
          </w:p>
        </w:tc>
        <w:tc>
          <w:tcPr>
            <w:tcW w:w="890" w:type="dxa"/>
            <w:vAlign w:val="center"/>
            <w:textDirection w:val="lrTb"/>
            <w:noWrap w:val="false"/>
          </w:tcPr>
          <w:p>
            <w:pPr>
              <w:jc w:val="center"/>
              <w:rPr>
                <w:rFonts w:hint="eastAsia" w:eastAsia="宋体"/>
                <w:sz w:val="18"/>
                <w:szCs w:val="18"/>
                <w:lang w:val="en-US" w:eastAsia="zh-CN"/>
              </w:rPr>
            </w:pPr>
            <w:r>
              <w:rPr>
                <w:rFonts w:hint="eastAsia"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restart"/>
            <w:textDirection w:val="lrTb"/>
            <w:noWrap w:val="false"/>
          </w:tcPr>
          <w:p>
            <w:pPr>
              <w:jc w:val="center"/>
              <w:rPr>
                <w:rFonts w:hint="eastAsia"/>
                <w:sz w:val="18"/>
                <w:szCs w:val="18"/>
              </w:rPr>
            </w:pPr>
            <w:r>
              <w:rPr>
                <w:rFonts w:hint="eastAsia"/>
                <w:sz w:val="18"/>
                <w:szCs w:val="18"/>
              </w:rPr>
              <w:t xml:space="preserve">环境卫</w:t>
            </w:r>
            <w:r/>
          </w:p>
          <w:p>
            <w:pPr>
              <w:jc w:val="center"/>
              <w:rPr>
                <w:rFonts w:hint="eastAsia"/>
                <w:sz w:val="18"/>
                <w:szCs w:val="18"/>
              </w:rPr>
            </w:pPr>
            <w:r>
              <w:rPr>
                <w:rFonts w:hint="eastAsia"/>
                <w:sz w:val="18"/>
                <w:szCs w:val="18"/>
              </w:rPr>
              <w:t xml:space="preserve">生保洁（10）</w:t>
            </w:r>
            <w:r/>
          </w:p>
        </w:tc>
        <w:tc>
          <w:tcPr>
            <w:tcW w:w="1650" w:type="dxa"/>
            <w:vAlign w:val="center"/>
            <w:textDirection w:val="lrTb"/>
            <w:noWrap w:val="false"/>
          </w:tcPr>
          <w:p>
            <w:pPr>
              <w:jc w:val="center"/>
              <w:rPr>
                <w:rFonts w:hint="eastAsia"/>
                <w:sz w:val="18"/>
                <w:szCs w:val="18"/>
              </w:rPr>
            </w:pPr>
            <w:r>
              <w:rPr>
                <w:rFonts w:hint="eastAsia"/>
                <w:sz w:val="18"/>
                <w:szCs w:val="18"/>
              </w:rPr>
              <w:t xml:space="preserve">树穴、绿地</w:t>
            </w:r>
            <w:r/>
          </w:p>
        </w:tc>
        <w:tc>
          <w:tcPr>
            <w:tcW w:w="720" w:type="dxa"/>
            <w:vAlign w:val="center"/>
            <w:textDirection w:val="lrTb"/>
            <w:noWrap w:val="false"/>
          </w:tcPr>
          <w:p>
            <w:pPr>
              <w:jc w:val="center"/>
              <w:rPr>
                <w:rFonts w:hint="eastAsia"/>
                <w:sz w:val="18"/>
                <w:szCs w:val="18"/>
              </w:rPr>
            </w:pPr>
            <w:r>
              <w:rPr>
                <w:rFonts w:hint="eastAsia"/>
                <w:sz w:val="18"/>
                <w:szCs w:val="18"/>
              </w:rPr>
              <w:t xml:space="preserve">6</w:t>
            </w:r>
            <w:r/>
          </w:p>
        </w:tc>
        <w:tc>
          <w:tcPr>
            <w:tcW w:w="4050" w:type="dxa"/>
            <w:vAlign w:val="center"/>
            <w:textDirection w:val="lrTb"/>
            <w:noWrap w:val="false"/>
          </w:tcPr>
          <w:p>
            <w:pPr>
              <w:jc w:val="center"/>
              <w:rPr>
                <w:rFonts w:hint="eastAsia"/>
                <w:sz w:val="18"/>
                <w:szCs w:val="18"/>
              </w:rPr>
            </w:pPr>
            <w:r>
              <w:rPr>
                <w:rFonts w:hint="eastAsia"/>
                <w:sz w:val="18"/>
                <w:szCs w:val="18"/>
              </w:rPr>
              <w:t xml:space="preserve">有明显果皮、纸屑、干枯枝、塑料袋等</w:t>
            </w:r>
            <w:r/>
          </w:p>
        </w:tc>
        <w:tc>
          <w:tcPr>
            <w:tcW w:w="104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/处</w:t>
            </w:r>
            <w:r/>
          </w:p>
        </w:tc>
        <w:tc>
          <w:tcPr>
            <w:tcW w:w="890" w:type="dxa"/>
            <w:vAlign w:val="center"/>
            <w:textDirection w:val="lrTb"/>
            <w:noWrap w:val="false"/>
          </w:tcPr>
          <w:p>
            <w:pPr>
              <w:jc w:val="center"/>
              <w:rPr>
                <w:rFonts w:hint="default"/>
                <w:sz w:val="18"/>
                <w:szCs w:val="18"/>
                <w:lang w:val="en-US" w:eastAsia="zh-CN"/>
              </w:rPr>
            </w:pPr>
            <w:r>
              <w:rPr>
                <w:rFonts w:hint="default"/>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24"/>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垃圾清运</w:t>
            </w:r>
            <w:r/>
          </w:p>
        </w:tc>
        <w:tc>
          <w:tcPr>
            <w:tcW w:w="720" w:type="dxa"/>
            <w:vAlign w:val="center"/>
            <w:textDirection w:val="lrTb"/>
            <w:noWrap w:val="false"/>
          </w:tcPr>
          <w:p>
            <w:pPr>
              <w:jc w:val="center"/>
              <w:rPr>
                <w:rFonts w:hint="eastAsia"/>
                <w:sz w:val="18"/>
                <w:szCs w:val="18"/>
              </w:rPr>
            </w:pPr>
            <w:r>
              <w:rPr>
                <w:rFonts w:hint="eastAsia"/>
                <w:sz w:val="18"/>
                <w:szCs w:val="18"/>
              </w:rPr>
              <w:t xml:space="preserve">4</w:t>
            </w:r>
            <w:r/>
          </w:p>
        </w:tc>
        <w:tc>
          <w:tcPr>
            <w:tcW w:w="4050" w:type="dxa"/>
            <w:vAlign w:val="center"/>
            <w:textDirection w:val="lrTb"/>
            <w:noWrap w:val="false"/>
          </w:tcPr>
          <w:p>
            <w:pPr>
              <w:jc w:val="center"/>
              <w:rPr>
                <w:rFonts w:hint="eastAsia"/>
                <w:sz w:val="18"/>
                <w:szCs w:val="18"/>
              </w:rPr>
            </w:pPr>
            <w:r>
              <w:rPr>
                <w:rFonts w:hint="eastAsia"/>
                <w:sz w:val="18"/>
                <w:szCs w:val="18"/>
              </w:rPr>
              <w:t xml:space="preserve">清理不及时，垃圾箱内垃圾有外溢，有焚烧</w:t>
            </w:r>
            <w:r/>
          </w:p>
          <w:p>
            <w:pPr>
              <w:jc w:val="center"/>
              <w:rPr>
                <w:rFonts w:hint="eastAsia"/>
                <w:sz w:val="18"/>
                <w:szCs w:val="18"/>
              </w:rPr>
            </w:pPr>
            <w:r>
              <w:rPr>
                <w:rFonts w:hint="eastAsia"/>
                <w:sz w:val="18"/>
                <w:szCs w:val="18"/>
              </w:rPr>
              <w:t xml:space="preserve">垃圾现象则该项不得分</w:t>
            </w:r>
            <w:r/>
          </w:p>
        </w:tc>
        <w:tc>
          <w:tcPr>
            <w:tcW w:w="104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/处</w:t>
            </w:r>
            <w:r/>
          </w:p>
        </w:tc>
        <w:tc>
          <w:tcPr>
            <w:tcW w:w="89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textDirection w:val="lrTb"/>
            <w:noWrap w:val="false"/>
          </w:tcPr>
          <w:p>
            <w:pPr>
              <w:jc w:val="center"/>
              <w:rPr>
                <w:rFonts w:hint="eastAsia"/>
                <w:sz w:val="18"/>
                <w:szCs w:val="18"/>
              </w:rPr>
            </w:pPr>
            <w:r>
              <w:rPr>
                <w:rFonts w:hint="eastAsia"/>
                <w:sz w:val="18"/>
                <w:szCs w:val="18"/>
              </w:rPr>
              <w:t xml:space="preserve">各类案件</w:t>
            </w:r>
            <w:r/>
          </w:p>
          <w:p>
            <w:pPr>
              <w:jc w:val="center"/>
              <w:rPr>
                <w:rFonts w:hint="eastAsia"/>
                <w:sz w:val="18"/>
                <w:szCs w:val="18"/>
              </w:rPr>
            </w:pPr>
            <w:r>
              <w:rPr>
                <w:rFonts w:hint="eastAsia"/>
                <w:sz w:val="18"/>
                <w:szCs w:val="18"/>
              </w:rPr>
              <w:t xml:space="preserve">（10）</w:t>
            </w:r>
            <w:r/>
          </w:p>
        </w:tc>
        <w:tc>
          <w:tcPr>
            <w:tcW w:w="1650" w:type="dxa"/>
            <w:vAlign w:val="center"/>
            <w:textDirection w:val="lrTb"/>
            <w:noWrap w:val="false"/>
          </w:tcPr>
          <w:p>
            <w:pPr>
              <w:jc w:val="center"/>
              <w:rPr>
                <w:rFonts w:hint="eastAsia"/>
                <w:sz w:val="18"/>
                <w:szCs w:val="18"/>
              </w:rPr>
            </w:pPr>
            <w:r>
              <w:rPr>
                <w:rFonts w:hint="eastAsia"/>
                <w:sz w:val="18"/>
                <w:szCs w:val="18"/>
              </w:rPr>
              <w:t xml:space="preserve">园艺类、卫生类</w:t>
            </w:r>
            <w:r/>
          </w:p>
        </w:tc>
        <w:tc>
          <w:tcPr>
            <w:tcW w:w="720" w:type="dxa"/>
            <w:vAlign w:val="center"/>
            <w:textDirection w:val="lrTb"/>
            <w:noWrap w:val="false"/>
          </w:tcPr>
          <w:p>
            <w:pPr>
              <w:jc w:val="center"/>
              <w:rPr>
                <w:rFonts w:hint="eastAsia"/>
                <w:sz w:val="18"/>
                <w:szCs w:val="18"/>
              </w:rPr>
            </w:pPr>
            <w:r>
              <w:rPr>
                <w:rFonts w:hint="eastAsia"/>
                <w:sz w:val="18"/>
                <w:szCs w:val="18"/>
              </w:rPr>
              <w:t xml:space="preserve">10</w:t>
            </w:r>
            <w:r/>
          </w:p>
        </w:tc>
        <w:tc>
          <w:tcPr>
            <w:tcW w:w="4050" w:type="dxa"/>
            <w:vAlign w:val="center"/>
            <w:textDirection w:val="lrTb"/>
            <w:noWrap w:val="false"/>
          </w:tcPr>
          <w:p>
            <w:pPr>
              <w:jc w:val="center"/>
              <w:rPr>
                <w:rFonts w:hint="eastAsia"/>
                <w:sz w:val="18"/>
                <w:szCs w:val="18"/>
              </w:rPr>
            </w:pPr>
            <w:r>
              <w:rPr>
                <w:rFonts w:hint="eastAsia"/>
                <w:sz w:val="18"/>
                <w:szCs w:val="18"/>
              </w:rPr>
              <w:t xml:space="preserve">凡是因主观原因，处理不及时造成延时的或处理不彻底造成返工的，园艺类：0.3分/件，卫生类0.2分/件</w:t>
            </w:r>
            <w:r/>
          </w:p>
        </w:tc>
        <w:tc>
          <w:tcPr>
            <w:tcW w:w="104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/处</w:t>
            </w:r>
            <w:r/>
          </w:p>
        </w:tc>
        <w:tc>
          <w:tcPr>
            <w:tcW w:w="890" w:type="dxa"/>
            <w:vAlign w:val="center"/>
            <w:textDirection w:val="lrTb"/>
            <w:noWrap w:val="false"/>
          </w:tcPr>
          <w:p>
            <w:pPr>
              <w:jc w:val="both"/>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851"/>
        </w:trPr>
        <w:tc>
          <w:tcPr>
            <w:tcW w:w="975" w:type="dxa"/>
            <w:vAlign w:val="center"/>
            <w:textDirection w:val="lrTb"/>
            <w:noWrap w:val="false"/>
          </w:tcPr>
          <w:p>
            <w:pPr>
              <w:jc w:val="center"/>
              <w:rPr>
                <w:rFonts w:hint="eastAsia"/>
                <w:sz w:val="18"/>
                <w:szCs w:val="18"/>
              </w:rPr>
            </w:pPr>
            <w:r>
              <w:rPr>
                <w:rFonts w:hint="eastAsia"/>
                <w:sz w:val="18"/>
                <w:szCs w:val="18"/>
              </w:rPr>
              <w:t xml:space="preserve">次序管理</w:t>
            </w:r>
            <w:r/>
          </w:p>
          <w:p>
            <w:pPr>
              <w:jc w:val="center"/>
              <w:rPr>
                <w:rFonts w:hint="eastAsia"/>
                <w:sz w:val="18"/>
                <w:szCs w:val="18"/>
              </w:rPr>
            </w:pPr>
            <w:r>
              <w:rPr>
                <w:rFonts w:hint="eastAsia"/>
                <w:sz w:val="18"/>
                <w:szCs w:val="18"/>
              </w:rPr>
              <w:t xml:space="preserve">（10）</w:t>
            </w:r>
            <w:r/>
          </w:p>
        </w:tc>
        <w:tc>
          <w:tcPr>
            <w:tcW w:w="1650" w:type="dxa"/>
            <w:vAlign w:val="center"/>
            <w:textDirection w:val="lrTb"/>
            <w:noWrap w:val="false"/>
          </w:tcPr>
          <w:p>
            <w:pPr>
              <w:jc w:val="center"/>
              <w:rPr>
                <w:rFonts w:hint="eastAsia"/>
                <w:sz w:val="18"/>
                <w:szCs w:val="18"/>
              </w:rPr>
            </w:pPr>
            <w:r>
              <w:rPr>
                <w:rFonts w:hint="eastAsia"/>
                <w:sz w:val="18"/>
                <w:szCs w:val="18"/>
              </w:rPr>
              <w:t xml:space="preserve">广场、绿地内</w:t>
            </w:r>
            <w:r/>
          </w:p>
        </w:tc>
        <w:tc>
          <w:tcPr>
            <w:tcW w:w="720" w:type="dxa"/>
            <w:vAlign w:val="center"/>
            <w:textDirection w:val="lrTb"/>
            <w:noWrap w:val="false"/>
          </w:tcPr>
          <w:p>
            <w:pPr>
              <w:jc w:val="center"/>
              <w:rPr>
                <w:rFonts w:hint="eastAsia"/>
                <w:sz w:val="18"/>
                <w:szCs w:val="18"/>
              </w:rPr>
            </w:pPr>
            <w:r>
              <w:rPr>
                <w:rFonts w:hint="eastAsia"/>
                <w:sz w:val="18"/>
                <w:szCs w:val="18"/>
              </w:rPr>
              <w:t xml:space="preserve">10</w:t>
            </w:r>
            <w:r/>
          </w:p>
        </w:tc>
        <w:tc>
          <w:tcPr>
            <w:tcW w:w="4050" w:type="dxa"/>
            <w:vAlign w:val="center"/>
            <w:textDirection w:val="lrTb"/>
            <w:noWrap w:val="false"/>
          </w:tcPr>
          <w:p>
            <w:pPr>
              <w:jc w:val="center"/>
              <w:rPr>
                <w:rFonts w:hint="eastAsia"/>
                <w:sz w:val="18"/>
                <w:szCs w:val="18"/>
              </w:rPr>
            </w:pPr>
            <w:r>
              <w:rPr>
                <w:rFonts w:hint="eastAsia"/>
                <w:sz w:val="18"/>
                <w:szCs w:val="18"/>
              </w:rPr>
              <w:t xml:space="preserve">有停放自行车、机动车或游人践踏绿地有摊</w:t>
            </w:r>
            <w:r/>
          </w:p>
          <w:p>
            <w:pPr>
              <w:jc w:val="center"/>
              <w:rPr>
                <w:rFonts w:hint="eastAsia"/>
                <w:sz w:val="18"/>
                <w:szCs w:val="18"/>
              </w:rPr>
            </w:pPr>
            <w:r>
              <w:rPr>
                <w:rFonts w:hint="eastAsia"/>
                <w:sz w:val="18"/>
                <w:szCs w:val="18"/>
              </w:rPr>
              <w:t xml:space="preserve">点、拴挂、晾晒衣服等现象</w:t>
            </w:r>
            <w:r/>
          </w:p>
        </w:tc>
        <w:tc>
          <w:tcPr>
            <w:tcW w:w="104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/处</w:t>
            </w:r>
            <w:r/>
          </w:p>
        </w:tc>
        <w:tc>
          <w:tcPr>
            <w:tcW w:w="89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615"/>
        </w:trPr>
        <w:tc>
          <w:tcPr>
            <w:gridSpan w:val="2"/>
            <w:tcW w:w="2625" w:type="dxa"/>
            <w:vAlign w:val="center"/>
            <w:textDirection w:val="lrTb"/>
            <w:noWrap w:val="false"/>
          </w:tcPr>
          <w:p>
            <w:pPr>
              <w:rPr>
                <w:rFonts w:hint="eastAsia"/>
                <w:sz w:val="18"/>
                <w:szCs w:val="18"/>
              </w:rPr>
            </w:pPr>
            <w:r>
              <w:rPr>
                <w:rFonts w:hint="eastAsia"/>
                <w:sz w:val="18"/>
                <w:szCs w:val="18"/>
              </w:rPr>
              <w:t xml:space="preserve">合计得分</w:t>
            </w:r>
            <w:r/>
          </w:p>
        </w:tc>
        <w:tc>
          <w:tcPr>
            <w:gridSpan w:val="5"/>
            <w:tcW w:w="7665" w:type="dxa"/>
            <w:vAlign w:val="center"/>
            <w:textDirection w:val="lrTb"/>
            <w:noWrap w:val="false"/>
          </w:tcPr>
          <w:p>
            <w:pPr>
              <w:jc w:val="center"/>
              <w:rPr>
                <w:rFonts w:hint="default" w:eastAsia="宋体"/>
                <w:sz w:val="24"/>
                <w:lang w:val="en-US" w:eastAsia="zh-CN"/>
              </w:rPr>
            </w:pPr>
            <w:r>
              <w:rPr>
                <w:rFonts w:hint="default" w:eastAsia="宋体"/>
                <w:sz w:val="24"/>
                <w:lang w:val="en-US" w:eastAsia="zh-CN"/>
              </w:rPr>
            </w:r>
            <w:r/>
          </w:p>
        </w:tc>
      </w:tr>
    </w:tbl>
    <w:p>
      <w:pPr>
        <w:spacing w:line="360" w:lineRule="auto"/>
        <w:rPr>
          <w:rFonts w:hint="eastAsia"/>
          <w:sz w:val="21"/>
          <w:szCs w:val="21"/>
          <w:lang w:val="en-US" w:eastAsia="zh-CN"/>
        </w:rPr>
      </w:pPr>
      <w:r>
        <w:rPr>
          <w:rFonts w:hint="eastAsia"/>
          <w:sz w:val="21"/>
          <w:szCs w:val="21"/>
          <w:lang w:val="en-US" w:eastAsia="zh-CN"/>
        </w:rPr>
      </w:r>
      <w:r/>
    </w:p>
    <w:p>
      <w:pPr>
        <w:spacing w:line="360" w:lineRule="auto"/>
      </w:pPr>
      <w:r>
        <w:rPr>
          <w:rFonts w:hint="eastAsia"/>
          <w:sz w:val="21"/>
          <w:szCs w:val="21"/>
          <w:lang w:val="en-US" w:eastAsia="zh-CN"/>
        </w:rPr>
        <w:t xml:space="preserve">备注：考核得分96分以上不予处罚。考核得分在96分以下（不含96分）的，按每低1分扣1%养护费的比例计算。</w:t>
      </w:r>
      <w:r/>
    </w:p>
    <w:p>
      <w:pPr>
        <w:pStyle w:val="1025"/>
        <w:jc w:val="center"/>
        <w:keepLines w:val="0"/>
        <w:keepNext w:val="0"/>
        <w:pageBreakBefore w:val="0"/>
        <w:spacing w:line="360" w:lineRule="auto"/>
        <w:widowControl w:val="off"/>
        <w:rPr>
          <w:rFonts w:hint="default" w:hAnsi="宋体" w:cs="宋体"/>
          <w:b/>
          <w:color w:val="000000" w:themeColor="text1"/>
          <w:sz w:val="32"/>
          <w:szCs w:val="32"/>
          <w:lang w:val="en-US" w:eastAsia="zh-CN"/>
          <w14:textFill>
            <w14:solidFill>
              <w14:schemeClr w14:val="tx1"/>
            </w14:solidFill>
          </w14:textFill>
        </w:rPr>
        <w:sectPr>
          <w:headerReference w:type="default" r:id="rId12"/>
          <w:footerReference w:type="default" r:id="rId18"/>
          <w:footnotePr/>
          <w:endnotePr/>
          <w:type w:val="nextPage"/>
          <w:pgSz w:w="11906" w:h="16838" w:orient="portrait"/>
          <w:pgMar w:top="1434" w:right="1434" w:bottom="1434" w:left="1434" w:header="851" w:footer="992" w:gutter="0"/>
          <w:cols w:num="1" w:sep="0" w:space="1701" w:equalWidth="1"/>
          <w:docGrid w:linePitch="360"/>
          <w:titlePg/>
        </w:sectPr>
      </w:pPr>
      <w:r>
        <w:rPr>
          <w:rFonts w:hint="default" w:hAnsi="宋体" w:cs="宋体"/>
          <w:b/>
          <w:color w:val="000000" w:themeColor="text1"/>
          <w:sz w:val="32"/>
          <w:szCs w:val="32"/>
          <w:lang w:val="en-US" w:eastAsia="zh-CN"/>
          <w14:textFill>
            <w14:solidFill>
              <w14:schemeClr w14:val="tx1"/>
            </w14:solidFill>
          </w14:textFill>
        </w:rPr>
      </w:r>
      <w:r/>
    </w:p>
    <w:p>
      <w:pPr>
        <w:pStyle w:val="1025"/>
        <w:jc w:val="center"/>
        <w:spacing w:after="312" w:line="520" w:lineRule="exact"/>
        <w:rPr>
          <w:rFonts w:hAnsi="宋体" w:cs="宋体"/>
          <w:b/>
          <w:color w:val="000000" w:themeColor="text1"/>
          <w:sz w:val="36"/>
          <w14:textFill>
            <w14:solidFill>
              <w14:schemeClr w14:val="tx1"/>
            </w14:solidFill>
          </w14:textFill>
        </w:rPr>
      </w:pPr>
      <w:r>
        <w:rPr>
          <w:rFonts w:hint="eastAsia" w:hAnsi="宋体" w:cs="宋体"/>
          <w:b/>
          <w:color w:val="000000" w:themeColor="text1"/>
          <w:sz w:val="36"/>
          <w14:textFill>
            <w14:solidFill>
              <w14:schemeClr w14:val="tx1"/>
            </w14:solidFill>
          </w14:textFill>
        </w:rPr>
        <w:t xml:space="preserve">7、承诺书</w:t>
      </w:r>
      <w:r/>
    </w:p>
    <w:p>
      <w:pPr>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致</w:t>
      </w:r>
      <w:r>
        <w:rPr>
          <w:rFonts w:hint="eastAsia" w:ascii="宋体" w:hAnsi="宋体" w:cs="宋体"/>
          <w:b/>
          <w:bCs/>
          <w:color w:val="000000" w:themeColor="text1"/>
          <w:sz w:val="24"/>
          <w:u w:val="single"/>
          <w:lang w:eastAsia="zh-CN"/>
          <w14:textFill>
            <w14:solidFill>
              <w14:schemeClr w14:val="tx1"/>
            </w14:solidFill>
          </w14:textFill>
        </w:rPr>
        <w:t xml:space="preserve">徐州市云龙区城市管理局</w:t>
      </w:r>
      <w:r>
        <w:rPr>
          <w:rFonts w:hint="eastAsia" w:ascii="宋体" w:hAnsi="宋体" w:cs="宋体"/>
          <w:b/>
          <w:bCs/>
          <w:color w:val="000000" w:themeColor="text1"/>
          <w:sz w:val="24"/>
          <w14:textFill>
            <w14:solidFill>
              <w14:schemeClr w14:val="tx1"/>
            </w14:solidFill>
          </w14:textFill>
        </w:rPr>
        <w:t xml:space="preserve">：</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根据贵方《</w:t>
      </w:r>
      <w:r>
        <w:rPr>
          <w:rFonts w:hint="eastAsia" w:ascii="宋体" w:hAnsi="宋体" w:cs="宋体"/>
          <w:bCs/>
          <w:color w:val="000000" w:themeColor="text1"/>
          <w:sz w:val="24"/>
          <w:szCs w:val="24"/>
          <w14:textFill>
            <w14:solidFill>
              <w14:schemeClr w14:val="tx1"/>
            </w14:solidFill>
          </w14:textFill>
        </w:rPr>
        <w:t xml:space="preserve">磋商文件</w:t>
      </w:r>
      <w:r>
        <w:rPr>
          <w:rFonts w:hint="eastAsia" w:ascii="宋体" w:hAnsi="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）要求，本供应商正式提交以下首次响应文件。</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color w:val="000000" w:themeColor="text1"/>
          <w:sz w:val="24"/>
          <w:szCs w:val="24"/>
          <w14:textFill>
            <w14:solidFill>
              <w14:schemeClr w14:val="tx1"/>
            </w14:solidFill>
          </w14:textFill>
        </w:rPr>
        <w:t xml:space="preserve">（1）承诺书； </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（2）磋商报价表； </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（3）偏离表；</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（4）磋商</w:t>
      </w:r>
      <w:r>
        <w:rPr>
          <w:rFonts w:hint="eastAsia" w:ascii="宋体" w:hAnsi="宋体" w:cs="宋体"/>
          <w:bCs/>
          <w:color w:val="000000" w:themeColor="text1"/>
          <w:sz w:val="24"/>
          <w:szCs w:val="24"/>
          <w14:textFill>
            <w14:solidFill>
              <w14:schemeClr w14:val="tx1"/>
            </w14:solidFill>
          </w14:textFill>
        </w:rPr>
        <w:t xml:space="preserve">文件</w:t>
      </w:r>
      <w:r>
        <w:rPr>
          <w:rFonts w:hint="eastAsia" w:ascii="宋体" w:hAnsi="宋体" w:cs="宋体"/>
          <w:color w:val="000000" w:themeColor="text1"/>
          <w:sz w:val="24"/>
          <w:szCs w:val="24"/>
          <w14:textFill>
            <w14:solidFill>
              <w14:schemeClr w14:val="tx1"/>
            </w14:solidFill>
          </w14:textFill>
        </w:rPr>
        <w:t xml:space="preserve">要求提供的其他响应文件。</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我单位符合《中华人民共和国政府采购法》第二十二条的规定，符合本项目供应商资格要求。</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我单位按照磋商文件的要求编制响应文件，并对其提交的响应文件的真实性、合法性承担法律责任。</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供应商兹宣布同意如下: </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color="#FFFFFF" strokecolor="#000000"/>
            </w:pict>
          </mc:Fallback>
        </mc:AlternateContent>
      </w: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color w:val="000000" w:themeColor="text1"/>
          <w:sz w:val="24"/>
          <w:szCs w:val="24"/>
          <w14:textFill>
            <w14:solidFill>
              <w14:schemeClr w14:val="tx1"/>
            </w14:solidFill>
          </w14:textFill>
        </w:rPr>
        <w:t xml:space="preserve">一、完全承担根据《磋商文件》规定完成合同的责任和义务（如有偏离，将全部填写在偏离表中）。</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9.5pt" to="210.1pt,19.5pt" fillcolor="#FFFFFF" strokecolor="#000000"/>
            </w:pict>
          </mc:Fallback>
        </mc:AlternateContent>
      </w: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000000" w:themeColor="text1"/>
          <w:sz w:val="24"/>
          <w:szCs w:val="24"/>
          <w14:textFill>
            <w14:solidFill>
              <w14:schemeClr w14:val="tx1"/>
            </w14:solidFill>
          </w14:textFill>
        </w:rPr>
        <w:t xml:space="preserve">二、保证所提供的响应文件及所有材料的真实、合法、有效，并对其负责。</w:t>
      </w:r>
      <w:r/>
    </w:p>
    <w:p>
      <w:pPr>
        <w:ind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四、所供货物保证符合国家有关产品质量、性能和安全标准，无权利瑕疵。</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五、报价有效期为30个工作日。</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六、同意向贵方提供贵方可能要求的与本次磋商采购有关的任何证据或资料。</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七、完全理解贵方不一定要接受最低的报价或收到的任何报价。</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供应商（电子签章）：</w:t>
      </w:r>
      <w:r/>
    </w:p>
    <w:p>
      <w:pPr>
        <w:spacing w:line="288"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联系电话：</w:t>
      </w:r>
      <w:r/>
    </w:p>
    <w:p>
      <w:pPr>
        <w:ind w:right="29"/>
        <w:spacing w:line="288"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ind w:right="29"/>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日期：  年  月  日</w:t>
      </w:r>
      <w:r/>
    </w:p>
    <w:p>
      <w:pPr>
        <w:jc w:val="center"/>
        <w:rPr>
          <w:rFonts w:ascii="宋体" w:hAnsi="宋体" w:cs="宋体"/>
          <w:b/>
          <w:color w:val="000000" w:themeColor="text1"/>
          <w:sz w:val="36"/>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br w:type="page" w:clear="all"/>
      </w:r>
      <w:r>
        <w:rPr>
          <w:rFonts w:hint="eastAsia" w:ascii="宋体" w:hAnsi="宋体" w:cs="宋体"/>
          <w:b/>
          <w:color w:val="000000" w:themeColor="text1"/>
          <w:sz w:val="36"/>
          <w14:textFill>
            <w14:solidFill>
              <w14:schemeClr w14:val="tx1"/>
            </w14:solidFill>
          </w14:textFill>
        </w:rPr>
        <w:t xml:space="preserve">8、授权委托书</w:t>
      </w:r>
      <w:r/>
    </w:p>
    <w:p>
      <w:pPr>
        <w:spacing w:line="500" w:lineRule="exact"/>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委托人（全称）：</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               </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统一社会信用代码：</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受托人：                  先生（女士）</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身份证号：</w:t>
      </w:r>
      <w:r/>
    </w:p>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56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兹委托（</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）全权代表我企业（公司）参与</w:t>
      </w:r>
      <w:r>
        <w:rPr>
          <w:rFonts w:hint="eastAsia" w:ascii="宋体" w:hAnsi="宋体" w:cs="宋体"/>
          <w:color w:val="000000" w:themeColor="text1"/>
          <w:sz w:val="24"/>
          <w:szCs w:val="24"/>
          <w:u w:val="single"/>
          <w14:textFill>
            <w14:solidFill>
              <w14:schemeClr w14:val="tx1"/>
            </w14:solidFill>
          </w14:textFill>
        </w:rPr>
        <w:t xml:space="preserve">          项目</w:t>
      </w:r>
      <w:r>
        <w:rPr>
          <w:rFonts w:hint="eastAsia" w:ascii="宋体" w:hAnsi="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]的磋商活动及签订合同。（</w:t>
      </w:r>
      <w:r>
        <w:rPr>
          <w:rFonts w:hint="eastAsia" w:ascii="宋体" w:hAnsi="宋体" w:cs="宋体"/>
          <w:b/>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）以我企业（公司）名义所为的行为及签署的文件，我企业（公司）均予以认可。有关法律责任均由我企业（公司）承担。（</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）无转委托权。</w:t>
      </w:r>
      <w:r>
        <w:rPr>
          <w:rFonts w:hint="eastAsia" w:ascii="宋体" w:hAnsi="宋体" w:cs="宋体"/>
          <w:color w:val="000000" w:themeColor="text1"/>
          <w:sz w:val="24"/>
          <w:szCs w:val="24"/>
          <w:lang w:val="en-US" w:eastAsia="zh-CN"/>
          <w14:textFill>
            <w14:solidFill>
              <w14:schemeClr w14:val="tx1"/>
            </w14:solidFill>
          </w14:textFill>
        </w:rPr>
        <w:t xml:space="preserve"> </w:t>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委托期限自</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日起至</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日止。</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委托人（</w:t>
      </w:r>
      <w:r>
        <w:rPr>
          <w:rFonts w:hint="eastAsia" w:ascii="宋体" w:hAnsi="宋体" w:cs="宋体"/>
          <w:b/>
          <w:bCs/>
          <w:color w:val="000000" w:themeColor="text1"/>
          <w:sz w:val="24"/>
          <w:szCs w:val="24"/>
          <w:lang w:val="en-US" w:eastAsia="zh-CN"/>
          <w14:textFill>
            <w14:solidFill>
              <w14:schemeClr w14:val="tx1"/>
            </w14:solidFill>
          </w14:textFill>
        </w:rPr>
        <w:t xml:space="preserve">电子签章</w:t>
      </w:r>
      <w:r>
        <w:rPr>
          <w:rFonts w:hint="eastAsia" w:ascii="宋体" w:hAnsi="宋体" w:cs="宋体"/>
          <w:b/>
          <w:bCs/>
          <w:color w:val="000000" w:themeColor="text1"/>
          <w:sz w:val="24"/>
          <w:szCs w:val="24"/>
          <w14:textFill>
            <w14:solidFill>
              <w14:schemeClr w14:val="tx1"/>
            </w14:solidFill>
          </w14:textFill>
        </w:rPr>
        <w:t xml:space="preserve">）：</w:t>
      </w:r>
      <w:r/>
    </w:p>
    <w:p>
      <w:pP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法定代表人（签字或盖章）：</w:t>
      </w:r>
      <w:r/>
    </w:p>
    <w:p>
      <w:pP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联系方式：</w:t>
      </w:r>
      <w:r/>
    </w:p>
    <w:p>
      <w:pP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受托人（签字或盖章）：</w:t>
      </w:r>
      <w:r/>
    </w:p>
    <w:p>
      <w:pPr>
        <w:ind w:firstLine="6667"/>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年   月   日</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(受托人身份证扫描件附后)</w:t>
      </w:r>
      <w:r/>
    </w:p>
    <w:p>
      <w:pPr>
        <w:jc w:val="center"/>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r>
        <w:rPr>
          <w:rFonts w:hint="eastAsia" w:ascii="宋体" w:hAnsi="宋体" w:cs="宋体"/>
          <w:b/>
          <w:color w:val="000000" w:themeColor="text1"/>
          <w:sz w:val="36"/>
          <w14:textFill>
            <w14:solidFill>
              <w14:schemeClr w14:val="tx1"/>
            </w14:solidFill>
          </w14:textFill>
        </w:rPr>
        <w:t xml:space="preserve">9、中小企业声明函</w:t>
      </w:r>
      <w:r/>
    </w:p>
    <w:p>
      <w:pPr>
        <w:spacing w:line="360" w:lineRule="auto"/>
        <w:rPr>
          <w:rFonts w:hint="eastAsia"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r>
      <w:r/>
    </w:p>
    <w:p>
      <w:pPr>
        <w:spacing w:line="360" w:lineRule="auto"/>
        <w:rPr>
          <w:rFonts w:ascii="宋体" w:hAnsi="宋体" w:cs="宋体"/>
          <w:color w:val="000000" w:themeColor="text1"/>
          <w:spacing w:val="6"/>
          <w:sz w:val="24"/>
          <w:szCs w:val="24"/>
          <w:u w:val="single"/>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项目编号：</w:t>
      </w:r>
      <w:r>
        <w:rPr>
          <w:rFonts w:hint="eastAsia" w:ascii="宋体" w:hAnsi="宋体" w:cs="宋体"/>
          <w:color w:val="000000" w:themeColor="text1"/>
          <w:spacing w:val="6"/>
          <w:sz w:val="24"/>
          <w:szCs w:val="24"/>
          <w:u w:val="single"/>
          <w14:textFill>
            <w14:solidFill>
              <w14:schemeClr w14:val="tx1"/>
            </w14:solidFill>
          </w14:textFill>
        </w:rPr>
        <w:t xml:space="preserve">               </w:t>
      </w:r>
      <w:r/>
    </w:p>
    <w:p>
      <w:pPr>
        <w:spacing w:line="360" w:lineRule="auto"/>
        <w:rPr>
          <w:rFonts w:ascii="宋体" w:hAnsi="宋体" w:cs="宋体"/>
          <w:color w:val="000000" w:themeColor="text1"/>
          <w:spacing w:val="6"/>
          <w:sz w:val="24"/>
          <w:szCs w:val="24"/>
          <w:u w:val="single"/>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项目名称：</w:t>
      </w:r>
      <w:r>
        <w:rPr>
          <w:rFonts w:hint="eastAsia" w:ascii="宋体" w:hAnsi="宋体" w:cs="宋体"/>
          <w:color w:val="000000" w:themeColor="text1"/>
          <w:spacing w:val="6"/>
          <w:sz w:val="24"/>
          <w:szCs w:val="24"/>
          <w:u w:val="single"/>
          <w14:textFill>
            <w14:solidFill>
              <w14:schemeClr w14:val="tx1"/>
            </w14:solidFill>
          </w14:textFill>
        </w:rPr>
        <w:t xml:space="preserve">               </w:t>
      </w:r>
      <w:r/>
    </w:p>
    <w:p>
      <w:pPr>
        <w:ind w:firstLine="56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eastAsia="zh-CN"/>
          <w14:textFill>
            <w14:solidFill>
              <w14:schemeClr w14:val="tx1"/>
            </w14:solidFill>
          </w14:textFill>
        </w:rPr>
        <w:t xml:space="preserve">徐州市云龙区城市管理局</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的</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eastAsia="zh-CN"/>
          <w14:textFill>
            <w14:solidFill>
              <w14:schemeClr w14:val="tx1"/>
            </w14:solidFill>
          </w14:textFill>
        </w:rPr>
        <w:t xml:space="preserve">云龙区绿地养护（郭庄路、主城区、三环路以东等绿地）</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采购活动，服务全部由符合政策要求的中小企业承接。相关企业的具体情况如下：</w:t>
      </w:r>
      <w:r/>
    </w:p>
    <w:p>
      <w:pPr>
        <w:ind w:firstLine="560"/>
        <w:spacing w:line="360" w:lineRule="auto"/>
        <w:rPr>
          <w:rFonts w:ascii="宋体" w:hAnsi="宋体" w:cs="宋体"/>
          <w:b/>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eastAsia="zh-CN"/>
          <w14:textFill>
            <w14:solidFill>
              <w14:schemeClr w14:val="tx1"/>
            </w14:solidFill>
          </w14:textFill>
        </w:rPr>
        <w:t xml:space="preserve">云龙区绿地养护（郭庄路、主城区、三环路以东等绿地）</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val="en-US" w:eastAsia="zh-CN"/>
          <w14:textFill>
            <w14:solidFill>
              <w14:schemeClr w14:val="tx1"/>
            </w14:solidFill>
          </w14:textFill>
        </w:rPr>
        <w:t xml:space="preserve">其他未列明行业</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；承建（承接）企业为</w:t>
      </w:r>
      <w:r>
        <w:rPr>
          <w:rFonts w:hint="eastAsia" w:ascii="宋体" w:hAnsi="宋体" w:cs="宋体"/>
          <w:color w:val="000000" w:themeColor="text1"/>
          <w:sz w:val="24"/>
          <w:szCs w:val="24"/>
          <w:u w:val="single"/>
          <w14:textFill>
            <w14:solidFill>
              <w14:schemeClr w14:val="tx1"/>
            </w14:solidFill>
          </w14:textFill>
        </w:rPr>
        <w:t xml:space="preserve">（企业名称）</w:t>
      </w:r>
      <w:r>
        <w:rPr>
          <w:rFonts w:hint="eastAsia" w:ascii="宋体" w:hAnsi="宋体" w:cs="宋体"/>
          <w:color w:val="000000" w:themeColor="text1"/>
          <w:sz w:val="24"/>
          <w:szCs w:val="24"/>
          <w14:textFill>
            <w14:solidFill>
              <w14:schemeClr w14:val="tx1"/>
            </w14:solidFill>
          </w14:textFill>
        </w:rPr>
        <w:t xml:space="preserve">，从业人员</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人，营业收入为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万元，资产总额为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w:t>
      </w:r>
      <w:r>
        <w:rPr>
          <w:rFonts w:hint="eastAsia" w:ascii="宋体" w:hAnsi="宋体" w:cs="宋体"/>
          <w:b/>
          <w:color w:val="000000" w:themeColor="text1"/>
          <w:sz w:val="24"/>
          <w:szCs w:val="24"/>
          <w14:textFill>
            <w14:solidFill>
              <w14:schemeClr w14:val="tx1"/>
            </w14:solidFill>
          </w14:textFill>
        </w:rPr>
        <w:t xml:space="preserve">属于（□中型企业、□小型企业、□微型企业，请勾选！）；</w:t>
      </w:r>
      <w:r/>
    </w:p>
    <w:p>
      <w:pPr>
        <w:ind w:firstLine="56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企业名称（电子签章）：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p>
    <w:p>
      <w:pPr>
        <w:ind w:firstLine="360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1054"/>
        <w:ind w:left="0"/>
        <w:jc w:val="left"/>
        <w:keepLines w:val="0"/>
        <w:keepNext w:val="0"/>
        <w:pageBreakBefore w:val="0"/>
        <w:spacing w:after="0" w:line="320" w:lineRule="exact"/>
        <w:widowControl w:val="off"/>
        <w:rPr>
          <w:rFonts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说明：</w:t>
      </w:r>
      <w:r/>
    </w:p>
    <w:p>
      <w:pPr>
        <w:pStyle w:val="1054"/>
        <w:ind w:left="0"/>
        <w:keepLines w:val="0"/>
        <w:keepNext w:val="0"/>
        <w:pageBreakBefore w:val="0"/>
        <w:spacing w:after="0" w:line="320" w:lineRule="exact"/>
        <w:widowControl w:val="off"/>
        <w:rPr>
          <w:rFonts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54"/>
        <w:ind w:left="0"/>
        <w:keepLines w:val="0"/>
        <w:keepNext w:val="0"/>
        <w:pageBreakBefore w:val="0"/>
        <w:spacing w:after="0" w:line="320" w:lineRule="exact"/>
        <w:widowControl w:val="off"/>
        <w:rPr>
          <w:rFonts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2、从业人员、营业收入、资产总额填报供应商上一年度数据，无上一年度数据的新成立企业可不填报。</w:t>
      </w:r>
      <w:r/>
    </w:p>
    <w:p>
      <w:pPr>
        <w:pStyle w:val="1054"/>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3、中标人为小型、微型企业的，采购人或者其委托的采购代理机构有权随中标、成交结果同时公告其《中小企业声明函》，接受社会监督。</w:t>
      </w:r>
      <w:r/>
    </w:p>
    <w:p>
      <w:pPr>
        <w:pStyle w:val="1054"/>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4、执行江苏省财政厅关于进一步加大政府采购支持中小企业力度的通知（苏财购〔2022〕45号）的规定。</w:t>
      </w:r>
      <w:r/>
    </w:p>
    <w:p>
      <w:pPr>
        <w:pStyle w:val="1054"/>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5、供应商提供的《中小企业声明函》与事实不符的，依照《政府采购法》第七十七条第一款的规定追究法律责任。</w:t>
      </w:r>
      <w:r/>
    </w:p>
    <w:p>
      <w:pPr>
        <w:pStyle w:val="1054"/>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6、《中小企业声明函》查询渠道用微信搜索“中小企业规模类型自测小程序”。</w:t>
      </w:r>
      <w:r/>
    </w:p>
    <w:p>
      <w:pPr>
        <w:pStyle w:val="934"/>
        <w:keepLines w:val="0"/>
        <w:keepNext w:val="0"/>
        <w:pageBreakBefore w:val="0"/>
        <w:spacing w:line="320" w:lineRule="exact"/>
        <w:widowControl w:val="off"/>
        <w:rPr>
          <w:b w:val="0"/>
          <w:bCs w:val="0"/>
          <w:color w:val="000000" w:themeColor="text1"/>
          <w:sz w:val="22"/>
          <w:szCs w:val="22"/>
          <w14:textFill>
            <w14:solidFill>
              <w14:schemeClr w14:val="tx1"/>
            </w14:solidFill>
          </w14:textFill>
        </w:rPr>
      </w:pPr>
      <w:r>
        <w:rPr>
          <w:b w:val="0"/>
          <w:bCs w:val="0"/>
          <w:color w:val="000000" w:themeColor="text1"/>
          <w:sz w:val="22"/>
          <w:szCs w:val="2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2545080" cy="4986655"/>
                <wp:effectExtent l="0" t="0" r="7620" b="4445"/>
                <wp:docPr id="11" name="图片 14"/>
                <wp:cNvGraphicFramePr/>
                <a:graphic xmlns:a="http://schemas.openxmlformats.org/drawingml/2006/main">
                  <a:graphicData uri="http://schemas.openxmlformats.org/drawingml/2006/picture">
                    <pic:pic xmlns:pic="http://schemas.openxmlformats.org/drawingml/2006/picture">
                      <pic:nvPicPr>
                        <pic:cNvPr id="11" name="图片 14"/>
                        <pic:cNvPicPr/>
                        <pic:nvPr/>
                      </pic:nvPicPr>
                      <pic:blipFill>
                        <a:blip r:embed="rId20"/>
                        <a:srcRect l="0" t="4498" r="0" b="0"/>
                        <a:stretch/>
                      </pic:blipFill>
                      <pic:spPr bwMode="auto">
                        <a:xfrm>
                          <a:off x="0" y="0"/>
                          <a:ext cx="2545080" cy="4986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00.4pt;height:392.6pt;mso-wrap-distance-left:0.0pt;mso-wrap-distance-top:0.0pt;mso-wrap-distance-right:0.0pt;mso-wrap-distance-bottom:0.0pt;" stroked="f">
                <v:path textboxrect="0,0,0,0"/>
                <v:imagedata r:id="rId20" o:title=""/>
              </v:shape>
            </w:pict>
          </mc:Fallback>
        </mc:AlternateContent>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 xml:space="preserve">10、</w:t>
      </w:r>
      <w:r>
        <w:rPr>
          <w:rFonts w:hint="eastAsia" w:ascii="宋体" w:hAnsi="宋体" w:cs="宋体"/>
          <w:b/>
          <w:color w:val="000000" w:themeColor="text1"/>
          <w:sz w:val="36"/>
          <w:szCs w:val="36"/>
          <w14:textFill>
            <w14:solidFill>
              <w14:schemeClr w14:val="tx1"/>
            </w14:solidFill>
          </w14:textFill>
        </w:rPr>
        <w:t xml:space="preserve">供应商参加政府采购活动前3年内在经营活动中没有重大违法记录的书面声明</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840"/>
        <w:jc w:val="left"/>
        <w:spacing w:before="100" w:beforeAutospacing="1" w:after="100" w:afterAutospacing="1"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我单位在参加</w:t>
      </w:r>
      <w:r>
        <w:rPr>
          <w:rFonts w:hint="eastAsia" w:ascii="宋体" w:hAnsi="宋体" w:cs="宋体"/>
          <w:color w:val="000000" w:themeColor="text1"/>
          <w:sz w:val="24"/>
          <w:szCs w:val="24"/>
          <w:u w:val="single"/>
          <w:lang w:eastAsia="zh-CN"/>
          <w14:textFill>
            <w14:solidFill>
              <w14:schemeClr w14:val="tx1"/>
            </w14:solidFill>
          </w14:textFill>
        </w:rPr>
        <w:t xml:space="preserve">云龙区绿地养护（郭庄路、主城区、三环路以东等绿地）</w:t>
      </w:r>
      <w:r>
        <w:rPr>
          <w:rFonts w:hint="eastAsia" w:ascii="宋体" w:hAnsi="宋体" w:cs="宋体"/>
          <w:color w:val="000000" w:themeColor="text1"/>
          <w:sz w:val="24"/>
          <w:szCs w:val="24"/>
          <w:u w:val="none"/>
          <w:lang w:val="en-US" w:eastAsia="zh-CN"/>
          <w14:textFill>
            <w14:solidFill>
              <w14:schemeClr w14:val="tx1"/>
            </w14:solidFill>
          </w14:textFill>
        </w:rPr>
        <w:t xml:space="preserve">项目</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u w:val="single"/>
          <w14:textFill>
            <w14:solidFill>
              <w14:schemeClr w14:val="tx1"/>
            </w14:solidFill>
          </w14:textFill>
        </w:rPr>
        <w:t xml:space="preserve">项目编号：</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我单位对上述声明的真实性负责。如有虚假，将依法承担相应责任。</w:t>
      </w:r>
      <w:r/>
    </w:p>
    <w:p>
      <w:pPr>
        <w:ind w:right="29"/>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p>
    <w:p>
      <w:pPr>
        <w:ind w:right="29"/>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供应商（电子签章）：</w:t>
      </w:r>
      <w:r/>
    </w:p>
    <w:p>
      <w:pPr>
        <w:ind w:right="29"/>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9"/>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pStyle w:val="1027"/>
        <w:ind w:left="239" w:firstLine="2640"/>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588" w:lineRule="exact"/>
        <w:rPr>
          <w:rFonts w:ascii="宋体" w:hAnsi="宋体" w:cs="宋体"/>
          <w:b/>
          <w:color w:val="000000" w:themeColor="text1"/>
          <w:sz w:val="36"/>
          <w:szCs w:val="36"/>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ascii="宋体" w:hAnsi="宋体" w:cs="宋体"/>
          <w:b/>
          <w:color w:val="000000" w:themeColor="text1"/>
          <w:sz w:val="36"/>
          <w:szCs w:val="36"/>
          <w14:textFill>
            <w14:solidFill>
              <w14:schemeClr w14:val="tx1"/>
            </w14:solidFill>
          </w14:textFill>
        </w:rPr>
      </w:r>
      <w:r/>
    </w:p>
    <w:p>
      <w:pPr>
        <w:jc w:val="center"/>
        <w:spacing w:line="588" w:lineRule="exact"/>
        <w:rPr>
          <w:rFonts w:hint="eastAsia" w:ascii="宋体" w:hAnsi="宋体" w:cs="宋体"/>
          <w:b/>
          <w:color w:val="000000" w:themeColor="text1"/>
          <w:sz w:val="36"/>
          <w:szCs w:val="36"/>
          <w14:textFill>
            <w14:solidFill>
              <w14:schemeClr w14:val="tx1"/>
            </w14:solidFill>
          </w14:textFill>
        </w:rPr>
      </w:pPr>
      <w:r/>
      <w:bookmarkStart w:id="2" w:name="OLE_LINK13"/>
      <w:r/>
      <w:bookmarkStart w:id="3" w:name="OLE_LINK14"/>
      <w:r>
        <w:rPr>
          <w:rFonts w:hint="eastAsia" w:ascii="宋体" w:hAnsi="宋体" w:cs="宋体"/>
          <w:b/>
          <w:color w:val="000000" w:themeColor="text1"/>
          <w:sz w:val="36"/>
          <w:szCs w:val="36"/>
          <w:lang w:val="en-US" w:eastAsia="zh-CN"/>
          <w14:textFill>
            <w14:solidFill>
              <w14:schemeClr w14:val="tx1"/>
            </w14:solidFill>
          </w14:textFill>
        </w:rPr>
        <w:t xml:space="preserve">11</w:t>
      </w:r>
      <w:r>
        <w:rPr>
          <w:rFonts w:hint="eastAsia" w:ascii="宋体" w:hAnsi="宋体" w:cs="宋体"/>
          <w:b/>
          <w:color w:val="000000" w:themeColor="text1"/>
          <w:sz w:val="36"/>
          <w:szCs w:val="36"/>
          <w:lang w:eastAsia="zh-CN"/>
          <w14:textFill>
            <w14:solidFill>
              <w14:schemeClr w14:val="tx1"/>
            </w14:solidFill>
          </w14:textFill>
        </w:rPr>
        <w:t xml:space="preserve">、</w:t>
      </w:r>
      <w:r>
        <w:rPr>
          <w:rFonts w:hint="eastAsia" w:ascii="宋体" w:hAnsi="宋体" w:cs="宋体"/>
          <w:b/>
          <w:color w:val="000000" w:themeColor="text1"/>
          <w:sz w:val="36"/>
          <w:szCs w:val="36"/>
          <w14:textFill>
            <w14:solidFill>
              <w14:schemeClr w14:val="tx1"/>
            </w14:solidFill>
          </w14:textFill>
        </w:rPr>
        <w:t xml:space="preserve">具备履行合同所必需的设备和专业技术能力的书面声明（附证明材料扫描件）</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u w:val="single"/>
          <w:lang w:val="en-US" w:eastAsia="zh-CN"/>
          <w14:textFill>
            <w14:solidFill>
              <w14:schemeClr w14:val="tx1"/>
            </w14:solidFill>
          </w14:textFill>
        </w:rPr>
        <w:t xml:space="preserve">云龙区绿地养护（郭庄路、主城区、三环路以东等绿地）</w:t>
      </w:r>
      <w:r/>
    </w:p>
    <w:p>
      <w:pPr>
        <w:spacing w:line="360" w:lineRule="auto"/>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郑重声明：</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具备履行合同（项目名称：</w:t>
      </w:r>
      <w:r>
        <w:rPr>
          <w:rFonts w:hint="eastAsia" w:ascii="宋体" w:hAnsi="宋体" w:cs="宋体"/>
          <w:color w:val="000000" w:themeColor="text1"/>
          <w:sz w:val="24"/>
          <w:szCs w:val="24"/>
          <w:u w:val="single"/>
          <w:lang w:val="en-US" w:eastAsia="zh-CN"/>
          <w14:textFill>
            <w14:solidFill>
              <w14:schemeClr w14:val="tx1"/>
            </w14:solidFill>
          </w14:textFill>
        </w:rPr>
        <w:t xml:space="preserve">云龙区绿地养护（郭庄路、主城区、三环路以东等绿地）</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）所必需的设备和专业技术能力，具体为：</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对上述声明的真实性负责。如有虚假，将依法承担相应责任。</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31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jc w:val="center"/>
        <w:spacing w:line="588" w:lineRule="exact"/>
        <w:rPr>
          <w:rFonts w:hint="eastAsia" w:ascii="宋体" w:hAnsi="宋体" w:cs="宋体"/>
          <w:b/>
          <w:color w:val="000000" w:themeColor="text1"/>
          <w:sz w:val="32"/>
          <w:szCs w:val="32"/>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s="宋体"/>
          <w:b/>
          <w:color w:val="000000" w:themeColor="text1"/>
          <w:sz w:val="32"/>
          <w:szCs w:val="32"/>
          <w14:textFill>
            <w14:solidFill>
              <w14:schemeClr w14:val="tx1"/>
            </w14:solidFill>
          </w14:textFill>
        </w:rPr>
      </w:r>
      <w:r/>
    </w:p>
    <w:p>
      <w:pPr>
        <w:jc w:val="center"/>
        <w:spacing w:line="588" w:lineRule="exact"/>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1</w:t>
      </w:r>
      <w:r>
        <w:rPr>
          <w:rFonts w:hint="eastAsia" w:ascii="宋体" w:hAnsi="宋体" w:cs="宋体"/>
          <w:b/>
          <w:color w:val="000000" w:themeColor="text1"/>
          <w:sz w:val="36"/>
          <w:szCs w:val="36"/>
          <w:lang w:val="en-US" w:eastAsia="zh-CN"/>
          <w14:textFill>
            <w14:solidFill>
              <w14:schemeClr w14:val="tx1"/>
            </w14:solidFill>
          </w14:textFill>
        </w:rPr>
        <w:t xml:space="preserve">2</w:t>
      </w:r>
      <w:r>
        <w:rPr>
          <w:rFonts w:hint="eastAsia" w:ascii="宋体" w:hAnsi="宋体" w:cs="宋体"/>
          <w:b/>
          <w:color w:val="000000" w:themeColor="text1"/>
          <w:sz w:val="36"/>
          <w:szCs w:val="36"/>
          <w14:textFill>
            <w14:solidFill>
              <w14:schemeClr w14:val="tx1"/>
            </w14:solidFill>
          </w14:textFill>
        </w:rPr>
        <w:t xml:space="preserve">、残疾人福利性单位声明函</w:t>
      </w:r>
      <w:bookmarkEnd w:id="2"/>
      <w:r/>
      <w:bookmarkEnd w:id="3"/>
      <w:r/>
      <w:r/>
    </w:p>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（注：如供应商不属于残疾人福利性单位，不需提供此声明函）</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p>
    <w:p>
      <w:pPr>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项目名称：</w:t>
      </w:r>
      <w:r/>
    </w:p>
    <w:p>
      <w:pPr>
        <w:ind w:firstLine="584"/>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szCs w:val="24"/>
          <w14:textFill>
            <w14:solidFill>
              <w14:schemeClr w14:val="tx1"/>
            </w14:solidFill>
          </w14:textFill>
        </w:rPr>
        <w:t xml:space="preserve">〔2017〕 141</w:t>
      </w:r>
      <w:r>
        <w:rPr>
          <w:rFonts w:hint="eastAsia" w:ascii="宋体" w:hAnsi="宋体" w:cs="宋体"/>
          <w:color w:val="000000" w:themeColor="text1"/>
          <w:spacing w:val="6"/>
          <w:sz w:val="24"/>
          <w:szCs w:val="24"/>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单位名称（电子签章）：</w:t>
      </w:r>
      <w:r/>
    </w:p>
    <w:p>
      <w:pPr>
        <w:ind w:right="1560" w:firstLine="584"/>
        <w:spacing w:line="588" w:lineRule="exact"/>
        <w:tabs>
          <w:tab w:val="left" w:pos="4860" w:leader="none"/>
        </w:tabs>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日  期：  年  月  日</w:t>
      </w:r>
      <w:r/>
    </w:p>
    <w:p>
      <w:pPr>
        <w:pStyle w:val="941"/>
        <w:ind w:left="0"/>
        <w:rPr>
          <w:rFonts w:ascii="宋体" w:hAnsi="宋体" w:cs="宋体"/>
          <w:color w:val="000000" w:themeColor="text1"/>
          <w:sz w:val="20"/>
          <w:szCs w:val="22"/>
          <w14:textFill>
            <w14:solidFill>
              <w14:schemeClr w14:val="tx1"/>
            </w14:solidFill>
          </w14:textFill>
        </w:rPr>
      </w:pPr>
      <w:r>
        <w:rPr>
          <w:rFonts w:ascii="宋体" w:hAnsi="宋体" w:cs="宋体"/>
          <w:color w:val="000000" w:themeColor="text1"/>
          <w:sz w:val="20"/>
          <w:szCs w:val="22"/>
          <w14:textFill>
            <w14:solidFill>
              <w14:schemeClr w14:val="tx1"/>
            </w14:solidFill>
          </w14:textFill>
        </w:rPr>
      </w:r>
      <w:r/>
    </w:p>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说明：</w:t>
      </w:r>
      <w:r/>
    </w:p>
    <w:p>
      <w:pPr>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b/>
          <w:color w:val="000000" w:themeColor="text1"/>
          <w:sz w:val="32"/>
          <w:szCs w:val="32"/>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s="宋体"/>
          <w:color w:val="000000" w:themeColor="text1"/>
          <w:sz w:val="24"/>
          <w:szCs w:val="24"/>
          <w14:textFill>
            <w14:solidFill>
              <w14:schemeClr w14:val="tx1"/>
            </w14:solidFill>
          </w14:textFill>
        </w:rPr>
        <w:t xml:space="preserve">供应商提供的《残疾人福利性单位声明函》与事实不符的，依照《政府采购法》第七十七条第一款的规定追究法律责任。</w:t>
      </w:r>
      <w:r/>
    </w:p>
    <w:p>
      <w:pPr>
        <w:jc w:val="center"/>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lang w:val="en-US" w:eastAsia="zh-CN"/>
          <w14:textFill>
            <w14:solidFill>
              <w14:schemeClr w14:val="tx1"/>
            </w14:solidFill>
          </w14:textFill>
        </w:rPr>
        <w:t xml:space="preserve">13</w:t>
      </w:r>
      <w:r>
        <w:rPr>
          <w:rFonts w:hint="eastAsia" w:ascii="宋体" w:hAnsi="宋体" w:cs="宋体"/>
          <w:b/>
          <w:color w:val="000000" w:themeColor="text1"/>
          <w:sz w:val="36"/>
          <w:szCs w:val="36"/>
          <w14:textFill>
            <w14:solidFill>
              <w14:schemeClr w14:val="tx1"/>
            </w14:solidFill>
          </w14:textFill>
        </w:rPr>
        <w:t xml:space="preserve">、预付款保函支付条款模板</w:t>
      </w:r>
      <w:r/>
    </w:p>
    <w:p>
      <w:pPr>
        <w:ind w:firstLine="565"/>
        <w:spacing w:line="480" w:lineRule="exact"/>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符合条件一：提交预付款保函的</w:t>
      </w:r>
      <w:r/>
    </w:p>
    <w:p>
      <w:pPr>
        <w:ind w:firstLine="482"/>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（1）合同签订且乙方向甲方出具预付款保函后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        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（2）验收合格后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符合条件二：不提交预付款保函的</w:t>
      </w:r>
      <w:r/>
    </w:p>
    <w:p>
      <w:pPr>
        <w:ind w:firstLine="482"/>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（1）合同签订后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（2）验收合格后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w:t>
      </w:r>
      <w:r/>
    </w:p>
    <w:p>
      <w:pPr>
        <w:ind w:left="140"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注:</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1、付款条件一中，出具预付款保函后支付的合同款应当与保函金额一致。</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2、付款条件二中，预付款比例设定应符合《关于做好政府采购支持企业发展有关事项的通知》(苏财购〔2020〕52号)要求。</w:t>
      </w:r>
      <w:r/>
    </w:p>
    <w:p>
      <w:pPr>
        <w:pStyle w:val="941"/>
        <w:rPr>
          <w:rFonts w:ascii="宋体" w:hAnsi="宋体" w:cs="宋体"/>
          <w:color w:val="000000" w:themeColor="text1"/>
          <w:sz w:val="20"/>
          <w:szCs w:val="22"/>
          <w14:textFill>
            <w14:solidFill>
              <w14:schemeClr w14:val="tx1"/>
            </w14:solidFill>
          </w14:textFill>
        </w:rPr>
      </w:pPr>
      <w:r>
        <w:rPr>
          <w:rFonts w:ascii="宋体" w:hAnsi="宋体" w:cs="宋体"/>
          <w:color w:val="000000" w:themeColor="text1"/>
          <w:sz w:val="20"/>
          <w:szCs w:val="22"/>
          <w14:textFill>
            <w14:solidFill>
              <w14:schemeClr w14:val="tx1"/>
            </w14:solidFill>
          </w14:textFill>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1</w:t>
      </w:r>
      <w:r>
        <w:rPr>
          <w:rFonts w:hint="eastAsia" w:ascii="宋体" w:hAnsi="宋体" w:cs="宋体"/>
          <w:b/>
          <w:color w:val="000000"/>
          <w:sz w:val="36"/>
          <w:lang w:val="en-US" w:eastAsia="zh-CN"/>
        </w:rPr>
        <w:t xml:space="preserve">4</w:t>
      </w:r>
      <w:r>
        <w:rPr>
          <w:rFonts w:ascii="宋体" w:hAnsi="宋体" w:eastAsia="宋体" w:cs="宋体"/>
          <w:b/>
          <w:color w:val="000000"/>
          <w:sz w:val="36"/>
        </w:rPr>
        <w:t xml:space="preserve">、招标代理服务收费标准</w:t>
      </w:r>
      <w:r/>
    </w:p>
    <w:tbl>
      <w:tblPr>
        <w:tblStyle w:val="930"/>
        <w:tblW w:w="92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5"/>
        <w:gridCol w:w="462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0.005%</w:t>
            </w:r>
            <w:r/>
          </w:p>
        </w:tc>
      </w:tr>
    </w:tbl>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说明：</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1.按上表计算的收费为代理服务全过程的收费金额。各社会代理机构不再收取采购文件制作售卖费用。</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2.代理服务费按差额定率累进法计算。</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3.代理服务费基准金额（按差额定率累进法计算的）=中标金额（按差额定率累进法计算的）*费率（%）</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4.代理服务费应收取金额=代理服务费基准金额（按差额定率累进法计算的）的合计数。</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5.定点类等无金额或事先不能计算出价格总额的项目，按中标（成交）金额100万元计算。</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6.有分包（分标段）的按一个项目计算。</w:t>
      </w:r>
      <w:r/>
    </w:p>
    <w:p>
      <w:pPr>
        <w:ind w:left="0" w:right="0" w:firstLine="505"/>
        <w:spacing w:before="240" w:after="240" w:line="85" w:lineRule="atLeast"/>
        <w:rPr>
          <w:highlight w:val="yellow"/>
        </w:rPr>
        <w:pBdr>
          <w:top w:val="none" w:color="000000" w:sz="0" w:space="0"/>
          <w:left w:val="none" w:color="000000" w:sz="0" w:space="0"/>
          <w:bottom w:val="none" w:color="000000" w:sz="0" w:space="0"/>
          <w:right w:val="none" w:color="000000" w:sz="0" w:space="0"/>
        </w:pBdr>
      </w:pPr>
      <w:r>
        <w:rPr>
          <w:highlight w:val="yellow"/>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80"/>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sectPr>
      <w:footnotePr/>
      <w:endnotePr/>
      <w:type w:val="nextPage"/>
      <w:pgSz w:w="11906" w:h="16838" w:orient="portrait"/>
      <w:pgMar w:top="1434" w:right="1434" w:bottom="1434" w:left="14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黑体">
    <w:panose1 w:val="02010609060101010101"/>
  </w:font>
  <w:font w:name="仿宋_GB2312">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rPr>
        <w:rStyle w:val="1029"/>
      </w:rPr>
      <w:framePr w:wrap="around" w:vAnchor="text" w:hAnchor="margin" w:xAlign="center" w:y="1"/>
    </w:pPr>
    <w:r>
      <w:fldChar w:fldCharType="begin"/>
    </w:r>
    <w:r>
      <w:rPr>
        <w:rStyle w:val="1029"/>
      </w:rPr>
      <w:instrText xml:space="preserve">PAGE  </w:instrText>
    </w:r>
    <w:r>
      <w:fldChar w:fldCharType="end"/>
    </w:r>
    <w:r/>
  </w:p>
  <w:p>
    <w:pPr>
      <w:pStyle w:val="10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8609" cy="306679"/>
              <wp:effectExtent l="6350" t="6350" r="6350" b="6350"/>
              <wp:wrapNone/>
              <wp:docPr id="1" name="文本框 13"/>
              <wp:cNvGraphicFramePr/>
              <a:graphic xmlns:a="http://schemas.openxmlformats.org/drawingml/2006/main">
                <a:graphicData uri="http://schemas.microsoft.com/office/word/2010/wordprocessingShape">
                  <wps:wsp>
                    <wps:cNvPr id="0" name=""/>
                    <wps:cNvSpPr txBox="1"/>
                    <wps:spPr bwMode="auto">
                      <a:xfrm flipH="0" flipV="0">
                        <a:off x="0" y="0"/>
                        <a:ext cx="228609" cy="306678"/>
                      </a:xfrm>
                      <a:prstGeom prst="rect">
                        <a:avLst/>
                      </a:prstGeom>
                      <a:noFill/>
                      <a:ln>
                        <a:noFill/>
                      </a:ln>
                    </wps:spPr>
                    <wps:txbx>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8.0pt;height:24.1pt;mso-wrap-distance-left:9.0pt;mso-wrap-distance-top:0.0pt;mso-wrap-distance-right:9.0pt;mso-wrap-distance-bottom:0.0pt;visibility:visible;" filled="f" stroked="f">
              <v:textbox inset="0,0,0,0">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5313" cy="306679"/>
              <wp:effectExtent l="6350" t="6350" r="6350" b="6350"/>
              <wp:wrapNone/>
              <wp:docPr id="2" name="文本框 14"/>
              <wp:cNvGraphicFramePr/>
              <a:graphic xmlns:a="http://schemas.openxmlformats.org/drawingml/2006/main">
                <a:graphicData uri="http://schemas.microsoft.com/office/word/2010/wordprocessingShape">
                  <wps:wsp>
                    <wps:cNvPr id="0" name=""/>
                    <wps:cNvSpPr txBox="1"/>
                    <wps:spPr bwMode="auto">
                      <a:xfrm flipH="0" flipV="0">
                        <a:off x="0" y="0"/>
                        <a:ext cx="185313" cy="306678"/>
                      </a:xfrm>
                      <a:prstGeom prst="rect">
                        <a:avLst/>
                      </a:prstGeom>
                      <a:noFill/>
                      <a:ln>
                        <a:noFill/>
                      </a:ln>
                    </wps:spPr>
                    <wps:txbx>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6pt;height:24.1pt;mso-wrap-distance-left:9.0pt;mso-wrap-distance-top:0.0pt;mso-wrap-distance-right:9.0pt;mso-wrap-distance-bottom:0.0pt;visibility:visible;" filled="f" stroked="f">
              <v:textbox inset="0,0,0,0">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1290" cy="306679"/>
              <wp:effectExtent l="6350" t="6350" r="6350" b="6350"/>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211290" cy="306678"/>
                      </a:xfrm>
                      <a:prstGeom prst="rect">
                        <a:avLst/>
                      </a:prstGeom>
                      <a:noFill/>
                      <a:ln>
                        <a:noFill/>
                      </a:ln>
                    </wps:spPr>
                    <wps:txbx>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6.6pt;height:24.1pt;mso-wrap-distance-left:9.0pt;mso-wrap-distance-top:0.0pt;mso-wrap-distance-right:9.0pt;mso-wrap-distance-bottom:0.0pt;visibility:visible;" filled="f" stroked="f">
              <v:textbox inset="0,0,0,0">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4460" cy="438112"/>
              <wp:effectExtent l="6350" t="6350" r="6350" b="6350"/>
              <wp:wrapNone/>
              <wp:docPr id="4" name="文本框 4"/>
              <wp:cNvGraphicFramePr/>
              <a:graphic xmlns:a="http://schemas.openxmlformats.org/drawingml/2006/main">
                <a:graphicData uri="http://schemas.microsoft.com/office/word/2010/wordprocessingShape">
                  <wps:wsp>
                    <wps:cNvPr id="0" name=""/>
                    <wps:cNvSpPr txBox="1"/>
                    <wps:spPr bwMode="auto">
                      <a:xfrm flipH="0" flipV="0">
                        <a:off x="0" y="0"/>
                        <a:ext cx="284459" cy="438112"/>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32</w:t>
                          </w:r>
                          <w:r>
                            <w:rPr>
                              <w:rFonts w:hint="eastAsia"/>
                              <w:sz w:val="18"/>
                            </w:rPr>
                            <w:fldChar w:fldCharType="end"/>
                          </w:r>
                          <w:r/>
                        </w:p>
                        <w:p>
                          <w:r/>
                          <w:r/>
                        </w:p>
                        <w:p>
                          <w:r/>
                          <w:r/>
                        </w:p>
                      </w:txbxContent>
                    </wps:txbx>
                    <wps:bodyPr wrap="square" lIns="0" tIns="0" rIns="0" bIns="0" upright="1">
                      <a:no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22.4pt;height:34.5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32</w:t>
                    </w:r>
                    <w:r>
                      <w:rPr>
                        <w:rFonts w:hint="eastAsia"/>
                        <w:sz w:val="18"/>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3274" cy="306679"/>
              <wp:effectExtent l="6350" t="6350" r="6350" b="6350"/>
              <wp:wrapNone/>
              <wp:docPr id="5" name="文本框 7"/>
              <wp:cNvGraphicFramePr/>
              <a:graphic xmlns:a="http://schemas.openxmlformats.org/drawingml/2006/main">
                <a:graphicData uri="http://schemas.microsoft.com/office/word/2010/wordprocessingShape">
                  <wps:wsp>
                    <wps:cNvPr id="0" name=""/>
                    <wps:cNvSpPr txBox="1"/>
                    <wps:spPr bwMode="auto">
                      <a:xfrm flipH="0" flipV="0">
                        <a:off x="0" y="0"/>
                        <a:ext cx="253274" cy="306678"/>
                      </a:xfrm>
                      <a:prstGeom prst="rect">
                        <a:avLst/>
                      </a:prstGeom>
                      <a:noFill/>
                      <a:ln>
                        <a:noFill/>
                      </a:ln>
                    </wps:spPr>
                    <wps:txbx>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txbxContent>
                    </wps:txbx>
                    <wps:bodyPr wrap="square" lIns="0" tIns="0" rIns="0" bIns="0" upright="1">
                      <a:no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9.9pt;height:24.1pt;mso-wrap-distance-left:9.0pt;mso-wrap-distance-top:0.0pt;mso-wrap-distance-right:9.0pt;mso-wrap-distance-bottom:0.0pt;visibility:visible;" filled="f" stroked="f">
              <v:textbox inset="0,0,0,0">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3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default="1">
    <w:name w:val="Normal"/>
    <w:link w:val="10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5">
    <w:name w:val="Heading 1"/>
    <w:basedOn w:val="894"/>
    <w:next w:val="894"/>
    <w:link w:val="952"/>
    <w:uiPriority w:val="9"/>
    <w:qFormat/>
    <w:pPr>
      <w:keepLines/>
      <w:keepNext/>
      <w:spacing w:before="480" w:after="200"/>
      <w:outlineLvl w:val="0"/>
    </w:pPr>
    <w:rPr>
      <w:rFonts w:ascii="Arial" w:hAnsi="Arial" w:eastAsia="Arial" w:cs="Arial"/>
      <w:sz w:val="40"/>
      <w:szCs w:val="40"/>
    </w:rPr>
  </w:style>
  <w:style w:type="paragraph" w:styleId="896">
    <w:name w:val="Heading 2"/>
    <w:basedOn w:val="894"/>
    <w:next w:val="894"/>
    <w:link w:val="953"/>
    <w:uiPriority w:val="9"/>
    <w:unhideWhenUsed/>
    <w:qFormat/>
    <w:pPr>
      <w:keepLines/>
      <w:keepNext/>
      <w:spacing w:before="360" w:after="200"/>
      <w:outlineLvl w:val="1"/>
    </w:pPr>
    <w:rPr>
      <w:rFonts w:ascii="Arial" w:hAnsi="Arial" w:eastAsia="Arial" w:cs="Arial"/>
      <w:sz w:val="34"/>
    </w:rPr>
  </w:style>
  <w:style w:type="paragraph" w:styleId="897">
    <w:name w:val="Heading 3"/>
    <w:basedOn w:val="894"/>
    <w:next w:val="894"/>
    <w:link w:val="954"/>
    <w:uiPriority w:val="9"/>
    <w:unhideWhenUsed/>
    <w:qFormat/>
    <w:pPr>
      <w:keepLines/>
      <w:keepNext/>
      <w:spacing w:before="320" w:after="200"/>
      <w:outlineLvl w:val="2"/>
    </w:pPr>
    <w:rPr>
      <w:rFonts w:ascii="Arial" w:hAnsi="Arial" w:eastAsia="Arial" w:cs="Arial"/>
      <w:sz w:val="30"/>
      <w:szCs w:val="30"/>
    </w:rPr>
  </w:style>
  <w:style w:type="paragraph" w:styleId="898">
    <w:name w:val="Heading 4"/>
    <w:basedOn w:val="894"/>
    <w:next w:val="894"/>
    <w:link w:val="955"/>
    <w:uiPriority w:val="9"/>
    <w:unhideWhenUsed/>
    <w:qFormat/>
    <w:pPr>
      <w:keepLines/>
      <w:keepNext/>
      <w:spacing w:before="320" w:after="200"/>
      <w:outlineLvl w:val="3"/>
    </w:pPr>
    <w:rPr>
      <w:rFonts w:ascii="Arial" w:hAnsi="Arial" w:eastAsia="Arial" w:cs="Arial"/>
      <w:b/>
      <w:bCs/>
      <w:sz w:val="26"/>
      <w:szCs w:val="26"/>
    </w:rPr>
  </w:style>
  <w:style w:type="paragraph" w:styleId="899">
    <w:name w:val="Heading 5"/>
    <w:basedOn w:val="894"/>
    <w:next w:val="894"/>
    <w:link w:val="956"/>
    <w:uiPriority w:val="9"/>
    <w:unhideWhenUsed/>
    <w:qFormat/>
    <w:pPr>
      <w:keepLines/>
      <w:keepNext/>
      <w:spacing w:before="320" w:after="200"/>
      <w:outlineLvl w:val="4"/>
    </w:pPr>
    <w:rPr>
      <w:rFonts w:ascii="Arial" w:hAnsi="Arial" w:eastAsia="Arial" w:cs="Arial"/>
      <w:b/>
      <w:bCs/>
      <w:sz w:val="24"/>
      <w:szCs w:val="24"/>
    </w:rPr>
  </w:style>
  <w:style w:type="paragraph" w:styleId="900">
    <w:name w:val="Heading 6"/>
    <w:basedOn w:val="894"/>
    <w:next w:val="894"/>
    <w:link w:val="957"/>
    <w:uiPriority w:val="9"/>
    <w:unhideWhenUsed/>
    <w:qFormat/>
    <w:pPr>
      <w:keepLines/>
      <w:keepNext/>
      <w:spacing w:before="320" w:after="200"/>
      <w:outlineLvl w:val="5"/>
    </w:pPr>
    <w:rPr>
      <w:rFonts w:ascii="Arial" w:hAnsi="Arial" w:eastAsia="Arial" w:cs="Arial"/>
      <w:b/>
      <w:bCs/>
      <w:sz w:val="22"/>
      <w:szCs w:val="22"/>
    </w:rPr>
  </w:style>
  <w:style w:type="paragraph" w:styleId="901">
    <w:name w:val="Heading 7"/>
    <w:basedOn w:val="894"/>
    <w:next w:val="894"/>
    <w:link w:val="958"/>
    <w:uiPriority w:val="9"/>
    <w:unhideWhenUsed/>
    <w:qFormat/>
    <w:pPr>
      <w:keepLines/>
      <w:keepNext/>
      <w:spacing w:before="320" w:after="200"/>
      <w:outlineLvl w:val="6"/>
    </w:pPr>
    <w:rPr>
      <w:rFonts w:ascii="Arial" w:hAnsi="Arial" w:eastAsia="Arial" w:cs="Arial"/>
      <w:b/>
      <w:bCs/>
      <w:i/>
      <w:iCs/>
      <w:sz w:val="22"/>
      <w:szCs w:val="22"/>
    </w:rPr>
  </w:style>
  <w:style w:type="paragraph" w:styleId="902">
    <w:name w:val="Heading 8"/>
    <w:basedOn w:val="894"/>
    <w:next w:val="894"/>
    <w:link w:val="959"/>
    <w:uiPriority w:val="9"/>
    <w:unhideWhenUsed/>
    <w:qFormat/>
    <w:pPr>
      <w:keepLines/>
      <w:keepNext/>
      <w:spacing w:before="320" w:after="200"/>
      <w:outlineLvl w:val="7"/>
    </w:pPr>
    <w:rPr>
      <w:rFonts w:ascii="Arial" w:hAnsi="Arial" w:eastAsia="Arial" w:cs="Arial"/>
      <w:i/>
      <w:iCs/>
      <w:sz w:val="22"/>
      <w:szCs w:val="22"/>
    </w:rPr>
  </w:style>
  <w:style w:type="paragraph" w:styleId="903">
    <w:name w:val="Heading 9"/>
    <w:basedOn w:val="894"/>
    <w:next w:val="894"/>
    <w:link w:val="960"/>
    <w:uiPriority w:val="9"/>
    <w:unhideWhenUsed/>
    <w:qFormat/>
    <w:pPr>
      <w:keepLines/>
      <w:keepNext/>
      <w:spacing w:before="320" w:after="200"/>
      <w:outlineLvl w:val="8"/>
    </w:pPr>
    <w:rPr>
      <w:rFonts w:ascii="Arial" w:hAnsi="Arial" w:eastAsia="Arial" w:cs="Arial"/>
      <w:i/>
      <w:iCs/>
      <w:sz w:val="21"/>
      <w:szCs w:val="21"/>
    </w:rPr>
  </w:style>
  <w:style w:type="character" w:styleId="904" w:default="1">
    <w:name w:val="Default Paragraph Font"/>
    <w:uiPriority w:val="1"/>
    <w:semiHidden/>
    <w:unhideWhenUsed/>
    <w:qFormat/>
  </w:style>
  <w:style w:type="table" w:styleId="905" w:default="1">
    <w:name w:val="Normal Table"/>
    <w:uiPriority w:val="99"/>
    <w:semiHidden/>
    <w:unhideWhenUsed/>
    <w:qFormat/>
    <w:tblPr>
      <w:tblCellMar>
        <w:left w:w="108" w:type="dxa"/>
        <w:top w:w="0" w:type="dxa"/>
        <w:right w:w="108" w:type="dxa"/>
        <w:bottom w:w="0" w:type="dxa"/>
      </w:tblCellMar>
    </w:tblPr>
  </w:style>
  <w:style w:type="paragraph" w:styleId="906">
    <w:name w:val="toc 7"/>
    <w:basedOn w:val="894"/>
    <w:next w:val="894"/>
    <w:uiPriority w:val="39"/>
    <w:unhideWhenUsed/>
    <w:qFormat/>
    <w:pPr>
      <w:ind w:left="1701" w:right="0" w:firstLine="0"/>
      <w:spacing w:after="57"/>
    </w:pPr>
  </w:style>
  <w:style w:type="paragraph" w:styleId="907">
    <w:name w:val="Caption"/>
    <w:basedOn w:val="894"/>
    <w:next w:val="8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8">
    <w:name w:val="Body Text"/>
    <w:basedOn w:val="894"/>
    <w:next w:val="894"/>
    <w:uiPriority w:val="99"/>
    <w:qFormat/>
    <w:pPr>
      <w:spacing w:after="120"/>
    </w:pPr>
    <w:rPr>
      <w:rFonts w:ascii="Calibri" w:hAnsi="Calibri"/>
    </w:rPr>
  </w:style>
  <w:style w:type="paragraph" w:styleId="909">
    <w:name w:val="Body Text Indent"/>
    <w:basedOn w:val="894"/>
    <w:uiPriority w:val="99"/>
    <w:qFormat/>
    <w:pPr>
      <w:ind w:left="420"/>
      <w:spacing w:after="120"/>
    </w:pPr>
  </w:style>
  <w:style w:type="paragraph" w:styleId="910">
    <w:name w:val="Block Text"/>
    <w:basedOn w:val="894"/>
    <w:uiPriority w:val="99"/>
    <w:unhideWhenUsed/>
    <w:qFormat/>
    <w:pPr>
      <w:ind w:left="1440" w:right="1440"/>
      <w:spacing w:after="120"/>
    </w:pPr>
  </w:style>
  <w:style w:type="paragraph" w:styleId="911">
    <w:name w:val="toc 5"/>
    <w:basedOn w:val="894"/>
    <w:next w:val="894"/>
    <w:uiPriority w:val="39"/>
    <w:unhideWhenUsed/>
    <w:qFormat/>
    <w:pPr>
      <w:ind w:left="1134" w:right="0" w:firstLine="0"/>
      <w:spacing w:after="57"/>
    </w:pPr>
  </w:style>
  <w:style w:type="paragraph" w:styleId="912">
    <w:name w:val="toc 3"/>
    <w:basedOn w:val="894"/>
    <w:next w:val="894"/>
    <w:uiPriority w:val="39"/>
    <w:unhideWhenUsed/>
    <w:qFormat/>
    <w:pPr>
      <w:ind w:left="567" w:right="0" w:firstLine="0"/>
      <w:spacing w:after="57"/>
    </w:pPr>
  </w:style>
  <w:style w:type="paragraph" w:styleId="913">
    <w:name w:val="toc 8"/>
    <w:basedOn w:val="894"/>
    <w:next w:val="894"/>
    <w:uiPriority w:val="39"/>
    <w:unhideWhenUsed/>
    <w:qFormat/>
    <w:pPr>
      <w:ind w:left="1984" w:right="0" w:firstLine="0"/>
      <w:spacing w:after="57"/>
    </w:pPr>
  </w:style>
  <w:style w:type="paragraph" w:styleId="914">
    <w:name w:val="endnote text"/>
    <w:basedOn w:val="894"/>
    <w:link w:val="972"/>
    <w:uiPriority w:val="99"/>
    <w:semiHidden/>
    <w:unhideWhenUsed/>
    <w:qFormat/>
    <w:pPr>
      <w:spacing w:after="0" w:line="240" w:lineRule="auto"/>
    </w:pPr>
    <w:rPr>
      <w:sz w:val="20"/>
    </w:rPr>
  </w:style>
  <w:style w:type="paragraph" w:styleId="915">
    <w:name w:val="Footer"/>
    <w:basedOn w:val="894"/>
    <w:link w:val="970"/>
    <w:uiPriority w:val="99"/>
    <w:unhideWhenUsed/>
    <w:qFormat/>
    <w:pPr>
      <w:spacing w:after="0" w:line="240" w:lineRule="auto"/>
      <w:tabs>
        <w:tab w:val="center" w:pos="7143" w:leader="none"/>
        <w:tab w:val="right" w:pos="14287" w:leader="none"/>
      </w:tabs>
    </w:pPr>
  </w:style>
  <w:style w:type="paragraph" w:styleId="916">
    <w:name w:val="envelope return"/>
    <w:basedOn w:val="894"/>
    <w:uiPriority w:val="0"/>
    <w:qFormat/>
    <w:rPr>
      <w:rFonts w:ascii="Arial" w:hAnsi="Arial"/>
    </w:rPr>
  </w:style>
  <w:style w:type="paragraph" w:styleId="917">
    <w:name w:val="Header"/>
    <w:basedOn w:val="894"/>
    <w:link w:val="969"/>
    <w:uiPriority w:val="99"/>
    <w:unhideWhenUsed/>
    <w:qFormat/>
    <w:pPr>
      <w:spacing w:after="0" w:line="240" w:lineRule="auto"/>
      <w:tabs>
        <w:tab w:val="center" w:pos="7143" w:leader="none"/>
        <w:tab w:val="right" w:pos="14287" w:leader="none"/>
      </w:tabs>
    </w:pPr>
  </w:style>
  <w:style w:type="paragraph" w:styleId="918">
    <w:name w:val="toc 1"/>
    <w:basedOn w:val="894"/>
    <w:next w:val="894"/>
    <w:uiPriority w:val="39"/>
    <w:unhideWhenUsed/>
    <w:qFormat/>
    <w:pPr>
      <w:ind w:left="0" w:right="0" w:firstLine="0"/>
      <w:spacing w:after="57"/>
    </w:pPr>
  </w:style>
  <w:style w:type="paragraph" w:styleId="919">
    <w:name w:val="toc 4"/>
    <w:basedOn w:val="894"/>
    <w:next w:val="894"/>
    <w:uiPriority w:val="39"/>
    <w:unhideWhenUsed/>
    <w:qFormat/>
    <w:pPr>
      <w:ind w:left="850" w:right="0" w:firstLine="0"/>
      <w:spacing w:after="57"/>
    </w:pPr>
  </w:style>
  <w:style w:type="paragraph" w:styleId="920">
    <w:name w:val="Subtitle"/>
    <w:basedOn w:val="894"/>
    <w:next w:val="894"/>
    <w:link w:val="964"/>
    <w:uiPriority w:val="11"/>
    <w:qFormat/>
    <w:pPr>
      <w:spacing w:before="200" w:after="200"/>
    </w:pPr>
    <w:rPr>
      <w:sz w:val="24"/>
      <w:szCs w:val="24"/>
    </w:rPr>
  </w:style>
  <w:style w:type="paragraph" w:styleId="921">
    <w:name w:val="footnote text"/>
    <w:basedOn w:val="894"/>
    <w:link w:val="971"/>
    <w:uiPriority w:val="99"/>
    <w:semiHidden/>
    <w:unhideWhenUsed/>
    <w:qFormat/>
    <w:pPr>
      <w:spacing w:after="40" w:line="240" w:lineRule="auto"/>
    </w:pPr>
    <w:rPr>
      <w:sz w:val="18"/>
    </w:rPr>
  </w:style>
  <w:style w:type="paragraph" w:styleId="922">
    <w:name w:val="toc 6"/>
    <w:basedOn w:val="894"/>
    <w:next w:val="894"/>
    <w:uiPriority w:val="39"/>
    <w:unhideWhenUsed/>
    <w:qFormat/>
    <w:pPr>
      <w:ind w:left="1417" w:right="0" w:firstLine="0"/>
      <w:spacing w:after="57"/>
    </w:pPr>
  </w:style>
  <w:style w:type="paragraph" w:styleId="923">
    <w:name w:val="table of figures"/>
    <w:basedOn w:val="894"/>
    <w:next w:val="894"/>
    <w:uiPriority w:val="99"/>
    <w:unhideWhenUsed/>
    <w:qFormat/>
    <w:pPr>
      <w:spacing w:after="0" w:afterAutospacing="0"/>
    </w:pPr>
  </w:style>
  <w:style w:type="paragraph" w:styleId="924">
    <w:name w:val="toc 2"/>
    <w:basedOn w:val="894"/>
    <w:next w:val="894"/>
    <w:uiPriority w:val="39"/>
    <w:unhideWhenUsed/>
    <w:qFormat/>
    <w:pPr>
      <w:ind w:left="283" w:right="0" w:firstLine="0"/>
      <w:spacing w:after="57"/>
    </w:pPr>
  </w:style>
  <w:style w:type="paragraph" w:styleId="925">
    <w:name w:val="toc 9"/>
    <w:basedOn w:val="894"/>
    <w:next w:val="894"/>
    <w:uiPriority w:val="39"/>
    <w:unhideWhenUsed/>
    <w:qFormat/>
    <w:pPr>
      <w:ind w:left="2268" w:right="0" w:firstLine="0"/>
      <w:spacing w:after="57"/>
    </w:pPr>
  </w:style>
  <w:style w:type="paragraph" w:styleId="926">
    <w:name w:val="Normal (Web)"/>
    <w:basedOn w:val="894"/>
    <w:uiPriority w:val="0"/>
    <w:qFormat/>
    <w:pPr>
      <w:ind w:left="0" w:right="0"/>
      <w:jc w:val="left"/>
      <w:spacing w:before="0" w:beforeAutospacing="1" w:after="0" w:afterAutospacing="1"/>
    </w:pPr>
    <w:rPr>
      <w:sz w:val="24"/>
      <w:lang w:val="en-US" w:eastAsia="zh-CN" w:bidi="ar"/>
    </w:rPr>
  </w:style>
  <w:style w:type="paragraph" w:styleId="927">
    <w:name w:val="Title"/>
    <w:basedOn w:val="894"/>
    <w:next w:val="894"/>
    <w:link w:val="963"/>
    <w:uiPriority w:val="10"/>
    <w:qFormat/>
    <w:pPr>
      <w:contextualSpacing/>
      <w:spacing w:before="300" w:after="200"/>
    </w:pPr>
    <w:rPr>
      <w:sz w:val="48"/>
      <w:szCs w:val="48"/>
    </w:rPr>
  </w:style>
  <w:style w:type="paragraph" w:styleId="928">
    <w:name w:val="Body Text First Indent"/>
    <w:basedOn w:val="908"/>
    <w:next w:val="929"/>
    <w:uiPriority w:val="99"/>
    <w:qFormat/>
    <w:pPr>
      <w:ind w:firstLine="420"/>
      <w:spacing w:after="120" w:line="440" w:lineRule="exact"/>
    </w:pPr>
    <w:rPr>
      <w:rFonts w:ascii="宋体"/>
    </w:rPr>
  </w:style>
  <w:style w:type="paragraph" w:styleId="929">
    <w:name w:val="Body Text First Indent 2"/>
    <w:basedOn w:val="909"/>
    <w:uiPriority w:val="99"/>
    <w:unhideWhenUsed/>
    <w:qFormat/>
    <w:pPr>
      <w:ind w:firstLine="420"/>
    </w:pPr>
    <w:rPr>
      <w:sz w:val="21"/>
      <w:szCs w:val="24"/>
    </w:rPr>
  </w:style>
  <w:style w:type="table" w:styleId="9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name w:val="endnote reference"/>
    <w:uiPriority w:val="99"/>
    <w:semiHidden/>
    <w:unhideWhenUsed/>
    <w:qFormat/>
    <w:rPr>
      <w:vertAlign w:val="superscript"/>
    </w:rPr>
  </w:style>
  <w:style w:type="character" w:styleId="932">
    <w:name w:val="Hyperlink"/>
    <w:uiPriority w:val="99"/>
    <w:unhideWhenUsed/>
    <w:qFormat/>
    <w:rPr>
      <w:color w:val="0000ff" w:themeColor="hyperlink"/>
      <w:u w:val="single"/>
      <w14:textFill>
        <w14:solidFill>
          <w14:schemeClr w14:val="hlink"/>
        </w14:solidFill>
      </w14:textFill>
    </w:rPr>
  </w:style>
  <w:style w:type="character" w:styleId="933">
    <w:name w:val="footnote reference"/>
    <w:uiPriority w:val="99"/>
    <w:unhideWhenUsed/>
    <w:qFormat/>
    <w:rPr>
      <w:vertAlign w:val="superscript"/>
    </w:rPr>
  </w:style>
  <w:style w:type="paragraph" w:styleId="934" w:customStyle="1">
    <w:name w:val="目录 11"/>
    <w:basedOn w:val="935"/>
    <w:next w:val="894"/>
    <w:uiPriority w:val="39"/>
    <w:unhideWhenUsed/>
    <w:qFormat/>
    <w:pPr>
      <w:spacing w:after="57"/>
    </w:pPr>
  </w:style>
  <w:style w:type="paragraph" w:styleId="935" w:customStyle="1">
    <w:name w:val="正文112"/>
    <w:next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6" w:customStyle="1">
    <w:name w:val="正文首行缩进1"/>
    <w:basedOn w:val="937"/>
    <w:next w:val="947"/>
    <w:uiPriority w:val="0"/>
    <w:qFormat/>
    <w:pPr>
      <w:ind w:firstLine="420"/>
    </w:pPr>
    <w:rPr>
      <w:szCs w:val="22"/>
    </w:rPr>
  </w:style>
  <w:style w:type="paragraph" w:styleId="937" w:customStyle="1">
    <w:name w:val="正文文本11"/>
    <w:basedOn w:val="938"/>
    <w:next w:val="940"/>
    <w:uiPriority w:val="0"/>
    <w:qFormat/>
    <w:pPr>
      <w:spacing w:after="120"/>
    </w:pPr>
  </w:style>
  <w:style w:type="paragraph" w:styleId="938" w:customStyle="1">
    <w:name w:val="正文12"/>
    <w:next w:val="93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39" w:customStyle="1">
    <w:name w:val="标题 21"/>
    <w:basedOn w:val="940"/>
    <w:next w:val="938"/>
    <w:link w:val="1028"/>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40" w:customStyle="1">
    <w:name w:val="正文111"/>
    <w:next w:val="9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1" w:customStyle="1">
    <w:name w:val="正文文本缩进1"/>
    <w:basedOn w:val="942"/>
    <w:next w:val="946"/>
    <w:link w:val="1017"/>
    <w:uiPriority w:val="0"/>
    <w:qFormat/>
    <w:pPr>
      <w:ind w:left="420"/>
      <w:spacing w:after="120"/>
    </w:pPr>
  </w:style>
  <w:style w:type="paragraph" w:styleId="942" w:customStyle="1">
    <w:name w:val="正文1"/>
    <w:basedOn w:val="943"/>
    <w:next w:val="934"/>
    <w:link w:val="10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3" w:customStyle="1">
    <w:name w:val="正文11"/>
    <w:next w:val="9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4" w:customStyle="1">
    <w:name w:val="文本块1"/>
    <w:basedOn w:val="940"/>
    <w:next w:val="945"/>
    <w:uiPriority w:val="99"/>
    <w:unhideWhenUsed/>
    <w:qFormat/>
    <w:pPr>
      <w:ind w:left="567" w:right="454" w:firstLine="498"/>
      <w:jc w:val="left"/>
      <w:widowControl/>
    </w:pPr>
    <w:rPr>
      <w:rFonts w:ascii="仿宋_GB2312" w:eastAsia="仿宋_GB2312"/>
      <w:sz w:val="30"/>
      <w:szCs w:val="20"/>
    </w:rPr>
  </w:style>
  <w:style w:type="paragraph" w:styleId="945" w:customStyle="1">
    <w:name w:val="标题 41"/>
    <w:basedOn w:val="894"/>
    <w:next w:val="943"/>
    <w:uiPriority w:val="0"/>
    <w:qFormat/>
    <w:pPr>
      <w:keepLines/>
      <w:keepNext/>
      <w:spacing w:before="280" w:after="290" w:line="372" w:lineRule="auto"/>
      <w:outlineLvl w:val="3"/>
    </w:pPr>
    <w:rPr>
      <w:rFonts w:ascii="Cambria" w:hAnsi="Cambria"/>
      <w:b/>
      <w:bCs/>
      <w:sz w:val="28"/>
      <w:szCs w:val="28"/>
    </w:rPr>
  </w:style>
  <w:style w:type="paragraph" w:styleId="946" w:customStyle="1">
    <w:name w:val="寄信人地址1"/>
    <w:basedOn w:val="943"/>
    <w:uiPriority w:val="0"/>
    <w:qFormat/>
    <w:rPr>
      <w:rFonts w:ascii="Arial" w:hAnsi="Arial"/>
    </w:rPr>
  </w:style>
  <w:style w:type="paragraph" w:styleId="947" w:customStyle="1">
    <w:name w:val="正文首行缩进 211"/>
    <w:basedOn w:val="948"/>
    <w:next w:val="935"/>
    <w:uiPriority w:val="99"/>
    <w:qFormat/>
    <w:pPr>
      <w:ind w:left="0" w:firstLine="420"/>
      <w:spacing w:after="0" w:line="360" w:lineRule="auto"/>
    </w:pPr>
    <w:rPr>
      <w:rFonts w:ascii="宋体" w:hAnsi="宋体"/>
    </w:rPr>
  </w:style>
  <w:style w:type="paragraph" w:styleId="948" w:customStyle="1">
    <w:name w:val="正文文本缩进11"/>
    <w:basedOn w:val="938"/>
    <w:next w:val="935"/>
    <w:uiPriority w:val="0"/>
    <w:qFormat/>
    <w:pPr>
      <w:ind w:left="420"/>
      <w:spacing w:after="120"/>
    </w:pPr>
  </w:style>
  <w:style w:type="paragraph" w:styleId="949" w:customStyle="1">
    <w:name w:val="正文缩进1"/>
    <w:basedOn w:val="894"/>
    <w:uiPriority w:val="0"/>
    <w:qFormat/>
    <w:pPr>
      <w:ind w:firstLine="420"/>
    </w:pPr>
  </w:style>
  <w:style w:type="paragraph" w:styleId="950" w:customStyle="1">
    <w:name w:val="脚注文本11"/>
    <w:basedOn w:val="894"/>
    <w:next w:val="951"/>
    <w:uiPriority w:val="0"/>
    <w:unhideWhenUsed/>
    <w:qFormat/>
    <w:pPr>
      <w:spacing w:after="40"/>
    </w:pPr>
    <w:rPr>
      <w:sz w:val="18"/>
    </w:rPr>
  </w:style>
  <w:style w:type="paragraph" w:styleId="951" w:customStyle="1">
    <w:name w:val="索引 511"/>
    <w:basedOn w:val="894"/>
    <w:next w:val="940"/>
    <w:uiPriority w:val="0"/>
    <w:qFormat/>
    <w:pPr>
      <w:ind w:left="798"/>
    </w:pPr>
  </w:style>
  <w:style w:type="character" w:styleId="952" w:customStyle="1">
    <w:name w:val="Heading 1 Char"/>
    <w:link w:val="895"/>
    <w:uiPriority w:val="9"/>
    <w:qFormat/>
    <w:rPr>
      <w:rFonts w:ascii="Arial" w:hAnsi="Arial" w:eastAsia="Arial" w:cs="Arial"/>
      <w:sz w:val="40"/>
      <w:szCs w:val="40"/>
    </w:rPr>
  </w:style>
  <w:style w:type="character" w:styleId="953" w:customStyle="1">
    <w:name w:val="Heading 2 Char"/>
    <w:link w:val="896"/>
    <w:uiPriority w:val="9"/>
    <w:qFormat/>
    <w:rPr>
      <w:rFonts w:ascii="Arial" w:hAnsi="Arial" w:eastAsia="Arial" w:cs="Arial"/>
      <w:sz w:val="34"/>
    </w:rPr>
  </w:style>
  <w:style w:type="character" w:styleId="954" w:customStyle="1">
    <w:name w:val="Heading 3 Char"/>
    <w:link w:val="897"/>
    <w:uiPriority w:val="9"/>
    <w:qFormat/>
    <w:rPr>
      <w:rFonts w:ascii="Arial" w:hAnsi="Arial" w:eastAsia="Arial" w:cs="Arial"/>
      <w:sz w:val="30"/>
      <w:szCs w:val="30"/>
    </w:rPr>
  </w:style>
  <w:style w:type="character" w:styleId="955" w:customStyle="1">
    <w:name w:val="Heading 4 Char"/>
    <w:link w:val="898"/>
    <w:uiPriority w:val="9"/>
    <w:qFormat/>
    <w:rPr>
      <w:rFonts w:ascii="Arial" w:hAnsi="Arial" w:eastAsia="Arial" w:cs="Arial"/>
      <w:b/>
      <w:bCs/>
      <w:sz w:val="26"/>
      <w:szCs w:val="26"/>
    </w:rPr>
  </w:style>
  <w:style w:type="character" w:styleId="956" w:customStyle="1">
    <w:name w:val="Heading 5 Char"/>
    <w:link w:val="899"/>
    <w:uiPriority w:val="9"/>
    <w:qFormat/>
    <w:rPr>
      <w:rFonts w:ascii="Arial" w:hAnsi="Arial" w:eastAsia="Arial" w:cs="Arial"/>
      <w:b/>
      <w:bCs/>
      <w:sz w:val="24"/>
      <w:szCs w:val="24"/>
    </w:rPr>
  </w:style>
  <w:style w:type="character" w:styleId="957" w:customStyle="1">
    <w:name w:val="Heading 6 Char"/>
    <w:link w:val="900"/>
    <w:uiPriority w:val="9"/>
    <w:qFormat/>
    <w:rPr>
      <w:rFonts w:ascii="Arial" w:hAnsi="Arial" w:eastAsia="Arial" w:cs="Arial"/>
      <w:b/>
      <w:bCs/>
      <w:sz w:val="22"/>
      <w:szCs w:val="22"/>
    </w:rPr>
  </w:style>
  <w:style w:type="character" w:styleId="958" w:customStyle="1">
    <w:name w:val="Heading 7 Char"/>
    <w:link w:val="901"/>
    <w:uiPriority w:val="9"/>
    <w:qFormat/>
    <w:rPr>
      <w:rFonts w:ascii="Arial" w:hAnsi="Arial" w:eastAsia="Arial" w:cs="Arial"/>
      <w:b/>
      <w:bCs/>
      <w:i/>
      <w:iCs/>
      <w:sz w:val="22"/>
      <w:szCs w:val="22"/>
    </w:rPr>
  </w:style>
  <w:style w:type="character" w:styleId="959" w:customStyle="1">
    <w:name w:val="Heading 8 Char"/>
    <w:link w:val="902"/>
    <w:uiPriority w:val="9"/>
    <w:qFormat/>
    <w:rPr>
      <w:rFonts w:ascii="Arial" w:hAnsi="Arial" w:eastAsia="Arial" w:cs="Arial"/>
      <w:i/>
      <w:iCs/>
      <w:sz w:val="22"/>
      <w:szCs w:val="22"/>
    </w:rPr>
  </w:style>
  <w:style w:type="character" w:styleId="960" w:customStyle="1">
    <w:name w:val="Heading 9 Char"/>
    <w:link w:val="903"/>
    <w:uiPriority w:val="9"/>
    <w:qFormat/>
    <w:rPr>
      <w:rFonts w:ascii="Arial" w:hAnsi="Arial" w:eastAsia="Arial" w:cs="Arial"/>
      <w:i/>
      <w:iCs/>
      <w:sz w:val="21"/>
      <w:szCs w:val="21"/>
    </w:rPr>
  </w:style>
  <w:style w:type="paragraph" w:styleId="961">
    <w:name w:val="List Paragraph"/>
    <w:basedOn w:val="894"/>
    <w:uiPriority w:val="34"/>
    <w:qFormat/>
    <w:pPr>
      <w:contextualSpacing/>
      <w:ind w:left="720"/>
    </w:pPr>
  </w:style>
  <w:style w:type="paragraph" w:styleId="962">
    <w:name w:val="No Spacing"/>
    <w:uiPriority w:val="1"/>
    <w:qFormat/>
    <w:pPr>
      <w:spacing w:before="0" w:after="0" w:line="240" w:lineRule="auto"/>
    </w:pPr>
    <w:rPr>
      <w:rFonts w:hint="default" w:ascii="Times New Roman" w:hAnsi="Times New Roman" w:eastAsia="宋体" w:cs="Times New Roman"/>
    </w:rPr>
  </w:style>
  <w:style w:type="character" w:styleId="963" w:customStyle="1">
    <w:name w:val="Title Char"/>
    <w:link w:val="927"/>
    <w:uiPriority w:val="10"/>
    <w:qFormat/>
    <w:rPr>
      <w:sz w:val="48"/>
      <w:szCs w:val="48"/>
    </w:rPr>
  </w:style>
  <w:style w:type="character" w:styleId="964" w:customStyle="1">
    <w:name w:val="Subtitle Char"/>
    <w:link w:val="920"/>
    <w:uiPriority w:val="11"/>
    <w:qFormat/>
    <w:rPr>
      <w:sz w:val="24"/>
      <w:szCs w:val="24"/>
    </w:rPr>
  </w:style>
  <w:style w:type="paragraph" w:styleId="965">
    <w:name w:val="Quote"/>
    <w:basedOn w:val="894"/>
    <w:next w:val="894"/>
    <w:link w:val="966"/>
    <w:uiPriority w:val="29"/>
    <w:qFormat/>
    <w:pPr>
      <w:ind w:left="720" w:right="720"/>
    </w:pPr>
    <w:rPr>
      <w:i/>
    </w:rPr>
  </w:style>
  <w:style w:type="character" w:styleId="966" w:customStyle="1">
    <w:name w:val="Quote Char"/>
    <w:link w:val="965"/>
    <w:uiPriority w:val="29"/>
    <w:qFormat/>
    <w:rPr>
      <w:i/>
    </w:rPr>
  </w:style>
  <w:style w:type="paragraph" w:styleId="967">
    <w:name w:val="Intense Quote"/>
    <w:basedOn w:val="894"/>
    <w:next w:val="894"/>
    <w:link w:val="9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Intense Quote Char"/>
    <w:link w:val="967"/>
    <w:uiPriority w:val="30"/>
    <w:qFormat/>
    <w:rPr>
      <w:i/>
    </w:rPr>
  </w:style>
  <w:style w:type="character" w:styleId="969" w:customStyle="1">
    <w:name w:val="Header Char"/>
    <w:link w:val="917"/>
    <w:uiPriority w:val="99"/>
    <w:qFormat/>
  </w:style>
  <w:style w:type="character" w:styleId="970" w:customStyle="1">
    <w:name w:val="Caption Char"/>
    <w:link w:val="915"/>
    <w:uiPriority w:val="99"/>
    <w:qFormat/>
  </w:style>
  <w:style w:type="character" w:styleId="971" w:customStyle="1">
    <w:name w:val="Footnote Text Char"/>
    <w:link w:val="921"/>
    <w:uiPriority w:val="99"/>
    <w:qFormat/>
    <w:rPr>
      <w:sz w:val="18"/>
    </w:rPr>
  </w:style>
  <w:style w:type="character" w:styleId="972" w:customStyle="1">
    <w:name w:val="Endnote Text Char"/>
    <w:link w:val="914"/>
    <w:uiPriority w:val="99"/>
    <w:qFormat/>
    <w:rPr>
      <w:sz w:val="20"/>
    </w:rPr>
  </w:style>
  <w:style w:type="paragraph" w:styleId="973" w:customStyle="1">
    <w:name w:val="TOC Heading"/>
    <w:uiPriority w:val="39"/>
    <w:unhideWhenUsed/>
    <w:qFormat/>
    <w:rPr>
      <w:rFonts w:hint="default" w:ascii="Times New Roman" w:hAnsi="Times New Roman" w:eastAsia="宋体" w:cs="Times New Roman"/>
    </w:rPr>
  </w:style>
  <w:style w:type="paragraph" w:styleId="974" w:customStyle="1">
    <w:name w:val="标题 111"/>
    <w:basedOn w:val="894"/>
    <w:next w:val="894"/>
    <w:link w:val="993"/>
    <w:uiPriority w:val="9"/>
    <w:qFormat/>
    <w:pPr>
      <w:keepLines/>
      <w:keepNext/>
      <w:spacing w:before="480" w:after="200"/>
      <w:outlineLvl w:val="0"/>
    </w:pPr>
    <w:rPr>
      <w:rFonts w:ascii="Arial" w:hAnsi="Arial" w:eastAsia="Arial" w:cs="Arial"/>
      <w:sz w:val="40"/>
      <w:szCs w:val="40"/>
    </w:rPr>
  </w:style>
  <w:style w:type="paragraph" w:styleId="975" w:customStyle="1">
    <w:name w:val="标题 211"/>
    <w:basedOn w:val="894"/>
    <w:next w:val="894"/>
    <w:link w:val="994"/>
    <w:uiPriority w:val="9"/>
    <w:qFormat/>
    <w:pPr>
      <w:keepLines/>
      <w:keepNext/>
      <w:spacing w:before="360" w:after="200"/>
      <w:outlineLvl w:val="1"/>
    </w:pPr>
    <w:rPr>
      <w:rFonts w:ascii="Arial" w:hAnsi="Arial" w:eastAsia="Arial" w:cs="Arial"/>
      <w:sz w:val="34"/>
    </w:rPr>
  </w:style>
  <w:style w:type="paragraph" w:styleId="976" w:customStyle="1">
    <w:name w:val="标题 311"/>
    <w:basedOn w:val="894"/>
    <w:next w:val="894"/>
    <w:link w:val="995"/>
    <w:uiPriority w:val="9"/>
    <w:qFormat/>
    <w:pPr>
      <w:keepLines/>
      <w:keepNext/>
      <w:spacing w:before="320" w:after="200"/>
      <w:outlineLvl w:val="2"/>
    </w:pPr>
    <w:rPr>
      <w:rFonts w:ascii="Arial" w:hAnsi="Arial" w:eastAsia="Arial" w:cs="Arial"/>
      <w:sz w:val="30"/>
      <w:szCs w:val="30"/>
    </w:rPr>
  </w:style>
  <w:style w:type="paragraph" w:styleId="977" w:customStyle="1">
    <w:name w:val="标题 411"/>
    <w:basedOn w:val="894"/>
    <w:next w:val="894"/>
    <w:link w:val="996"/>
    <w:uiPriority w:val="9"/>
    <w:qFormat/>
    <w:pPr>
      <w:keepLines/>
      <w:keepNext/>
      <w:spacing w:before="320" w:after="200"/>
      <w:outlineLvl w:val="3"/>
    </w:pPr>
    <w:rPr>
      <w:rFonts w:ascii="Arial" w:hAnsi="Arial" w:eastAsia="Arial" w:cs="Arial"/>
      <w:b/>
      <w:bCs/>
      <w:sz w:val="26"/>
      <w:szCs w:val="26"/>
    </w:rPr>
  </w:style>
  <w:style w:type="paragraph" w:styleId="978" w:customStyle="1">
    <w:name w:val="标题 51"/>
    <w:basedOn w:val="894"/>
    <w:next w:val="894"/>
    <w:link w:val="997"/>
    <w:uiPriority w:val="9"/>
    <w:qFormat/>
    <w:pPr>
      <w:keepLines/>
      <w:keepNext/>
      <w:spacing w:before="320" w:after="200"/>
      <w:outlineLvl w:val="4"/>
    </w:pPr>
    <w:rPr>
      <w:rFonts w:ascii="Arial" w:hAnsi="Arial" w:eastAsia="Arial" w:cs="Arial"/>
      <w:b/>
      <w:bCs/>
      <w:sz w:val="24"/>
    </w:rPr>
  </w:style>
  <w:style w:type="paragraph" w:styleId="979" w:customStyle="1">
    <w:name w:val="标题 61"/>
    <w:basedOn w:val="894"/>
    <w:next w:val="894"/>
    <w:link w:val="999"/>
    <w:uiPriority w:val="9"/>
    <w:qFormat/>
    <w:pPr>
      <w:keepLines/>
      <w:keepNext/>
      <w:spacing w:before="320" w:after="200"/>
      <w:outlineLvl w:val="5"/>
    </w:pPr>
    <w:rPr>
      <w:rFonts w:ascii="Arial" w:hAnsi="Arial" w:eastAsia="Arial" w:cs="Arial"/>
      <w:b/>
      <w:bCs/>
      <w:sz w:val="22"/>
      <w:szCs w:val="22"/>
    </w:rPr>
  </w:style>
  <w:style w:type="paragraph" w:styleId="980" w:customStyle="1">
    <w:name w:val="标题 71"/>
    <w:basedOn w:val="894"/>
    <w:next w:val="894"/>
    <w:link w:val="1000"/>
    <w:uiPriority w:val="9"/>
    <w:qFormat/>
    <w:pPr>
      <w:keepLines/>
      <w:keepNext/>
      <w:spacing w:before="320" w:after="200"/>
      <w:outlineLvl w:val="6"/>
    </w:pPr>
    <w:rPr>
      <w:rFonts w:ascii="Arial" w:hAnsi="Arial" w:eastAsia="Arial" w:cs="Arial"/>
      <w:b/>
      <w:bCs/>
      <w:i/>
      <w:iCs/>
      <w:sz w:val="22"/>
      <w:szCs w:val="22"/>
    </w:rPr>
  </w:style>
  <w:style w:type="paragraph" w:styleId="981" w:customStyle="1">
    <w:name w:val="标题 81"/>
    <w:basedOn w:val="894"/>
    <w:next w:val="894"/>
    <w:link w:val="1001"/>
    <w:uiPriority w:val="9"/>
    <w:qFormat/>
    <w:pPr>
      <w:keepLines/>
      <w:keepNext/>
      <w:spacing w:before="320" w:after="200"/>
      <w:outlineLvl w:val="7"/>
    </w:pPr>
    <w:rPr>
      <w:rFonts w:ascii="Arial" w:hAnsi="Arial" w:eastAsia="Arial" w:cs="Arial"/>
      <w:i/>
      <w:iCs/>
      <w:sz w:val="22"/>
      <w:szCs w:val="22"/>
    </w:rPr>
  </w:style>
  <w:style w:type="paragraph" w:styleId="982" w:customStyle="1">
    <w:name w:val="标题 91"/>
    <w:basedOn w:val="894"/>
    <w:next w:val="894"/>
    <w:link w:val="1002"/>
    <w:uiPriority w:val="9"/>
    <w:qFormat/>
    <w:pPr>
      <w:keepLines/>
      <w:keepNext/>
      <w:spacing w:before="320" w:after="200"/>
      <w:outlineLvl w:val="8"/>
    </w:pPr>
    <w:rPr>
      <w:rFonts w:ascii="Arial" w:hAnsi="Arial" w:eastAsia="Arial" w:cs="Arial"/>
      <w:i/>
      <w:iCs/>
      <w:szCs w:val="21"/>
    </w:rPr>
  </w:style>
  <w:style w:type="character" w:styleId="983" w:customStyle="1">
    <w:name w:val="默认段落字体11"/>
    <w:link w:val="894"/>
    <w:uiPriority w:val="1"/>
    <w:unhideWhenUsed/>
    <w:qFormat/>
  </w:style>
  <w:style w:type="table" w:styleId="984" w:customStyle="1">
    <w:name w:val="普通表格11"/>
    <w:uiPriority w:val="99"/>
    <w:unhideWhenUsed/>
    <w:qFormat/>
    <w:tblPr/>
  </w:style>
  <w:style w:type="character" w:styleId="985" w:customStyle="1">
    <w:name w:val="超链接11"/>
    <w:link w:val="894"/>
    <w:uiPriority w:val="99"/>
    <w:unhideWhenUsed/>
    <w:qFormat/>
    <w:rPr>
      <w:color w:val="0000ff"/>
      <w:u w:val="single"/>
    </w:rPr>
  </w:style>
  <w:style w:type="character" w:styleId="986" w:customStyle="1">
    <w:name w:val="脚注引用1"/>
    <w:link w:val="894"/>
    <w:uiPriority w:val="99"/>
    <w:unhideWhenUsed/>
    <w:qFormat/>
    <w:rPr>
      <w:vertAlign w:val="superscript"/>
    </w:rPr>
  </w:style>
  <w:style w:type="character" w:styleId="987" w:customStyle="1">
    <w:name w:val="页码11"/>
    <w:link w:val="894"/>
    <w:uiPriority w:val="0"/>
    <w:qFormat/>
  </w:style>
  <w:style w:type="character" w:styleId="988" w:customStyle="1">
    <w:name w:val="尾注引用1"/>
    <w:link w:val="894"/>
    <w:uiPriority w:val="99"/>
    <w:unhideWhenUsed/>
    <w:qFormat/>
    <w:rPr>
      <w:vertAlign w:val="superscript"/>
    </w:rPr>
  </w:style>
  <w:style w:type="character" w:styleId="989" w:customStyle="1">
    <w:name w:val="批注框文本 Char"/>
    <w:link w:val="990"/>
    <w:uiPriority w:val="0"/>
    <w:qFormat/>
    <w:rPr>
      <w:sz w:val="18"/>
      <w:szCs w:val="18"/>
    </w:rPr>
  </w:style>
  <w:style w:type="paragraph" w:styleId="990" w:customStyle="1">
    <w:name w:val="批注框文本1"/>
    <w:basedOn w:val="894"/>
    <w:link w:val="989"/>
    <w:uiPriority w:val="0"/>
    <w:qFormat/>
    <w:rPr>
      <w:sz w:val="18"/>
      <w:szCs w:val="18"/>
    </w:rPr>
  </w:style>
  <w:style w:type="character" w:styleId="991" w:customStyle="1">
    <w:name w:val="标题 Char"/>
    <w:link w:val="992"/>
    <w:uiPriority w:val="10"/>
    <w:qFormat/>
    <w:rPr>
      <w:sz w:val="48"/>
      <w:szCs w:val="48"/>
    </w:rPr>
  </w:style>
  <w:style w:type="paragraph" w:styleId="992" w:customStyle="1">
    <w:name w:val="标题1"/>
    <w:basedOn w:val="894"/>
    <w:next w:val="894"/>
    <w:link w:val="991"/>
    <w:uiPriority w:val="10"/>
    <w:qFormat/>
    <w:pPr>
      <w:contextualSpacing/>
      <w:spacing w:before="300" w:after="200"/>
    </w:pPr>
    <w:rPr>
      <w:sz w:val="48"/>
      <w:szCs w:val="48"/>
    </w:rPr>
  </w:style>
  <w:style w:type="character" w:styleId="993" w:customStyle="1">
    <w:name w:val="标题 1 Char"/>
    <w:link w:val="974"/>
    <w:uiPriority w:val="9"/>
    <w:qFormat/>
    <w:rPr>
      <w:rFonts w:ascii="Arial" w:hAnsi="Arial" w:eastAsia="Arial" w:cs="Arial"/>
      <w:sz w:val="40"/>
      <w:szCs w:val="40"/>
    </w:rPr>
  </w:style>
  <w:style w:type="character" w:styleId="994" w:customStyle="1">
    <w:name w:val="标题 2 Char1"/>
    <w:link w:val="975"/>
    <w:uiPriority w:val="9"/>
    <w:qFormat/>
    <w:rPr>
      <w:rFonts w:ascii="Arial" w:hAnsi="Arial" w:eastAsia="Arial" w:cs="Arial"/>
      <w:sz w:val="34"/>
    </w:rPr>
  </w:style>
  <w:style w:type="character" w:styleId="995" w:customStyle="1">
    <w:name w:val="标题 3 Char"/>
    <w:link w:val="976"/>
    <w:uiPriority w:val="9"/>
    <w:qFormat/>
    <w:rPr>
      <w:rFonts w:ascii="Arial" w:hAnsi="Arial" w:eastAsia="Arial" w:cs="Arial"/>
      <w:sz w:val="30"/>
      <w:szCs w:val="30"/>
    </w:rPr>
  </w:style>
  <w:style w:type="character" w:styleId="996" w:customStyle="1">
    <w:name w:val="标题 4 Char"/>
    <w:link w:val="977"/>
    <w:uiPriority w:val="9"/>
    <w:qFormat/>
    <w:rPr>
      <w:rFonts w:ascii="Arial" w:hAnsi="Arial" w:eastAsia="Arial" w:cs="Arial"/>
      <w:b/>
      <w:bCs/>
      <w:sz w:val="26"/>
      <w:szCs w:val="26"/>
    </w:rPr>
  </w:style>
  <w:style w:type="character" w:styleId="997" w:customStyle="1">
    <w:name w:val="标题 5 Char"/>
    <w:link w:val="978"/>
    <w:uiPriority w:val="9"/>
    <w:qFormat/>
    <w:rPr>
      <w:rFonts w:ascii="Arial" w:hAnsi="Arial" w:eastAsia="Arial" w:cs="Arial"/>
      <w:b/>
      <w:bCs/>
      <w:sz w:val="24"/>
      <w:szCs w:val="24"/>
    </w:rPr>
  </w:style>
  <w:style w:type="character" w:styleId="998" w:customStyle="1">
    <w:name w:val="NormalCharacter1"/>
    <w:link w:val="894"/>
    <w:uiPriority w:val="0"/>
    <w:semiHidden/>
    <w:qFormat/>
  </w:style>
  <w:style w:type="character" w:styleId="999" w:customStyle="1">
    <w:name w:val="标题 6 Char"/>
    <w:link w:val="979"/>
    <w:uiPriority w:val="9"/>
    <w:qFormat/>
    <w:rPr>
      <w:rFonts w:ascii="Arial" w:hAnsi="Arial" w:eastAsia="Arial" w:cs="Arial"/>
      <w:b/>
      <w:bCs/>
      <w:sz w:val="22"/>
      <w:szCs w:val="22"/>
    </w:rPr>
  </w:style>
  <w:style w:type="character" w:styleId="1000" w:customStyle="1">
    <w:name w:val="标题 7 Char"/>
    <w:link w:val="980"/>
    <w:uiPriority w:val="9"/>
    <w:qFormat/>
    <w:rPr>
      <w:rFonts w:ascii="Arial" w:hAnsi="Arial" w:eastAsia="Arial" w:cs="Arial"/>
      <w:b/>
      <w:bCs/>
      <w:i/>
      <w:iCs/>
      <w:sz w:val="22"/>
      <w:szCs w:val="22"/>
    </w:rPr>
  </w:style>
  <w:style w:type="character" w:styleId="1001" w:customStyle="1">
    <w:name w:val="标题 8 Char"/>
    <w:link w:val="981"/>
    <w:uiPriority w:val="9"/>
    <w:qFormat/>
    <w:rPr>
      <w:rFonts w:ascii="Arial" w:hAnsi="Arial" w:eastAsia="Arial" w:cs="Arial"/>
      <w:i/>
      <w:iCs/>
      <w:sz w:val="22"/>
      <w:szCs w:val="22"/>
    </w:rPr>
  </w:style>
  <w:style w:type="character" w:styleId="1002" w:customStyle="1">
    <w:name w:val="标题 9 Char"/>
    <w:link w:val="982"/>
    <w:uiPriority w:val="9"/>
    <w:qFormat/>
    <w:rPr>
      <w:rFonts w:ascii="Arial" w:hAnsi="Arial" w:eastAsia="Arial" w:cs="Arial"/>
      <w:i/>
      <w:iCs/>
      <w:sz w:val="21"/>
      <w:szCs w:val="21"/>
    </w:rPr>
  </w:style>
  <w:style w:type="character" w:styleId="1003" w:customStyle="1">
    <w:name w:val="尾注文本 Char"/>
    <w:link w:val="1004"/>
    <w:uiPriority w:val="99"/>
    <w:qFormat/>
    <w:rPr>
      <w:sz w:val="20"/>
    </w:rPr>
  </w:style>
  <w:style w:type="paragraph" w:styleId="1004" w:customStyle="1">
    <w:name w:val="尾注文本1"/>
    <w:basedOn w:val="894"/>
    <w:link w:val="1003"/>
    <w:uiPriority w:val="99"/>
    <w:unhideWhenUsed/>
    <w:qFormat/>
    <w:rPr>
      <w:sz w:val="20"/>
    </w:rPr>
  </w:style>
  <w:style w:type="character" w:styleId="1005" w:customStyle="1">
    <w:name w:val="批注框文本 Char1"/>
    <w:link w:val="1006"/>
    <w:uiPriority w:val="99"/>
    <w:semiHidden/>
    <w:qFormat/>
    <w:rPr>
      <w:sz w:val="18"/>
      <w:szCs w:val="18"/>
    </w:rPr>
  </w:style>
  <w:style w:type="paragraph" w:styleId="1006" w:customStyle="1">
    <w:name w:val="批注框文本11"/>
    <w:basedOn w:val="894"/>
    <w:link w:val="1005"/>
    <w:uiPriority w:val="99"/>
    <w:unhideWhenUsed/>
    <w:qFormat/>
    <w:rPr>
      <w:sz w:val="18"/>
      <w:szCs w:val="18"/>
    </w:rPr>
  </w:style>
  <w:style w:type="character" w:styleId="1007" w:customStyle="1">
    <w:name w:val="页脚 Char"/>
    <w:link w:val="1008"/>
    <w:uiPriority w:val="99"/>
    <w:qFormat/>
  </w:style>
  <w:style w:type="paragraph" w:styleId="1008" w:customStyle="1">
    <w:name w:val="页脚11"/>
    <w:basedOn w:val="894"/>
    <w:link w:val="1007"/>
    <w:uiPriority w:val="99"/>
    <w:unhideWhenUsed/>
    <w:qFormat/>
    <w:pPr>
      <w:tabs>
        <w:tab w:val="center" w:pos="7143" w:leader="none"/>
        <w:tab w:val="right" w:pos="14287" w:leader="none"/>
      </w:tabs>
    </w:pPr>
  </w:style>
  <w:style w:type="character" w:styleId="1009" w:customStyle="1">
    <w:name w:val="页眉 Char"/>
    <w:link w:val="1010"/>
    <w:uiPriority w:val="99"/>
    <w:qFormat/>
  </w:style>
  <w:style w:type="paragraph" w:styleId="1010" w:customStyle="1">
    <w:name w:val="页眉11"/>
    <w:basedOn w:val="894"/>
    <w:link w:val="1009"/>
    <w:uiPriority w:val="99"/>
    <w:unhideWhenUsed/>
    <w:qFormat/>
    <w:pPr>
      <w:tabs>
        <w:tab w:val="center" w:pos="7143" w:leader="none"/>
        <w:tab w:val="right" w:pos="14287" w:leader="none"/>
      </w:tabs>
    </w:pPr>
  </w:style>
  <w:style w:type="character" w:styleId="1011" w:customStyle="1">
    <w:name w:val="副标题 Char"/>
    <w:link w:val="1012"/>
    <w:uiPriority w:val="11"/>
    <w:qFormat/>
    <w:rPr>
      <w:sz w:val="24"/>
      <w:szCs w:val="24"/>
    </w:rPr>
  </w:style>
  <w:style w:type="paragraph" w:styleId="1012" w:customStyle="1">
    <w:name w:val="副标题1"/>
    <w:basedOn w:val="894"/>
    <w:next w:val="894"/>
    <w:link w:val="1011"/>
    <w:uiPriority w:val="11"/>
    <w:qFormat/>
    <w:pPr>
      <w:spacing w:before="200" w:after="200"/>
    </w:pPr>
    <w:rPr>
      <w:sz w:val="24"/>
    </w:rPr>
  </w:style>
  <w:style w:type="character" w:styleId="1013" w:customStyle="1">
    <w:name w:val="脚注文本 Char"/>
    <w:link w:val="1014"/>
    <w:uiPriority w:val="99"/>
    <w:qFormat/>
    <w:rPr>
      <w:sz w:val="18"/>
    </w:rPr>
  </w:style>
  <w:style w:type="paragraph" w:styleId="1014" w:customStyle="1">
    <w:name w:val="脚注文本1"/>
    <w:basedOn w:val="894"/>
    <w:link w:val="1013"/>
    <w:uiPriority w:val="99"/>
    <w:unhideWhenUsed/>
    <w:qFormat/>
    <w:pPr>
      <w:spacing w:after="40"/>
    </w:pPr>
    <w:rPr>
      <w:sz w:val="18"/>
    </w:rPr>
  </w:style>
  <w:style w:type="character" w:styleId="1015" w:customStyle="1">
    <w:name w:val="引用 Char"/>
    <w:link w:val="1016"/>
    <w:uiPriority w:val="29"/>
    <w:qFormat/>
    <w:rPr>
      <w:i/>
    </w:rPr>
  </w:style>
  <w:style w:type="paragraph" w:styleId="1016" w:customStyle="1">
    <w:name w:val="引用"/>
    <w:basedOn w:val="894"/>
    <w:next w:val="894"/>
    <w:link w:val="1015"/>
    <w:uiPriority w:val="29"/>
    <w:qFormat/>
    <w:pPr>
      <w:ind w:left="720" w:right="720"/>
    </w:pPr>
    <w:rPr>
      <w:i/>
    </w:rPr>
  </w:style>
  <w:style w:type="character" w:styleId="1017" w:customStyle="1">
    <w:name w:val="正文文本缩进 Char"/>
    <w:link w:val="941"/>
    <w:uiPriority w:val="0"/>
    <w:qFormat/>
    <w:rPr>
      <w:sz w:val="21"/>
      <w:szCs w:val="24"/>
    </w:rPr>
  </w:style>
  <w:style w:type="character" w:styleId="1018" w:customStyle="1">
    <w:name w:val="默认段落字体1"/>
    <w:link w:val="894"/>
    <w:uiPriority w:val="0"/>
    <w:semiHidden/>
    <w:qFormat/>
  </w:style>
  <w:style w:type="character" w:styleId="1019" w:customStyle="1">
    <w:name w:val="NormalCharacter11"/>
    <w:link w:val="894"/>
    <w:uiPriority w:val="0"/>
    <w:semiHidden/>
    <w:qFormat/>
    <w:rPr>
      <w:sz w:val="21"/>
      <w:szCs w:val="24"/>
      <w:lang w:val="en-US" w:eastAsia="zh-CN" w:bidi="ar-SA"/>
    </w:rPr>
  </w:style>
  <w:style w:type="character" w:styleId="1020" w:customStyle="1">
    <w:name w:val="明显引用 Char"/>
    <w:link w:val="1021"/>
    <w:uiPriority w:val="30"/>
    <w:qFormat/>
    <w:rPr>
      <w:i/>
    </w:rPr>
  </w:style>
  <w:style w:type="paragraph" w:styleId="1021" w:customStyle="1">
    <w:name w:val="明显引用"/>
    <w:basedOn w:val="894"/>
    <w:next w:val="894"/>
    <w:link w:val="10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customStyle="1">
    <w:name w:val="Footer Char"/>
    <w:link w:val="894"/>
    <w:uiPriority w:val="99"/>
    <w:qFormat/>
  </w:style>
  <w:style w:type="character" w:styleId="1023" w:customStyle="1">
    <w:name w:val="font11"/>
    <w:link w:val="894"/>
    <w:uiPriority w:val="0"/>
    <w:qFormat/>
    <w:rPr>
      <w:rFonts w:hint="eastAsia" w:ascii="宋体" w:hAnsi="宋体" w:eastAsia="宋体" w:cs="宋体"/>
      <w:b/>
      <w:color w:val="000000"/>
      <w:sz w:val="32"/>
      <w:szCs w:val="32"/>
      <w:u w:val="none"/>
    </w:rPr>
  </w:style>
  <w:style w:type="character" w:styleId="1024" w:customStyle="1">
    <w:name w:val="纯文本 Char"/>
    <w:link w:val="1025"/>
    <w:uiPriority w:val="0"/>
    <w:qFormat/>
    <w:rPr>
      <w:rFonts w:ascii="宋体" w:hAnsi="Courier New" w:eastAsia="宋体"/>
      <w:sz w:val="21"/>
      <w:szCs w:val="21"/>
      <w:lang w:bidi="ar-SA"/>
    </w:rPr>
  </w:style>
  <w:style w:type="paragraph" w:styleId="1025" w:customStyle="1">
    <w:name w:val="纯文本1"/>
    <w:basedOn w:val="894"/>
    <w:link w:val="1024"/>
    <w:uiPriority w:val="0"/>
    <w:qFormat/>
    <w:rPr>
      <w:rFonts w:ascii="宋体" w:hAnsi="Courier New"/>
      <w:szCs w:val="21"/>
    </w:rPr>
  </w:style>
  <w:style w:type="character" w:styleId="1026" w:customStyle="1">
    <w:name w:val="普通(网站) Char"/>
    <w:link w:val="1027"/>
    <w:uiPriority w:val="99"/>
    <w:qFormat/>
    <w:rPr>
      <w:rFonts w:ascii="宋体" w:hAnsi="宋体" w:cs="宋体"/>
      <w:sz w:val="24"/>
      <w:szCs w:val="24"/>
    </w:rPr>
  </w:style>
  <w:style w:type="paragraph" w:styleId="1027" w:customStyle="1">
    <w:name w:val="普通(网站)1"/>
    <w:basedOn w:val="894"/>
    <w:link w:val="1026"/>
    <w:uiPriority w:val="99"/>
    <w:qFormat/>
    <w:pPr>
      <w:jc w:val="left"/>
      <w:spacing w:before="100" w:beforeAutospacing="1" w:after="100" w:afterAutospacing="1"/>
      <w:widowControl/>
    </w:pPr>
    <w:rPr>
      <w:rFonts w:ascii="宋体" w:hAnsi="宋体" w:cs="宋体"/>
      <w:sz w:val="24"/>
    </w:rPr>
  </w:style>
  <w:style w:type="character" w:styleId="1028" w:customStyle="1">
    <w:name w:val="标题 2 Char"/>
    <w:link w:val="939"/>
    <w:uiPriority w:val="9"/>
    <w:qFormat/>
    <w:rPr>
      <w:rFonts w:ascii="Cambria" w:hAnsi="Cambria"/>
      <w:b/>
      <w:bCs/>
      <w:sz w:val="28"/>
      <w:szCs w:val="32"/>
    </w:rPr>
  </w:style>
  <w:style w:type="character" w:styleId="1029" w:customStyle="1">
    <w:name w:val="页码1"/>
    <w:link w:val="894"/>
    <w:uiPriority w:val="0"/>
    <w:qFormat/>
  </w:style>
  <w:style w:type="character" w:styleId="1030" w:customStyle="1">
    <w:name w:val="批注主题 Char"/>
    <w:link w:val="1031"/>
    <w:uiPriority w:val="0"/>
    <w:qFormat/>
    <w:rPr>
      <w:b/>
      <w:bCs/>
      <w:sz w:val="21"/>
      <w:szCs w:val="24"/>
    </w:rPr>
  </w:style>
  <w:style w:type="paragraph" w:styleId="1031" w:customStyle="1">
    <w:name w:val="批注主题1"/>
    <w:basedOn w:val="1032"/>
    <w:next w:val="1032"/>
    <w:link w:val="1030"/>
    <w:uiPriority w:val="0"/>
    <w:qFormat/>
    <w:rPr>
      <w:b/>
      <w:bCs/>
    </w:rPr>
  </w:style>
  <w:style w:type="paragraph" w:styleId="1032" w:customStyle="1">
    <w:name w:val="批注文字1"/>
    <w:basedOn w:val="894"/>
    <w:link w:val="1033"/>
    <w:uiPriority w:val="0"/>
    <w:qFormat/>
    <w:pPr>
      <w:jc w:val="left"/>
    </w:pPr>
  </w:style>
  <w:style w:type="character" w:styleId="1033" w:customStyle="1">
    <w:name w:val="批注文字 Char"/>
    <w:link w:val="1032"/>
    <w:uiPriority w:val="0"/>
    <w:qFormat/>
    <w:rPr>
      <w:sz w:val="21"/>
      <w:szCs w:val="24"/>
    </w:rPr>
  </w:style>
  <w:style w:type="character" w:styleId="1034" w:customStyle="1">
    <w:name w:val="超链接1"/>
    <w:link w:val="942"/>
    <w:uiPriority w:val="0"/>
    <w:qFormat/>
    <w:rPr>
      <w:rFonts w:ascii="Times New Roman" w:hAnsi="Times New Roman" w:eastAsia="宋体" w:cs="Times New Roman"/>
      <w:sz w:val="21"/>
      <w:szCs w:val="24"/>
      <w:lang w:val="en-US" w:eastAsia="zh-CN" w:bidi="ar-SA"/>
    </w:rPr>
  </w:style>
  <w:style w:type="paragraph" w:styleId="1035" w:customStyle="1">
    <w:name w:val="正文文本111"/>
    <w:basedOn w:val="938"/>
    <w:next w:val="938"/>
    <w:uiPriority w:val="0"/>
    <w:qFormat/>
    <w:pPr>
      <w:spacing w:after="120"/>
    </w:pPr>
  </w:style>
  <w:style w:type="paragraph" w:styleId="1036" w:customStyle="1">
    <w:name w:val="正文文本1"/>
    <w:basedOn w:val="942"/>
    <w:next w:val="1037"/>
    <w:uiPriority w:val="0"/>
    <w:qFormat/>
    <w:pPr>
      <w:spacing w:after="120"/>
    </w:pPr>
    <w:rPr>
      <w:lang w:eastAsia="en-US"/>
    </w:rPr>
  </w:style>
  <w:style w:type="paragraph" w:styleId="1037" w:customStyle="1">
    <w:name w:val="一级条标题"/>
    <w:basedOn w:val="1038"/>
    <w:next w:val="10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8" w:customStyle="1">
    <w:name w:val="章标题"/>
    <w:next w:val="89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39" w:customStyle="1">
    <w:name w:val="段"/>
    <w:basedOn w:val="894"/>
    <w:next w:val="894"/>
    <w:uiPriority w:val="0"/>
    <w:qFormat/>
    <w:pPr>
      <w:ind w:firstLine="200"/>
      <w:widowControl/>
    </w:pPr>
    <w:rPr>
      <w:rFonts w:hint="eastAsia" w:ascii="宋体"/>
      <w:szCs w:val="20"/>
    </w:rPr>
  </w:style>
  <w:style w:type="character" w:styleId="1040" w:customStyle="1">
    <w:name w:val="批注引用1"/>
    <w:link w:val="894"/>
    <w:uiPriority w:val="0"/>
    <w:qFormat/>
    <w:rPr>
      <w:sz w:val="21"/>
      <w:szCs w:val="21"/>
    </w:rPr>
  </w:style>
  <w:style w:type="character" w:styleId="1041" w:customStyle="1">
    <w:name w:val="正文首行缩进 2 Char"/>
    <w:link w:val="1042"/>
    <w:uiPriority w:val="0"/>
    <w:qFormat/>
    <w:rPr>
      <w:sz w:val="21"/>
      <w:szCs w:val="24"/>
    </w:rPr>
  </w:style>
  <w:style w:type="paragraph" w:styleId="1042" w:customStyle="1">
    <w:name w:val="正文首行缩进 21"/>
    <w:basedOn w:val="941"/>
    <w:link w:val="1041"/>
    <w:uiPriority w:val="0"/>
    <w:qFormat/>
    <w:pPr>
      <w:ind w:firstLine="420"/>
    </w:pPr>
  </w:style>
  <w:style w:type="paragraph" w:styleId="1043" w:customStyle="1">
    <w:name w:val="表格3"/>
    <w:basedOn w:val="894"/>
    <w:uiPriority w:val="0"/>
    <w:qFormat/>
    <w:pPr>
      <w:jc w:val="center"/>
    </w:pPr>
  </w:style>
  <w:style w:type="paragraph" w:styleId="1044" w:customStyle="1">
    <w:name w:val="无间隔"/>
    <w:uiPriority w:val="1"/>
    <w:qFormat/>
    <w:rPr>
      <w:rFonts w:hint="default" w:ascii="Times New Roman" w:hAnsi="Times New Roman" w:eastAsia="宋体" w:cs="Times New Roman"/>
      <w:lang w:val="en-US" w:eastAsia="zh-CN" w:bidi="ar-SA"/>
    </w:rPr>
  </w:style>
  <w:style w:type="paragraph" w:styleId="1045" w:customStyle="1">
    <w:name w:val="目录 31"/>
    <w:basedOn w:val="894"/>
    <w:next w:val="894"/>
    <w:uiPriority w:val="39"/>
    <w:unhideWhenUsed/>
    <w:qFormat/>
    <w:pPr>
      <w:ind w:left="567"/>
      <w:spacing w:after="57"/>
    </w:pPr>
  </w:style>
  <w:style w:type="paragraph" w:styleId="1046" w:customStyle="1">
    <w:name w:val="图表目录1"/>
    <w:basedOn w:val="894"/>
    <w:next w:val="894"/>
    <w:uiPriority w:val="99"/>
    <w:unhideWhenUsed/>
    <w:qFormat/>
  </w:style>
  <w:style w:type="paragraph" w:styleId="1047"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1048" w:customStyle="1">
    <w:name w:val="列出段落1"/>
    <w:basedOn w:val="894"/>
    <w:uiPriority w:val="34"/>
    <w:qFormat/>
    <w:pPr>
      <w:ind w:firstLine="420"/>
    </w:pPr>
    <w:rPr>
      <w:rFonts w:ascii="Calibri" w:hAnsi="Calibri"/>
    </w:rPr>
  </w:style>
  <w:style w:type="paragraph" w:styleId="1049" w:customStyle="1">
    <w:name w:val="Blockquote"/>
    <w:basedOn w:val="894"/>
    <w:uiPriority w:val="0"/>
    <w:qFormat/>
    <w:pPr>
      <w:ind w:left="764" w:right="567"/>
      <w:jc w:val="left"/>
      <w:spacing w:before="100" w:after="100"/>
    </w:pPr>
    <w:rPr>
      <w:sz w:val="24"/>
    </w:rPr>
  </w:style>
  <w:style w:type="paragraph" w:styleId="1050" w:customStyle="1">
    <w:name w:val="_Style 2"/>
    <w:basedOn w:val="1051"/>
    <w:next w:val="894"/>
    <w:uiPriority w:val="0"/>
    <w:qFormat/>
    <w:pPr>
      <w:jc w:val="both"/>
      <w:spacing w:line="576" w:lineRule="auto"/>
      <w:outlineLvl w:val="9"/>
    </w:pPr>
  </w:style>
  <w:style w:type="paragraph" w:styleId="1051" w:customStyle="1">
    <w:name w:val="标题 11"/>
    <w:basedOn w:val="894"/>
    <w:next w:val="894"/>
    <w:uiPriority w:val="0"/>
    <w:qFormat/>
    <w:pPr>
      <w:jc w:val="center"/>
      <w:keepLines/>
      <w:keepNext/>
      <w:spacing w:before="340" w:after="330" w:line="578" w:lineRule="auto"/>
      <w:outlineLvl w:val="0"/>
    </w:pPr>
    <w:rPr>
      <w:b/>
      <w:bCs/>
      <w:sz w:val="44"/>
      <w:szCs w:val="44"/>
    </w:rPr>
  </w:style>
  <w:style w:type="paragraph" w:styleId="1052" w:customStyle="1">
    <w:name w:val="默认段落字体 Para Char Char Char Char Char Char Char"/>
    <w:basedOn w:val="894"/>
    <w:uiPriority w:val="0"/>
    <w:qFormat/>
    <w:rPr>
      <w:rFonts w:ascii="Tahoma" w:hAnsi="Tahoma"/>
      <w:sz w:val="24"/>
      <w:szCs w:val="20"/>
    </w:rPr>
  </w:style>
  <w:style w:type="paragraph" w:styleId="1053" w:customStyle="1">
    <w:name w:val="目录 91"/>
    <w:basedOn w:val="894"/>
    <w:next w:val="894"/>
    <w:uiPriority w:val="39"/>
    <w:unhideWhenUsed/>
    <w:qFormat/>
    <w:pPr>
      <w:ind w:left="2268"/>
      <w:spacing w:after="57"/>
    </w:pPr>
  </w:style>
  <w:style w:type="paragraph" w:styleId="1054" w:customStyle="1">
    <w:name w:val="正文文本缩进2"/>
    <w:basedOn w:val="894"/>
    <w:uiPriority w:val="0"/>
    <w:qFormat/>
    <w:pPr>
      <w:ind w:left="420"/>
      <w:spacing w:after="120"/>
    </w:pPr>
    <w:rPr>
      <w:rFonts w:ascii="Calibri" w:hAnsi="Calibri"/>
    </w:rPr>
  </w:style>
  <w:style w:type="paragraph" w:styleId="1055" w:customStyle="1">
    <w:name w:val="目录 21"/>
    <w:basedOn w:val="894"/>
    <w:next w:val="894"/>
    <w:uiPriority w:val="39"/>
    <w:unhideWhenUsed/>
    <w:qFormat/>
    <w:pPr>
      <w:ind w:left="283"/>
      <w:spacing w:after="57"/>
    </w:pPr>
  </w:style>
  <w:style w:type="paragraph" w:styleId="1056" w:customStyle="1">
    <w:name w:val="Char"/>
    <w:basedOn w:val="894"/>
    <w:uiPriority w:val="0"/>
    <w:qFormat/>
    <w:pPr>
      <w:tabs>
        <w:tab w:val="left" w:pos="360" w:leader="none"/>
      </w:tabs>
    </w:pPr>
    <w:rPr>
      <w:sz w:val="24"/>
    </w:rPr>
  </w:style>
  <w:style w:type="paragraph" w:styleId="1057" w:customStyle="1">
    <w:name w:val="列出段落"/>
    <w:basedOn w:val="894"/>
    <w:uiPriority w:val="34"/>
    <w:qFormat/>
    <w:pPr>
      <w:contextualSpacing/>
      <w:ind w:left="720"/>
    </w:pPr>
  </w:style>
  <w:style w:type="paragraph" w:styleId="1058" w:customStyle="1">
    <w:name w:val="目录 81"/>
    <w:basedOn w:val="894"/>
    <w:next w:val="894"/>
    <w:uiPriority w:val="39"/>
    <w:unhideWhenUsed/>
    <w:qFormat/>
    <w:pPr>
      <w:ind w:left="1984"/>
      <w:spacing w:after="57"/>
    </w:pPr>
  </w:style>
  <w:style w:type="paragraph" w:styleId="1059" w:customStyle="1">
    <w:name w:val="页眉1"/>
    <w:basedOn w:val="894"/>
    <w:uiPriority w:val="0"/>
    <w:qFormat/>
    <w:pPr>
      <w:jc w:val="center"/>
      <w:tabs>
        <w:tab w:val="center" w:pos="4153" w:leader="none"/>
        <w:tab w:val="right" w:pos="8306" w:leader="none"/>
      </w:tabs>
      <w:pBdr>
        <w:bottom w:val="single" w:color="000000" w:sz="6" w:space="1"/>
      </w:pBdr>
    </w:pPr>
    <w:rPr>
      <w:sz w:val="18"/>
      <w:szCs w:val="18"/>
    </w:rPr>
  </w:style>
  <w:style w:type="paragraph" w:styleId="1060"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06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2" w:customStyle="1">
    <w:name w:val="题注1"/>
    <w:basedOn w:val="894"/>
    <w:next w:val="894"/>
    <w:uiPriority w:val="35"/>
    <w:qFormat/>
    <w:pPr>
      <w:spacing w:line="276" w:lineRule="auto"/>
    </w:pPr>
    <w:rPr>
      <w:b/>
      <w:bCs/>
      <w:color w:val="4f81bd"/>
      <w:sz w:val="18"/>
      <w:szCs w:val="18"/>
    </w:rPr>
  </w:style>
  <w:style w:type="paragraph" w:styleId="1063" w:customStyle="1">
    <w:name w:val="目录 61"/>
    <w:basedOn w:val="894"/>
    <w:next w:val="894"/>
    <w:uiPriority w:val="39"/>
    <w:unhideWhenUsed/>
    <w:qFormat/>
    <w:pPr>
      <w:ind w:left="1417"/>
      <w:spacing w:after="57"/>
    </w:pPr>
  </w:style>
  <w:style w:type="paragraph" w:styleId="1064" w:customStyle="1">
    <w:name w:val="目录 51"/>
    <w:basedOn w:val="894"/>
    <w:next w:val="894"/>
    <w:uiPriority w:val="39"/>
    <w:unhideWhenUsed/>
    <w:qFormat/>
    <w:pPr>
      <w:ind w:left="1134"/>
      <w:spacing w:after="57"/>
    </w:pPr>
  </w:style>
  <w:style w:type="paragraph" w:styleId="1065" w:customStyle="1">
    <w:name w:val="目录 71"/>
    <w:basedOn w:val="894"/>
    <w:next w:val="894"/>
    <w:uiPriority w:val="39"/>
    <w:unhideWhenUsed/>
    <w:qFormat/>
    <w:pPr>
      <w:ind w:left="1701"/>
      <w:spacing w:after="57"/>
    </w:pPr>
  </w:style>
  <w:style w:type="paragraph" w:styleId="1066" w:customStyle="1">
    <w:name w:val="TOC 标题1"/>
    <w:uiPriority w:val="39"/>
    <w:unhideWhenUsed/>
    <w:qFormat/>
    <w:rPr>
      <w:rFonts w:hint="default" w:ascii="Times New Roman" w:hAnsi="Times New Roman" w:eastAsia="宋体" w:cs="Times New Roman"/>
      <w:lang w:val="en-US" w:eastAsia="zh-CN" w:bidi="ar-SA"/>
    </w:rPr>
  </w:style>
  <w:style w:type="paragraph" w:styleId="1067" w:customStyle="1">
    <w:name w:val="标题 31"/>
    <w:basedOn w:val="894"/>
    <w:next w:val="894"/>
    <w:uiPriority w:val="0"/>
    <w:qFormat/>
    <w:pPr>
      <w:keepLines/>
      <w:keepNext/>
      <w:spacing w:before="260" w:after="260" w:line="416" w:lineRule="auto"/>
      <w:outlineLvl w:val="2"/>
    </w:pPr>
    <w:rPr>
      <w:b/>
      <w:bCs/>
      <w:sz w:val="32"/>
      <w:szCs w:val="32"/>
    </w:rPr>
  </w:style>
  <w:style w:type="paragraph" w:styleId="1068" w:customStyle="1">
    <w:name w:val="目录 41"/>
    <w:basedOn w:val="894"/>
    <w:next w:val="894"/>
    <w:uiPriority w:val="39"/>
    <w:unhideWhenUsed/>
    <w:qFormat/>
    <w:pPr>
      <w:ind w:left="850"/>
      <w:spacing w:after="57"/>
    </w:pPr>
  </w:style>
  <w:style w:type="paragraph" w:styleId="1069" w:customStyle="1">
    <w:name w:val="p0"/>
    <w:basedOn w:val="894"/>
    <w:uiPriority w:val="0"/>
    <w:qFormat/>
    <w:pPr>
      <w:widowControl/>
    </w:pPr>
    <w:rPr>
      <w:szCs w:val="21"/>
    </w:rPr>
  </w:style>
  <w:style w:type="paragraph" w:styleId="1070" w:customStyle="1">
    <w:name w:val="文本块{858D7CFB-ED40-4347-BF05-701D383B685F}{858D7CFB-ED40-4347-BF05-701D383B685F}"/>
    <w:basedOn w:val="894"/>
    <w:uiPriority w:val="0"/>
    <w:qFormat/>
    <w:pPr>
      <w:ind w:left="256" w:right="6" w:firstLine="200"/>
    </w:pPr>
    <w:rPr>
      <w:rFonts w:eastAsia="仿宋_GB2312"/>
      <w:sz w:val="28"/>
    </w:rPr>
  </w:style>
  <w:style w:type="paragraph" w:styleId="1071" w:customStyle="1">
    <w:name w:val="_HT_正文"/>
    <w:basedOn w:val="894"/>
    <w:uiPriority w:val="0"/>
    <w:qFormat/>
    <w:pPr>
      <w:ind w:firstLine="200"/>
      <w:spacing w:line="360" w:lineRule="auto"/>
    </w:pPr>
    <w:rPr>
      <w:sz w:val="24"/>
    </w:rPr>
  </w:style>
  <w:style w:type="paragraph" w:styleId="1072" w:customStyle="1">
    <w:name w:val="页脚1"/>
    <w:basedOn w:val="894"/>
    <w:uiPriority w:val="0"/>
    <w:qFormat/>
    <w:pPr>
      <w:jc w:val="left"/>
      <w:tabs>
        <w:tab w:val="center" w:pos="4153" w:leader="none"/>
        <w:tab w:val="right" w:pos="8306" w:leader="none"/>
      </w:tabs>
    </w:pPr>
    <w:rPr>
      <w:sz w:val="18"/>
      <w:szCs w:val="18"/>
    </w:rPr>
  </w:style>
  <w:style w:type="paragraph" w:styleId="1073" w:customStyle="1">
    <w:name w:val="彩色列表 - 强调文字颜色 11"/>
    <w:basedOn w:val="894"/>
    <w:uiPriority w:val="34"/>
    <w:qFormat/>
    <w:pPr>
      <w:ind w:firstLine="420"/>
    </w:pPr>
    <w:rPr>
      <w:rFonts w:ascii="Calibri" w:hAnsi="Calibri"/>
      <w:szCs w:val="22"/>
    </w:rPr>
  </w:style>
  <w:style w:type="paragraph" w:styleId="1074" w:customStyle="1">
    <w:name w:val="UserStyle_0"/>
    <w:next w:val="1075"/>
    <w:uiPriority w:val="0"/>
    <w:qFormat/>
    <w:pPr>
      <w:jc w:val="both"/>
    </w:pPr>
    <w:rPr>
      <w:rFonts w:hint="default" w:ascii="Times New Roman" w:hAnsi="Times New Roman" w:eastAsia="宋体" w:cs="Times New Roman"/>
      <w:sz w:val="21"/>
      <w:szCs w:val="24"/>
      <w:lang w:val="en-US" w:eastAsia="zh-CN" w:bidi="ar-SA"/>
    </w:rPr>
  </w:style>
  <w:style w:type="paragraph" w:styleId="1075" w:customStyle="1">
    <w:name w:val="UserStyle_1"/>
    <w:basedOn w:val="1074"/>
    <w:next w:val="1076"/>
    <w:uiPriority w:val="0"/>
    <w:qFormat/>
    <w:pPr>
      <w:spacing w:after="120"/>
    </w:pPr>
    <w:rPr>
      <w:lang w:eastAsia="en-US"/>
    </w:rPr>
  </w:style>
  <w:style w:type="paragraph" w:styleId="1076" w:customStyle="1">
    <w:name w:val="UserStyle_3"/>
    <w:basedOn w:val="1077"/>
    <w:next w:val="1078"/>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77" w:customStyle="1">
    <w:name w:val="UserStyle_4"/>
    <w:next w:val="894"/>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078" w:customStyle="1">
    <w:name w:val="UserStyle_5"/>
    <w:basedOn w:val="894"/>
    <w:next w:val="894"/>
    <w:uiPriority w:val="0"/>
    <w:qFormat/>
    <w:pPr>
      <w:ind w:firstLine="200"/>
    </w:pPr>
    <w:rPr>
      <w:rFonts w:ascii="宋体"/>
      <w:szCs w:val="20"/>
    </w:rPr>
  </w:style>
  <w:style w:type="table" w:styleId="1079" w:customStyle="1">
    <w:name w:val="Grid Table 3 - Accent 2"/>
    <w:uiPriority w:val="99"/>
    <w:qFormat/>
    <w:rPr>
      <w:lang w:val="en-US" w:eastAsia="zh-CN" w:bidi="ar-SA"/>
    </w:rPr>
    <w:tblPr/>
  </w:style>
  <w:style w:type="table" w:styleId="1080" w:customStyle="1">
    <w:name w:val="List Table 4 - Accent 1"/>
    <w:uiPriority w:val="99"/>
    <w:qFormat/>
    <w:rPr>
      <w:lang w:val="en-US" w:eastAsia="zh-CN" w:bidi="ar-SA"/>
    </w:rPr>
    <w:tblPr/>
  </w:style>
  <w:style w:type="table" w:styleId="1081" w:customStyle="1">
    <w:name w:val="网格型11"/>
    <w:uiPriority w:val="59"/>
    <w:qFormat/>
    <w:rPr>
      <w:lang w:val="en-US" w:eastAsia="zh-CN" w:bidi="ar-SA"/>
    </w:rPr>
    <w:tblPr/>
  </w:style>
  <w:style w:type="table" w:styleId="1082" w:customStyle="1">
    <w:name w:val="Grid Table 3"/>
    <w:uiPriority w:val="99"/>
    <w:qFormat/>
    <w:rPr>
      <w:lang w:val="en-US" w:eastAsia="zh-CN" w:bidi="ar-SA"/>
    </w:rPr>
    <w:tblPr/>
  </w:style>
  <w:style w:type="table" w:styleId="1083" w:customStyle="1">
    <w:name w:val="Grid Table 4 - Accent 1"/>
    <w:uiPriority w:val="59"/>
    <w:qFormat/>
    <w:rPr>
      <w:lang w:val="en-US" w:eastAsia="zh-CN" w:bidi="ar-SA"/>
    </w:rPr>
    <w:tblPr/>
  </w:style>
  <w:style w:type="table" w:styleId="1084" w:customStyle="1">
    <w:name w:val="List Table 5 Dark - Accent 5"/>
    <w:uiPriority w:val="99"/>
    <w:qFormat/>
    <w:rPr>
      <w:lang w:val="en-US" w:eastAsia="zh-CN" w:bidi="ar-SA"/>
    </w:rPr>
    <w:tblPr/>
  </w:style>
  <w:style w:type="table" w:styleId="1085" w:customStyle="1">
    <w:name w:val="Grid Table 4 - Accent 6"/>
    <w:uiPriority w:val="59"/>
    <w:qFormat/>
    <w:rPr>
      <w:lang w:val="en-US" w:eastAsia="zh-CN" w:bidi="ar-SA"/>
    </w:rPr>
    <w:tblPr/>
  </w:style>
  <w:style w:type="table" w:styleId="1086" w:customStyle="1">
    <w:name w:val="Lined - Accent 1"/>
    <w:uiPriority w:val="99"/>
    <w:qFormat/>
    <w:rPr>
      <w:color w:val="404040"/>
      <w:lang w:val="en-US" w:eastAsia="zh-CN" w:bidi="ar-SA"/>
    </w:rPr>
    <w:tblPr/>
  </w:style>
  <w:style w:type="table" w:styleId="1087" w:customStyle="1">
    <w:name w:val="Bordered - Accent 1"/>
    <w:uiPriority w:val="99"/>
    <w:qFormat/>
    <w:rPr>
      <w:lang w:val="en-US" w:eastAsia="zh-CN" w:bidi="ar-SA"/>
    </w:rPr>
    <w:tblPr/>
  </w:style>
  <w:style w:type="table" w:styleId="1088" w:customStyle="1">
    <w:name w:val="List Table 2 - Accent 3"/>
    <w:uiPriority w:val="99"/>
    <w:qFormat/>
    <w:rPr>
      <w:lang w:val="en-US" w:eastAsia="zh-CN" w:bidi="ar-SA"/>
    </w:rPr>
    <w:tblPr/>
  </w:style>
  <w:style w:type="table" w:styleId="1089" w:customStyle="1">
    <w:name w:val="Grid Table 1 Light - Accent 6"/>
    <w:uiPriority w:val="99"/>
    <w:qFormat/>
    <w:rPr>
      <w:lang w:val="en-US" w:eastAsia="zh-CN" w:bidi="ar-SA"/>
    </w:rPr>
    <w:tblPr/>
  </w:style>
  <w:style w:type="table" w:styleId="1090" w:customStyle="1">
    <w:name w:val="Plain Table 5"/>
    <w:uiPriority w:val="99"/>
    <w:qFormat/>
    <w:rPr>
      <w:lang w:val="en-US" w:eastAsia="zh-CN" w:bidi="ar-SA"/>
    </w:rPr>
    <w:tblPr/>
  </w:style>
  <w:style w:type="table" w:styleId="1091" w:customStyle="1">
    <w:name w:val="Grid Table 3 - Accent 1"/>
    <w:uiPriority w:val="99"/>
    <w:qFormat/>
    <w:rPr>
      <w:lang w:val="en-US" w:eastAsia="zh-CN" w:bidi="ar-SA"/>
    </w:rPr>
    <w:tblPr/>
  </w:style>
  <w:style w:type="table" w:styleId="1092" w:customStyle="1">
    <w:name w:val="Grid Table 7 Colorful - Accent 4"/>
    <w:uiPriority w:val="99"/>
    <w:qFormat/>
    <w:rPr>
      <w:lang w:val="en-US" w:eastAsia="zh-CN" w:bidi="ar-SA"/>
    </w:rPr>
    <w:tblPr/>
  </w:style>
  <w:style w:type="table" w:styleId="1093" w:customStyle="1">
    <w:name w:val="Bordered - Accent 4"/>
    <w:uiPriority w:val="99"/>
    <w:qFormat/>
    <w:rPr>
      <w:lang w:val="en-US" w:eastAsia="zh-CN" w:bidi="ar-SA"/>
    </w:rPr>
    <w:tblPr/>
  </w:style>
  <w:style w:type="table" w:styleId="1094" w:customStyle="1">
    <w:name w:val="List Table 7 Colorful - Accent 6"/>
    <w:uiPriority w:val="99"/>
    <w:qFormat/>
    <w:rPr>
      <w:lang w:val="en-US" w:eastAsia="zh-CN" w:bidi="ar-SA"/>
    </w:rPr>
    <w:tblPr/>
  </w:style>
  <w:style w:type="table" w:styleId="1095" w:customStyle="1">
    <w:name w:val="List Table 2 - Accent 5"/>
    <w:uiPriority w:val="99"/>
    <w:qFormat/>
    <w:rPr>
      <w:lang w:val="en-US" w:eastAsia="zh-CN" w:bidi="ar-SA"/>
    </w:rPr>
    <w:tblPr/>
  </w:style>
  <w:style w:type="table" w:styleId="1096" w:customStyle="1">
    <w:name w:val="Lined - Accent 4"/>
    <w:uiPriority w:val="99"/>
    <w:qFormat/>
    <w:rPr>
      <w:color w:val="404040"/>
      <w:lang w:val="en-US" w:eastAsia="zh-CN" w:bidi="ar-SA"/>
    </w:rPr>
    <w:tblPr/>
  </w:style>
  <w:style w:type="table" w:styleId="1097" w:customStyle="1">
    <w:name w:val="List Table 3 - Accent 2"/>
    <w:uiPriority w:val="99"/>
    <w:qFormat/>
    <w:rPr>
      <w:lang w:val="en-US" w:eastAsia="zh-CN" w:bidi="ar-SA"/>
    </w:rPr>
    <w:tblPr/>
  </w:style>
  <w:style w:type="table" w:styleId="1098" w:customStyle="1">
    <w:name w:val="网格型1"/>
    <w:basedOn w:val="1099"/>
    <w:uiPriority w:val="0"/>
    <w:qFormat/>
    <w:tblPr/>
  </w:style>
  <w:style w:type="table" w:styleId="1099" w:customStyle="1">
    <w:name w:val="普通表格1"/>
    <w:uiPriority w:val="0"/>
    <w:semiHidden/>
    <w:qFormat/>
    <w:rPr>
      <w:lang w:val="en-US" w:eastAsia="zh-CN" w:bidi="ar-SA"/>
    </w:rPr>
    <w:tblPr/>
  </w:style>
  <w:style w:type="table" w:styleId="1100" w:customStyle="1">
    <w:name w:val="Grid Table 6 Colorful - Accent 5"/>
    <w:uiPriority w:val="99"/>
    <w:qFormat/>
    <w:rPr>
      <w:lang w:val="en-US" w:eastAsia="zh-CN" w:bidi="ar-SA"/>
    </w:rPr>
    <w:tblPr/>
  </w:style>
  <w:style w:type="table" w:styleId="1101" w:customStyle="1">
    <w:name w:val="Grid Table 2 - Accent 6"/>
    <w:uiPriority w:val="99"/>
    <w:qFormat/>
    <w:rPr>
      <w:lang w:val="en-US" w:eastAsia="zh-CN" w:bidi="ar-SA"/>
    </w:rPr>
    <w:tblPr/>
  </w:style>
  <w:style w:type="table" w:styleId="1102" w:customStyle="1">
    <w:name w:val="Grid Table 5 Dark"/>
    <w:uiPriority w:val="99"/>
    <w:qFormat/>
    <w:rPr>
      <w:lang w:val="en-US" w:eastAsia="zh-CN" w:bidi="ar-SA"/>
    </w:rPr>
    <w:tblPr/>
  </w:style>
  <w:style w:type="table" w:styleId="1103" w:customStyle="1">
    <w:name w:val="Grid Table 6 Colorful - Accent 2"/>
    <w:uiPriority w:val="99"/>
    <w:qFormat/>
    <w:rPr>
      <w:lang w:val="en-US" w:eastAsia="zh-CN" w:bidi="ar-SA"/>
    </w:rPr>
    <w:tblPr/>
  </w:style>
  <w:style w:type="table" w:styleId="1104" w:customStyle="1">
    <w:name w:val="Grid Table 2 - Accent 3"/>
    <w:uiPriority w:val="99"/>
    <w:qFormat/>
    <w:rPr>
      <w:lang w:val="en-US" w:eastAsia="zh-CN" w:bidi="ar-SA"/>
    </w:rPr>
    <w:tblPr/>
  </w:style>
  <w:style w:type="table" w:styleId="1105" w:customStyle="1">
    <w:name w:val="Grid Table 3 - Accent 6"/>
    <w:uiPriority w:val="99"/>
    <w:qFormat/>
    <w:rPr>
      <w:lang w:val="en-US" w:eastAsia="zh-CN" w:bidi="ar-SA"/>
    </w:rPr>
    <w:tblPr/>
  </w:style>
  <w:style w:type="table" w:styleId="1106" w:customStyle="1">
    <w:name w:val="Grid Table 5 Dark - Accent 5"/>
    <w:uiPriority w:val="99"/>
    <w:qFormat/>
    <w:rPr>
      <w:lang w:val="en-US" w:eastAsia="zh-CN" w:bidi="ar-SA"/>
    </w:rPr>
    <w:tblPr/>
  </w:style>
  <w:style w:type="table" w:styleId="1107" w:customStyle="1">
    <w:name w:val="List Table 1 Light - Accent 2"/>
    <w:uiPriority w:val="99"/>
    <w:qFormat/>
    <w:rPr>
      <w:lang w:val="en-US" w:eastAsia="zh-CN" w:bidi="ar-SA"/>
    </w:rPr>
    <w:tblPr/>
  </w:style>
  <w:style w:type="table" w:styleId="1108" w:customStyle="1">
    <w:name w:val="List Table 2 - Accent 1"/>
    <w:uiPriority w:val="99"/>
    <w:qFormat/>
    <w:rPr>
      <w:lang w:val="en-US" w:eastAsia="zh-CN" w:bidi="ar-SA"/>
    </w:rPr>
    <w:tblPr/>
  </w:style>
  <w:style w:type="table" w:styleId="1109" w:customStyle="1">
    <w:name w:val="List Table 1 Light - Accent 3"/>
    <w:uiPriority w:val="99"/>
    <w:qFormat/>
    <w:rPr>
      <w:lang w:val="en-US" w:eastAsia="zh-CN" w:bidi="ar-SA"/>
    </w:rPr>
    <w:tblPr/>
  </w:style>
  <w:style w:type="table" w:styleId="1110" w:customStyle="1">
    <w:name w:val="List Table 6 Colorful - Accent 2"/>
    <w:uiPriority w:val="99"/>
    <w:qFormat/>
    <w:rPr>
      <w:lang w:val="en-US" w:eastAsia="zh-CN" w:bidi="ar-SA"/>
    </w:rPr>
    <w:tblPr/>
  </w:style>
  <w:style w:type="table" w:styleId="1111" w:customStyle="1">
    <w:name w:val="List Table 7 Colorful"/>
    <w:uiPriority w:val="99"/>
    <w:qFormat/>
    <w:rPr>
      <w:lang w:val="en-US" w:eastAsia="zh-CN" w:bidi="ar-SA"/>
    </w:rPr>
    <w:tblPr/>
  </w:style>
  <w:style w:type="table" w:styleId="1112" w:customStyle="1">
    <w:name w:val="Grid Table 3 - Accent 5"/>
    <w:uiPriority w:val="99"/>
    <w:qFormat/>
    <w:rPr>
      <w:lang w:val="en-US" w:eastAsia="zh-CN" w:bidi="ar-SA"/>
    </w:rPr>
    <w:tblPr/>
  </w:style>
  <w:style w:type="table" w:styleId="1113" w:customStyle="1">
    <w:name w:val="List Table 5 Dark - Accent 6"/>
    <w:uiPriority w:val="99"/>
    <w:qFormat/>
    <w:rPr>
      <w:lang w:val="en-US" w:eastAsia="zh-CN" w:bidi="ar-SA"/>
    </w:rPr>
    <w:tblPr/>
  </w:style>
  <w:style w:type="table" w:styleId="1114" w:customStyle="1">
    <w:name w:val="List Table 2"/>
    <w:uiPriority w:val="99"/>
    <w:qFormat/>
    <w:rPr>
      <w:lang w:val="en-US" w:eastAsia="zh-CN" w:bidi="ar-SA"/>
    </w:rPr>
    <w:tblPr/>
  </w:style>
  <w:style w:type="table" w:styleId="1115" w:customStyle="1">
    <w:name w:val="Table Grid Light"/>
    <w:uiPriority w:val="59"/>
    <w:qFormat/>
    <w:rPr>
      <w:lang w:val="en-US" w:eastAsia="zh-CN" w:bidi="ar-SA"/>
    </w:rPr>
    <w:tblPr/>
  </w:style>
  <w:style w:type="table" w:styleId="1116" w:customStyle="1">
    <w:name w:val="Lined - Accent 6"/>
    <w:uiPriority w:val="99"/>
    <w:qFormat/>
    <w:rPr>
      <w:color w:val="404040"/>
      <w:lang w:val="en-US" w:eastAsia="zh-CN" w:bidi="ar-SA"/>
    </w:rPr>
    <w:tblPr/>
  </w:style>
  <w:style w:type="table" w:styleId="1117" w:customStyle="1">
    <w:name w:val="List Table 1 Light - Accent 6"/>
    <w:uiPriority w:val="99"/>
    <w:qFormat/>
    <w:rPr>
      <w:lang w:val="en-US" w:eastAsia="zh-CN" w:bidi="ar-SA"/>
    </w:rPr>
    <w:tblPr/>
  </w:style>
  <w:style w:type="table" w:styleId="1118" w:customStyle="1">
    <w:name w:val="List Table 7 Colorful - Accent 1"/>
    <w:uiPriority w:val="99"/>
    <w:qFormat/>
    <w:rPr>
      <w:lang w:val="en-US" w:eastAsia="zh-CN" w:bidi="ar-SA"/>
    </w:rPr>
    <w:tblPr/>
  </w:style>
  <w:style w:type="table" w:styleId="1119" w:customStyle="1">
    <w:name w:val="Lined - Accent"/>
    <w:uiPriority w:val="99"/>
    <w:qFormat/>
    <w:rPr>
      <w:color w:val="404040"/>
      <w:lang w:val="en-US" w:eastAsia="zh-CN" w:bidi="ar-SA"/>
    </w:rPr>
    <w:tblPr/>
  </w:style>
  <w:style w:type="table" w:styleId="1120" w:customStyle="1">
    <w:name w:val="Grid Table 4"/>
    <w:uiPriority w:val="59"/>
    <w:qFormat/>
    <w:rPr>
      <w:lang w:val="en-US" w:eastAsia="zh-CN" w:bidi="ar-SA"/>
    </w:rPr>
    <w:tblPr/>
  </w:style>
  <w:style w:type="table" w:styleId="1121" w:customStyle="1">
    <w:name w:val="Grid Table 2 - Accent 1"/>
    <w:uiPriority w:val="99"/>
    <w:qFormat/>
    <w:rPr>
      <w:lang w:val="en-US" w:eastAsia="zh-CN" w:bidi="ar-SA"/>
    </w:rPr>
    <w:tblPr/>
  </w:style>
  <w:style w:type="table" w:styleId="1122" w:customStyle="1">
    <w:name w:val="List Table 6 Colorful - Accent 4"/>
    <w:uiPriority w:val="99"/>
    <w:qFormat/>
    <w:rPr>
      <w:lang w:val="en-US" w:eastAsia="zh-CN" w:bidi="ar-SA"/>
    </w:rPr>
    <w:tblPr/>
  </w:style>
  <w:style w:type="table" w:styleId="1123" w:customStyle="1">
    <w:name w:val="List Table 2 - Accent 6"/>
    <w:uiPriority w:val="99"/>
    <w:qFormat/>
    <w:rPr>
      <w:lang w:val="en-US" w:eastAsia="zh-CN" w:bidi="ar-SA"/>
    </w:rPr>
    <w:tblPr/>
  </w:style>
  <w:style w:type="table" w:styleId="1124" w:customStyle="1">
    <w:name w:val="Grid Table 1 Light - Accent 3"/>
    <w:uiPriority w:val="99"/>
    <w:qFormat/>
    <w:rPr>
      <w:lang w:val="en-US" w:eastAsia="zh-CN" w:bidi="ar-SA"/>
    </w:rPr>
    <w:tblPr/>
  </w:style>
  <w:style w:type="table" w:styleId="1125" w:customStyle="1">
    <w:name w:val="List Table 5 Dark - Accent 2"/>
    <w:uiPriority w:val="99"/>
    <w:qFormat/>
    <w:rPr>
      <w:lang w:val="en-US" w:eastAsia="zh-CN" w:bidi="ar-SA"/>
    </w:rPr>
    <w:tblPr/>
  </w:style>
  <w:style w:type="table" w:styleId="1126" w:customStyle="1">
    <w:name w:val="List Table 2 - Accent 2"/>
    <w:uiPriority w:val="99"/>
    <w:qFormat/>
    <w:rPr>
      <w:lang w:val="en-US" w:eastAsia="zh-CN" w:bidi="ar-SA"/>
    </w:rPr>
    <w:tblPr/>
  </w:style>
  <w:style w:type="table" w:styleId="1127" w:customStyle="1">
    <w:name w:val="Grid Table 4 - Accent 4"/>
    <w:uiPriority w:val="59"/>
    <w:qFormat/>
    <w:rPr>
      <w:lang w:val="en-US" w:eastAsia="zh-CN" w:bidi="ar-SA"/>
    </w:rPr>
    <w:tblPr/>
  </w:style>
  <w:style w:type="table" w:styleId="1128" w:customStyle="1">
    <w:name w:val="List Table 1 Light - Accent 1"/>
    <w:uiPriority w:val="99"/>
    <w:qFormat/>
    <w:rPr>
      <w:lang w:val="en-US" w:eastAsia="zh-CN" w:bidi="ar-SA"/>
    </w:rPr>
    <w:tblPr/>
  </w:style>
  <w:style w:type="table" w:styleId="1129" w:customStyle="1">
    <w:name w:val="List Table 4 - Accent 5"/>
    <w:uiPriority w:val="99"/>
    <w:qFormat/>
    <w:rPr>
      <w:lang w:val="en-US" w:eastAsia="zh-CN" w:bidi="ar-SA"/>
    </w:rPr>
    <w:tblPr/>
  </w:style>
  <w:style w:type="table" w:styleId="1130" w:customStyle="1">
    <w:name w:val="Grid Table 2 - Accent 5"/>
    <w:uiPriority w:val="99"/>
    <w:qFormat/>
    <w:rPr>
      <w:lang w:val="en-US" w:eastAsia="zh-CN" w:bidi="ar-SA"/>
    </w:rPr>
    <w:tblPr/>
  </w:style>
  <w:style w:type="table" w:styleId="1131" w:customStyle="1">
    <w:name w:val="List Table 3 - Accent 1"/>
    <w:uiPriority w:val="99"/>
    <w:qFormat/>
    <w:rPr>
      <w:lang w:val="en-US" w:eastAsia="zh-CN" w:bidi="ar-SA"/>
    </w:rPr>
    <w:tblPr/>
  </w:style>
  <w:style w:type="table" w:styleId="1132" w:customStyle="1">
    <w:name w:val="Grid Table 7 Colorful - Accent 2"/>
    <w:uiPriority w:val="99"/>
    <w:qFormat/>
    <w:rPr>
      <w:lang w:val="en-US" w:eastAsia="zh-CN" w:bidi="ar-SA"/>
    </w:rPr>
    <w:tblPr/>
  </w:style>
  <w:style w:type="table" w:styleId="1133" w:customStyle="1">
    <w:name w:val="Grid Table 6 Colorful - Accent 1"/>
    <w:uiPriority w:val="99"/>
    <w:qFormat/>
    <w:rPr>
      <w:lang w:val="en-US" w:eastAsia="zh-CN" w:bidi="ar-SA"/>
    </w:rPr>
    <w:tblPr/>
  </w:style>
  <w:style w:type="table" w:styleId="1134" w:customStyle="1">
    <w:name w:val="List Table 4 - Accent 2"/>
    <w:uiPriority w:val="99"/>
    <w:qFormat/>
    <w:rPr>
      <w:lang w:val="en-US" w:eastAsia="zh-CN" w:bidi="ar-SA"/>
    </w:rPr>
    <w:tblPr/>
  </w:style>
  <w:style w:type="table" w:styleId="1135" w:customStyle="1">
    <w:name w:val="Lined - Accent 3"/>
    <w:uiPriority w:val="99"/>
    <w:qFormat/>
    <w:rPr>
      <w:color w:val="404040"/>
      <w:lang w:val="en-US" w:eastAsia="zh-CN" w:bidi="ar-SA"/>
    </w:rPr>
    <w:tblPr/>
  </w:style>
  <w:style w:type="table" w:styleId="1136" w:customStyle="1">
    <w:name w:val="Bordered &amp; Lined - Accent 1"/>
    <w:uiPriority w:val="99"/>
    <w:qFormat/>
    <w:rPr>
      <w:color w:val="404040"/>
      <w:lang w:val="en-US" w:eastAsia="zh-CN" w:bidi="ar-SA"/>
    </w:rPr>
    <w:tblPr/>
  </w:style>
  <w:style w:type="table" w:styleId="1137" w:customStyle="1">
    <w:name w:val="List Table 7 Colorful - Accent 4"/>
    <w:uiPriority w:val="99"/>
    <w:qFormat/>
    <w:rPr>
      <w:lang w:val="en-US" w:eastAsia="zh-CN" w:bidi="ar-SA"/>
    </w:rPr>
    <w:tblPr/>
  </w:style>
  <w:style w:type="table" w:styleId="1138" w:customStyle="1">
    <w:name w:val="List Table 3 - Accent 4"/>
    <w:uiPriority w:val="99"/>
    <w:qFormat/>
    <w:rPr>
      <w:lang w:val="en-US" w:eastAsia="zh-CN" w:bidi="ar-SA"/>
    </w:rPr>
    <w:tblPr/>
  </w:style>
  <w:style w:type="table" w:styleId="1139" w:customStyle="1">
    <w:name w:val="List Table 5 Dark"/>
    <w:uiPriority w:val="99"/>
    <w:qFormat/>
    <w:rPr>
      <w:lang w:val="en-US" w:eastAsia="zh-CN" w:bidi="ar-SA"/>
    </w:rPr>
    <w:tblPr/>
  </w:style>
  <w:style w:type="table" w:styleId="1140" w:customStyle="1">
    <w:name w:val="Lined - Accent 5"/>
    <w:uiPriority w:val="99"/>
    <w:qFormat/>
    <w:rPr>
      <w:color w:val="404040"/>
      <w:lang w:val="en-US" w:eastAsia="zh-CN" w:bidi="ar-SA"/>
    </w:rPr>
    <w:tblPr/>
  </w:style>
  <w:style w:type="table" w:styleId="1141" w:customStyle="1">
    <w:name w:val="List Table 1 Light"/>
    <w:uiPriority w:val="99"/>
    <w:qFormat/>
    <w:rPr>
      <w:lang w:val="en-US" w:eastAsia="zh-CN" w:bidi="ar-SA"/>
    </w:rPr>
    <w:tblPr/>
  </w:style>
  <w:style w:type="table" w:styleId="1142" w:customStyle="1">
    <w:name w:val="List Table 4 - Accent 6"/>
    <w:uiPriority w:val="99"/>
    <w:qFormat/>
    <w:rPr>
      <w:lang w:val="en-US" w:eastAsia="zh-CN" w:bidi="ar-SA"/>
    </w:rPr>
    <w:tblPr/>
  </w:style>
  <w:style w:type="table" w:styleId="1143" w:customStyle="1">
    <w:name w:val="List Table 4"/>
    <w:uiPriority w:val="99"/>
    <w:qFormat/>
    <w:rPr>
      <w:lang w:val="en-US" w:eastAsia="zh-CN" w:bidi="ar-SA"/>
    </w:rPr>
    <w:tblPr/>
  </w:style>
  <w:style w:type="table" w:styleId="1144" w:customStyle="1">
    <w:name w:val="List Table 6 Colorful"/>
    <w:uiPriority w:val="99"/>
    <w:qFormat/>
    <w:rPr>
      <w:lang w:val="en-US" w:eastAsia="zh-CN" w:bidi="ar-SA"/>
    </w:rPr>
    <w:tblPr/>
  </w:style>
  <w:style w:type="table" w:styleId="1145" w:customStyle="1">
    <w:name w:val="Grid Table 1 Light - Accent 5"/>
    <w:uiPriority w:val="99"/>
    <w:qFormat/>
    <w:rPr>
      <w:lang w:val="en-US" w:eastAsia="zh-CN" w:bidi="ar-SA"/>
    </w:rPr>
    <w:tblPr/>
  </w:style>
  <w:style w:type="table" w:styleId="1146" w:customStyle="1">
    <w:name w:val="List Table 5 Dark - Accent 1"/>
    <w:uiPriority w:val="99"/>
    <w:qFormat/>
    <w:rPr>
      <w:lang w:val="en-US" w:eastAsia="zh-CN" w:bidi="ar-SA"/>
    </w:rPr>
    <w:tblPr/>
  </w:style>
  <w:style w:type="table" w:styleId="1147" w:customStyle="1">
    <w:name w:val="List Table 6 Colorful - Accent 6"/>
    <w:uiPriority w:val="99"/>
    <w:qFormat/>
    <w:rPr>
      <w:lang w:val="en-US" w:eastAsia="zh-CN" w:bidi="ar-SA"/>
    </w:rPr>
    <w:tblPr/>
  </w:style>
  <w:style w:type="table" w:styleId="1148" w:customStyle="1">
    <w:name w:val="Grid Table 5 Dark - Accent 2"/>
    <w:uiPriority w:val="99"/>
    <w:qFormat/>
    <w:rPr>
      <w:lang w:val="en-US" w:eastAsia="zh-CN" w:bidi="ar-SA"/>
    </w:rPr>
    <w:tblPr/>
  </w:style>
  <w:style w:type="table" w:styleId="1149" w:customStyle="1">
    <w:name w:val="Bordered - Accent 3"/>
    <w:uiPriority w:val="99"/>
    <w:qFormat/>
    <w:rPr>
      <w:lang w:val="en-US" w:eastAsia="zh-CN" w:bidi="ar-SA"/>
    </w:rPr>
    <w:tblPr/>
  </w:style>
  <w:style w:type="table" w:styleId="1150" w:customStyle="1">
    <w:name w:val="Grid Table 3 - Accent 4"/>
    <w:uiPriority w:val="99"/>
    <w:qFormat/>
    <w:rPr>
      <w:lang w:val="en-US" w:eastAsia="zh-CN" w:bidi="ar-SA"/>
    </w:rPr>
    <w:tblPr/>
  </w:style>
  <w:style w:type="table" w:styleId="1151" w:customStyle="1">
    <w:name w:val="Grid Table 7 Colorful"/>
    <w:uiPriority w:val="99"/>
    <w:qFormat/>
    <w:rPr>
      <w:lang w:val="en-US" w:eastAsia="zh-CN" w:bidi="ar-SA"/>
    </w:rPr>
    <w:tblPr/>
  </w:style>
  <w:style w:type="table" w:styleId="1152" w:customStyle="1">
    <w:name w:val="Grid Table 5 Dark- Accent 4"/>
    <w:uiPriority w:val="99"/>
    <w:qFormat/>
    <w:rPr>
      <w:lang w:val="en-US" w:eastAsia="zh-CN" w:bidi="ar-SA"/>
    </w:rPr>
    <w:tblPr/>
  </w:style>
  <w:style w:type="table" w:styleId="1153" w:customStyle="1">
    <w:name w:val="Grid Table 3 - Accent 3"/>
    <w:uiPriority w:val="99"/>
    <w:qFormat/>
    <w:rPr>
      <w:lang w:val="en-US" w:eastAsia="zh-CN" w:bidi="ar-SA"/>
    </w:rPr>
    <w:tblPr/>
  </w:style>
  <w:style w:type="table" w:styleId="1154" w:customStyle="1">
    <w:name w:val="Grid Table 6 Colorful - Accent 3"/>
    <w:uiPriority w:val="99"/>
    <w:qFormat/>
    <w:rPr>
      <w:lang w:val="en-US" w:eastAsia="zh-CN" w:bidi="ar-SA"/>
    </w:rPr>
    <w:tblPr/>
  </w:style>
  <w:style w:type="table" w:styleId="1155" w:customStyle="1">
    <w:name w:val="List Table 6 Colorful - Accent 3"/>
    <w:uiPriority w:val="99"/>
    <w:qFormat/>
    <w:rPr>
      <w:lang w:val="en-US" w:eastAsia="zh-CN" w:bidi="ar-SA"/>
    </w:rPr>
    <w:tblPr/>
  </w:style>
  <w:style w:type="table" w:styleId="1156" w:customStyle="1">
    <w:name w:val="List Table 3"/>
    <w:uiPriority w:val="99"/>
    <w:qFormat/>
    <w:rPr>
      <w:lang w:val="en-US" w:eastAsia="zh-CN" w:bidi="ar-SA"/>
    </w:rPr>
    <w:tblPr/>
  </w:style>
  <w:style w:type="table" w:styleId="1157" w:customStyle="1">
    <w:name w:val="List Table 3 - Accent 3"/>
    <w:uiPriority w:val="99"/>
    <w:qFormat/>
    <w:rPr>
      <w:lang w:val="en-US" w:eastAsia="zh-CN" w:bidi="ar-SA"/>
    </w:rPr>
    <w:tblPr/>
  </w:style>
  <w:style w:type="table" w:styleId="1158" w:customStyle="1">
    <w:name w:val="Bordered &amp; Lined - Accent 5"/>
    <w:uiPriority w:val="99"/>
    <w:qFormat/>
    <w:rPr>
      <w:color w:val="404040"/>
      <w:lang w:val="en-US" w:eastAsia="zh-CN" w:bidi="ar-SA"/>
    </w:rPr>
    <w:tblPr/>
  </w:style>
  <w:style w:type="table" w:styleId="1159" w:customStyle="1">
    <w:name w:val="Grid Table 1 Light - Accent 1"/>
    <w:uiPriority w:val="99"/>
    <w:qFormat/>
    <w:rPr>
      <w:lang w:val="en-US" w:eastAsia="zh-CN" w:bidi="ar-SA"/>
    </w:rPr>
    <w:tblPr/>
  </w:style>
  <w:style w:type="table" w:styleId="1160" w:customStyle="1">
    <w:name w:val="Grid Table 6 Colorful - Accent 4"/>
    <w:uiPriority w:val="99"/>
    <w:qFormat/>
    <w:rPr>
      <w:lang w:val="en-US" w:eastAsia="zh-CN" w:bidi="ar-SA"/>
    </w:rPr>
    <w:tblPr/>
  </w:style>
  <w:style w:type="table" w:styleId="1161" w:customStyle="1">
    <w:name w:val="Grid Table 5 Dark - Accent 6"/>
    <w:uiPriority w:val="99"/>
    <w:qFormat/>
    <w:rPr>
      <w:lang w:val="en-US" w:eastAsia="zh-CN" w:bidi="ar-SA"/>
    </w:rPr>
    <w:tblPr/>
  </w:style>
  <w:style w:type="table" w:styleId="1162" w:customStyle="1">
    <w:name w:val="Grid Table 2 - Accent 2"/>
    <w:uiPriority w:val="99"/>
    <w:qFormat/>
    <w:rPr>
      <w:lang w:val="en-US" w:eastAsia="zh-CN" w:bidi="ar-SA"/>
    </w:rPr>
    <w:tblPr/>
  </w:style>
  <w:style w:type="table" w:styleId="1163" w:customStyle="1">
    <w:name w:val="List Table 1 Light - Accent 4"/>
    <w:uiPriority w:val="99"/>
    <w:qFormat/>
    <w:rPr>
      <w:lang w:val="en-US" w:eastAsia="zh-CN" w:bidi="ar-SA"/>
    </w:rPr>
    <w:tblPr/>
  </w:style>
  <w:style w:type="table" w:styleId="1164" w:customStyle="1">
    <w:name w:val="Grid Table 7 Colorful - Accent 5"/>
    <w:uiPriority w:val="99"/>
    <w:qFormat/>
    <w:rPr>
      <w:lang w:val="en-US" w:eastAsia="zh-CN" w:bidi="ar-SA"/>
    </w:rPr>
    <w:tblPr/>
  </w:style>
  <w:style w:type="table" w:styleId="1165" w:customStyle="1">
    <w:name w:val="List Table 1 Light - Accent 5"/>
    <w:uiPriority w:val="99"/>
    <w:qFormat/>
    <w:rPr>
      <w:lang w:val="en-US" w:eastAsia="zh-CN" w:bidi="ar-SA"/>
    </w:rPr>
    <w:tblPr/>
  </w:style>
  <w:style w:type="table" w:styleId="1166" w:customStyle="1">
    <w:name w:val="List Table 5 Dark - Accent 3"/>
    <w:uiPriority w:val="99"/>
    <w:qFormat/>
    <w:rPr>
      <w:lang w:val="en-US" w:eastAsia="zh-CN" w:bidi="ar-SA"/>
    </w:rPr>
    <w:tblPr/>
  </w:style>
  <w:style w:type="table" w:styleId="1167" w:customStyle="1">
    <w:name w:val="Bordered - Accent 6"/>
    <w:uiPriority w:val="99"/>
    <w:qFormat/>
    <w:rPr>
      <w:lang w:val="en-US" w:eastAsia="zh-CN" w:bidi="ar-SA"/>
    </w:rPr>
    <w:tblPr/>
  </w:style>
  <w:style w:type="table" w:styleId="1168" w:customStyle="1">
    <w:name w:val="Plain Table 2"/>
    <w:uiPriority w:val="59"/>
    <w:qFormat/>
    <w:rPr>
      <w:lang w:val="en-US" w:eastAsia="zh-CN" w:bidi="ar-SA"/>
    </w:rPr>
    <w:tblPr/>
  </w:style>
  <w:style w:type="table" w:styleId="1169" w:customStyle="1">
    <w:name w:val="List Table 7 Colorful - Accent 2"/>
    <w:uiPriority w:val="99"/>
    <w:qFormat/>
    <w:rPr>
      <w:lang w:val="en-US" w:eastAsia="zh-CN" w:bidi="ar-SA"/>
    </w:rPr>
    <w:tblPr/>
  </w:style>
  <w:style w:type="table" w:styleId="1170" w:customStyle="1">
    <w:name w:val="Grid Table 4 - Accent 5"/>
    <w:uiPriority w:val="59"/>
    <w:qFormat/>
    <w:rPr>
      <w:lang w:val="en-US" w:eastAsia="zh-CN" w:bidi="ar-SA"/>
    </w:rPr>
    <w:tblPr/>
  </w:style>
  <w:style w:type="table" w:styleId="1171" w:customStyle="1">
    <w:name w:val="Grid Table 5 Dark - Accent 3"/>
    <w:uiPriority w:val="99"/>
    <w:qFormat/>
    <w:rPr>
      <w:lang w:val="en-US" w:eastAsia="zh-CN" w:bidi="ar-SA"/>
    </w:rPr>
    <w:tblPr/>
  </w:style>
  <w:style w:type="table" w:styleId="1172" w:customStyle="1">
    <w:name w:val="Bordered &amp; Lined - Accent 3"/>
    <w:uiPriority w:val="99"/>
    <w:qFormat/>
    <w:rPr>
      <w:color w:val="404040"/>
      <w:lang w:val="en-US" w:eastAsia="zh-CN" w:bidi="ar-SA"/>
    </w:rPr>
    <w:tblPr/>
  </w:style>
  <w:style w:type="table" w:styleId="1173" w:customStyle="1">
    <w:name w:val="Bordered &amp; Lined - Accent 2"/>
    <w:uiPriority w:val="99"/>
    <w:qFormat/>
    <w:rPr>
      <w:color w:val="404040"/>
      <w:lang w:val="en-US" w:eastAsia="zh-CN" w:bidi="ar-SA"/>
    </w:rPr>
    <w:tblPr/>
  </w:style>
  <w:style w:type="table" w:styleId="1174" w:customStyle="1">
    <w:name w:val="Lined - Accent 2"/>
    <w:uiPriority w:val="99"/>
    <w:qFormat/>
    <w:rPr>
      <w:color w:val="404040"/>
      <w:lang w:val="en-US" w:eastAsia="zh-CN" w:bidi="ar-SA"/>
    </w:rPr>
    <w:tblPr/>
  </w:style>
  <w:style w:type="table" w:styleId="1175" w:customStyle="1">
    <w:name w:val="Bordered &amp; Lined - Accent 4"/>
    <w:uiPriority w:val="99"/>
    <w:qFormat/>
    <w:rPr>
      <w:color w:val="404040"/>
      <w:lang w:val="en-US" w:eastAsia="zh-CN" w:bidi="ar-SA"/>
    </w:rPr>
    <w:tblPr/>
  </w:style>
  <w:style w:type="table" w:styleId="1176" w:customStyle="1">
    <w:name w:val="List Table 3 - Accent 5"/>
    <w:uiPriority w:val="99"/>
    <w:qFormat/>
    <w:rPr>
      <w:lang w:val="en-US" w:eastAsia="zh-CN" w:bidi="ar-SA"/>
    </w:rPr>
    <w:tblPr/>
  </w:style>
  <w:style w:type="table" w:styleId="1177" w:customStyle="1">
    <w:name w:val="Grid Table 6 Colorful - Accent 6"/>
    <w:uiPriority w:val="99"/>
    <w:qFormat/>
    <w:rPr>
      <w:lang w:val="en-US" w:eastAsia="zh-CN" w:bidi="ar-SA"/>
    </w:rPr>
    <w:tblPr/>
  </w:style>
  <w:style w:type="table" w:styleId="1178" w:customStyle="1">
    <w:name w:val="List Table 3 - Accent 6"/>
    <w:uiPriority w:val="99"/>
    <w:qFormat/>
    <w:rPr>
      <w:lang w:val="en-US" w:eastAsia="zh-CN" w:bidi="ar-SA"/>
    </w:rPr>
    <w:tblPr/>
  </w:style>
  <w:style w:type="table" w:styleId="1179" w:customStyle="1">
    <w:name w:val="Grid Table 7 Colorful - Accent 3"/>
    <w:uiPriority w:val="99"/>
    <w:qFormat/>
    <w:rPr>
      <w:lang w:val="en-US" w:eastAsia="zh-CN" w:bidi="ar-SA"/>
    </w:rPr>
    <w:tblPr/>
  </w:style>
  <w:style w:type="table" w:styleId="1180" w:customStyle="1">
    <w:name w:val="Bordered"/>
    <w:uiPriority w:val="99"/>
    <w:qFormat/>
    <w:rPr>
      <w:lang w:val="en-US" w:eastAsia="zh-CN" w:bidi="ar-SA"/>
    </w:rPr>
    <w:tblPr/>
  </w:style>
  <w:style w:type="table" w:styleId="1181" w:customStyle="1">
    <w:name w:val="Bordered - Accent 2"/>
    <w:uiPriority w:val="99"/>
    <w:qFormat/>
    <w:rPr>
      <w:lang w:val="en-US" w:eastAsia="zh-CN" w:bidi="ar-SA"/>
    </w:rPr>
    <w:tblPr/>
  </w:style>
  <w:style w:type="table" w:styleId="1182" w:customStyle="1">
    <w:name w:val="Grid Table 1 Light"/>
    <w:uiPriority w:val="99"/>
    <w:qFormat/>
    <w:rPr>
      <w:lang w:val="en-US" w:eastAsia="zh-CN" w:bidi="ar-SA"/>
    </w:rPr>
    <w:tblPr/>
  </w:style>
  <w:style w:type="table" w:styleId="1183" w:customStyle="1">
    <w:name w:val="Grid Table 6 Colorful"/>
    <w:uiPriority w:val="99"/>
    <w:qFormat/>
    <w:rPr>
      <w:lang w:val="en-US" w:eastAsia="zh-CN" w:bidi="ar-SA"/>
    </w:rPr>
    <w:tblPr/>
  </w:style>
  <w:style w:type="table" w:styleId="1184" w:customStyle="1">
    <w:name w:val="Grid Table 1 Light - Accent 2"/>
    <w:uiPriority w:val="99"/>
    <w:qFormat/>
    <w:rPr>
      <w:lang w:val="en-US" w:eastAsia="zh-CN" w:bidi="ar-SA"/>
    </w:rPr>
    <w:tblPr/>
  </w:style>
  <w:style w:type="table" w:styleId="1185" w:customStyle="1">
    <w:name w:val="Grid Table 5 Dark- Accent 1"/>
    <w:uiPriority w:val="99"/>
    <w:qFormat/>
    <w:rPr>
      <w:lang w:val="en-US" w:eastAsia="zh-CN" w:bidi="ar-SA"/>
    </w:rPr>
    <w:tblPr/>
  </w:style>
  <w:style w:type="table" w:styleId="1186" w:customStyle="1">
    <w:name w:val="Plain Table 4"/>
    <w:uiPriority w:val="99"/>
    <w:qFormat/>
    <w:rPr>
      <w:lang w:val="en-US" w:eastAsia="zh-CN" w:bidi="ar-SA"/>
    </w:rPr>
    <w:tblPr/>
  </w:style>
  <w:style w:type="table" w:styleId="1187" w:customStyle="1">
    <w:name w:val="Grid Table 1 Light - Accent 4"/>
    <w:uiPriority w:val="99"/>
    <w:qFormat/>
    <w:rPr>
      <w:lang w:val="en-US" w:eastAsia="zh-CN" w:bidi="ar-SA"/>
    </w:rPr>
    <w:tblPr/>
  </w:style>
  <w:style w:type="table" w:styleId="1188" w:customStyle="1">
    <w:name w:val="Grid Table 2"/>
    <w:uiPriority w:val="99"/>
    <w:qFormat/>
    <w:rPr>
      <w:lang w:val="en-US" w:eastAsia="zh-CN" w:bidi="ar-SA"/>
    </w:rPr>
    <w:tblPr/>
  </w:style>
  <w:style w:type="table" w:styleId="1189" w:customStyle="1">
    <w:name w:val="List Table 4 - Accent 4"/>
    <w:uiPriority w:val="99"/>
    <w:qFormat/>
    <w:rPr>
      <w:lang w:val="en-US" w:eastAsia="zh-CN" w:bidi="ar-SA"/>
    </w:rPr>
    <w:tblPr/>
  </w:style>
  <w:style w:type="table" w:styleId="1190" w:customStyle="1">
    <w:name w:val="Plain Table 1"/>
    <w:uiPriority w:val="59"/>
    <w:qFormat/>
    <w:rPr>
      <w:lang w:val="en-US" w:eastAsia="zh-CN" w:bidi="ar-SA"/>
    </w:rPr>
    <w:tblPr/>
  </w:style>
  <w:style w:type="table" w:styleId="1191" w:customStyle="1">
    <w:name w:val="Bordered - Accent 5"/>
    <w:uiPriority w:val="99"/>
    <w:qFormat/>
    <w:rPr>
      <w:lang w:val="en-US" w:eastAsia="zh-CN" w:bidi="ar-SA"/>
    </w:rPr>
    <w:tblPr/>
  </w:style>
  <w:style w:type="table" w:styleId="1192" w:customStyle="1">
    <w:name w:val="List Table 6 Colorful - Accent 5"/>
    <w:uiPriority w:val="99"/>
    <w:qFormat/>
    <w:rPr>
      <w:lang w:val="en-US" w:eastAsia="zh-CN" w:bidi="ar-SA"/>
    </w:rPr>
    <w:tblPr/>
  </w:style>
  <w:style w:type="table" w:styleId="1193" w:customStyle="1">
    <w:name w:val="Plain Table 3"/>
    <w:uiPriority w:val="99"/>
    <w:qFormat/>
    <w:rPr>
      <w:lang w:val="en-US" w:eastAsia="zh-CN" w:bidi="ar-SA"/>
    </w:rPr>
    <w:tblPr/>
  </w:style>
  <w:style w:type="table" w:styleId="1194" w:customStyle="1">
    <w:name w:val="Bordered &amp; Lined - Accent"/>
    <w:uiPriority w:val="99"/>
    <w:qFormat/>
    <w:rPr>
      <w:color w:val="404040"/>
      <w:lang w:val="en-US" w:eastAsia="zh-CN" w:bidi="ar-SA"/>
    </w:rPr>
    <w:tblPr/>
  </w:style>
  <w:style w:type="table" w:styleId="1195" w:customStyle="1">
    <w:name w:val="List Table 6 Colorful - Accent 1"/>
    <w:uiPriority w:val="99"/>
    <w:qFormat/>
    <w:rPr>
      <w:lang w:val="en-US" w:eastAsia="zh-CN" w:bidi="ar-SA"/>
    </w:rPr>
    <w:tblPr/>
  </w:style>
  <w:style w:type="table" w:styleId="1196" w:customStyle="1">
    <w:name w:val="List Table 4 - Accent 3"/>
    <w:uiPriority w:val="99"/>
    <w:qFormat/>
    <w:rPr>
      <w:lang w:val="en-US" w:eastAsia="zh-CN" w:bidi="ar-SA"/>
    </w:rPr>
    <w:tblPr/>
  </w:style>
  <w:style w:type="table" w:styleId="1197" w:customStyle="1">
    <w:name w:val="List Table 7 Colorful - Accent 3"/>
    <w:uiPriority w:val="99"/>
    <w:qFormat/>
    <w:rPr>
      <w:lang w:val="en-US" w:eastAsia="zh-CN" w:bidi="ar-SA"/>
    </w:rPr>
    <w:tblPr/>
  </w:style>
  <w:style w:type="table" w:styleId="1198" w:customStyle="1">
    <w:name w:val="Grid Table 4 - Accent 2"/>
    <w:uiPriority w:val="59"/>
    <w:qFormat/>
    <w:rPr>
      <w:lang w:val="en-US" w:eastAsia="zh-CN" w:bidi="ar-SA"/>
    </w:rPr>
    <w:tblPr/>
  </w:style>
  <w:style w:type="table" w:styleId="1199" w:customStyle="1">
    <w:name w:val="Grid Table 2 - Accent 4"/>
    <w:uiPriority w:val="99"/>
    <w:qFormat/>
    <w:rPr>
      <w:lang w:val="en-US" w:eastAsia="zh-CN" w:bidi="ar-SA"/>
    </w:rPr>
    <w:tblPr/>
  </w:style>
  <w:style w:type="table" w:styleId="1200" w:customStyle="1">
    <w:name w:val="Grid Table 7 Colorful - Accent 1"/>
    <w:uiPriority w:val="99"/>
    <w:qFormat/>
    <w:rPr>
      <w:lang w:val="en-US" w:eastAsia="zh-CN" w:bidi="ar-SA"/>
    </w:rPr>
    <w:tblPr/>
  </w:style>
  <w:style w:type="table" w:styleId="1201" w:customStyle="1">
    <w:name w:val="List Table 5 Dark - Accent 4"/>
    <w:uiPriority w:val="99"/>
    <w:qFormat/>
    <w:rPr>
      <w:lang w:val="en-US" w:eastAsia="zh-CN" w:bidi="ar-SA"/>
    </w:rPr>
    <w:tblPr/>
  </w:style>
  <w:style w:type="table" w:styleId="1202" w:customStyle="1">
    <w:name w:val="List Table 2 - Accent 4"/>
    <w:uiPriority w:val="99"/>
    <w:qFormat/>
    <w:rPr>
      <w:lang w:val="en-US" w:eastAsia="zh-CN" w:bidi="ar-SA"/>
    </w:rPr>
    <w:tblPr/>
  </w:style>
  <w:style w:type="table" w:styleId="1203" w:customStyle="1">
    <w:name w:val="List Table 7 Colorful - Accent 5"/>
    <w:uiPriority w:val="99"/>
    <w:qFormat/>
    <w:rPr>
      <w:lang w:val="en-US" w:eastAsia="zh-CN" w:bidi="ar-SA"/>
    </w:rPr>
    <w:tblPr/>
  </w:style>
  <w:style w:type="table" w:styleId="1204" w:customStyle="1">
    <w:name w:val="Grid Table 4 - Accent 3"/>
    <w:uiPriority w:val="59"/>
    <w:qFormat/>
    <w:rPr>
      <w:lang w:val="en-US" w:eastAsia="zh-CN" w:bidi="ar-SA"/>
    </w:rPr>
    <w:tblPr/>
  </w:style>
  <w:style w:type="table" w:styleId="1205" w:customStyle="1">
    <w:name w:val="Bordered &amp; Lined - Accent 6"/>
    <w:uiPriority w:val="99"/>
    <w:qFormat/>
    <w:rPr>
      <w:color w:val="404040"/>
      <w:lang w:val="en-US" w:eastAsia="zh-CN" w:bidi="ar-SA"/>
    </w:rPr>
    <w:tblPr/>
  </w:style>
  <w:style w:type="table" w:styleId="1206" w:customStyle="1">
    <w:name w:val="Grid Table 7 Colorful - Accent 6"/>
    <w:uiPriority w:val="99"/>
    <w:qFormat/>
    <w:rPr>
      <w:lang w:val="en-US" w:eastAsia="zh-CN" w:bidi="ar-SA"/>
    </w:rPr>
    <w:tblPr/>
  </w:style>
  <w:style w:type="character" w:styleId="1207" w:customStyle="1">
    <w:name w:val="NormalCharacter"/>
    <w:uiPriority w:val="0"/>
    <w:semiHidden/>
    <w:qFormat/>
  </w:style>
  <w:style w:type="paragraph" w:styleId="1208" w:customStyle="1">
    <w:name w:val="Table Text"/>
    <w:uiPriority w:val="0"/>
    <w:qFormat/>
    <w:pPr>
      <w:spacing w:before="80" w:after="80"/>
    </w:pPr>
    <w:rPr>
      <w:rFonts w:hint="default" w:ascii="Arial" w:hAnsi="Arial" w:eastAsia="Times New Roman" w:cs="Times New Roman"/>
      <w:sz w:val="18"/>
      <w:szCs w:val="18"/>
    </w:rPr>
  </w:style>
  <w:style w:type="table" w:styleId="1209" w:customStyle="1">
    <w:name w:val="Table Normal"/>
    <w:uiPriority w:val="0"/>
    <w:semiHidden/>
    <w:unhideWhenUsed/>
    <w:qFormat/>
    <w:tblPr>
      <w:tblCellMar>
        <w:left w:w="0" w:type="dxa"/>
        <w:top w:w="0" w:type="dxa"/>
        <w:right w:w="0" w:type="dxa"/>
        <w:bottom w:w="0" w:type="dxa"/>
      </w:tblCellMar>
    </w:tblPr>
  </w:style>
  <w:style w:type="paragraph" w:styleId="1210" w:customStyle="1">
    <w:name w:val="正文首行缩进 212"/>
    <w:basedOn w:val="1211"/>
    <w:next w:val="894"/>
    <w:uiPriority w:val="99"/>
    <w:qFormat/>
    <w:pPr>
      <w:ind w:left="0" w:firstLine="420"/>
      <w:spacing w:after="0" w:line="360" w:lineRule="auto"/>
    </w:pPr>
    <w:rPr>
      <w:rFonts w:ascii="宋体" w:hAnsi="宋体"/>
    </w:rPr>
  </w:style>
  <w:style w:type="paragraph" w:styleId="1211" w:customStyle="1">
    <w:name w:val="正文文本缩进12"/>
    <w:basedOn w:val="894"/>
    <w:next w:val="1212"/>
    <w:uiPriority w:val="99"/>
    <w:qFormat/>
    <w:pPr>
      <w:ind w:left="420"/>
      <w:spacing w:after="120"/>
    </w:pPr>
  </w:style>
  <w:style w:type="paragraph" w:styleId="1212" w:customStyle="1">
    <w:name w:val="寄信人地址12"/>
    <w:basedOn w:val="894"/>
    <w:uiPriority w:val="0"/>
    <w:qFormat/>
    <w:rPr>
      <w:rFonts w:ascii="Arial" w:hAnsi="Arial"/>
    </w:rPr>
  </w:style>
  <w:style w:type="paragraph" w:styleId="1213" w:customStyle="1">
    <w:name w:val="正文首行缩进12"/>
    <w:basedOn w:val="1214"/>
    <w:next w:val="1210"/>
    <w:uiPriority w:val="0"/>
    <w:qFormat/>
    <w:pPr>
      <w:ind w:firstLine="200"/>
      <w:spacing w:line="360" w:lineRule="auto"/>
    </w:pPr>
    <w:rPr>
      <w:rFonts w:ascii="仿宋_GB2312" w:eastAsia="仿宋_GB2312"/>
      <w:sz w:val="30"/>
      <w:szCs w:val="30"/>
    </w:rPr>
  </w:style>
  <w:style w:type="paragraph" w:styleId="1214" w:customStyle="1">
    <w:name w:val="正文文本12"/>
    <w:basedOn w:val="894"/>
    <w:next w:val="1037"/>
    <w:uiPriority w:val="0"/>
    <w:qFormat/>
    <w:pPr>
      <w:spacing w:after="120"/>
    </w:pPr>
  </w:style>
  <w:style w:type="numbering" w:styleId="12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董亮</cp:lastModifiedBy>
  <cp:revision>32</cp:revision>
  <dcterms:created xsi:type="dcterms:W3CDTF">2018-06-10T05:29:00Z</dcterms:created>
  <dcterms:modified xsi:type="dcterms:W3CDTF">2026-07-15T01:29:09Z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6CF42795A27343888FB4E0113D15352F_13</vt:lpwstr>
  </property>
  <property fmtid="{D5CDD505-2E9C-101B-9397-08002B2CF9AE}" pid="4" name="KSOTemplateDocerSaveRecord">
    <vt:lpwstr>eyJoZGlkIjoiYjFmMTE1YTc4MjgxOThiNmQ1NDc0N2ViZDZlMzEzOWYiLCJ1c2VySWQiOiIzODc4NzkzMzcifQ==</vt:lpwstr>
  </property>
</Properties>
</file>