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72"/>
          <w:szCs w:val="72"/>
          <w:highlight w:val="none"/>
          <w:lang w:eastAsia="zh-CN"/>
        </w:rPr>
      </w:pPr>
      <w:r>
        <w:rPr>
          <w:rFonts w:hint="eastAsia" w:ascii="宋体" w:hAnsi="宋体" w:eastAsia="宋体" w:cs="宋体"/>
          <w:b w:val="0"/>
          <w:bCs/>
          <w:color w:val="auto"/>
          <w:spacing w:val="76"/>
          <w:sz w:val="72"/>
          <w:szCs w:val="72"/>
          <w:highlight w:val="none"/>
          <w:lang w:eastAsia="zh-CN"/>
        </w:rPr>
      </w:r>
      <w:r/>
    </w:p>
    <w:p>
      <w:pPr>
        <w:jc w:val="center"/>
        <w:rPr>
          <w:rFonts w:hint="eastAsia" w:ascii="宋体" w:hAnsi="宋体" w:eastAsia="宋体" w:cs="宋体"/>
          <w:b w:val="0"/>
          <w:bCs/>
          <w:color w:val="auto"/>
          <w:spacing w:val="76"/>
          <w:sz w:val="72"/>
          <w:szCs w:val="72"/>
          <w:highlight w:val="none"/>
          <w:lang w:eastAsia="zh-CN"/>
        </w:rPr>
      </w:pPr>
      <w:r>
        <w:rPr>
          <w:rFonts w:hint="eastAsia" w:ascii="宋体" w:hAnsi="宋体" w:eastAsia="宋体" w:cs="宋体"/>
          <w:b w:val="0"/>
          <w:bCs/>
          <w:color w:val="auto"/>
          <w:spacing w:val="76"/>
          <w:sz w:val="72"/>
          <w:szCs w:val="72"/>
          <w:highlight w:val="none"/>
          <w:lang w:eastAsia="zh-CN"/>
        </w:rPr>
      </w:r>
      <w:r/>
    </w:p>
    <w:p>
      <w:pPr>
        <w:jc w:val="center"/>
        <w:rPr>
          <w:rFonts w:hint="eastAsia" w:ascii="宋体" w:hAnsi="宋体" w:eastAsia="宋体" w:cs="宋体"/>
          <w:b w:val="0"/>
          <w:bCs/>
          <w:color w:val="auto"/>
          <w:spacing w:val="76"/>
          <w:sz w:val="72"/>
          <w:szCs w:val="72"/>
          <w:highlight w:val="none"/>
          <w:lang w:eastAsia="zh-CN"/>
        </w:rPr>
      </w:pPr>
      <w:r>
        <w:rPr>
          <w:rFonts w:hint="eastAsia" w:ascii="宋体" w:hAnsi="宋体" w:eastAsia="宋体" w:cs="宋体"/>
          <w:b w:val="0"/>
          <w:bCs/>
          <w:color w:val="auto"/>
          <w:spacing w:val="76"/>
          <w:sz w:val="72"/>
          <w:szCs w:val="72"/>
          <w:highlight w:val="none"/>
          <w:lang w:eastAsia="zh-CN"/>
        </w:rPr>
      </w:r>
      <w:r/>
    </w:p>
    <w:p>
      <w:pPr>
        <w:jc w:val="center"/>
        <w:rPr>
          <w:rFonts w:hint="eastAsia" w:ascii="宋体" w:hAnsi="宋体" w:eastAsia="宋体" w:cs="宋体"/>
          <w:b w:val="0"/>
          <w:bCs/>
          <w:color w:val="auto"/>
          <w:spacing w:val="76"/>
          <w:sz w:val="72"/>
          <w:szCs w:val="72"/>
          <w:highlight w:val="none"/>
          <w:lang w:eastAsia="zh-CN"/>
        </w:rPr>
      </w:pPr>
      <w:r>
        <w:rPr>
          <w:rFonts w:hint="eastAsia" w:ascii="宋体" w:hAnsi="宋体" w:eastAsia="宋体" w:cs="宋体"/>
          <w:b w:val="0"/>
          <w:bCs/>
          <w:color w:val="auto"/>
          <w:spacing w:val="76"/>
          <w:sz w:val="72"/>
          <w:szCs w:val="72"/>
          <w:highlight w:val="none"/>
          <w:lang w:eastAsia="zh-CN"/>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9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292"/>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t xml:space="preserve">项目编号：</w:t>
      </w:r>
      <w:r>
        <w:rPr>
          <w:rFonts w:hint="eastAsia" w:ascii="宋体" w:hAnsi="宋体" w:cs="宋体"/>
          <w:color w:val="auto"/>
          <w:sz w:val="32"/>
          <w:szCs w:val="21"/>
          <w:highlight w:val="none"/>
          <w:lang w:eastAsia="zh-CN"/>
        </w:rPr>
        <w:t xml:space="preserve">JSZC-320324-JSKJ-G2026-0020</w:t>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ind w:left="2877" w:hanging="1600"/>
        <w:rPr>
          <w:rFonts w:hint="eastAsia" w:ascii="宋体" w:hAnsi="宋体" w:eastAsia="宋体" w:cs="宋体"/>
          <w:color w:val="auto"/>
          <w:sz w:val="32"/>
          <w:szCs w:val="21"/>
          <w:highlight w:val="none"/>
          <w:lang w:eastAsia="zh-CN"/>
        </w:rPr>
      </w:pPr>
      <w:r>
        <w:rPr>
          <w:rFonts w:hint="eastAsia" w:ascii="宋体" w:hAnsi="宋体" w:eastAsia="宋体" w:cs="宋体"/>
          <w:color w:val="auto"/>
          <w:sz w:val="32"/>
          <w:szCs w:val="21"/>
          <w:highlight w:val="none"/>
        </w:rPr>
        <w:t xml:space="preserve">项目名称：</w:t>
      </w:r>
      <w:r>
        <w:rPr>
          <w:rFonts w:hint="eastAsia" w:ascii="宋体" w:hAnsi="宋体" w:cs="宋体"/>
          <w:color w:val="auto"/>
          <w:sz w:val="32"/>
          <w:szCs w:val="21"/>
          <w:highlight w:val="none"/>
          <w:lang w:eastAsia="zh-CN"/>
        </w:rPr>
        <w:t xml:space="preserve">江苏省睢宁高级中学新校区标准化考场项目</w:t>
      </w:r>
      <w:r/>
    </w:p>
    <w:p>
      <w:pPr>
        <w:ind w:left="2873"/>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2"/>
          <w:szCs w:val="21"/>
          <w:highlight w:val="none"/>
        </w:rPr>
        <w:t xml:space="preserve">采 购 人：</w:t>
      </w:r>
      <w:r>
        <w:rPr>
          <w:rFonts w:hint="eastAsia" w:ascii="宋体" w:hAnsi="宋体" w:cs="宋体"/>
          <w:color w:val="auto"/>
          <w:sz w:val="32"/>
          <w:szCs w:val="21"/>
          <w:highlight w:val="none"/>
          <w:lang w:eastAsia="zh-CN"/>
        </w:rPr>
        <w:t xml:space="preserve">江苏省睢宁高级中学</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1097"/>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1292"/>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5" name="图片 8"/>
                <wp:cNvGraphicFramePr/>
                <a:graphic xmlns:a="http://schemas.openxmlformats.org/drawingml/2006/main">
                  <a:graphicData uri="http://schemas.openxmlformats.org/drawingml/2006/picture">
                    <pic:pic xmlns:pic="http://schemas.openxmlformats.org/drawingml/2006/picture">
                      <pic:nvPicPr>
                        <pic:cNvPr id="11" name="图片 8"/>
                        <pic:cNvPicPr/>
                        <pic:nvPr/>
                      </pic:nvPicPr>
                      <pic:blipFill>
                        <a:blip r:embed="rId24"/>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75.0pt;height:54.0pt;mso-wrap-distance-left:0.0pt;mso-wrap-distance-top:0.0pt;mso-wrap-distance-right:0.0pt;mso-wrap-distance-bottom:0.0pt;" stroked="f">
                <v:path textboxrect="0,0,0,0"/>
                <v:imagedata r:id="rId24"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pStyle w:val="1108"/>
        <w:keepLines w:val="0"/>
        <w:keepNext w:val="0"/>
        <w:pageBreakBefore w:val="0"/>
        <w:spacing w:line="480" w:lineRule="auto"/>
        <w:widowControl w:val="off"/>
        <w:tabs>
          <w:tab w:val="right" w:pos="9514" w:leader="dot"/>
        </w:tabs>
        <w:rPr>
          <w:sz w:val="36"/>
          <w:szCs w:val="44"/>
        </w:rPr>
      </w:pPr>
      <w:r>
        <w:rPr>
          <w:rFonts w:hint="eastAsia" w:ascii="Times New Roman" w:hAnsi="Times New Roman" w:eastAsia="宋体" w:cs="Times New Roman"/>
          <w:color w:val="auto"/>
          <w:sz w:val="36"/>
          <w:szCs w:val="36"/>
          <w:highlight w:val="none"/>
          <w:lang w:val="en-US" w:eastAsia="zh-CN" w:bidi="ar-SA"/>
        </w:rPr>
        <w:fldChar w:fldCharType="begin"/>
      </w:r>
      <w:r>
        <w:rPr>
          <w:rFonts w:hint="eastAsia" w:ascii="Times New Roman" w:hAnsi="Times New Roman" w:eastAsia="宋体" w:cs="Times New Roman"/>
          <w:color w:val="auto"/>
          <w:sz w:val="36"/>
          <w:szCs w:val="36"/>
          <w:highlight w:val="none"/>
          <w:lang w:val="en-US" w:eastAsia="zh-CN" w:bidi="ar-SA"/>
        </w:rPr>
        <w:instrText xml:space="preserve">TOC \o "1-1" \h \u </w:instrText>
      </w:r>
      <w:r>
        <w:rPr>
          <w:rFonts w:hint="eastAsia" w:ascii="Times New Roman" w:hAnsi="Times New Roman" w:eastAsia="宋体" w:cs="Times New Roman"/>
          <w:color w:val="auto"/>
          <w:sz w:val="36"/>
          <w:szCs w:val="36"/>
          <w:highlight w:val="none"/>
          <w:lang w:val="en-US" w:eastAsia="zh-CN" w:bidi="ar-SA"/>
        </w:rPr>
        <w:fldChar w:fldCharType="separate"/>
      </w:r>
      <w:r>
        <w:rPr>
          <w:rFonts w:hint="eastAsia" w:ascii="Times New Roman" w:hAnsi="Times New Roman" w:eastAsia="宋体" w:cs="Times New Roman"/>
          <w:color w:val="auto"/>
          <w:sz w:val="36"/>
          <w:szCs w:val="36"/>
          <w:highlight w:val="none"/>
          <w:lang w:val="en-US" w:eastAsia="zh-CN" w:bidi="ar-SA"/>
        </w:rPr>
        <w:fldChar w:fldCharType="begin"/>
      </w:r>
      <w:r>
        <w:rPr>
          <w:rFonts w:hint="eastAsia" w:ascii="Times New Roman" w:hAnsi="Times New Roman" w:eastAsia="宋体" w:cs="Times New Roman"/>
          <w:sz w:val="36"/>
          <w:szCs w:val="36"/>
          <w:highlight w:val="none"/>
          <w:lang w:val="en-US" w:eastAsia="zh-CN" w:bidi="ar-SA"/>
        </w:rPr>
        <w:instrText xml:space="preserve"> HYPERLINK \l _Toc26212 </w:instrText>
      </w:r>
      <w:r>
        <w:rPr>
          <w:rFonts w:hint="eastAsia" w:ascii="Times New Roman" w:hAnsi="Times New Roman" w:eastAsia="宋体" w:cs="Times New Roman"/>
          <w:sz w:val="36"/>
          <w:szCs w:val="36"/>
          <w:highlight w:val="none"/>
          <w:lang w:val="en-US" w:eastAsia="zh-CN" w:bidi="ar-SA"/>
        </w:rPr>
        <w:fldChar w:fldCharType="separate"/>
      </w:r>
      <w:r>
        <w:rPr>
          <w:rFonts w:hint="eastAsia" w:ascii="宋体" w:hAnsi="宋体" w:eastAsia="宋体" w:cs="宋体"/>
          <w:bCs/>
          <w:sz w:val="36"/>
          <w:szCs w:val="52"/>
          <w:highlight w:val="none"/>
        </w:rPr>
        <w:t xml:space="preserve">第一章  投标邀请</w:t>
      </w:r>
      <w:r>
        <w:rPr>
          <w:sz w:val="36"/>
          <w:szCs w:val="44"/>
        </w:rPr>
        <w:tab/>
      </w:r>
      <w:r>
        <w:rPr>
          <w:sz w:val="36"/>
          <w:szCs w:val="44"/>
        </w:rPr>
        <w:fldChar w:fldCharType="begin"/>
      </w:r>
      <w:r>
        <w:rPr>
          <w:sz w:val="36"/>
          <w:szCs w:val="44"/>
        </w:rPr>
        <w:instrText xml:space="preserve"> PAGEREF _Toc26212 \h </w:instrText>
      </w:r>
      <w:r>
        <w:rPr>
          <w:sz w:val="36"/>
          <w:szCs w:val="44"/>
        </w:rPr>
        <w:fldChar w:fldCharType="separate"/>
      </w:r>
      <w:r>
        <w:rPr>
          <w:sz w:val="36"/>
          <w:szCs w:val="44"/>
        </w:rPr>
        <w:t xml:space="preserve">3</w:t>
      </w:r>
      <w:r>
        <w:rPr>
          <w:sz w:val="36"/>
          <w:szCs w:val="44"/>
        </w:rPr>
        <w:fldChar w:fldCharType="end"/>
      </w:r>
      <w:r>
        <w:rPr>
          <w:rFonts w:hint="eastAsia" w:ascii="Times New Roman" w:hAnsi="Times New Roman" w:eastAsia="宋体" w:cs="Times New Roman"/>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_Toc27624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52"/>
          <w:highlight w:val="none"/>
        </w:rPr>
        <w:t xml:space="preserve">第二章  投标人须知</w:t>
      </w:r>
      <w:r>
        <w:rPr>
          <w:sz w:val="36"/>
          <w:szCs w:val="44"/>
        </w:rPr>
        <w:tab/>
      </w:r>
      <w:r>
        <w:rPr>
          <w:sz w:val="36"/>
          <w:szCs w:val="44"/>
        </w:rPr>
        <w:fldChar w:fldCharType="begin"/>
      </w:r>
      <w:r>
        <w:rPr>
          <w:sz w:val="36"/>
          <w:szCs w:val="44"/>
        </w:rPr>
        <w:instrText xml:space="preserve"> PAGEREF _Toc27624 \h </w:instrText>
      </w:r>
      <w:r>
        <w:rPr>
          <w:sz w:val="36"/>
          <w:szCs w:val="44"/>
        </w:rPr>
        <w:fldChar w:fldCharType="separate"/>
      </w:r>
      <w:r>
        <w:rPr>
          <w:sz w:val="36"/>
          <w:szCs w:val="44"/>
        </w:rPr>
        <w:t xml:space="preserve">5</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_Toc13190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52"/>
          <w:highlight w:val="none"/>
        </w:rPr>
        <w:t xml:space="preserve">第三章  投标资料表</w:t>
      </w:r>
      <w:r>
        <w:rPr>
          <w:sz w:val="36"/>
          <w:szCs w:val="44"/>
        </w:rPr>
        <w:tab/>
      </w:r>
      <w:r>
        <w:rPr>
          <w:sz w:val="36"/>
          <w:szCs w:val="44"/>
        </w:rPr>
        <w:fldChar w:fldCharType="begin"/>
      </w:r>
      <w:r>
        <w:rPr>
          <w:sz w:val="36"/>
          <w:szCs w:val="44"/>
        </w:rPr>
        <w:instrText xml:space="preserve"> PAGEREF _Toc13190 \h </w:instrText>
      </w:r>
      <w:r>
        <w:rPr>
          <w:sz w:val="36"/>
          <w:szCs w:val="44"/>
        </w:rPr>
        <w:fldChar w:fldCharType="separate"/>
      </w:r>
      <w:r>
        <w:rPr>
          <w:sz w:val="36"/>
          <w:szCs w:val="44"/>
        </w:rPr>
        <w:t xml:space="preserve">15</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_Toc10396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72"/>
          <w:highlight w:val="none"/>
          <w:lang w:val="en-US" w:eastAsia="zh-CN" w:bidi="ar-SA"/>
        </w:rPr>
        <w:t xml:space="preserve">第四章 评标标准</w:t>
      </w:r>
      <w:r>
        <w:rPr>
          <w:sz w:val="36"/>
          <w:szCs w:val="44"/>
        </w:rPr>
        <w:tab/>
      </w:r>
      <w:r>
        <w:rPr>
          <w:sz w:val="36"/>
          <w:szCs w:val="44"/>
        </w:rPr>
        <w:fldChar w:fldCharType="begin"/>
      </w:r>
      <w:r>
        <w:rPr>
          <w:sz w:val="36"/>
          <w:szCs w:val="44"/>
        </w:rPr>
        <w:instrText xml:space="preserve"> PAGEREF _Toc10396 \h </w:instrText>
      </w:r>
      <w:r>
        <w:rPr>
          <w:sz w:val="36"/>
          <w:szCs w:val="44"/>
        </w:rPr>
        <w:fldChar w:fldCharType="separate"/>
      </w:r>
      <w:r>
        <w:rPr>
          <w:sz w:val="36"/>
          <w:szCs w:val="44"/>
        </w:rPr>
        <w:t xml:space="preserve">25</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_Toc10297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48"/>
          <w:highlight w:val="none"/>
        </w:rPr>
        <w:t xml:space="preserve">第</w:t>
      </w:r>
      <w:r>
        <w:rPr>
          <w:rFonts w:hint="eastAsia" w:ascii="宋体" w:hAnsi="宋体" w:cs="宋体"/>
          <w:bCs/>
          <w:sz w:val="36"/>
          <w:szCs w:val="48"/>
          <w:highlight w:val="none"/>
          <w:lang w:val="en-US" w:eastAsia="zh-CN"/>
        </w:rPr>
        <w:t xml:space="preserve">五</w:t>
      </w:r>
      <w:r>
        <w:rPr>
          <w:rFonts w:hint="eastAsia" w:ascii="宋体" w:hAnsi="宋体" w:eastAsia="宋体" w:cs="宋体"/>
          <w:bCs/>
          <w:sz w:val="36"/>
          <w:szCs w:val="48"/>
          <w:highlight w:val="none"/>
        </w:rPr>
        <w:t xml:space="preserve">章  采购需求</w:t>
      </w:r>
      <w:r>
        <w:rPr>
          <w:sz w:val="36"/>
          <w:szCs w:val="44"/>
        </w:rPr>
        <w:tab/>
      </w:r>
      <w:r>
        <w:rPr>
          <w:sz w:val="36"/>
          <w:szCs w:val="44"/>
        </w:rPr>
        <w:fldChar w:fldCharType="begin"/>
      </w:r>
      <w:r>
        <w:rPr>
          <w:sz w:val="36"/>
          <w:szCs w:val="44"/>
        </w:rPr>
        <w:instrText xml:space="preserve"> PAGEREF _Toc10297 \h </w:instrText>
      </w:r>
      <w:r>
        <w:rPr>
          <w:sz w:val="36"/>
          <w:szCs w:val="44"/>
        </w:rPr>
        <w:fldChar w:fldCharType="separate"/>
      </w:r>
      <w:r>
        <w:rPr>
          <w:sz w:val="36"/>
          <w:szCs w:val="44"/>
        </w:rPr>
        <w:t xml:space="preserve">28</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_Toc1209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52"/>
          <w:highlight w:val="none"/>
        </w:rPr>
        <w:t xml:space="preserve">第</w:t>
      </w:r>
      <w:r>
        <w:rPr>
          <w:rFonts w:hint="eastAsia" w:ascii="宋体" w:hAnsi="宋体" w:cs="宋体"/>
          <w:bCs/>
          <w:sz w:val="36"/>
          <w:szCs w:val="52"/>
          <w:highlight w:val="none"/>
          <w:lang w:val="en-US" w:eastAsia="zh-CN"/>
        </w:rPr>
        <w:t xml:space="preserve">六</w:t>
      </w:r>
      <w:r>
        <w:rPr>
          <w:rFonts w:hint="eastAsia" w:ascii="宋体" w:hAnsi="宋体" w:eastAsia="宋体" w:cs="宋体"/>
          <w:bCs/>
          <w:sz w:val="36"/>
          <w:szCs w:val="52"/>
          <w:highlight w:val="none"/>
        </w:rPr>
        <w:t xml:space="preserve">章  拟签订的合同文本</w:t>
      </w:r>
      <w:r>
        <w:rPr>
          <w:sz w:val="36"/>
          <w:szCs w:val="44"/>
        </w:rPr>
        <w:tab/>
      </w:r>
      <w:r>
        <w:rPr>
          <w:sz w:val="36"/>
          <w:szCs w:val="44"/>
        </w:rPr>
        <w:fldChar w:fldCharType="begin"/>
      </w:r>
      <w:r>
        <w:rPr>
          <w:sz w:val="36"/>
          <w:szCs w:val="44"/>
        </w:rPr>
        <w:instrText xml:space="preserve"> PAGEREF _Toc1209 \h </w:instrText>
      </w:r>
      <w:r>
        <w:rPr>
          <w:sz w:val="36"/>
          <w:szCs w:val="44"/>
        </w:rPr>
        <w:fldChar w:fldCharType="separate"/>
      </w:r>
      <w:r>
        <w:rPr>
          <w:sz w:val="36"/>
          <w:szCs w:val="44"/>
        </w:rPr>
        <w:t xml:space="preserve">47</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pStyle w:val="1108"/>
        <w:keepLines w:val="0"/>
        <w:keepNext w:val="0"/>
        <w:pageBreakBefore w:val="0"/>
        <w:spacing w:line="480" w:lineRule="auto"/>
        <w:widowControl w:val="off"/>
        <w:tabs>
          <w:tab w:val="right" w:pos="9514" w:leader="dot"/>
        </w:tabs>
        <w:rPr>
          <w:sz w:val="36"/>
          <w:szCs w:val="44"/>
        </w:rPr>
      </w:pPr>
      <w:r>
        <w:rPr>
          <w:rFonts w:hint="eastAsia" w:ascii="Cambria" w:hAnsi="Cambria" w:eastAsia="宋体" w:cs="Cambria"/>
          <w:color w:val="auto"/>
          <w:sz w:val="36"/>
          <w:szCs w:val="36"/>
          <w:highlight w:val="none"/>
          <w:lang w:val="en-US" w:eastAsia="zh-CN" w:bidi="ar-SA"/>
        </w:rPr>
        <w:fldChar w:fldCharType="begin"/>
      </w:r>
      <w:r>
        <w:rPr>
          <w:rFonts w:hint="eastAsia" w:ascii="Cambria" w:hAnsi="Cambria" w:eastAsia="宋体" w:cs="Cambria"/>
          <w:sz w:val="36"/>
          <w:szCs w:val="36"/>
          <w:highlight w:val="none"/>
          <w:lang w:val="en-US" w:eastAsia="zh-CN" w:bidi="ar-SA"/>
        </w:rPr>
        <w:instrText xml:space="preserve"> HYPERLINK \l _Toc13665 </w:instrText>
      </w:r>
      <w:r>
        <w:rPr>
          <w:rFonts w:hint="eastAsia" w:ascii="Cambria" w:hAnsi="Cambria" w:eastAsia="宋体" w:cs="Cambria"/>
          <w:sz w:val="36"/>
          <w:szCs w:val="36"/>
          <w:highlight w:val="none"/>
          <w:lang w:val="en-US" w:eastAsia="zh-CN" w:bidi="ar-SA"/>
        </w:rPr>
        <w:fldChar w:fldCharType="separate"/>
      </w:r>
      <w:r>
        <w:rPr>
          <w:rFonts w:hint="eastAsia" w:ascii="宋体" w:hAnsi="宋体" w:eastAsia="宋体" w:cs="宋体"/>
          <w:bCs/>
          <w:sz w:val="36"/>
          <w:szCs w:val="52"/>
          <w:highlight w:val="none"/>
        </w:rPr>
        <w:t xml:space="preserve">第七章  投标文件相关格式</w:t>
      </w:r>
      <w:r>
        <w:rPr>
          <w:sz w:val="36"/>
          <w:szCs w:val="44"/>
        </w:rPr>
        <w:tab/>
      </w:r>
      <w:r>
        <w:rPr>
          <w:sz w:val="36"/>
          <w:szCs w:val="44"/>
        </w:rPr>
        <w:fldChar w:fldCharType="begin"/>
      </w:r>
      <w:r>
        <w:rPr>
          <w:sz w:val="36"/>
          <w:szCs w:val="44"/>
        </w:rPr>
        <w:instrText xml:space="preserve"> PAGEREF _Toc13665 \h </w:instrText>
      </w:r>
      <w:r>
        <w:rPr>
          <w:sz w:val="36"/>
          <w:szCs w:val="44"/>
        </w:rPr>
        <w:fldChar w:fldCharType="separate"/>
      </w:r>
      <w:r>
        <w:rPr>
          <w:sz w:val="36"/>
          <w:szCs w:val="44"/>
        </w:rPr>
        <w:t xml:space="preserve">59</w:t>
      </w:r>
      <w:r>
        <w:rPr>
          <w:sz w:val="36"/>
          <w:szCs w:val="44"/>
        </w:rPr>
        <w:fldChar w:fldCharType="end"/>
      </w:r>
      <w:r>
        <w:rPr>
          <w:rFonts w:hint="eastAsia" w:ascii="Cambria" w:hAnsi="Cambria" w:eastAsia="宋体" w:cs="Cambria"/>
          <w:color w:val="auto"/>
          <w:sz w:val="36"/>
          <w:szCs w:val="36"/>
          <w:highlight w:val="none"/>
          <w:lang w:val="en-US" w:eastAsia="zh-CN" w:bidi="ar-SA"/>
        </w:rPr>
        <w:fldChar w:fldCharType="end"/>
      </w:r>
      <w:r/>
    </w:p>
    <w:p>
      <w:pPr>
        <w:jc w:val="both"/>
        <w:keepLines w:val="0"/>
        <w:keepNext w:val="0"/>
        <w:pageBreakBefore w:val="0"/>
        <w:spacing w:before="120" w:line="480" w:lineRule="auto"/>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36"/>
          <w:szCs w:val="36"/>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val="0"/>
          <w:bCs w:val="0"/>
          <w:i w:val="0"/>
          <w:iCs w:val="0"/>
          <w:caps w:val="0"/>
          <w:color w:val="auto"/>
          <w:spacing w:val="0"/>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auto"/>
          <w:sz w:val="28"/>
          <w:szCs w:val="28"/>
          <w:highlight w:val="none"/>
        </w:rPr>
        <w:br w:type="column"/>
      </w:r>
      <w:r>
        <w:rPr>
          <w:rFonts w:hint="eastAsia" w:ascii="宋体" w:hAnsi="宋体" w:cs="宋体"/>
          <w:b w:val="0"/>
          <w:bCs w:val="0"/>
          <w:i w:val="0"/>
          <w:iCs w:val="0"/>
          <w:caps w:val="0"/>
          <w:color w:val="auto"/>
          <w:spacing w:val="0"/>
          <w:sz w:val="28"/>
          <w:szCs w:val="28"/>
          <w:highlight w:val="none"/>
          <w:lang w:eastAsia="zh-CN"/>
        </w:rPr>
        <w:t xml:space="preserve">江苏省睢宁高级中学新校区标准化考场项目</w:t>
      </w:r>
      <w:r/>
    </w:p>
    <w:p>
      <w:pPr>
        <w:jc w:val="center"/>
        <w:spacing w:line="312"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江苏省睢宁高级中学</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江苏省睢宁高级中学新校区标准化考场项目</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26212"/>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江苏省睢宁高级中学</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江苏省睢宁高级中学新校区标准化考场项目</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江苏省睢宁高级中学新校区标准化考场项目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JSZC-320324-JSKJ-G2026-0020</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访问“苏采云”系统的网络地址和方法：“苏采云”系统的网址：http://jszfcg.jsczt.cn/；或进入徐州政府采购网（网址：http://czj.xz.gov.cn/Home/HomeIndex），点击“苏采云”进入系统。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资料下载</w:t>
      </w:r>
      <w:r>
        <w:rPr>
          <w:rFonts w:hint="eastAsia" w:ascii="宋体" w:hAnsi="宋体" w:eastAsia="宋体" w:cs="宋体"/>
          <w:color w:val="auto"/>
          <w:sz w:val="24"/>
          <w:szCs w:val="24"/>
          <w:highlight w:val="none"/>
          <w:lang w:eastAsia="zh-CN"/>
        </w:rPr>
        <w:t xml:space="preserve">”中的《“苏采云”系统政务CA办理材料、操作手册及控件下载》。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资料下载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lang w:val="en-US" w:eastAsia="zh-CN" w:bidi="ar-SA"/>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07月03日</w:t>
      </w:r>
      <w:r>
        <w:rPr>
          <w:rFonts w:hint="eastAsia" w:ascii="宋体" w:hAnsi="宋体" w:eastAsia="宋体" w:cs="宋体"/>
          <w:bCs/>
          <w:color w:val="auto"/>
          <w:sz w:val="24"/>
          <w:szCs w:val="28"/>
          <w:highlight w:val="none"/>
        </w:rPr>
        <w:t xml:space="preserve">09点10分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07月03日</w:t>
      </w:r>
      <w:r>
        <w:rPr>
          <w:rFonts w:hint="eastAsia" w:ascii="宋体" w:hAnsi="宋体" w:eastAsia="宋体" w:cs="宋体"/>
          <w:bCs/>
          <w:color w:val="auto"/>
          <w:sz w:val="24"/>
          <w:szCs w:val="28"/>
          <w:highlight w:val="none"/>
        </w:rPr>
        <w:t xml:space="preserve">09点10分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http://czj.xz.gov.cn/Home/HomeIndex），点击“苏采云”进入系统“开标大厅”。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江苏省睢宁高级中学</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徐州市睢宁县文学南路7号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15862228066</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 </w:t>
      </w:r>
      <w:r>
        <w:rPr>
          <w:rFonts w:hint="eastAsia" w:ascii="宋体" w:hAnsi="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bookmarkStart w:id="1" w:name="_Toc27624"/>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实施政府采购异常低价审查的有关要求：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一）评审过程中出现下列情形之一的，评审委员会应当启动异常低价投标（响应）审查程序：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相关法律法规对供应商报价有规定的，从其规定。</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13190"/>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09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江苏省睢宁高级中学</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val="0"/>
                <w:bCs w:val="0"/>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lang w:val="en-US" w:eastAsia="zh-CN"/>
              </w:rPr>
              <w:t xml:space="preserve">此项目</w:t>
            </w:r>
            <w:r>
              <w:rPr>
                <w:rFonts w:hint="eastAsia" w:ascii="宋体" w:hAnsi="宋体" w:cs="宋体"/>
                <w:b w:val="0"/>
                <w:bCs w:val="0"/>
                <w:color w:val="auto"/>
                <w:sz w:val="24"/>
                <w:szCs w:val="21"/>
                <w:highlight w:val="none"/>
                <w:lang w:val="en-US" w:eastAsia="zh-CN"/>
              </w:rPr>
              <w:t xml:space="preserve">不</w:t>
            </w:r>
            <w:r>
              <w:rPr>
                <w:rFonts w:hint="eastAsia" w:ascii="宋体" w:hAnsi="宋体" w:eastAsia="宋体" w:cs="宋体"/>
                <w:b w:val="0"/>
                <w:bCs w:val="0"/>
                <w:color w:val="auto"/>
                <w:sz w:val="24"/>
                <w:szCs w:val="21"/>
                <w:highlight w:val="none"/>
                <w:lang w:val="en-US" w:eastAsia="zh-CN"/>
              </w:rPr>
              <w:t xml:space="preserve">属于专门面向中小微企业采购的项目。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（一）</w:t>
            </w:r>
            <w:r>
              <w:rPr>
                <w:rFonts w:hint="eastAsia" w:ascii="宋体" w:hAnsi="宋体" w:cs="宋体"/>
                <w:b w:val="0"/>
                <w:bCs w:val="0"/>
                <w:color w:val="auto"/>
                <w:sz w:val="24"/>
                <w:szCs w:val="24"/>
                <w:highlight w:val="none"/>
                <w:lang w:val="en-US" w:eastAsia="zh-CN"/>
              </w:rPr>
              <w:t xml:space="preserve">满足</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中华人民共和国政府采购法》第二十二条规定；</w:t>
            </w:r>
            <w:r/>
          </w:p>
          <w:p>
            <w:pPr>
              <w:ind w:left="0" w:right="0"/>
              <w:keepLines w:val="0"/>
              <w:keepNext w:val="0"/>
              <w:pageBreakBefore w:val="0"/>
              <w:spacing w:before="0" w:beforeAutospacing="0" w:after="0" w:afterAutospacing="0" w:line="312"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（二）落实政府采购政策需满足的资格要求：</w:t>
            </w:r>
            <w:r>
              <w:rPr>
                <w:rFonts w:hint="eastAsia" w:ascii="宋体" w:hAnsi="宋体" w:eastAsia="宋体" w:cs="宋体"/>
                <w:b w:val="0"/>
                <w:bCs w:val="0"/>
                <w:color w:val="auto"/>
                <w:sz w:val="24"/>
                <w:szCs w:val="24"/>
                <w:highlight w:val="none"/>
              </w:rPr>
              <w:t xml:space="preserve">此项目</w:t>
            </w:r>
            <w:r>
              <w:rPr>
                <w:rFonts w:hint="eastAsia" w:ascii="宋体" w:hAnsi="宋体" w:cs="宋体"/>
                <w:b w:val="0"/>
                <w:bCs w:val="0"/>
                <w:color w:val="auto"/>
                <w:sz w:val="24"/>
                <w:szCs w:val="24"/>
                <w:highlight w:val="none"/>
                <w:lang w:val="en-US" w:eastAsia="zh-CN"/>
              </w:rPr>
              <w:t xml:space="preserve">不</w:t>
            </w:r>
            <w:r>
              <w:rPr>
                <w:rFonts w:hint="eastAsia" w:ascii="宋体" w:hAnsi="宋体" w:eastAsia="宋体" w:cs="宋体"/>
                <w:b w:val="0"/>
                <w:bCs w:val="0"/>
                <w:color w:val="auto"/>
                <w:sz w:val="24"/>
                <w:szCs w:val="24"/>
                <w:highlight w:val="none"/>
              </w:rPr>
              <w:t xml:space="preserve">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（三）本项目的特定资格要求：</w:t>
            </w:r>
            <w:r>
              <w:rPr>
                <w:rFonts w:hint="eastAsia" w:ascii="宋体" w:hAnsi="宋体" w:cs="宋体"/>
                <w:i w:val="0"/>
                <w:iCs w:val="0"/>
                <w:caps w:val="0"/>
                <w:color w:val="auto"/>
                <w:spacing w:val="0"/>
                <w:sz w:val="24"/>
                <w:szCs w:val="24"/>
                <w:highlight w:val="none"/>
                <w:lang w:val="en-US" w:eastAsia="zh-CN"/>
              </w:rPr>
              <w:t xml:space="preserve">无</w:t>
            </w:r>
            <w:r>
              <w:rPr>
                <w:rFonts w:hint="eastAsia" w:ascii="宋体" w:hAnsi="宋体" w:cs="宋体"/>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lang w:val="en-US" w:eastAsia="zh-CN"/>
              </w:rPr>
            </w:r>
            <w:r>
              <w:rPr>
                <w:rFonts w:hint="eastAsia" w:ascii="宋体" w:hAnsi="宋体" w:eastAsia="宋体" w:cs="宋体"/>
                <w:color w:val="auto"/>
                <w:sz w:val="24"/>
                <w:szCs w:val="21"/>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1"/>
                <w:highlight w:val="none"/>
                <w:lang w:val="en-US" w:eastAsia="zh-CN"/>
              </w:rPr>
            </w:r>
            <w:r>
              <w:rPr>
                <w:rFonts w:hint="eastAsia" w:ascii="宋体" w:hAnsi="宋体" w:eastAsia="宋体" w:cs="宋体"/>
                <w:color w:val="auto"/>
                <w:sz w:val="24"/>
                <w:szCs w:val="21"/>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bookmarkStart w:id="14" w:name="_GoBack"/>
            <w:r/>
            <w:bookmarkEnd w:id="14"/>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4"/>
            <w:r/>
            <w:bookmarkStart w:id="6" w:name="_Hlt91509263"/>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操作手册及政府采购客户端工具也可通过徐州政府采购网--业务工作--快速服务--下载专区，点击进入《江苏省政府采购管理交易系统（苏采云）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必须提供且加盖电子签章，否则投标无效）</w:t>
            </w:r>
            <w:r/>
          </w:p>
          <w:p>
            <w:pPr>
              <w:pStyle w:val="111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具有独立承担民事责任的能力，提供供应商合法有效的营业执照原件的扫描件（或事业单位法人证书原件的扫描件，或民办非企业单位登记证书原件的扫描件）；</w:t>
            </w:r>
            <w:r/>
          </w:p>
          <w:p>
            <w:pPr>
              <w:pStyle w:val="1116"/>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w:t>
            </w:r>
            <w:r>
              <w:rPr>
                <w:rFonts w:hint="eastAsia" w:ascii="宋体" w:hAnsi="宋体" w:eastAsia="宋体" w:cs="宋体"/>
                <w:i w:val="0"/>
                <w:iCs w:val="0"/>
                <w:caps w:val="0"/>
                <w:color w:val="auto"/>
                <w:spacing w:val="0"/>
                <w:sz w:val="24"/>
                <w:szCs w:val="24"/>
                <w:highlight w:val="none"/>
                <w:lang w:val="en-US" w:eastAsia="zh-CN"/>
              </w:rPr>
              <w:t xml:space="preserve">财务状况报告（至少提供供应商的本项目开标时间前6个月内任何时间的资产负债表和利润表扫描件各一份；或提供供应商（2024年度或2025年度）经审计的财务报告原件扫描件一份；或提供供应商的本项目开标时间前6个月内银行出具的资信证明原件扫描件一份）；</w:t>
            </w:r>
            <w:r/>
          </w:p>
          <w:p>
            <w:pPr>
              <w:pStyle w:val="1116"/>
              <w:ind w:left="0" w:right="0" w:firstLine="480"/>
              <w:jc w:val="both"/>
              <w:keepLines w:val="0"/>
              <w:keepNext w:val="0"/>
              <w:pageBreakBefore w:val="0"/>
              <w:spacing w:before="0" w:beforeAutospacing="0" w:after="0" w:afterAutospacing="0" w:line="312" w:lineRule="auto"/>
              <w:widowControl/>
              <w:rPr>
                <w:rFonts w:hint="eastAsia" w:ascii="宋体" w:hAnsi="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1116"/>
              <w:ind w:left="0" w:right="0" w:firstLine="480"/>
              <w:jc w:val="both"/>
              <w:keepLines w:val="0"/>
              <w:keepNext w:val="0"/>
              <w:pageBreakBefore w:val="0"/>
              <w:spacing w:before="0" w:beforeAutospacing="0" w:after="0" w:afterAutospacing="0" w:line="312" w:lineRule="auto"/>
              <w:widowControl/>
              <w:rPr>
                <w:rFonts w:hint="eastAsia" w:ascii="宋体" w:hAnsi="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w:t>
            </w:r>
            <w:r>
              <w:rPr>
                <w:rFonts w:hint="eastAsia" w:ascii="宋体" w:hAnsi="宋体" w:eastAsia="宋体" w:cs="宋体"/>
                <w:i w:val="0"/>
                <w:iCs w:val="0"/>
                <w:caps w:val="0"/>
                <w:color w:val="auto"/>
                <w:spacing w:val="0"/>
                <w:sz w:val="24"/>
                <w:szCs w:val="24"/>
                <w:highlight w:val="none"/>
                <w:lang w:val="en-US" w:eastAsia="zh-CN"/>
              </w:rPr>
              <w:t xml:space="preserve">具备履行合同所必需的设备和专业技术能力的证明（响应文件中提供《具备履行合同所必需的设备和专业技术能力的书面声明（附证明材料扫描件）》，加盖电子签章，格式见采购文件第七章《投标文件相关格式》,所附证明材料扫描件可不加盖电子签章）</w:t>
            </w:r>
            <w:r>
              <w:rPr>
                <w:rFonts w:hint="eastAsia" w:ascii="宋体" w:hAnsi="宋体" w:cs="宋体"/>
                <w:i w:val="0"/>
                <w:iCs w:val="0"/>
                <w:caps w:val="0"/>
                <w:color w:val="auto"/>
                <w:spacing w:val="0"/>
                <w:sz w:val="24"/>
                <w:szCs w:val="24"/>
                <w:highlight w:val="none"/>
                <w:lang w:val="en-US"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i w:val="0"/>
                <w:iCs w:val="0"/>
                <w:caps w:val="0"/>
                <w:color w:val="auto"/>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rPr>
                <w:rFonts w:hint="eastAsia" w:ascii="宋体" w:hAnsi="宋体" w:cs="宋体"/>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商务偏离和技术偏离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58.0pt;height:39.0pt;mso-wrap-distance-left:0.0pt;mso-wrap-distance-top:0.0pt;mso-wrap-distance-right:0.0pt;mso-wrap-distance-bottom:0.0pt;" stroked="f">
                      <v:path textboxrect="0,0,0,0"/>
                      <v:imagedata r:id="rId25"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170万元人民币</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最高限价170万元。</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lang w:val="en-US" w:eastAsia="zh-CN"/>
              </w:rPr>
              <w:t xml:space="preserve">最高限价170万元</w:t>
            </w:r>
            <w:r>
              <w:rPr>
                <w:rFonts w:hint="eastAsia" w:ascii="宋体" w:hAnsi="宋体" w:eastAsia="宋体" w:cs="宋体"/>
                <w:b/>
                <w:bCs/>
                <w:color w:val="auto"/>
                <w:sz w:val="24"/>
                <w:szCs w:val="24"/>
                <w:highlight w:val="none"/>
              </w:rPr>
              <w:t xml:space="preserve">的投标报价</w:t>
            </w:r>
            <w:r>
              <w:rPr>
                <w:rFonts w:hint="eastAsia" w:ascii="宋体" w:hAnsi="宋体" w:eastAsia="宋体" w:cs="宋体"/>
                <w:b/>
                <w:bCs/>
                <w:color w:val="auto"/>
                <w:sz w:val="24"/>
                <w:szCs w:val="24"/>
                <w:highlight w:val="none"/>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07月03日</w:t>
            </w:r>
            <w:r>
              <w:rPr>
                <w:rFonts w:hint="eastAsia" w:ascii="宋体" w:hAnsi="宋体" w:eastAsia="宋体" w:cs="宋体"/>
                <w:b/>
                <w:bCs/>
                <w:color w:val="auto"/>
                <w:sz w:val="24"/>
                <w:szCs w:val="21"/>
                <w:highlight w:val="none"/>
                <w:u w:val="none"/>
              </w:rPr>
              <w:t xml:space="preserve">09：10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b/>
                <w:bCs/>
                <w:color w:val="auto"/>
                <w:sz w:val="24"/>
                <w:szCs w:val="21"/>
                <w:highlight w:val="none"/>
                <w:u w:val="none"/>
              </w:rPr>
              <w:t xml:space="preserve">。</w:t>
            </w:r>
            <w:r>
              <w:rPr>
                <w:b/>
                <w:bCs/>
                <w:u w:val="none"/>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000000" w:themeColor="text1"/>
                <w:sz w:val="24"/>
                <w:szCs w:val="21"/>
                <w:highlight w:val="none"/>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000000" w:themeColor="text1"/>
                <w:sz w:val="24"/>
                <w:szCs w:val="28"/>
                <w:highlight w:val="none"/>
                <w:u w:val="none"/>
                <w:lang w:eastAsia="zh-CN"/>
              </w:rPr>
              <w:t xml:space="preserve">2026年</w:t>
            </w:r>
            <w:r>
              <w:rPr>
                <w:rFonts w:hint="eastAsia" w:ascii="宋体" w:hAnsi="宋体" w:cs="宋体"/>
                <w:b/>
                <w:bCs/>
                <w:color w:val="000000" w:themeColor="text1"/>
                <w:sz w:val="24"/>
                <w:szCs w:val="28"/>
                <w:highlight w:val="none"/>
                <w:u w:val="none"/>
                <w:lang w:val="en-US" w:eastAsia="zh-CN"/>
              </w:rPr>
              <w:t xml:space="preserve">07月03日</w:t>
            </w:r>
            <w:r>
              <w:rPr>
                <w:rFonts w:hint="eastAsia" w:ascii="宋体" w:hAnsi="宋体" w:eastAsia="宋体" w:cs="宋体"/>
                <w:b/>
                <w:bCs/>
                <w:color w:val="000000" w:themeColor="text1"/>
                <w:sz w:val="24"/>
                <w:szCs w:val="21"/>
                <w:highlight w:val="none"/>
              </w:rPr>
              <w:t xml:space="preserve">北京时间09：10</w:t>
            </w:r>
            <w:r>
              <w:rPr>
                <w:b/>
                <w:bCs/>
                <w:color w:val="000000" w:themeColor="text1"/>
              </w:rPr>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000000" w:themeColor="text1"/>
                <w:sz w:val="24"/>
                <w:szCs w:val="28"/>
                <w:highlight w:val="none"/>
                <w:u w:val="none"/>
                <w:lang w:eastAsia="zh-CN"/>
              </w:rPr>
              <w:t xml:space="preserve">2026年</w:t>
            </w:r>
            <w:r>
              <w:rPr>
                <w:rFonts w:hint="eastAsia" w:ascii="宋体" w:hAnsi="宋体" w:cs="宋体"/>
                <w:b/>
                <w:bCs/>
                <w:color w:val="000000" w:themeColor="text1"/>
                <w:sz w:val="24"/>
                <w:szCs w:val="28"/>
                <w:highlight w:val="none"/>
                <w:u w:val="none"/>
                <w:lang w:val="en-US" w:eastAsia="zh-CN"/>
              </w:rPr>
              <w:t xml:space="preserve">07月03日</w:t>
            </w:r>
            <w:r>
              <w:rPr>
                <w:rFonts w:hint="eastAsia" w:ascii="宋体" w:hAnsi="宋体" w:eastAsia="宋体" w:cs="宋体"/>
                <w:b/>
                <w:bCs/>
                <w:color w:val="auto"/>
                <w:sz w:val="24"/>
                <w:szCs w:val="21"/>
                <w:highlight w:val="none"/>
              </w:rPr>
              <w:t xml:space="preserve">北京时间09：10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评标小组的组建：</w:t>
            </w:r>
            <w:r>
              <w:rPr>
                <w:rFonts w:hint="eastAsia" w:ascii="宋体" w:hAnsi="宋体" w:cs="宋体"/>
                <w:b/>
                <w:bCs/>
                <w:color w:val="auto"/>
                <w:sz w:val="24"/>
                <w:szCs w:val="21"/>
                <w:highlight w:val="none"/>
                <w:lang w:val="en-US" w:eastAsia="zh-CN"/>
              </w:rPr>
              <w:t xml:space="preserve">5</w:t>
            </w:r>
            <w:r>
              <w:rPr>
                <w:rFonts w:hint="eastAsia" w:ascii="宋体" w:hAnsi="宋体" w:eastAsia="宋体" w:cs="宋体"/>
                <w:b/>
                <w:bCs/>
                <w:color w:val="auto"/>
                <w:sz w:val="24"/>
                <w:szCs w:val="21"/>
                <w:highlight w:val="none"/>
              </w:rPr>
              <w:t xml:space="preserve">人。政府采购专家从《江苏省政府采购专家库》随机抽取。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1、推荐中标候选</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名单。中标候选</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数量应当根据采购需要确定，但必须按顺序排列中标候选</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采用综合评分法的，按评审后得分由高到低顺序排列。得分相同的，按投标报价由低到高顺序排列；投标报价得分相同的，按技术部分得分由高到低顺序排列。投标报价且技术得分相同的，按商务部分得分由高到低顺序排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0"/>
          <w:footerReference w:type="default" r:id="rId17"/>
          <w:footnotePr/>
          <w:endnotePr/>
          <w:type w:val="nextPage"/>
          <w:pgSz w:w="11906" w:h="16838" w:orient="portrait"/>
          <w:pgMar w:top="1440" w:right="1196" w:bottom="1440" w:left="1196"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109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2"/>
          <w:szCs w:val="22"/>
          <w:highlight w:val="none"/>
          <w:lang w:val="en-US" w:eastAsia="zh-CN" w:bidi="ar-SA"/>
        </w:rPr>
        <w:t xml:space="preserve">费率</w:t>
      </w:r>
      <w:r>
        <w:rPr>
          <w:rFonts w:hint="default" w:ascii="宋体" w:hAnsi="宋体" w:eastAsia="宋体" w:cs="宋体"/>
          <w:color w:val="auto"/>
          <w:spacing w:val="-2"/>
          <w:sz w:val="22"/>
          <w:szCs w:val="22"/>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6</w:t>
      </w:r>
      <w:r>
        <w:rPr>
          <w:rFonts w:hint="default" w:ascii="宋体" w:hAnsi="宋体" w:eastAsia="宋体" w:cs="宋体"/>
          <w:color w:val="auto"/>
          <w:spacing w:val="-2"/>
          <w:sz w:val="22"/>
          <w:szCs w:val="22"/>
          <w:highlight w:val="none"/>
          <w:lang w:val="en-US" w:eastAsia="zh-CN" w:bidi="ar-SA"/>
        </w:rPr>
        <w:t xml:space="preserve">.根据《关于进一步规范政府采购活动相关费用管理的通知》（苏财规〔2026〕1号）规定，本项目代理服务费由采购人支付</w:t>
      </w:r>
      <w:r>
        <w:rPr>
          <w:rFonts w:hint="default" w:ascii="宋体" w:hAnsi="宋体" w:eastAsia="宋体" w:cs="宋体"/>
          <w:color w:val="auto"/>
          <w:spacing w:val="-2"/>
          <w:sz w:val="22"/>
          <w:szCs w:val="22"/>
          <w:highlight w:val="none"/>
          <w:lang w:val="en-US" w:eastAsia="zh-CN" w:bidi="ar-SA"/>
        </w:rPr>
        <w:t xml:space="preserve">。</w:t>
      </w:r>
      <w:r>
        <w:rPr>
          <w:rFonts w:hint="default" w:ascii="宋体" w:hAnsi="宋体" w:eastAsia="宋体" w:cs="宋体"/>
          <w:color w:val="auto"/>
          <w:spacing w:val="-2"/>
          <w:sz w:val="22"/>
          <w:szCs w:val="22"/>
          <w:highlight w:val="none"/>
          <w:lang w:val="en-US" w:eastAsia="zh-CN" w:bidi="ar-SA"/>
        </w:rPr>
      </w:r>
      <w:r>
        <w:rPr>
          <w:rFonts w:hint="default" w:ascii="宋体" w:hAnsi="宋体" w:eastAsia="宋体" w:cs="宋体"/>
          <w:color w:val="auto"/>
          <w:spacing w:val="-2"/>
          <w:sz w:val="22"/>
          <w:szCs w:val="22"/>
          <w:highlight w:val="none"/>
          <w:lang w:val="en-US" w:eastAsia="zh-CN" w:bidi="ar-SA"/>
        </w:rPr>
      </w:r>
      <w:r>
        <w:rPr>
          <w:rFonts w:hint="default" w:ascii="宋体" w:hAnsi="宋体" w:eastAsia="宋体" w:cs="宋体"/>
          <w:color w:val="auto"/>
          <w:spacing w:val="-2"/>
          <w:sz w:val="22"/>
          <w:szCs w:val="22"/>
          <w:highlight w:val="none"/>
          <w:lang w:val="en-US" w:eastAsia="zh-CN" w:bidi="ar-SA"/>
        </w:rPr>
      </w:r>
      <w:r/>
      <w:r>
        <w:rPr>
          <w:rFonts w:hint="default" w:ascii="宋体" w:hAnsi="宋体" w:eastAsia="宋体" w:cs="宋体"/>
          <w:color w:val="auto"/>
          <w:spacing w:val="-2"/>
          <w:sz w:val="22"/>
          <w:szCs w:val="22"/>
          <w:highlight w:val="none"/>
          <w:lang w:val="en-US" w:eastAsia="zh-CN" w:bidi="ar-SA"/>
        </w:rP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7.以上价格为协会指导价，双方可根据项目难易程</w:t>
      </w:r>
      <w:r>
        <w:rPr>
          <w:rFonts w:hint="default" w:ascii="宋体" w:hAnsi="宋体" w:eastAsia="宋体" w:cs="宋体"/>
          <w:color w:val="auto"/>
          <w:spacing w:val="1"/>
          <w:sz w:val="22"/>
          <w:szCs w:val="22"/>
          <w:highlight w:val="none"/>
          <w:lang w:val="en-US" w:eastAsia="zh-CN" w:bidi="ar-SA"/>
        </w:rPr>
        <w:t xml:space="preserve">度和优质</w:t>
      </w:r>
      <w:r>
        <w:rPr>
          <w:rFonts w:hint="default" w:ascii="宋体" w:hAnsi="宋体" w:eastAsia="宋体" w:cs="宋体"/>
          <w:color w:val="auto"/>
          <w:spacing w:val="-2"/>
          <w:sz w:val="22"/>
          <w:szCs w:val="22"/>
          <w:highlight w:val="none"/>
          <w:lang w:val="en-US" w:eastAsia="zh-CN" w:bidi="ar-SA"/>
        </w:rPr>
        <w:t xml:space="preserve">优价原则协商确定。</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eastAsia" w:ascii="宋体" w:hAnsi="宋体" w:eastAsia="宋体" w:cs="宋体"/>
          <w:color w:val="auto"/>
          <w:spacing w:val="-2"/>
          <w:sz w:val="22"/>
          <w:szCs w:val="22"/>
          <w:highlight w:val="none"/>
          <w:lang w:val="en-US" w:eastAsia="zh-CN" w:bidi="ar-SA"/>
        </w:rPr>
        <w:t xml:space="preserve">8.</w:t>
      </w:r>
      <w:r>
        <w:rPr>
          <w:rFonts w:hint="default" w:ascii="宋体" w:hAnsi="宋体" w:eastAsia="宋体" w:cs="宋体"/>
          <w:color w:val="auto"/>
          <w:spacing w:val="-2"/>
          <w:sz w:val="22"/>
          <w:szCs w:val="22"/>
          <w:highlight w:val="none"/>
          <w:lang w:val="en-US" w:eastAsia="zh-CN" w:bidi="ar-SA"/>
        </w:rPr>
        <w:t xml:space="preserve">账户名称：江苏科建工程项目管理有限公司徐州分公司</w:t>
      </w:r>
      <w:r/>
    </w:p>
    <w:p>
      <w:pPr>
        <w:ind w:right="0"/>
        <w:keepLines w:val="0"/>
        <w:keepNext w:val="0"/>
        <w:pageBreakBefore w:val="0"/>
        <w:spacing w:line="288" w:lineRule="auto"/>
        <w:widowControl w:val="off"/>
        <w:rPr>
          <w:rFonts w:hint="default" w:ascii="宋体" w:hAnsi="宋体" w:eastAsia="宋体" w:cs="宋体"/>
          <w:color w:val="auto"/>
          <w:spacing w:val="-2"/>
          <w:sz w:val="22"/>
          <w:szCs w:val="22"/>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开户行：中国农业银行股份有限公司徐州塔东支行</w:t>
      </w:r>
      <w:r>
        <w:rPr>
          <w:rFonts w:hint="eastAsia" w:ascii="宋体" w:hAnsi="宋体" w:cs="宋体"/>
          <w:color w:val="auto"/>
          <w:spacing w:val="-2"/>
          <w:sz w:val="22"/>
          <w:szCs w:val="22"/>
          <w:highlight w:val="none"/>
          <w:lang w:val="en-US" w:eastAsia="zh-CN" w:bidi="ar-SA"/>
        </w:rPr>
        <w:t xml:space="preserve">（系统勾选铜山-塔东）</w:t>
      </w:r>
      <w:r/>
    </w:p>
    <w:p>
      <w:pPr>
        <w:ind w:right="0"/>
        <w:keepLines w:val="0"/>
        <w:keepNext w:val="0"/>
        <w:pageBreakBefore w:val="0"/>
        <w:spacing w:line="288" w:lineRule="auto"/>
        <w:widowControl w:val="off"/>
        <w:rPr>
          <w:rFonts w:hint="default" w:ascii="宋体" w:hAnsi="宋体" w:eastAsia="宋体" w:cs="宋体"/>
          <w:color w:val="auto"/>
          <w:spacing w:val="-2"/>
          <w:sz w:val="20"/>
          <w:szCs w:val="20"/>
          <w:highlight w:val="none"/>
          <w:lang w:val="en-US" w:eastAsia="zh-CN" w:bidi="ar-SA"/>
        </w:rPr>
      </w:pPr>
      <w:r>
        <w:rPr>
          <w:rFonts w:hint="default" w:ascii="宋体" w:hAnsi="宋体" w:eastAsia="宋体" w:cs="宋体"/>
          <w:color w:val="auto"/>
          <w:spacing w:val="-2"/>
          <w:sz w:val="22"/>
          <w:szCs w:val="22"/>
          <w:highlight w:val="none"/>
          <w:lang w:val="en-US" w:eastAsia="zh-CN" w:bidi="ar-SA"/>
        </w:rPr>
        <w:t xml:space="preserve">银行帐号：10247401040011283</w:t>
      </w:r>
      <w:r/>
    </w:p>
    <w:p>
      <w:pPr>
        <w:ind w:right="0" w:firstLine="420"/>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bidi="ar-SA"/>
        </w:rPr>
        <w:sectPr>
          <w:headerReference w:type="default" r:id="rId11"/>
          <w:footerReference w:type="default" r:id="rId18"/>
          <w:footnotePr/>
          <w:endnotePr/>
          <w:type w:val="nextPage"/>
          <w:pgSz w:w="11906" w:h="16838" w:orient="portrait"/>
          <w:pgMar w:top="1440" w:right="1080" w:bottom="1440" w:left="1080" w:header="851" w:footer="992" w:gutter="0"/>
          <w:cols w:num="1" w:sep="0" w:space="1701" w:equalWidth="1"/>
          <w:docGrid w:linePitch="360"/>
        </w:sectPr>
        <w:outlineLvl w:val="0"/>
      </w:pPr>
      <w:r/>
      <w:bookmarkStart w:id="8" w:name="_Toc9429"/>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bookmarkStart w:id="9" w:name="_Toc10396"/>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p>
      <w:pPr>
        <w:ind w:firstLine="480"/>
        <w:jc w:val="center"/>
        <w:spacing w:line="312" w:lineRule="auto"/>
        <w:widowControl w:val="off"/>
        <w:rPr>
          <w:rFonts w:hint="eastAsia" w:ascii="宋体" w:hAnsi="宋体" w:eastAsia="宋体" w:cs="宋体"/>
          <w:b/>
          <w:bCs/>
          <w:color w:val="auto"/>
          <w:sz w:val="30"/>
          <w:szCs w:val="44"/>
          <w:highlight w:val="none"/>
          <w:lang w:val="en-US" w:eastAsia="zh-CN" w:bidi="ar-SA"/>
        </w:rPr>
      </w:pPr>
      <w:r>
        <w:rPr>
          <w:color w:val="auto"/>
          <w:highlight w:val="none"/>
        </w:rPr>
        <w:t xml:space="preserve">本项目采用综合评分法。</w:t>
      </w:r>
      <w:r>
        <w:rPr>
          <w:rFonts w:hint="eastAsia"/>
          <w:color w:val="auto"/>
          <w:highlight w:val="none"/>
          <w:lang w:val="en-US" w:eastAsia="zh-CN"/>
        </w:rPr>
        <w:t xml:space="preserve">投标人技术部分得分取所有评委的平均值，保留小数点后二位</w:t>
      </w:r>
      <w:r/>
    </w:p>
    <w:tbl>
      <w:tblPr>
        <w:tblStyle w:val="1094"/>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9"/>
        <w:gridCol w:w="1093"/>
        <w:gridCol w:w="1116"/>
        <w:gridCol w:w="6446"/>
        <w:gridCol w:w="677"/>
      </w:tblGrid>
      <w:tr>
        <w:trPr>
          <w:jc w:val="center"/>
          <w:trHeight w:val="33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93"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评分因素</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2"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评分说明</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7" w:type="dxa"/>
            <w:vAlign w:val="top"/>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rPr>
              <w:t xml:space="preserve">是否为客观分</w:t>
            </w:r>
            <w:r/>
          </w:p>
        </w:tc>
      </w:tr>
      <w:tr>
        <w:trPr>
          <w:jc w:val="center"/>
          <w:trHeight w:val="283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9"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93" w:type="dxa"/>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w:t>
            </w:r>
            <w:r/>
          </w:p>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（30分）</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562"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keepLines w:val="0"/>
              <w:keepNext w:val="0"/>
              <w:spacing w:before="0" w:beforeAutospacing="0" w:after="0" w:afterAutospacing="0" w:line="276"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1926"/>
        </w:trPr>
        <w:tc>
          <w:tcPr>
            <w:tcBorders>
              <w:top w:val="single" w:color="auto" w:sz="4" w:space="0"/>
              <w:left w:val="single" w:color="auto" w:sz="4" w:space="0"/>
              <w:right w:val="single" w:color="auto" w:sz="4" w:space="0"/>
            </w:tcBorders>
            <w:tcMar>
              <w:left w:w="15" w:type="dxa"/>
              <w:top w:w="15" w:type="dxa"/>
              <w:right w:w="15" w:type="dxa"/>
              <w:bottom w:w="0" w:type="dxa"/>
            </w:tcMar>
            <w:tcW w:w="71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right w:val="single" w:color="auto" w:sz="4" w:space="0"/>
            </w:tcBorders>
            <w:tcMar>
              <w:left w:w="15" w:type="dxa"/>
              <w:top w:w="15" w:type="dxa"/>
              <w:right w:w="15" w:type="dxa"/>
              <w:bottom w:w="0" w:type="dxa"/>
            </w:tcMar>
            <w:tcW w:w="109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商务部分（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投标人资质要求</w:t>
            </w: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4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（1）投标人具有信息化工程与技术服务能力评价证书一级得1分；贰级得0.5分，否则不得分；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（2）投标人具有ITSS信息技术服务运行维护标准证书一级得1分，其余得0.5分；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（3）投标人具有电子与智能化工程专业承包壹级得1分，其余得0.5分；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（4）投标人具有安防工程企业设计施工维护能力证书，壹级得1分，其余0.5分。</w:t>
            </w:r>
            <w:r/>
          </w:p>
          <w:p>
            <w:pPr>
              <w:pStyle w:val="1100"/>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投标文件中提供证书原件扫描件并加盖投标人签章，否则不得分。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7" w:type="dxa"/>
            <w:vAlign w:val="center"/>
            <w:textDirection w:val="lrTb"/>
            <w:noWrap w:val="false"/>
          </w:tcPr>
          <w:p>
            <w:pPr>
              <w:pStyle w:val="1100"/>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111"/>
        </w:trPr>
        <w:tc>
          <w:tcPr>
            <w:tcBorders>
              <w:left w:val="single" w:color="auto" w:sz="4" w:space="0"/>
              <w:right w:val="single" w:color="auto" w:sz="4" w:space="0"/>
            </w:tcBorders>
            <w:tcW w:w="719"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093"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240" w:right="0" w:hanging="240"/>
              <w:keepLines w:val="0"/>
              <w:keepNext w:val="0"/>
              <w:spacing w:before="0" w:beforeAutospacing="0" w:after="0" w:afterAutospacing="0" w:line="276"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业绩    （2分）</w:t>
            </w:r>
            <w:r/>
          </w:p>
        </w:tc>
        <w:tc>
          <w:tcPr>
            <w:shd w:val="clear" w:color="auto" w:fill="auto"/>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投标文件中提供投标人为乙方，合同签订日期在202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之后，</w:t>
            </w:r>
            <w:r>
              <w:rPr>
                <w:rFonts w:hint="eastAsia" w:ascii="宋体" w:hAnsi="宋体" w:eastAsia="宋体" w:cs="宋体"/>
                <w:color w:val="auto"/>
                <w:sz w:val="24"/>
                <w:szCs w:val="24"/>
                <w:highlight w:val="none"/>
                <w:lang w:val="en-US" w:eastAsia="zh-CN"/>
              </w:rPr>
              <w:t xml:space="preserve">与本项目相同或类似的项目</w:t>
            </w:r>
            <w:r>
              <w:rPr>
                <w:rFonts w:hint="eastAsia" w:ascii="宋体" w:hAnsi="宋体" w:eastAsia="宋体" w:cs="宋体"/>
                <w:color w:val="auto"/>
                <w:sz w:val="24"/>
                <w:szCs w:val="24"/>
                <w:highlight w:val="none"/>
              </w:rPr>
              <w:t xml:space="preserve">，每提供一份得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未提供的得0分。</w:t>
            </w:r>
            <w:r/>
          </w:p>
          <w:p>
            <w:pPr>
              <w:pStyle w:val="1100"/>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注：投标文件中提供合同原件扫描件</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，否则此项不得分。</w:t>
            </w:r>
            <w:r/>
          </w:p>
        </w:tc>
        <w:tc>
          <w:tcPr>
            <w:shd w:val="clear" w:color="auto" w:fill="auto"/>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是</w:t>
            </w:r>
            <w:r/>
          </w:p>
        </w:tc>
      </w:tr>
      <w:tr>
        <w:trPr>
          <w:jc w:val="center"/>
          <w:trHeight w:val="428"/>
        </w:trPr>
        <w:tc>
          <w:tcPr>
            <w:tcBorders>
              <w:left w:val="single" w:color="auto" w:sz="4" w:space="0"/>
              <w:right w:val="single" w:color="auto" w:sz="4" w:space="0"/>
            </w:tcBorders>
            <w:tcW w:w="719"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093"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年)的基础上，每</w:t>
            </w:r>
            <w:r>
              <w:rPr>
                <w:rFonts w:hint="eastAsia" w:ascii="宋体" w:hAnsi="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免费一年质保的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分（不足1年的不</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注：投标文件中提供承诺函（格式自拟）并加盖投标人电子签章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428"/>
        </w:trPr>
        <w:tc>
          <w:tcPr>
            <w:tcBorders>
              <w:left w:val="single" w:color="auto" w:sz="4" w:space="0"/>
              <w:right w:val="single" w:color="auto" w:sz="4" w:space="0"/>
            </w:tcBorders>
            <w:tcW w:w="719"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093" w:type="dxa"/>
            <w:vAlign w:val="center"/>
            <w:vMerge w:val="continue"/>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项目人员配备（3分）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拟派项目负责人具备以下有效的相应证书：</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1、具有高级工程师（电子信息、计算机、网络安全、安防工程相关专业）证书的得1分；</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2、具有</w:t>
            </w:r>
            <w:r>
              <w:rPr>
                <w:rFonts w:hint="eastAsia" w:ascii="宋体" w:hAnsi="宋体" w:eastAsia="宋体" w:cs="宋体"/>
                <w:color w:val="auto"/>
                <w:sz w:val="24"/>
                <w:szCs w:val="24"/>
                <w:highlight w:val="none"/>
              </w:rPr>
              <w:t xml:space="preserve">安防系统集成项目经理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ITSS IT服务工程师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CISP- CISE注册信息安全专业人员（注册信息安全工程师）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信息安全工程师</w:t>
            </w:r>
            <w:r>
              <w:rPr>
                <w:rFonts w:hint="eastAsia" w:ascii="宋体" w:hAnsi="宋体" w:eastAsia="宋体" w:cs="宋体"/>
                <w:color w:val="auto"/>
                <w:sz w:val="24"/>
                <w:szCs w:val="24"/>
                <w:highlight w:val="none"/>
                <w:lang w:val="en-US" w:eastAsia="zh-CN"/>
              </w:rPr>
              <w:t xml:space="preserve">证书的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cs="宋体"/>
                <w:color w:val="auto"/>
                <w:sz w:val="24"/>
                <w:szCs w:val="24"/>
                <w:highlight w:val="none"/>
                <w:lang w:val="en-US" w:eastAsia="zh-CN"/>
              </w:rPr>
              <w:t xml:space="preserve">提供一个证书</w:t>
            </w:r>
            <w:r>
              <w:rPr>
                <w:rFonts w:hint="eastAsia" w:ascii="宋体" w:hAnsi="宋体" w:eastAsia="宋体" w:cs="宋体"/>
                <w:color w:val="auto"/>
                <w:sz w:val="24"/>
                <w:szCs w:val="24"/>
                <w:highlight w:val="none"/>
                <w:lang w:val="en-US" w:eastAsia="zh-CN"/>
              </w:rPr>
              <w:t xml:space="preserve">得0.5分</w:t>
            </w:r>
            <w:r>
              <w:rPr>
                <w:rFonts w:hint="eastAsia" w:ascii="宋体" w:hAnsi="宋体" w:cs="宋体"/>
                <w:color w:val="auto"/>
                <w:sz w:val="24"/>
                <w:szCs w:val="24"/>
                <w:highlight w:val="none"/>
                <w:lang w:val="en-US" w:eastAsia="zh-CN"/>
              </w:rPr>
              <w:t xml:space="preserve">，最高得2分</w:t>
            </w:r>
            <w:r>
              <w:rPr>
                <w:rFonts w:hint="eastAsia" w:ascii="宋体" w:hAnsi="宋体" w:eastAsia="宋体" w:cs="宋体"/>
                <w:color w:val="auto"/>
                <w:sz w:val="24"/>
                <w:szCs w:val="24"/>
                <w:highlight w:val="none"/>
                <w:lang w:val="en-US" w:eastAsia="zh-CN"/>
              </w:rPr>
              <w:t xml:space="preserve">；</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未提供证书的得0分，本项最高得3分，最低得0分。</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注：提供以上人员在本项目中担任的职务及其相应证书和近6个月内任意1个月的社保证明材料原件扫描件，不提供不得分。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38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9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所投产品的技术规格(技术性能)（</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投标人所投产品技术参数完全满足招标文件第五章“采购需求”中拟采购设备的数量及相关参数要求的得30分。加“▲”标注的参数每有一项负偏离扣2分，未标注的参数每有一项负偏离扣1分，扣完为止。 </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注：供应商针对本项评分内容在响应文件《偏离表》中逐条列出响应及偏离情况，采购需求中要求提供证明材料的，以证明材料为准；采购需求中未要求提供证明材料的，以《偏离表》为准；未按要求提供证明材料或未在响应偏离表中列明偏离情况的对应项按负偏离进行扣分处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是</w:t>
            </w:r>
            <w:r/>
          </w:p>
        </w:tc>
      </w:tr>
      <w:tr>
        <w:trPr>
          <w:jc w:val="center"/>
          <w:trHeight w:val="1383"/>
        </w:trPr>
        <w:tc>
          <w:tcPr>
            <w:tcBorders>
              <w:left w:val="single" w:color="auto" w:sz="4" w:space="0"/>
              <w:right w:val="single" w:color="auto" w:sz="4" w:space="0"/>
            </w:tcBorders>
            <w:tcMar>
              <w:left w:w="15" w:type="dxa"/>
              <w:top w:w="15" w:type="dxa"/>
              <w:right w:w="15" w:type="dxa"/>
              <w:bottom w:w="0" w:type="dxa"/>
            </w:tcMar>
            <w:tcW w:w="719"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bottom w:w="0" w:type="dxa"/>
            </w:tcMar>
            <w:tcW w:w="1093"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质量、安全管控方案（6分）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对招标文件《采购需求》中“质量、安全管控要求”中内容进行完善，提供集成实施的质量目标、质量保证体系、质量管理职责分配、质量保证措施以及网络与数据安全方案，根据方案措施进行评价：</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方案合理、全面，可操作性强，针对性强的得6分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方案较合理、全面，可操作性较强，针对性较强的得4分；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方案合理性、全面性一般，基本可操作，针对性一般的得2分；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方案不合理，可操作性差，针对性差的得1分；</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不提供不得分，本项最高得6分，最低不得分。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4772"/>
        </w:trPr>
        <w:tc>
          <w:tcPr>
            <w:tcBorders>
              <w:left w:val="single" w:color="auto" w:sz="4" w:space="0"/>
              <w:right w:val="single" w:color="auto" w:sz="4" w:space="0"/>
            </w:tcBorders>
            <w:tcMar>
              <w:left w:w="15" w:type="dxa"/>
              <w:top w:w="15" w:type="dxa"/>
              <w:right w:w="15" w:type="dxa"/>
              <w:bottom w:w="0" w:type="dxa"/>
            </w:tcMar>
            <w:tcW w:w="719"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bottom w:w="0" w:type="dxa"/>
            </w:tcMar>
            <w:tcW w:w="1093"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项目实施方案（6分）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招标文件《采购需求》中“项目实施要求”的内容，进行完善，详细描述且列出具体方案措施（包含但不限于项目实施计划，需考虑到施工现场为学校，正常上课的客观现状，提供文明施工和环境保护措施），根据方案措施进行评价：</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方案合理、全面，可操作性强，针对性强的得6分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方案较合理、全面，可操作性较强，针对性较强的得4分；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方案合理性、全面性一般，基本可操作，针对性一般的得2分；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方案不合理，可操作性差，针对性差的得1分；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不提供不得分，本项最高得6分，最低不得分。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否</w:t>
            </w:r>
            <w:r/>
          </w:p>
        </w:tc>
      </w:tr>
      <w:tr>
        <w:trPr>
          <w:jc w:val="center"/>
          <w:trHeight w:val="1926"/>
        </w:trPr>
        <w:tc>
          <w:tcPr>
            <w:tcBorders>
              <w:left w:val="single" w:color="auto" w:sz="4" w:space="0"/>
              <w:right w:val="single" w:color="auto" w:sz="4" w:space="0"/>
            </w:tcBorders>
            <w:tcMar>
              <w:left w:w="15" w:type="dxa"/>
              <w:top w:w="15" w:type="dxa"/>
              <w:right w:w="15" w:type="dxa"/>
              <w:bottom w:w="0" w:type="dxa"/>
            </w:tcMar>
            <w:tcW w:w="719"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bottom w:w="0" w:type="dxa"/>
            </w:tcMar>
            <w:tcW w:w="1093"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培训方案及服务保障措施方案（6分）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招标文件《采购需求》中的“培训方案及服务保障措施方案”内容，进行完善（包含但不限于培训对象、培训目的、培训师资、培训内容、培训形式、培训费用、效果跟踪等），详细描述且列出具体方案措施，根据方案措施进行评价：</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方案合理、全面，可操作性强，针对性强的得6分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方案较合理、全面，可操作性较强，针对性较强的得4分；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方案合理性、全面性一般，基本可操作，针对性一般的得2分；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方案不合理，可操作性差，针对性差的得1分；</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不提供不得分，本项最高得6分，最低不得分。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否</w:t>
            </w:r>
            <w:r/>
          </w:p>
        </w:tc>
      </w:tr>
      <w:tr>
        <w:trPr>
          <w:jc w:val="center"/>
          <w:trHeight w:val="308"/>
        </w:trPr>
        <w:tc>
          <w:tcPr>
            <w:tcBorders>
              <w:left w:val="single" w:color="auto" w:sz="4" w:space="0"/>
              <w:right w:val="single" w:color="auto" w:sz="4" w:space="0"/>
            </w:tcBorders>
            <w:tcMar>
              <w:left w:w="15" w:type="dxa"/>
              <w:top w:w="15" w:type="dxa"/>
              <w:right w:w="15" w:type="dxa"/>
              <w:bottom w:w="0" w:type="dxa"/>
            </w:tcMar>
            <w:tcW w:w="719"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bottom w:w="0" w:type="dxa"/>
            </w:tcMar>
            <w:tcW w:w="1093" w:type="dxa"/>
            <w:vAlign w:val="center"/>
            <w:vMerge w:val="continue"/>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技术支持和售后服务方案</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446" w:type="dxa"/>
            <w:vAlign w:val="center"/>
            <w:textDirection w:val="lrTb"/>
            <w:noWrap w:val="false"/>
          </w:tcPr>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招标文件《采购需求》中“售后服务要求”进行完善，包括但不限于（提供与原考点现有系统及考试院现有系统无缝对接方案、对新系统的质保和技术支持服务要有完善的方案；提供现场服务及支持方案、对本项目的售后服务体系、服务内容、服务方式、响应能力、响应时间、服务经验；中高考期间提供切实可行的应急保障、处置方案等），根据方案措施进行评价：</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方案合理、全面，可操作性强，针对性强的得10分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方案较合理、全面，可操作性较强，针对性较强的得8分；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方案合理性、全面性一般，基本可操作，针对性一般的得6分；</w:t>
            </w:r>
            <w:r/>
          </w:p>
          <w:p>
            <w:pPr>
              <w:ind w:left="0" w:right="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方案不合理，可操作性差，针对性差的得4分；</w:t>
            </w:r>
            <w:r/>
          </w:p>
          <w:p>
            <w:pPr>
              <w:pStyle w:val="1152"/>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不提供不得分，本项最高得10分，最低不得分。</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否</w:t>
            </w:r>
            <w:r/>
          </w:p>
        </w:tc>
      </w:tr>
    </w:tbl>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bookmarkStart w:id="10" w:name="_Toc10297"/>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bookmarkEnd w:id="10"/>
      <w:r/>
      <w:r/>
    </w:p>
    <w:p>
      <w:pPr>
        <w:pStyle w:val="1302"/>
        <w:numPr>
          <w:ilvl w:val="0"/>
          <w:numId w:val="0"/>
        </w:numPr>
        <w:ind w:left="0" w:firstLine="422"/>
        <w:keepLines w:val="0"/>
        <w:keepNext w:val="0"/>
        <w:pageBreakBefore w:val="0"/>
        <w:spacing w:line="336" w:lineRule="auto"/>
        <w:tabs>
          <w:tab w:val="clear" w:pos="4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一、说明</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ascii="宋体" w:hAnsi="宋体" w:eastAsia="宋体" w:cs="宋体"/>
          <w:color w:val="auto"/>
          <w:sz w:val="24"/>
          <w:szCs w:val="24"/>
          <w:highlight w:val="none"/>
          <w:lang w:eastAsia="zh-CN"/>
        </w:rPr>
        <w:t xml:space="preserve">江苏省睢宁高级中学</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（二）采购项目名称：</w:t>
      </w:r>
      <w:r>
        <w:rPr>
          <w:rFonts w:hint="eastAsia" w:cs="宋体"/>
          <w:color w:val="auto"/>
          <w:sz w:val="24"/>
          <w:szCs w:val="24"/>
          <w:highlight w:val="none"/>
          <w:lang w:eastAsia="zh-CN"/>
        </w:rPr>
        <w:t xml:space="preserve">江苏省睢宁高级中学新校区标准化考场项目</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w:t>
      </w:r>
      <w:r>
        <w:rPr>
          <w:rFonts w:hint="eastAsia" w:ascii="宋体" w:hAnsi="宋体" w:eastAsia="宋体" w:cs="宋体"/>
          <w:color w:val="auto"/>
          <w:sz w:val="24"/>
          <w:szCs w:val="24"/>
          <w:highlight w:val="none"/>
          <w:lang w:val="en-US" w:eastAsia="zh-CN"/>
        </w:rPr>
        <w:t xml:space="preserve">江苏省睢宁高级中学</w:t>
      </w:r>
      <w:r>
        <w:rPr>
          <w:rFonts w:hint="eastAsia" w:ascii="宋体" w:hAnsi="宋体" w:eastAsia="宋体" w:cs="宋体"/>
          <w:color w:val="auto"/>
          <w:sz w:val="24"/>
          <w:szCs w:val="24"/>
          <w:highlight w:val="none"/>
          <w:lang w:eastAsia="zh-CN"/>
        </w:rPr>
        <w:t xml:space="preserve">新校区</w:t>
      </w:r>
      <w:r>
        <w:rPr>
          <w:rFonts w:hint="eastAsia" w:cs="宋体"/>
          <w:color w:val="auto"/>
          <w:sz w:val="24"/>
          <w:szCs w:val="24"/>
          <w:highlight w:val="none"/>
          <w:lang w:eastAsia="zh-CN"/>
        </w:rPr>
        <w:t xml:space="preserve">标准化考场项目，</w:t>
      </w:r>
      <w:r>
        <w:rPr>
          <w:rFonts w:hint="eastAsia" w:ascii="宋体" w:hAnsi="宋体" w:cs="宋体"/>
          <w:b w:val="0"/>
          <w:bCs w:val="0"/>
          <w:color w:val="auto"/>
          <w:sz w:val="24"/>
          <w:szCs w:val="24"/>
          <w:highlight w:val="none"/>
          <w:lang w:val="en-US" w:eastAsia="zh-CN"/>
        </w:rPr>
        <w:t xml:space="preserve">具体详见本招标文件第五章《采购需求》中“二、采购清单</w:t>
      </w:r>
      <w:r>
        <w:rPr>
          <w:rFonts w:hint="eastAsia" w:cs="宋体"/>
          <w:b w:val="0"/>
          <w:bCs w:val="0"/>
          <w:color w:val="auto"/>
          <w:sz w:val="24"/>
          <w:szCs w:val="24"/>
          <w:highlight w:val="none"/>
          <w:lang w:val="en-US" w:eastAsia="zh-CN"/>
        </w:rPr>
        <w:t xml:space="preserve">及技术参数要求</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对应的中小企业划分标准所属行业为（</w:t>
      </w:r>
      <w:r>
        <w:rPr>
          <w:rFonts w:hint="eastAsia" w:ascii="宋体" w:hAnsi="宋体" w:eastAsia="宋体" w:cs="宋体"/>
          <w:b/>
          <w:bCs/>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）。注：中小企业划分标准所属行业以《关于印发中小企业划型标准规定的通知》（工信部联企业[2011]300号）的规定为准。（二）</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人以下或营业收入</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0000万元以下的为中小微型企业。其中，从业人员</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00人及以上，且营业收入</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000万元及以上的为中型企业；从业人员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0人及以上，且营业收入</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0万元及以上的为小型企业；从业人员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0人以下或营业收入</w:t>
      </w:r>
      <w:r>
        <w:rPr>
          <w:rFonts w:hint="eastAsia" w:ascii="宋体" w:hAnsi="宋体" w:eastAsia="宋体" w:cs="宋体"/>
          <w:color w:val="auto"/>
          <w:sz w:val="24"/>
          <w:szCs w:val="24"/>
          <w:highlight w:val="none"/>
          <w:lang w:val="en-US" w:eastAsia="zh-CN"/>
        </w:rPr>
        <w:t xml:space="preserve">300</w:t>
      </w:r>
      <w:r>
        <w:rPr>
          <w:rFonts w:hint="eastAsia" w:ascii="宋体" w:hAnsi="宋体" w:eastAsia="宋体" w:cs="宋体"/>
          <w:color w:val="auto"/>
          <w:sz w:val="24"/>
          <w:szCs w:val="24"/>
          <w:highlight w:val="none"/>
        </w:rPr>
        <w:t xml:space="preserve">万元以下的为微型企业。</w:t>
      </w:r>
      <w:r/>
    </w:p>
    <w:p>
      <w:pPr>
        <w:pStyle w:val="1302"/>
        <w:numPr>
          <w:ilvl w:val="0"/>
          <w:numId w:val="0"/>
        </w:numPr>
        <w:ind w:left="0" w:firstLine="420"/>
        <w:keepLines w:val="0"/>
        <w:keepNext w:val="0"/>
        <w:pageBreakBefore w:val="0"/>
        <w:spacing w:line="336" w:lineRule="auto"/>
        <w:tabs>
          <w:tab w:val="clear" w:pos="42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（四）本项目的核心产品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加密智能考务网关-（考场）</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cs="宋体"/>
          <w:b w:val="0"/>
          <w:bCs w:val="0"/>
          <w:color w:val="auto"/>
          <w:sz w:val="24"/>
          <w:highlight w:val="none"/>
          <w:lang w:val="en-US" w:eastAsia="zh-CN"/>
        </w:rPr>
        <w:t xml:space="preserve">本项目总预算为人民币</w:t>
      </w:r>
      <w:r>
        <w:rPr>
          <w:rFonts w:hint="eastAsia" w:cs="宋体"/>
          <w:b w:val="0"/>
          <w:bCs w:val="0"/>
          <w:color w:val="auto"/>
          <w:sz w:val="24"/>
          <w:szCs w:val="24"/>
          <w:highlight w:val="none"/>
          <w:lang w:val="en-US" w:eastAsia="zh-CN"/>
        </w:rPr>
        <w:t xml:space="preserve">壹佰柒拾万元整</w:t>
      </w:r>
      <w:r>
        <w:rPr>
          <w:rFonts w:hint="eastAsia" w:ascii="宋体" w:hAnsi="宋体" w:eastAsia="宋体" w:cs="宋体"/>
          <w:b w:val="0"/>
          <w:bCs w:val="0"/>
          <w:color w:val="auto"/>
          <w:sz w:val="24"/>
          <w:szCs w:val="24"/>
          <w:highlight w:val="none"/>
          <w:lang w:val="en-US" w:eastAsia="zh-CN"/>
        </w:rPr>
        <w:t xml:space="preserve">（￥:</w:t>
      </w:r>
      <w:r>
        <w:rPr>
          <w:rFonts w:hint="eastAsia" w:cs="宋体"/>
          <w:b w:val="0"/>
          <w:bCs w:val="0"/>
          <w:color w:val="auto"/>
          <w:sz w:val="24"/>
          <w:szCs w:val="24"/>
          <w:highlight w:val="none"/>
          <w:lang w:val="en-US" w:eastAsia="zh-CN"/>
        </w:rPr>
        <w:t xml:space="preserve">170</w:t>
      </w:r>
      <w:r>
        <w:rPr>
          <w:rFonts w:hint="eastAsia" w:ascii="宋体" w:hAnsi="宋体" w:eastAsia="宋体" w:cs="宋体"/>
          <w:b w:val="0"/>
          <w:bCs w:val="0"/>
          <w:color w:val="auto"/>
          <w:sz w:val="24"/>
          <w:szCs w:val="24"/>
          <w:highlight w:val="none"/>
          <w:lang w:val="en-US" w:eastAsia="zh-CN"/>
        </w:rPr>
        <w:t xml:space="preserve">万元）</w:t>
      </w:r>
      <w:r>
        <w:rPr>
          <w:rFonts w:hint="eastAsia" w:ascii="宋体" w:hAnsi="宋体" w:eastAsia="宋体" w:cs="宋体"/>
          <w:b w:val="0"/>
          <w:bCs w:val="0"/>
          <w:color w:val="auto"/>
          <w:sz w:val="24"/>
          <w:szCs w:val="24"/>
          <w:highlight w:val="none"/>
          <w:lang w:val="en-US" w:eastAsia="zh-CN"/>
        </w:rPr>
        <w:t xml:space="preserve">。</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lang w:val="en-US" w:eastAsia="zh-CN"/>
        </w:rPr>
        <w:t xml:space="preserve">本项目最高限价：人民币</w:t>
      </w:r>
      <w:r>
        <w:rPr>
          <w:rFonts w:hint="eastAsia" w:cs="宋体"/>
          <w:b w:val="0"/>
          <w:bCs w:val="0"/>
          <w:color w:val="auto"/>
          <w:sz w:val="24"/>
          <w:szCs w:val="24"/>
          <w:highlight w:val="none"/>
          <w:lang w:val="en-US" w:eastAsia="zh-CN"/>
        </w:rPr>
        <w:t xml:space="preserve">壹佰柒拾万元整</w:t>
      </w:r>
      <w:r>
        <w:rPr>
          <w:rFonts w:hint="eastAsia" w:ascii="宋体" w:hAnsi="宋体" w:eastAsia="宋体" w:cs="宋体"/>
          <w:b w:val="0"/>
          <w:bCs w:val="0"/>
          <w:color w:val="auto"/>
          <w:sz w:val="24"/>
          <w:szCs w:val="24"/>
          <w:highlight w:val="none"/>
          <w:lang w:val="en-US" w:eastAsia="zh-CN"/>
        </w:rPr>
        <w:t xml:space="preserve">（￥:</w:t>
      </w:r>
      <w:r>
        <w:rPr>
          <w:rFonts w:hint="eastAsia" w:cs="宋体"/>
          <w:b w:val="0"/>
          <w:bCs w:val="0"/>
          <w:color w:val="auto"/>
          <w:sz w:val="24"/>
          <w:szCs w:val="24"/>
          <w:highlight w:val="none"/>
          <w:lang w:val="en-US" w:eastAsia="zh-CN"/>
        </w:rPr>
        <w:t xml:space="preserve">170</w:t>
      </w:r>
      <w:r>
        <w:rPr>
          <w:rFonts w:hint="eastAsia" w:ascii="宋体" w:hAnsi="宋体" w:eastAsia="宋体" w:cs="宋体"/>
          <w:b w:val="0"/>
          <w:bCs w:val="0"/>
          <w:color w:val="auto"/>
          <w:sz w:val="24"/>
          <w:szCs w:val="24"/>
          <w:highlight w:val="none"/>
          <w:lang w:val="en-US" w:eastAsia="zh-CN"/>
        </w:rPr>
        <w:t xml:space="preserve">万元）</w:t>
      </w:r>
      <w:r>
        <w:rPr>
          <w:rFonts w:hint="eastAsia" w:ascii="宋体" w:hAnsi="宋体" w:eastAsia="宋体" w:cs="宋体"/>
          <w:b w:val="0"/>
          <w:bCs w:val="0"/>
          <w:color w:val="auto"/>
          <w:sz w:val="24"/>
          <w:szCs w:val="24"/>
          <w:highlight w:val="none"/>
          <w:lang w:val="en-US" w:eastAsia="zh-CN"/>
        </w:rPr>
        <w:t xml:space="preserve">，如供应商总报价超过最高限价的，将被判定为无效响应文件。</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cs="宋体"/>
          <w:b w:val="0"/>
          <w:bCs w:val="0"/>
          <w:color w:val="auto"/>
          <w:sz w:val="24"/>
          <w:highlight w:val="none"/>
          <w:lang w:val="en-US" w:eastAsia="zh-CN"/>
        </w:rPr>
        <w:t xml:space="preserve">本项目不属于专门面向中小微企业采购的项目</w:t>
      </w:r>
      <w:r>
        <w:rPr>
          <w:rFonts w:hint="eastAsia" w:ascii="宋体" w:hAnsi="宋体" w:eastAsia="宋体" w:cs="宋体"/>
          <w:color w:val="auto"/>
          <w:sz w:val="24"/>
          <w:szCs w:val="24"/>
          <w:highlight w:val="none"/>
          <w:lang w:val="en-US" w:eastAsia="zh-CN"/>
        </w:rPr>
        <w:t xml:space="preserve">。</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lang w:eastAsia="zh-CN"/>
        </w:rPr>
        <w:t xml:space="preserve">本项目所有采购货物不接受进口产品。</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（九）本项目为交钥匙工程。</w:t>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sectPr>
          <w:footnotePr/>
          <w:endnotePr/>
          <w:type w:val="nextPage"/>
          <w:pgSz w:w="11906" w:h="16838" w:orient="portrait"/>
          <w:pgMar w:top="1440" w:right="1080" w:bottom="1440" w:left="1080" w:header="794" w:footer="992" w:gutter="0"/>
          <w:cols w:num="1" w:sep="0" w:space="720" w:equalWidth="1"/>
          <w:docGrid w:linePitch="360"/>
        </w:sectPr>
      </w:pPr>
      <w:r>
        <w:rPr>
          <w:rFonts w:hint="eastAsia" w:cs="宋体"/>
          <w:b/>
          <w:bCs/>
          <w:color w:val="auto"/>
          <w:sz w:val="21"/>
          <w:szCs w:val="21"/>
          <w:highlight w:val="none"/>
          <w:lang w:val="en-US" w:eastAsia="zh-CN"/>
        </w:rPr>
      </w:r>
      <w:r/>
    </w:p>
    <w:p>
      <w:pPr>
        <w:pStyle w:val="1302"/>
        <w:numPr>
          <w:ilvl w:val="0"/>
          <w:numId w:val="0"/>
        </w:numPr>
        <w:ind w:left="0" w:firstLine="422"/>
        <w:keepLines w:val="0"/>
        <w:keepNext w:val="0"/>
        <w:pageBreakBefore w:val="0"/>
        <w:spacing w:line="336" w:lineRule="auto"/>
        <w:tabs>
          <w:tab w:val="clear" w:pos="420" w:leader="none"/>
        </w:tabs>
        <w:rPr>
          <w:rFonts w:hint="default"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二、采购清单及技术参数要求</w:t>
      </w:r>
      <w:r/>
    </w:p>
    <w:tbl>
      <w:tblPr>
        <w:tblStyle w:val="1094"/>
        <w:tblW w:w="139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
        <w:gridCol w:w="2319"/>
        <w:gridCol w:w="7853"/>
        <w:gridCol w:w="930"/>
        <w:gridCol w:w="955"/>
        <w:gridCol w:w="986"/>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trHeight w:val="559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网上巡查管理软件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符合《国家教育考试网上巡查系统视频标准技术规范（2017版）》。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现监控点音视频点播、音视频流的双向解码、历史音视频流的检索与回放、对考生的人脸识别、对考场内异常轨迹的检测并发出警告、存储和备份、报警联动、切换、轮巡、设备控制等功能，对网上巡查系统的用户、权限、设备、安全等进行管理。管理SIP域，形成URI树，配置SIP注册服务器，并提供音视频存储、转发、Web等服务。提供二次开发接口，特别是与综合管理平台的接口以进行数据交互，允许第三方软件对其进行链接启动、嵌入管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1.业务层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一般来说，业务层可包括报警、网上巡查、视频资料的快速查找等方面的业务。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2.应用层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网上巡查系统管理平台的应用层是巡查中心完成各种系统功能和音视频流调度管理的核心控制系统，可以分为音视频流管理子层和系统管理子层。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音视频流管理子层可完成实时音视频流点播、实时音视频流的双向解码、历史音视频流检索和回放、设备控制、存储和备份、报警联动、音频自动检测等功能。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系统管理子层负责对网上巡查系统的用户和设备进行管理。功能如下：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 用户和权限管理：设定管辖范围内用户、组、角色的权限。用户管理可包括用户注册、用户查询、用户增加和删除、用户访问权限管理、用户锁定和解锁、用户分组管理、用户访问记录查看等功能；对系统的管理、视频浏览、前端设备控制、历史音视频资料的删除、复制、浏览等操作行为可设定权限，权限可被收回。</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b) 设备管理：软硬件资源的配置及查询；系统性能的实时监视；系统设备的故障告警监视、故障诊断及定位分析，报警日志的创建及维护；可对摄像头传输的图像进行自动检测并报警等。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 安全认证：验用户的访问权限和优先级，监测记录进行操作等； 安全认证：验用户的访问权限和优先级，监测记录进行操作等；验证接入设备的合法性，并注册。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d）智能巡查：可对图像中的人像进行识别；具有智能环境变化侦测；可自动跳转关键帧，方便回看。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▲e）运维模块：设备巡检时可以对音频存在的质量问题进行智能分析、判断和预警。（提供具有CMA标识或CNAS标识的国家权威机构出具的检测报告复印件并加盖厂家公章）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3.服务层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网上巡查系统管理平台的服务层是由不同功能的软件模块组成，为应用层和业务层提供服务。服务层可分为数据库服务、存储服务、视频转发服务、Web服务等。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a）数据库服务：应采用分布式数据库，存储设备和音视频流的索引信息、报警信息、用户资料和权限、系统运行日志，为数据和音视频流检索、身份认证和权限管理提供存储和检索服务。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b）存储服务：主要完成音视频数据的存储管理、数据备份。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视频转发服务：多个用户并发访问同一个音视频资源的情况下，为了减轻视频编码设备的压力和节约网络带宽，通过视频转发模块与视频编码设备建立单路连接，然后采用组播、分发或广播的方式将音视频流转发给用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d）Web服务：非专职管理用户可以以B/S方式登录系统、访问音视频流资源、控制前端设备等操作。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4.系统层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系统协议层包括数据定义、通信协议和音视频编解码协议等。</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SIP路由及媒体转发服务器</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1.符合《国家教育考试网上巡查系统视频标准技术规范（2017版）》技术要求、符合《公共安全视频监控联网信息安全技术要求》GB35114-2017技术要求。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2.支持标准SIP2.0,具有SIP地址解析、信令转发、流媒体的NAT穿越。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3.支持SIP URI统一命名规则、分级命名、联合定位。具有实现SIP URI组、用户、树形列表管理，SIP终端的接入认证功能，SIP终端访问呼叫过程控制功能，能对SIP终端远程访问权限控制。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4.具有建立SIP 路由器间的信任关系，多级注册功能，媒体流的汇聚功能。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5.具有2个1000M 或以上的以太网接口。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6.提供二次开发的软件接口。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▲7.嵌入式设备，支持国产LINUX操作系统安装，自主可控，国产品牌CPU，具有抗病毒和抗攻击能力。（提供具有CMA标识或CNAS标识的国家权威机构出具的检测报告复印件并加盖厂家公章）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▲8.应符合中华人民共和国密码行业标准的加密解密要求，内置符合国密SM1/SM2/SM3/SM4算法的密码芯片。（提供具有CMA标识或CNAS标识的国家权威机构出具的检测报告复印件并加盖厂家公章）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▲9.提供商用密码产品认证证书复印件并加盖厂家公章。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10.提供设备原厂质保承诺函并加盖厂家公章。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主要产品</w:t>
            </w:r>
            <w:r/>
          </w:p>
        </w:tc>
      </w:tr>
      <w:tr>
        <w:trPr>
          <w:trHeight w:val="476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标考网络流媒体存储平台(64路)</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1.符合《国家教育考试网上巡查系统视频标准技术规范（2017版）》技术要求、《公共安全视频监控联网信息安全技术要求》GB35114-2017标准。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2.支持网络64路1080P视频输入及IPC复合音频输入；支持8块8T容量的SATA 硬盘，可用于录像和备份。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3.设备应有数字时钟显示（OSD）功能。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录像功能应包括手动、定时、报警触发录像功能。应支持时间同步功能，支持网络时间协议（NTP）。设备应具有日志功能，并且提供日志启用／关闭／控制接口。日志可存储在本地设备，也可以存储在中心日志服务器上。当日志存储在本地时，日志内容应包括模块名称、时间、描述信息；当存储到中心时，应再加上详细的位置信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5.支持IP单播技术。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6.应具有可设定的点对点、点对多点传输能力；多通道设备应支持多点对一点或多点对多点的切换控制功能。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7.具有视频移动侦测能力，可根据设置策略实现相应的编码、传输、存储或视频报警。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8.在重要场所或特殊应用时，应具有设备认证功能、防篡改功能及加密传输能力。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▲9.产品内置SIP-UA。采用嵌入式架构，国产CPU，具备Linux操作系统，自主可控，具有抗病毒和抗攻击能力。（提供具有CMA标识或CNAS标识的国家权威机构出具的检测报告复印件并加盖厂家公章）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▲10.应符合中华人民共和国密码行业标准的加密解密要求，内置符合国密SM1/SM2/SM3/SM4算法的密码芯片。（提供具有CMA标识或CNAS标识的国家权威机构出具的检测报告复印件并加盖厂家公章）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11.为确保平台稳定性及兼容性，该项设备与SIP路由及媒体转发服务器使用同一品牌。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支持7*24小时工作、≥4T容量，7200转，垂直式硬盘。</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08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网络时钟终端</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1.外框尺寸：≥480MM*150MM*15MM。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2.显示方式：LED矩阵显示数码管。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3.显示内容：时、分、秒，其中秒可根据实际需要选择显示或不显示。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4.显示颜色：红色，可定制。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5.驱动电源：5V-12V DC电源供电或者POE供电。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6.显示面板：亚克力或深茶色透明亚克力，可定制。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同步时间源：支持SIP路由分发转发服务器（SIP服务器）为授时服务器（母钟服务器），可以与网上巡查系统管理平台无缝对接，互通、复用。同时支持GPS/北斗/NTP等，也支持与NTP授时服务器无缝对接，实现网络时间精准同步。（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8.接口和协议：具有≥1个RJ45 10M/100M自适应以太网口，⽀持TCP/IP协议，支持NTPv1、v2、v3、v4、SNTP等协议校时。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▲9.自检功能：支持开</w:t>
            </w:r>
            <w:r>
              <w:rPr>
                <w:rFonts w:hint="eastAsia" w:ascii="宋体" w:hAnsi="宋体" w:eastAsia="宋体" w:cs="宋体"/>
                <w:i w:val="0"/>
                <w:iCs w:val="0"/>
                <w:color w:val="auto"/>
                <w:sz w:val="22"/>
                <w:szCs w:val="22"/>
                <w:highlight w:val="none"/>
                <w:u w:val="none"/>
                <w:lang w:val="en-US" w:eastAsia="zh-CN" w:bidi="ar"/>
              </w:rPr>
              <w:t xml:space="preserve">机自检功能，开机后自动进行全部LED矩阵显示数码管的检测。支持实时自检功能，当检测到LED矩阵显示数码管有故障时，自动将故障信息上传至智能网络时钟系统管理平台，便于系统的管理与维护。支持离线计时，网络断开的情况下，时钟也能依靠内部计时进行正常工作。同步功能：具有主动同步功能，在外部时码驱动下，时间同步时差≤35us；支持自动消除累积误差，连续运行无累积误差，无校时信号自动切换到内部时钟状态。数据传送时间间隔≤2秒（可配置）。（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10.安装方式：支持壁挂方式安装和吊装方式安装。</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管理服务器（身份认证系统、作弊防控系统平台和网络时钟系统平台）</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2U机架式服务器  1颗 5380 16核心  2.5GHz 1*32GB DDR4内存 1*1.2TSAS 10K SAS 独立阵列卡 双口千兆网卡  2*550W电源</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78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高保真全向拾音器</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1.拾音范围：≥0-120㎡，专用电位器，有效距离可手动调节。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2.频率响应：20～20KHz。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3.指向性：高灵敏度全指向性电容咪头，咪头经过防潮技术处理，寿命更长。（提供具有CMA标识或CNAS标识的国家权威机构出具的检测报告复印件并加盖厂家公章）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4.信噪比：≥82dB（1 米 40dB 音源）45dB（10 米 40dB 音源）1 KHz at 1Pa。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5.动态范围：≥110dB (1kHz at Max dB SPL)。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6.最大承受音压：≥130dB SPL (1 KHz,THD 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7.输出信号幅度：2.5Vpp/-35dB。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信号处理电路：信号处理电路ALC自动电平控制，AGC自动增益控制，ATDA动态噪声电平检测，自适应带通滤波；自适应动态降噪处理单元，内置高速DSP数字信号处理器，提高性噪比及能减低因相位移动而形成的失真，DSP数字降噪，有效调节信号强度，防止语音信号失真及衰减；内置自动识别噪声模块，最大限度降低环境噪音。自动抑制高强度声音，可靠保护后端音频监控/监听设备；回声消除技术有效减少空旷房间的严重回音；（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9.结构设计：防潮防尘网设计。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10.连接方式：三条引线(电源、音频、公共地)。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11.传输距离：≥1000米。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12.输出阻抗：600欧姆非平衡。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具备微型主机，内置声场检测软件，自动校对声场参数，智能降噪。在声级为40dB(A)的噪声环境下，拾音器距发音人不小于7米处接收到的话音清晰，易于分辨;总谐波失真小于3%；等效噪声级小于36dB；可靠性指标：MTNF≧200000小时，MTTR≤1分钟。（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14.产品通过电源极性反接保护检验、静电放电抗扰度试验、射频电磁场辐射抗扰度试验。保护电路：30KV Air contact ESD雷击保护、电源极性反接保护、ESD静电防护。（提供具有CMA标识或CNAS标识的国家权威机构出具的检测报告复印件并加盖厂家公章）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15.电源电压：稳压电源DC 9V－12V。</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高清筒型网络摄像机(含支架)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1.符合《国家教育考试网上巡查系统视频标准技术规范（2017版）》技术要求、《公共安全视频监控联网信息安全技术要求》GB35114-2017标准。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2.图像传感器：1/2.7英寸 CMOS。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3.水平分辨率：≧1920*1080。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4.水平视角：33°～102°。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5.镜头：电动变焦镜头2.7mm~13.5mm。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6.支持H.264、H.265视频编码标准，图像分辨率应支持主码流1080P，子码流支持720P。支持G.711、AAC音频编码标准，并支持Transition Stream传输流和Program Stream系统流的封装。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7.视频输出：支持三码流同时输出。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8.红外照射：红外照射距离可达80米。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9.支持走廊模式，宽动态，3D降噪，背光补偿、支持日夜转换。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10.网络接口：10M/100M网口。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11.电源：DC 12V 稳压电源供电。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12.外壳防暴力破坏。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13.为确保平台稳定性及兼容性，该项设备与SIP路由及媒体转发服务器使用同一品牌。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64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高清智能半球摄像机(含支架)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1.符合《国家教育考试网上巡查系统视频标准技术规范（2017版）》技术要求、《公共安全视频监控联网信息安全技术要求》GB35114-2017标准。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2.图像传感器：1/2.7 英寸CMOS。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3.水平分辨率：1920*1080。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4.水平视角：水平视场角视场角≥100°。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5.最低照度：0.01Lux（F1.2）。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6.高清升级支持H.264、H.265视频编码标准，图像分辨率应支持主码流1080P，子码流支持720P。支持G.711、A</w:t>
            </w:r>
            <w:r>
              <w:rPr>
                <w:rFonts w:hint="eastAsia" w:ascii="宋体" w:hAnsi="宋体" w:eastAsia="宋体" w:cs="宋体"/>
                <w:i w:val="0"/>
                <w:iCs w:val="0"/>
                <w:color w:val="auto"/>
                <w:sz w:val="22"/>
                <w:szCs w:val="22"/>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7.镜头：2.8mm定焦镜头。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8.红外照射：红外照射距离可达10-30米。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9.自动背光补偿、自动跟踪白平衡、支持日夜转换。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10.视频输出：10/100M以太网接口(RJ45 接口)。可通过三个IE浏览器分别同时浏览主码流、子码流、第三码流的视频图像。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11.电源：DC 12V 稳压电源供电。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12.外壳防暴力破坏。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13.产品内置SIP-UA。（提供具有CMA标识或CNAS标识的国家权威机构出具的检测报告复印件并加盖厂家公章）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▲14.应符合中华人民共和国密码行业标准的加密解密要求，内置符合国密SM1/SM2/SM3/SM4算法的密码芯片。（提供具有CMA标识或CNAS标识的国家权威机构出具的检测报告复印件并加盖厂家公章）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15.为确保平台稳定性及兼容性，该项设备与SIP路由及媒体转发服务器使用同一品牌。</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内存卡</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作弊防控管理平台（含加密狗）</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1.设备状态监控及自检：管理子系统可以对系统内添加的设备运行状态进行远程实时监控，并显示设备自检返回信息。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2.关键操作日志储存：管理子系统可以对关键操作及控制进行日志储存，方便后期查询。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3.设备分组管理：管理子系统支持多台设备的分组管理，实现不同教学楼分组开关控制。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4.应用展示：可直接查看区域内的所有屏蔽终端的实时在线状态及工作情况，可根据条件快速搜索设备相关情况。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设备控制管理：发送控制指令对阻断设备进行管理，可控制阻断设备的启动和关闭、各功能模块启动和关闭，能够远程进行设备参数设定和作弊信号库更新等；可实时监控设备的运行状态，对出现问题的设备，能够及时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6.远程管理：能对本地所有的终端设备进行集中调试、查看和管理，支持远程授权控制，支持对系统设备进行查询、增加、删除、远程开关、固件升级等操作；可按照实际考场管理方式对设备进行远程管理。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7.信息查询：可实现对系统设备的IP地址、工作状态、教室位置、分组情况、在线状态、MAC地址、版本等信息的查询和管理。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375"/>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屏蔽终端</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1.可靠性安全性要求：内置定向天线阵列设计，具有网络接口。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2.标准考场空间内(6m×9m)，信号强度≤-50dBm 时，室内通透环境下，视周边基站远近，可有效屏蔽频率范围内全频段信号；支持手机固定频段进行全时阻断，包含电信、移动、联通、广电四大运营商的全部2G、3G、4G、5G手机信号。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发射功率：2500MHz以下工作频段的等效全向辐射功率检测结果≤33dBm的限值，2500MHz以上工作频段的等效全向辐射功率检测结果≤35dBm的限值。频率容限：不同工作频段中典型工作频率的检测结果不超过≤20×10⁻⁶的限值。占用带宽：不同工作频段占用带宽的检测结果不超过限值。（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4.屏蔽通道独立控制：阻断子模块各屏蔽通道可独立控制，可以有选择的打开及关闭任意屏蔽通道。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5.符合GB3096-2008《声环境质量标准》中0类环境要求。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6.采用嵌入式架构，支持国产操作系统或LINUX实时开源操作系统，使用国产嵌入式CPU，自主可控，具有抗病毒和抗攻击能力。（提供具有CMA标识或CNAS标识的国家权威机构出具的检测报告复印件并加盖厂家公章）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7.采用符合国家CCC标准的开关电源供电，配有精密的稳压电路。（提供具有CMA标识或CNAS标识的国家权威机构出具的检测报告复印件并加盖厂家公章）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▲8.应符合中华人民共和国密码行业标准的加密解密要求，内置符合国密SM1/SM2/SM3/SM4算法的加密芯片。（提供具有CMA标识或CNAS标识的国家权威机构出具的检测报告复印件并加盖厂家公章）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366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身份认证系统管理平台</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1.支持标准Web Service接口，可通过浏览器页面进行系统管理工作，适用于教育、人事、公务员考试等多种考试类型。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2.支持对考生信息进行考生信息导入、数据包管理、核验统计、历史数据查询等。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3.考生信息对查看考生信息和生物特征的采集结果。可以通过列表和缩略图两种形式展示。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4.管理核验终端设备，包括增加，删除，修改和查询。系统中应保存核验设备的硬件序列号。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5.核验终端升级管理：由平台统一管理核验终端的升级。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6.考试管理模式分为考试计划管理、考点管理、考试场次管理、考试类型。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7.系统具备密码登录、用户权限设置功能。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8.平台数据进行加密处理，保证数据安全。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9.系统平台具有严格的安全策略，完全能够防范黑客的入侵，诸如SQL注入、XSS、 CRSF等攻击方式，有效保证数据的安全性和完整性。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10.支持从平台获取考试计划并将考试信息下发到终端，可以通过网络直接推送给核验终端，也可以导出压缩包，通过U盘导入到核验终端中。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加密智能考务网关（校级）</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嵌入式架构，具备实时开源Linux操作系统，使用国产品牌嵌入式CPU，自主可控，具有抗病毒和抗攻击能力。内置符合国密SM1/SM2/SM3/SM4)算法的安全加密芯片。（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2.RAM≥512M，ROM≥4G。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3.以太网控制器：1个10M/100M自适应以太网接口。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▲4.≥2个USB接口(支持USB 2.0及以上标准),采用USB接口与移动考务终端相连传输数据，接口标准为TYPE-C。终端设备可以通过USB进行充电。（提供具有CMA标识或CNAS标识的国家权威机构出具的检测报告复印件并加盖厂家公章）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5.具备复位按钮，可通过软件控制系统初始化。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6.具备2个LED面光源补光组件（非点光源），可通过软件调整亮度，满足《ISO/IEC 19794-5:2005 FDAM 1》拍摄人脸图像数据的条件中关于补光设备的要求。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▲7.支持RemoteNDIS网络共享，为移动终端提供直连平台网络。（提供具有CMA标识或CNAS标识的国家权威机构出具的检测报告复印件并加盖厂家公章）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8.状态指示灯：支持电源、WIFI、网络、USB接口状态指示。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9.电源：支持POE供电或支持直流供电。</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205"/>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加密智能考务网关-（考场）</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嵌入式架构，具备实时开源Linux操作系统，使用国产品牌嵌入式CPU，自主可控，具有抗病毒和抗攻击能力。内置符合国密SM1/SM2/SM3/SM4)算法的安全加密芯片。（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2.以太网控制器：1个10M/100M自适应以太网接口。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▲3.支持FTP、MQTT、HTTP、USB等通信协议。通过MQTT、HTTP协议从标准化考场事务处理系统获取考试计划、业务数据包等。（提供具有CMA标识或CNAS标识的国家权威机构出具的检测报告复印件并加盖厂家公章）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持与标准化考场事务处理专项系统互联互通，实现设备统一管理、监控，统一使用，实现各考试业务数据的上传、下载等功能。（提供具有CMA标识或CNAS标识的国家权威机构出具的检测报告复印件并加盖厂家公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5.支持RemoteNDIS网络共享，为移动终端提供直连平台网络。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6.电源：支持POE供电或支持直流供电。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7.考前网络正常时自动下载考生身份数据、密传密存、即插即用，免去考前为身份终端集中下载数据的工作量。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8.具有业务功能接口，为身份核验终端提供即插即用的充电功能，免去考前为身份核验终端集中充电的工作量。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9.安装简单且不易对学生造成伤害。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10.提供设备原厂质保承诺函并加盖厂家公章。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核心产品</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移动考务平板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（8寸含身份验证模块）</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1.支持人脸识别验证，无线功能等。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2.尺寸≥8寸，支持触摸交换模式。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3.内置人脸比对算法，自带光感模块，可根据外部环境亮度自动调节屏幕亮度。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5.支持终端状态展示，监测考生数据下发情况。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6.支持考生数据下发、接收。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7.考试期间支持考生核验数据实时上传至上级平台。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8.考试期间支持实时上传考生缺考情况。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9.支持扩展其它考试业务，如违纪违规上报、监考员签到等。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10.支持扩展考场视频实时预览功能。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11.支持时间同步服务器，确保软硬件时间同步，并支持对终端时间校验。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12.支持扩展应急指挥、即时通讯功能。</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网络时钟系统平台</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1.可实现专业化资产管理，分组管理，分区管理，便于单台管理、控制和分区、分组群管、群控。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2.为保证对网络时钟的精细化管理，可实现实时监控，如功能状态、在线状态、时间信息、离线状态、统一显示智能网络时钟的实际时间信息等。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3.可实现显示亮度、实时显示、闪烁显示的调节。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4.可实现NTP授时功能、NTP同步功能、NTP参数批量设置功能。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5.⽀持TCP/IP协议。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6.支持对所有网络时钟数码管进行检测，以便实现数码管故障报警，达到精确定位故障数码管的目的。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7.支持用户管理功能和用户权限管理功能，权限配置支持指定的管理页面，恢复权限划分。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8.支持日志记录，记录用户的操作信息，支持日志查询功能，支持日志实时上传，便于查询。</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手机储存柜</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按需定制。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55寸液晶电视。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配置不低于CPU≥I7，内存≥16G，硬盘≥1T，显示器≥23.8寸，含键盘、鼠标。</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万兆三层管理交换机,171Mpps/256Mpps,交换容量 672Gbps/6.72Tbps,24个千兆光口,其中8个GE combo口,4个万兆光口,VLAN:4K,MAC:32K,19英寸1U标准机架,金属外壳,挂耳默认自带。</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固定端口≥24个，10/100/1000Mbps自适应以太网端口。</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固定端口≥8个，10/100/1000Mbps自适应以太网端口。</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光模块-eSFP-GE-单模模块(1310nm,LC)</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光模块-SFP+-10G-单模模块(1310nm,LC)</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10Kva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12V100AH</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电池柜/配电箱</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壁挂多媒体金属箱</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壁挂多媒体金属箱</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国标5孔位插排</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5孔插座及86盒</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YJV 3*6.0mm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RVV 2*4mm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RVV 2*1.5mm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RVV 3*1.5mm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RVVP 2*0.75mm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42U</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3.5米、含基础、防水箱</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12芯/24芯</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ODF架</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96芯</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ODF盘</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超五类非屏蔽线缆。</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电路</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学校至县招办线路带宽速率≥1G，睢宁招办至市招办线路带宽速率≥10G。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系统集成及运维保障服务</w:t>
            </w:r>
            <w:r/>
          </w:p>
        </w:tc>
        <w:tc>
          <w:tcPr>
            <w:shd w:val="clear" w:color="auto" w:fill="auto"/>
            <w:tcBorders>
              <w:top w:val="single" w:color="000000" w:sz="4" w:space="0"/>
              <w:left w:val="single" w:color="000000" w:sz="4" w:space="0"/>
              <w:bottom w:val="single" w:color="000000" w:sz="4" w:space="0"/>
              <w:right w:val="single" w:color="000000" w:sz="4" w:space="0"/>
            </w:tcBorders>
            <w:tcW w:w="78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1、标签、水晶头、跳线、熔纤、PVC线管、金属软管、线槽、防水扎带、等所有项目相关辅材。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2、设备、平台、辅材等安装调试。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3、质保期内提供国家教育类考试驻场服务保障（人数不少于3人）。</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pStyle w:val="1302"/>
        <w:numPr>
          <w:ilvl w:val="0"/>
          <w:numId w:val="0"/>
        </w:numPr>
        <w:ind w:left="0" w:firstLine="422"/>
        <w:keepLines w:val="0"/>
        <w:keepNext w:val="0"/>
        <w:pageBreakBefore w:val="0"/>
        <w:spacing w:line="336" w:lineRule="auto"/>
        <w:tabs>
          <w:tab w:val="clear" w:pos="420" w:leader="none"/>
        </w:tabs>
        <w:rPr>
          <w:rFonts w:hint="eastAsia" w:cs="宋体"/>
          <w:b/>
          <w:bCs/>
          <w:color w:val="auto"/>
          <w:sz w:val="21"/>
          <w:szCs w:val="21"/>
          <w:highlight w:val="none"/>
          <w:lang w:val="en-US" w:eastAsia="zh-CN"/>
        </w:rPr>
        <w:sectPr>
          <w:headerReference w:type="default" r:id="rId12"/>
          <w:footnotePr/>
          <w:endnotePr/>
          <w:type w:val="nextPage"/>
          <w:pgSz w:w="16838" w:h="11906" w:orient="landscape"/>
          <w:pgMar w:top="1080" w:right="1440" w:bottom="1080" w:left="1440" w:header="567" w:footer="992" w:gutter="0"/>
          <w:cols w:num="1" w:sep="0" w:space="720" w:equalWidth="1"/>
          <w:docGrid w:linePitch="360"/>
        </w:sectPr>
      </w:pPr>
      <w:r>
        <w:rPr>
          <w:rFonts w:hint="eastAsia" w:cs="宋体"/>
          <w:b/>
          <w:bCs/>
          <w:color w:val="auto"/>
          <w:sz w:val="21"/>
          <w:szCs w:val="21"/>
          <w:highlight w:val="none"/>
          <w:lang w:val="en-US" w:eastAsia="zh-CN"/>
        </w:rPr>
      </w:r>
      <w:r/>
    </w:p>
    <w:p>
      <w:pPr>
        <w:contextualSpacing/>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三、项目概况及采购范围</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江苏省睢宁高级中学新校区标准化考场项目，项目地址位于江苏省睢宁高级中学新校区。中标方负责对所采购项目的供货、运输、安装、调试、配合采购人验收、售后及质保和维保等全套服务。</w:t>
      </w:r>
      <w:r/>
    </w:p>
    <w:p>
      <w:pPr>
        <w:contextualSpacing/>
        <w:keepLines w:val="0"/>
        <w:keepNext w:val="0"/>
        <w:pageBreakBefore w:val="0"/>
        <w:spacing w:line="360" w:lineRule="auto"/>
        <w:widowControl w:val="off"/>
        <w:tabs>
          <w:tab w:val="left" w:pos="0" w:leader="none"/>
        </w:tabs>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四、项目实施要求</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该项目建设要求在签订合同后30日内，中标方负责完成指定地点的送货、设备安装以及调试，进入试运行状态，三个月试运行完毕并进行最终调试并申请验收；安装后须提交完整的系统文档，包括设备配置、设置文档、维保手册、使用说明等（电子、纸质各一套）。</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2.中标方应允许采购方的工作人员及运维人员自实施工作开始即参与本项目的需求分析、详细设计、测试、安装调试等工作并在实施方案中提出协同工作计划。</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3.本项目所投产品使用软件授权终身使用及升级，费用包含在投标总价中。</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4.设备清单提及的所有硬件都须安装到位，所有连接线标签清晰。</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5.中标方有责任检查安装现场是否符合产品安装条件。</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6.中标方须完成招标设备清单中提及的所有软硬件的上电检测、安装、调试及整体的系统集成工作，并须在项目实施前提交集成方案及相应调试合格报告给采购方确认。</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7.中标方须提供所有设备安装连接所必须的配件、线缆及辅材，全部配件、线缆及辅材产品质量必须符合国家行业规范要求，必须为原厂全新合格产品，须提供产品合格证，如产品为国家强制性产品，必须提供国家强制性产品认证证书及相关有效证明文件。所有入场的产品货物须经采购人检验合格后，方可使用。 </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8.产品实施过程中，如果牵涉与其他第三方产品集成工作，中标方应与其他供应商通力合作，并提供必要的技术支持。</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9.中标方应服从采购方的管理，保证产品及人身安全，只能在项目实施现场操作，不得进入采购方其他场所，不得损坏财物，如有损失由中标方照价赔偿。</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10.安装调试工作完成后，中标方应提供咨询与全面技术支持，及时将其发现并掌握的有关设备的操作、故障检测、故障排除方法及一些新的技术发展通知采购方，并免费进行升级。</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11.投标人应保证所提供设备涉及的知识产权和所提供的软件、技术资料是合法取得，并享有完整的知识产权，不会因为采购方的使用而被第三方责令停止使用、追偿或要求赔偿损失，如出现此情况，一切经济和法律责任均由投标人承担。</w:t>
      </w:r>
      <w:r/>
    </w:p>
    <w:p>
      <w:pPr>
        <w:contextualSpacing/>
        <w:ind w:firstLine="480"/>
        <w:keepLines w:val="0"/>
        <w:keepNext w:val="0"/>
        <w:pageBreakBefore w:val="0"/>
        <w:spacing w:line="360" w:lineRule="auto"/>
        <w:widowControl w:val="off"/>
        <w:tabs>
          <w:tab w:val="left" w:pos="0" w:leader="none"/>
        </w:tabs>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12.严格遵循安全操作规程，按照《中华人民共和国劳动法》规范用工，并加强人员安全教育，加强实施现场安全保护，杜绝安全事故发生。如实施过程中发生安全事故，中标方须承担一切责任。</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highlight w:val="none"/>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（二）安全管理方案</w:t>
      </w:r>
      <w:r/>
    </w:p>
    <w:p>
      <w:pPr>
        <w:ind w:firstLine="480"/>
        <w:keepLines w:val="0"/>
        <w:keepNext w:val="0"/>
        <w:pageBreakBefore w:val="0"/>
        <w:spacing w:line="360" w:lineRule="auto"/>
        <w:widowControl w:val="off"/>
        <w:tabs>
          <w:tab w:val="left" w:pos="0" w:leader="none"/>
        </w:tabs>
        <w:rPr>
          <w:rFonts w:hint="default"/>
          <w:color w:val="auto"/>
          <w:highlight w:val="none"/>
          <w:lang w:val="en-US" w:eastAsia="zh-CN"/>
        </w:rPr>
      </w:pPr>
      <w:r>
        <w:rPr>
          <w:rFonts w:hint="default" w:ascii="宋体" w:hAnsi="宋体" w:eastAsia="宋体" w:cs="宋体"/>
          <w:color w:val="auto"/>
          <w:sz w:val="24"/>
          <w:highlight w:val="none"/>
          <w:lang w:val="en-US" w:eastAsia="zh-CN"/>
        </w:rPr>
        <w:t xml:space="preserve">为全面保障标准化考场设备、网络、数据及场地运行安全，规避各类环境风险、网络风险及突发故障风险，配套完善的专项安全管理方案，具体包含网络与数据安全、物理环境安全、应急供电安全三大板块，涵盖防火、防雷、防电磁干扰、防静电、防水灾、网络防护、数据安全、紧急供电等全套保障内容</w:t>
      </w:r>
      <w:r>
        <w:rPr>
          <w:rFonts w:hint="eastAsia" w:ascii="宋体" w:hAnsi="宋体" w:eastAsia="宋体" w:cs="宋体"/>
          <w:color w:val="auto"/>
          <w:sz w:val="24"/>
          <w:highlight w:val="none"/>
          <w:lang w:val="en-US" w:eastAsia="zh-CN"/>
        </w:rPr>
        <w:t xml:space="preserve">。</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none"/>
          <w:lang w:val="en-US" w:eastAsia="zh-CN"/>
        </w:rPr>
        <w:t xml:space="preserve">不少于3</w:t>
      </w:r>
      <w:r>
        <w:rPr>
          <w:rFonts w:hint="eastAsia" w:ascii="宋体" w:hAnsi="宋体" w:eastAsia="宋体" w:cs="宋体"/>
          <w:b/>
          <w:bCs/>
          <w:color w:val="auto"/>
          <w:sz w:val="24"/>
          <w:highlight w:val="none"/>
          <w:u w:val="none"/>
        </w:rPr>
        <w:t xml:space="preserve">年</w:t>
      </w:r>
      <w:r>
        <w:rPr>
          <w:rFonts w:hint="eastAsia" w:ascii="宋体" w:hAnsi="宋体" w:eastAsia="宋体" w:cs="宋体"/>
          <w:b/>
          <w:bCs/>
          <w:color w:val="auto"/>
          <w:sz w:val="24"/>
          <w:highlight w:val="none"/>
        </w:rPr>
        <w:t xml:space="preserve">的免费质保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采购需求中特别约定的以采购需求要求的为准）</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说明：“</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质保期要求”为不允许负偏离的实质性要求和条件，如有负偏离，在符合性审查时按照投标无效处理。</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质保期内，卖方（中标人）应在接到报修电话2小时内做出响应，24小时内赶到现场进行更换或免费维修，费用由卖方（中标人）负责。为保证产品的正常运行，配置充足的专业工具和备品备件确保在</w:t>
      </w:r>
      <w:r>
        <w:rPr>
          <w:rFonts w:hint="eastAsia" w:ascii="宋体" w:hAnsi="宋体" w:eastAsia="宋体" w:cs="宋体"/>
          <w:color w:val="auto"/>
          <w:sz w:val="24"/>
          <w:highlight w:val="none"/>
        </w:rPr>
        <w:t xml:space="preserve">最短时间内响应用户产品的及时之需。</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所有更换的零件材料，品质纯正，保证均按原厂标准生产。对提供货物实行“三包”的说明：包修：</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质保期后的服务要求：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设立售后服务热线，以便采购单位随时咨询问题和提交维修申请。对于出现故障或损坏的</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，提供专业人员进行现场维修。质保期过后，无工程师上门费，维修仅收配件费用。如果需要特殊配件，为采购单位提供订购渠道和相关指导。质保期后提供终身免费维修服务，更换零配件只收取成本费。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培训及</w:t>
      </w:r>
      <w:r>
        <w:rPr>
          <w:rFonts w:hint="eastAsia" w:ascii="宋体" w:hAnsi="宋体" w:eastAsia="宋体" w:cs="宋体"/>
          <w:color w:val="auto"/>
          <w:sz w:val="24"/>
          <w:highlight w:val="none"/>
        </w:rPr>
        <w:t xml:space="preserve">服务保障措施要求：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专门成立售后服务小组，指定售后服务具体负责人。制定故障报修的响应时间和故障解决方案。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定期对员工进行培训，不断提高员工服务水平。定期对采购人进行回访。</w:t>
      </w:r>
      <w:r>
        <w:rPr>
          <w:rFonts w:hint="eastAsia" w:ascii="宋体" w:hAnsi="宋体" w:cs="宋体"/>
          <w:color w:val="auto"/>
          <w:sz w:val="24"/>
          <w:highlight w:val="none"/>
          <w:lang w:val="en-US" w:eastAsia="zh-CN"/>
        </w:rPr>
        <w:t xml:space="preserve">对采购单位相关人员提供免费培训。中标人免费提供相关培训和产品的相关资料等，并配备相应的操作流程、注意事项及保养方法。</w:t>
      </w:r>
      <w:r/>
    </w:p>
    <w:p>
      <w:pPr>
        <w:pStyle w:val="1302"/>
        <w:numPr>
          <w:ilvl w:val="0"/>
          <w:numId w:val="0"/>
        </w:numPr>
        <w:ind w:left="0" w:firstLine="422"/>
        <w:keepLines w:val="0"/>
        <w:keepNext w:val="0"/>
        <w:pageBreakBefore w:val="0"/>
        <w:spacing w:line="336" w:lineRule="auto"/>
        <w:tabs>
          <w:tab w:val="clear"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02"/>
        <w:numPr>
          <w:ilvl w:val="0"/>
          <w:numId w:val="0"/>
        </w:numPr>
        <w:ind w:left="0" w:firstLine="422"/>
        <w:keepLines w:val="0"/>
        <w:keepNext w:val="0"/>
        <w:pageBreakBefore w:val="0"/>
        <w:spacing w:line="336" w:lineRule="auto"/>
        <w:tabs>
          <w:tab w:val="clear" w:pos="420" w:leader="none"/>
        </w:tabs>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w:t>
      </w:r>
      <w:r>
        <w:rPr>
          <w:rFonts w:ascii="宋体" w:hAnsi="宋体" w:eastAsia="宋体" w:cs="宋体"/>
          <w:b/>
          <w:bCs/>
          <w:color w:val="auto"/>
          <w:sz w:val="21"/>
          <w:szCs w:val="21"/>
          <w:highlight w:val="none"/>
        </w:rPr>
        <w:t xml:space="preserve">、其他要求</w:t>
      </w:r>
      <w:r/>
    </w:p>
    <w:p>
      <w:pPr>
        <w:pStyle w:val="1302"/>
        <w:numPr>
          <w:ilvl w:val="0"/>
          <w:numId w:val="0"/>
        </w:numPr>
        <w:ind w:left="0" w:firstLine="420"/>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1、验收合格并不免除在质保期内中标人应负的责任。</w:t>
      </w:r>
      <w:r/>
    </w:p>
    <w:p>
      <w:pPr>
        <w:pStyle w:val="1302"/>
        <w:numPr>
          <w:ilvl w:val="0"/>
          <w:numId w:val="0"/>
        </w:numPr>
        <w:ind w:left="0" w:firstLine="420"/>
        <w:keepLines w:val="0"/>
        <w:keepNext w:val="0"/>
        <w:pageBreakBefore w:val="0"/>
        <w:spacing w:line="336" w:lineRule="auto"/>
        <w:tabs>
          <w:tab w:val="clear" w:pos="420" w:leader="none"/>
        </w:tabs>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2、其它要求见招标文件《拟签订的合同文本》。</w:t>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7"/>
        <w:rPr>
          <w:rFonts w:hint="eastAsia"/>
          <w:color w:val="auto"/>
          <w:highlight w:val="none"/>
        </w:rPr>
        <w:outlineLvl w:val="9"/>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color w:val="auto"/>
          <w:highlight w:val="none"/>
        </w:rPr>
        <w:outlineLvl w:val="0"/>
      </w:pPr>
      <w:r/>
      <w:bookmarkStart w:id="11" w:name="_Toc1209"/>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1"/>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江苏省睢宁高级中学新校区标准化考场项目</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JSZC-320324-JSKJ-G2026-0020</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江苏省睢宁高级中学</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spacing w:line="312" w:lineRule="auto"/>
        <w:rPr>
          <w:rFonts w:hint="eastAsia" w:ascii="宋体" w:hAnsi="宋体" w:cs="宋体"/>
          <w:color w:val="auto"/>
          <w:sz w:val="24"/>
          <w:highlight w:val="none"/>
        </w:rPr>
        <w:sectPr>
          <w:headerReference w:type="default" r:id="rId13"/>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color w:val="auto"/>
          <w:sz w:val="24"/>
          <w:highlight w:val="none"/>
        </w:rPr>
      </w:r>
      <w:r/>
    </w:p>
    <w:p>
      <w:pPr>
        <w:ind w:firstLine="480"/>
        <w:jc w:val="center"/>
        <w:spacing w:line="5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合同通用条款</w:t>
      </w:r>
      <w:r/>
    </w:p>
    <w:p>
      <w:pPr>
        <w:ind w:firstLine="480"/>
        <w:jc w:val="center"/>
        <w:spacing w:line="5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jc w:val="center"/>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ind w:firstLine="560"/>
        <w:spacing w:line="5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包装和标记</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540"/>
        <w:spacing w:line="312" w:lineRule="auto"/>
        <w:rPr>
          <w:rStyle w:val="1296"/>
          <w:rFonts w:ascii="宋体" w:hAnsi="宋体" w:cs="宋体"/>
          <w:color w:val="auto"/>
          <w:sz w:val="28"/>
          <w:szCs w:val="28"/>
          <w:highlight w:val="none"/>
        </w:rPr>
      </w:pPr>
      <w:r>
        <w:rPr>
          <w:rFonts w:ascii="宋体" w:hAnsi="宋体" w:cs="宋体"/>
          <w:color w:val="auto"/>
          <w:sz w:val="28"/>
          <w:szCs w:val="28"/>
          <w:highlight w:val="none"/>
        </w:rPr>
      </w:r>
      <w:r/>
    </w:p>
    <w:p>
      <w:pPr>
        <w:pStyle w:val="1305"/>
        <w:ind w:firstLine="562"/>
        <w:rPr>
          <w:rStyle w:val="1296"/>
          <w:rFonts w:ascii="宋体" w:hAnsi="宋体" w:cs="宋体"/>
          <w:b/>
          <w:color w:val="auto"/>
          <w:sz w:val="28"/>
          <w:szCs w:val="28"/>
          <w:highlight w:val="none"/>
        </w:rPr>
      </w:pPr>
      <w:r>
        <w:rPr>
          <w:rFonts w:ascii="宋体" w:hAnsi="宋体" w:cs="宋体"/>
          <w:b/>
          <w:color w:val="auto"/>
          <w:sz w:val="28"/>
          <w:szCs w:val="28"/>
          <w:highlight w:val="none"/>
        </w:rPr>
      </w:r>
      <w:r/>
    </w:p>
    <w:p>
      <w:pPr>
        <w:pStyle w:val="1305"/>
        <w:ind w:firstLine="562"/>
        <w:rPr>
          <w:rStyle w:val="1296"/>
          <w:rFonts w:ascii="宋体" w:hAnsi="宋体" w:cs="宋体"/>
          <w:b/>
          <w:color w:val="auto"/>
          <w:sz w:val="28"/>
          <w:szCs w:val="28"/>
          <w:highlight w:val="none"/>
        </w:rPr>
      </w:pPr>
      <w:r>
        <w:rPr>
          <w:rFonts w:ascii="宋体" w:hAnsi="宋体" w:cs="宋体"/>
          <w:b/>
          <w:color w:val="auto"/>
          <w:sz w:val="28"/>
          <w:szCs w:val="28"/>
          <w:highlight w:val="none"/>
        </w:rPr>
      </w:r>
      <w:r/>
    </w:p>
    <w:p>
      <w:pPr>
        <w:pStyle w:val="1305"/>
        <w:ind w:left="0" w:firstLine="560"/>
        <w:rPr>
          <w:rStyle w:val="1296"/>
          <w:rFonts w:ascii="宋体" w:hAnsi="宋体" w:cs="宋体"/>
          <w:bCs/>
          <w:color w:val="auto"/>
          <w:sz w:val="28"/>
          <w:szCs w:val="28"/>
          <w:highlight w:val="none"/>
        </w:rPr>
        <w:sectPr>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ind w:firstLine="48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42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1.13“日”是指日历天数。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1.14“月”是指日历月数。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2.2数量：见招标文件</w:t>
      </w:r>
      <w:r>
        <w:rPr>
          <w:rFonts w:hint="eastAsia" w:ascii="宋体" w:hAnsi="宋体" w:cs="宋体"/>
          <w:color w:val="auto"/>
          <w:sz w:val="24"/>
          <w:highlight w:val="none"/>
          <w:lang w:eastAsia="zh-CN"/>
        </w:rPr>
        <w:t xml:space="preserve">第五章《采购需求》</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5.2交货地点见《合同专用条款》。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第六条 包装与标记</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装箱明细单；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质量合格证；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拒收合同标的。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第十五条 适用法律</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第十六条  权利保证</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第十七条  保密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pStyle w:val="1305"/>
        <w:ind w:left="0" w:right="0" w:firstLine="420"/>
        <w:spacing w:line="360" w:lineRule="auto"/>
        <w:rPr>
          <w:rStyle w:val="1296"/>
          <w:rFonts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合同专用条款</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第一条 定义</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 “买方”为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 “卖方”为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 “工作现场”为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1.10 “合同货币”即</w:t>
      </w:r>
      <w:r>
        <w:rPr>
          <w:rFonts w:hint="eastAsia" w:ascii="宋体" w:hAnsi="宋体" w:cs="宋体"/>
          <w:color w:val="auto"/>
          <w:sz w:val="24"/>
          <w:highlight w:val="none"/>
          <w:u w:val="single"/>
        </w:rPr>
        <w:t xml:space="preserve">人民币</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第二条 合同范围</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2.1买方同意从卖方购买、卖方同意向买方出售的合同标的是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。详见合同附件。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第三条 价格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3.1合同总价为￥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3.2报价包括但不限于产品价、税金、运费、安装调试、检验、验收、售后服务、投标人的利润等全部费用</w:t>
      </w:r>
      <w:r>
        <w:rPr>
          <w:rFonts w:hint="eastAsia" w:ascii="宋体" w:hAnsi="宋体" w:cs="宋体"/>
          <w:bCs/>
          <w:color w:val="auto"/>
          <w:sz w:val="24"/>
          <w:highlight w:val="none"/>
        </w:rPr>
        <w:t xml:space="preserve">。采购人不再支付报价以外的任何费用</w:t>
      </w:r>
      <w:r>
        <w:rPr>
          <w:rFonts w:hint="eastAsia" w:ascii="宋体" w:hAnsi="宋体" w:cs="宋体"/>
          <w:color w:val="auto"/>
          <w:sz w:val="24"/>
          <w:highlight w:val="non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第四条 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non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买方签署验收合格报告。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户名：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账号：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第五条 交货</w:t>
      </w:r>
      <w:r/>
    </w:p>
    <w:p>
      <w:pPr>
        <w:ind w:firstLine="42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5.1卖方应于合同生效后，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日内交货并安装调试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5.2 交货地点为</w:t>
      </w:r>
      <w:r>
        <w:rPr>
          <w:rFonts w:hint="eastAsia" w:ascii="宋体" w:hAnsi="宋体" w:cs="宋体"/>
          <w:color w:val="auto"/>
          <w:sz w:val="24"/>
          <w:highlight w:val="none"/>
          <w:u w:val="single"/>
        </w:rPr>
        <w:t xml:space="preserve">买方指定地点</w:t>
      </w:r>
      <w:r>
        <w:rPr>
          <w:rFonts w:hint="eastAsia" w:ascii="宋体" w:hAnsi="宋体" w:cs="宋体"/>
          <w:color w:val="auto"/>
          <w:sz w:val="24"/>
          <w:highlight w:val="none"/>
        </w:rPr>
        <w:t xml:space="preserve">。</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5.3卖方应在不迟于每批合同标的备妥待运前</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日通知买方。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5.5如果卖方未能按照合同规定的交货期限交货，卖方应按每天迟交合同标的金额的千分之</w:t>
      </w:r>
      <w:r>
        <w:rPr>
          <w:rFonts w:hint="eastAsia" w:ascii="宋体" w:hAnsi="宋体" w:cs="宋体"/>
          <w:color w:val="auto"/>
          <w:sz w:val="24"/>
          <w:highlight w:val="none"/>
          <w:u w:val="single"/>
        </w:rPr>
        <w:t xml:space="preserve">一</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%)的比率支付违约金。违约金的总金额不超过合同总价的百分之</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 ，违约金的支付不能免除卖方继续交付相关合同标的的义务。</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如果卖方在合同规定的交货期限后</w:t>
      </w:r>
      <w:r>
        <w:rPr>
          <w:rFonts w:hint="eastAsia" w:ascii="宋体" w:hAnsi="宋体" w:cs="宋体"/>
          <w:color w:val="auto"/>
          <w:sz w:val="24"/>
          <w:highlight w:val="none"/>
          <w:u w:val="single"/>
        </w:rPr>
        <w:t xml:space="preserve">十</w:t>
      </w:r>
      <w:r>
        <w:rPr>
          <w:rFonts w:hint="eastAsia" w:ascii="宋体" w:hAnsi="宋体" w:cs="宋体"/>
          <w:color w:val="auto"/>
          <w:sz w:val="24"/>
          <w:highlight w:val="non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第七条 技术资料</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7.1 技术资料随合同标的同时交付给买方。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第八条 安装</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8.1卖方应于合同生效日后，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日内交货并调试</w:t>
      </w:r>
      <w:r>
        <w:rPr>
          <w:rFonts w:hint="eastAsia" w:ascii="宋体" w:hAnsi="宋体" w:cs="宋体"/>
          <w:color w:val="auto"/>
          <w:sz w:val="24"/>
          <w:highlight w:val="none"/>
          <w:lang w:eastAsia="zh-CN"/>
        </w:rPr>
        <w:t xml:space="preserve">并安</w:t>
      </w:r>
      <w:r>
        <w:rPr>
          <w:rFonts w:hint="eastAsia" w:ascii="宋体" w:hAnsi="宋体" w:cs="宋体"/>
          <w:color w:val="auto"/>
          <w:sz w:val="24"/>
          <w:highlight w:val="none"/>
        </w:rPr>
        <w:t xml:space="preserve">装完毕。</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第九条 验收</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9.2由买方进行评估和验收；经买方验收不合格的，卖方在接到买方通知后三日内整改，并保证再次验收合格。</w:t>
      </w:r>
      <w:r>
        <w:rPr>
          <w:rFonts w:hint="eastAsia" w:ascii="宋体" w:hAnsi="宋体" w:cs="宋体"/>
          <w:b/>
          <w:bCs/>
          <w:color w:val="auto"/>
          <w:sz w:val="24"/>
          <w:highlight w:val="none"/>
        </w:rPr>
        <w:t xml:space="preserve">如已超过</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天交货期限，</w:t>
      </w:r>
      <w:r>
        <w:rPr>
          <w:rFonts w:hint="eastAsia" w:ascii="宋体" w:hAnsi="宋体" w:cs="宋体"/>
          <w:color w:val="auto"/>
          <w:sz w:val="24"/>
          <w:highlight w:val="none"/>
        </w:rPr>
        <w:t xml:space="preserve">卖方每天应按合同标的金额的百分之一 (1%)的比率支付违约金。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第十一条 索赔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11.1买方有权选择本条款规定的任意或全部救济方式。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第十二条 不可抗力</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13.1如果卖方有下述违约行为，买方可以全部或部分地终止合同：</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卖方在合同规定的交货期限后</w:t>
      </w:r>
      <w:r>
        <w:rPr>
          <w:rFonts w:hint="eastAsia" w:ascii="宋体" w:hAnsi="宋体" w:cs="宋体"/>
          <w:color w:val="auto"/>
          <w:sz w:val="24"/>
          <w:highlight w:val="none"/>
          <w:u w:val="single"/>
        </w:rPr>
        <w:t xml:space="preserve">10</w:t>
      </w:r>
      <w:r>
        <w:rPr>
          <w:rFonts w:hint="eastAsia" w:ascii="宋体" w:hAnsi="宋体" w:cs="宋体"/>
          <w:color w:val="auto"/>
          <w:sz w:val="24"/>
          <w:highlight w:val="non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日内仍未能对其违约行为作出补救。</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18.10 按照《财政部关于做好政府采购信息公开工作的通知》（财库〔2015〕135号），买方依据《保守国家秘密法》等法律制度规定确定本合同</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18.11 合同双方的通讯地址： </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买方：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邮编：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highlight w:val="none"/>
        </w:rPr>
        <w:sectPr>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highlight w:val="none"/>
        </w:rPr>
      </w:r>
      <w:r/>
    </w:p>
    <w:p>
      <w:pPr>
        <w:jc w:val="center"/>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合同附件</w:t>
      </w:r>
      <w:r/>
    </w:p>
    <w:p>
      <w:pPr>
        <w:jc w:val="left"/>
        <w:tabs>
          <w:tab w:val="left" w:pos="7506" w:leader="none"/>
        </w:tabs>
        <w:rPr>
          <w:rFonts w:ascii="宋体" w:hAnsi="宋体" w:cs="宋体"/>
          <w:color w:val="auto"/>
          <w:sz w:val="24"/>
          <w:highlight w:val="none"/>
        </w:rPr>
      </w:pPr>
      <w:r>
        <w:rPr>
          <w:rFonts w:hint="eastAsia" w:ascii="宋体" w:hAnsi="宋体" w:cs="宋体"/>
          <w:color w:val="auto"/>
          <w:sz w:val="24"/>
          <w:highlight w:val="none"/>
        </w:rPr>
        <w:tab/>
      </w:r>
      <w:r/>
    </w:p>
    <w:p>
      <w:pPr>
        <w:jc w:val="center"/>
        <w:rPr>
          <w:rFonts w:ascii="宋体" w:hAnsi="宋体" w:cs="宋体"/>
          <w:color w:val="auto"/>
          <w:sz w:val="24"/>
          <w:highlight w:val="none"/>
        </w:rPr>
      </w:pPr>
      <w:r>
        <w:rPr>
          <w:rFonts w:hint="eastAsia" w:ascii="宋体" w:hAnsi="宋体" w:cs="宋体"/>
          <w:color w:val="auto"/>
          <w:sz w:val="24"/>
          <w:highlight w:val="none"/>
        </w:rPr>
        <w:t xml:space="preserve">目 录</w:t>
      </w:r>
      <w:r/>
    </w:p>
    <w:p>
      <w:pPr>
        <w:jc w:val="center"/>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合同附件1：合同协议书</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合同附件2：技术规格和技术性能</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w:t>
      </w:r>
      <w:r>
        <w:rPr>
          <w:rFonts w:hint="eastAsia" w:ascii="宋体" w:hAnsi="宋体" w:cs="宋体"/>
          <w:b w:val="0"/>
          <w:bCs w:val="0"/>
          <w:color w:val="auto"/>
          <w:sz w:val="24"/>
          <w:highlight w:val="none"/>
          <w:lang w:eastAsia="zh-CN"/>
        </w:rPr>
        <w:t xml:space="preserve">第五章《采购需求》</w:t>
      </w:r>
      <w:r>
        <w:rPr>
          <w:rFonts w:hint="eastAsia" w:ascii="宋体" w:hAnsi="宋体" w:cs="宋体"/>
          <w:b w:val="0"/>
          <w:bCs w:val="0"/>
          <w:color w:val="auto"/>
          <w:sz w:val="24"/>
          <w:highlight w:val="none"/>
        </w:rPr>
        <w:t xml:space="preserve">；合同见卖方投标文件中《技术规格说明》。)</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合同附件3：售后服务和技术培训</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w:t>
      </w:r>
      <w:r>
        <w:rPr>
          <w:rFonts w:hint="eastAsia" w:ascii="宋体" w:hAnsi="宋体" w:cs="宋体"/>
          <w:b w:val="0"/>
          <w:bCs w:val="0"/>
          <w:color w:val="auto"/>
          <w:sz w:val="24"/>
          <w:highlight w:val="none"/>
          <w:lang w:eastAsia="zh-CN"/>
        </w:rPr>
        <w:t xml:space="preserve">第五章《采购需求》</w:t>
      </w:r>
      <w:r>
        <w:rPr>
          <w:rFonts w:hint="eastAsia" w:ascii="宋体" w:hAnsi="宋体" w:cs="宋体"/>
          <w:b w:val="0"/>
          <w:bCs w:val="0"/>
          <w:color w:val="auto"/>
          <w:sz w:val="24"/>
          <w:highlight w:val="none"/>
        </w:rPr>
        <w:t xml:space="preserve">；合同见卖方投标文件中《售后服务方案》和《培训方案》。)</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合同附件4：供货范围和价格清单</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合同附件5：验收标准（验收要求、验收标准和程序）</w:t>
      </w:r>
      <w:r/>
    </w:p>
    <w:p>
      <w:pPr>
        <w:rPr>
          <w:rFonts w:ascii="宋体" w:hAnsi="宋体" w:cs="宋体"/>
          <w:b w:val="0"/>
          <w:bCs w:val="0"/>
          <w:color w:val="auto"/>
          <w:sz w:val="24"/>
          <w:highlight w:val="none"/>
        </w:rPr>
      </w:pPr>
      <w:r>
        <w:rPr>
          <w:rFonts w:ascii="宋体" w:hAnsi="宋体" w:cs="宋体"/>
          <w:b w:val="0"/>
          <w:bCs w:val="0"/>
          <w:color w:val="auto"/>
          <w:sz w:val="24"/>
          <w:highlight w:val="none"/>
        </w:rPr>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合同附件6：采购需求</w:t>
      </w:r>
      <w:r/>
    </w:p>
    <w:p>
      <w:pP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(见招标文件第</w:t>
      </w:r>
      <w:r>
        <w:rPr>
          <w:rFonts w:hint="eastAsia" w:ascii="宋体" w:hAnsi="宋体" w:cs="宋体"/>
          <w:b w:val="0"/>
          <w:bCs w:val="0"/>
          <w:color w:val="auto"/>
          <w:sz w:val="24"/>
          <w:highlight w:val="none"/>
          <w:lang w:val="en-US" w:eastAsia="zh-CN"/>
        </w:rPr>
        <w:t xml:space="preserve">五</w:t>
      </w:r>
      <w:r>
        <w:rPr>
          <w:rFonts w:hint="eastAsia" w:ascii="宋体" w:hAnsi="宋体" w:cs="宋体"/>
          <w:b w:val="0"/>
          <w:bCs w:val="0"/>
          <w:color w:val="auto"/>
          <w:sz w:val="24"/>
          <w:highlight w:val="none"/>
        </w:rPr>
        <w:t xml:space="preserve">章《采购需求》。)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sz w:val="24"/>
          <w:szCs w:val="24"/>
          <w:highlight w:val="none"/>
        </w:rPr>
      </w:pPr>
      <w:r>
        <w:rPr>
          <w:color w:val="auto"/>
          <w:sz w:val="24"/>
          <w:szCs w:val="24"/>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1097"/>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2" w:name="_Toc13665"/>
      <w:r>
        <w:rPr>
          <w:rFonts w:hint="eastAsia" w:ascii="宋体" w:hAnsi="宋体" w:eastAsia="宋体" w:cs="宋体"/>
          <w:b/>
          <w:bCs/>
          <w:color w:val="auto"/>
          <w:sz w:val="32"/>
          <w:szCs w:val="32"/>
          <w:highlight w:val="none"/>
        </w:rPr>
        <w:t xml:space="preserve">第七章  投标文件相关格式</w:t>
      </w:r>
      <w:bookmarkEnd w:id="1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2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2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29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江苏省睢宁高级中学新校区标准化考场项目</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291"/>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291"/>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291"/>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中标人领取中标通知书时须向代理机构提交纸质胶装投标文件一正四副，电子版投标文件2份。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headerReference w:type="default" r:id="rId14"/>
          <w:footerReference w:type="default" r:id="rId2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江苏省睢宁高级中学</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投标人不在投标初始有效期内撤回投标。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投标人同意在授予合同后，按照投标资料表中的有关规定支付招标代理服务费。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 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312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分项价格表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格式可以扩展）</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109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2795"/>
        <w:gridCol w:w="700"/>
        <w:gridCol w:w="588"/>
        <w:gridCol w:w="675"/>
        <w:gridCol w:w="712"/>
        <w:gridCol w:w="538"/>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79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shd w:val="clear" w:color="auto" w:fill="auto"/>
            <w:tcMar>
              <w:left w:w="15" w:type="dxa"/>
              <w:top w:w="15" w:type="dxa"/>
              <w:right w:w="15" w:type="dxa"/>
              <w:bottom w:w="0" w:type="dxa"/>
            </w:tcMar>
            <w:tcW w:w="5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数量单位</w:t>
            </w:r>
            <w:r/>
          </w:p>
        </w:tc>
        <w:tc>
          <w:tcPr>
            <w:shd w:val="clear" w:color="auto" w:fill="auto"/>
            <w:tcMar>
              <w:left w:w="15" w:type="dxa"/>
              <w:top w:w="15" w:type="dxa"/>
              <w:right w:w="15" w:type="dxa"/>
              <w:bottom w:w="0" w:type="dxa"/>
            </w:tcMar>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单价</w:t>
            </w:r>
            <w:r/>
          </w:p>
        </w:tc>
        <w:tc>
          <w:tcPr>
            <w:shd w:val="clear" w:color="auto" w:fill="auto"/>
            <w:tcW w:w="7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tc>
        <w:tc>
          <w:tcPr>
            <w:shd w:val="clear" w:color="auto" w:fill="auto"/>
            <w:tcMar>
              <w:left w:w="15" w:type="dxa"/>
              <w:top w:w="15" w:type="dxa"/>
              <w:right w:w="15" w:type="dxa"/>
              <w:bottom w:w="0" w:type="dxa"/>
            </w:tcMar>
            <w:tcW w:w="5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79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12"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008"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偏离表</w:t>
      </w:r>
      <w:r/>
    </w:p>
    <w:p>
      <w:pPr>
        <w:jc w:val="center"/>
        <w:spacing w:line="360" w:lineRule="auto"/>
        <w:rPr>
          <w:rFonts w:hint="eastAsia" w:ascii="宋体" w:hAnsi="宋体" w:eastAsia="宋体" w:cs="宋体"/>
          <w:color w:val="auto"/>
          <w:sz w:val="28"/>
          <w:szCs w:val="28"/>
          <w:highlight w:val="none"/>
        </w:rPr>
        <w:outlineLvl w:val="1"/>
      </w:pPr>
      <w:r>
        <w:rPr>
          <w:rFonts w:hint="eastAsia" w:ascii="宋体" w:hAnsi="宋体" w:cs="宋体"/>
          <w:color w:val="auto"/>
          <w:sz w:val="28"/>
          <w:szCs w:val="28"/>
          <w:highlight w:val="none"/>
          <w:lang w:val="en-US" w:eastAsia="zh-CN"/>
        </w:rPr>
        <w:t xml:space="preserve">4.1商务要求响应</w:t>
      </w:r>
      <w:r>
        <w:rPr>
          <w:rFonts w:hint="eastAsia" w:ascii="宋体" w:hAnsi="宋体" w:eastAsia="宋体" w:cs="宋体"/>
          <w:color w:val="auto"/>
          <w:sz w:val="28"/>
          <w:szCs w:val="28"/>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109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u w:val="single"/>
        </w:rPr>
        <w:t xml:space="preserve">注：投标人的投标文件中的内容与招标文件（含招标文件的澄清或者修改的内容）的要求不同时，</w:t>
      </w:r>
      <w:r>
        <w:rPr>
          <w:rFonts w:hint="eastAsia" w:ascii="宋体" w:hAnsi="宋体" w:eastAsia="宋体" w:cs="宋体"/>
          <w:color w:val="auto"/>
          <w:sz w:val="24"/>
          <w:szCs w:val="21"/>
          <w:highlight w:val="none"/>
          <w:u w:val="single"/>
          <w:lang w:val="en-US" w:eastAsia="zh-CN"/>
        </w:rPr>
        <w:t xml:space="preserve">应</w:t>
      </w:r>
      <w:r>
        <w:rPr>
          <w:rFonts w:hint="eastAsia" w:ascii="宋体" w:hAnsi="宋体" w:eastAsia="宋体" w:cs="宋体"/>
          <w:color w:val="auto"/>
          <w:sz w:val="24"/>
          <w:szCs w:val="21"/>
          <w:highlight w:val="none"/>
          <w:u w:val="single"/>
        </w:rPr>
        <w:t xml:space="preserve">逐条列在偏离表中，否则将认为投标人接受招标文件的要求。</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cs="宋体"/>
          <w:color w:val="auto"/>
          <w:sz w:val="24"/>
          <w:szCs w:val="21"/>
          <w:highlight w:val="none"/>
          <w:lang w:val="en-US" w:eastAsia="zh-CN"/>
        </w:rPr>
        <w:t xml:space="preserve">4.2</w:t>
      </w:r>
      <w:r>
        <w:rPr>
          <w:rFonts w:hint="eastAsia" w:ascii="宋体" w:hAnsi="宋体" w:eastAsia="宋体" w:cs="宋体"/>
          <w:color w:val="auto"/>
          <w:sz w:val="28"/>
          <w:szCs w:val="28"/>
          <w:highlight w:val="none"/>
        </w:rPr>
        <w:t xml:space="preserve">技术</w:t>
      </w:r>
      <w:r>
        <w:rPr>
          <w:rFonts w:hint="eastAsia" w:ascii="宋体" w:hAnsi="宋体" w:eastAsia="宋体" w:cs="宋体"/>
          <w:color w:val="auto"/>
          <w:sz w:val="28"/>
          <w:szCs w:val="28"/>
          <w:highlight w:val="none"/>
          <w:lang w:val="en-US" w:eastAsia="zh-CN"/>
        </w:rPr>
        <w:t xml:space="preserve">要求响应及</w:t>
      </w:r>
      <w:r>
        <w:rPr>
          <w:rFonts w:hint="eastAsia" w:ascii="宋体" w:hAnsi="宋体" w:eastAsia="宋体" w:cs="宋体"/>
          <w:color w:val="auto"/>
          <w:sz w:val="28"/>
          <w:szCs w:val="28"/>
          <w:highlight w:val="none"/>
        </w:rPr>
        <w:t xml:space="preserve">偏离表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109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2001"/>
        <w:gridCol w:w="1787"/>
        <w:gridCol w:w="1488"/>
        <w:gridCol w:w="142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pStyle w:val="130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u w:val="none"/>
        </w:rPr>
        <w:t xml:space="preserve">注：</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w:t>
      </w:r>
      <w:r>
        <w:rPr>
          <w:rFonts w:hint="eastAsia" w:ascii="宋体" w:hAnsi="宋体" w:cs="宋体"/>
          <w:i w:val="0"/>
          <w:iCs w:val="0"/>
          <w:color w:val="auto"/>
          <w:sz w:val="24"/>
          <w:szCs w:val="21"/>
          <w:highlight w:val="none"/>
          <w:u w:val="none"/>
          <w:lang w:val="en-US" w:eastAsia="zh-CN"/>
        </w:rPr>
        <w:t xml:space="preserve">第五章《采购需求》</w:t>
      </w:r>
      <w:r>
        <w:rPr>
          <w:rFonts w:hint="eastAsia" w:ascii="宋体" w:hAnsi="宋体" w:eastAsia="宋体" w:cs="Times New Roman"/>
          <w:b w:val="0"/>
          <w:bCs/>
          <w:color w:val="auto"/>
          <w:sz w:val="24"/>
          <w:szCs w:val="24"/>
          <w:highlight w:val="none"/>
          <w:lang w:eastAsia="zh-CN"/>
        </w:rPr>
        <w:t xml:space="preserve">技术要求</w:t>
      </w:r>
      <w:r>
        <w:rPr>
          <w:rFonts w:hint="eastAsia" w:ascii="宋体" w:hAnsi="宋体" w:eastAsia="宋体" w:cs="宋体"/>
          <w:color w:val="auto"/>
          <w:highlight w:val="none"/>
          <w:lang w:val="en-US" w:eastAsia="zh-CN"/>
        </w:rPr>
        <w:t xml:space="preserve">中的实质性要求</w:t>
      </w:r>
      <w:r>
        <w:rPr>
          <w:rFonts w:hint="eastAsia" w:cs="宋体"/>
          <w:color w:val="auto"/>
          <w:highlight w:val="none"/>
          <w:lang w:val="en-US" w:eastAsia="zh-CN"/>
        </w:rPr>
        <w:t xml:space="preserve">及其他要求</w:t>
      </w:r>
      <w:r>
        <w:rPr>
          <w:rFonts w:hint="eastAsia" w:cs="宋体"/>
          <w:b/>
          <w:bCs/>
          <w:color w:val="auto"/>
          <w:highlight w:val="none"/>
          <w:lang w:val="en-US" w:eastAsia="zh-CN"/>
        </w:rPr>
        <w:t xml:space="preserve">逐条</w:t>
      </w:r>
      <w:r>
        <w:rPr>
          <w:rFonts w:hint="eastAsia" w:ascii="宋体" w:hAnsi="宋体" w:eastAsia="宋体" w:cs="宋体"/>
          <w:color w:val="auto"/>
          <w:highlight w:val="none"/>
          <w:lang w:val="en-US" w:eastAsia="zh-CN"/>
        </w:rPr>
        <w:t xml:space="preserve">做出明确响应，否则视为</w:t>
      </w:r>
      <w:r>
        <w:rPr>
          <w:rFonts w:hint="eastAsia" w:cs="宋体"/>
          <w:color w:val="auto"/>
          <w:highlight w:val="none"/>
          <w:lang w:val="en-US" w:eastAsia="zh-CN"/>
        </w:rPr>
        <w:t xml:space="preserve">负偏离</w:t>
      </w:r>
      <w:r>
        <w:rPr>
          <w:rFonts w:hint="eastAsia" w:ascii="宋体" w:hAnsi="宋体" w:eastAsia="宋体" w:cs="宋体"/>
          <w:color w:val="auto"/>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color w:val="auto"/>
          <w:highlight w:val="none"/>
        </w:rPr>
      </w:pPr>
      <w:r>
        <w:rPr>
          <w:rFonts w:hint="eastAsia"/>
          <w:color w:val="auto"/>
          <w:highlight w:val="none"/>
        </w:rPr>
      </w:r>
      <w:r/>
    </w:p>
    <w:p>
      <w:pPr>
        <w:pStyle w:val="1095"/>
        <w:rPr>
          <w:rFonts w:hint="eastAsia"/>
          <w:color w:val="auto"/>
          <w:highlight w:val="none"/>
        </w:rPr>
      </w:pPr>
      <w:r>
        <w:rPr>
          <w:rFonts w:hint="eastAsia"/>
          <w:color w:val="auto"/>
          <w:highlight w:val="none"/>
        </w:rPr>
      </w:r>
      <w:r/>
    </w:p>
    <w:p>
      <w:pPr>
        <w:pStyle w:val="1095"/>
        <w:rPr>
          <w:rFonts w:hint="eastAsia"/>
          <w:color w:val="auto"/>
          <w:highlight w:val="none"/>
        </w:rPr>
      </w:pPr>
      <w:r>
        <w:rPr>
          <w:rFonts w:hint="eastAsia"/>
          <w:color w:val="auto"/>
          <w:highlight w:val="none"/>
        </w:rPr>
      </w:r>
      <w:r/>
    </w:p>
    <w:p>
      <w:pPr>
        <w:pStyle w:val="1095"/>
        <w:rPr>
          <w:rFonts w:hint="eastAsia"/>
          <w:color w:val="auto"/>
          <w:highlight w:val="none"/>
        </w:rPr>
      </w:pPr>
      <w:r>
        <w:rPr>
          <w:rFonts w:hint="eastAsia"/>
          <w:color w:val="auto"/>
          <w:highlight w:val="none"/>
        </w:rPr>
      </w:r>
      <w:r/>
    </w:p>
    <w:p>
      <w:pPr>
        <w:pStyle w:val="1095"/>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1118"/>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tblGrid>
      <w:tr>
        <w:trPr>
          <w:trHeight w:val="2473"/>
        </w:trPr>
        <w:tc>
          <w:tcPr>
            <w:tcW w:w="4700"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(受托人身份证扫描件附后)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3" w:name="OLE_LINK15"/>
      <w:r>
        <w:rPr>
          <w:rFonts w:hint="eastAsia" w:ascii="宋体" w:hAnsi="宋体" w:eastAsia="宋体" w:cs="宋体"/>
          <w:color w:val="auto"/>
          <w:sz w:val="24"/>
          <w:szCs w:val="21"/>
          <w:highlight w:val="none"/>
        </w:rPr>
        <w:t xml:space="preserve">将依法承担相应责任</w:t>
      </w:r>
      <w:bookmarkEnd w:id="13"/>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t xml:space="preserve">“中小企业声明涵” 查询渠道用微信搜索“中小企业规模类型自测小程序”，</w:t>
      </w:r>
      <w:r>
        <w:rPr>
          <w:rFonts w:hint="eastAsia" w:ascii="宋体" w:hAnsi="宋体" w:eastAsia="宋体" w:cs="宋体"/>
          <w:b/>
          <w:bCs/>
          <w:color w:val="auto"/>
          <w:szCs w:val="18"/>
          <w:highlight w:val="none"/>
          <w:lang w:val="en-US"/>
        </w:rPr>
        <w:t xml:space="preserve">见下图</w:t>
      </w:r>
      <w:r>
        <w:rPr>
          <w:rFonts w:hint="eastAsia" w:ascii="宋体" w:hAnsi="宋体" w:eastAsia="宋体" w:cs="宋体"/>
          <w:b/>
          <w:bCs/>
          <w:color w:val="auto"/>
          <w:szCs w:val="18"/>
          <w:highlight w:val="none"/>
        </w:rPr>
        <w:t xml:space="preserve">。</w:t>
      </w:r>
      <w:r/>
    </w:p>
    <w:p>
      <w:pPr>
        <w:jc w:val="left"/>
        <w:spacing w:line="360" w:lineRule="auto"/>
        <w:rPr>
          <w:rFonts w:hint="eastAsia" w:ascii="宋体" w:hAnsi="宋体" w:cs="宋体"/>
          <w:color w:val="auto"/>
          <w:sz w:val="24"/>
          <w:highlight w:val="none"/>
        </w:rPr>
        <w:sectPr>
          <w:footerReference w:type="even" r:id="rId22"/>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7"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2" name="图片 1" descr="c014e88440e9256c45b9cc11fb0c77e"/>
                        <pic:cNvPicPr/>
                        <pic:nvPr/>
                      </pic:nvPicPr>
                      <pic:blipFill>
                        <a:blip r:embed="rId26"/>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6"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3"/>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所必需的设备和专业技术能力，具体为：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10、关于符合本国产品标准的声明函</w:t>
      </w:r>
      <w:r>
        <w:rPr>
          <w:rFonts w:hint="eastAsia"/>
          <w:color w:val="auto"/>
          <w:highlight w:val="none"/>
        </w:rPr>
        <w:t xml:space="preserve"> </w:t>
      </w:r>
      <w:r/>
    </w:p>
    <w:p>
      <w:pPr>
        <w:pStyle w:val="1116"/>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1116"/>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111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1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111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111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1116"/>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111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111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1116"/>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1116"/>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11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11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11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11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111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head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6"/>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rPr>
        <w:rStyle w:val="1296"/>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29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rPr>
                              <w:rStyle w:val="1296"/>
                            </w:rPr>
                          </w:pPr>
                          <w:r/>
                          <w:r/>
                        </w:p>
                        <w:p>
                          <w:pPr>
                            <w:rPr>
                              <w:rStyle w:val="1296"/>
                            </w:rPr>
                          </w:pPr>
                          <w:r/>
                          <w:r/>
                        </w:p>
                        <w:p>
                          <w:r/>
                          <w:r/>
                        </w:p>
                      </w:txbxContent>
                    </wps:txbx>
                    <wps:bodyPr wrap="square" lIns="0" tIns="0" rIns="0" bIns="0" upright="1"/>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rPr>
                        <w:rStyle w:val="1296"/>
                      </w:rPr>
                    </w:pPr>
                    <w:r/>
                    <w:r/>
                  </w:p>
                  <w:p>
                    <w:pPr>
                      <w:rPr>
                        <w:rStyle w:val="1296"/>
                      </w:rPr>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6"/>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3" o:spid="_x0000_s1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江苏省睢宁高级中学新校区标准化考场项目</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江苏省睢宁高级中学新校区标准化考场项目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江苏省睢宁高级中学新校区标准化考场项目        </w:t>
    </w:r>
    <w:r>
      <w:rPr>
        <w:rFonts w:hint="eastAsia" w:ascii="Times New Roman" w:hAnsi="Times New Roman" w:eastAsia="宋体" w:cs="Times New Roman"/>
        <w:sz w:val="18"/>
        <w:szCs w:val="18"/>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17"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江苏省睢宁高级中学新校区标准化考场项目                            </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18"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江苏省睢宁高级中学新校区标准化考场项目       </w:t>
    </w:r>
    <w:r>
      <w:rPr>
        <w:rFonts w:hint="eastAsia" w:ascii="Times New Roman" w:hAnsi="Times New Roman" w:eastAsia="宋体" w:cs="Times New Roman"/>
        <w:sz w:val="18"/>
        <w:szCs w:val="18"/>
        <w:lang w:val="en-US" w:eastAsia="zh-CN" w:bidi="ar-S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江苏省睢宁高级中学新校区标准化考场项目        </w:t>
    </w:r>
    <w:r>
      <w:rPr>
        <w:rFonts w:hint="eastAsia" w:ascii="Times New Roman" w:hAnsi="Times New Roman" w:eastAsia="宋体" w:cs="Times New Roman"/>
        <w:sz w:val="18"/>
        <w:szCs w:val="18"/>
        <w:lang w:val="en-US" w:eastAsia="zh-CN" w:bidi="ar-S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7"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江苏省睢宁高级中学新校区标准化考场项目</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02"/>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3" w:default="1">
    <w:name w:val="Normal"/>
    <w:next w:val="1095"/>
    <w:link w:val="1297"/>
    <w:uiPriority w:val="0"/>
    <w:qFormat/>
    <w:pPr>
      <w:jc w:val="both"/>
      <w:widowControl w:val="off"/>
    </w:pPr>
    <w:rPr>
      <w:rFonts w:hint="default" w:ascii="Calibri" w:hAnsi="Calibri" w:eastAsia="宋体" w:cs="宋体"/>
      <w:sz w:val="21"/>
      <w:szCs w:val="24"/>
      <w:lang w:val="en-US" w:eastAsia="zh-CN" w:bidi="ar-SA"/>
    </w:rPr>
  </w:style>
  <w:style w:type="paragraph" w:styleId="1084">
    <w:name w:val="Heading 1"/>
    <w:basedOn w:val="1083"/>
    <w:next w:val="1083"/>
    <w:link w:val="1143"/>
    <w:uiPriority w:val="9"/>
    <w:qFormat/>
    <w:pPr>
      <w:keepLines/>
      <w:keepNext/>
      <w:spacing w:before="480" w:after="200"/>
      <w:outlineLvl w:val="0"/>
    </w:pPr>
    <w:rPr>
      <w:rFonts w:ascii="Arial" w:hAnsi="Arial" w:eastAsia="Arial" w:cs="Arial"/>
      <w:sz w:val="40"/>
      <w:szCs w:val="40"/>
    </w:rPr>
  </w:style>
  <w:style w:type="paragraph" w:styleId="1085">
    <w:name w:val="Heading 2"/>
    <w:basedOn w:val="1083"/>
    <w:next w:val="1083"/>
    <w:link w:val="1144"/>
    <w:uiPriority w:val="9"/>
    <w:unhideWhenUsed/>
    <w:qFormat/>
    <w:pPr>
      <w:keepLines/>
      <w:keepNext/>
      <w:spacing w:before="360" w:after="200"/>
      <w:outlineLvl w:val="1"/>
    </w:pPr>
    <w:rPr>
      <w:rFonts w:ascii="Arial" w:hAnsi="Arial" w:eastAsia="Arial" w:cs="Arial"/>
      <w:sz w:val="34"/>
    </w:rPr>
  </w:style>
  <w:style w:type="paragraph" w:styleId="1086">
    <w:name w:val="Heading 3"/>
    <w:basedOn w:val="1083"/>
    <w:next w:val="1083"/>
    <w:link w:val="1145"/>
    <w:uiPriority w:val="9"/>
    <w:unhideWhenUsed/>
    <w:qFormat/>
    <w:pPr>
      <w:keepLines/>
      <w:keepNext/>
      <w:spacing w:before="320" w:after="200"/>
      <w:outlineLvl w:val="2"/>
    </w:pPr>
    <w:rPr>
      <w:rFonts w:ascii="Arial" w:hAnsi="Arial" w:eastAsia="Arial" w:cs="Arial"/>
      <w:sz w:val="30"/>
      <w:szCs w:val="30"/>
    </w:rPr>
  </w:style>
  <w:style w:type="paragraph" w:styleId="1087">
    <w:name w:val="Heading 4"/>
    <w:basedOn w:val="1083"/>
    <w:next w:val="1083"/>
    <w:link w:val="1146"/>
    <w:uiPriority w:val="9"/>
    <w:unhideWhenUsed/>
    <w:qFormat/>
    <w:pPr>
      <w:keepLines/>
      <w:keepNext/>
      <w:spacing w:before="320" w:after="200"/>
      <w:outlineLvl w:val="3"/>
    </w:pPr>
    <w:rPr>
      <w:rFonts w:ascii="Arial" w:hAnsi="Arial" w:eastAsia="Arial" w:cs="Arial"/>
      <w:b/>
      <w:bCs/>
      <w:sz w:val="26"/>
      <w:szCs w:val="26"/>
    </w:rPr>
  </w:style>
  <w:style w:type="paragraph" w:styleId="1088">
    <w:name w:val="Heading 5"/>
    <w:basedOn w:val="1083"/>
    <w:next w:val="1083"/>
    <w:link w:val="1147"/>
    <w:uiPriority w:val="9"/>
    <w:unhideWhenUsed/>
    <w:qFormat/>
    <w:pPr>
      <w:keepLines/>
      <w:keepNext/>
      <w:spacing w:before="320" w:after="200"/>
      <w:outlineLvl w:val="4"/>
    </w:pPr>
    <w:rPr>
      <w:rFonts w:ascii="Arial" w:hAnsi="Arial" w:eastAsia="Arial" w:cs="Arial"/>
      <w:b/>
      <w:bCs/>
      <w:sz w:val="24"/>
      <w:szCs w:val="24"/>
    </w:rPr>
  </w:style>
  <w:style w:type="paragraph" w:styleId="1089">
    <w:name w:val="Heading 6"/>
    <w:basedOn w:val="1083"/>
    <w:next w:val="1083"/>
    <w:link w:val="1148"/>
    <w:uiPriority w:val="9"/>
    <w:unhideWhenUsed/>
    <w:qFormat/>
    <w:pPr>
      <w:keepLines/>
      <w:keepNext/>
      <w:spacing w:before="320" w:after="200"/>
      <w:outlineLvl w:val="5"/>
    </w:pPr>
    <w:rPr>
      <w:rFonts w:ascii="Arial" w:hAnsi="Arial" w:eastAsia="Arial" w:cs="Arial"/>
      <w:b/>
      <w:bCs/>
      <w:sz w:val="22"/>
      <w:szCs w:val="22"/>
    </w:rPr>
  </w:style>
  <w:style w:type="paragraph" w:styleId="1090">
    <w:name w:val="Heading 7"/>
    <w:basedOn w:val="1083"/>
    <w:next w:val="1083"/>
    <w:link w:val="1149"/>
    <w:uiPriority w:val="9"/>
    <w:unhideWhenUsed/>
    <w:qFormat/>
    <w:pPr>
      <w:keepLines/>
      <w:keepNext/>
      <w:spacing w:before="320" w:after="200"/>
      <w:outlineLvl w:val="6"/>
    </w:pPr>
    <w:rPr>
      <w:rFonts w:ascii="Arial" w:hAnsi="Arial" w:eastAsia="Arial" w:cs="Arial"/>
      <w:b/>
      <w:bCs/>
      <w:i/>
      <w:iCs/>
      <w:sz w:val="22"/>
      <w:szCs w:val="22"/>
    </w:rPr>
  </w:style>
  <w:style w:type="paragraph" w:styleId="1091">
    <w:name w:val="Heading 8"/>
    <w:basedOn w:val="1083"/>
    <w:next w:val="1083"/>
    <w:link w:val="1150"/>
    <w:uiPriority w:val="9"/>
    <w:unhideWhenUsed/>
    <w:qFormat/>
    <w:pPr>
      <w:keepLines/>
      <w:keepNext/>
      <w:spacing w:before="320" w:after="200"/>
      <w:outlineLvl w:val="7"/>
    </w:pPr>
    <w:rPr>
      <w:rFonts w:ascii="Arial" w:hAnsi="Arial" w:eastAsia="Arial" w:cs="Arial"/>
      <w:i/>
      <w:iCs/>
      <w:sz w:val="22"/>
      <w:szCs w:val="22"/>
    </w:rPr>
  </w:style>
  <w:style w:type="paragraph" w:styleId="1092">
    <w:name w:val="Heading 9"/>
    <w:basedOn w:val="1083"/>
    <w:next w:val="1083"/>
    <w:link w:val="1151"/>
    <w:uiPriority w:val="9"/>
    <w:unhideWhenUsed/>
    <w:qFormat/>
    <w:pPr>
      <w:keepLines/>
      <w:keepNext/>
      <w:spacing w:before="320" w:after="200"/>
      <w:outlineLvl w:val="8"/>
    </w:pPr>
    <w:rPr>
      <w:rFonts w:ascii="Arial" w:hAnsi="Arial" w:eastAsia="Arial" w:cs="Arial"/>
      <w:i/>
      <w:iCs/>
      <w:sz w:val="21"/>
      <w:szCs w:val="21"/>
    </w:rPr>
  </w:style>
  <w:style w:type="character" w:styleId="1093" w:default="1">
    <w:name w:val="Default Paragraph Font"/>
    <w:uiPriority w:val="0"/>
    <w:qFormat/>
  </w:style>
  <w:style w:type="table" w:styleId="109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95">
    <w:name w:val="Block Text"/>
    <w:basedOn w:val="1083"/>
    <w:next w:val="108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1096">
    <w:name w:val="toc 7"/>
    <w:basedOn w:val="1083"/>
    <w:next w:val="1083"/>
    <w:uiPriority w:val="39"/>
    <w:unhideWhenUsed/>
    <w:qFormat/>
    <w:pPr>
      <w:ind w:left="1701" w:right="0" w:firstLine="0"/>
      <w:spacing w:after="57"/>
    </w:pPr>
  </w:style>
  <w:style w:type="paragraph" w:styleId="1097">
    <w:name w:val="table of authorities"/>
    <w:basedOn w:val="1083"/>
    <w:next w:val="1083"/>
    <w:uiPriority w:val="0"/>
    <w:qFormat/>
    <w:pPr>
      <w:ind w:left="420"/>
    </w:pPr>
  </w:style>
  <w:style w:type="paragraph" w:styleId="1098">
    <w:name w:val="Caption"/>
    <w:basedOn w:val="1083"/>
    <w:next w:val="10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9">
    <w:name w:val="annotation text"/>
    <w:basedOn w:val="1083"/>
    <w:uiPriority w:val="99"/>
    <w:semiHidden/>
    <w:unhideWhenUsed/>
    <w:qFormat/>
    <w:pPr>
      <w:jc w:val="left"/>
    </w:pPr>
  </w:style>
  <w:style w:type="paragraph" w:styleId="1100">
    <w:name w:val="Body Text"/>
    <w:basedOn w:val="1083"/>
    <w:next w:val="1083"/>
    <w:uiPriority w:val="99"/>
    <w:qFormat/>
    <w:rPr>
      <w:rFonts w:ascii="Verdana" w:hAnsi="Verdana" w:cs="Verdana"/>
      <w:sz w:val="24"/>
      <w:szCs w:val="24"/>
    </w:rPr>
  </w:style>
  <w:style w:type="paragraph" w:styleId="1101">
    <w:name w:val="toc 5"/>
    <w:basedOn w:val="1083"/>
    <w:next w:val="1083"/>
    <w:uiPriority w:val="39"/>
    <w:unhideWhenUsed/>
    <w:qFormat/>
    <w:pPr>
      <w:ind w:left="1134" w:right="0" w:firstLine="0"/>
      <w:spacing w:after="57"/>
    </w:pPr>
  </w:style>
  <w:style w:type="paragraph" w:styleId="1102">
    <w:name w:val="toc 3"/>
    <w:basedOn w:val="1083"/>
    <w:next w:val="1083"/>
    <w:uiPriority w:val="39"/>
    <w:unhideWhenUsed/>
    <w:qFormat/>
    <w:pPr>
      <w:ind w:left="567" w:right="0" w:firstLine="0"/>
      <w:spacing w:after="57"/>
    </w:pPr>
  </w:style>
  <w:style w:type="paragraph" w:styleId="1103">
    <w:name w:val="Plain Text"/>
    <w:basedOn w:val="1083"/>
    <w:uiPriority w:val="99"/>
    <w:qFormat/>
    <w:rPr>
      <w:rFonts w:ascii="宋体" w:hAnsi="Courier New" w:cs="宋体"/>
    </w:rPr>
  </w:style>
  <w:style w:type="paragraph" w:styleId="1104">
    <w:name w:val="toc 8"/>
    <w:basedOn w:val="1083"/>
    <w:next w:val="1083"/>
    <w:uiPriority w:val="39"/>
    <w:unhideWhenUsed/>
    <w:qFormat/>
    <w:pPr>
      <w:ind w:left="1984" w:right="0" w:firstLine="0"/>
      <w:spacing w:after="57"/>
    </w:pPr>
  </w:style>
  <w:style w:type="paragraph" w:styleId="1105">
    <w:name w:val="endnote text"/>
    <w:basedOn w:val="1083"/>
    <w:link w:val="1289"/>
    <w:uiPriority w:val="99"/>
    <w:semiHidden/>
    <w:unhideWhenUsed/>
    <w:qFormat/>
    <w:pPr>
      <w:spacing w:after="0" w:line="240" w:lineRule="auto"/>
    </w:pPr>
    <w:rPr>
      <w:sz w:val="20"/>
    </w:rPr>
  </w:style>
  <w:style w:type="paragraph" w:styleId="1106">
    <w:name w:val="Footer"/>
    <w:basedOn w:val="1083"/>
    <w:uiPriority w:val="99"/>
    <w:qFormat/>
    <w:pPr>
      <w:tabs>
        <w:tab w:val="center" w:pos="7143" w:leader="none"/>
        <w:tab w:val="right" w:pos="14287" w:leader="none"/>
      </w:tabs>
    </w:pPr>
  </w:style>
  <w:style w:type="paragraph" w:styleId="1107">
    <w:name w:val="Header"/>
    <w:basedOn w:val="1083"/>
    <w:link w:val="1160"/>
    <w:uiPriority w:val="99"/>
    <w:unhideWhenUsed/>
    <w:qFormat/>
    <w:pPr>
      <w:spacing w:after="0" w:line="240" w:lineRule="auto"/>
      <w:tabs>
        <w:tab w:val="center" w:pos="7143" w:leader="none"/>
        <w:tab w:val="right" w:pos="14287" w:leader="none"/>
      </w:tabs>
    </w:pPr>
  </w:style>
  <w:style w:type="paragraph" w:styleId="1108">
    <w:name w:val="toc 1"/>
    <w:basedOn w:val="1083"/>
    <w:next w:val="1083"/>
    <w:uiPriority w:val="39"/>
    <w:unhideWhenUsed/>
    <w:qFormat/>
    <w:pPr>
      <w:spacing w:after="57"/>
    </w:pPr>
  </w:style>
  <w:style w:type="paragraph" w:styleId="1109">
    <w:name w:val="toc 4"/>
    <w:basedOn w:val="1083"/>
    <w:next w:val="1083"/>
    <w:uiPriority w:val="39"/>
    <w:unhideWhenUsed/>
    <w:qFormat/>
    <w:pPr>
      <w:ind w:left="850" w:right="0" w:firstLine="0"/>
      <w:spacing w:after="57"/>
    </w:pPr>
  </w:style>
  <w:style w:type="paragraph" w:styleId="1110">
    <w:name w:val="Subtitle"/>
    <w:basedOn w:val="1083"/>
    <w:next w:val="1083"/>
    <w:link w:val="1155"/>
    <w:uiPriority w:val="11"/>
    <w:qFormat/>
    <w:pPr>
      <w:spacing w:before="200" w:after="200"/>
    </w:pPr>
    <w:rPr>
      <w:sz w:val="24"/>
      <w:szCs w:val="24"/>
    </w:rPr>
  </w:style>
  <w:style w:type="paragraph" w:styleId="1111">
    <w:name w:val="footnote text"/>
    <w:basedOn w:val="1083"/>
    <w:link w:val="1288"/>
    <w:uiPriority w:val="99"/>
    <w:semiHidden/>
    <w:unhideWhenUsed/>
    <w:qFormat/>
    <w:pPr>
      <w:spacing w:after="40" w:line="240" w:lineRule="auto"/>
    </w:pPr>
    <w:rPr>
      <w:sz w:val="18"/>
    </w:rPr>
  </w:style>
  <w:style w:type="paragraph" w:styleId="1112">
    <w:name w:val="toc 6"/>
    <w:basedOn w:val="1083"/>
    <w:next w:val="1083"/>
    <w:uiPriority w:val="39"/>
    <w:unhideWhenUsed/>
    <w:qFormat/>
    <w:pPr>
      <w:ind w:left="1417" w:right="0" w:firstLine="0"/>
      <w:spacing w:after="57"/>
    </w:pPr>
  </w:style>
  <w:style w:type="paragraph" w:styleId="1113">
    <w:name w:val="table of figures"/>
    <w:basedOn w:val="1083"/>
    <w:next w:val="1083"/>
    <w:uiPriority w:val="99"/>
    <w:unhideWhenUsed/>
    <w:qFormat/>
    <w:pPr>
      <w:spacing w:after="0" w:afterAutospacing="0"/>
    </w:pPr>
  </w:style>
  <w:style w:type="paragraph" w:styleId="1114">
    <w:name w:val="toc 2"/>
    <w:basedOn w:val="1083"/>
    <w:next w:val="1083"/>
    <w:uiPriority w:val="39"/>
    <w:unhideWhenUsed/>
    <w:qFormat/>
    <w:pPr>
      <w:ind w:left="283" w:right="0" w:firstLine="0"/>
      <w:spacing w:after="57"/>
    </w:pPr>
  </w:style>
  <w:style w:type="paragraph" w:styleId="1115">
    <w:name w:val="toc 9"/>
    <w:basedOn w:val="1083"/>
    <w:next w:val="1083"/>
    <w:uiPriority w:val="39"/>
    <w:unhideWhenUsed/>
    <w:qFormat/>
    <w:pPr>
      <w:ind w:left="2268" w:right="0" w:firstLine="0"/>
      <w:spacing w:after="57"/>
    </w:pPr>
  </w:style>
  <w:style w:type="paragraph" w:styleId="1116">
    <w:name w:val="Normal (Web)"/>
    <w:basedOn w:val="1083"/>
    <w:uiPriority w:val="99"/>
    <w:semiHidden/>
    <w:unhideWhenUsed/>
    <w:qFormat/>
    <w:pPr>
      <w:ind w:left="0" w:right="0"/>
      <w:jc w:val="left"/>
      <w:spacing w:before="0" w:beforeAutospacing="1" w:after="0" w:afterAutospacing="1"/>
    </w:pPr>
    <w:rPr>
      <w:sz w:val="24"/>
      <w:lang w:val="en-US" w:eastAsia="zh-CN" w:bidi="ar"/>
    </w:rPr>
  </w:style>
  <w:style w:type="paragraph" w:styleId="1117">
    <w:name w:val="Title"/>
    <w:basedOn w:val="1083"/>
    <w:next w:val="1083"/>
    <w:link w:val="1154"/>
    <w:uiPriority w:val="10"/>
    <w:qFormat/>
    <w:pPr>
      <w:contextualSpacing/>
      <w:spacing w:before="300" w:after="200"/>
    </w:pPr>
    <w:rPr>
      <w:sz w:val="48"/>
      <w:szCs w:val="48"/>
    </w:rPr>
  </w:style>
  <w:style w:type="table" w:styleId="111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19">
    <w:name w:val="Strong"/>
    <w:basedOn w:val="1093"/>
    <w:uiPriority w:val="22"/>
    <w:qFormat/>
    <w:rPr>
      <w:b/>
    </w:rPr>
  </w:style>
  <w:style w:type="character" w:styleId="1120">
    <w:name w:val="endnote reference"/>
    <w:basedOn w:val="1093"/>
    <w:uiPriority w:val="99"/>
    <w:semiHidden/>
    <w:unhideWhenUsed/>
    <w:qFormat/>
    <w:rPr>
      <w:vertAlign w:val="superscript"/>
    </w:rPr>
  </w:style>
  <w:style w:type="character" w:styleId="1121">
    <w:name w:val="Hyperlink"/>
    <w:uiPriority w:val="99"/>
    <w:unhideWhenUsed/>
    <w:qFormat/>
    <w:rPr>
      <w:color w:val="0000ff" w:themeColor="hyperlink"/>
      <w:u w:val="single"/>
      <w14:textFill>
        <w14:solidFill>
          <w14:schemeClr w14:val="hlink"/>
        </w14:solidFill>
      </w14:textFill>
    </w:rPr>
  </w:style>
  <w:style w:type="character" w:styleId="1122">
    <w:name w:val="footnote reference"/>
    <w:basedOn w:val="1093"/>
    <w:uiPriority w:val="99"/>
    <w:unhideWhenUsed/>
    <w:qFormat/>
    <w:rPr>
      <w:vertAlign w:val="superscript"/>
    </w:rPr>
  </w:style>
  <w:style w:type="paragraph" w:styleId="1123" w:customStyle="1">
    <w:name w:val="一级条标题"/>
    <w:basedOn w:val="1124"/>
    <w:next w:val="11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4" w:customStyle="1">
    <w:name w:val="章标题"/>
    <w:next w:val="10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25" w:customStyle="1">
    <w:name w:val="段"/>
    <w:basedOn w:val="1126"/>
    <w:next w:val="1083"/>
    <w:uiPriority w:val="0"/>
    <w:qFormat/>
    <w:pPr>
      <w:ind w:firstLine="200"/>
      <w:widowControl/>
    </w:pPr>
    <w:rPr>
      <w:sz w:val="20"/>
    </w:rPr>
  </w:style>
  <w:style w:type="paragraph" w:styleId="1126" w:customStyle="1">
    <w:name w:val="正文13"/>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首行缩进1"/>
    <w:basedOn w:val="1128"/>
    <w:next w:val="1132"/>
    <w:uiPriority w:val="0"/>
    <w:qFormat/>
    <w:pPr>
      <w:ind w:firstLine="420"/>
    </w:pPr>
  </w:style>
  <w:style w:type="paragraph" w:styleId="1128" w:customStyle="1">
    <w:name w:val="正文文本11"/>
    <w:basedOn w:val="1129"/>
    <w:next w:val="1131"/>
    <w:uiPriority w:val="0"/>
    <w:qFormat/>
    <w:pPr>
      <w:spacing w:after="120"/>
    </w:pPr>
  </w:style>
  <w:style w:type="paragraph" w:styleId="1129" w:customStyle="1">
    <w:name w:val="正文12"/>
    <w:next w:val="1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标题 21"/>
    <w:basedOn w:val="1131"/>
    <w:next w:val="1129"/>
    <w:uiPriority w:val="0"/>
    <w:qFormat/>
    <w:pPr>
      <w:jc w:val="left"/>
      <w:keepLines/>
      <w:keepNext/>
      <w:spacing w:before="50"/>
      <w:tabs>
        <w:tab w:val="left" w:pos="0" w:leader="none"/>
      </w:tabs>
    </w:pPr>
    <w:rPr>
      <w:rFonts w:ascii="Arial" w:hAnsi="Arial" w:eastAsia="黑体"/>
      <w:sz w:val="32"/>
      <w:szCs w:val="20"/>
    </w:rPr>
  </w:style>
  <w:style w:type="paragraph" w:styleId="1131" w:customStyle="1">
    <w:name w:val="正文1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正文首行缩进 211"/>
    <w:basedOn w:val="1133"/>
    <w:next w:val="1134"/>
    <w:uiPriority w:val="0"/>
    <w:qFormat/>
    <w:pPr>
      <w:ind w:left="0" w:firstLine="420"/>
      <w:spacing w:after="0" w:line="360" w:lineRule="auto"/>
    </w:pPr>
    <w:rPr>
      <w:rFonts w:ascii="宋体" w:hAnsi="宋体"/>
      <w:szCs w:val="20"/>
    </w:rPr>
  </w:style>
  <w:style w:type="paragraph" w:styleId="1133" w:customStyle="1">
    <w:name w:val="正文文本缩进11"/>
    <w:basedOn w:val="1134"/>
    <w:next w:val="1134"/>
    <w:uiPriority w:val="0"/>
    <w:unhideWhenUsed/>
    <w:qFormat/>
    <w:pPr>
      <w:ind w:left="420"/>
      <w:spacing w:after="120"/>
    </w:pPr>
  </w:style>
  <w:style w:type="paragraph" w:styleId="1134" w:customStyle="1">
    <w:name w:val="正文112"/>
    <w:next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正文11"/>
    <w:next w:val="1136"/>
    <w:link w:val="12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目录 11"/>
    <w:basedOn w:val="1137"/>
    <w:next w:val="1135"/>
    <w:uiPriority w:val="99"/>
    <w:qFormat/>
  </w:style>
  <w:style w:type="paragraph" w:styleId="1137" w:customStyle="1">
    <w:name w:val="正文1"/>
    <w:basedOn w:val="1131"/>
    <w:next w:val="1138"/>
    <w:uiPriority w:val="0"/>
    <w:qFormat/>
  </w:style>
  <w:style w:type="paragraph" w:styleId="1138" w:customStyle="1">
    <w:name w:val="脚注文本1"/>
    <w:basedOn w:val="1129"/>
    <w:next w:val="1139"/>
    <w:uiPriority w:val="0"/>
    <w:qFormat/>
    <w:rPr>
      <w:sz w:val="18"/>
      <w:szCs w:val="18"/>
    </w:rPr>
  </w:style>
  <w:style w:type="paragraph" w:styleId="1139" w:customStyle="1">
    <w:name w:val="索引 51"/>
    <w:basedOn w:val="1129"/>
    <w:next w:val="1137"/>
    <w:uiPriority w:val="0"/>
    <w:qFormat/>
    <w:pPr>
      <w:ind w:left="798"/>
      <w:jc w:val="left"/>
    </w:pPr>
    <w:rPr>
      <w:rFonts w:ascii="Calibri" w:hAnsi="Calibri"/>
    </w:rPr>
  </w:style>
  <w:style w:type="paragraph" w:styleId="1140" w:customStyle="1">
    <w:name w:val="文本块1"/>
    <w:basedOn w:val="1131"/>
    <w:uiPriority w:val="0"/>
    <w:qFormat/>
    <w:pPr>
      <w:ind w:left="256" w:right="6" w:firstLine="624"/>
    </w:pPr>
    <w:rPr>
      <w:rFonts w:eastAsia="仿宋_GB2312"/>
      <w:sz w:val="28"/>
    </w:rPr>
  </w:style>
  <w:style w:type="paragraph" w:styleId="1141" w:customStyle="1">
    <w:name w:val="正文文本缩进1"/>
    <w:basedOn w:val="1137"/>
    <w:next w:val="1142"/>
    <w:uiPriority w:val="0"/>
    <w:qFormat/>
    <w:pPr>
      <w:ind w:left="420"/>
      <w:spacing w:after="120"/>
    </w:pPr>
  </w:style>
  <w:style w:type="paragraph" w:styleId="1142" w:customStyle="1">
    <w:name w:val="寄信人地址1"/>
    <w:basedOn w:val="1083"/>
    <w:uiPriority w:val="0"/>
    <w:qFormat/>
    <w:rPr>
      <w:rFonts w:ascii="Arial" w:hAnsi="Arial" w:cs="宋体"/>
    </w:rPr>
  </w:style>
  <w:style w:type="character" w:styleId="1143" w:customStyle="1">
    <w:name w:val="Heading 1 Char"/>
    <w:basedOn w:val="1093"/>
    <w:link w:val="1084"/>
    <w:uiPriority w:val="9"/>
    <w:qFormat/>
    <w:rPr>
      <w:rFonts w:ascii="Arial" w:hAnsi="Arial" w:eastAsia="Arial" w:cs="Arial"/>
      <w:sz w:val="40"/>
      <w:szCs w:val="40"/>
    </w:rPr>
  </w:style>
  <w:style w:type="character" w:styleId="1144" w:customStyle="1">
    <w:name w:val="Heading 2 Char"/>
    <w:basedOn w:val="1093"/>
    <w:link w:val="1085"/>
    <w:uiPriority w:val="9"/>
    <w:qFormat/>
    <w:rPr>
      <w:rFonts w:ascii="Arial" w:hAnsi="Arial" w:eastAsia="Arial" w:cs="Arial"/>
      <w:sz w:val="34"/>
    </w:rPr>
  </w:style>
  <w:style w:type="character" w:styleId="1145" w:customStyle="1">
    <w:name w:val="Heading 3 Char"/>
    <w:basedOn w:val="1093"/>
    <w:link w:val="1086"/>
    <w:uiPriority w:val="9"/>
    <w:qFormat/>
    <w:rPr>
      <w:rFonts w:ascii="Arial" w:hAnsi="Arial" w:eastAsia="Arial" w:cs="Arial"/>
      <w:sz w:val="30"/>
      <w:szCs w:val="30"/>
    </w:rPr>
  </w:style>
  <w:style w:type="character" w:styleId="1146" w:customStyle="1">
    <w:name w:val="Heading 4 Char"/>
    <w:basedOn w:val="1093"/>
    <w:link w:val="1087"/>
    <w:uiPriority w:val="9"/>
    <w:qFormat/>
    <w:rPr>
      <w:rFonts w:ascii="Arial" w:hAnsi="Arial" w:eastAsia="Arial" w:cs="Arial"/>
      <w:b/>
      <w:bCs/>
      <w:sz w:val="26"/>
      <w:szCs w:val="26"/>
    </w:rPr>
  </w:style>
  <w:style w:type="character" w:styleId="1147" w:customStyle="1">
    <w:name w:val="Heading 5 Char"/>
    <w:basedOn w:val="1093"/>
    <w:link w:val="1088"/>
    <w:uiPriority w:val="9"/>
    <w:qFormat/>
    <w:rPr>
      <w:rFonts w:ascii="Arial" w:hAnsi="Arial" w:eastAsia="Arial" w:cs="Arial"/>
      <w:b/>
      <w:bCs/>
      <w:sz w:val="24"/>
      <w:szCs w:val="24"/>
    </w:rPr>
  </w:style>
  <w:style w:type="character" w:styleId="1148" w:customStyle="1">
    <w:name w:val="Heading 6 Char"/>
    <w:basedOn w:val="1093"/>
    <w:link w:val="1089"/>
    <w:uiPriority w:val="9"/>
    <w:qFormat/>
    <w:rPr>
      <w:rFonts w:ascii="Arial" w:hAnsi="Arial" w:eastAsia="Arial" w:cs="Arial"/>
      <w:b/>
      <w:bCs/>
      <w:sz w:val="22"/>
      <w:szCs w:val="22"/>
    </w:rPr>
  </w:style>
  <w:style w:type="character" w:styleId="1149" w:customStyle="1">
    <w:name w:val="Heading 7 Char"/>
    <w:basedOn w:val="1093"/>
    <w:link w:val="1090"/>
    <w:uiPriority w:val="9"/>
    <w:qFormat/>
    <w:rPr>
      <w:rFonts w:ascii="Arial" w:hAnsi="Arial" w:eastAsia="Arial" w:cs="Arial"/>
      <w:b/>
      <w:bCs/>
      <w:i/>
      <w:iCs/>
      <w:sz w:val="22"/>
      <w:szCs w:val="22"/>
    </w:rPr>
  </w:style>
  <w:style w:type="character" w:styleId="1150" w:customStyle="1">
    <w:name w:val="Heading 8 Char"/>
    <w:basedOn w:val="1093"/>
    <w:link w:val="1091"/>
    <w:uiPriority w:val="9"/>
    <w:qFormat/>
    <w:rPr>
      <w:rFonts w:ascii="Arial" w:hAnsi="Arial" w:eastAsia="Arial" w:cs="Arial"/>
      <w:i/>
      <w:iCs/>
      <w:sz w:val="22"/>
      <w:szCs w:val="22"/>
    </w:rPr>
  </w:style>
  <w:style w:type="character" w:styleId="1151" w:customStyle="1">
    <w:name w:val="Heading 9 Char"/>
    <w:basedOn w:val="1093"/>
    <w:link w:val="1092"/>
    <w:uiPriority w:val="9"/>
    <w:qFormat/>
    <w:rPr>
      <w:rFonts w:ascii="Arial" w:hAnsi="Arial" w:eastAsia="Arial" w:cs="Arial"/>
      <w:i/>
      <w:iCs/>
      <w:sz w:val="21"/>
      <w:szCs w:val="21"/>
    </w:rPr>
  </w:style>
  <w:style w:type="paragraph" w:styleId="1152">
    <w:name w:val="List Paragraph"/>
    <w:basedOn w:val="1083"/>
    <w:uiPriority w:val="34"/>
    <w:qFormat/>
    <w:pPr>
      <w:contextualSpacing/>
      <w:ind w:left="720"/>
    </w:pPr>
  </w:style>
  <w:style w:type="paragraph" w:styleId="1153">
    <w:name w:val="No Spacing"/>
    <w:uiPriority w:val="1"/>
    <w:qFormat/>
    <w:pPr>
      <w:spacing w:before="0" w:after="0" w:line="240" w:lineRule="auto"/>
    </w:pPr>
    <w:rPr>
      <w:rFonts w:hint="default" w:ascii="Times New Roman" w:hAnsi="Times New Roman" w:eastAsia="宋体" w:cs="Times New Roman"/>
    </w:rPr>
  </w:style>
  <w:style w:type="character" w:styleId="1154" w:customStyle="1">
    <w:name w:val="Title Char"/>
    <w:basedOn w:val="1093"/>
    <w:link w:val="1117"/>
    <w:uiPriority w:val="10"/>
    <w:qFormat/>
    <w:rPr>
      <w:sz w:val="48"/>
      <w:szCs w:val="48"/>
    </w:rPr>
  </w:style>
  <w:style w:type="character" w:styleId="1155" w:customStyle="1">
    <w:name w:val="Subtitle Char"/>
    <w:basedOn w:val="1093"/>
    <w:link w:val="1110"/>
    <w:uiPriority w:val="11"/>
    <w:qFormat/>
    <w:rPr>
      <w:sz w:val="24"/>
      <w:szCs w:val="24"/>
    </w:rPr>
  </w:style>
  <w:style w:type="paragraph" w:styleId="1156">
    <w:name w:val="Quote"/>
    <w:basedOn w:val="1083"/>
    <w:next w:val="1083"/>
    <w:link w:val="1157"/>
    <w:uiPriority w:val="29"/>
    <w:qFormat/>
    <w:pPr>
      <w:ind w:left="720" w:right="720"/>
    </w:pPr>
    <w:rPr>
      <w:i/>
    </w:rPr>
  </w:style>
  <w:style w:type="character" w:styleId="1157" w:customStyle="1">
    <w:name w:val="Quote Char"/>
    <w:link w:val="1156"/>
    <w:uiPriority w:val="29"/>
    <w:qFormat/>
    <w:rPr>
      <w:i/>
    </w:rPr>
  </w:style>
  <w:style w:type="paragraph" w:styleId="1158">
    <w:name w:val="Intense Quote"/>
    <w:basedOn w:val="1083"/>
    <w:next w:val="1083"/>
    <w:link w:val="11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9" w:customStyle="1">
    <w:name w:val="Intense Quote Char"/>
    <w:link w:val="1158"/>
    <w:uiPriority w:val="30"/>
    <w:qFormat/>
    <w:rPr>
      <w:i/>
    </w:rPr>
  </w:style>
  <w:style w:type="character" w:styleId="1160" w:customStyle="1">
    <w:name w:val="Header Char"/>
    <w:basedOn w:val="1093"/>
    <w:link w:val="1107"/>
    <w:uiPriority w:val="99"/>
    <w:qFormat/>
  </w:style>
  <w:style w:type="character" w:styleId="1161" w:customStyle="1">
    <w:name w:val="Footer Char"/>
    <w:basedOn w:val="1093"/>
    <w:uiPriority w:val="99"/>
    <w:qFormat/>
  </w:style>
  <w:style w:type="character" w:styleId="1162" w:customStyle="1">
    <w:name w:val="Caption Char"/>
    <w:uiPriority w:val="99"/>
    <w:qFormat/>
  </w:style>
  <w:style w:type="table" w:styleId="1163" w:customStyle="1">
    <w:name w:val="Table Grid Light"/>
    <w:basedOn w:val="10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64" w:customStyle="1">
    <w:name w:val="Plain Table 1"/>
    <w:basedOn w:val="10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5" w:customStyle="1">
    <w:name w:val="Plain Table 2"/>
    <w:basedOn w:val="10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Plain Table 3"/>
    <w:basedOn w:val="10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7" w:customStyle="1">
    <w:name w:val="Plain Table 4"/>
    <w:basedOn w:val="10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8" w:customStyle="1">
    <w:name w:val="Plain Table 5"/>
    <w:basedOn w:val="10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9" w:customStyle="1">
    <w:name w:val="Grid Table 1 Light"/>
    <w:basedOn w:val="10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0" w:customStyle="1">
    <w:name w:val="Grid Table 1 Light - Accent 1"/>
    <w:basedOn w:val="10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2"/>
    <w:basedOn w:val="10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2" w:customStyle="1">
    <w:name w:val="Grid Table 1 Light - Accent 3"/>
    <w:basedOn w:val="10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4"/>
    <w:basedOn w:val="10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5"/>
    <w:basedOn w:val="10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6"/>
    <w:basedOn w:val="10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76" w:customStyle="1">
    <w:name w:val="Grid Table 2"/>
    <w:basedOn w:val="10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7" w:customStyle="1">
    <w:name w:val="Grid Table 2 - Accent 1"/>
    <w:basedOn w:val="10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78" w:customStyle="1">
    <w:name w:val="Grid Table 2 - Accent 2"/>
    <w:basedOn w:val="10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79" w:customStyle="1">
    <w:name w:val="Grid Table 2 - Accent 3"/>
    <w:basedOn w:val="10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0" w:customStyle="1">
    <w:name w:val="Grid Table 2 - Accent 4"/>
    <w:basedOn w:val="10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1" w:customStyle="1">
    <w:name w:val="Grid Table 2 - Accent 5"/>
    <w:basedOn w:val="10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2" w:customStyle="1">
    <w:name w:val="Grid Table 2 - Accent 6"/>
    <w:basedOn w:val="10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83" w:customStyle="1">
    <w:name w:val="Grid Table 3"/>
    <w:basedOn w:val="10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3 - Accent 1"/>
    <w:basedOn w:val="109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2"/>
    <w:basedOn w:val="109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3"/>
    <w:basedOn w:val="109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4"/>
    <w:basedOn w:val="109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5"/>
    <w:basedOn w:val="109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6"/>
    <w:basedOn w:val="109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4"/>
    <w:basedOn w:val="10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1" w:customStyle="1">
    <w:name w:val="Grid Table 4 - Accent 1"/>
    <w:basedOn w:val="109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2" w:customStyle="1">
    <w:name w:val="Grid Table 4 - Accent 2"/>
    <w:basedOn w:val="109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93" w:customStyle="1">
    <w:name w:val="Grid Table 4 - Accent 3"/>
    <w:basedOn w:val="109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94" w:customStyle="1">
    <w:name w:val="Grid Table 4 - Accent 4"/>
    <w:basedOn w:val="109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95" w:customStyle="1">
    <w:name w:val="Grid Table 4 - Accent 5"/>
    <w:basedOn w:val="109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96" w:customStyle="1">
    <w:name w:val="Grid Table 4 - Accent 6"/>
    <w:basedOn w:val="109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97" w:customStyle="1">
    <w:name w:val="Grid Table 5 Dark"/>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8" w:customStyle="1">
    <w:name w:val="Grid Table 5 Dark- Accent 1"/>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99" w:customStyle="1">
    <w:name w:val="Grid Table 5 Dark - Accent 2"/>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0" w:customStyle="1">
    <w:name w:val="Grid Table 5 Dark - Accent 3"/>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1" w:customStyle="1">
    <w:name w:val="Grid Table 5 Dark- Accent 4"/>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2" w:customStyle="1">
    <w:name w:val="Grid Table 5 Dark - Accent 5"/>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03" w:customStyle="1">
    <w:name w:val="Grid Table 5 Dark - Accent 6"/>
    <w:basedOn w:val="10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04" w:customStyle="1">
    <w:name w:val="Grid Table 6 Colorful"/>
    <w:basedOn w:val="10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5" w:customStyle="1">
    <w:name w:val="Grid Table 6 Colorful - Accent 1"/>
    <w:basedOn w:val="109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06" w:customStyle="1">
    <w:name w:val="Grid Table 6 Colorful - Accent 2"/>
    <w:basedOn w:val="10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07" w:customStyle="1">
    <w:name w:val="Grid Table 6 Colorful - Accent 3"/>
    <w:basedOn w:val="109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08" w:customStyle="1">
    <w:name w:val="Grid Table 6 Colorful - Accent 4"/>
    <w:basedOn w:val="10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09" w:customStyle="1">
    <w:name w:val="Grid Table 6 Colorful - Accent 5"/>
    <w:basedOn w:val="109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0" w:customStyle="1">
    <w:name w:val="Grid Table 6 Colorful - Accent 6"/>
    <w:basedOn w:val="109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1" w:customStyle="1">
    <w:name w:val="Grid Table 7 Colorful"/>
    <w:basedOn w:val="10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Grid Table 7 Colorful - Accent 1"/>
    <w:basedOn w:val="109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13" w:customStyle="1">
    <w:name w:val="Grid Table 7 Colorful - Accent 2"/>
    <w:basedOn w:val="109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4" w:customStyle="1">
    <w:name w:val="Grid Table 7 Colorful - Accent 3"/>
    <w:basedOn w:val="109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15" w:customStyle="1">
    <w:name w:val="Grid Table 7 Colorful - Accent 4"/>
    <w:basedOn w:val="109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6" w:customStyle="1">
    <w:name w:val="Grid Table 7 Colorful - Accent 5"/>
    <w:basedOn w:val="109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17" w:customStyle="1">
    <w:name w:val="Grid Table 7 Colorful - Accent 6"/>
    <w:basedOn w:val="109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18" w:customStyle="1">
    <w:name w:val="List Table 1 Light"/>
    <w:basedOn w:val="10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9" w:customStyle="1">
    <w:name w:val="List Table 1 Light - Accent 1"/>
    <w:basedOn w:val="109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0" w:customStyle="1">
    <w:name w:val="List Table 1 Light - Accent 2"/>
    <w:basedOn w:val="109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21" w:customStyle="1">
    <w:name w:val="List Table 1 Light - Accent 3"/>
    <w:basedOn w:val="109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2" w:customStyle="1">
    <w:name w:val="List Table 1 Light - Accent 4"/>
    <w:basedOn w:val="109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23" w:customStyle="1">
    <w:name w:val="List Table 1 Light - Accent 5"/>
    <w:basedOn w:val="109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24" w:customStyle="1">
    <w:name w:val="List Table 1 Light - Accent 6"/>
    <w:basedOn w:val="109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25" w:customStyle="1">
    <w:name w:val="List Table 2"/>
    <w:basedOn w:val="10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6" w:customStyle="1">
    <w:name w:val="List Table 2 - Accent 1"/>
    <w:basedOn w:val="109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27" w:customStyle="1">
    <w:name w:val="List Table 2 - Accent 2"/>
    <w:basedOn w:val="109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28" w:customStyle="1">
    <w:name w:val="List Table 2 - Accent 3"/>
    <w:basedOn w:val="109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29" w:customStyle="1">
    <w:name w:val="List Table 2 - Accent 4"/>
    <w:basedOn w:val="109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0" w:customStyle="1">
    <w:name w:val="List Table 2 - Accent 5"/>
    <w:basedOn w:val="109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31" w:customStyle="1">
    <w:name w:val="List Table 2 - Accent 6"/>
    <w:basedOn w:val="109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32" w:customStyle="1">
    <w:name w:val="List Table 3"/>
    <w:basedOn w:val="10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3" w:customStyle="1">
    <w:name w:val="List Table 3 - Accent 1"/>
    <w:basedOn w:val="109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34" w:customStyle="1">
    <w:name w:val="List Table 3 - Accent 2"/>
    <w:basedOn w:val="109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35" w:customStyle="1">
    <w:name w:val="List Table 3 - Accent 3"/>
    <w:basedOn w:val="109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36" w:customStyle="1">
    <w:name w:val="List Table 3 - Accent 4"/>
    <w:basedOn w:val="109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37" w:customStyle="1">
    <w:name w:val="List Table 3 - Accent 5"/>
    <w:basedOn w:val="109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38" w:customStyle="1">
    <w:name w:val="List Table 3 - Accent 6"/>
    <w:basedOn w:val="109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39" w:customStyle="1">
    <w:name w:val="List Table 4"/>
    <w:basedOn w:val="10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0" w:customStyle="1">
    <w:name w:val="List Table 4 - Accent 1"/>
    <w:basedOn w:val="109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1" w:customStyle="1">
    <w:name w:val="List Table 4 - Accent 2"/>
    <w:basedOn w:val="109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42" w:customStyle="1">
    <w:name w:val="List Table 4 - Accent 3"/>
    <w:basedOn w:val="109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43" w:customStyle="1">
    <w:name w:val="List Table 4 - Accent 4"/>
    <w:basedOn w:val="109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44" w:customStyle="1">
    <w:name w:val="List Table 4 - Accent 5"/>
    <w:basedOn w:val="109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45" w:customStyle="1">
    <w:name w:val="List Table 4 - Accent 6"/>
    <w:basedOn w:val="109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46" w:customStyle="1">
    <w:name w:val="List Table 5 Dark"/>
    <w:basedOn w:val="10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7" w:customStyle="1">
    <w:name w:val="List Table 5 Dark - Accent 1"/>
    <w:basedOn w:val="109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2"/>
    <w:basedOn w:val="109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3"/>
    <w:basedOn w:val="109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4"/>
    <w:basedOn w:val="109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5"/>
    <w:basedOn w:val="109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6"/>
    <w:basedOn w:val="109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6 Colorful"/>
    <w:basedOn w:val="10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4" w:customStyle="1">
    <w:name w:val="List Table 6 Colorful - Accent 1"/>
    <w:basedOn w:val="109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55" w:customStyle="1">
    <w:name w:val="List Table 6 Colorful - Accent 2"/>
    <w:basedOn w:val="109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56" w:customStyle="1">
    <w:name w:val="List Table 6 Colorful - Accent 3"/>
    <w:basedOn w:val="109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57" w:customStyle="1">
    <w:name w:val="List Table 6 Colorful - Accent 4"/>
    <w:basedOn w:val="109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58" w:customStyle="1">
    <w:name w:val="List Table 6 Colorful - Accent 5"/>
    <w:basedOn w:val="109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59" w:customStyle="1">
    <w:name w:val="List Table 6 Colorful - Accent 6"/>
    <w:basedOn w:val="109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0" w:customStyle="1">
    <w:name w:val="List Table 7 Colorful"/>
    <w:basedOn w:val="10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1" w:customStyle="1">
    <w:name w:val="List Table 7 Colorful - Accent 1"/>
    <w:basedOn w:val="109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62" w:customStyle="1">
    <w:name w:val="List Table 7 Colorful - Accent 2"/>
    <w:basedOn w:val="109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3" w:customStyle="1">
    <w:name w:val="List Table 7 Colorful - Accent 3"/>
    <w:basedOn w:val="109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64" w:customStyle="1">
    <w:name w:val="List Table 7 Colorful - Accent 4"/>
    <w:basedOn w:val="109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5" w:customStyle="1">
    <w:name w:val="List Table 7 Colorful - Accent 5"/>
    <w:basedOn w:val="109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66" w:customStyle="1">
    <w:name w:val="List Table 7 Colorful - Accent 6"/>
    <w:basedOn w:val="109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67" w:customStyle="1">
    <w:name w:val="Lined - Accent"/>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8" w:customStyle="1">
    <w:name w:val="Lined - Accent 1"/>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9" w:customStyle="1">
    <w:name w:val="Lined - Accent 2"/>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0" w:customStyle="1">
    <w:name w:val="Lined - Accent 3"/>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1" w:customStyle="1">
    <w:name w:val="Lined - Accent 4"/>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2" w:customStyle="1">
    <w:name w:val="Lined - Accent 5"/>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73" w:customStyle="1">
    <w:name w:val="Lined - Accent 6"/>
    <w:basedOn w:val="10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74" w:customStyle="1">
    <w:name w:val="Bordered &amp; Lined - Accent"/>
    <w:basedOn w:val="10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5" w:customStyle="1">
    <w:name w:val="Bordered &amp; Lined - Accent 1"/>
    <w:basedOn w:val="109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6" w:customStyle="1">
    <w:name w:val="Bordered &amp; Lined - Accent 2"/>
    <w:basedOn w:val="109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7" w:customStyle="1">
    <w:name w:val="Bordered &amp; Lined - Accent 3"/>
    <w:basedOn w:val="109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8" w:customStyle="1">
    <w:name w:val="Bordered &amp; Lined - Accent 4"/>
    <w:basedOn w:val="109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9" w:customStyle="1">
    <w:name w:val="Bordered &amp; Lined - Accent 5"/>
    <w:basedOn w:val="109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0" w:customStyle="1">
    <w:name w:val="Bordered &amp; Lined - Accent 6"/>
    <w:basedOn w:val="109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1" w:customStyle="1">
    <w:name w:val="Bordered"/>
    <w:basedOn w:val="10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2" w:customStyle="1">
    <w:name w:val="Bordered - Accent 1"/>
    <w:basedOn w:val="109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83" w:customStyle="1">
    <w:name w:val="Bordered - Accent 2"/>
    <w:basedOn w:val="109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84" w:customStyle="1">
    <w:name w:val="Bordered - Accent 3"/>
    <w:basedOn w:val="109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85" w:customStyle="1">
    <w:name w:val="Bordered - Accent 4"/>
    <w:basedOn w:val="109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86" w:customStyle="1">
    <w:name w:val="Bordered - Accent 5"/>
    <w:basedOn w:val="109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87" w:customStyle="1">
    <w:name w:val="Bordered - Accent 6"/>
    <w:basedOn w:val="109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88" w:customStyle="1">
    <w:name w:val="Footnote Text Char"/>
    <w:link w:val="1111"/>
    <w:uiPriority w:val="99"/>
    <w:qFormat/>
    <w:rPr>
      <w:sz w:val="18"/>
    </w:rPr>
  </w:style>
  <w:style w:type="character" w:styleId="1289" w:customStyle="1">
    <w:name w:val="Endnote Text Char"/>
    <w:link w:val="1105"/>
    <w:uiPriority w:val="99"/>
    <w:qFormat/>
    <w:rPr>
      <w:sz w:val="20"/>
    </w:rPr>
  </w:style>
  <w:style w:type="paragraph" w:styleId="1290" w:customStyle="1">
    <w:name w:val="TOC Heading"/>
    <w:uiPriority w:val="39"/>
    <w:unhideWhenUsed/>
    <w:qFormat/>
    <w:rPr>
      <w:rFonts w:hint="default" w:ascii="Times New Roman" w:hAnsi="Times New Roman" w:eastAsia="宋体" w:cs="Times New Roman"/>
    </w:rPr>
  </w:style>
  <w:style w:type="paragraph" w:styleId="1291" w:customStyle="1">
    <w:name w:val="文本块12"/>
    <w:basedOn w:val="1083"/>
    <w:uiPriority w:val="99"/>
    <w:qFormat/>
    <w:pPr>
      <w:ind w:left="1440" w:right="1440"/>
      <w:spacing w:after="120"/>
    </w:pPr>
  </w:style>
  <w:style w:type="paragraph" w:styleId="1292" w:customStyle="1">
    <w:name w:val="目录 1111"/>
    <w:basedOn w:val="1083"/>
    <w:next w:val="1083"/>
    <w:uiPriority w:val="39"/>
    <w:qFormat/>
  </w:style>
  <w:style w:type="paragraph" w:styleId="1293" w:customStyle="1">
    <w:name w:val="首行缩进"/>
    <w:basedOn w:val="1135"/>
    <w:next w:val="1083"/>
    <w:uiPriority w:val="0"/>
    <w:qFormat/>
    <w:pPr>
      <w:ind w:firstLine="420"/>
      <w:spacing w:line="360" w:lineRule="auto"/>
    </w:pPr>
  </w:style>
  <w:style w:type="paragraph" w:styleId="1294" w:customStyle="1">
    <w:name w:val="正文文本1"/>
    <w:basedOn w:val="1137"/>
    <w:next w:val="1131"/>
    <w:uiPriority w:val="0"/>
    <w:qFormat/>
    <w:pPr>
      <w:spacing w:after="120"/>
    </w:pPr>
    <w:rPr>
      <w:rFonts w:ascii="Calibri" w:hAnsi="Calibri"/>
    </w:rPr>
  </w:style>
  <w:style w:type="paragraph" w:styleId="1295" w:customStyle="1">
    <w:name w:val="文本块11"/>
    <w:basedOn w:val="1129"/>
    <w:uiPriority w:val="0"/>
    <w:qFormat/>
    <w:pPr>
      <w:ind w:left="256" w:right="6" w:firstLine="624"/>
    </w:pPr>
    <w:rPr>
      <w:rFonts w:ascii="Arial" w:hAnsi="Arial" w:eastAsia="仿宋"/>
      <w:sz w:val="28"/>
    </w:rPr>
  </w:style>
  <w:style w:type="character" w:styleId="1296" w:customStyle="1">
    <w:name w:val="NormalCharacter1"/>
    <w:link w:val="1135"/>
    <w:uiPriority w:val="0"/>
    <w:semiHidden/>
    <w:qFormat/>
    <w:rPr>
      <w:rFonts w:hint="default" w:ascii="Times New Roman" w:hAnsi="Times New Roman" w:eastAsia="宋体" w:cs="Times New Roman"/>
      <w:sz w:val="21"/>
      <w:szCs w:val="24"/>
      <w:lang w:val="en-US" w:eastAsia="zh-CN" w:bidi="ar-SA"/>
    </w:rPr>
  </w:style>
  <w:style w:type="character" w:styleId="1297" w:customStyle="1">
    <w:name w:val="NormalCharacter11"/>
    <w:link w:val="1083"/>
    <w:uiPriority w:val="0"/>
    <w:semiHidden/>
    <w:qFormat/>
    <w:rPr>
      <w:rFonts w:ascii="Times New Roman" w:hAnsi="Times New Roman"/>
      <w:sz w:val="21"/>
      <w:szCs w:val="24"/>
      <w:lang w:val="en-US" w:eastAsia="zh-CN" w:bidi="ar-SA"/>
    </w:rPr>
  </w:style>
  <w:style w:type="paragraph" w:styleId="1298" w:customStyle="1">
    <w:name w:val="正文缩进11"/>
    <w:basedOn w:val="1083"/>
    <w:uiPriority w:val="0"/>
    <w:unhideWhenUsed/>
    <w:qFormat/>
    <w:pPr>
      <w:ind w:firstLine="420"/>
    </w:pPr>
  </w:style>
  <w:style w:type="paragraph" w:styleId="1299" w:customStyle="1">
    <w:name w:val="Table Paragraph"/>
    <w:basedOn w:val="1083"/>
    <w:uiPriority w:val="1"/>
    <w:qFormat/>
    <w:rPr>
      <w:rFonts w:ascii="宋体" w:hAnsi="宋体" w:eastAsia="宋体" w:cs="宋体"/>
      <w:lang w:val="en-US" w:eastAsia="zh-CN" w:bidi="ar-SA"/>
    </w:rPr>
  </w:style>
  <w:style w:type="table" w:styleId="1300" w:customStyle="1">
    <w:name w:val="Table Normal"/>
    <w:uiPriority w:val="0"/>
    <w:qFormat/>
    <w:tblPr/>
  </w:style>
  <w:style w:type="paragraph" w:styleId="1301" w:customStyle="1">
    <w:name w:val="普通(网站)1"/>
    <w:basedOn w:val="1083"/>
    <w:uiPriority w:val="99"/>
    <w:qFormat/>
    <w:pPr>
      <w:jc w:val="left"/>
      <w:spacing w:before="100" w:beforeAutospacing="1" w:after="100" w:afterAutospacing="1"/>
      <w:widowControl/>
    </w:pPr>
    <w:rPr>
      <w:rFonts w:ascii="宋体" w:hAnsi="宋体" w:eastAsia="宋体" w:cs="宋体"/>
      <w:sz w:val="24"/>
      <w:szCs w:val="24"/>
    </w:rPr>
  </w:style>
  <w:style w:type="paragraph" w:styleId="1302"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303" w:customStyle="1">
    <w:name w:val="Body text|1"/>
    <w:basedOn w:val="108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04" w:customStyle="1">
    <w:name w:val="正文缩进1"/>
    <w:basedOn w:val="1083"/>
    <w:uiPriority w:val="0"/>
    <w:qFormat/>
    <w:pPr>
      <w:ind w:firstLine="420"/>
    </w:pPr>
  </w:style>
  <w:style w:type="paragraph" w:styleId="1305" w:customStyle="1">
    <w:name w:val="BlockQuote1"/>
    <w:basedOn w:val="1083"/>
    <w:uiPriority w:val="0"/>
    <w:qFormat/>
    <w:pPr>
      <w:ind w:left="256" w:right="6" w:firstLine="624"/>
    </w:pPr>
    <w:rPr>
      <w:rFonts w:eastAsia="仿宋_GB2312"/>
      <w:sz w:val="28"/>
    </w:rPr>
  </w:style>
  <w:style w:type="paragraph" w:styleId="1306" w:customStyle="1">
    <w:name w:val="页脚1"/>
    <w:basedOn w:val="1083"/>
    <w:uiPriority w:val="0"/>
    <w:qFormat/>
    <w:pPr>
      <w:jc w:val="left"/>
      <w:tabs>
        <w:tab w:val="center" w:pos="4153" w:leader="none"/>
        <w:tab w:val="right" w:pos="8306" w:leader="none"/>
      </w:tabs>
    </w:pPr>
    <w:rPr>
      <w:sz w:val="18"/>
      <w:szCs w:val="18"/>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image" Target="media/image2.jpg"/><Relationship Id="rId25" Type="http://schemas.openxmlformats.org/officeDocument/2006/relationships/image" Target="media/image3.png"/><Relationship Id="rId2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4</cp:revision>
  <dcterms:created xsi:type="dcterms:W3CDTF">2025-04-08T00:42:00Z</dcterms:created>
  <dcterms:modified xsi:type="dcterms:W3CDTF">2026-06-11T09:24:04Z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9F03520BC1194118B0810D87BA3C6952_13</vt:lpwstr>
  </property>
  <property fmtid="{D5CDD505-2E9C-101B-9397-08002B2CF9AE}" pid="4" name="KSOTemplateDocerSaveRecord">
    <vt:lpwstr>eyJoZGlkIjoiNGE3NTRiNjhkNzA3NzAwMzE5Mjk4NWQ4ZGU1MjM4NDEiLCJ1c2VySWQiOiI0ODkyMzMxMDQifQ==</vt:lpwstr>
  </property>
</Properties>
</file>