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color w:val="auto"/>
          <w:sz w:val="21"/>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-290830</wp:posOffset>
                </wp:positionH>
                <wp:positionV relativeFrom="paragraph">
                  <wp:posOffset>68580</wp:posOffset>
                </wp:positionV>
                <wp:extent cx="2219325" cy="844550"/>
                <wp:effectExtent l="0" t="0" r="5715" b="8890"/>
                <wp:wrapSquare wrapText="bothSides"/>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4"/>
                        <a:stretch/>
                      </pic:blipFill>
                      <pic:spPr bwMode="auto">
                        <a:xfrm>
                          <a:off x="0" y="0"/>
                          <a:ext cx="2219325" cy="844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2.9pt;mso-position-horizontal:absolute;mso-position-vertical-relative:text;margin-top:5.4pt;mso-position-vertical:absolute;width:174.8pt;height:66.5pt;mso-wrap-distance-left:9.0pt;mso-wrap-distance-top:0.0pt;mso-wrap-distance-right:9.0pt;mso-wrap-distance-bottom:0.0pt;" stroked="f">
                <v:path textboxrect="0,0,0,0"/>
                <w10:wrap type="square"/>
                <v:imagedata r:id="rId14" o:title=""/>
              </v:shape>
            </w:pict>
          </mc:Fallback>
        </mc:AlternateConten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招</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标</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文</w:t>
      </w:r>
      <w:r/>
    </w:p>
    <w:p>
      <w:pPr>
        <w:jc w:val="center"/>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件</w:t>
      </w:r>
      <w:r/>
    </w:p>
    <w:p>
      <w:pPr>
        <w:pStyle w:val="819"/>
        <w:rPr>
          <w:color w:val="auto"/>
          <w:highlight w:val="none"/>
        </w:rPr>
      </w:pPr>
      <w:r>
        <w:rPr>
          <w:color w:val="auto"/>
          <w:highlight w:val="none"/>
        </w:rPr>
      </w:r>
      <w:r/>
    </w:p>
    <w:p>
      <w:pPr>
        <w:pStyle w:val="751"/>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沛县校园保安服务</w:t>
      </w:r>
      <w:r/>
    </w:p>
    <w:p>
      <w:pPr>
        <w:pStyle w:val="751"/>
        <w:ind w:firstLine="9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JSZC-320322-XDFH-G2026-0013</w:t>
      </w:r>
      <w:r/>
    </w:p>
    <w:p>
      <w:pPr>
        <w:pStyle w:val="751"/>
        <w:ind w:firstLine="900"/>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沛县教育局</w:t>
      </w:r>
      <w:r/>
    </w:p>
    <w:p>
      <w:pPr>
        <w:pStyle w:val="760"/>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pStyle w:val="761"/>
        <w:rPr>
          <w:rFonts w:hint="eastAsia"/>
          <w:highlight w:val="none"/>
          <w:lang w:eastAsia="zh-CN"/>
        </w:rPr>
      </w:pPr>
      <w:r>
        <w:rPr>
          <w:rFonts w:hint="eastAsia"/>
          <w:highlight w:val="none"/>
          <w:lang w:eastAsia="zh-CN"/>
        </w:rPr>
      </w:r>
      <w:r/>
    </w:p>
    <w:p>
      <w:pPr>
        <w:pStyle w:val="751"/>
        <w:ind w:firstLine="6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江苏希地丰华项目管理集团有限公司</w:t>
      </w:r>
      <w:r/>
    </w:p>
    <w:p>
      <w:pPr>
        <w:pStyle w:val="823"/>
        <w:ind w:firstLine="0"/>
        <w:jc w:val="center"/>
        <w:spacing w:line="360" w:lineRule="auto"/>
        <w:rPr>
          <w:rFonts w:ascii="宋体" w:hAnsi="宋体" w:cs="宋体"/>
          <w:b/>
          <w:color w:val="auto"/>
          <w:sz w:val="44"/>
          <w:highlight w:val="none"/>
        </w:rPr>
      </w:pPr>
      <w:r>
        <w:rPr>
          <w:rFonts w:hint="eastAsia" w:ascii="宋体" w:hAnsi="宋体" w:cs="宋体"/>
          <w:color w:val="auto"/>
          <w:sz w:val="30"/>
          <w:szCs w:val="30"/>
          <w:highlight w:val="none"/>
        </w:rPr>
        <w:t xml:space="preserve">二O二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月</w:t>
      </w: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pStyle w:val="751"/>
        <w:jc w:val="center"/>
        <w:spacing w:line="360" w:lineRule="auto"/>
        <w:rPr>
          <w:rFonts w:ascii="宋体" w:hAnsi="宋体" w:cs="宋体"/>
          <w:b/>
          <w:color w:val="auto"/>
          <w:sz w:val="44"/>
          <w:szCs w:val="44"/>
          <w:highlight w:val="none"/>
        </w:rPr>
      </w:pPr>
      <w:r/>
      <w:bookmarkStart w:id="0" w:name="_Toc522790130"/>
      <w:r/>
      <w:r/>
    </w:p>
    <w:p>
      <w:pPr>
        <w:pStyle w:val="822"/>
        <w:jc w:val="center"/>
        <w:spacing w:line="360" w:lineRule="auto"/>
        <w:tabs>
          <w:tab w:val="right" w:pos="8306" w:leader="dot"/>
        </w:tabs>
        <w:rPr>
          <w:rFonts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"_Toc24257" </w:instrText>
      </w:r>
      <w:r>
        <w:rPr>
          <w:color w:val="auto"/>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_Toc24257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22"/>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"_Toc6866" </w:instrText>
      </w:r>
      <w:r>
        <w:rPr>
          <w:color w:val="auto"/>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fldChar w:fldCharType="end"/>
      </w:r>
      <w:r/>
    </w:p>
    <w:p>
      <w:pPr>
        <w:pStyle w:val="822"/>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"_Toc12259" </w:instrText>
      </w:r>
      <w:r>
        <w:rPr>
          <w:color w:val="auto"/>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_Toc12259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822"/>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"_Toc9429" </w:instrText>
      </w:r>
      <w:r>
        <w:rPr>
          <w:color w:val="auto"/>
          <w:highlight w:val="none"/>
        </w:rPr>
        <w:fldChar w:fldCharType="separate"/>
      </w:r>
      <w:r>
        <w:rPr>
          <w:rFonts w:hint="eastAsia" w:ascii="宋体" w:hAnsi="宋体" w:cs="宋体"/>
          <w:bCs/>
          <w:color w:val="auto"/>
          <w:sz w:val="30"/>
          <w:szCs w:val="30"/>
          <w:highlight w:val="none"/>
        </w:rPr>
        <w:t xml:space="preserve">第四章 </w:t>
      </w:r>
      <w:r>
        <w:rPr>
          <w:rFonts w:hint="eastAsia" w:ascii="宋体" w:hAnsi="宋体" w:cs="宋体"/>
          <w:color w:val="auto"/>
          <w:sz w:val="30"/>
          <w:szCs w:val="30"/>
          <w:highlight w:val="none"/>
        </w:rPr>
        <w:t xml:space="preserve">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w:t>
      </w:r>
      <w:r/>
    </w:p>
    <w:p>
      <w:pPr>
        <w:pStyle w:val="822"/>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"_Toc14780" </w:instrText>
      </w:r>
      <w:r>
        <w:rPr>
          <w:color w:val="auto"/>
          <w:highlight w:val="none"/>
        </w:rPr>
        <w:fldChar w:fldCharType="separate"/>
      </w:r>
      <w:r>
        <w:rPr>
          <w:rFonts w:hint="eastAsia" w:ascii="宋体" w:hAnsi="宋体" w:cs="宋体"/>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6</w:t>
      </w:r>
      <w:r/>
    </w:p>
    <w:p>
      <w:pPr>
        <w:pStyle w:val="822"/>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"_Toc12097" </w:instrText>
      </w:r>
      <w:r>
        <w:rPr>
          <w:color w:val="auto"/>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33</w:t>
      </w:r>
      <w:r/>
    </w:p>
    <w:p>
      <w:pPr>
        <w:pStyle w:val="822"/>
        <w:jc w:val="center"/>
        <w:spacing w:line="360" w:lineRule="auto"/>
        <w:tabs>
          <w:tab w:val="right" w:pos="8306"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"_Toc17335" </w:instrText>
      </w:r>
      <w:r>
        <w:rPr>
          <w:color w:val="auto"/>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38</w:t>
      </w:r>
      <w:r/>
    </w:p>
    <w:p>
      <w:pPr>
        <w:pStyle w:val="751"/>
        <w:jc w:val="center"/>
        <w:spacing w:line="360" w:lineRule="auto"/>
        <w:rPr>
          <w:rFonts w:ascii="宋体" w:hAnsi="宋体" w:cs="宋体"/>
          <w:b/>
          <w:color w:val="auto"/>
          <w:sz w:val="44"/>
          <w:szCs w:val="44"/>
          <w:highlight w:val="none"/>
        </w:rPr>
      </w:pPr>
      <w:r>
        <w:rPr>
          <w:rFonts w:hint="eastAsia" w:ascii="宋体" w:hAnsi="宋体" w:cs="宋体"/>
          <w:color w:val="auto"/>
          <w:sz w:val="30"/>
          <w:szCs w:val="30"/>
          <w:highlight w:val="none"/>
        </w:rPr>
        <w:fldChar w:fldCharType="end"/>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1"/>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60"/>
        <w:rPr>
          <w:rFonts w:hAnsi="宋体" w:eastAsia="宋体" w:cs="宋体"/>
          <w:b/>
          <w:color w:val="auto"/>
          <w:sz w:val="44"/>
          <w:szCs w:val="44"/>
          <w:highlight w:val="none"/>
        </w:rPr>
      </w:pPr>
      <w:r>
        <w:rPr>
          <w:rFonts w:hAnsi="宋体" w:eastAsia="宋体" w:cs="宋体"/>
          <w:b/>
          <w:color w:val="auto"/>
          <w:sz w:val="44"/>
          <w:szCs w:val="44"/>
          <w:highlight w:val="none"/>
        </w:rPr>
      </w:r>
      <w:r/>
    </w:p>
    <w:p>
      <w:pPr>
        <w:pStyle w:val="751"/>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沛县教育局</w:t>
      </w:r>
      <w:r/>
    </w:p>
    <w:p>
      <w:pPr>
        <w:pStyle w:val="751"/>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沛县校园保安服务</w:t>
      </w:r>
      <w:r>
        <w:rPr>
          <w:rFonts w:hint="eastAsia" w:ascii="宋体" w:hAnsi="宋体" w:cs="宋体"/>
          <w:b/>
          <w:color w:val="auto"/>
          <w:sz w:val="40"/>
          <w:szCs w:val="40"/>
          <w:highlight w:val="none"/>
        </w:rPr>
        <w:t xml:space="preserve">》招标文件</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51"/>
        <w:spacing w:line="351" w:lineRule="auto"/>
        <w:rPr>
          <w:rFonts w:ascii="宋体" w:hAnsi="宋体" w:cs="宋体"/>
          <w:color w:val="auto"/>
          <w:sz w:val="24"/>
          <w:highlight w:val="none"/>
        </w:rPr>
      </w:pPr>
      <w:r>
        <w:rPr>
          <w:rFonts w:ascii="宋体" w:hAnsi="宋体" w:cs="宋体"/>
          <w:color w:val="auto"/>
          <w:sz w:val="24"/>
          <w:highlight w:val="none"/>
        </w:rPr>
      </w:r>
      <w:r/>
    </w:p>
    <w:p>
      <w:pPr>
        <w:pStyle w:val="978"/>
        <w:spacing w:line="351" w:lineRule="auto"/>
        <w:rPr>
          <w:rFonts w:ascii="宋体" w:hAnsi="宋体" w:eastAsia="宋体" w:cs="宋体"/>
          <w:color w:val="auto"/>
          <w:sz w:val="24"/>
          <w:szCs w:val="24"/>
          <w:highlight w:val="none"/>
        </w:rPr>
      </w:pPr>
      <w:r/>
      <w:bookmarkStart w:id="1" w:name="_Toc24257"/>
      <w:r>
        <w:rPr>
          <w:rFonts w:hint="eastAsia" w:ascii="宋体" w:hAnsi="宋体" w:eastAsia="宋体" w:cs="宋体"/>
          <w:color w:val="auto"/>
          <w:sz w:val="24"/>
          <w:szCs w:val="24"/>
          <w:highlight w:val="none"/>
        </w:rPr>
        <w:t xml:space="preserve">第一章  投标邀请</w:t>
      </w:r>
      <w:bookmarkEnd w:id="1"/>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江苏希地丰华项目管理集团有限公司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沛县教育局</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沛县校园保安服务</w:t>
      </w:r>
      <w:r>
        <w:rPr>
          <w:rFonts w:hint="eastAsia" w:ascii="宋体" w:hAnsi="宋体" w:cs="宋体"/>
          <w:color w:val="auto"/>
          <w:sz w:val="24"/>
          <w:highlight w:val="none"/>
        </w:rPr>
        <w:t xml:space="preserve">”进行公开招标采购，现邀请符合相关条件的供应商投标。</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沛县校园保安服务</w:t>
      </w:r>
      <w:r>
        <w:rPr>
          <w:rFonts w:hint="eastAsia" w:ascii="宋体" w:hAnsi="宋体" w:cs="宋体"/>
          <w:color w:val="auto"/>
          <w:sz w:val="24"/>
          <w:highlight w:val="none"/>
        </w:rPr>
        <w:t xml:space="preserve"> </w:t>
      </w:r>
      <w:r/>
    </w:p>
    <w:p>
      <w:pPr>
        <w:pStyle w:val="751"/>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JSZC-320322-XDFH-G2026-0013</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二、对投标人的资格要求：详见本项目公开招标公告。</w:t>
      </w:r>
      <w:r/>
    </w:p>
    <w:p>
      <w:pPr>
        <w:pStyle w:val="751"/>
        <w:numPr>
          <w:ilvl w:val="0"/>
          <w:numId w:val="2"/>
        </w:numPr>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获取招标文件</w:t>
      </w:r>
      <w:bookmarkEnd w:id="0"/>
      <w:r/>
      <w:r/>
    </w:p>
    <w:p>
      <w:pPr>
        <w:pStyle w:val="751"/>
        <w:ind w:firstLine="480"/>
        <w:spacing w:line="351" w:lineRule="auto"/>
        <w:rPr>
          <w:rFonts w:ascii="宋体" w:hAnsi="宋体" w:cs="宋体"/>
          <w:color w:val="auto"/>
          <w:sz w:val="24"/>
          <w:highlight w:val="none"/>
        </w:rPr>
      </w:pPr>
      <w:r>
        <w:rPr>
          <w:rFonts w:hint="eastAsia" w:ascii="宋体" w:hAnsi="宋体" w:cs="宋体"/>
          <w:color w:val="auto"/>
          <w:sz w:val="24"/>
          <w:highlight w:val="none"/>
        </w:rPr>
        <w:t xml:space="preserve">1．时间（时间期限）、地点、方式：详见本项目公开招标公告。</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2、获取地点：在“苏采云”系统报名成功后自行下载。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3、获取方式：本项目采用网上注册登记方式。</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（2）潜在投标人访问“苏采云”系统的网络地址和方法：“苏采云”系统的网址：http://jszfcg.jsczt.cn/；或进入徐州政府采购网（网址：https://czj.xz.gov.cn/zfcg/），点击“苏采云”进入系统。</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bidi="ar"/>
        </w:rPr>
        <w:t xml:space="preserve">办事指南</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资料下载</w:t>
      </w:r>
      <w:r>
        <w:rPr>
          <w:rFonts w:hint="eastAsia" w:ascii="宋体" w:hAnsi="宋体" w:cs="宋体"/>
          <w:color w:val="auto"/>
          <w:sz w:val="24"/>
          <w:szCs w:val="24"/>
          <w:highlight w:val="none"/>
          <w:lang w:bidi="ar"/>
        </w:rPr>
        <w:t xml:space="preserve">”中的《“苏采云”系统政务CA办理材料、操作手册及控件下载》。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（6）苏采云系统使用谷歌浏览器参与开标。</w:t>
      </w:r>
      <w:r/>
    </w:p>
    <w:p>
      <w:pPr>
        <w:ind w:firstLine="72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4、售价：免费。</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（一）</w:t>
      </w:r>
      <w:r>
        <w:rPr>
          <w:rFonts w:hint="eastAsia" w:ascii="宋体" w:hAnsi="宋体" w:cs="宋体"/>
          <w:color w:val="auto"/>
          <w:sz w:val="24"/>
          <w:highlight w:val="none"/>
        </w:rPr>
        <w:t xml:space="preserve">投标截止时间：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9:30</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（二）</w:t>
      </w:r>
      <w:r>
        <w:rPr>
          <w:rFonts w:hint="eastAsia" w:ascii="宋体" w:hAnsi="宋体" w:cs="宋体"/>
          <w:color w:val="auto"/>
          <w:sz w:val="24"/>
          <w:highlight w:val="none"/>
        </w:rPr>
        <w:t xml:space="preserve">开标时间：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szCs w:val="22"/>
          <w:highlight w:val="none"/>
        </w:rPr>
        <w:t xml:space="preserve">日北京时</w:t>
      </w:r>
      <w:r>
        <w:rPr>
          <w:rFonts w:hint="eastAsia" w:ascii="宋体" w:hAnsi="宋体" w:cs="宋体"/>
          <w:b w:val="0"/>
          <w:bCs w:val="0"/>
          <w:color w:val="auto"/>
          <w:sz w:val="24"/>
          <w:highlight w:val="none"/>
        </w:rPr>
        <w:t xml:space="preserve">间</w:t>
      </w:r>
      <w:r>
        <w:rPr>
          <w:rFonts w:hint="eastAsia" w:ascii="宋体" w:hAnsi="宋体" w:cs="宋体"/>
          <w:b w:val="0"/>
          <w:bCs w:val="0"/>
          <w:color w:val="auto"/>
          <w:sz w:val="24"/>
          <w:highlight w:val="none"/>
          <w:lang w:val="en-US" w:eastAsia="zh-CN"/>
        </w:rPr>
        <w:t xml:space="preserve">9:30</w:t>
      </w:r>
      <w:r/>
    </w:p>
    <w:p>
      <w:pPr>
        <w:ind w:firstLine="480"/>
        <w:spacing w:line="351" w:lineRule="auto"/>
        <w:widowControl w:val="off"/>
        <w:rPr>
          <w:rFonts w:ascii="宋体" w:hAnsi="宋体" w:cs="宋体"/>
          <w:color w:val="auto"/>
          <w:sz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highlight w:val="none"/>
        </w:rPr>
        <w:t xml:space="preserve">开标地点：“苏采云”系统“开标大厅”或进入徐州政府采购网，点击“苏采云”</w:t>
      </w:r>
      <w:r>
        <w:rPr>
          <w:rFonts w:hint="eastAsia" w:ascii="宋体" w:hAnsi="宋体" w:cs="宋体"/>
          <w:color w:val="auto"/>
          <w:sz w:val="24"/>
          <w:highlight w:val="none"/>
          <w:lang w:val="en-US" w:eastAsia="zh-CN"/>
        </w:rPr>
        <w:t xml:space="preserve">登录</w:t>
      </w:r>
      <w:r>
        <w:rPr>
          <w:rFonts w:hint="eastAsia" w:ascii="宋体" w:hAnsi="宋体" w:cs="宋体"/>
          <w:color w:val="auto"/>
          <w:sz w:val="24"/>
          <w:highlight w:val="none"/>
        </w:rPr>
        <w:t xml:space="preserve">进入系统“开标大厅”。</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沛县教育局</w:t>
      </w:r>
      <w:r>
        <w:rPr>
          <w:rFonts w:ascii="宋体" w:hAnsi="宋体" w:cs="宋体"/>
          <w:color w:val="auto"/>
          <w:sz w:val="24"/>
          <w:highlight w:val="none"/>
        </w:rPr>
        <w:t xml:space="preserve"> </w:t>
      </w:r>
      <w:r/>
    </w:p>
    <w:p>
      <w:pPr>
        <w:pStyle w:val="751"/>
        <w:ind w:firstLine="600"/>
        <w:spacing w:line="351" w:lineRule="auto"/>
        <w:rPr>
          <w:rFonts w:hint="eastAsia" w:ascii="宋体" w:hAnsi="宋体" w:cs="宋体"/>
          <w:color w:val="auto"/>
          <w:sz w:val="24"/>
          <w:highlight w:val="none"/>
        </w:rPr>
      </w:pPr>
      <w:r>
        <w:rPr>
          <w:rFonts w:hint="eastAsia" w:ascii="宋体" w:hAnsi="宋体" w:cs="宋体"/>
          <w:color w:val="auto"/>
          <w:sz w:val="24"/>
          <w:highlight w:val="none"/>
        </w:rPr>
        <w:t xml:space="preserve">（二）地址：沛县沛公路2号</w:t>
      </w:r>
      <w:r/>
    </w:p>
    <w:p>
      <w:pPr>
        <w:pStyle w:val="751"/>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（三）联系方式：13775913338</w:t>
      </w:r>
      <w:r/>
    </w:p>
    <w:p>
      <w:pPr>
        <w:pStyle w:val="751"/>
        <w:ind w:firstLine="600"/>
        <w:spacing w:line="351"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（四）采购项目联系人：童吉玉</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江苏希地丰华项目管理集团有限公司</w:t>
      </w:r>
      <w:r/>
    </w:p>
    <w:p>
      <w:pPr>
        <w:pStyle w:val="751"/>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（二）地址：徐州市泉山区矿大软件园C</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-8层</w:t>
      </w:r>
      <w:r/>
    </w:p>
    <w:p>
      <w:pPr>
        <w:pStyle w:val="751"/>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0516-83886900</w:t>
      </w:r>
      <w:r/>
    </w:p>
    <w:p>
      <w:pPr>
        <w:pStyle w:val="751"/>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东方昊</w:t>
      </w:r>
      <w:r/>
    </w:p>
    <w:p>
      <w:pPr>
        <w:spacing w:line="360" w:lineRule="auto"/>
        <w:rPr>
          <w:rStyle w:val="980"/>
          <w:rFonts w:ascii="宋体" w:hAnsi="宋体" w:eastAsia="宋体" w:cs="宋体"/>
          <w:color w:val="auto"/>
          <w:szCs w:val="30"/>
          <w:highlight w:val="none"/>
        </w:rPr>
      </w:pPr>
      <w:r/>
      <w:bookmarkStart w:id="2" w:name="_Toc6866"/>
      <w:r/>
      <w:bookmarkStart w:id="3" w:name="_Toc522790131"/>
      <w:r/>
      <w:r/>
    </w:p>
    <w:p>
      <w:pPr>
        <w:pStyle w:val="751"/>
        <w:jc w:val="center"/>
        <w:spacing w:line="360" w:lineRule="auto"/>
        <w:widowControl/>
        <w:rPr>
          <w:rStyle w:val="980"/>
          <w:rFonts w:ascii="宋体" w:hAnsi="宋体" w:eastAsia="宋体" w:cs="宋体"/>
          <w:color w:val="auto"/>
          <w:szCs w:val="30"/>
          <w:highlight w:val="none"/>
        </w:rPr>
      </w:pPr>
      <w:r>
        <w:rPr>
          <w:rFonts w:ascii="宋体" w:hAnsi="宋体" w:eastAsia="宋体" w:cs="宋体"/>
          <w:color w:val="auto"/>
          <w:szCs w:val="30"/>
          <w:highlight w:val="none"/>
        </w:rPr>
      </w:r>
      <w:r/>
    </w:p>
    <w:p>
      <w:pPr>
        <w:pStyle w:val="751"/>
        <w:jc w:val="center"/>
        <w:spacing w:line="360" w:lineRule="auto"/>
        <w:widowControl/>
        <w:rPr>
          <w:rStyle w:val="980"/>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60"/>
        <w:rPr>
          <w:rFonts w:hint="eastAsia"/>
          <w:highlight w:val="none"/>
        </w:rPr>
      </w:pPr>
      <w:r>
        <w:rPr>
          <w:rFonts w:hint="eastAsia"/>
          <w:highlight w:val="none"/>
        </w:rPr>
      </w:r>
      <w:r/>
    </w:p>
    <w:p>
      <w:pPr>
        <w:pStyle w:val="751"/>
        <w:jc w:val="center"/>
        <w:spacing w:line="360" w:lineRule="auto"/>
        <w:widowControl/>
        <w:rPr>
          <w:rStyle w:val="980"/>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51"/>
        <w:jc w:val="center"/>
        <w:spacing w:line="360" w:lineRule="auto"/>
        <w:widowControl/>
        <w:rPr>
          <w:rFonts w:ascii="宋体" w:hAnsi="宋体" w:cs="宋体"/>
          <w:color w:val="auto"/>
          <w:sz w:val="24"/>
          <w:highlight w:val="none"/>
        </w:rPr>
      </w:pPr>
      <w:r>
        <w:rPr>
          <w:rStyle w:val="980"/>
          <w:rFonts w:hint="eastAsia" w:ascii="宋体" w:hAnsi="宋体" w:eastAsia="宋体" w:cs="宋体"/>
          <w:color w:val="auto"/>
          <w:szCs w:val="30"/>
          <w:highlight w:val="none"/>
        </w:rPr>
        <w:t xml:space="preserve">第二章  投标人须知</w:t>
      </w:r>
      <w:bookmarkEnd w:id="2"/>
      <w:r/>
      <w:bookmarkEnd w:id="3"/>
      <w:r/>
      <w:r/>
    </w:p>
    <w:p>
      <w:pPr>
        <w:jc w:val="center"/>
        <w:spacing w:line="360" w:lineRule="auto"/>
        <w:rPr>
          <w:rFonts w:ascii="宋体" w:hAnsi="宋体" w:cs="宋体"/>
          <w:color w:val="auto"/>
          <w:sz w:val="28"/>
          <w:szCs w:val="28"/>
          <w:highlight w:val="none"/>
        </w:rPr>
      </w:pPr>
      <w:r/>
      <w:bookmarkStart w:id="4" w:name="_Toc522790132"/>
      <w:r>
        <w:rPr>
          <w:rFonts w:hint="eastAsia" w:ascii="宋体" w:hAnsi="宋体" w:cs="宋体"/>
          <w:color w:val="auto"/>
          <w:sz w:val="28"/>
          <w:szCs w:val="28"/>
          <w:highlight w:val="none"/>
        </w:rPr>
        <w:t xml:space="preserve">一、总则</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8.电子投标文件未按招标文件要求签署、盖章的；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11.纸质投标文件未按招标文件要求签署、盖章的；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12.不具备招标文件中规定的资格要求的；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13.报价超过招标文件中规定的预算金额或者最高限价的；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14.投标文件含有采购人不能接受的附加条件的；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15.法律、法规和招标文件规定的其他无效情形。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03"/>
          <w:rFonts w:hint="eastAsia" w:ascii="宋体" w:hAnsi="宋体" w:cs="宋体"/>
          <w:color w:val="auto"/>
          <w:sz w:val="24"/>
          <w:szCs w:val="24"/>
          <w:highlight w:val="none"/>
        </w:rPr>
        <w:t xml:space="preserve">政府采购</w:t>
      </w:r>
      <w:r>
        <w:rPr>
          <w:rStyle w:val="1003"/>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03"/>
          <w:rFonts w:hint="eastAsia" w:ascii="宋体" w:hAnsi="宋体" w:cs="宋体"/>
          <w:color w:val="auto"/>
          <w:sz w:val="24"/>
          <w:szCs w:val="24"/>
          <w:highlight w:val="none"/>
        </w:rPr>
        <w:t xml:space="preserve">最低评标价法</w:t>
      </w:r>
      <w:r>
        <w:rPr>
          <w:rStyle w:val="1003"/>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03"/>
          <w:rFonts w:hint="eastAsia" w:ascii="宋体" w:hAnsi="宋体" w:cs="宋体"/>
          <w:color w:val="auto"/>
          <w:sz w:val="24"/>
          <w:szCs w:val="24"/>
          <w:highlight w:val="none"/>
        </w:rPr>
        <w:t xml:space="preserve">综合评分法</w:t>
      </w:r>
      <w:r>
        <w:rPr>
          <w:rStyle w:val="1003"/>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auto"/>
          <w:sz w:val="24"/>
          <w:szCs w:val="24"/>
          <w:highlight w:val="none"/>
        </w:rPr>
        <w:t xml:space="preserve">投标文件的实质性内容。</w:t>
      </w:r>
      <w:r/>
    </w:p>
    <w:p>
      <w:pPr>
        <w:ind w:firstLine="600"/>
        <w:jc w:val="both"/>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（三十）</w:t>
      </w:r>
      <w:r>
        <w:rPr>
          <w:rFonts w:hint="eastAsia" w:ascii="宋体" w:hAnsi="宋体" w:cs="宋体"/>
          <w:b/>
          <w:bCs/>
          <w:color w:val="auto"/>
          <w:sz w:val="24"/>
          <w:szCs w:val="24"/>
          <w:highlight w:val="none"/>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相关法律法规对供应商报价有规定的，从其规定。</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3.中标或者中标人拒绝与采购人签订合同的，采购</w:t>
      </w:r>
      <w:r>
        <w:rPr>
          <w:rFonts w:hint="eastAsia" w:ascii="宋体" w:hAnsi="宋体" w:cs="宋体"/>
          <w:color w:val="auto"/>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600"/>
        <w:jc w:val="both"/>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pStyle w:val="751"/>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5" w:name="_Toc12259"/>
      <w:r>
        <w:rPr>
          <w:rStyle w:val="980"/>
          <w:rFonts w:hint="eastAsia" w:ascii="宋体" w:hAnsi="宋体" w:eastAsia="宋体" w:cs="宋体"/>
          <w:color w:val="auto"/>
          <w:highlight w:val="none"/>
        </w:rPr>
        <w:t xml:space="preserve">第三章  投标资料表</w:t>
      </w:r>
      <w:bookmarkEnd w:id="4"/>
      <w:r/>
      <w:bookmarkEnd w:id="5"/>
      <w:r/>
      <w:r/>
    </w:p>
    <w:p>
      <w:pPr>
        <w:pStyle w:val="984"/>
        <w:ind w:firstLine="6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08"/>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5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W w:w="8672" w:type="dxa"/>
            <w:textDirection w:val="lrTb"/>
            <w:noWrap w:val="false"/>
          </w:tcPr>
          <w:p>
            <w:pPr>
              <w:pStyle w:val="75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textDirection w:val="lrTb"/>
            <w:noWrap w:val="false"/>
          </w:tcPr>
          <w:p>
            <w:pPr>
              <w:pStyle w:val="751"/>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vAlign w:val="center"/>
            <w:textDirection w:val="lrTb"/>
            <w:noWrap w:val="false"/>
          </w:tcPr>
          <w:p>
            <w:pPr>
              <w:pStyle w:val="751"/>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沛县教育局</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vAlign w:val="center"/>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vAlign w:val="center"/>
            <w:textDirection w:val="lrTb"/>
            <w:noWrap w:val="false"/>
          </w:tcPr>
          <w:p>
            <w:pPr>
              <w:pStyle w:val="751"/>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vAlign w:val="center"/>
            <w:textDirection w:val="lrTb"/>
            <w:noWrap w:val="false"/>
          </w:tcPr>
          <w:p>
            <w:pPr>
              <w:pStyle w:val="751"/>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江苏希地丰华项目管理集团有限公司</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51"/>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二、本项目属于专门面向中小微企业采购的项目，供应商应为中小微企业、监狱企业、残疾人福利性单位。</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51"/>
              <w:jc w:val="left"/>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51"/>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51"/>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51"/>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51"/>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51"/>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3.“信用江苏”网（www.jscredit.gov.cn）；</w:t>
            </w:r>
            <w:r/>
          </w:p>
          <w:p>
            <w:pPr>
              <w:pStyle w:val="751"/>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51"/>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 http://www.xuzhoucredit.gov.cn）；</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   (三)截止时点（查询环节）：评标结束前。</w:t>
            </w:r>
            <w:r/>
          </w:p>
          <w:p>
            <w:pPr>
              <w:pStyle w:val="751"/>
              <w:ind w:left="980" w:hanging="560"/>
              <w:spacing w:line="346" w:lineRule="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购文件一并保存。</w:t>
            </w:r>
            <w:r/>
          </w:p>
          <w:p>
            <w:pPr>
              <w:pStyle w:val="751"/>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51"/>
              <w:ind w:firstLine="480"/>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(七)1</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(八)2</w:t>
            </w:r>
            <w:r/>
          </w:p>
        </w:tc>
        <w:tc>
          <w:tcPr>
            <w:tcW w:w="8672" w:type="dxa"/>
            <w:textDirection w:val="lrTb"/>
            <w:noWrap w:val="false"/>
          </w:tcPr>
          <w:p>
            <w:pPr>
              <w:pStyle w:val="751"/>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(八)3</w:t>
            </w:r>
            <w:r/>
          </w:p>
        </w:tc>
        <w:tc>
          <w:tcPr>
            <w:tcW w:w="8672" w:type="dxa"/>
            <w:textDirection w:val="lrTb"/>
            <w:noWrap w:val="false"/>
          </w:tcPr>
          <w:p>
            <w:pPr>
              <w:pStyle w:val="751"/>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textDirection w:val="lrTb"/>
            <w:noWrap w:val="false"/>
          </w:tcPr>
          <w:p>
            <w:pPr>
              <w:pStyle w:val="751"/>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(九)</w:t>
            </w:r>
            <w:r/>
          </w:p>
        </w:tc>
        <w:tc>
          <w:tcPr>
            <w:tcW w:w="8672" w:type="dxa"/>
            <w:textDirection w:val="lrTb"/>
            <w:noWrap w:val="false"/>
          </w:tcPr>
          <w:p>
            <w:pPr>
              <w:pStyle w:val="751"/>
              <w:jc w:val="left"/>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10"/>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w:t>
            </w:r>
            <w:r/>
          </w:p>
        </w:tc>
        <w:tc>
          <w:tcPr>
            <w:tcW w:w="8672" w:type="dxa"/>
            <w:textDirection w:val="lrTb"/>
            <w:noWrap w:val="false"/>
          </w:tcPr>
          <w:p>
            <w:pPr>
              <w:pStyle w:val="751"/>
              <w:spacing w:line="360" w:lineRule="auto"/>
              <w:tabs>
                <w:tab w:val="left" w:pos="5760" w:leader="none"/>
              </w:tabs>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(十一)1</w:t>
            </w:r>
            <w:r/>
          </w:p>
          <w:p>
            <w:pPr>
              <w:pStyle w:val="751"/>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pStyle w:val="823"/>
              <w:rPr>
                <w:color w:val="auto"/>
                <w:highlight w:val="none"/>
              </w:rPr>
            </w:pPr>
            <w:r>
              <w:rPr>
                <w:color w:val="auto"/>
                <w:highlight w:val="none"/>
              </w:rPr>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jc w:val="both"/>
              <w:spacing w:line="346"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pStyle w:val="823"/>
              <w:rPr>
                <w:color w:val="auto"/>
                <w:highlight w:val="none"/>
              </w:rPr>
            </w:pPr>
            <w:r>
              <w:rPr>
                <w:color w:val="auto"/>
                <w:highlight w:val="none"/>
              </w:rPr>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(一)具有独立承担民事责任的能力，提供投标人合法有效的法人的营业执照</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其他组织应提供合法证明文件的扫描件(加盖电子签章)；</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(二)财务状况报告（即提供投标人的本项目开标时间前6个月内任何时间（不含开标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当月）的资产负债表、利润表扫描件各一份；或提供投标人</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年度经审计的财务报告扫描件一份；</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(三)投标人的本项目开标时间前6个月内任何1个月（不含开标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投标人《中小企业声明函》（加盖电子签章，格式见招标文件第七章《投标文件相关格式》）（请填写完整，必须提供）。查询渠道参考工业和信息化部发布的中小企业规模自测小程序。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注：中小企业（含中型、小型、微型企业，下同），应当同时符合以下条件：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① 符合中小企业划分标准；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小型、微型企业提供中型企业制造的货物的，视同为中型企业。</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享受政府采购支持政策的残疾人福利性单位应当同时满足以下条件：</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（一）安置的残疾人占本单位在职职工人数的比例不低于25%（含25%），并且安置的残疾人人数不少于10人（含10人）；</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（二）依法与安置的每位残疾人签订了一年以上（含一年）的劳动合同或服务协议；</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（三）为安置的每位残疾人按月足额缴纳了基本养老保险、基本医疗保险、失业保险、工伤保险和生育保险等社会保险费；</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具体以《三部门联合发布关于促进残疾人就业政府采购政策的通知》（财库〔2017〕141号）规定为准。</w:t>
            </w:r>
            <w:r/>
          </w:p>
          <w:p>
            <w:pPr>
              <w:ind w:right="28"/>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（七）本项目特定资格要求：投标人具备有效的《保安服务许可证》。</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（一）商务部分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技术部分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pStyle w:val="751"/>
              <w:spacing w:line="34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pStyle w:val="751"/>
              <w:spacing w:line="346" w:lineRule="auto"/>
              <w:rPr>
                <w:rFonts w:ascii="宋体" w:hAnsi="宋体" w:cs="宋体"/>
                <w:bCs/>
                <w:color w:val="auto"/>
                <w:sz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(十一)2</w:t>
            </w:r>
            <w:r/>
          </w:p>
        </w:tc>
        <w:tc>
          <w:tcPr>
            <w:tcW w:w="8672" w:type="dxa"/>
            <w:textDirection w:val="lrTb"/>
            <w:noWrap w:val="false"/>
          </w:tcPr>
          <w:p>
            <w:pPr>
              <w:pStyle w:val="751"/>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pStyle w:val="751"/>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2.本文件第三章《投标资料表》中(十一)1</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(十一)3</w:t>
            </w:r>
            <w:r/>
          </w:p>
        </w:tc>
        <w:tc>
          <w:tcPr>
            <w:tcW w:w="8672" w:type="dxa"/>
            <w:textDirection w:val="lrTb"/>
            <w:noWrap w:val="false"/>
          </w:tcPr>
          <w:p>
            <w:pPr>
              <w:pStyle w:val="751"/>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(十二)</w:t>
            </w:r>
            <w:r/>
          </w:p>
        </w:tc>
        <w:tc>
          <w:tcPr>
            <w:tcW w:w="8672" w:type="dxa"/>
            <w:textDirection w:val="lrTb"/>
            <w:noWrap w:val="false"/>
          </w:tcPr>
          <w:p>
            <w:pPr>
              <w:pStyle w:val="751"/>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本项目采购预算金额：1100万元（人民币）。</w:t>
            </w:r>
            <w:r/>
          </w:p>
          <w:p>
            <w:pPr>
              <w:pStyle w:val="751"/>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其中：</w:t>
            </w:r>
            <w:r/>
          </w:p>
          <w:p>
            <w:pPr>
              <w:pStyle w:val="751"/>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采购包1不接受超过366.8万元人民币的投标报价；</w:t>
            </w:r>
            <w:r/>
          </w:p>
          <w:p>
            <w:pPr>
              <w:pStyle w:val="751"/>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采购包2不接受超过366.6万元人民币的投标报价；</w:t>
            </w:r>
            <w:r/>
          </w:p>
          <w:p>
            <w:pPr>
              <w:pStyle w:val="751"/>
              <w:spacing w:line="346"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采购包3不接受超过366.6万元人民币的投标报价；</w:t>
            </w:r>
            <w:r/>
          </w:p>
          <w:p>
            <w:pPr>
              <w:pStyle w:val="751"/>
              <w:spacing w:line="346"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(十三)</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(十五)</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投标文件的密封、签署、盖章要求：</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jc w:val="both"/>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pStyle w:val="751"/>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(十六)</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投标文件的提交与接收： </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前。</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（十七）1</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线上要求：</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特别说明：通过“苏采云”系统提交政府采购客户端工具导出加密的投标文件（后缀名为zip）。投标文件不得超过150M！（具体见“苏采云”系统要求）</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（十七）2</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(十八)1</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一、开标时间：202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二、开标地点：</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“苏采云”系统（网址： http://jszfcg.jsczt.cn/）“开标大厅”或进入徐州政府采购网（网址：https://czj.xz.gov.cn/zfcg/），点击“苏采云”进入系统“开标大厅”。</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(十八)2</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(十九)</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w:t>
            </w:r>
            <w:r/>
          </w:p>
          <w:p>
            <w:pPr>
              <w:pStyle w:val="751"/>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51"/>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(二十一)</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51"/>
              <w:jc w:val="center"/>
              <w:spacing w:line="346" w:lineRule="auto"/>
              <w:rPr>
                <w:rFonts w:ascii="宋体" w:hAnsi="宋体"/>
                <w:color w:val="auto"/>
                <w:sz w:val="24"/>
                <w:highlight w:val="none"/>
              </w:rPr>
            </w:pPr>
            <w:r>
              <w:rPr>
                <w:rFonts w:hint="eastAsia" w:ascii="宋体" w:hAnsi="宋体"/>
                <w:color w:val="auto"/>
                <w:sz w:val="24"/>
                <w:highlight w:val="none"/>
              </w:rPr>
              <w:t xml:space="preserve">(二十二)</w:t>
            </w:r>
            <w:r/>
          </w:p>
        </w:tc>
        <w:tc>
          <w:tcPr>
            <w:tcW w:w="8672" w:type="dxa"/>
            <w:textDirection w:val="lrTb"/>
            <w:noWrap w:val="false"/>
          </w:tcPr>
          <w:p>
            <w:pPr>
              <w:jc w:val="both"/>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履约保证金缴纳方式、时间及退款具体要求详见合同条款。</w:t>
            </w:r>
            <w:r/>
          </w:p>
          <w:p>
            <w:pPr>
              <w:jc w:val="both"/>
              <w:spacing w:line="346"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每个采购包金额为该采购包</w:t>
            </w:r>
            <w:r>
              <w:rPr>
                <w:rFonts w:hint="eastAsia" w:ascii="宋体" w:hAnsi="宋体"/>
                <w:color w:val="auto"/>
                <w:sz w:val="24"/>
                <w:szCs w:val="24"/>
                <w:highlight w:val="none"/>
              </w:rPr>
              <w:t xml:space="preserve">合同总价的</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%（非现金形式），</w:t>
            </w:r>
            <w:r>
              <w:rPr>
                <w:rFonts w:hint="eastAsia" w:ascii="宋体" w:hAnsi="宋体"/>
                <w:color w:val="auto"/>
                <w:sz w:val="24"/>
                <w:szCs w:val="24"/>
                <w:highlight w:val="none"/>
                <w:lang w:val="en-US" w:eastAsia="zh-CN"/>
              </w:rPr>
              <w:t xml:space="preserve">在</w:t>
            </w:r>
            <w:r>
              <w:rPr>
                <w:rFonts w:hint="eastAsia" w:ascii="宋体" w:hAnsi="宋体"/>
                <w:color w:val="auto"/>
                <w:sz w:val="24"/>
                <w:szCs w:val="24"/>
                <w:highlight w:val="none"/>
              </w:rPr>
              <w:t xml:space="preserve">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履约保证金在卖方按合同履约完成后30日内无息退还。</w:t>
            </w:r>
            <w:r/>
          </w:p>
        </w:tc>
      </w:tr>
      <w:tr>
        <w:trPr>
          <w:jc w:val="center"/>
        </w:trPr>
        <w:tc>
          <w:tcPr>
            <w:tcW w:w="1342" w:type="dxa"/>
            <w:vAlign w:val="center"/>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(二十三)</w:t>
            </w:r>
            <w:r/>
          </w:p>
        </w:tc>
        <w:tc>
          <w:tcPr>
            <w:tcW w:w="8672" w:type="dxa"/>
            <w:textDirection w:val="lrTb"/>
            <w:noWrap w:val="false"/>
          </w:tcPr>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东方昊</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0516-83886900</w:t>
            </w:r>
            <w:r>
              <w:rPr>
                <w:rFonts w:hint="eastAsia" w:ascii="宋体" w:hAnsi="宋体" w:cs="宋体"/>
                <w:color w:val="auto"/>
                <w:sz w:val="24"/>
                <w:highlight w:val="none"/>
              </w:rPr>
              <w:t xml:space="preserve">；</w:t>
            </w:r>
            <w:r/>
          </w:p>
          <w:p>
            <w:pPr>
              <w:pStyle w:val="751"/>
              <w:spacing w:line="346" w:lineRule="auto"/>
              <w:rPr>
                <w:rFonts w:ascii="宋体" w:hAnsi="宋体" w:cs="宋体"/>
                <w:color w:val="auto"/>
                <w:sz w:val="24"/>
                <w:highlight w:val="none"/>
              </w:rPr>
            </w:pPr>
            <w:r>
              <w:rPr>
                <w:rFonts w:hint="eastAsia" w:ascii="宋体" w:hAnsi="宋体" w:cs="宋体"/>
                <w:color w:val="auto"/>
                <w:sz w:val="24"/>
                <w:highlight w:val="none"/>
              </w:rPr>
              <w:t xml:space="preserve">办公地址：徐州市泉山区矿大软件园C</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-8层</w:t>
            </w:r>
            <w:r/>
          </w:p>
        </w:tc>
      </w:tr>
      <w:tr>
        <w:trPr>
          <w:jc w:val="center"/>
        </w:trPr>
        <w:tc>
          <w:tcPr>
            <w:tcW w:w="1342" w:type="dxa"/>
            <w:vAlign w:val="center"/>
            <w:vMerge w:val="restart"/>
            <w:textDirection w:val="lrTb"/>
            <w:noWrap w:val="false"/>
          </w:tcPr>
          <w:p>
            <w:pPr>
              <w:pStyle w:val="751"/>
              <w:jc w:val="center"/>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W w:w="8672" w:type="dxa"/>
            <w:textDirection w:val="lrTb"/>
            <w:noWrap w:val="false"/>
          </w:tcPr>
          <w:p>
            <w:pPr>
              <w:pStyle w:val="751"/>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51"/>
              <w:jc w:val="center"/>
              <w:spacing w:line="346" w:lineRule="auto"/>
              <w:rPr>
                <w:rFonts w:ascii="宋体" w:hAnsi="宋体" w:cs="宋体"/>
                <w:bCs/>
                <w:color w:val="auto"/>
                <w:sz w:val="24"/>
                <w:highlight w:val="none"/>
              </w:rPr>
            </w:pPr>
            <w:r>
              <w:rPr>
                <w:rFonts w:ascii="宋体" w:hAnsi="宋体" w:cs="宋体"/>
                <w:bCs/>
                <w:color w:val="auto"/>
                <w:sz w:val="24"/>
                <w:highlight w:val="none"/>
              </w:rPr>
            </w:r>
            <w:r/>
          </w:p>
        </w:tc>
        <w:tc>
          <w:tcPr>
            <w:tcW w:w="8672" w:type="dxa"/>
            <w:textDirection w:val="lrTb"/>
            <w:noWrap w:val="false"/>
          </w:tcPr>
          <w:p>
            <w:pPr>
              <w:pStyle w:val="751"/>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51"/>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1"/>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1"/>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51"/>
        <w:ind w:firstLine="600"/>
        <w:spacing w:line="346" w:lineRule="auto"/>
        <w:widowControl/>
        <w:rPr>
          <w:rFonts w:ascii="宋体" w:hAnsi="宋体" w:cs="宋体"/>
          <w:b/>
          <w:color w:val="auto"/>
          <w:sz w:val="24"/>
          <w:highlight w:val="none"/>
        </w:rPr>
      </w:pPr>
      <w:r/>
      <w:bookmarkStart w:id="6" w:name="_Toc522790133"/>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本章附件：招标代理服务收费标准</w:t>
      </w:r>
      <w:r/>
    </w:p>
    <w:tbl>
      <w:tblPr>
        <w:tblStyle w:val="748"/>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jc w:val="both"/>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8.本项目招标代理服务费由成交供应商支付。</w:t>
      </w:r>
      <w:r/>
    </w:p>
    <w:p>
      <w:pPr>
        <w:ind w:left="0" w:right="0" w:firstLine="0"/>
        <w:jc w:val="both"/>
        <w:keepLines w:val="0"/>
        <w:keepNext w:val="0"/>
        <w:pageBreakBefore w:val="0"/>
        <w:spacing w:before="0" w:after="0" w:line="312" w:lineRule="auto"/>
        <w:widowControl/>
        <w:rPr>
          <w:rFonts w:hint="eastAsia" w:ascii="宋体" w:hAnsi="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val="en-US" w:eastAsia="zh-CN"/>
        </w:rPr>
        <w:t xml:space="preserve">9</w:t>
      </w:r>
      <w:r>
        <w:rPr>
          <w:rFonts w:ascii="宋体" w:hAnsi="宋体" w:eastAsia="宋体" w:cs="宋体"/>
          <w:color w:val="auto"/>
          <w:sz w:val="24"/>
          <w:szCs w:val="22"/>
          <w:highlight w:val="none"/>
        </w:rPr>
        <w:t xml:space="preserve">.缴费账户名：</w:t>
      </w:r>
      <w:r>
        <w:rPr>
          <w:rFonts w:hint="eastAsia" w:ascii="宋体" w:hAnsi="宋体" w:cs="宋体"/>
          <w:color w:val="auto"/>
          <w:sz w:val="24"/>
          <w:szCs w:val="22"/>
          <w:highlight w:val="none"/>
          <w:lang w:eastAsia="zh-CN"/>
        </w:rPr>
        <w:t xml:space="preserve">江苏希地丰华项目管理集团有限公司徐州分公司</w:t>
      </w:r>
      <w:r/>
    </w:p>
    <w:p>
      <w:pPr>
        <w:ind w:left="0" w:right="0" w:firstLine="0"/>
        <w:jc w:val="both"/>
        <w:keepLines w:val="0"/>
        <w:keepNext w:val="0"/>
        <w:pageBreakBefore w:val="0"/>
        <w:spacing w:before="0" w:after="0" w:line="312" w:lineRule="auto"/>
        <w:widowControl/>
        <w:rPr>
          <w:rFonts w:hint="eastAsia" w:ascii="宋体" w:hAnsi="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eastAsia="zh-CN"/>
        </w:rPr>
        <w:t xml:space="preserve">开户行：中国农业银行徐州塔东支行</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eastAsia="zh-CN"/>
        </w:rPr>
        <w:t xml:space="preserve">账号：10247401040009840</w:t>
      </w:r>
      <w:r/>
    </w:p>
    <w:p>
      <w:pPr>
        <w:pStyle w:val="751"/>
        <w:ind w:left="68" w:firstLine="561"/>
        <w:spacing w:line="288" w:lineRule="auto"/>
        <w:widowControl/>
        <w:rPr>
          <w:rFonts w:ascii="宋体" w:hAnsi="宋体" w:cs="宋体"/>
          <w:color w:val="auto"/>
          <w:sz w:val="24"/>
          <w:highlight w:val="none"/>
        </w:rPr>
      </w:pPr>
      <w:r>
        <w:rPr>
          <w:rFonts w:ascii="宋体" w:hAnsi="宋体" w:cs="宋体"/>
          <w:color w:val="auto"/>
          <w:sz w:val="24"/>
          <w:highlight w:val="none"/>
        </w:rPr>
      </w:r>
      <w:r/>
    </w:p>
    <w:p>
      <w:pPr>
        <w:pStyle w:val="751"/>
        <w:numPr>
          <w:ilvl w:val="0"/>
          <w:numId w:val="3"/>
        </w:numPr>
        <w:ind w:firstLine="420"/>
        <w:jc w:val="center"/>
        <w:spacing w:line="360" w:lineRule="auto"/>
        <w:widowControl/>
        <w:rPr>
          <w:rFonts w:hint="default" w:ascii="宋体" w:hAnsi="宋体" w:eastAsia="宋体"/>
          <w:b/>
          <w:bCs/>
          <w:color w:val="auto"/>
          <w:sz w:val="28"/>
          <w:szCs w:val="28"/>
          <w:highlight w:val="none"/>
          <w:lang w:val="en-US" w:eastAsia="zh-CN"/>
        </w:rPr>
      </w:pPr>
      <w:r>
        <w:rPr>
          <w:rFonts w:hint="eastAsia" w:ascii="宋体" w:hAnsi="宋体" w:cs="宋体"/>
          <w:color w:val="auto"/>
          <w:highlight w:val="none"/>
        </w:rPr>
        <w:br w:type="page" w:clear="all"/>
      </w:r>
      <w:bookmarkStart w:id="7" w:name="_Toc9429"/>
      <w:r>
        <w:rPr>
          <w:rStyle w:val="980"/>
          <w:rFonts w:hint="eastAsia" w:ascii="宋体" w:hAnsi="宋体" w:eastAsia="宋体" w:cs="宋体"/>
          <w:color w:val="auto"/>
          <w:highlight w:val="none"/>
        </w:rPr>
        <w:t xml:space="preserve"> 评标标准</w:t>
      </w:r>
      <w:bookmarkEnd w:id="6"/>
      <w:r/>
      <w:bookmarkEnd w:id="7"/>
      <w:r/>
      <w:r/>
    </w:p>
    <w:tbl>
      <w:tblPr>
        <w:tblStyle w:val="708"/>
        <w:tblW w:w="96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1405"/>
        <w:gridCol w:w="7026"/>
      </w:tblGrid>
      <w:tr>
        <w:trPr>
          <w:jc w:val="center"/>
          <w:trHeight w:val="492"/>
        </w:trPr>
        <w:tc>
          <w:tcPr>
            <w:tcW w:w="1205" w:type="dxa"/>
            <w:vAlign w:val="center"/>
            <w:textDirection w:val="lrTb"/>
            <w:noWrap w:val="false"/>
          </w:tcPr>
          <w:p>
            <w:pPr>
              <w:pStyle w:val="1036"/>
              <w:ind w:left="0" w:right="0" w:firstLine="0"/>
              <w:jc w:val="center"/>
              <w:keepLines w:val="0"/>
              <w:keepNext w:val="0"/>
              <w:spacing w:before="0" w:beforeAutospacing="0" w:after="0" w:afterAutospacing="0"/>
              <w:rPr>
                <w:rFonts w:ascii="宋体" w:hAnsi="宋体" w:cs="宋体"/>
                <w:b/>
                <w:bCs/>
                <w:color w:val="000000"/>
                <w:sz w:val="24"/>
                <w:highlight w:val="none"/>
              </w:rPr>
              <w:suppressLineNumbers w:val="0"/>
            </w:pPr>
            <w:r>
              <w:rPr>
                <w:rFonts w:hint="eastAsia" w:ascii="宋体" w:hAnsi="宋体" w:cs="宋体"/>
                <w:b/>
                <w:bCs/>
                <w:color w:val="000000"/>
                <w:sz w:val="24"/>
                <w:highlight w:val="none"/>
              </w:rPr>
              <w:t xml:space="preserve">项  目</w:t>
            </w:r>
            <w:r/>
          </w:p>
        </w:tc>
        <w:tc>
          <w:tcPr>
            <w:gridSpan w:val="2"/>
            <w:tcW w:w="8431" w:type="dxa"/>
            <w:vAlign w:val="center"/>
            <w:textDirection w:val="lrTb"/>
            <w:noWrap w:val="false"/>
          </w:tcPr>
          <w:p>
            <w:pPr>
              <w:pStyle w:val="1036"/>
              <w:ind w:left="0" w:right="0" w:firstLine="482"/>
              <w:jc w:val="center"/>
              <w:keepLines w:val="0"/>
              <w:keepNext w:val="0"/>
              <w:spacing w:before="0" w:beforeAutospacing="0" w:after="0" w:afterAutospacing="0"/>
              <w:rPr>
                <w:rFonts w:hint="eastAsia" w:ascii="宋体" w:hAnsi="宋体" w:cs="宋体"/>
                <w:b/>
                <w:bCs/>
                <w:color w:val="000000"/>
                <w:sz w:val="24"/>
                <w:highlight w:val="none"/>
              </w:rPr>
              <w:suppressLineNumbers w:val="0"/>
            </w:pPr>
            <w:r>
              <w:rPr>
                <w:rFonts w:hint="eastAsia" w:ascii="宋体" w:hAnsi="宋体" w:cs="宋体"/>
                <w:b/>
                <w:bCs/>
                <w:color w:val="000000"/>
                <w:sz w:val="24"/>
                <w:highlight w:val="none"/>
              </w:rPr>
              <w:t xml:space="preserve">评 分 依 据</w:t>
            </w:r>
            <w:r/>
          </w:p>
        </w:tc>
      </w:tr>
      <w:tr>
        <w:trPr>
          <w:jc w:val="center"/>
          <w:trHeight w:val="1430"/>
        </w:trPr>
        <w:tc>
          <w:tcPr>
            <w:tcW w:w="1205" w:type="dxa"/>
            <w:vAlign w:val="center"/>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价格</w:t>
            </w:r>
            <w:r/>
          </w:p>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gridSpan w:val="2"/>
            <w:tcW w:w="8431"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采用低价优先法计算，即满足招标文件要求且投标人评审价格最低的投标报价为评标基准价，其价格得分为满分。</w:t>
            </w:r>
            <w:r/>
          </w:p>
          <w:p>
            <w:pPr>
              <w:ind w:left="0" w:right="0"/>
              <w:jc w:val="both"/>
              <w:keepLines w:val="0"/>
              <w:keepNext w:val="0"/>
              <w:pageBreakBefore w:val="0"/>
              <w:spacing w:before="0" w:beforeAutospacing="0" w:after="0" w:afterAutospacing="0" w:line="312" w:lineRule="auto"/>
              <w:widowControl w:val="off"/>
              <w:rPr>
                <w:rFonts w:hint="default"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。（按四舍五入取至小数点后两位）</w:t>
            </w:r>
            <w:r/>
          </w:p>
        </w:tc>
      </w:tr>
      <w:tr>
        <w:trPr>
          <w:cantSplit/>
          <w:jc w:val="center"/>
          <w:trHeight w:val="513"/>
        </w:trPr>
        <w:tc>
          <w:tcPr>
            <w:tcW w:w="1205" w:type="dxa"/>
            <w:vAlign w:val="center"/>
            <w:vMerge w:val="restart"/>
            <w:textDirection w:val="lrTb"/>
            <w:noWrap w:val="false"/>
          </w:tcPr>
          <w:p>
            <w:pPr>
              <w:pStyle w:val="1036"/>
              <w:ind w:left="0" w:right="0" w:firstLine="0"/>
              <w:jc w:val="center"/>
              <w:keepLines w:val="0"/>
              <w:keepNext w:val="0"/>
              <w:spacing w:before="0" w:beforeAutospacing="0" w:after="0" w:afterAutospacing="0"/>
              <w:rPr>
                <w:rFonts w:hint="default" w:ascii="宋体" w:hAnsi="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商务部分（7分）</w:t>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业绩（4分）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投标人自2023年</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月1日（含）以来承担过类似项目的。每提供一个</w:t>
            </w:r>
            <w:r>
              <w:rPr>
                <w:rFonts w:hint="eastAsia" w:ascii="宋体" w:hAnsi="宋体" w:cs="宋体"/>
                <w:color w:val="000000"/>
                <w:sz w:val="24"/>
                <w:szCs w:val="22"/>
                <w:highlight w:val="none"/>
                <w:lang w:val="en-US" w:eastAsia="zh-CN"/>
              </w:rPr>
              <w:t xml:space="preserve">业绩</w:t>
            </w:r>
            <w:r>
              <w:rPr>
                <w:rFonts w:hint="eastAsia" w:ascii="宋体" w:hAnsi="宋体" w:eastAsia="宋体" w:cs="宋体"/>
                <w:color w:val="000000"/>
                <w:sz w:val="24"/>
                <w:szCs w:val="22"/>
                <w:highlight w:val="none"/>
                <w:lang w:val="en-US" w:eastAsia="zh-CN"/>
              </w:rPr>
              <w:t xml:space="preserve">得2分，</w:t>
            </w:r>
            <w:r>
              <w:rPr>
                <w:rFonts w:hint="eastAsia" w:ascii="宋体" w:hAnsi="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lang w:val="en-US" w:eastAsia="zh-CN"/>
              </w:rPr>
              <w:t xml:space="preserve">最高得4分。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b/>
                <w:bCs/>
                <w:color w:val="000000"/>
                <w:sz w:val="24"/>
                <w:szCs w:val="22"/>
                <w:highlight w:val="none"/>
                <w:lang w:val="en-US" w:eastAsia="zh-CN"/>
              </w:rPr>
              <w:t xml:space="preserve">注：投标文件中的每个业绩应同时提供中标(成交)通知书及合同原件的扫描件并加盖电子签章，否则不得分（不清晰或者不能判定是否为类似业绩的不得分），时间以合同签订时间为准。</w:t>
            </w:r>
            <w:r/>
          </w:p>
        </w:tc>
      </w:tr>
      <w:tr>
        <w:trPr>
          <w:cantSplit/>
          <w:jc w:val="center"/>
          <w:trHeight w:val="513"/>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投标人综合实力</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（3分）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投标人具有有效期内的质量管理体系认证证书、职业健康安全管理体系认证证书、环境管理体系认证证书的，每提供一项认证得1分，本项最高得3分。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b/>
                <w:bCs/>
                <w:color w:val="000000"/>
                <w:sz w:val="24"/>
                <w:szCs w:val="22"/>
                <w:highlight w:val="none"/>
                <w:lang w:val="en-US" w:eastAsia="zh-CN"/>
              </w:rPr>
              <w:t xml:space="preserve">注：</w:t>
            </w:r>
            <w:r>
              <w:rPr>
                <w:rFonts w:hint="eastAsia" w:ascii="宋体" w:hAnsi="宋体" w:cs="宋体"/>
                <w:b/>
                <w:bCs/>
                <w:color w:val="000000"/>
                <w:sz w:val="24"/>
                <w:szCs w:val="22"/>
                <w:highlight w:val="none"/>
                <w:lang w:val="en-US" w:eastAsia="zh-CN"/>
              </w:rPr>
              <w:t xml:space="preserve">投标</w:t>
            </w:r>
            <w:r>
              <w:rPr>
                <w:rFonts w:hint="eastAsia" w:ascii="宋体" w:hAnsi="宋体" w:eastAsia="宋体" w:cs="宋体"/>
                <w:b/>
                <w:bCs/>
                <w:color w:val="000000"/>
                <w:sz w:val="24"/>
                <w:szCs w:val="22"/>
                <w:highlight w:val="none"/>
                <w:lang w:val="en-US" w:eastAsia="zh-CN"/>
              </w:rPr>
              <w:t xml:space="preserve">文件中须放入证书原件扫描件及国家市场监督管理总局全国认证认可信息公共服务平台(网址: http://cx.cnca.cn/CertECloud/result/skipResultList)查询证书状态为有效的截图证明材料，不提供的不得分。</w:t>
            </w:r>
            <w:r/>
          </w:p>
        </w:tc>
      </w:tr>
      <w:tr>
        <w:trPr>
          <w:cantSplit/>
          <w:jc w:val="center"/>
          <w:trHeight w:val="513"/>
        </w:trPr>
        <w:tc>
          <w:tcPr>
            <w:tcW w:w="1205" w:type="dxa"/>
            <w:vAlign w:val="center"/>
            <w:vMerge w:val="restart"/>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技术部分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83</w:t>
            </w:r>
            <w:r>
              <w:rPr>
                <w:rFonts w:hint="eastAsia" w:ascii="宋体" w:hAnsi="宋体" w:cs="宋体"/>
                <w:color w:val="000000"/>
                <w:sz w:val="24"/>
                <w:highlight w:val="none"/>
              </w:rPr>
              <w:t xml:space="preserve">分）</w:t>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w:t>
            </w:r>
            <w:r>
              <w:rPr>
                <w:rFonts w:hint="eastAsia" w:ascii="宋体" w:hAnsi="宋体" w:cs="宋体"/>
                <w:color w:val="000000"/>
                <w:sz w:val="24"/>
                <w:szCs w:val="24"/>
                <w:highlight w:val="none"/>
                <w:lang w:val="en-US" w:eastAsia="zh-CN"/>
              </w:rPr>
              <w:t xml:space="preserve">的总体服务方案（包含服务理念、服务目标、管理模式、服务运行流程、服务承诺等）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分)：全面详实的得</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分；较全面的得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分；不全面的得</w:t>
            </w: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分；针对性较强得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分；针对性</w:t>
            </w:r>
            <w:r>
              <w:rPr>
                <w:rFonts w:hint="eastAsia" w:ascii="宋体" w:hAnsi="宋体" w:cs="宋体"/>
                <w:color w:val="000000"/>
                <w:sz w:val="24"/>
                <w:szCs w:val="22"/>
                <w:highlight w:val="none"/>
                <w:lang w:val="en-US" w:eastAsia="zh-CN"/>
              </w:rPr>
              <w:t xml:space="preserve">欠缺</w:t>
            </w:r>
            <w:r>
              <w:rPr>
                <w:rFonts w:hint="eastAsia" w:ascii="宋体" w:hAnsi="宋体" w:eastAsia="宋体" w:cs="宋体"/>
                <w:color w:val="000000"/>
                <w:sz w:val="24"/>
                <w:szCs w:val="22"/>
                <w:highlight w:val="none"/>
                <w:lang w:val="en-US" w:eastAsia="zh-CN"/>
              </w:rPr>
              <w:t xml:space="preserve">的得</w:t>
            </w: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分）：操作性强的得</w:t>
            </w:r>
            <w:r>
              <w:rPr>
                <w:rFonts w:hint="eastAsia" w:ascii="宋体" w:hAnsi="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en-US" w:eastAsia="zh-CN"/>
              </w:rPr>
              <w:t xml:space="preserve">分，操作性较强的得2分，操作性欠缺的得1分。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w:t>
            </w:r>
            <w:r>
              <w:rPr>
                <w:rFonts w:hint="eastAsia" w:ascii="宋体" w:hAnsi="宋体" w:cs="宋体"/>
                <w:color w:val="000000"/>
                <w:sz w:val="24"/>
                <w:szCs w:val="22"/>
                <w:highlight w:val="none"/>
                <w:lang w:val="en-US" w:eastAsia="zh-CN"/>
              </w:rPr>
              <w:t xml:space="preserve">14</w:t>
            </w:r>
            <w:r>
              <w:rPr>
                <w:rFonts w:hint="eastAsia" w:ascii="宋体" w:hAnsi="宋体" w:eastAsia="宋体" w:cs="宋体"/>
                <w:color w:val="000000"/>
                <w:sz w:val="24"/>
                <w:szCs w:val="22"/>
                <w:highlight w:val="none"/>
                <w:lang w:val="en-US" w:eastAsia="zh-CN"/>
              </w:rPr>
              <w:t xml:space="preserve">分，最低得0分。</w:t>
            </w:r>
            <w:r/>
          </w:p>
        </w:tc>
      </w:tr>
      <w:tr>
        <w:trPr>
          <w:cantSplit/>
          <w:jc w:val="center"/>
          <w:trHeight w:val="593"/>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cs="宋体"/>
                <w:color w:val="000000"/>
                <w:sz w:val="24"/>
                <w:szCs w:val="24"/>
                <w:highlight w:val="none"/>
                <w:lang w:val="en-US" w:eastAsia="zh-CN"/>
              </w:rPr>
              <w:t xml:space="preserve">保安服务方案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w:t>
            </w:r>
            <w:r>
              <w:rPr>
                <w:rFonts w:hint="eastAsia" w:ascii="宋体" w:hAnsi="宋体" w:cs="宋体"/>
                <w:color w:val="000000"/>
                <w:sz w:val="24"/>
                <w:szCs w:val="24"/>
                <w:highlight w:val="none"/>
                <w:lang w:val="en-US" w:eastAsia="zh-CN"/>
              </w:rPr>
              <w:t xml:space="preserve">的保安服务方案（包含校门值守管控、校园常态化巡逻、秩序维护、安全隐患排查整治、突发事件应急处置等）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全面性(5分)：全面详实的得5分；较全面的得3分；不全面的得1分。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分)：针对性强得</w:t>
            </w:r>
            <w:r>
              <w:rPr>
                <w:rFonts w:hint="eastAsia" w:ascii="宋体" w:hAnsi="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lang w:val="en-US" w:eastAsia="zh-CN"/>
              </w:rPr>
              <w:t xml:space="preserve">分；针对性较强得</w:t>
            </w: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可操作性（4分）：操作性强的得4分，操作性较强的得2分，操作性欠缺的得1分。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w:t>
            </w:r>
            <w:r>
              <w:rPr>
                <w:rFonts w:hint="eastAsia" w:ascii="宋体" w:hAnsi="宋体" w:cs="宋体"/>
                <w:color w:val="000000"/>
                <w:sz w:val="24"/>
                <w:szCs w:val="22"/>
                <w:highlight w:val="none"/>
                <w:lang w:val="en-US" w:eastAsia="zh-CN"/>
              </w:rPr>
              <w:t xml:space="preserve">14</w:t>
            </w:r>
            <w:r>
              <w:rPr>
                <w:rFonts w:hint="eastAsia" w:ascii="宋体" w:hAnsi="宋体" w:eastAsia="宋体" w:cs="宋体"/>
                <w:color w:val="000000"/>
                <w:sz w:val="24"/>
                <w:szCs w:val="22"/>
                <w:highlight w:val="none"/>
                <w:lang w:val="en-US" w:eastAsia="zh-CN"/>
              </w:rPr>
              <w:t xml:space="preserve">分，最低得0分。</w:t>
            </w:r>
            <w:r/>
          </w:p>
        </w:tc>
      </w:tr>
      <w:tr>
        <w:trPr>
          <w:cantSplit/>
          <w:jc w:val="center"/>
          <w:trHeight w:val="1975"/>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cs="宋体"/>
                <w:color w:val="000000"/>
                <w:sz w:val="24"/>
                <w:szCs w:val="24"/>
                <w:highlight w:val="none"/>
                <w:lang w:val="en-US" w:eastAsia="zh-CN"/>
              </w:rPr>
              <w:t xml:space="preserve">人员管理制度</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w:t>
            </w:r>
            <w:r>
              <w:rPr>
                <w:rFonts w:hint="eastAsia" w:ascii="宋体" w:hAnsi="宋体" w:cs="宋体"/>
                <w:color w:val="000000"/>
                <w:sz w:val="24"/>
                <w:szCs w:val="24"/>
                <w:highlight w:val="none"/>
                <w:lang w:val="en-US" w:eastAsia="zh-CN"/>
              </w:rPr>
              <w:t xml:space="preserve">的人员管理制度（包含内部管理架构、人员培训方案、岗位职责、岗位考核方案等）进行综合评价</w:t>
            </w:r>
            <w:r>
              <w:rPr>
                <w:rFonts w:hint="eastAsia" w:ascii="宋体" w:hAnsi="宋体" w:eastAsia="宋体" w:cs="宋体"/>
                <w:color w:val="000000"/>
                <w:sz w:val="24"/>
                <w:szCs w:val="22"/>
                <w:highlight w:val="none"/>
                <w:lang w:val="en-US" w:eastAsia="zh-CN"/>
              </w:rPr>
              <w:t xml:space="preserve">。</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全面性(5分)：全面详实的得5分；较全面的得3分；不全面的得1分。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针对性（5分)：针对性强得5分；针对性较强得3分；针对性欠缺的得1分。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可操作性（4分）：操作性强的得4分，操作性较强的得2分，操作性欠缺的得1分。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未提供的不得分。本项最高得14分，最低得0分。</w:t>
            </w:r>
            <w:r/>
          </w:p>
        </w:tc>
      </w:tr>
      <w:tr>
        <w:trPr>
          <w:cantSplit/>
          <w:jc w:val="center"/>
          <w:trHeight w:val="329"/>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ascii="宋体" w:hAnsi="宋体" w:eastAsia="宋体" w:cs="宋体"/>
                <w:b w:val="0"/>
                <w:bCs w:val="0"/>
                <w:color w:val="000000"/>
                <w:sz w:val="24"/>
                <w:szCs w:val="24"/>
                <w:highlight w:val="none"/>
              </w:rPr>
              <w:outlineLvl w:val="9"/>
              <w:suppressLineNumbers w:val="0"/>
            </w:pPr>
            <w:r>
              <w:rPr>
                <w:rFonts w:hint="eastAsia" w:ascii="宋体" w:hAnsi="宋体" w:cs="宋体"/>
                <w:color w:val="000000"/>
                <w:sz w:val="24"/>
                <w:szCs w:val="24"/>
                <w:highlight w:val="none"/>
                <w:lang w:val="en-US" w:eastAsia="zh-CN"/>
              </w:rPr>
              <w:t xml:space="preserve">设备配备方案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对投标文件中</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设备配备方案</w:t>
            </w:r>
            <w:r>
              <w:rPr>
                <w:rFonts w:hint="eastAsia" w:ascii="宋体" w:hAnsi="宋体" w:cs="宋体"/>
                <w:color w:val="000000"/>
                <w:sz w:val="24"/>
                <w:szCs w:val="24"/>
                <w:highlight w:val="none"/>
                <w:lang w:val="en-US" w:eastAsia="zh-CN"/>
              </w:rPr>
              <w:t xml:space="preserve">（包含设备、机械、工具以及服装、耗材、日用品等）</w:t>
            </w:r>
            <w:r>
              <w:rPr>
                <w:rFonts w:hint="eastAsia" w:ascii="宋体" w:hAnsi="宋体" w:eastAsia="宋体" w:cs="宋体"/>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全面性(5分)：全面详实的得5分；较全面的得3分；不全面的得1分。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针对性（5分)：针对性强得5分；针对性较强得3分；针对性欠缺的得1分。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可操作性（4分）：操作性强的得4分，操作性较强的得2分，操作性欠缺的得1分。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未提供的不得分。本项最高得14分，最低得0分。</w:t>
            </w:r>
            <w:r/>
          </w:p>
        </w:tc>
      </w:tr>
      <w:tr>
        <w:trPr>
          <w:cantSplit/>
          <w:jc w:val="center"/>
          <w:trHeight w:val="329"/>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突发事件的处理预案</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7026"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对投标文件中的</w:t>
            </w:r>
            <w:r>
              <w:rPr>
                <w:rFonts w:hint="eastAsia" w:ascii="宋体" w:hAnsi="宋体" w:cs="宋体"/>
                <w:color w:val="000000"/>
                <w:sz w:val="24"/>
                <w:szCs w:val="22"/>
                <w:highlight w:val="none"/>
                <w:lang w:val="en-US" w:eastAsia="zh-CN"/>
              </w:rPr>
              <w:t xml:space="preserve">针对各类</w:t>
            </w:r>
            <w:r>
              <w:rPr>
                <w:rFonts w:hint="eastAsia" w:ascii="宋体" w:hAnsi="宋体" w:eastAsia="宋体" w:cs="宋体"/>
                <w:color w:val="000000"/>
                <w:sz w:val="24"/>
                <w:szCs w:val="22"/>
                <w:highlight w:val="none"/>
                <w:lang w:val="en-US" w:eastAsia="zh-CN"/>
              </w:rPr>
              <w:t xml:space="preserve">突发事件的</w:t>
            </w:r>
            <w:r>
              <w:rPr>
                <w:rFonts w:hint="eastAsia" w:ascii="宋体" w:hAnsi="宋体" w:cs="宋体"/>
                <w:color w:val="000000"/>
                <w:sz w:val="24"/>
                <w:szCs w:val="22"/>
                <w:highlight w:val="none"/>
                <w:lang w:val="en-US" w:eastAsia="zh-CN"/>
              </w:rPr>
              <w:t xml:space="preserve">应急</w:t>
            </w:r>
            <w:r>
              <w:rPr>
                <w:rFonts w:hint="eastAsia" w:ascii="宋体" w:hAnsi="宋体" w:eastAsia="宋体" w:cs="宋体"/>
                <w:color w:val="000000"/>
                <w:sz w:val="24"/>
                <w:szCs w:val="22"/>
                <w:highlight w:val="none"/>
                <w:lang w:val="en-US" w:eastAsia="zh-CN"/>
              </w:rPr>
              <w:t xml:space="preserve">处理预案进行综合评价。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全面性(5分)：全面详实的得5分；较全面的得3分；不全面的得1分。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针对性（5分)：针对性强得5分；针对性较强得3分；针对性欠缺的得1分。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可操作性（4分）：操作性强的得4分，操作性较强的得2分，操作性欠缺的得1分。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2"/>
                <w:highlight w:val="none"/>
                <w:lang w:val="en-US" w:eastAsia="zh-CN"/>
              </w:rPr>
              <w:outlineLvl w:val="9"/>
              <w:suppressLineNumbers w:val="0"/>
            </w:pPr>
            <w:r>
              <w:rPr>
                <w:rFonts w:hint="eastAsia" w:ascii="宋体" w:hAnsi="宋体" w:eastAsia="宋体" w:cs="宋体"/>
                <w:color w:val="000000"/>
                <w:sz w:val="24"/>
                <w:szCs w:val="22"/>
                <w:highlight w:val="none"/>
                <w:lang w:val="en-US" w:eastAsia="zh-CN"/>
              </w:rPr>
              <w:t xml:space="preserve">未提供的不得分。本项最高得14分，最低得0分。</w:t>
            </w:r>
            <w:r/>
          </w:p>
        </w:tc>
      </w:tr>
      <w:tr>
        <w:trPr>
          <w:cantSplit/>
          <w:jc w:val="center"/>
          <w:trHeight w:val="880"/>
        </w:trPr>
        <w:tc>
          <w:tcPr>
            <w:tcW w:w="1205" w:type="dxa"/>
            <w:vAlign w:val="center"/>
            <w:vMerge w:val="continue"/>
            <w:textDirection w:val="lrTb"/>
            <w:noWrap w:val="false"/>
          </w:tcPr>
          <w:p>
            <w:pPr>
              <w:pStyle w:val="1036"/>
              <w:ind w:left="0" w:right="0" w:firstLine="0"/>
              <w:jc w:val="center"/>
              <w:keepLines w:val="0"/>
              <w:keepNext w:val="0"/>
              <w:spacing w:before="0" w:beforeAutospacing="0" w:after="0" w:afterAutospacing="0"/>
              <w:rPr>
                <w:rFonts w:ascii="宋体" w:hAnsi="宋体" w:cs="宋体"/>
                <w:color w:val="000000"/>
                <w:sz w:val="24"/>
                <w:highlight w:val="none"/>
              </w:rPr>
              <w:suppressLineNumbers w:val="0"/>
            </w:pPr>
            <w:r>
              <w:rPr>
                <w:rFonts w:ascii="宋体" w:hAnsi="宋体" w:cs="宋体"/>
                <w:color w:val="000000"/>
                <w:sz w:val="24"/>
                <w:highlight w:val="none"/>
              </w:rPr>
            </w:r>
            <w:r/>
          </w:p>
        </w:tc>
        <w:tc>
          <w:tcPr>
            <w:tcW w:w="1405" w:type="dxa"/>
            <w:vAlign w:val="center"/>
            <w:textDirection w:val="lrTb"/>
            <w:noWrap w:val="false"/>
          </w:tcPr>
          <w:p>
            <w:pPr>
              <w:pStyle w:val="757"/>
              <w:ind w:left="0" w:right="0"/>
              <w:jc w:val="both"/>
              <w:keepLines w:val="0"/>
              <w:keepNext w:val="0"/>
              <w:pageBreakBefore w:val="0"/>
              <w:spacing w:before="0" w:beforeAutospacing="0" w:after="0" w:afterAutospacing="0" w:line="312" w:lineRule="auto"/>
              <w:widowControl/>
              <w:tabs>
                <w:tab w:val="center" w:pos="4153" w:leader="none"/>
                <w:tab w:val="right" w:pos="8306" w:leader="none"/>
              </w:tabs>
              <w:rPr>
                <w:rFonts w:ascii="宋体" w:hAnsi="宋体" w:eastAsia="宋体" w:cs="宋体"/>
                <w:b w:val="0"/>
                <w:bCs w:val="0"/>
                <w:color w:val="000000"/>
                <w:sz w:val="24"/>
                <w:szCs w:val="20"/>
                <w:highlight w:val="none"/>
              </w:rPr>
              <w:outlineLvl w:val="9"/>
              <w:suppressLineNumbers w:val="0"/>
            </w:pPr>
            <w:r>
              <w:rPr>
                <w:rFonts w:hint="eastAsia" w:ascii="宋体" w:hAnsi="宋体" w:cs="宋体"/>
                <w:color w:val="000000"/>
                <w:sz w:val="24"/>
                <w:szCs w:val="24"/>
                <w:highlight w:val="none"/>
                <w:lang w:val="en-US" w:eastAsia="zh-CN" w:bidi="ar-SA"/>
              </w:rPr>
              <w:t xml:space="preserve">专项安保保障方案</w:t>
            </w: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tc>
        <w:tc>
          <w:tcPr>
            <w:tcW w:w="7026"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Times New Roman"/>
                <w:color w:val="000000"/>
                <w:sz w:val="24"/>
                <w:szCs w:val="24"/>
                <w:highlight w:val="none"/>
                <w:lang w:val="en-US" w:eastAsia="zh-CN"/>
              </w:rPr>
              <w:outlineLvl w:val="9"/>
              <w:suppressLineNumbers w:val="0"/>
            </w:pPr>
            <w:r>
              <w:rPr>
                <w:rFonts w:hint="eastAsia" w:ascii="宋体" w:hAnsi="宋体" w:eastAsia="宋体" w:cs="Times New Roman"/>
                <w:color w:val="000000"/>
                <w:sz w:val="24"/>
                <w:szCs w:val="24"/>
                <w:highlight w:val="none"/>
                <w:lang w:val="en-US" w:eastAsia="zh-CN"/>
              </w:rPr>
              <w:t xml:space="preserve">对投标文件中</w:t>
            </w:r>
            <w:r>
              <w:rPr>
                <w:rFonts w:hint="eastAsia" w:ascii="宋体" w:hAnsi="宋体" w:cs="Times New Roman"/>
                <w:color w:val="000000"/>
                <w:sz w:val="24"/>
                <w:szCs w:val="24"/>
                <w:highlight w:val="none"/>
                <w:lang w:val="en-US" w:eastAsia="zh-CN"/>
              </w:rPr>
              <w:t xml:space="preserve">针对</w:t>
            </w:r>
            <w:r>
              <w:rPr>
                <w:rFonts w:hint="eastAsia" w:ascii="宋体" w:hAnsi="宋体" w:eastAsia="宋体" w:cs="Times New Roman"/>
                <w:color w:val="000000"/>
                <w:sz w:val="24"/>
                <w:szCs w:val="24"/>
                <w:highlight w:val="none"/>
                <w:lang w:val="en-US" w:eastAsia="zh-CN"/>
              </w:rPr>
              <w:t xml:space="preserve">安全、迎检接待</w:t>
            </w:r>
            <w:r>
              <w:rPr>
                <w:rFonts w:hint="eastAsia" w:ascii="宋体" w:hAnsi="宋体" w:cs="Times New Roman"/>
                <w:color w:val="000000"/>
                <w:sz w:val="24"/>
                <w:szCs w:val="24"/>
                <w:highlight w:val="none"/>
                <w:lang w:val="en-US" w:eastAsia="zh-CN"/>
              </w:rPr>
              <w:t xml:space="preserve">、各类校园活动等安保保障</w:t>
            </w:r>
            <w:r>
              <w:rPr>
                <w:rFonts w:hint="eastAsia" w:ascii="宋体" w:hAnsi="宋体" w:eastAsia="宋体" w:cs="Times New Roman"/>
                <w:color w:val="000000"/>
                <w:sz w:val="24"/>
                <w:szCs w:val="24"/>
                <w:highlight w:val="none"/>
                <w:lang w:val="en-US" w:eastAsia="zh-CN"/>
              </w:rPr>
              <w:t xml:space="preserve">等</w:t>
            </w:r>
            <w:r>
              <w:rPr>
                <w:rFonts w:hint="eastAsia" w:ascii="宋体" w:hAnsi="宋体" w:cs="Times New Roman"/>
                <w:color w:val="000000"/>
                <w:sz w:val="24"/>
                <w:szCs w:val="24"/>
                <w:highlight w:val="none"/>
                <w:lang w:val="en-US" w:eastAsia="zh-CN"/>
              </w:rPr>
              <w:t xml:space="preserve">方案</w:t>
            </w:r>
            <w:r>
              <w:rPr>
                <w:rFonts w:hint="eastAsia" w:ascii="宋体" w:hAnsi="宋体" w:eastAsia="宋体" w:cs="Times New Roman"/>
                <w:color w:val="000000"/>
                <w:sz w:val="24"/>
                <w:szCs w:val="24"/>
                <w:highlight w:val="none"/>
                <w:lang w:val="en-US" w:eastAsia="zh-CN"/>
              </w:rPr>
              <w:t xml:space="preserve">进行综合评价。</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Times New Roman"/>
                <w:color w:val="000000"/>
                <w:sz w:val="24"/>
                <w:szCs w:val="24"/>
                <w:highlight w:val="none"/>
                <w:lang w:val="en-US" w:eastAsia="zh-CN"/>
              </w:rPr>
              <w:outlineLvl w:val="9"/>
              <w:suppressLineNumbers w:val="0"/>
            </w:pPr>
            <w:r>
              <w:rPr>
                <w:rFonts w:hint="eastAsia" w:ascii="宋体" w:hAnsi="宋体" w:eastAsia="宋体" w:cs="Times New Roman"/>
                <w:color w:val="000000"/>
                <w:sz w:val="24"/>
                <w:szCs w:val="24"/>
                <w:highlight w:val="none"/>
                <w:lang w:val="en-US" w:eastAsia="zh-CN"/>
              </w:rPr>
              <w:t xml:space="preserve">全面性(5分)：全面详实的得5分；较全面的得3分；不全面的得1分。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Times New Roman"/>
                <w:color w:val="000000"/>
                <w:sz w:val="24"/>
                <w:szCs w:val="24"/>
                <w:highlight w:val="none"/>
                <w:lang w:val="en-US" w:eastAsia="zh-CN"/>
              </w:rPr>
              <w:outlineLvl w:val="9"/>
              <w:suppressLineNumbers w:val="0"/>
            </w:pPr>
            <w:r>
              <w:rPr>
                <w:rFonts w:hint="eastAsia" w:ascii="宋体" w:hAnsi="宋体" w:eastAsia="宋体" w:cs="Times New Roman"/>
                <w:color w:val="000000"/>
                <w:sz w:val="24"/>
                <w:szCs w:val="24"/>
                <w:highlight w:val="none"/>
                <w:lang w:val="en-US" w:eastAsia="zh-CN"/>
              </w:rPr>
              <w:t xml:space="preserve">针对性（</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分)：针对性强得</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分；针对性较强得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分；针对性欠缺的得1分。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Times New Roman"/>
                <w:color w:val="000000"/>
                <w:sz w:val="24"/>
                <w:szCs w:val="24"/>
                <w:highlight w:val="none"/>
                <w:lang w:val="en-US" w:eastAsia="zh-CN"/>
              </w:rPr>
              <w:outlineLvl w:val="9"/>
              <w:suppressLineNumbers w:val="0"/>
            </w:pPr>
            <w:r>
              <w:rPr>
                <w:rFonts w:hint="eastAsia" w:ascii="宋体" w:hAnsi="宋体" w:eastAsia="宋体" w:cs="Times New Roman"/>
                <w:color w:val="000000"/>
                <w:sz w:val="24"/>
                <w:szCs w:val="24"/>
                <w:highlight w:val="none"/>
                <w:lang w:val="en-US" w:eastAsia="zh-CN"/>
              </w:rPr>
              <w:t xml:space="preserve">可操作性（4分）：操作性强的得4分，操作性较强的得2分，操作性欠缺的得1分。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Arial" w:cs="宋体"/>
                <w:color w:val="000000"/>
                <w:sz w:val="24"/>
                <w:szCs w:val="20"/>
                <w:highlight w:val="none"/>
                <w:lang w:val="en-US" w:eastAsia="zh-CN" w:bidi="ar-SA"/>
              </w:rPr>
              <w:outlineLvl w:val="9"/>
              <w:suppressLineNumbers w:val="0"/>
            </w:pPr>
            <w:r>
              <w:rPr>
                <w:rFonts w:hint="eastAsia" w:ascii="宋体" w:hAnsi="宋体" w:eastAsia="宋体" w:cs="Times New Roman"/>
                <w:color w:val="000000"/>
                <w:sz w:val="24"/>
                <w:szCs w:val="24"/>
                <w:highlight w:val="none"/>
                <w:lang w:val="en-US" w:eastAsia="zh-CN"/>
              </w:rPr>
              <w:t xml:space="preserve">未提供的不得分。本项最高得1</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分，最低得0分。</w:t>
            </w:r>
            <w:r/>
          </w:p>
        </w:tc>
      </w:tr>
    </w:tbl>
    <w:p>
      <w:pPr>
        <w:pStyle w:val="751"/>
        <w:spacing w:line="360" w:lineRule="auto"/>
        <w:rPr>
          <w:rFonts w:ascii="宋体" w:hAnsi="宋体"/>
          <w:color w:val="auto"/>
          <w:sz w:val="24"/>
          <w:highlight w:val="none"/>
        </w:rPr>
      </w:pPr>
      <w:r>
        <w:rPr>
          <w:rFonts w:hint="eastAsia" w:ascii="宋体" w:hAnsi="宋体" w:cs="宋体"/>
          <w:b w:val="0"/>
          <w:bCs w:val="0"/>
          <w:color w:val="auto"/>
          <w:sz w:val="24"/>
          <w:highlight w:val="none"/>
        </w:rPr>
        <w:t xml:space="preserve">本章说明：本项目采用综合评分法。</w:t>
      </w:r>
      <w:bookmarkStart w:id="8" w:name="_Toc522790134"/>
      <w:r>
        <w:rPr>
          <w:rFonts w:hint="eastAsia" w:ascii="宋体" w:hAnsi="宋体" w:cs="宋体"/>
          <w:color w:val="auto"/>
          <w:highlight w:val="none"/>
        </w:rPr>
        <w:br w:type="page" w:clear="all"/>
      </w:r>
      <w:bookmarkStart w:id="9" w:name="_Toc14780"/>
      <w:r>
        <w:rPr>
          <w:rFonts w:hint="eastAsia" w:ascii="宋体" w:hAnsi="宋体" w:cs="宋体"/>
          <w:color w:val="auto"/>
          <w:highlight w:val="none"/>
        </w:rPr>
        <w:t xml:space="preserve">                </w:t>
      </w:r>
      <w:r>
        <w:rPr>
          <w:rFonts w:hint="eastAsia" w:ascii="宋体" w:hAnsi="宋体" w:cs="宋体"/>
          <w:b/>
          <w:bCs/>
          <w:color w:val="auto"/>
          <w:highlight w:val="none"/>
        </w:rPr>
        <w:t xml:space="preserve">   </w:t>
      </w:r>
      <w:r>
        <w:rPr>
          <w:rFonts w:hint="eastAsia" w:ascii="宋体" w:hAnsi="宋体" w:cs="宋体"/>
          <w:b/>
          <w:bCs/>
          <w:color w:val="auto"/>
          <w:sz w:val="36"/>
          <w:szCs w:val="44"/>
          <w:highlight w:val="none"/>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auto"/>
          <w:sz w:val="24"/>
          <w:highlight w:val="none"/>
          <w:lang w:val="zh-CN"/>
        </w:rPr>
      </w:pPr>
      <w:r>
        <w:rPr>
          <w:rFonts w:ascii="宋体" w:hAnsi="宋体" w:cs="宋体"/>
          <w:color w:val="auto"/>
          <w:sz w:val="24"/>
          <w:highlight w:val="none"/>
          <w:lang w:val="zh-CN"/>
        </w:rPr>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政</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府</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采</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购</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合</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同</w:t>
      </w:r>
      <w:r/>
    </w:p>
    <w:p>
      <w:pPr>
        <w:jc w:val="both"/>
        <w:keepLines/>
        <w:keepNext/>
        <w:spacing w:before="280" w:after="290" w:line="376" w:lineRule="auto"/>
        <w:widowControl w:val="off"/>
        <w:rPr>
          <w:rFonts w:ascii="Calibri Light" w:hAnsi="Calibri Light" w:eastAsia="宋体" w:cs="Times New Roman"/>
          <w:b/>
          <w:bCs/>
          <w:color w:val="auto"/>
          <w:sz w:val="28"/>
          <w:szCs w:val="28"/>
          <w:highlight w:val="none"/>
          <w:lang w:val="en-US" w:eastAsia="zh-CN" w:bidi="ar-SA"/>
        </w:rPr>
        <w:outlineLvl w:val="3"/>
      </w:pPr>
      <w:r>
        <w:rPr>
          <w:rFonts w:ascii="Calibri Light" w:hAnsi="Calibri Light" w:eastAsia="宋体" w:cs="Times New Roman"/>
          <w:b/>
          <w:bCs/>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项目编号：</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采购人：</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项目名称：</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中标</w:t>
      </w:r>
      <w:r>
        <w:rPr>
          <w:rFonts w:hint="eastAsia" w:ascii="宋体" w:hAnsi="宋体" w:eastAsia="宋体" w:cs="Times New Roman"/>
          <w:color w:val="auto"/>
          <w:sz w:val="28"/>
          <w:szCs w:val="28"/>
          <w:highlight w:val="none"/>
          <w:lang w:val="en-US" w:eastAsia="zh-CN" w:bidi="ar-SA"/>
        </w:rPr>
        <w:t xml:space="preserve">人</w:t>
      </w:r>
      <w:r>
        <w:rPr>
          <w:rFonts w:ascii="宋体" w:hAnsi="宋体" w:eastAsia="宋体" w:cs="Times New Roman"/>
          <w:color w:val="auto"/>
          <w:sz w:val="28"/>
          <w:szCs w:val="28"/>
          <w:highlight w:val="none"/>
          <w:lang w:val="en-US" w:eastAsia="zh-CN" w:bidi="ar-SA"/>
        </w:rPr>
        <w:t xml:space="preserve">：</w:t>
      </w:r>
      <w:r/>
    </w:p>
    <w:p>
      <w:pPr>
        <w:ind w:firstLine="560"/>
        <w:jc w:val="both"/>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签订日期：    年   月   日</w:t>
      </w:r>
      <w:r/>
    </w:p>
    <w:p>
      <w:pPr>
        <w:ind w:firstLine="48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ascii="宋体" w:hAnsi="宋体" w:eastAsia="宋体" w:cs="Times New Roman"/>
          <w:bCs/>
          <w:color w:val="auto"/>
          <w:sz w:val="24"/>
          <w:szCs w:val="24"/>
          <w:highlight w:val="none"/>
          <w:lang w:val="en-US" w:eastAsia="zh-CN" w:bidi="ar-SA"/>
        </w:rPr>
      </w:pPr>
      <w:r>
        <w:rPr>
          <w:rFonts w:asciiTheme="minorEastAsia" w:hAnsiTheme="minorEastAsia" w:eastAsiaTheme="minorEastAsia" w:cstheme="minorEastAsia"/>
          <w:bCs/>
          <w:color w:val="auto"/>
          <w:sz w:val="24"/>
          <w:szCs w:val="24"/>
          <w:highlight w:val="none"/>
          <w:lang w:val="en-US" w:eastAsia="zh-CN" w:bidi="ar-SA"/>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bidi="ar-SA"/>
        </w:rPr>
        <w:t xml:space="preserve">30</w:t>
      </w:r>
      <w:r>
        <w:rPr>
          <w:rFonts w:asciiTheme="minorEastAsia" w:hAnsiTheme="minorEastAsia" w:eastAsiaTheme="minorEastAsia" w:cstheme="minorEastAsia"/>
          <w:bCs/>
          <w:color w:val="auto"/>
          <w:sz w:val="24"/>
          <w:szCs w:val="24"/>
          <w:highlight w:val="none"/>
          <w:lang w:val="en-US" w:eastAsia="zh-CN" w:bidi="ar-SA"/>
        </w:rPr>
        <w:t xml:space="preserve">日内，按照采购文件确定的事项签订政府采购合同。</w:t>
      </w:r>
      <w:r/>
    </w:p>
    <w:p>
      <w:pPr>
        <w:pStyle w:val="713"/>
        <w:spacing w:line="360" w:lineRule="auto"/>
        <w:rPr>
          <w:rFonts w:hint="default" w:asciiTheme="minorEastAsia" w:hAnsiTheme="minorEastAsia" w:eastAsiaTheme="minorEastAsia" w:cstheme="minorEastAsia"/>
          <w:bCs/>
          <w:color w:val="auto"/>
          <w:highlight w:val="none"/>
        </w:rPr>
      </w:pPr>
      <w:r>
        <w:rPr>
          <w:rFonts w:hint="default" w:asciiTheme="minorEastAsia" w:hAnsiTheme="minorEastAsia" w:eastAsiaTheme="minorEastAsia" w:cstheme="minorEastAsia"/>
          <w:bCs/>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line="360" w:lineRule="auto"/>
        <w:widowControl w:val="off"/>
        <w:rPr>
          <w:rFonts w:hint="eastAsia" w:ascii="仿宋" w:hAnsi="仿宋" w:eastAsia="仿宋"/>
          <w:color w:val="auto"/>
          <w:sz w:val="24"/>
          <w:highlight w:val="none"/>
        </w:rPr>
      </w:pPr>
      <w:r>
        <w:rPr>
          <w:rFonts w:hint="eastAsia" w:ascii="仿宋" w:hAnsi="仿宋" w:eastAsia="仿宋"/>
          <w:color w:val="auto"/>
          <w:sz w:val="24"/>
          <w:highlight w:val="none"/>
        </w:rPr>
        <w:t xml:space="preserve">                        </w:t>
      </w:r>
      <w:r/>
    </w:p>
    <w:p>
      <w:pPr>
        <w:rPr>
          <w:rFonts w:hint="eastAsia" w:ascii="仿宋" w:hAnsi="仿宋" w:eastAsia="仿宋"/>
          <w:color w:val="auto"/>
          <w:sz w:val="24"/>
          <w:highlight w:val="none"/>
        </w:rPr>
      </w:pPr>
      <w:r>
        <w:rPr>
          <w:rFonts w:hint="eastAsia" w:ascii="仿宋" w:hAnsi="仿宋" w:eastAsia="仿宋"/>
          <w:color w:val="auto"/>
          <w:sz w:val="24"/>
          <w:highlight w:val="none"/>
        </w:rPr>
        <w:br w:type="page" w:clear="all"/>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w:t>
      </w:r>
      <w:r/>
    </w:p>
    <w:p>
      <w:pPr>
        <w:ind w:left="0" w:right="0" w:firstLine="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甲乙双方根据</w:t>
      </w:r>
      <w:r>
        <w:rPr>
          <w:rFonts w:hint="eastAsia" w:ascii="宋体" w:hAnsi="宋体" w:cs="宋体"/>
          <w:color w:val="000000"/>
          <w:sz w:val="24"/>
          <w:szCs w:val="24"/>
          <w:highlight w:val="none"/>
          <w:u w:val="single"/>
          <w:lang w:val="en-US" w:eastAsia="zh-CN" w:bidi="ar-SA"/>
        </w:rPr>
        <w:t xml:space="preserve">沛县校园保安服务</w:t>
      </w:r>
      <w:r>
        <w:rPr>
          <w:rFonts w:hint="eastAsia" w:ascii="宋体" w:hAnsi="宋体" w:eastAsia="宋体" w:cs="宋体"/>
          <w:color w:val="000000"/>
          <w:sz w:val="24"/>
          <w:szCs w:val="24"/>
          <w:highlight w:val="none"/>
          <w:lang w:val="en-US" w:eastAsia="zh-CN" w:bidi="ar-SA"/>
        </w:rPr>
        <w:t xml:space="preserve">(项目编号：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JSZC-320322-XDFH-G2026-0013</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招标结果，依据《中华人民共和国民法典》、《中华人民共和国政府采购法》等有关法律、法规，及本项目中标通知书、招标文件及乙方的投标文件等，甲乙双方恪守公平、公正、诚信的原则，友好协商，签订本合同。</w:t>
      </w:r>
      <w:r/>
    </w:p>
    <w:p>
      <w:pPr>
        <w:ind w:left="0" w:right="0" w:firstLine="482"/>
        <w:jc w:val="both"/>
        <w:keepLines w:val="0"/>
        <w:keepNext w:val="0"/>
        <w:pageBreakBefore w:val="0"/>
        <w:spacing w:line="360" w:lineRule="auto"/>
        <w:widowControl w:val="off"/>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一、合同文件的组成</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本合同所附下列文件是构成本合同不可分割的部分：</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沛县校园保安服务</w:t>
      </w:r>
      <w:r>
        <w:rPr>
          <w:rFonts w:hint="eastAsia" w:ascii="宋体" w:hAnsi="宋体" w:eastAsia="宋体" w:cs="宋体"/>
          <w:color w:val="000000"/>
          <w:sz w:val="24"/>
          <w:szCs w:val="24"/>
          <w:highlight w:val="none"/>
        </w:rPr>
        <w:t xml:space="preserve">招标文件(项目编号：</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JSZC-320322-XDFH-G2026-0013</w:t>
      </w:r>
      <w:r>
        <w:rPr>
          <w:rFonts w:hint="eastAsia" w:ascii="宋体" w:hAnsi="宋体" w:eastAsia="宋体" w:cs="宋体"/>
          <w:color w:val="000000"/>
          <w:sz w:val="24"/>
          <w:szCs w:val="24"/>
          <w:highlight w:val="none"/>
        </w:rPr>
        <w:t xml:space="preserve">）以及相关的澄清、补充文件等；</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（二）乙方的投标文件及其澄清、补充说明文件等；</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）中标通知书。</w:t>
      </w:r>
      <w:r/>
    </w:p>
    <w:p>
      <w:pPr>
        <w:ind w:left="0" w:right="0" w:firstLine="482"/>
        <w:jc w:val="both"/>
        <w:keepLines w:val="0"/>
        <w:keepNext w:val="0"/>
        <w:pageBreakBefore w:val="0"/>
        <w:spacing w:line="360" w:lineRule="auto"/>
        <w:widowControl w:val="off"/>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二、服务范围 </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具体内容见招标文件第</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章《采购需求》。</w:t>
      </w:r>
      <w:r/>
    </w:p>
    <w:p>
      <w:pPr>
        <w:ind w:left="0" w:right="0" w:firstLine="482"/>
        <w:jc w:val="both"/>
        <w:keepLines w:val="0"/>
        <w:keepNext w:val="0"/>
        <w:pageBreakBefore w:val="0"/>
        <w:spacing w:line="360" w:lineRule="auto"/>
        <w:widowControl w:val="off"/>
        <w:rPr>
          <w:rFonts w:hint="default"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三、合同期限</w:t>
      </w:r>
      <w:r/>
    </w:p>
    <w:p>
      <w:pPr>
        <w:ind w:left="0" w:right="0" w:firstLine="480"/>
        <w:jc w:val="both"/>
        <w:keepLines w:val="0"/>
        <w:keepNext w:val="0"/>
        <w:pageBreakBefore w:val="0"/>
        <w:spacing w:line="360" w:lineRule="auto"/>
        <w:widowControl w:val="off"/>
        <w:rPr>
          <w:rFonts w:hint="eastAsia" w:ascii="宋体" w:hAnsi="宋体" w:eastAsia="宋体" w:cs="宋体"/>
          <w:strike/>
          <w:color w:val="000000"/>
          <w:sz w:val="24"/>
          <w:szCs w:val="24"/>
          <w:highlight w:val="none"/>
          <w:lang w:eastAsia="zh-CN"/>
        </w:rPr>
      </w:pPr>
      <w:r>
        <w:rPr>
          <w:rFonts w:hint="eastAsia" w:ascii="宋体" w:hAnsi="宋体" w:eastAsia="宋体" w:cs="宋体"/>
          <w:color w:val="000000"/>
          <w:sz w:val="24"/>
          <w:szCs w:val="24"/>
          <w:highlight w:val="none"/>
        </w:rPr>
        <w:t xml:space="preserve">本合同期限从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止,实行合同每年一签的履约模式。单年度合同期满后，乙方年度综合考核合格的，可按照政府采购相关流程申请续签，项目周期内最多可续签2次。续签均需通过甲方严格考评审核，考核不合格的不予续签，甲方有权重新组织项目采购</w:t>
      </w:r>
      <w:r>
        <w:rPr>
          <w:rFonts w:hint="eastAsia" w:ascii="宋体" w:hAnsi="宋体" w:cs="宋体"/>
          <w:color w:val="000000"/>
          <w:sz w:val="24"/>
          <w:szCs w:val="24"/>
          <w:highlight w:val="none"/>
          <w:lang w:eastAsia="zh-CN"/>
        </w:rPr>
        <w:t xml:space="preserve">。</w:t>
      </w:r>
      <w:r/>
    </w:p>
    <w:p>
      <w:pPr>
        <w:numPr>
          <w:ilvl w:val="0"/>
          <w:numId w:val="4"/>
        </w:num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合同价款</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本合同总金额为人民币大写金额：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元，（小写金额￥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合同约定每季度服务费为合同总价的四分之一。</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eastAsia="zh-CN"/>
        </w:rPr>
        <w:t xml:space="preserve">经双方协商一致，选择以下第</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种付款方式：</w:t>
      </w:r>
      <w:r/>
    </w:p>
    <w:p>
      <w:pPr>
        <w:ind w:left="0" w:right="0" w:firstLine="482"/>
        <w:jc w:val="both"/>
        <w:keepLines w:val="0"/>
        <w:keepNext w:val="0"/>
        <w:pageBreakBefore w:val="0"/>
        <w:spacing w:line="360" w:lineRule="auto"/>
        <w:widowControl w:val="off"/>
        <w:rPr>
          <w:rFonts w:hint="default" w:ascii="宋体" w:hAnsi="宋体" w:eastAsia="宋体" w:cs="宋体"/>
          <w:b/>
          <w:bCs/>
          <w:color w:val="000000"/>
          <w:sz w:val="24"/>
          <w:szCs w:val="24"/>
          <w:highlight w:val="none"/>
        </w:rPr>
      </w:pPr>
      <w:r>
        <w:rPr>
          <w:rFonts w:hint="eastAsia" w:ascii="宋体" w:hAnsi="宋体" w:eastAsia="宋体" w:cs="Times New Roman"/>
          <w:b/>
          <w:bCs/>
          <w:color w:val="000000"/>
          <w:sz w:val="24"/>
          <w:szCs w:val="24"/>
          <w:highlight w:val="none"/>
          <w:lang w:eastAsia="zh-CN"/>
        </w:rPr>
        <w:t xml:space="preserve">（一）付款方式（提交预付款保函的）</w:t>
      </w:r>
      <w:r/>
    </w:p>
    <w:p>
      <w:pPr>
        <w:ind w:left="0"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eastAsia="zh-CN"/>
        </w:rPr>
        <w:t xml:space="preserve">（1）合同签订且乙方向甲方出具预付款保函后</w:t>
      </w:r>
      <w:r>
        <w:rPr>
          <w:rFonts w:hint="eastAsia" w:ascii="宋体" w:hAnsi="宋体" w:eastAsia="宋体" w:cs="Times New Roman"/>
          <w:color w:val="000000"/>
          <w:sz w:val="24"/>
          <w:szCs w:val="24"/>
          <w:highlight w:val="none"/>
          <w:u w:val="single"/>
          <w:lang w:eastAsia="zh-CN"/>
        </w:rPr>
        <w:t xml:space="preserve">15</w:t>
      </w:r>
      <w:r>
        <w:rPr>
          <w:rFonts w:hint="eastAsia" w:ascii="宋体" w:hAnsi="宋体" w:eastAsia="宋体" w:cs="Times New Roman"/>
          <w:color w:val="000000"/>
          <w:sz w:val="24"/>
          <w:szCs w:val="24"/>
          <w:highlight w:val="none"/>
          <w:lang w:eastAsia="zh-CN"/>
        </w:rPr>
        <w:t xml:space="preserve">日历天内，甲方应支付至合同价款的百分之</w:t>
      </w:r>
      <w:r>
        <w:rPr>
          <w:rFonts w:hint="eastAsia" w:ascii="宋体" w:hAnsi="宋体" w:cs="Times New Roman"/>
          <w:color w:val="000000"/>
          <w:sz w:val="24"/>
          <w:szCs w:val="24"/>
          <w:highlight w:val="none"/>
          <w:u w:val="single"/>
          <w:lang w:val="en-US" w:eastAsia="zh-CN"/>
        </w:rPr>
        <w:t xml:space="preserve">四</w:t>
      </w:r>
      <w:r>
        <w:rPr>
          <w:rFonts w:hint="eastAsia" w:ascii="宋体" w:hAnsi="宋体" w:eastAsia="宋体" w:cs="Times New Roman"/>
          <w:color w:val="000000"/>
          <w:sz w:val="24"/>
          <w:szCs w:val="24"/>
          <w:highlight w:val="none"/>
          <w:u w:val="single"/>
          <w:lang w:eastAsia="zh-CN"/>
        </w:rPr>
        <w:t xml:space="preserve">十</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0%)，小写￥</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大写：人民币</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eastAsia="zh-CN"/>
        </w:rPr>
        <w:t xml:space="preserve">（2）待项目完成后</w:t>
      </w:r>
      <w:r>
        <w:rPr>
          <w:rFonts w:hint="eastAsia" w:ascii="宋体" w:hAnsi="宋体" w:eastAsia="宋体" w:cs="Times New Roman"/>
          <w:color w:val="000000"/>
          <w:sz w:val="24"/>
          <w:szCs w:val="24"/>
          <w:highlight w:val="none"/>
          <w:u w:val="single"/>
          <w:lang w:eastAsia="zh-CN"/>
        </w:rPr>
        <w:t xml:space="preserve">15</w:t>
      </w:r>
      <w:r>
        <w:rPr>
          <w:rFonts w:hint="eastAsia" w:ascii="宋体" w:hAnsi="宋体" w:eastAsia="宋体" w:cs="Times New Roman"/>
          <w:color w:val="000000"/>
          <w:sz w:val="24"/>
          <w:szCs w:val="24"/>
          <w:highlight w:val="none"/>
          <w:lang w:eastAsia="zh-CN"/>
        </w:rPr>
        <w:t xml:space="preserve">日历天内，买方应支付合同价款的百分之</w:t>
      </w:r>
      <w:r>
        <w:rPr>
          <w:rFonts w:hint="eastAsia" w:ascii="宋体" w:hAnsi="宋体" w:cs="Times New Roman"/>
          <w:color w:val="000000"/>
          <w:sz w:val="24"/>
          <w:szCs w:val="24"/>
          <w:highlight w:val="none"/>
          <w:u w:val="single"/>
          <w:lang w:val="en-US" w:eastAsia="zh-CN"/>
        </w:rPr>
        <w:t xml:space="preserve">六</w:t>
      </w:r>
      <w:r>
        <w:rPr>
          <w:rFonts w:hint="eastAsia" w:ascii="宋体" w:hAnsi="宋体" w:eastAsia="宋体" w:cs="Times New Roman"/>
          <w:color w:val="000000"/>
          <w:sz w:val="24"/>
          <w:szCs w:val="24"/>
          <w:highlight w:val="none"/>
          <w:u w:val="single"/>
          <w:lang w:eastAsia="zh-CN"/>
        </w:rPr>
        <w:t xml:space="preserve">十</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0%)，小写￥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p>
    <w:p>
      <w:pPr>
        <w:ind w:left="0" w:righ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t xml:space="preserve">（二）付款方式（不提交预付款保函的）</w:t>
      </w:r>
      <w:r/>
    </w:p>
    <w:p>
      <w:pPr>
        <w:ind w:left="0" w:right="0" w:firstLine="480"/>
        <w:jc w:val="both"/>
        <w:keepLines w:val="0"/>
        <w:keepNext w:val="0"/>
        <w:pageBreakBefore w:val="0"/>
        <w:spacing w:before="0" w:line="360" w:lineRule="auto"/>
        <w:widowControl w:val="off"/>
        <w:rPr>
          <w:rFonts w:hint="default"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highlight w:val="none"/>
        </w:rPr>
        <w:t xml:space="preserve">合同总价为：¥</w:t>
      </w:r>
      <w:r>
        <w:rPr>
          <w:rFonts w:hint="default" w:ascii="宋体" w:hAnsi="宋体" w:eastAsia="宋体" w:cs="宋体"/>
          <w:color w:val="000000"/>
          <w:sz w:val="24"/>
          <w:szCs w:val="21"/>
          <w:highlight w:val="none"/>
          <w:u w:val="single"/>
        </w:rPr>
        <w:t xml:space="preserve">    </w:t>
      </w:r>
      <w:r>
        <w:rPr>
          <w:rFonts w:hint="default" w:ascii="宋体" w:hAnsi="宋体" w:eastAsia="宋体" w:cs="宋体"/>
          <w:color w:val="000000"/>
          <w:sz w:val="24"/>
          <w:szCs w:val="21"/>
          <w:highlight w:val="none"/>
        </w:rPr>
        <w:t xml:space="preserve">(小写)，人民币</w:t>
      </w:r>
      <w:r>
        <w:rPr>
          <w:rFonts w:hint="default" w:ascii="宋体" w:hAnsi="宋体" w:eastAsia="宋体" w:cs="宋体"/>
          <w:color w:val="000000"/>
          <w:sz w:val="24"/>
          <w:szCs w:val="21"/>
          <w:highlight w:val="none"/>
          <w:u w:val="single"/>
        </w:rPr>
        <w:t xml:space="preserve">     </w:t>
      </w:r>
      <w:r>
        <w:rPr>
          <w:rFonts w:hint="default" w:ascii="宋体" w:hAnsi="宋体" w:eastAsia="宋体" w:cs="宋体"/>
          <w:color w:val="000000"/>
          <w:sz w:val="24"/>
          <w:szCs w:val="21"/>
          <w:highlight w:val="none"/>
        </w:rPr>
        <w:t xml:space="preserve">（大写）。每</w:t>
      </w:r>
      <w:r>
        <w:rPr>
          <w:rFonts w:hint="eastAsia" w:ascii="宋体" w:hAnsi="宋体" w:eastAsia="宋体" w:cs="宋体"/>
          <w:color w:val="000000"/>
          <w:sz w:val="24"/>
          <w:szCs w:val="21"/>
          <w:highlight w:val="none"/>
          <w:lang w:val="en-US" w:eastAsia="zh-CN"/>
        </w:rPr>
        <w:t xml:space="preserve">季度</w:t>
      </w:r>
      <w:r>
        <w:rPr>
          <w:rFonts w:hint="default" w:ascii="宋体" w:hAnsi="宋体" w:eastAsia="宋体" w:cs="宋体"/>
          <w:color w:val="000000"/>
          <w:sz w:val="24"/>
          <w:szCs w:val="21"/>
          <w:highlight w:val="none"/>
        </w:rPr>
        <w:t xml:space="preserve">服务费为：¥</w:t>
      </w:r>
      <w:r>
        <w:rPr>
          <w:rFonts w:hint="default" w:ascii="宋体" w:hAnsi="宋体" w:eastAsia="宋体" w:cs="宋体"/>
          <w:color w:val="000000"/>
          <w:sz w:val="24"/>
          <w:szCs w:val="21"/>
          <w:highlight w:val="none"/>
          <w:u w:val="single"/>
        </w:rPr>
        <w:t xml:space="preserve">    </w:t>
      </w:r>
      <w:r>
        <w:rPr>
          <w:rFonts w:hint="default" w:ascii="宋体" w:hAnsi="宋体" w:eastAsia="宋体" w:cs="宋体"/>
          <w:color w:val="000000"/>
          <w:sz w:val="24"/>
          <w:szCs w:val="21"/>
          <w:highlight w:val="none"/>
        </w:rPr>
        <w:t xml:space="preserve">(小写)，人民币</w:t>
      </w:r>
      <w:r>
        <w:rPr>
          <w:rFonts w:hint="default" w:ascii="宋体" w:hAnsi="宋体" w:eastAsia="宋体" w:cs="宋体"/>
          <w:color w:val="000000"/>
          <w:sz w:val="24"/>
          <w:szCs w:val="21"/>
          <w:highlight w:val="none"/>
          <w:u w:val="single"/>
        </w:rPr>
        <w:t xml:space="preserve">     </w:t>
      </w:r>
      <w:r>
        <w:rPr>
          <w:rFonts w:hint="default" w:ascii="宋体" w:hAnsi="宋体" w:eastAsia="宋体" w:cs="宋体"/>
          <w:color w:val="000000"/>
          <w:sz w:val="24"/>
          <w:szCs w:val="21"/>
          <w:highlight w:val="none"/>
        </w:rPr>
        <w:t xml:space="preserve">（大写）。</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合同价款由甲方按月按实考评得分，</w:t>
      </w:r>
      <w:r>
        <w:rPr>
          <w:rFonts w:hint="eastAsia" w:ascii="宋体" w:hAnsi="宋体" w:eastAsia="宋体" w:cs="宋体"/>
          <w:color w:val="000000"/>
          <w:sz w:val="24"/>
          <w:szCs w:val="24"/>
          <w:highlight w:val="none"/>
          <w:lang w:val="en-US" w:eastAsia="zh-CN"/>
        </w:rPr>
        <w:t xml:space="preserve">按季度进行</w:t>
      </w:r>
      <w:r>
        <w:rPr>
          <w:rFonts w:hint="eastAsia" w:ascii="宋体" w:hAnsi="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每月月底前对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当月</w:t>
      </w:r>
      <w:r>
        <w:rPr>
          <w:rFonts w:hint="eastAsia" w:ascii="宋体" w:hAnsi="宋体" w:eastAsia="宋体" w:cs="宋体"/>
          <w:color w:val="000000"/>
          <w:sz w:val="24"/>
          <w:szCs w:val="24"/>
          <w:highlight w:val="none"/>
          <w:lang w:val="en-US" w:eastAsia="zh-CN"/>
        </w:rPr>
        <w:t xml:space="preserve">保安服务</w:t>
      </w:r>
      <w:r>
        <w:rPr>
          <w:rFonts w:hint="eastAsia" w:ascii="宋体" w:hAnsi="宋体" w:eastAsia="宋体" w:cs="宋体"/>
          <w:color w:val="000000"/>
          <w:sz w:val="24"/>
          <w:szCs w:val="24"/>
          <w:highlight w:val="none"/>
        </w:rPr>
        <w:t xml:space="preserve">情况进行考核，</w:t>
      </w:r>
      <w:r>
        <w:rPr>
          <w:rFonts w:hint="eastAsia" w:ascii="宋体" w:hAnsi="宋体" w:eastAsia="宋体" w:cs="宋体"/>
          <w:color w:val="000000"/>
          <w:sz w:val="24"/>
          <w:szCs w:val="24"/>
          <w:highlight w:val="none"/>
          <w:lang w:val="en-US" w:eastAsia="zh-CN"/>
        </w:rPr>
        <w:t xml:space="preserve">每季度末对月考核结果进行汇总，</w:t>
      </w:r>
      <w:r>
        <w:rPr>
          <w:rFonts w:hint="eastAsia" w:ascii="宋体" w:hAnsi="宋体" w:eastAsia="宋体" w:cs="宋体"/>
          <w:color w:val="000000"/>
          <w:sz w:val="24"/>
          <w:szCs w:val="24"/>
          <w:highlight w:val="none"/>
        </w:rPr>
        <w:t xml:space="preserve">按照甲方出具的考核办法</w:t>
      </w:r>
      <w:r>
        <w:rPr>
          <w:rFonts w:hint="eastAsia" w:ascii="宋体" w:hAnsi="宋体" w:eastAsia="宋体" w:cs="宋体"/>
          <w:color w:val="000000"/>
          <w:sz w:val="24"/>
          <w:szCs w:val="24"/>
          <w:highlight w:val="none"/>
          <w:lang w:val="en-US" w:eastAsia="zh-CN"/>
        </w:rPr>
        <w:t xml:space="preserve">汇总每月应支付费用，</w:t>
      </w:r>
      <w:r>
        <w:rPr>
          <w:rFonts w:hint="eastAsia" w:ascii="宋体" w:hAnsi="宋体" w:eastAsia="宋体" w:cs="宋体"/>
          <w:color w:val="000000"/>
          <w:sz w:val="24"/>
          <w:szCs w:val="24"/>
          <w:highlight w:val="none"/>
        </w:rPr>
        <w:t xml:space="preserve">据实支付</w:t>
      </w:r>
      <w:r>
        <w:rPr>
          <w:rFonts w:hint="eastAsia" w:ascii="宋体" w:hAnsi="宋体" w:eastAsia="宋体" w:cs="宋体"/>
          <w:color w:val="000000"/>
          <w:sz w:val="24"/>
          <w:szCs w:val="24"/>
          <w:highlight w:val="none"/>
          <w:lang w:val="en-US" w:eastAsia="zh-CN"/>
        </w:rPr>
        <w:t xml:space="preserve">该季度保安服务费用</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乙方需提交的支付文件包括：</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①乙方出具的全额正式发票；</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②甲方出具的每月考核得分。</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考核办法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以甲方实际制定考核办法为准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总分100分</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当月考核成绩在90分</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以上的，全额支付当月服务费；</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当月考核成绩在90分以下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不低于60分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的，每下降一分，扣除当月服务费的1%；</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当月考核成绩在</w:t>
      </w:r>
      <w:r>
        <w:rPr>
          <w:rFonts w:hint="eastAsia" w:ascii="宋体" w:hAnsi="宋体" w:eastAsia="宋体" w:cs="宋体"/>
          <w:color w:val="000000"/>
          <w:sz w:val="24"/>
          <w:szCs w:val="24"/>
          <w:highlight w:val="none"/>
          <w:lang w:val="en-US" w:eastAsia="zh-CN"/>
        </w:rPr>
        <w:t xml:space="preserve">60</w:t>
      </w:r>
      <w:r>
        <w:rPr>
          <w:rFonts w:hint="eastAsia" w:ascii="宋体" w:hAnsi="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以下的</w:t>
      </w:r>
      <w:r>
        <w:rPr>
          <w:rFonts w:hint="eastAsia" w:ascii="宋体" w:hAnsi="宋体" w:eastAsia="宋体" w:cs="宋体"/>
          <w:color w:val="000000"/>
          <w:sz w:val="24"/>
          <w:szCs w:val="24"/>
          <w:highlight w:val="none"/>
          <w:lang w:eastAsia="zh-CN"/>
        </w:rPr>
        <w:t xml:space="preserve">，全额扣除当月服务费。</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六、管理内容及评分标准</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具体按照《保安服务考核内容及评分细则》合同附件4。</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七、保安人员及设备配备要求</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满足招标文件要求，</w:t>
      </w:r>
      <w:r>
        <w:rPr>
          <w:rFonts w:hint="eastAsia" w:ascii="宋体" w:hAnsi="宋体" w:eastAsia="宋体" w:cs="宋体"/>
          <w:color w:val="000000"/>
          <w:sz w:val="24"/>
          <w:szCs w:val="24"/>
          <w:highlight w:val="none"/>
        </w:rPr>
        <w:t xml:space="preserve">具体见乙方投标文件。</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八、履约保证金</w:t>
      </w:r>
      <w:bookmarkStart w:id="15" w:name="_GoBack"/>
      <w:r/>
      <w:bookmarkEnd w:id="15"/>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金额为</w:t>
      </w:r>
      <w:r>
        <w:rPr>
          <w:rFonts w:hint="eastAsia" w:ascii="宋体" w:hAnsi="宋体" w:eastAsia="宋体" w:cs="宋体"/>
          <w:color w:val="000000"/>
          <w:sz w:val="24"/>
          <w:szCs w:val="24"/>
          <w:highlight w:val="none"/>
        </w:rPr>
        <w:t xml:space="preserve">合同总价的</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非现金形式），在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履约保证金在</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按合同履约完成后30日内无息退还。</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九、甲方的权利和义务</w:t>
      </w:r>
      <w:r/>
    </w:p>
    <w:p>
      <w:pPr>
        <w:ind w:left="0" w:right="0" w:firstLine="480"/>
        <w:jc w:val="both"/>
        <w:keepLines w:val="0"/>
        <w:keepNext w:val="0"/>
        <w:pageBreakBefore w:val="0"/>
        <w:spacing w:line="360" w:lineRule="auto"/>
        <w:widowControl w:val="off"/>
        <w:tabs>
          <w:tab w:val="left" w:pos="7272" w:leader="none"/>
        </w:tabs>
        <w:rPr>
          <w:rFonts w:hint="default" w:ascii="Times New Roman" w:hAnsi="Times New Roman" w:eastAsia="宋体" w:cs="Times New Roman"/>
          <w:sz w:val="21"/>
          <w:szCs w:val="21"/>
          <w:highlight w:val="none"/>
        </w:rPr>
      </w:pPr>
      <w:r>
        <w:rPr>
          <w:rFonts w:hint="eastAsia" w:ascii="宋体" w:hAnsi="宋体" w:eastAsia="宋体" w:cs="宋体"/>
          <w:color w:val="000000"/>
          <w:sz w:val="24"/>
          <w:szCs w:val="24"/>
          <w:highlight w:val="none"/>
        </w:rPr>
        <w:t xml:space="preserve">（一）甲方对乙方有实施日常检查、考核、管理的权利。</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（二）甲方可对乙方存在问题限期整改，整改费用由乙方承担。</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（三）甲方需确保乙方合同价款的按时到位。</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（四）甲方检查人员必须公开、公平、公正检查考核。</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甲方有权随时根据学校撤并、增添等实际情况调整本标段所需保安服务数量，并增添或减少保安服务费用。</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十、乙方的权利和义务</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（一）乙方应自觉接受采购人的检查、考核、指导和监督。</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（二）合同期内，乙方所需要的</w:t>
      </w:r>
      <w:r>
        <w:rPr>
          <w:rFonts w:hint="eastAsia" w:ascii="宋体" w:hAnsi="宋体" w:eastAsia="宋体" w:cs="宋体"/>
          <w:color w:val="000000"/>
          <w:sz w:val="24"/>
          <w:szCs w:val="24"/>
          <w:highlight w:val="none"/>
          <w:lang w:eastAsia="zh-CN"/>
        </w:rPr>
        <w:t xml:space="preserve">办公</w:t>
      </w:r>
      <w:r>
        <w:rPr>
          <w:rFonts w:hint="eastAsia" w:ascii="宋体" w:hAnsi="宋体" w:eastAsia="宋体" w:cs="宋体"/>
          <w:color w:val="000000"/>
          <w:sz w:val="24"/>
          <w:szCs w:val="24"/>
          <w:highlight w:val="none"/>
        </w:rPr>
        <w:t xml:space="preserve">用房、用地及固定办公地点由乙方自行解决。</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（三）乙方要加强对工作人员的安全教育和岗位培训，培训费用由中标方</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（四）完善相关措施，确保安全无事故，聘用及使用保安遵从相关的法律法规，如有用工及赔偿纠纷</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与甲方无关</w:t>
      </w:r>
      <w:r>
        <w:rPr>
          <w:rFonts w:hint="eastAsia" w:ascii="宋体" w:hAnsi="宋体" w:eastAsia="宋体" w:cs="宋体"/>
          <w:color w:val="000000"/>
          <w:sz w:val="24"/>
          <w:szCs w:val="24"/>
          <w:highlight w:val="none"/>
          <w:lang w:eastAsia="zh-CN"/>
        </w:rPr>
        <w:t xml:space="preserve">，由乙方全权负责</w:t>
      </w:r>
      <w:r>
        <w:rPr>
          <w:rFonts w:hint="eastAsia" w:ascii="宋体" w:hAnsi="宋体" w:eastAsia="宋体" w:cs="宋体"/>
          <w:color w:val="000000"/>
          <w:sz w:val="24"/>
          <w:szCs w:val="24"/>
          <w:highlight w:val="none"/>
        </w:rPr>
        <w:t xml:space="preserve">。项目管理期间内如遇人身伤亡事故，均由乙方负责，与采购人无关。</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（五）投标公司应提前完成前期实地勘察，合同签订之日起5日内完成本标段所有保安服务人员的服务合同签订进驻并开展正常工作。</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（六）乙方需全面配合采购人管理，根据人员安排采购方有权对所服务学校进行</w:t>
      </w:r>
      <w:r>
        <w:rPr>
          <w:rFonts w:hint="eastAsia" w:ascii="宋体" w:hAnsi="宋体" w:eastAsia="宋体" w:cs="宋体"/>
          <w:color w:val="000000"/>
          <w:sz w:val="24"/>
          <w:szCs w:val="24"/>
          <w:highlight w:val="none"/>
          <w:lang w:eastAsia="zh-CN"/>
        </w:rPr>
        <w:t xml:space="preserve">随时</w:t>
      </w:r>
      <w:r>
        <w:rPr>
          <w:rFonts w:hint="eastAsia" w:ascii="宋体" w:hAnsi="宋体" w:eastAsia="宋体" w:cs="宋体"/>
          <w:color w:val="000000"/>
          <w:sz w:val="24"/>
          <w:szCs w:val="24"/>
          <w:highlight w:val="none"/>
        </w:rPr>
        <w:t xml:space="preserve">调整，遇到重大活动服从统一调配。</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（七）合同履行期间，如乙方人员出现人身伤亡安全事故均由乙方承担全部经济与法律责任。</w:t>
      </w:r>
      <w:r/>
    </w:p>
    <w:p>
      <w:pPr>
        <w:ind w:left="0" w:right="0" w:firstLine="480"/>
        <w:jc w:val="both"/>
        <w:keepLines w:val="0"/>
        <w:keepNext w:val="0"/>
        <w:pageBreakBefore w:val="0"/>
        <w:spacing w:after="0" w:line="360" w:lineRule="auto"/>
        <w:widowControl w:val="off"/>
        <w:rPr>
          <w:rFonts w:hint="eastAsia" w:ascii="Times New Roman" w:hAnsi="Times New Roman" w:eastAsia="宋体" w:cs="Times New Roman"/>
          <w:color w:val="000000"/>
          <w:sz w:val="18"/>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（八）合同履行期间，如因乙方管理不善、工作失误等导致的其他人员的人身安全事故均由乙方承担全部经济与法律责任。</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十一、违约责任</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（一）乙方须指定专人负责管理，如违约或因管理不善而造成设施损毁、缺失的，由乙方赔偿相应损失，并承担全部违约责任。</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（二）合同期满后，甲乙双方共同清点设施，对照接收时的清单若发生设施被盗或损毁，</w:t>
      </w:r>
      <w:r>
        <w:rPr>
          <w:rFonts w:hint="eastAsia" w:ascii="宋体" w:hAnsi="宋体" w:eastAsia="宋体" w:cs="宋体"/>
          <w:color w:val="000000"/>
          <w:sz w:val="24"/>
          <w:szCs w:val="24"/>
          <w:highlight w:val="none"/>
          <w:lang w:eastAsia="zh-CN"/>
        </w:rPr>
        <w:t xml:space="preserve">由乙方</w:t>
      </w:r>
      <w:r>
        <w:rPr>
          <w:rFonts w:hint="eastAsia" w:ascii="宋体" w:hAnsi="宋体" w:eastAsia="宋体" w:cs="宋体"/>
          <w:color w:val="000000"/>
          <w:sz w:val="24"/>
          <w:szCs w:val="24"/>
          <w:highlight w:val="none"/>
        </w:rPr>
        <w:t xml:space="preserve">按清点当月市场价赔偿。</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十二、其它</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en-US" w:eastAsia="zh-CN"/>
        </w:rPr>
        <w:t xml:space="preserve">各</w:t>
      </w:r>
      <w:r>
        <w:rPr>
          <w:rFonts w:hint="eastAsia" w:ascii="宋体" w:hAnsi="宋体" w:eastAsia="宋体" w:cs="宋体"/>
          <w:color w:val="000000"/>
          <w:sz w:val="24"/>
          <w:szCs w:val="24"/>
          <w:highlight w:val="none"/>
          <w:lang w:eastAsia="zh-CN"/>
        </w:rPr>
        <w:t xml:space="preserve">学校和</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双方应及时清点管理范围内的设施，经双方盖章后，一式两份，双方各执一份，合同期满后，设施应保持现有数量和正常状态。</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（二）在日常管理中，由于乙方违约或因管理不善而造成设施损毁、缺失的，乙方应及时进行更换；更换的品种、规格应与原设施相同。</w:t>
      </w:r>
      <w:r>
        <w:rPr>
          <w:rFonts w:hint="eastAsia" w:ascii="宋体" w:hAnsi="宋体" w:eastAsia="宋体" w:cs="宋体"/>
          <w:color w:val="000000"/>
          <w:sz w:val="24"/>
          <w:szCs w:val="24"/>
          <w:highlight w:val="none"/>
          <w:lang w:eastAsia="zh-CN"/>
        </w:rPr>
        <w:t xml:space="preserve">未及时更换的，</w:t>
      </w:r>
      <w:r>
        <w:rPr>
          <w:rFonts w:hint="eastAsia" w:ascii="宋体" w:hAnsi="宋体" w:eastAsia="宋体" w:cs="宋体"/>
          <w:color w:val="000000"/>
          <w:sz w:val="24"/>
          <w:szCs w:val="24"/>
          <w:highlight w:val="none"/>
        </w:rPr>
        <w:t xml:space="preserve">采购人将在月度考核评分中予以扣分。</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（三）合同执行过程中，如国家、省、市等有关部门对管理标准和要求等作出重大调整的，按调整后的标准和要求执行。</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（四）发生下列情况的，采购人将扣除相应费用，</w:t>
      </w:r>
      <w:r>
        <w:rPr>
          <w:rFonts w:hint="eastAsia" w:ascii="宋体" w:hAnsi="宋体" w:eastAsia="宋体" w:cs="宋体"/>
          <w:color w:val="000000"/>
          <w:sz w:val="24"/>
          <w:szCs w:val="24"/>
          <w:highlight w:val="none"/>
          <w:lang w:eastAsia="zh-CN"/>
        </w:rPr>
        <w:t xml:space="preserve">情况严重时采购人将</w:t>
      </w:r>
      <w:r>
        <w:rPr>
          <w:rFonts w:hint="eastAsia" w:ascii="宋体" w:hAnsi="宋体" w:eastAsia="宋体" w:cs="宋体"/>
          <w:color w:val="000000"/>
          <w:sz w:val="24"/>
          <w:szCs w:val="24"/>
          <w:highlight w:val="none"/>
        </w:rPr>
        <w:t xml:space="preserve">单方终止合同，乙方应无条件服从：</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检查考核过程中，发现乙方属于挂靠公司无管理人员的；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合同期内不服从采购人或相关检查考核单位管理的；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乙方连续2个月考核得分低于60分或合同（协议）期一年内累计3次考核得分低于60分的，乙方须无条件按采购人要求办理移交、退场手续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不予续签下一年度合同</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因管理措施不当，累计被市级及以上新闻媒体曝光二次的；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tl w:val="0"/>
          <w:lang w:val="en-US" w:eastAsia="zh-CN"/>
        </w:rPr>
        <w:t xml:space="preserve">乙方必须保证聘保安人员年龄必须在国家法定用工年龄之内。</w:t>
      </w:r>
      <w:r>
        <w:rPr>
          <w:rFonts w:hint="eastAsia" w:ascii="宋体" w:hAnsi="宋体" w:eastAsia="宋体" w:cs="宋体"/>
          <w:color w:val="000000"/>
          <w:sz w:val="24"/>
          <w:szCs w:val="24"/>
          <w:highlight w:val="none"/>
        </w:rPr>
        <w:t xml:space="preserve">保安必须具有初中以上学历，退伍军人为佳，家庭和睦，身体健康，精神正常，家族无犯罪、心脏病及精神病史。单身离异、喜欢酗酒、有违法行为均不得招为学校保安，所有保安上岗前必须有当地派出所无违法犯罪的政审证明并通过体检。出现乙方雇用人员不符合要求的；不能使用达到法定退休年龄的保安。</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乙方必须按照合同约定配备相关人员，如发现保安人员到岗率低于9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在管理责任期内，如乙方不进行日常管理或单方中途退出管理的；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乙方连续两次整改未达到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要求的；</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对需紧急处置的情况，在接到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通知后，乙方应无条件在规定时间内完成。对乙方累计两次以上未在规定时间内完成</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交办的任务，</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有权清退乙方，指派其它队伍进场；</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在上级部门考核评比等活动中出现严重失分或造成严重不良影响的。</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十三、合同的生效及合同争议解决</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（一）本合同自甲乙双方法定代表人或授权代理人签字并加盖公章或合同专用章后生效。</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（二）本合同一式四份，具有同等法律效力，甲方</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份，乙方</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（三）凡因本合同引起的任何争议，合同双方应首先通过协商解决。如果协商不成，则向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所在地人民法院提起诉讼。</w:t>
      </w:r>
      <w:r/>
    </w:p>
    <w:p>
      <w:pPr>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十四、合同的补充、变更与终止</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（一）合同如有未尽事宜，须经合同双方共同协商达成书面补充协议，补充协议与本合同具有同等法律效力。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（二）政府采购合同的双方当事人不得擅自变更、中止或者终止合同。</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（三）采购文件是合同的一部分，具有同等法律效力。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）本合同其他未尽事宜及与采购文件有矛盾之处，以采购文件规定为准。</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凡参与此项目投标的供应商视为同意并接受合同及采购需求中甲方提出的所有要求。法律及经营风险乙方自担。</w:t>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ind w:left="0" w:right="0"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签定日期：                签定日期：</w:t>
      </w:r>
      <w:r/>
    </w:p>
    <w:p>
      <w:pPr>
        <w:ind w:left="256" w:right="6"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jc w:val="both"/>
        <w:spacing w:before="240" w:line="360" w:lineRule="auto"/>
        <w:widowControl w:val="off"/>
        <w:rPr>
          <w:rFonts w:hint="default" w:ascii="Calibri" w:hAnsi="Calibri" w:eastAsia="宋体" w:cs="Calibri"/>
          <w:color w:val="000000"/>
          <w:sz w:val="22"/>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合同附件1：采购需求（见招标文件第六章《采购需求》）</w:t>
      </w:r>
      <w:r/>
    </w:p>
    <w:p>
      <w:pPr>
        <w:jc w:val="left"/>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合同附件2：保安服务管理范围</w:t>
      </w:r>
      <w:r/>
      <w:r>
        <w:rPr>
          <w:rFonts w:hint="eastAsia" w:ascii="宋体" w:hAnsi="宋体" w:eastAsia="宋体" w:cs="宋体"/>
          <w:color w:val="000000"/>
          <w:spacing w:val="1"/>
          <w:sz w:val="24"/>
          <w:szCs w:val="21"/>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见招标文件第六章</w:t>
      </w:r>
      <w:r/>
      <w:r>
        <w:rPr>
          <w:rFonts w:hint="eastAsia" w:ascii="宋体" w:hAnsi="宋体" w:eastAsia="宋体" w:cs="宋体"/>
          <w:color w:val="000000"/>
          <w:spacing w:val="1"/>
          <w:sz w:val="24"/>
          <w:szCs w:val="21"/>
          <w:highlight w:val="none"/>
          <w:lang w:val="en-US" w:eastAsia="zh-CN" w:bidi="ar-SA"/>
        </w:rPr>
        <w:t xml:space="preserve">《采购需求》)</w:t>
      </w:r>
      <w:r/>
      <w:r>
        <w:rPr>
          <w:rFonts w:hint="eastAsia" w:ascii="宋体" w:hAnsi="宋体" w:eastAsia="宋体" w:cs="宋体"/>
          <w:color w:val="000000"/>
          <w:sz w:val="24"/>
          <w:szCs w:val="24"/>
          <w:highlight w:val="none"/>
          <w:lang w:val="en-US" w:eastAsia="zh-CN" w:bidi="ar-SA"/>
        </w:rPr>
      </w:r>
    </w:p>
    <w:p>
      <w:pPr>
        <w:jc w:val="left"/>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合同附件3：服务要求</w:t>
      </w:r>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pacing w:val="1"/>
          <w:sz w:val="24"/>
          <w:szCs w:val="21"/>
          <w:highlight w:val="none"/>
          <w:lang w:val="en-US" w:eastAsia="zh-CN" w:bidi="ar-SA"/>
        </w:rPr>
      </w:r>
      <w:r>
        <w:rPr>
          <w:rFonts w:hint="eastAsia" w:ascii="宋体" w:hAnsi="宋体" w:eastAsia="宋体" w:cs="宋体"/>
          <w:color w:val="000000"/>
          <w:sz w:val="24"/>
          <w:szCs w:val="24"/>
          <w:highlight w:val="none"/>
          <w:lang w:val="en-US" w:eastAsia="zh-CN" w:bidi="ar-SA"/>
        </w:rPr>
        <w:t xml:space="preserve">见招标文件第六章</w:t>
      </w:r>
      <w:r/>
      <w:r>
        <w:rPr>
          <w:rFonts w:hint="eastAsia" w:ascii="宋体" w:hAnsi="宋体" w:eastAsia="宋体" w:cs="宋体"/>
          <w:color w:val="000000"/>
          <w:spacing w:val="1"/>
          <w:sz w:val="24"/>
          <w:szCs w:val="21"/>
          <w:highlight w:val="none"/>
          <w:lang w:val="en-US" w:eastAsia="zh-CN" w:bidi="ar-SA"/>
        </w:rPr>
        <w:t xml:space="preserve">《采购需求》</w:t>
      </w:r>
      <w:r>
        <w:rPr>
          <w:rFonts w:hint="eastAsia" w:ascii="宋体" w:hAnsi="宋体" w:eastAsia="宋体" w:cs="宋体"/>
          <w:color w:val="000000"/>
          <w:sz w:val="24"/>
          <w:szCs w:val="24"/>
          <w:highlight w:val="none"/>
          <w:lang w:val="en-US" w:eastAsia="zh-CN" w:bidi="ar-SA"/>
        </w:rPr>
        <w:t xml:space="preserve">)</w:t>
      </w:r>
      <w:r/>
      <w:r>
        <w:rPr>
          <w:rFonts w:hint="eastAsia" w:ascii="宋体" w:hAnsi="宋体" w:eastAsia="宋体" w:cs="宋体"/>
          <w:color w:val="000000"/>
          <w:sz w:val="24"/>
          <w:szCs w:val="24"/>
          <w:highlight w:val="none"/>
          <w:lang w:val="en-US" w:eastAsia="zh-CN" w:bidi="ar-SA"/>
        </w:rP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合同附件4：</w:t>
      </w:r>
      <w:r>
        <w:rPr>
          <w:rFonts w:hint="eastAsia" w:ascii="宋体" w:hAnsi="宋体" w:eastAsia="宋体" w:cs="宋体"/>
          <w:color w:val="000000"/>
          <w:sz w:val="24"/>
          <w:szCs w:val="24"/>
          <w:highlight w:val="none"/>
        </w:rPr>
        <w:t xml:space="preserve">《保安服务考核内容及评分细则》</w:t>
      </w: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both"/>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合同附件4：《保安服务考核内容及评分细则》</w:t>
      </w:r>
      <w:r/>
    </w:p>
    <w:tbl>
      <w:tblPr>
        <w:tblStyle w:val="708"/>
        <w:tblW w:w="95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55"/>
        <w:gridCol w:w="1381"/>
        <w:gridCol w:w="5542"/>
        <w:gridCol w:w="1233"/>
      </w:tblGrid>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权重分100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考核内容及扣分标准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w:t>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着装立岗</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值班时穿保安服装不整洁扣1分/次、穿便装且邋遢扣2分/次；执勤时以坐着、睡着姿势代替立岗扣2分/次。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文明团结</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问题处理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发现问题瞒报扣5分/次，导致严重后果扣10分/次，并视情节严重程度劝其离岗至追究责任。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饮酒吸烟</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上班喝酒或酒后接班扣4分/次，超过三次勒令离岗；工作期间在学校非允许吸烟区域吸烟的，扣1分/次。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执行制度</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严格执行门禁制、</w:t>
            </w:r>
            <w:r>
              <w:rPr>
                <w:rFonts w:hint="eastAsia" w:ascii="宋体" w:hAnsi="宋体" w:eastAsia="宋体" w:cs="宋体"/>
                <w:color w:val="000000"/>
                <w:sz w:val="24"/>
                <w:szCs w:val="24"/>
                <w:highlight w:val="none"/>
                <w:lang w:val="en-US" w:eastAsia="zh-CN"/>
              </w:rPr>
              <w:t xml:space="preserve">巡查制、</w:t>
            </w:r>
            <w:r>
              <w:rPr>
                <w:rFonts w:hint="eastAsia" w:ascii="宋体" w:hAnsi="宋体" w:eastAsia="宋体" w:cs="宋体"/>
                <w:color w:val="000000"/>
                <w:sz w:val="24"/>
                <w:szCs w:val="24"/>
                <w:highlight w:val="none"/>
              </w:rPr>
              <w:t xml:space="preserve">交接班制、值班护校等制度，制度执行不力扣3分/次；导致后果者扣5-1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分/次至追究责任。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学习培训</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学习、培训、开会等迟到或早退扣1分/次，无记录1分/次；旷训、旷会扣3分/次，三次以上劝其离岗。</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作息纪律</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上班迟到或早退（超过五分钟）扣3分/次；擅自离岗、脱岗、串岗、睡岗扣5分/次；每月旷工一天扣10分，超过两天作自动离职处理。请假3天以上扣10分。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换岗交班</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按时交接班，无交接班记录扣2分/次。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巡逻监控</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不按学校规定进行巡逻检查，第一次扣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分、第二次及以上扣</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19"/>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妥善保管安保器械，摆放、管理不规范扣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分，上岗未按规定佩戴扣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上下学等重点时段未全副武装持械</w:t>
            </w:r>
            <w:r>
              <w:rPr>
                <w:rFonts w:hint="eastAsia" w:ascii="宋体" w:hAnsi="宋体" w:eastAsia="宋体" w:cs="宋体"/>
                <w:color w:val="000000"/>
                <w:sz w:val="24"/>
                <w:szCs w:val="24"/>
                <w:highlight w:val="none"/>
              </w:rPr>
              <w:t xml:space="preserve">扣</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擅自将安保设备为私人所用扣15分/次，做出违法行为的立即除名并追究责任。擅自离</w:t>
            </w:r>
            <w:r>
              <w:rPr>
                <w:rFonts w:hint="eastAsia" w:ascii="宋体" w:hAnsi="宋体" w:eastAsia="宋体" w:cs="宋体"/>
                <w:color w:val="000000"/>
                <w:sz w:val="24"/>
                <w:szCs w:val="24"/>
                <w:highlight w:val="none"/>
                <w:lang w:eastAsia="zh-CN"/>
              </w:rPr>
              <w:t xml:space="preserve">岗扣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导致</w:t>
            </w:r>
            <w:r>
              <w:rPr>
                <w:rFonts w:hint="eastAsia" w:ascii="宋体" w:hAnsi="宋体" w:eastAsia="宋体" w:cs="宋体"/>
                <w:color w:val="000000"/>
                <w:sz w:val="24"/>
                <w:szCs w:val="24"/>
                <w:highlight w:val="none"/>
                <w:lang w:eastAsia="zh-CN"/>
              </w:rPr>
              <w:t xml:space="preserve">严重后果</w:t>
            </w:r>
            <w:r>
              <w:rPr>
                <w:rFonts w:hint="eastAsia" w:ascii="宋体" w:hAnsi="宋体" w:eastAsia="宋体" w:cs="宋体"/>
                <w:color w:val="000000"/>
                <w:sz w:val="24"/>
                <w:szCs w:val="24"/>
                <w:highlight w:val="none"/>
              </w:rPr>
              <w:t xml:space="preserve">失者</w:t>
            </w:r>
            <w:r>
              <w:rPr>
                <w:rFonts w:hint="eastAsia" w:ascii="宋体" w:hAnsi="宋体" w:eastAsia="宋体" w:cs="宋体"/>
                <w:color w:val="000000"/>
                <w:sz w:val="24"/>
                <w:szCs w:val="24"/>
                <w:highlight w:val="none"/>
                <w:lang w:eastAsia="zh-CN"/>
              </w:rPr>
              <w:t xml:space="preserve">追究其责任。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服从管理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无故不服从学校管理的、恶言顶撞学校员工的扣</w:t>
            </w:r>
            <w:r>
              <w:rPr>
                <w:rFonts w:hint="eastAsia" w:ascii="宋体" w:hAnsi="宋体" w:eastAsia="宋体" w:cs="宋体"/>
                <w:color w:val="000000"/>
                <w:sz w:val="24"/>
                <w:szCs w:val="24"/>
                <w:highlight w:val="none"/>
              </w:rPr>
              <w:t xml:space="preserve">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both"/>
        <w:widowControl w:val="off"/>
        <w:rPr>
          <w:rFonts w:hint="default" w:ascii="Calibri" w:hAnsi="Calibri" w:eastAsia="宋体" w:cs="Times New Roman"/>
          <w:sz w:val="21"/>
          <w:szCs w:val="24"/>
          <w:highlight w:val="none"/>
        </w:rPr>
      </w:pPr>
      <w:r>
        <w:rPr>
          <w:rFonts w:hint="default" w:ascii="Calibri" w:hAnsi="Calibri" w:eastAsia="宋体" w:cs="Times New Roman"/>
          <w:sz w:val="21"/>
          <w:szCs w:val="24"/>
          <w:highlight w:val="none"/>
        </w:rPr>
      </w:r>
      <w:r/>
    </w:p>
    <w:p>
      <w:pPr>
        <w:ind w:firstLine="470"/>
        <w:spacing w:line="420" w:lineRule="exact"/>
        <w:widowControl w:val="off"/>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default" w:ascii="宋体" w:hAnsi="宋体"/>
          <w:b/>
          <w:color w:val="auto"/>
          <w:sz w:val="30"/>
          <w:highlight w:val="none"/>
        </w:rPr>
      </w:pPr>
      <w:r>
        <w:rPr>
          <w:rFonts w:hint="default" w:ascii="宋体" w:hAnsi="宋体"/>
          <w:b/>
          <w:color w:val="auto"/>
          <w:sz w:val="30"/>
          <w:highlight w:val="none"/>
        </w:rPr>
        <w:br w:type="page" w:clear="all"/>
      </w:r>
      <w:r/>
    </w:p>
    <w:p>
      <w:pPr>
        <w:pStyle w:val="752"/>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cs="宋体"/>
          <w:b/>
          <w:color w:val="auto"/>
          <w:sz w:val="36"/>
          <w:szCs w:val="22"/>
          <w:highlight w:val="none"/>
        </w:rPr>
        <w:t xml:space="preserve">第六章  </w:t>
      </w:r>
      <w:bookmarkEnd w:id="10"/>
      <w:r/>
      <w:bookmarkEnd w:id="11"/>
      <w:r/>
      <w:bookmarkStart w:id="12" w:name="_Toc17335"/>
      <w:r/>
      <w:bookmarkStart w:id="13" w:name="_Toc522790136"/>
      <w:r>
        <w:rPr>
          <w:rFonts w:hint="eastAsia" w:ascii="宋体" w:hAnsi="宋体" w:cs="宋体"/>
          <w:b/>
          <w:color w:val="auto"/>
          <w:sz w:val="36"/>
          <w:szCs w:val="22"/>
          <w:highlight w:val="none"/>
        </w:rPr>
        <w:t xml:space="preserve">项</w:t>
      </w:r>
      <w:r>
        <w:rPr>
          <w:rFonts w:hint="eastAsia" w:ascii="宋体" w:hAnsi="宋体" w:cs="宋体"/>
          <w:b/>
          <w:color w:val="auto"/>
          <w:sz w:val="36"/>
          <w:highlight w:val="none"/>
        </w:rPr>
        <w:t xml:space="preserve">目要求</w:t>
      </w:r>
      <w:r>
        <w:rPr>
          <w:rFonts w:hint="eastAsia" w:ascii="宋体" w:hAnsi="宋体" w:eastAsia="宋体"/>
          <w:b/>
          <w:color w:val="auto"/>
          <w:sz w:val="36"/>
          <w:highlight w:val="none"/>
        </w:rPr>
        <w:t xml:space="preserve">（采购需求）</w:t>
      </w:r>
      <w:bookmarkStart w:id="14" w:name="_Toc80122298"/>
      <w:r/>
      <w:r/>
    </w:p>
    <w:p>
      <w:pPr>
        <w:numPr>
          <w:ilvl w:val="0"/>
          <w:numId w:val="5"/>
        </w:numPr>
        <w:ind w:firstLine="482"/>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rPr>
        <w:t xml:space="preserve">项目概况</w:t>
      </w:r>
      <w:r/>
    </w:p>
    <w:p>
      <w:pPr>
        <w:numPr>
          <w:ilvl w:val="0"/>
          <w:numId w:val="0"/>
        </w:numPr>
        <w:ind w:firstLine="480"/>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1、项目名称：沛县校园保安服务</w:t>
      </w:r>
      <w:r/>
    </w:p>
    <w:p>
      <w:pPr>
        <w:ind w:left="479" w:right="6" w:firstLine="64"/>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2、项目内容及范围：覆盖全县中小学（不含高中，县直学校部分保安）、</w:t>
      </w:r>
      <w:r/>
    </w:p>
    <w:p>
      <w:pPr>
        <w:ind w:right="6"/>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幼儿园，提供校园全域安保服务，主要包含校门值守管控、校园常态化巡逻、重点区域安全防控、安全隐患排查整治、突发事件应急处置、各类校园活动安保保障等全套标准化安保服务。</w:t>
      </w:r>
      <w:r/>
    </w:p>
    <w:p>
      <w:pPr>
        <w:numPr>
          <w:ilvl w:val="0"/>
          <w:numId w:val="6"/>
        </w:numPr>
        <w:ind w:left="479" w:right="6" w:firstLine="64"/>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服务期限：</w:t>
      </w:r>
      <w:bookmarkEnd w:id="14"/>
      <w:r>
        <w:rPr>
          <w:rFonts w:hint="eastAsia" w:ascii="宋体" w:hAnsi="宋体" w:eastAsia="宋体"/>
          <w:color w:val="000000"/>
          <w:sz w:val="24"/>
          <w:highlight w:val="none"/>
        </w:rPr>
        <w:t xml:space="preserve">三年</w:t>
      </w:r>
      <w:r/>
    </w:p>
    <w:p>
      <w:pPr>
        <w:numPr>
          <w:ilvl w:val="0"/>
          <w:numId w:val="0"/>
        </w:numPr>
        <w:ind w:right="6" w:firstLine="482"/>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b/>
          <w:color w:val="000000"/>
          <w:sz w:val="24"/>
          <w:highlight w:val="none"/>
        </w:rPr>
        <w:t xml:space="preserve">注：</w:t>
      </w:r>
      <w:r>
        <w:rPr>
          <w:rFonts w:hint="eastAsia" w:ascii="宋体" w:hAnsi="宋体" w:eastAsia="宋体"/>
          <w:color w:val="000000"/>
          <w:sz w:val="24"/>
          <w:highlight w:val="none"/>
        </w:rPr>
        <w:t xml:space="preserve">本项目整体服务周期为2026年8月17日至2029年8月16日，实行合同每年一签的履约模式。单年度合同期满后，中标人年度综合考核合格的，可按照政府采购相关流程申请续签，项目周期内最多可续签2次。续签均需通过采购人严格考评审核，考核不合格的不予续签，采购人有权重新组织项目采购。</w:t>
      </w:r>
      <w:r/>
    </w:p>
    <w:p>
      <w:pPr>
        <w:numPr>
          <w:ilvl w:val="0"/>
          <w:numId w:val="6"/>
        </w:numPr>
        <w:ind w:left="479" w:right="6" w:firstLine="64"/>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现场勘察：不组织，投标人自行勘察。</w:t>
      </w:r>
      <w:r/>
    </w:p>
    <w:p>
      <w:pPr>
        <w:numPr>
          <w:ilvl w:val="0"/>
          <w:numId w:val="6"/>
        </w:numPr>
        <w:ind w:left="479" w:right="6" w:firstLine="64"/>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标段划分：本项目分三个采购包。</w:t>
      </w:r>
      <w:r/>
    </w:p>
    <w:p>
      <w:pPr>
        <w:numPr>
          <w:ilvl w:val="0"/>
          <w:numId w:val="0"/>
        </w:numPr>
        <w:ind w:left="543" w:right="6"/>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b/>
          <w:color w:val="000000"/>
          <w:sz w:val="24"/>
          <w:highlight w:val="none"/>
        </w:rPr>
        <w:t xml:space="preserve">注：</w:t>
      </w:r>
      <w:r>
        <w:rPr>
          <w:rFonts w:hint="eastAsia" w:ascii="宋体" w:hAnsi="宋体" w:eastAsia="宋体"/>
          <w:color w:val="000000"/>
          <w:sz w:val="24"/>
          <w:highlight w:val="none"/>
        </w:rPr>
        <w:t xml:space="preserve">投标人可同时参与以上三个采购包的投标，但只能中其中一个采购</w:t>
      </w:r>
      <w:r/>
    </w:p>
    <w:p>
      <w:pPr>
        <w:numPr>
          <w:ilvl w:val="0"/>
          <w:numId w:val="0"/>
        </w:numPr>
        <w:ind w:right="6"/>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包。</w:t>
      </w:r>
      <w:r/>
    </w:p>
    <w:p>
      <w:pPr>
        <w:numPr>
          <w:ilvl w:val="0"/>
          <w:numId w:val="0"/>
        </w:numPr>
        <w:ind w:right="6" w:firstLine="482"/>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b/>
          <w:color w:val="000000"/>
          <w:sz w:val="24"/>
          <w:highlight w:val="none"/>
        </w:rPr>
        <w:t xml:space="preserve">本项目按照一、二、三采购包顺序开标、评标，投标人在前一采购包中标后，可以参与下一采购包评标，但不得再次中标</w:t>
      </w:r>
      <w:r>
        <w:rPr>
          <w:rFonts w:hint="eastAsia" w:ascii="宋体" w:hAnsi="宋体" w:eastAsia="宋体"/>
          <w:color w:val="000000"/>
          <w:sz w:val="24"/>
          <w:highlight w:val="none"/>
        </w:rPr>
        <w:t xml:space="preserve">。</w:t>
      </w:r>
      <w:r/>
    </w:p>
    <w:p>
      <w:pPr>
        <w:ind w:firstLine="562"/>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二、采购项目预算金额</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本项目分三个采购包：具体为：</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采购包一预算金额：366.8万元；</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采购包二预算金额：366.6万元；</w:t>
      </w:r>
      <w:r/>
    </w:p>
    <w:p>
      <w:pPr>
        <w:ind w:firstLine="560"/>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采购包三预算金额：366.6万元；</w:t>
      </w:r>
      <w:r/>
    </w:p>
    <w:p>
      <w:pPr>
        <w:numPr>
          <w:ilvl w:val="0"/>
          <w:numId w:val="0"/>
        </w:numPr>
        <w:ind w:firstLine="480"/>
        <w:keepLines w:val="0"/>
        <w:keepNext w:val="0"/>
        <w:pageBreakBefore w:val="0"/>
        <w:spacing w:line="348" w:lineRule="auto"/>
        <w:widowControl/>
        <w:rPr>
          <w:rFonts w:hint="default"/>
          <w:sz w:val="24"/>
          <w:highlight w:val="none"/>
        </w:rPr>
        <w:outlineLvl w:val="9"/>
      </w:pPr>
      <w:r>
        <w:rPr>
          <w:rFonts w:hint="eastAsia" w:ascii="宋体" w:hAnsi="宋体" w:eastAsia="宋体"/>
          <w:color w:val="auto"/>
          <w:sz w:val="24"/>
          <w:highlight w:val="none"/>
        </w:rPr>
        <w:t xml:space="preserve">共1100万元（一年的服务费用），投标报价为全包总价，包含人员工资、社保、福利、服装、安保装备、专项培训、项目管理、税费、应急保障、风险兜底、代理费等完成本项目所需的全部费用</w:t>
      </w:r>
      <w:r>
        <w:rPr>
          <w:rFonts w:hint="eastAsia" w:ascii="宋体" w:hAnsi="宋体" w:eastAsia="宋体"/>
          <w:sz w:val="24"/>
          <w:highlight w:val="none"/>
        </w:rPr>
        <w:t xml:space="preserve">，采购人不再另外支付其他任何费用。</w:t>
      </w:r>
      <w:r/>
    </w:p>
    <w:p>
      <w:pPr>
        <w:ind w:firstLine="562"/>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三、采购包具体划分及人数配备</w:t>
      </w:r>
      <w:r/>
    </w:p>
    <w:p>
      <w:pPr>
        <w:keepLines w:val="0"/>
        <w:keepNext w:val="0"/>
        <w:pageBreakBefore w:val="0"/>
        <w:spacing w:line="348" w:lineRule="auto"/>
        <w:widowControl/>
        <w:rPr>
          <w:rFonts w:hint="eastAsia" w:ascii="宋体" w:eastAsia="宋体"/>
          <w:b/>
          <w:sz w:val="24"/>
          <w:highlight w:val="none"/>
        </w:rPr>
        <w:outlineLvl w:val="9"/>
      </w:pPr>
      <w:r>
        <w:rPr>
          <w:rFonts w:hint="eastAsia" w:ascii="宋体" w:eastAsia="宋体"/>
          <w:b/>
          <w:sz w:val="24"/>
          <w:highlight w:val="none"/>
        </w:rPr>
        <w:t xml:space="preserve">采购包1：</w:t>
      </w:r>
      <w:r/>
    </w:p>
    <w:tbl>
      <w:tblPr>
        <w:tblStyle w:val="708"/>
        <w:tblW w:w="8397" w:type="dxa"/>
        <w:jc w:val="center"/>
        <w:tblInd w:w="-4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66"/>
        <w:gridCol w:w="3131"/>
      </w:tblGrid>
      <w:tr>
        <w:trPr>
          <w:jc w:val="center"/>
          <w:trHeight w:val="106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范围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★配备保安人数</w:t>
            </w:r>
            <w:r/>
          </w:p>
        </w:tc>
      </w:tr>
      <w:tr>
        <w:trPr>
          <w:jc w:val="center"/>
          <w:trHeight w:val="102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lang w:bidi="ar"/>
              </w:rPr>
              <w:t xml:space="preserve">涵盖矿区、大屯街道、张庄镇、杨屯镇、五段镇5个乡镇，7所县直中小学、幼儿园部分保安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lang w:bidi="ar"/>
              </w:rPr>
              <w:t xml:space="preserve">109</w:t>
            </w:r>
            <w:r/>
          </w:p>
        </w:tc>
      </w:tr>
    </w:tbl>
    <w:p>
      <w:pPr>
        <w:keepLines w:val="0"/>
        <w:keepNext w:val="0"/>
        <w:pageBreakBefore w:val="0"/>
        <w:spacing w:line="348" w:lineRule="auto"/>
        <w:widowControl/>
        <w:rPr>
          <w:rFonts w:hint="eastAsia" w:ascii="宋体" w:eastAsia="宋体"/>
          <w:b/>
          <w:sz w:val="24"/>
          <w:highlight w:val="none"/>
        </w:rPr>
        <w:outlineLvl w:val="9"/>
      </w:pPr>
      <w:r>
        <w:rPr>
          <w:rFonts w:hint="eastAsia" w:ascii="宋体" w:eastAsia="宋体"/>
          <w:b/>
          <w:sz w:val="24"/>
          <w:highlight w:val="none"/>
        </w:rPr>
      </w:r>
      <w:r/>
    </w:p>
    <w:p>
      <w:pPr>
        <w:keepLines w:val="0"/>
        <w:keepNext w:val="0"/>
        <w:pageBreakBefore w:val="0"/>
        <w:spacing w:line="348" w:lineRule="auto"/>
        <w:widowControl/>
        <w:rPr>
          <w:rFonts w:hint="eastAsia" w:ascii="宋体" w:eastAsia="宋体"/>
          <w:b/>
          <w:sz w:val="24"/>
          <w:highlight w:val="none"/>
        </w:rPr>
        <w:outlineLvl w:val="9"/>
      </w:pPr>
      <w:r>
        <w:rPr>
          <w:rFonts w:hint="eastAsia" w:ascii="宋体" w:eastAsia="宋体"/>
          <w:b/>
          <w:sz w:val="24"/>
          <w:highlight w:val="none"/>
        </w:rPr>
        <w:t xml:space="preserve">采购包2：</w:t>
      </w:r>
      <w:r/>
    </w:p>
    <w:tbl>
      <w:tblPr>
        <w:tblStyle w:val="708"/>
        <w:tblW w:w="8397" w:type="dxa"/>
        <w:jc w:val="center"/>
        <w:tblInd w:w="-4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66"/>
        <w:gridCol w:w="3131"/>
      </w:tblGrid>
      <w:tr>
        <w:trPr>
          <w:jc w:val="center"/>
          <w:trHeight w:val="106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范围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★配备保安人数</w:t>
            </w:r>
            <w:r/>
          </w:p>
        </w:tc>
      </w:tr>
      <w:tr>
        <w:trPr>
          <w:jc w:val="center"/>
          <w:trHeight w:val="102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lang w:bidi="ar"/>
              </w:rPr>
              <w:t xml:space="preserve">涵盖沛城街道、张寨镇、安国镇、鹿楼镇、胡寨镇5个乡镇，7所县直中小学、幼儿园部分保安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109</w:t>
            </w:r>
            <w:r/>
          </w:p>
        </w:tc>
      </w:tr>
    </w:tbl>
    <w:p>
      <w:pPr>
        <w:keepLines w:val="0"/>
        <w:keepNext w:val="0"/>
        <w:pageBreakBefore w:val="0"/>
        <w:spacing w:line="348" w:lineRule="auto"/>
        <w:widowControl/>
        <w:rPr>
          <w:rFonts w:hint="default"/>
          <w:b/>
          <w:sz w:val="24"/>
          <w:highlight w:val="none"/>
        </w:rPr>
        <w:outlineLvl w:val="9"/>
      </w:pPr>
      <w:r>
        <w:rPr>
          <w:rFonts w:hint="default"/>
          <w:b/>
          <w:sz w:val="24"/>
          <w:highlight w:val="none"/>
        </w:rPr>
      </w:r>
      <w:r/>
    </w:p>
    <w:p>
      <w:pPr>
        <w:keepLines w:val="0"/>
        <w:keepNext w:val="0"/>
        <w:pageBreakBefore w:val="0"/>
        <w:spacing w:line="348" w:lineRule="auto"/>
        <w:widowControl/>
        <w:rPr>
          <w:rFonts w:hint="eastAsia" w:ascii="宋体" w:eastAsia="宋体"/>
          <w:b/>
          <w:sz w:val="24"/>
          <w:highlight w:val="none"/>
        </w:rPr>
        <w:outlineLvl w:val="9"/>
      </w:pPr>
      <w:r>
        <w:rPr>
          <w:rFonts w:hint="eastAsia" w:ascii="宋体" w:eastAsia="宋体"/>
          <w:b/>
          <w:sz w:val="24"/>
          <w:highlight w:val="none"/>
        </w:rPr>
        <w:t xml:space="preserve">采购包3：</w:t>
      </w:r>
      <w:r/>
    </w:p>
    <w:tbl>
      <w:tblPr>
        <w:tblStyle w:val="708"/>
        <w:tblW w:w="8397" w:type="dxa"/>
        <w:jc w:val="center"/>
        <w:tblInd w:w="-4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66"/>
        <w:gridCol w:w="3131"/>
      </w:tblGrid>
      <w:tr>
        <w:trPr>
          <w:jc w:val="center"/>
          <w:trHeight w:val="106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范围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b/>
                <w:color w:val="000000"/>
                <w:sz w:val="24"/>
                <w:highlight w:val="none"/>
              </w:rPr>
              <w:outlineLvl w:val="9"/>
            </w:pPr>
            <w:r>
              <w:rPr>
                <w:rFonts w:hint="eastAsia" w:ascii="宋体" w:hAnsi="宋体" w:eastAsia="宋体"/>
                <w:b/>
                <w:color w:val="000000"/>
                <w:sz w:val="24"/>
                <w:highlight w:val="none"/>
                <w:lang w:bidi="ar"/>
              </w:rPr>
              <w:t xml:space="preserve">★配备保安人数</w:t>
            </w:r>
            <w:r/>
          </w:p>
        </w:tc>
      </w:tr>
      <w:tr>
        <w:trPr>
          <w:jc w:val="center"/>
          <w:trHeight w:val="102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66" w:type="dxa"/>
            <w:vAlign w:val="center"/>
            <w:textDirection w:val="lrTb"/>
            <w:noWrap w:val="false"/>
          </w:tcPr>
          <w:p>
            <w:pPr>
              <w:jc w:val="both"/>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lang w:bidi="ar"/>
              </w:rPr>
              <w:t xml:space="preserve">涵盖栖山镇、朱寨镇、龙固镇、魏庙镇、敬安镇、河口镇6个乡镇，9所县直中小学、幼儿园部分保安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jc w:val="center"/>
              <w:keepLines w:val="0"/>
              <w:keepNext w:val="0"/>
              <w:pageBreakBefore w:val="0"/>
              <w:spacing w:line="348" w:lineRule="auto"/>
              <w:widowControl/>
              <w:rPr>
                <w:rFonts w:hint="eastAsia" w:ascii="宋体" w:hAnsi="宋体" w:eastAsia="宋体"/>
                <w:color w:val="000000"/>
                <w:sz w:val="24"/>
                <w:highlight w:val="none"/>
              </w:rPr>
              <w:outlineLvl w:val="9"/>
            </w:pPr>
            <w:r>
              <w:rPr>
                <w:rFonts w:hint="eastAsia" w:ascii="宋体" w:hAnsi="宋体" w:eastAsia="宋体"/>
                <w:color w:val="000000"/>
                <w:sz w:val="24"/>
                <w:highlight w:val="none"/>
              </w:rPr>
              <w:t xml:space="preserve">109</w:t>
            </w:r>
            <w:r/>
          </w:p>
        </w:tc>
      </w:tr>
    </w:tbl>
    <w:p>
      <w:pPr>
        <w:ind w:firstLine="420"/>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注：采购包1、采购包2、采购包3中★配备保安人数为实质性响应人数，</w:t>
      </w:r>
      <w:r>
        <w:rPr>
          <w:rFonts w:hint="eastAsia" w:ascii="宋体" w:hAnsi="宋体" w:eastAsia="宋体"/>
          <w:b/>
          <w:sz w:val="24"/>
          <w:highlight w:val="none"/>
        </w:rPr>
        <w:t xml:space="preserve">不允许</w:t>
      </w:r>
      <w:r>
        <w:rPr>
          <w:rFonts w:hint="eastAsia" w:ascii="宋体" w:hAnsi="宋体" w:eastAsia="宋体"/>
          <w:b/>
          <w:sz w:val="24"/>
          <w:highlight w:val="none"/>
        </w:rPr>
        <w:t xml:space="preserve">偏离，</w:t>
      </w:r>
      <w:r>
        <w:rPr>
          <w:rFonts w:hint="eastAsia" w:ascii="宋体" w:hAnsi="宋体" w:eastAsia="宋体"/>
          <w:b/>
          <w:sz w:val="24"/>
          <w:highlight w:val="none"/>
        </w:rPr>
        <w:t xml:space="preserve">否则为无效投标。</w:t>
      </w:r>
      <w:r/>
    </w:p>
    <w:p>
      <w:pPr>
        <w:ind w:firstLine="420"/>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r>
      <w:r/>
    </w:p>
    <w:p>
      <w:pPr>
        <w:numPr>
          <w:ilvl w:val="0"/>
          <w:numId w:val="7"/>
        </w:numPr>
        <w:ind w:firstLine="602"/>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sz w:val="24"/>
          <w:highlight w:val="none"/>
        </w:rPr>
        <w:t xml:space="preserve">保安人员配置及资质要求</w:t>
      </w:r>
      <w:r>
        <w:rPr>
          <w:rFonts w:hint="eastAsia" w:ascii="宋体" w:hAnsi="宋体" w:eastAsia="宋体"/>
          <w:b/>
          <w:color w:val="auto"/>
          <w:sz w:val="24"/>
          <w:highlight w:val="none"/>
        </w:rPr>
        <w:t xml:space="preserve">：</w:t>
      </w:r>
      <w:r/>
    </w:p>
    <w:p>
      <w:pPr>
        <w:numPr>
          <w:ilvl w:val="0"/>
          <w:numId w:val="0"/>
        </w:numPr>
        <w:ind w:firstLine="482"/>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（一）人员配置标准</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投标人需结合各学校办学规模、学段属性、作息特点、寄宿情况按教育局分配名额配置持证保安人员，实现校园24小时全天候值守无空档，全面保障上下学高峰、课间、夜间、周末及节假日安保值守需求，杜绝空岗、缺岗、无人值守等问题。</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（二）人员基本资质</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1、持证要求：所有派驻上岗保安人员必须持有公安机关核发的有效保安员证，全员持证上岗，持证率100%，严禁无证人员上岗执勤。</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2、身体条件：在岗人员年龄控制在18—55周岁，身体健康、体态端正、无肢体残疾、无传染性疾病、无心理精神疾病，体能达标，能够适应全天候值守、夜间巡逻及各类突发事件应急处置工作。</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3、政审条件：所有人员须通过严格背景审查，无违法犯罪记录、无治安处罚记录、无严重征信不良记录，政审合格，入职背景资料完整留存备案。</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4、基本素养：具备初中及以上学历，品行端正、责任心强、服从管理，熟知中小学、幼儿园校园安保工作规范及岗位职责。</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5、优先条件：投标人应优先录用退伍军人、持有消防设施操作员证、应急救援证书、具备多年校园安保从业经验的优质人员。</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6、投标人全权派驻持证在岗保安人员，实行统一管理、统一培训、统一着装、统一装备、统一考核的全托管安保服务模式。</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（三）人员管理要求</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1、用工主体责任：投标人作为用工主体，全权负责所有保安人员的薪酬足额发放、社保依规缴纳、岗前培训及常态化在岗培训，全面承担用工法律责任，杜绝任何劳务纠纷、劳资投诉问题。</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2、人员轮岗管理：建立完善的人员轮岗、顶岗、替岗机制，严格杜绝空岗、脱岗、串岗、擅自离岗等问题；在岗人员如需调整、更换，须提前3个工作日向教育局及对应服务学校报备，经甲方同意后方可调整，严禁随意更换在岗值守人员。</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3、执勤仪容规范：保安执勤期间须统一着装、规范佩戴标识、仪容整洁、文明礼貌执勤，严禁在岗玩手机、闲聊、打瞌睡、脱岗离岗、态度粗暴、履职懈怠等违规行为。</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4、专项对接管理：投标人须设立专属项目负责人，专职对接教育局安保管理工作，每日巡查相应采购包范围内各校安保岗点履职情况，每月按时提交安保工作报表、隐患排查台账及整改落实报告。</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四、安保服务核心工作内容</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1、校门值守管控</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严格落实校园封闭式管理要求，全面执行出入登记、身份核验、访客预约、车辆核查登记制度；严禁无关闲散人员、陌生人员、管制器具、易燃易爆、危险违禁物品进入校园；全力做好上下学高峰时段定点值守、人流车流疏导工作，规范校门口秩序，有效防范校园拥堵、人员滋扰、安全冲突等各类风险隐患。</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2、校园全域巡逻</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建立标准化常态化巡逻机制，日间每小时开展一次全域巡逻，夜间实行定时定点加密巡逻，重点巡查教学楼、学生宿舍、食堂、操场、校园围墙、楼道、消防通道、配电房、库房等重点要害区域；常态化排查门窗、水电、消防设施、安防设备运行隐患，发现问题第一时间上报并协助学校整改，完整记录巡逻台账，实现隐患闭环管理。</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3、安全防控与隐患排查</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常态化开展校园治安、消防、设施设备等全方位安全隐患排查，建立排查、登记、上报、整改、销号闭环台账；配合学校开展反诈、防校园欺凌、防溺水、反恐防暴、消防安全等安全宣传教育；主动配合教育主管部门及学校开展各类校园安全专项整治行动。</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4、突发事件应急处置</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熟练掌握反恐防暴、校外人员滋事、校内冲突纠纷、火灾险情、意外伤害、极端天气等各类突发事件的处置流程和规范；突发事件发生时，能够快速响应、规范处置现场、制止危险行为、疏散师生、保护师生人身安全，并第一时间上报校方及主管部门；定期配合学校开展应急演练，熟练操作各类安防、防暴、应急器材。</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5、安防设备运维值守</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熟练操作校园监控系统、一键报警装置、门禁系统、对讲设备、防暴器材等各类安防设施；每日岗前、岗中、岗后检查设备运行状态，发现设备故障、损坏、失灵等问题立即上报校方并跟进处置，保障校园安防系统24小时稳定运行；妥善保管各类防暴器材、应急物资，定期保养维护、规范定点摆放，确保随时可用、状态完好。</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6、专项安保保障</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全程负责校园大型集会、考试、文体活动、培训、督导迎检等各类专项活动的安保值守工作；严格落实周末、节假日、夜间值班值守制度，做好校园防火、防盗、防破坏、防安全事故等防护工作；主动配合公安、消防、教育主管部门开展各类安全检查、专项督查工作。</w:t>
      </w:r>
      <w:r/>
    </w:p>
    <w:p>
      <w:pPr>
        <w:ind w:firstLine="602"/>
        <w:jc w:val="both"/>
        <w:keepLines w:val="0"/>
        <w:keepNext w:val="0"/>
        <w:pageBreakBefore w:val="0"/>
        <w:spacing w:line="348" w:lineRule="auto"/>
        <w:widowControl/>
        <w:rPr>
          <w:rFonts w:hint="eastAsia" w:ascii="宋体" w:hAnsi="宋体" w:eastAsia="宋体"/>
          <w:b/>
          <w:color w:val="auto"/>
          <w:sz w:val="24"/>
          <w:highlight w:val="none"/>
        </w:rPr>
        <w:outlineLvl w:val="9"/>
      </w:pPr>
      <w:r>
        <w:rPr>
          <w:rFonts w:hint="eastAsia" w:ascii="宋体" w:hAnsi="宋体" w:eastAsia="宋体"/>
          <w:b/>
          <w:color w:val="auto"/>
          <w:sz w:val="24"/>
          <w:highlight w:val="none"/>
        </w:rPr>
        <w:t xml:space="preserve">五、装备及物资要求</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1、装备配置标准：投标人须统一为所有在岗保安配备足量、合规、全新的安保装备物资，包含制式服装、鞋帽、执勤标识、全套防暴器材、应急照明设备、对讲机、急救物资等，所有装备均需符合公安校园安防标准，相关费用全部包含在整体报价内，不额外增收费用。</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2、装备运维更新：建立装备定期检查、更新更换机制，及时替换老旧、破损、过期、失效的安保物资及器材，确保所有执勤装备、应急器材常年完好合规、正常可用。</w:t>
      </w:r>
      <w:r/>
    </w:p>
    <w:p>
      <w:pPr>
        <w:ind w:firstLine="602"/>
        <w:jc w:val="both"/>
        <w:keepLines w:val="0"/>
        <w:keepNext w:val="0"/>
        <w:pageBreakBefore w:val="0"/>
        <w:spacing w:line="348" w:lineRule="auto"/>
        <w:widowControl/>
        <w:rPr>
          <w:rFonts w:hint="eastAsia" w:ascii="宋体" w:hAnsi="宋体" w:eastAsia="宋体"/>
          <w:color w:val="auto"/>
          <w:sz w:val="24"/>
          <w:highlight w:val="none"/>
        </w:rPr>
        <w:outlineLvl w:val="9"/>
      </w:pPr>
      <w:r>
        <w:rPr>
          <w:rFonts w:hint="eastAsia" w:ascii="宋体" w:hAnsi="宋体" w:eastAsia="宋体"/>
          <w:color w:val="auto"/>
          <w:sz w:val="24"/>
          <w:highlight w:val="none"/>
        </w:rPr>
        <w:t xml:space="preserve">3、物资台账管理：所有安保物资实行专人管理、定点存放、台账登记管理，做到账物相符、管理规范，全面满足日常执勤及应急处置工作需求。</w:t>
      </w:r>
      <w:r/>
    </w:p>
    <w:p>
      <w:pPr>
        <w:ind w:firstLine="600"/>
        <w:jc w:val="both"/>
        <w:keepLines w:val="0"/>
        <w:keepNext w:val="0"/>
        <w:pageBreakBefore w:val="0"/>
        <w:spacing w:line="348" w:lineRule="auto"/>
        <w:widowControl/>
        <w:rPr>
          <w:rFonts w:hint="eastAsia" w:ascii="宋体" w:hAnsi="宋体" w:eastAsia="宋体"/>
          <w:b/>
          <w:sz w:val="24"/>
          <w:highlight w:val="none"/>
        </w:rPr>
        <w:outlineLvl w:val="9"/>
      </w:pPr>
      <w:r>
        <w:rPr>
          <w:rFonts w:hint="eastAsia" w:ascii="宋体" w:hAnsi="宋体" w:eastAsia="宋体"/>
          <w:b/>
          <w:sz w:val="24"/>
          <w:highlight w:val="none"/>
        </w:rPr>
        <w:t xml:space="preserve">六、服务标准与考核要求</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1、履约配合要求：投标人须严格按照本采购需求及投标承诺配齐足额人员、落实各项服务标准，无条件配合采购单位及各校的日常管理、督导检查、问题整改、专项工作部署。</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2、责任承担要求：服务履约期间，所有人员劳务纠纷、安全责任事故、违规违纪问题、经济赔偿责任均由投标人全权承担，采购单位不承担任何连带责任。</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3、应急响应要求：投标人须建立24小时应急响应机制，接到安全险情、突发事件通知后，第一时间响应、到场处置、闭环办结。</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4、资料报送要求：按月、季度规范提交安保工作台账、日常巡逻记录、隐患排查整改报告、人员在岗考勤报表等资料，主动接受采购单位审核、归档及督查。</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5、服务标准管控：合同履约期内，投标人不得擅自涨价、缩减服务人员、降低服务标准及装备配置标准，一经查实，视为严重违约，甲方有权终止合同并追究相关责任。</w:t>
      </w:r>
      <w:r/>
    </w:p>
    <w:p>
      <w:pPr>
        <w:ind w:firstLine="600"/>
        <w:jc w:val="both"/>
        <w:keepLines w:val="0"/>
        <w:keepNext w:val="0"/>
        <w:pageBreakBefore w:val="0"/>
        <w:spacing w:line="348" w:lineRule="auto"/>
        <w:widowControl/>
        <w:rPr>
          <w:rFonts w:hint="eastAsia" w:ascii="宋体" w:hAnsi="宋体" w:eastAsia="宋体"/>
          <w:sz w:val="24"/>
          <w:highlight w:val="none"/>
        </w:rPr>
        <w:outlineLvl w:val="9"/>
      </w:pPr>
      <w:r>
        <w:rPr>
          <w:rFonts w:hint="eastAsia" w:ascii="宋体" w:hAnsi="宋体" w:eastAsia="宋体"/>
          <w:sz w:val="24"/>
          <w:highlight w:val="none"/>
        </w:rPr>
        <w:t xml:space="preserve">6、人员薪资管控要求：中标人必须严格履行用工及薪资发放主体责任。坚持按月足额、准时发放，严禁克扣、截留、拖欠保安人员工资。甲方将常态化开展薪资核查工作，定期核验工资发放台账、银行发放流水、社保缴纳凭证等资料。一经查实投标人存在薪资发放标准不达标、拖欠、克扣薪资等违规情形，均视为严重违约，甲方有权视情节扣减当期服务费、没收履约保证金，情节严重的可单方面解除合同、取消该采购包合作资格并重新组织采购，同时依法追究投标人全部违约责任。</w:t>
      </w:r>
      <w:r/>
    </w:p>
    <w:p>
      <w:pPr>
        <w:ind w:firstLine="482"/>
        <w:jc w:val="left"/>
        <w:keepLines w:val="0"/>
        <w:keepNext w:val="0"/>
        <w:pageBreakBefore w:val="0"/>
        <w:spacing w:line="348" w:lineRule="auto"/>
        <w:widowControl/>
        <w:rPr>
          <w:rFonts w:hint="default" w:ascii="Times New Roman" w:hAnsi="Times New Roman"/>
          <w:sz w:val="24"/>
          <w:highlight w:val="none"/>
        </w:rPr>
        <w:outlineLvl w:val="9"/>
      </w:pPr>
      <w:r>
        <w:rPr>
          <w:rFonts w:hint="eastAsia" w:ascii="宋体" w:hAnsi="宋体" w:eastAsia="宋体"/>
          <w:b/>
          <w:sz w:val="24"/>
          <w:highlight w:val="none"/>
        </w:rPr>
        <w:t xml:space="preserve">七、其他要求：</w:t>
      </w:r>
      <w:r>
        <w:rPr>
          <w:rFonts w:hint="eastAsia" w:ascii="宋体" w:hAnsi="宋体" w:eastAsia="宋体"/>
          <w:color w:val="000000"/>
          <w:sz w:val="24"/>
          <w:highlight w:val="none"/>
        </w:rPr>
        <w:t xml:space="preserve">见招标文件第五章《拟签订的合同文本》</w:t>
      </w:r>
      <w:r>
        <w:rPr>
          <w:rFonts w:hint="eastAsia" w:ascii="宋体" w:hAnsi="宋体"/>
          <w:color w:val="000000"/>
          <w:sz w:val="24"/>
          <w:highlight w:val="none"/>
        </w:rPr>
        <w:t xml:space="preserve">。</w:t>
      </w:r>
      <w:r/>
    </w:p>
    <w:p>
      <w:pPr>
        <w:rPr>
          <w:rStyle w:val="980"/>
          <w:rFonts w:ascii="宋体" w:hAnsi="宋体" w:eastAsia="宋体" w:cs="宋体"/>
          <w:color w:val="auto"/>
          <w:sz w:val="32"/>
          <w:szCs w:val="48"/>
          <w:highlight w:val="none"/>
        </w:rPr>
      </w:pPr>
      <w:r>
        <w:rPr>
          <w:rStyle w:val="980"/>
          <w:rFonts w:hint="eastAsia" w:ascii="宋体" w:hAnsi="宋体" w:eastAsia="宋体" w:cs="宋体"/>
          <w:color w:val="auto"/>
          <w:sz w:val="32"/>
          <w:szCs w:val="48"/>
          <w:highlight w:val="none"/>
        </w:rPr>
        <w:br w:type="page" w:clear="all"/>
      </w:r>
      <w:r/>
    </w:p>
    <w:p>
      <w:pPr>
        <w:pStyle w:val="751"/>
        <w:numPr>
          <w:ilvl w:val="0"/>
          <w:numId w:val="8"/>
        </w:numPr>
        <w:jc w:val="center"/>
        <w:spacing w:line="360" w:lineRule="auto"/>
        <w:rPr>
          <w:rStyle w:val="980"/>
          <w:rFonts w:ascii="宋体" w:hAnsi="宋体" w:eastAsia="宋体" w:cs="宋体"/>
          <w:color w:val="auto"/>
          <w:sz w:val="32"/>
          <w:szCs w:val="48"/>
          <w:highlight w:val="none"/>
        </w:rPr>
      </w:pPr>
      <w:r>
        <w:rPr>
          <w:rStyle w:val="980"/>
          <w:rFonts w:hint="eastAsia" w:ascii="宋体" w:hAnsi="宋体" w:eastAsia="宋体" w:cs="宋体"/>
          <w:color w:val="auto"/>
          <w:sz w:val="32"/>
          <w:szCs w:val="48"/>
          <w:highlight w:val="none"/>
        </w:rPr>
        <w:t xml:space="preserve"> 投标文件相关格式</w:t>
      </w:r>
      <w:bookmarkEnd w:id="12"/>
      <w:r/>
      <w:bookmarkEnd w:id="13"/>
      <w:r/>
      <w:r/>
    </w:p>
    <w:p>
      <w:pPr>
        <w:pStyle w:val="751"/>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一、投标函格式</w:t>
      </w:r>
      <w:r/>
    </w:p>
    <w:p>
      <w:pPr>
        <w:pStyle w:val="75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沛县教育局</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沛县校园保安服务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JSZC-320322-XDFH-G2026-0013</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投标人同意在授予合同后，按照有关规定支付公证费(如有)。</w:t>
      </w:r>
      <w:r/>
    </w:p>
    <w:p>
      <w:pPr>
        <w:pStyle w:val="751"/>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7. </w:t>
      </w: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确定。</w:t>
      </w:r>
      <w:r/>
    </w:p>
    <w:p>
      <w:pPr>
        <w:pStyle w:val="751"/>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751"/>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751"/>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751"/>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76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1"/>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pStyle w:val="819"/>
        <w:rPr>
          <w:color w:val="auto"/>
          <w:highlight w:val="none"/>
        </w:rPr>
      </w:pPr>
      <w:r>
        <w:rPr>
          <w:color w:val="auto"/>
          <w:highlight w:val="none"/>
        </w:rPr>
      </w:r>
      <w:r/>
    </w:p>
    <w:p>
      <w:pPr>
        <w:pStyle w:val="751"/>
        <w:ind w:firstLine="60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沛县校园保安服务</w:t>
      </w:r>
      <w:r/>
    </w:p>
    <w:p>
      <w:pPr>
        <w:pStyle w:val="751"/>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JSZC-320322-XDFH-G2026-0013</w:t>
      </w:r>
      <w:r/>
    </w:p>
    <w:p>
      <w:pPr>
        <w:pStyle w:val="751"/>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  ）</w:t>
      </w:r>
      <w:r/>
    </w:p>
    <w:p>
      <w:pPr>
        <w:pStyle w:val="751"/>
        <w:ind w:firstLine="601"/>
        <w:jc w:val="right"/>
        <w:spacing w:line="360" w:lineRule="auto"/>
        <w:rPr>
          <w:color w:val="auto"/>
          <w:highlight w:val="none"/>
        </w:rPr>
      </w:pPr>
      <w:r>
        <w:rPr>
          <w:rFonts w:hint="eastAsia" w:ascii="宋体" w:hAnsi="宋体" w:cs="宋体"/>
          <w:color w:val="auto"/>
          <w:sz w:val="24"/>
          <w:highlight w:val="none"/>
        </w:rPr>
        <w:t xml:space="preserve">货币单位：人民币元</w:t>
      </w:r>
      <w:r/>
    </w:p>
    <w:tbl>
      <w:tblPr>
        <w:tblStyle w:val="708"/>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54"/>
        <w:gridCol w:w="2475"/>
        <w:gridCol w:w="2505"/>
      </w:tblGrid>
      <w:tr>
        <w:trPr>
          <w:cantSplit/>
          <w:jc w:val="center"/>
          <w:trHeight w:val="624"/>
        </w:trPr>
        <w:tc>
          <w:tcPr>
            <w:tcW w:w="4354" w:type="dxa"/>
            <w:vAlign w:val="center"/>
            <w:textDirection w:val="lrTb"/>
            <w:noWrap w:val="false"/>
          </w:tcPr>
          <w:p>
            <w:pPr>
              <w:pStyle w:val="751"/>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75" w:type="dxa"/>
            <w:vAlign w:val="center"/>
            <w:textDirection w:val="lrTb"/>
            <w:noWrap w:val="false"/>
          </w:tcPr>
          <w:p>
            <w:pPr>
              <w:pStyle w:val="751"/>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505" w:type="dxa"/>
            <w:vAlign w:val="center"/>
            <w:textDirection w:val="lrTb"/>
            <w:noWrap w:val="false"/>
          </w:tcPr>
          <w:p>
            <w:pPr>
              <w:pStyle w:val="751"/>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总价（小写）</w:t>
            </w:r>
            <w:r/>
          </w:p>
        </w:tc>
      </w:tr>
      <w:tr>
        <w:trPr>
          <w:cantSplit/>
          <w:jc w:val="center"/>
          <w:trHeight w:val="624"/>
        </w:trPr>
        <w:tc>
          <w:tcPr>
            <w:tcW w:w="4354" w:type="dxa"/>
            <w:vAlign w:val="center"/>
            <w:textDirection w:val="lrTb"/>
            <w:noWrap w:val="false"/>
          </w:tcPr>
          <w:p>
            <w:pPr>
              <w:pStyle w:val="751"/>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沛县校园保安服务</w:t>
            </w:r>
            <w:r>
              <w:rPr>
                <w:rFonts w:hint="eastAsia" w:ascii="宋体" w:hAnsi="宋体" w:cs="宋体"/>
                <w:color w:val="auto"/>
                <w:sz w:val="24"/>
                <w:highlight w:val="none"/>
              </w:rPr>
              <w:t xml:space="preserve"> </w:t>
            </w:r>
            <w:r/>
          </w:p>
        </w:tc>
        <w:tc>
          <w:tcPr>
            <w:tcW w:w="2475" w:type="dxa"/>
            <w:vAlign w:val="center"/>
            <w:textDirection w:val="lrTb"/>
            <w:noWrap w:val="false"/>
          </w:tcPr>
          <w:p>
            <w:pPr>
              <w:pStyle w:val="751"/>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505" w:type="dxa"/>
            <w:vAlign w:val="center"/>
            <w:textDirection w:val="lrTb"/>
            <w:noWrap w:val="false"/>
          </w:tcPr>
          <w:p>
            <w:pPr>
              <w:pStyle w:val="75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624"/>
        </w:trPr>
        <w:tc>
          <w:tcPr>
            <w:tcW w:w="4354" w:type="dxa"/>
            <w:vAlign w:val="center"/>
            <w:textDirection w:val="lrTb"/>
            <w:noWrap w:val="false"/>
          </w:tcPr>
          <w:p>
            <w:pPr>
              <w:pStyle w:val="751"/>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（大写）：</w:t>
            </w:r>
            <w:r/>
          </w:p>
        </w:tc>
        <w:tc>
          <w:tcPr>
            <w:gridSpan w:val="2"/>
            <w:tcW w:w="4980" w:type="dxa"/>
            <w:vAlign w:val="center"/>
            <w:textDirection w:val="lrTb"/>
            <w:noWrap w:val="false"/>
          </w:tcPr>
          <w:p>
            <w:pPr>
              <w:pStyle w:val="751"/>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51"/>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color w:val="auto"/>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：报价包括全部费用。采购人不再支付报价以外的任何费用。</w:t>
      </w:r>
      <w:r>
        <w:rPr>
          <w:rFonts w:hint="eastAsia" w:ascii="宋体" w:hAnsi="宋体" w:cs="宋体"/>
          <w:color w:val="auto"/>
          <w:spacing w:val="10"/>
          <w:sz w:val="24"/>
          <w:szCs w:val="24"/>
          <w:highlight w:val="none"/>
          <w:lang w:bidi="ar"/>
        </w:rPr>
        <w:t xml:space="preserve">否则</w:t>
      </w:r>
      <w:r>
        <w:rPr>
          <w:rFonts w:hint="eastAsia" w:ascii="宋体" w:hAnsi="宋体" w:cs="宋体"/>
          <w:color w:val="auto"/>
          <w:sz w:val="24"/>
          <w:szCs w:val="24"/>
          <w:highlight w:val="none"/>
          <w:lang w:bidi="ar"/>
        </w:rPr>
        <w:t xml:space="preserve">将视为未实质性响应招标文件。</w:t>
      </w:r>
      <w:r/>
    </w:p>
    <w:p>
      <w:pPr>
        <w:pStyle w:val="751"/>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51"/>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819"/>
        <w:rPr>
          <w:color w:val="auto"/>
          <w:highlight w:val="none"/>
        </w:rPr>
      </w:pPr>
      <w:r>
        <w:rPr>
          <w:color w:val="auto"/>
          <w:highlight w:val="none"/>
        </w:rPr>
      </w:r>
      <w:r/>
    </w:p>
    <w:p>
      <w:pPr>
        <w:pStyle w:val="76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1"/>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jc w:val="center"/>
        <w:spacing w:line="360" w:lineRule="auto"/>
        <w:widowControl/>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1"/>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三、分项价格表格式</w:t>
      </w:r>
      <w:r/>
    </w:p>
    <w:p>
      <w:pPr>
        <w:pStyle w:val="771"/>
        <w:rPr>
          <w:color w:val="auto"/>
          <w:highlight w:val="none"/>
        </w:rPr>
      </w:pPr>
      <w:r>
        <w:rPr>
          <w:color w:val="auto"/>
          <w:highlight w:val="none"/>
        </w:rPr>
      </w:r>
      <w:r/>
    </w:p>
    <w:p>
      <w:pPr>
        <w:pStyle w:val="751"/>
        <w:ind w:firstLine="6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沛县校园保安服务</w:t>
      </w:r>
      <w:r/>
    </w:p>
    <w:p>
      <w:pPr>
        <w:pStyle w:val="751"/>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JSZC-320322-XDFH-G2026-0013</w:t>
      </w:r>
      <w:r>
        <w:rPr>
          <w:rFonts w:hint="eastAsia" w:ascii="宋体" w:hAnsi="宋体" w:cs="宋体"/>
          <w:color w:val="auto"/>
          <w:sz w:val="24"/>
          <w:highlight w:val="none"/>
        </w:rPr>
        <w:t xml:space="preserve">  </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采购包（  ）</w:t>
      </w:r>
      <w:r/>
    </w:p>
    <w:p>
      <w:pPr>
        <w:pStyle w:val="751"/>
        <w:ind w:firstLine="600"/>
        <w:jc w:val="both"/>
        <w:spacing w:line="360" w:lineRule="auto"/>
        <w:rPr>
          <w:rFonts w:hint="eastAsia" w:hAnsi="宋体" w:cs="宋体"/>
          <w:color w:val="auto"/>
          <w:sz w:val="24"/>
          <w:highlight w:val="none"/>
        </w:rPr>
      </w:pPr>
      <w:r>
        <w:rPr>
          <w:rFonts w:hint="eastAsia" w:ascii="宋体" w:hAnsi="宋体" w:cs="宋体"/>
          <w:color w:val="auto"/>
          <w:sz w:val="24"/>
          <w:highlight w:val="none"/>
        </w:rPr>
        <w:t xml:space="preserve">货币单位：人民币元</w:t>
      </w:r>
      <w:r/>
    </w:p>
    <w:p>
      <w:pPr>
        <w:pStyle w:val="760"/>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60"/>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60"/>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60"/>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格式自拟</w:t>
      </w:r>
      <w:r/>
    </w:p>
    <w:p>
      <w:pPr>
        <w:pStyle w:val="762"/>
        <w:spacing w:line="300" w:lineRule="auto"/>
        <w:rPr>
          <w:rFonts w:ascii="宋体" w:hAnsi="宋体"/>
          <w:color w:val="auto"/>
          <w:sz w:val="24"/>
          <w:highlight w:val="none"/>
        </w:rPr>
      </w:pPr>
      <w:r>
        <w:rPr>
          <w:rFonts w:ascii="宋体" w:hAnsi="宋体"/>
          <w:color w:val="auto"/>
          <w:sz w:val="24"/>
          <w:highlight w:val="none"/>
        </w:rPr>
      </w:r>
      <w:r/>
    </w:p>
    <w:p>
      <w:pPr>
        <w:pStyle w:val="762"/>
        <w:ind w:firstLine="3120"/>
        <w:spacing w:line="300" w:lineRule="auto"/>
        <w:rPr>
          <w:rFonts w:ascii="宋体" w:hAnsi="宋体"/>
          <w:color w:val="auto"/>
          <w:sz w:val="24"/>
          <w:highlight w:val="none"/>
        </w:rPr>
      </w:pPr>
      <w:r>
        <w:rPr>
          <w:rFonts w:ascii="宋体" w:hAnsi="宋体"/>
          <w:color w:val="auto"/>
          <w:sz w:val="24"/>
          <w:highlight w:val="none"/>
        </w:rPr>
      </w:r>
      <w:r/>
    </w:p>
    <w:p>
      <w:pPr>
        <w:pStyle w:val="756"/>
        <w:rPr>
          <w:color w:val="auto"/>
          <w:highlight w:val="none"/>
        </w:rPr>
      </w:pPr>
      <w:r>
        <w:rPr>
          <w:color w:val="auto"/>
          <w:highlight w:val="none"/>
        </w:rPr>
      </w:r>
      <w:r/>
    </w:p>
    <w:p>
      <w:pPr>
        <w:pStyle w:val="762"/>
        <w:ind w:firstLine="3120"/>
        <w:spacing w:line="300" w:lineRule="auto"/>
        <w:rPr>
          <w:rFonts w:ascii="宋体" w:hAnsi="宋体"/>
          <w:color w:val="auto"/>
          <w:sz w:val="24"/>
          <w:highlight w:val="none"/>
        </w:rPr>
      </w:pPr>
      <w:r>
        <w:rPr>
          <w:rFonts w:ascii="宋体" w:hAnsi="宋体"/>
          <w:color w:val="auto"/>
          <w:sz w:val="24"/>
          <w:highlight w:val="none"/>
        </w:rPr>
      </w:r>
      <w:r/>
    </w:p>
    <w:p>
      <w:pPr>
        <w:pStyle w:val="762"/>
        <w:ind w:firstLine="3120"/>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2"/>
        <w:ind w:firstLine="3120"/>
        <w:spacing w:line="360" w:lineRule="auto"/>
        <w:rPr>
          <w:rFonts w:ascii="宋体" w:hAnsi="宋体" w:cs="宋体" w:eastAsiaTheme="minorEastAsia"/>
          <w:color w:val="auto"/>
          <w:sz w:val="24"/>
          <w:highlight w:val="none"/>
        </w:rPr>
      </w:pPr>
      <w:r>
        <w:rPr>
          <w:rFonts w:ascii="宋体" w:hAnsi="宋体"/>
          <w:color w:val="auto"/>
          <w:sz w:val="24"/>
          <w:highlight w:val="none"/>
        </w:rPr>
        <w:t xml:space="preserve">日期：   年  月  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751"/>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本表中的报价即</w:t>
      </w:r>
      <w:r>
        <w:rPr>
          <w:rFonts w:hint="eastAsia" w:ascii="宋体" w:hAnsi="宋体" w:cs="宋体"/>
          <w:color w:val="auto"/>
          <w:sz w:val="24"/>
          <w:highlight w:val="none"/>
        </w:rPr>
        <w:t xml:space="preserve">《开标一览表》中的“</w:t>
      </w: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pStyle w:val="751"/>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如果不提供详细分项报价的，将视为没有实质性响应招标文件。</w:t>
      </w:r>
      <w:r/>
    </w:p>
    <w:p>
      <w:pPr>
        <w:pStyle w:val="751"/>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投标人对以上数据的真实性负责。</w:t>
      </w:r>
      <w:r/>
    </w:p>
    <w:p>
      <w:pPr>
        <w:pStyle w:val="751"/>
        <w:numPr>
          <w:ilvl w:val="0"/>
          <w:numId w:val="9"/>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江苏希地丰华项目管理集团有限公司</w:t>
      </w:r>
      <w:r>
        <w:rPr>
          <w:rFonts w:hint="eastAsia" w:ascii="宋体" w:hAnsi="宋体" w:cs="宋体"/>
          <w:color w:val="auto"/>
          <w:sz w:val="24"/>
          <w:highlight w:val="none"/>
        </w:rPr>
        <w:t xml:space="preserve">有权将以上内容进行公示。</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751"/>
        <w:jc w:val="center"/>
        <w:spacing w:line="360" w:lineRule="auto"/>
        <w:rPr>
          <w:rFonts w:ascii="宋体" w:hAnsi="宋体" w:cs="宋体"/>
          <w:b/>
          <w:bCs/>
          <w:color w:val="auto"/>
          <w:sz w:val="30"/>
          <w:szCs w:val="30"/>
          <w:highlight w:val="none"/>
        </w:rPr>
      </w:pPr>
      <w:r>
        <w:rPr>
          <w:rFonts w:hint="eastAsia" w:ascii="宋体" w:hAnsi="宋体" w:cs="宋体"/>
          <w:b/>
          <w:bCs/>
          <w:color w:val="auto"/>
          <w:sz w:val="28"/>
          <w:szCs w:val="28"/>
          <w:highlight w:val="none"/>
        </w:rPr>
        <w:t xml:space="preserve">四、偏离表格式</w:t>
      </w:r>
      <w:r/>
    </w:p>
    <w:p>
      <w:pPr>
        <w:pStyle w:val="751"/>
        <w:ind w:firstLine="60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沛县校园保安服务</w:t>
      </w:r>
      <w:r/>
    </w:p>
    <w:p>
      <w:pPr>
        <w:pStyle w:val="751"/>
        <w:ind w:firstLine="6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JSZC-320322-XDFH-G2026-0013</w:t>
      </w:r>
      <w:r/>
    </w:p>
    <w:tbl>
      <w:tblPr>
        <w:tblStyle w:val="708"/>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751"/>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51"/>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51"/>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751"/>
        <w:ind w:firstLine="56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76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6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6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51"/>
        <w:jc w:val="center"/>
        <w:spacing w:line="360" w:lineRule="auto"/>
        <w:widowControl/>
        <w:rPr>
          <w:rFonts w:ascii="宋体" w:hAnsi="宋体" w:cs="宋体"/>
          <w:bCs/>
          <w:color w:val="auto"/>
          <w:sz w:val="30"/>
          <w:szCs w:val="30"/>
          <w:highlight w:val="none"/>
        </w:rPr>
      </w:pPr>
      <w:r>
        <w:rPr>
          <w:rFonts w:ascii="宋体" w:hAnsi="宋体" w:cs="宋体"/>
          <w:bCs/>
          <w:color w:val="auto"/>
          <w:sz w:val="30"/>
          <w:szCs w:val="30"/>
          <w:highlight w:val="none"/>
        </w:rPr>
      </w:r>
      <w:r/>
    </w:p>
    <w:p>
      <w:pPr>
        <w:rPr>
          <w:rFonts w:hint="eastAsia" w:hAnsi="宋体" w:eastAsia="宋体" w:cs="宋体"/>
          <w:b/>
          <w:bCs w:val="0"/>
          <w:color w:val="auto"/>
          <w:sz w:val="30"/>
          <w:szCs w:val="30"/>
          <w:highlight w:val="none"/>
        </w:rPr>
      </w:pPr>
      <w:r>
        <w:rPr>
          <w:rFonts w:hint="eastAsia" w:hAnsi="宋体" w:eastAsia="宋体" w:cs="宋体"/>
          <w:b/>
          <w:bCs w:val="0"/>
          <w:color w:val="auto"/>
          <w:sz w:val="30"/>
          <w:szCs w:val="30"/>
          <w:highlight w:val="none"/>
        </w:rPr>
        <w:br w:type="page" w:clear="all"/>
      </w:r>
      <w:r/>
    </w:p>
    <w:p>
      <w:pPr>
        <w:pStyle w:val="751"/>
        <w:jc w:val="center"/>
        <w:spacing w:line="360" w:lineRule="auto"/>
        <w:widowControl/>
        <w:rPr>
          <w:rFonts w:ascii="宋体" w:hAnsi="宋体" w:cs="宋体"/>
          <w:b/>
          <w:bCs w:val="0"/>
          <w:color w:val="auto"/>
          <w:sz w:val="30"/>
          <w:szCs w:val="30"/>
          <w:highlight w:val="none"/>
        </w:rPr>
      </w:pPr>
      <w:r>
        <w:rPr>
          <w:rFonts w:hint="eastAsia" w:ascii="宋体" w:hAnsi="宋体" w:cs="宋体"/>
          <w:b/>
          <w:bCs w:val="0"/>
          <w:color w:val="auto"/>
          <w:sz w:val="30"/>
          <w:szCs w:val="30"/>
          <w:highlight w:val="none"/>
          <w:lang w:val="en-US" w:eastAsia="zh-CN"/>
        </w:rPr>
        <w:t xml:space="preserve">五</w:t>
      </w:r>
      <w:r>
        <w:rPr>
          <w:rFonts w:hint="eastAsia" w:ascii="宋体" w:hAnsi="宋体" w:cs="宋体"/>
          <w:b/>
          <w:bCs w:val="0"/>
          <w:color w:val="auto"/>
          <w:sz w:val="30"/>
          <w:szCs w:val="30"/>
          <w:highlight w:val="none"/>
        </w:rPr>
        <w:t xml:space="preserve">、授权委托书格式</w:t>
      </w:r>
      <w:r/>
    </w:p>
    <w:p>
      <w:pPr>
        <w:pStyle w:val="751"/>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pStyle w:val="751"/>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751"/>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委托人（电子签章）：         </w:t>
      </w:r>
      <w:r/>
    </w:p>
    <w:p>
      <w:pPr>
        <w:pStyle w:val="751"/>
        <w:ind w:firstLine="600"/>
        <w:spacing w:line="480" w:lineRule="auto"/>
        <w:rPr>
          <w:color w:val="auto"/>
          <w:highlight w:val="none"/>
        </w:rPr>
      </w:pPr>
      <w:r>
        <w:rPr>
          <w:rFonts w:hint="eastAsia" w:ascii="宋体" w:hAnsi="宋体" w:cs="宋体"/>
          <w:color w:val="auto"/>
          <w:sz w:val="24"/>
          <w:highlight w:val="none"/>
        </w:rPr>
        <w:t xml:space="preserve">法定代表人（签字或盖章）：</w:t>
      </w:r>
      <w:r/>
    </w:p>
    <w:p>
      <w:pPr>
        <w:pStyle w:val="751"/>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51"/>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819"/>
        <w:spacing w:line="360" w:lineRule="auto"/>
        <w:rPr>
          <w:rFonts w:ascii="宋体" w:hAnsi="宋体" w:cs="宋体"/>
          <w:color w:val="auto"/>
          <w:sz w:val="24"/>
          <w:highlight w:val="none"/>
        </w:rPr>
      </w:pPr>
      <w:r>
        <w:rPr>
          <w:rFonts w:ascii="宋体" w:hAnsi="宋体" w:cs="宋体"/>
          <w:color w:val="auto"/>
          <w:sz w:val="24"/>
          <w:highlight w:val="none"/>
        </w:rPr>
      </w:r>
      <w:r/>
    </w:p>
    <w:p>
      <w:pPr>
        <w:pStyle w:val="749"/>
        <w:spacing w:line="360" w:lineRule="auto"/>
        <w:rPr>
          <w:color w:val="auto"/>
          <w:highlight w:val="none"/>
          <w:lang w:eastAsia="zh-CN"/>
        </w:rPr>
      </w:pPr>
      <w:r>
        <w:rPr>
          <w:color w:val="auto"/>
          <w:highlight w:val="none"/>
          <w:lang w:eastAsia="zh-CN"/>
        </w:rPr>
      </w:r>
      <w:r/>
    </w:p>
    <w:p>
      <w:pPr>
        <w:pStyle w:val="751"/>
        <w:ind w:right="6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751"/>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51"/>
        <w:ind w:firstLine="44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51"/>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51"/>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51"/>
        <w:jc w:val="center"/>
        <w:spacing w:line="360" w:lineRule="auto"/>
        <w:widowControl/>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项目名称：</w:t>
      </w:r>
      <w:r>
        <w:rPr>
          <w:rFonts w:hint="eastAsia" w:ascii="宋体" w:hAnsi="宋体"/>
          <w:color w:val="auto"/>
          <w:spacing w:val="6"/>
          <w:sz w:val="24"/>
          <w:highlight w:val="none"/>
          <w:lang w:eastAsia="zh-CN"/>
        </w:rPr>
        <w:t xml:space="preserve">沛县校园保安服务</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JSZC-320322-XDFH-G2026-0013</w:t>
      </w:r>
      <w:r/>
    </w:p>
    <w:p>
      <w:pPr>
        <w:ind w:firstLine="60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lang w:eastAsia="zh-CN"/>
        </w:rPr>
        <w:t xml:space="preserve">沛县教育局</w:t>
      </w:r>
      <w:r>
        <w:rPr>
          <w:rFonts w:hint="eastAsia" w:ascii="宋体" w:hAnsi="宋体"/>
          <w:color w:val="auto"/>
          <w:sz w:val="24"/>
          <w:highlight w:val="none"/>
        </w:rPr>
        <w:t xml:space="preserve">的</w:t>
      </w:r>
      <w:r>
        <w:rPr>
          <w:rFonts w:hint="eastAsia" w:ascii="宋体" w:hAnsi="宋体"/>
          <w:color w:val="auto"/>
          <w:sz w:val="24"/>
          <w:highlight w:val="none"/>
          <w:u w:val="single"/>
          <w:lang w:eastAsia="zh-CN"/>
        </w:rPr>
        <w:t xml:space="preserve">沛县校园保安服务</w:t>
      </w:r>
      <w:r>
        <w:rPr>
          <w:rFonts w:hint="eastAsia" w:ascii="宋体" w:hAnsi="宋体"/>
          <w:color w:val="auto"/>
          <w:sz w:val="24"/>
          <w:highlight w:val="none"/>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b w:val="0"/>
          <w:bCs/>
          <w:color w:val="auto"/>
          <w:sz w:val="24"/>
          <w:highlight w:val="none"/>
          <w:u w:val="single"/>
        </w:rPr>
        <w:t xml:space="preserve">租赁和商务服务业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万元，属于（中型企业、小型企业、微型企业）；</w:t>
      </w:r>
      <w:r/>
    </w:p>
    <w:p>
      <w:pPr>
        <w:jc w:val="both"/>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eastAsia" w:ascii="宋体" w:hAnsi="宋体"/>
          <w:color w:val="auto"/>
          <w:sz w:val="24"/>
          <w:highlight w:val="none"/>
        </w:rPr>
      </w:pPr>
      <w:r>
        <w:rPr>
          <w:rFonts w:hint="eastAsia" w:ascii="宋体" w:hAnsi="宋体"/>
          <w:color w:val="auto"/>
          <w:sz w:val="24"/>
          <w:highlight w:val="none"/>
        </w:rPr>
      </w:r>
      <w:r/>
    </w:p>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企业名称（供应商名称）（电子签章）： </w:t>
      </w:r>
      <w:r/>
    </w:p>
    <w:p>
      <w:pPr>
        <w:ind w:right="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819"/>
        <w:spacing w:line="360" w:lineRule="auto"/>
        <w:rPr>
          <w:color w:val="auto"/>
          <w:highlight w:val="none"/>
        </w:rPr>
      </w:pPr>
      <w:r>
        <w:rPr>
          <w:color w:val="auto"/>
          <w:highlight w:val="none"/>
        </w:rPr>
      </w:r>
      <w:r/>
    </w:p>
    <w:p>
      <w:pPr>
        <w:pStyle w:val="751"/>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817"/>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7"/>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2、从业人员、营业收入、资产总额填报供应商上一年度数据，无上一年度数据的新成立企业可不填报。</w:t>
      </w:r>
      <w:r/>
    </w:p>
    <w:p>
      <w:pPr>
        <w:pStyle w:val="817"/>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817"/>
        <w:ind w:left="0"/>
        <w:spacing w:after="0" w:line="360" w:lineRule="auto"/>
        <w:rPr>
          <w:rFonts w:ascii="仿宋" w:hAnsi="仿宋" w:eastAsia="仿宋" w:cs="仿宋"/>
          <w:color w:val="auto"/>
          <w:sz w:val="24"/>
          <w:highlight w:val="none"/>
        </w:rPr>
      </w:pPr>
      <w:r>
        <w:rPr>
          <w:rFonts w:hint="eastAsia" w:ascii="宋体" w:hAnsi="宋体" w:cs="宋体"/>
          <w:b/>
          <w:bCs/>
          <w:color w:val="auto"/>
          <w:sz w:val="22"/>
          <w:szCs w:val="22"/>
          <w:highlight w:val="none"/>
        </w:rPr>
        <w:t xml:space="preserve">4、供应商提供的《中小企业声明函》与事实不符的，依照《政府采购法》第七十七条第一款的规定追究法律责任。</w:t>
      </w:r>
      <w:r/>
    </w:p>
    <w:p>
      <w:pPr>
        <w:pStyle w:val="751"/>
        <w:jc w:val="left"/>
        <w:spacing w:line="360" w:lineRule="auto"/>
        <w:rPr>
          <w:rFonts w:ascii="宋体" w:hAnsi="宋体" w:cs="宋体"/>
          <w:color w:val="auto"/>
          <w:sz w:val="22"/>
          <w:szCs w:val="22"/>
          <w:highlight w:val="none"/>
        </w:rPr>
      </w:pPr>
      <w:r>
        <w:rPr>
          <w:rFonts w:hint="eastAsia" w:ascii="宋体" w:hAnsi="宋体"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3"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5"/>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5" o:title=""/>
              </v:shape>
            </w:pict>
          </mc:Fallback>
        </mc:AlternateContent>
      </w:r>
      <w:r>
        <w:rPr>
          <w:rFonts w:hint="eastAsia" w:ascii="宋体" w:hAnsi="宋体" w:cs="宋体"/>
          <w:color w:val="auto"/>
          <w:sz w:val="22"/>
          <w:szCs w:val="22"/>
          <w:highlight w:val="none"/>
        </w:rPr>
        <w:t xml:space="preserve">“中小企业声明涵” 查询渠道用微信搜索“中小企业规模类型自测小程序”。看下列截图。</w:t>
      </w:r>
      <w:r/>
    </w:p>
    <w:p>
      <w:pPr>
        <w:pStyle w:val="751"/>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51"/>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51"/>
        <w:ind w:firstLine="600"/>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1"/>
        <w:jc w:val="center"/>
        <w:spacing w:line="360" w:lineRule="auto"/>
        <w:rPr>
          <w:rFonts w:ascii="宋体" w:hAnsi="宋体" w:cs="宋体"/>
          <w:b/>
          <w:bCs/>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jc w:val="center"/>
        <w:spacing w:line="479" w:lineRule="atLeast"/>
        <w:rPr>
          <w:rFonts w:ascii="宋体" w:hAnsi="宋体" w:cs="宋体"/>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16"/>
          <w:highlight w:val="none"/>
        </w:rPr>
        <w:t xml:space="preserve">（如投标人不属于残疾人福利性单位不需要提供此声明函）</w:t>
      </w:r>
      <w:r/>
    </w:p>
    <w:p>
      <w:pPr>
        <w:pStyle w:val="751"/>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751"/>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沛县校园保安服务</w:t>
      </w:r>
      <w:r/>
    </w:p>
    <w:p>
      <w:pPr>
        <w:pStyle w:val="751"/>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JSZC-320322-XDFH-G2026-0013</w:t>
      </w:r>
      <w:r/>
    </w:p>
    <w:p>
      <w:pPr>
        <w:pStyle w:val="751"/>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51"/>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751"/>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51"/>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51"/>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51"/>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51"/>
        <w:ind w:firstLine="4500"/>
        <w:spacing w:line="360" w:lineRule="auto"/>
        <w:rPr>
          <w:rFonts w:ascii="宋体" w:hAnsi="宋体" w:cs="宋体"/>
          <w:color w:val="auto"/>
          <w:sz w:val="24"/>
          <w:highlight w:val="none"/>
        </w:rPr>
      </w:pPr>
      <w:r>
        <w:rPr>
          <w:rFonts w:ascii="宋体" w:hAnsi="宋体" w:cs="宋体"/>
          <w:color w:val="auto"/>
          <w:sz w:val="24"/>
          <w:highlight w:val="none"/>
        </w:rPr>
      </w:r>
      <w:r/>
    </w:p>
    <w:p>
      <w:pPr>
        <w:pStyle w:val="751"/>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1"/>
        <w:ind w:firstLine="6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pStyle w:val="751"/>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沛县校园保安服务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JSZC-320322-XDFH-G2026-0013</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600"/>
        <w:spacing w:before="0" w:beforeAutospacing="0" w:after="0" w:afterAutospacing="0" w:line="360" w:lineRule="auto"/>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751"/>
        <w:spacing w:line="360" w:lineRule="auto"/>
        <w:rPr>
          <w:rFonts w:ascii="宋体" w:hAnsi="宋体" w:cs="宋体"/>
          <w:color w:val="auto"/>
          <w:sz w:val="24"/>
          <w:highlight w:val="none"/>
        </w:rPr>
      </w:pPr>
      <w:r>
        <w:rPr>
          <w:rFonts w:ascii="宋体" w:hAnsi="宋体" w:cs="宋体"/>
          <w:color w:val="auto"/>
          <w:sz w:val="24"/>
          <w:highlight w:val="none"/>
        </w:rPr>
      </w:r>
      <w:r/>
    </w:p>
    <w:p>
      <w:pPr>
        <w:pStyle w:val="751"/>
        <w:spacing w:line="360" w:lineRule="auto"/>
        <w:rPr>
          <w:rFonts w:ascii="宋体" w:hAnsi="宋体" w:cs="宋体"/>
          <w:color w:val="auto"/>
          <w:sz w:val="24"/>
          <w:highlight w:val="none"/>
        </w:rPr>
      </w:pPr>
      <w:r>
        <w:rPr>
          <w:rFonts w:ascii="宋体" w:hAnsi="宋体" w:cs="宋体"/>
          <w:color w:val="auto"/>
          <w:sz w:val="24"/>
          <w:highlight w:val="none"/>
        </w:rPr>
      </w:r>
      <w:r/>
    </w:p>
    <w:p>
      <w:pPr>
        <w:pStyle w:val="819"/>
        <w:spacing w:line="360" w:lineRule="auto"/>
        <w:rPr>
          <w:rFonts w:ascii="宋体" w:hAnsi="宋体" w:cs="宋体"/>
          <w:color w:val="auto"/>
          <w:sz w:val="24"/>
          <w:highlight w:val="none"/>
        </w:rPr>
      </w:pPr>
      <w:r>
        <w:rPr>
          <w:rFonts w:ascii="宋体" w:hAnsi="宋体" w:cs="宋体"/>
          <w:color w:val="auto"/>
          <w:sz w:val="24"/>
          <w:highlight w:val="none"/>
        </w:rPr>
      </w:r>
      <w:r/>
    </w:p>
    <w:p>
      <w:pPr>
        <w:pStyle w:val="749"/>
        <w:spacing w:line="360" w:lineRule="auto"/>
        <w:rPr>
          <w:color w:val="auto"/>
          <w:highlight w:val="none"/>
          <w:lang w:eastAsia="zh-CN"/>
        </w:rPr>
      </w:pPr>
      <w:r>
        <w:rPr>
          <w:color w:val="auto"/>
          <w:highlight w:val="none"/>
          <w:lang w:eastAsia="zh-CN"/>
        </w:rPr>
      </w:r>
      <w:r/>
    </w:p>
    <w:p>
      <w:pPr>
        <w:pStyle w:val="751"/>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51"/>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51"/>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6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1"/>
        <w:spacing w:line="360" w:lineRule="auto"/>
        <w:rPr>
          <w:rFonts w:ascii="宋体" w:hAnsi="宋体" w:cs="宋体"/>
          <w:color w:val="auto"/>
          <w:highlight w:val="none"/>
        </w:rPr>
      </w:pPr>
      <w:r>
        <w:rPr>
          <w:rFonts w:ascii="宋体" w:hAnsi="宋体" w:cs="宋体"/>
          <w:color w:val="auto"/>
          <w:highlight w:val="none"/>
        </w:rPr>
      </w:r>
      <w:r/>
    </w:p>
    <w:p>
      <w:pPr>
        <w:pStyle w:val="751"/>
        <w:spacing w:line="360" w:lineRule="auto"/>
        <w:rPr>
          <w:rFonts w:ascii="宋体" w:hAnsi="宋体" w:cs="宋体"/>
          <w:color w:val="auto"/>
          <w:highlight w:val="none"/>
        </w:rPr>
      </w:pPr>
      <w:r>
        <w:rPr>
          <w:rFonts w:ascii="宋体" w:hAnsi="宋体" w:cs="宋体"/>
          <w:color w:val="auto"/>
          <w:highlight w:val="none"/>
        </w:rPr>
      </w:r>
      <w:r/>
    </w:p>
    <w:p>
      <w:pPr>
        <w:pStyle w:val="760"/>
        <w:spacing w:line="360" w:lineRule="auto"/>
        <w:rPr>
          <w:rFonts w:hAnsi="宋体" w:eastAsia="宋体" w:cs="宋体"/>
          <w:color w:val="auto"/>
          <w:highlight w:val="none"/>
        </w:rPr>
      </w:pPr>
      <w:r>
        <w:rPr>
          <w:rFonts w:hAnsi="宋体" w:eastAsia="宋体" w:cs="宋体"/>
          <w:color w:val="auto"/>
          <w:highlight w:val="none"/>
        </w:rPr>
      </w:r>
      <w:r/>
    </w:p>
    <w:p>
      <w:pPr>
        <w:pStyle w:val="761"/>
        <w:spacing w:line="360" w:lineRule="auto"/>
        <w:rPr>
          <w:rFonts w:ascii="宋体" w:hAnsi="宋体" w:cs="宋体"/>
          <w:color w:val="auto"/>
          <w:highlight w:val="none"/>
        </w:rPr>
      </w:pPr>
      <w:r>
        <w:rPr>
          <w:rFonts w:ascii="宋体" w:hAnsi="宋体" w:cs="宋体"/>
          <w:color w:val="auto"/>
          <w:highlight w:val="none"/>
        </w:rPr>
      </w:r>
      <w:r/>
    </w:p>
    <w:p>
      <w:pPr>
        <w:pStyle w:val="751"/>
        <w:spacing w:line="360" w:lineRule="auto"/>
        <w:rPr>
          <w:rFonts w:ascii="宋体" w:hAnsi="宋体" w:cs="宋体"/>
          <w:color w:val="auto"/>
          <w:highlight w:val="none"/>
        </w:rPr>
      </w:pPr>
      <w:r>
        <w:rPr>
          <w:rFonts w:ascii="宋体" w:hAnsi="宋体" w:cs="宋体"/>
          <w:color w:val="auto"/>
          <w:highlight w:val="none"/>
        </w:rPr>
      </w:r>
      <w:r/>
    </w:p>
    <w:p>
      <w:pPr>
        <w:pStyle w:val="760"/>
        <w:spacing w:line="360" w:lineRule="auto"/>
        <w:rPr>
          <w:rFonts w:hAnsi="宋体" w:eastAsia="宋体" w:cs="宋体"/>
          <w:color w:val="auto"/>
          <w:highlight w:val="none"/>
        </w:rPr>
      </w:pPr>
      <w:r>
        <w:rPr>
          <w:rFonts w:hAnsi="宋体" w:eastAsia="宋体" w:cs="宋体"/>
          <w:color w:val="auto"/>
          <w:highlight w:val="none"/>
        </w:rPr>
      </w:r>
      <w:r/>
    </w:p>
    <w:p>
      <w:pPr>
        <w:pStyle w:val="761"/>
        <w:spacing w:line="360" w:lineRule="auto"/>
        <w:rPr>
          <w:rFonts w:ascii="宋体" w:hAnsi="宋体" w:cs="宋体"/>
          <w:color w:val="auto"/>
          <w:highlight w:val="none"/>
        </w:rPr>
      </w:pPr>
      <w:r>
        <w:rPr>
          <w:rFonts w:ascii="宋体" w:hAnsi="宋体" w:cs="宋体"/>
          <w:color w:val="auto"/>
          <w:highlight w:val="none"/>
        </w:rPr>
      </w:r>
      <w:r/>
    </w:p>
    <w:p>
      <w:pPr>
        <w:pStyle w:val="751"/>
        <w:spacing w:line="360" w:lineRule="auto"/>
        <w:rPr>
          <w:rFonts w:ascii="宋体" w:hAnsi="宋体" w:cs="宋体"/>
          <w:color w:val="auto"/>
          <w:highlight w:val="none"/>
        </w:rPr>
      </w:pPr>
      <w:r>
        <w:rPr>
          <w:rFonts w:ascii="宋体" w:hAnsi="宋体" w:cs="宋体"/>
          <w:color w:val="auto"/>
          <w:highlight w:val="none"/>
        </w:rPr>
      </w:r>
      <w:r/>
    </w:p>
    <w:p>
      <w:pPr>
        <w:pStyle w:val="760"/>
        <w:spacing w:line="360" w:lineRule="auto"/>
        <w:rPr>
          <w:rFonts w:hAnsi="宋体" w:eastAsia="宋体" w:cs="宋体"/>
          <w:color w:val="auto"/>
          <w:highlight w:val="none"/>
        </w:rPr>
      </w:pPr>
      <w:r>
        <w:rPr>
          <w:rFonts w:hAnsi="宋体" w:eastAsia="宋体" w:cs="宋体"/>
          <w:color w:val="auto"/>
          <w:highlight w:val="none"/>
        </w:rPr>
      </w:r>
      <w:r/>
    </w:p>
    <w:p>
      <w:pPr>
        <w:pStyle w:val="761"/>
        <w:spacing w:line="360" w:lineRule="auto"/>
        <w:rPr>
          <w:rFonts w:ascii="宋体" w:hAnsi="宋体" w:cs="宋体"/>
          <w:color w:val="auto"/>
          <w:highlight w:val="none"/>
        </w:rPr>
      </w:pPr>
      <w:r>
        <w:rPr>
          <w:rFonts w:ascii="宋体" w:hAnsi="宋体" w:cs="宋体"/>
          <w:color w:val="auto"/>
          <w:highlight w:val="none"/>
        </w:rPr>
      </w:r>
      <w:r/>
    </w:p>
    <w:p>
      <w:pPr>
        <w:pStyle w:val="760"/>
        <w:spacing w:line="360" w:lineRule="auto"/>
        <w:rPr>
          <w:rFonts w:hAnsi="宋体" w:eastAsia="宋体" w:cs="宋体"/>
          <w:color w:val="auto"/>
          <w:highlight w:val="none"/>
        </w:rPr>
      </w:pPr>
      <w:r>
        <w:rPr>
          <w:rFonts w:hAnsi="宋体" w:eastAsia="宋体" w:cs="宋体"/>
          <w:color w:val="auto"/>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auto"/>
          <w:sz w:val="24"/>
          <w:szCs w:val="24"/>
          <w:highlight w:val="none"/>
        </w:rPr>
      </w:pPr>
      <w:r>
        <w:rPr>
          <w:rFonts w:hint="eastAsia" w:ascii="宋体" w:hAnsi="宋体" w:cs="宋体"/>
          <w:b/>
          <w:bCs/>
          <w:color w:val="auto"/>
          <w:sz w:val="30"/>
          <w:szCs w:val="30"/>
          <w:highlight w:val="none"/>
          <w:lang w:val="en-US" w:eastAsia="zh-CN"/>
        </w:rPr>
        <w:t xml:space="preserve">格式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沛县校园保安服务</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JSZC-320322-XDFH-G2026-0013</w:t>
      </w:r>
      <w:r/>
    </w:p>
    <w:p>
      <w:pPr>
        <w:rPr>
          <w:rFonts w:hint="default"/>
          <w:color w:val="auto"/>
          <w:highlight w:val="none"/>
        </w:rPr>
      </w:pPr>
      <w:r>
        <w:rPr>
          <w:rFonts w:hint="default"/>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rPr>
          <w:rFonts w:hint="eastAsia"/>
          <w:color w:val="auto"/>
          <w:highlight w:val="none"/>
        </w:rPr>
      </w:pPr>
      <w:r>
        <w:rPr>
          <w:rFonts w:hint="eastAsia"/>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2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720"/>
        <w:rPr>
          <w:rFonts w:hint="default"/>
          <w:color w:val="auto"/>
          <w:highlight w:val="none"/>
        </w:rPr>
      </w:pPr>
      <w:r>
        <w:rPr>
          <w:rFonts w:hint="default"/>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ambria">
    <w:panose1 w:val="02040503050406030204"/>
  </w:font>
  <w:font w:name="Calibri">
    <w:panose1 w:val="020F0502020204030204"/>
  </w:font>
  <w:font w:name="微软雅黑">
    <w:panose1 w:val="020B0503020204020204"/>
  </w:font>
  <w:font w:name="Courier New">
    <w:panose1 w:val="02070309020205020404"/>
  </w:font>
  <w:font w:name="仿宋">
    <w:panose1 w:val="02010609060101010101"/>
  </w:font>
  <w:font w:name="黑体">
    <w:panose1 w:val="02010609060101010101"/>
  </w:font>
  <w:font w:name="Verdana">
    <w:panose1 w:val="020B0604030504040204"/>
  </w:font>
  <w:font w:name="仿宋_GB2312">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1"/>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decimal"/>
      <w:pStyle w:val="77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7"/>
  </w:num>
  <w:num w:numId="5">
    <w:abstractNumId w:val="1"/>
  </w:num>
  <w:num w:numId="6">
    <w:abstractNumId w:val="0"/>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rPr>
      <w:rFonts w:hint="default" w:ascii="Times New Roman" w:hAnsi="Times New Roman" w:eastAsia="宋体" w:cs="Times New Roman"/>
      <w:lang w:val="en-US" w:eastAsia="zh-CN" w:bidi="ar-SA"/>
    </w:rPr>
  </w:style>
  <w:style w:type="paragraph" w:styleId="698">
    <w:name w:val="Heading 1"/>
    <w:basedOn w:val="697"/>
    <w:next w:val="697"/>
    <w:link w:val="831"/>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0"/>
    <w:qFormat/>
    <w:pPr>
      <w:keepLines/>
      <w:keepNext/>
      <w:spacing w:before="260" w:after="260" w:line="416" w:lineRule="auto"/>
      <w:outlineLvl w:val="1"/>
    </w:pPr>
    <w:rPr>
      <w:rFonts w:ascii="Calibri Light" w:hAnsi="Calibri Light"/>
      <w:b/>
      <w:bCs/>
      <w:sz w:val="24"/>
      <w:szCs w:val="32"/>
    </w:rPr>
  </w:style>
  <w:style w:type="paragraph" w:styleId="700">
    <w:name w:val="Heading 3"/>
    <w:basedOn w:val="697"/>
    <w:next w:val="697"/>
    <w:link w:val="833"/>
    <w:uiPriority w:val="9"/>
    <w:unhideWhenUsed/>
    <w:qFormat/>
    <w:pPr>
      <w:keepLines/>
      <w:keepNext/>
      <w:spacing w:before="320" w:after="200"/>
      <w:outlineLvl w:val="2"/>
    </w:pPr>
    <w:rPr>
      <w:rFonts w:ascii="Arial" w:hAnsi="Arial" w:eastAsia="Arial" w:cs="Arial"/>
      <w:sz w:val="30"/>
      <w:szCs w:val="30"/>
    </w:rPr>
  </w:style>
  <w:style w:type="paragraph" w:styleId="701">
    <w:name w:val="Heading 4"/>
    <w:next w:val="697"/>
    <w:link w:val="83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02">
    <w:name w:val="Heading 5"/>
    <w:next w:val="697"/>
    <w:link w:val="83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03">
    <w:name w:val="Heading 6"/>
    <w:next w:val="697"/>
    <w:link w:val="83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04">
    <w:name w:val="Heading 7"/>
    <w:next w:val="697"/>
    <w:link w:val="83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05">
    <w:name w:val="Heading 8"/>
    <w:next w:val="697"/>
    <w:link w:val="83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06">
    <w:name w:val="Heading 9"/>
    <w:next w:val="697"/>
    <w:link w:val="83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Layout w:type="fixed"/>
      <w:tblCellMar>
        <w:left w:w="108" w:type="dxa"/>
        <w:top w:w="0" w:type="dxa"/>
        <w:right w:w="108" w:type="dxa"/>
        <w:bottom w:w="0" w:type="dxa"/>
      </w:tblCellMar>
    </w:tblPr>
  </w:style>
  <w:style w:type="paragraph" w:styleId="709">
    <w:name w:val="annotation subject"/>
    <w:basedOn w:val="710"/>
    <w:next w:val="710"/>
    <w:link w:val="1026"/>
    <w:uiPriority w:val="99"/>
    <w:semiHidden/>
    <w:unhideWhenUsed/>
    <w:qFormat/>
    <w:rPr>
      <w:b/>
      <w:bCs/>
    </w:rPr>
  </w:style>
  <w:style w:type="paragraph" w:styleId="710">
    <w:name w:val="annotation text"/>
    <w:basedOn w:val="697"/>
    <w:link w:val="1025"/>
    <w:uiPriority w:val="99"/>
    <w:semiHidden/>
    <w:unhideWhenUsed/>
    <w:qFormat/>
  </w:style>
  <w:style w:type="paragraph" w:styleId="711">
    <w:name w:val="toc 7"/>
    <w:next w:val="697"/>
    <w:uiPriority w:val="39"/>
    <w:unhideWhenUsed/>
    <w:qFormat/>
    <w:pPr>
      <w:ind w:left="1701"/>
      <w:spacing w:after="57"/>
    </w:pPr>
    <w:rPr>
      <w:rFonts w:hint="default" w:ascii="Times New Roman" w:hAnsi="Times New Roman" w:eastAsia="宋体" w:cs="Times New Roman"/>
      <w:lang w:val="en-US" w:eastAsia="zh-CN" w:bidi="ar-SA"/>
    </w:rPr>
  </w:style>
  <w:style w:type="paragraph" w:styleId="712">
    <w:name w:val="Body Text First Indent"/>
    <w:basedOn w:val="713"/>
    <w:next w:val="714"/>
    <w:uiPriority w:val="99"/>
    <w:qFormat/>
    <w:pPr>
      <w:ind w:firstLine="420"/>
      <w:spacing w:after="120" w:line="440" w:lineRule="exact"/>
    </w:pPr>
    <w:rPr>
      <w:rFonts w:ascii="宋体"/>
    </w:rPr>
  </w:style>
  <w:style w:type="paragraph" w:styleId="713">
    <w:name w:val="Body Text"/>
    <w:basedOn w:val="697"/>
    <w:next w:val="697"/>
    <w:uiPriority w:val="0"/>
    <w:qFormat/>
    <w:rPr>
      <w:rFonts w:ascii="Verdana" w:hAnsi="Verdana"/>
      <w:sz w:val="24"/>
      <w:szCs w:val="18"/>
    </w:rPr>
  </w:style>
  <w:style w:type="paragraph" w:styleId="714">
    <w:name w:val="Body Text First Indent 2"/>
    <w:basedOn w:val="715"/>
    <w:next w:val="697"/>
    <w:uiPriority w:val="99"/>
    <w:unhideWhenUsed/>
    <w:qFormat/>
    <w:pPr>
      <w:ind w:firstLine="420"/>
    </w:pPr>
    <w:rPr>
      <w:sz w:val="21"/>
      <w:szCs w:val="24"/>
    </w:rPr>
  </w:style>
  <w:style w:type="paragraph" w:styleId="715">
    <w:name w:val="Body Text Indent"/>
    <w:basedOn w:val="697"/>
    <w:next w:val="716"/>
    <w:uiPriority w:val="0"/>
    <w:qFormat/>
    <w:pPr>
      <w:ind w:left="420"/>
      <w:spacing w:after="120"/>
    </w:pPr>
  </w:style>
  <w:style w:type="paragraph" w:styleId="716">
    <w:name w:val="envelope return"/>
    <w:basedOn w:val="697"/>
    <w:uiPriority w:val="99"/>
    <w:unhideWhenUsed/>
    <w:qFormat/>
    <w:rPr>
      <w:rFonts w:ascii="Arial" w:hAnsi="Arial" w:cs="Arial"/>
    </w:rPr>
  </w:style>
  <w:style w:type="paragraph" w:styleId="717">
    <w:name w:val="Normal Indent"/>
    <w:basedOn w:val="697"/>
    <w:uiPriority w:val="0"/>
    <w:qFormat/>
    <w:pPr>
      <w:ind w:firstLine="420"/>
    </w:pPr>
  </w:style>
  <w:style w:type="paragraph" w:styleId="718">
    <w:name w:val="Caption"/>
    <w:next w:val="697"/>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19">
    <w:name w:val="index 5"/>
    <w:basedOn w:val="697"/>
    <w:next w:val="697"/>
    <w:uiPriority w:val="99"/>
    <w:qFormat/>
    <w:pPr>
      <w:ind w:left="798"/>
    </w:pPr>
  </w:style>
  <w:style w:type="paragraph" w:styleId="720">
    <w:name w:val="Block Text"/>
    <w:basedOn w:val="697"/>
    <w:next w:val="697"/>
    <w:uiPriority w:val="6"/>
    <w:qFormat/>
    <w:pPr>
      <w:ind w:left="256" w:right="6" w:firstLine="624"/>
    </w:pPr>
    <w:rPr>
      <w:rFonts w:eastAsia="仿宋"/>
      <w:sz w:val="28"/>
    </w:rPr>
  </w:style>
  <w:style w:type="paragraph" w:styleId="721">
    <w:name w:val="index 4"/>
    <w:basedOn w:val="697"/>
    <w:next w:val="697"/>
    <w:uiPriority w:val="99"/>
    <w:qFormat/>
    <w:pPr>
      <w:ind w:left="600"/>
    </w:pPr>
    <w:rPr>
      <w:sz w:val="24"/>
      <w:szCs w:val="24"/>
    </w:rPr>
  </w:style>
  <w:style w:type="paragraph" w:styleId="722">
    <w:name w:val="toc 5"/>
    <w:next w:val="697"/>
    <w:uiPriority w:val="39"/>
    <w:unhideWhenUsed/>
    <w:qFormat/>
    <w:pPr>
      <w:ind w:left="1134"/>
      <w:spacing w:after="57"/>
    </w:pPr>
    <w:rPr>
      <w:rFonts w:hint="default" w:ascii="Times New Roman" w:hAnsi="Times New Roman" w:eastAsia="宋体" w:cs="Times New Roman"/>
      <w:lang w:val="en-US" w:eastAsia="zh-CN" w:bidi="ar-SA"/>
    </w:rPr>
  </w:style>
  <w:style w:type="paragraph" w:styleId="723">
    <w:name w:val="toc 3"/>
    <w:next w:val="697"/>
    <w:uiPriority w:val="39"/>
    <w:unhideWhenUsed/>
    <w:qFormat/>
    <w:pPr>
      <w:ind w:left="567"/>
      <w:spacing w:after="57"/>
    </w:pPr>
    <w:rPr>
      <w:rFonts w:hint="default" w:ascii="Times New Roman" w:hAnsi="Times New Roman" w:eastAsia="宋体" w:cs="Times New Roman"/>
      <w:lang w:val="en-US" w:eastAsia="zh-CN" w:bidi="ar-SA"/>
    </w:rPr>
  </w:style>
  <w:style w:type="paragraph" w:styleId="724">
    <w:name w:val="Plain Text"/>
    <w:basedOn w:val="697"/>
    <w:uiPriority w:val="0"/>
    <w:qFormat/>
    <w:pPr>
      <w:spacing w:before="156" w:after="156" w:line="400" w:lineRule="exact"/>
    </w:pPr>
    <w:rPr>
      <w:rFonts w:ascii="宋体" w:hAnsi="Courier New"/>
    </w:rPr>
  </w:style>
  <w:style w:type="paragraph" w:styleId="725">
    <w:name w:val="toc 8"/>
    <w:next w:val="697"/>
    <w:uiPriority w:val="39"/>
    <w:unhideWhenUsed/>
    <w:qFormat/>
    <w:pPr>
      <w:ind w:left="1984"/>
      <w:spacing w:after="57"/>
    </w:pPr>
    <w:rPr>
      <w:rFonts w:hint="default" w:ascii="Times New Roman" w:hAnsi="Times New Roman" w:eastAsia="宋体" w:cs="Times New Roman"/>
      <w:lang w:val="en-US" w:eastAsia="zh-CN" w:bidi="ar-SA"/>
    </w:rPr>
  </w:style>
  <w:style w:type="paragraph" w:styleId="726">
    <w:name w:val="endnote text"/>
    <w:link w:val="976"/>
    <w:uiPriority w:val="99"/>
    <w:semiHidden/>
    <w:unhideWhenUsed/>
    <w:qFormat/>
    <w:rPr>
      <w:rFonts w:hint="default" w:ascii="Times New Roman" w:hAnsi="Times New Roman" w:eastAsia="宋体" w:cs="Times New Roman"/>
      <w:lang w:val="en-US" w:eastAsia="zh-CN" w:bidi="ar-SA"/>
    </w:rPr>
  </w:style>
  <w:style w:type="paragraph" w:styleId="727">
    <w:name w:val="Balloon Text"/>
    <w:basedOn w:val="697"/>
    <w:link w:val="1024"/>
    <w:uiPriority w:val="99"/>
    <w:semiHidden/>
    <w:unhideWhenUsed/>
    <w:qFormat/>
    <w:rPr>
      <w:sz w:val="18"/>
      <w:szCs w:val="18"/>
    </w:rPr>
  </w:style>
  <w:style w:type="paragraph" w:styleId="728">
    <w:name w:val="Footer"/>
    <w:basedOn w:val="697"/>
    <w:link w:val="849"/>
    <w:uiPriority w:val="99"/>
    <w:unhideWhenUsed/>
    <w:qFormat/>
    <w:pPr>
      <w:tabs>
        <w:tab w:val="center" w:pos="7143" w:leader="none"/>
        <w:tab w:val="right" w:pos="14287" w:leader="none"/>
      </w:tabs>
    </w:pPr>
  </w:style>
  <w:style w:type="paragraph" w:styleId="729">
    <w:name w:val="Header"/>
    <w:basedOn w:val="697"/>
    <w:link w:val="847"/>
    <w:uiPriority w:val="99"/>
    <w:unhideWhenUsed/>
    <w:qFormat/>
    <w:pPr>
      <w:tabs>
        <w:tab w:val="center" w:pos="7143" w:leader="none"/>
        <w:tab w:val="right" w:pos="14287" w:leader="none"/>
      </w:tabs>
    </w:pPr>
  </w:style>
  <w:style w:type="paragraph" w:styleId="730">
    <w:name w:val="toc 1"/>
    <w:basedOn w:val="697"/>
    <w:next w:val="697"/>
    <w:uiPriority w:val="39"/>
    <w:unhideWhenUsed/>
    <w:qFormat/>
    <w:pPr>
      <w:spacing w:after="57"/>
    </w:pPr>
  </w:style>
  <w:style w:type="paragraph" w:styleId="731">
    <w:name w:val="toc 4"/>
    <w:next w:val="697"/>
    <w:uiPriority w:val="39"/>
    <w:unhideWhenUsed/>
    <w:qFormat/>
    <w:pPr>
      <w:ind w:left="850"/>
      <w:spacing w:after="57"/>
    </w:pPr>
    <w:rPr>
      <w:rFonts w:hint="default" w:ascii="Times New Roman" w:hAnsi="Times New Roman" w:eastAsia="宋体" w:cs="Times New Roman"/>
      <w:lang w:val="en-US" w:eastAsia="zh-CN" w:bidi="ar-SA"/>
    </w:rPr>
  </w:style>
  <w:style w:type="paragraph" w:styleId="732">
    <w:name w:val="index heading"/>
    <w:next w:val="733"/>
    <w:uiPriority w:val="99"/>
    <w:unhideWhenUsed/>
    <w:qFormat/>
    <w:pPr>
      <w:spacing w:line="500" w:lineRule="exact"/>
    </w:pPr>
    <w:rPr>
      <w:rFonts w:hint="default" w:ascii="仿宋_GB2312" w:hAnsi="Times New Roman" w:eastAsia="仿宋_GB2312" w:cs="Times New Roman"/>
      <w:sz w:val="28"/>
      <w:szCs w:val="20"/>
    </w:rPr>
  </w:style>
  <w:style w:type="paragraph" w:styleId="733">
    <w:name w:val="index 1"/>
    <w:next w:val="697"/>
    <w:uiPriority w:val="99"/>
    <w:unhideWhenUsed/>
    <w:qFormat/>
    <w:pPr>
      <w:jc w:val="left"/>
      <w:spacing w:line="288" w:lineRule="auto"/>
      <w:suppressLineNumbers/>
    </w:pPr>
    <w:rPr>
      <w:rFonts w:hint="default" w:ascii="Times New Roman" w:hAnsi="Times New Roman" w:eastAsia="宋体" w:cs="Times New Roman"/>
      <w:sz w:val="24"/>
      <w:szCs w:val="20"/>
    </w:rPr>
  </w:style>
  <w:style w:type="paragraph" w:styleId="734">
    <w:name w:val="Subtitle"/>
    <w:link w:val="84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35">
    <w:name w:val="footnote text"/>
    <w:basedOn w:val="697"/>
    <w:next w:val="719"/>
    <w:link w:val="975"/>
    <w:uiPriority w:val="99"/>
    <w:semiHidden/>
    <w:unhideWhenUsed/>
    <w:qFormat/>
    <w:pPr>
      <w:spacing w:after="40"/>
    </w:pPr>
    <w:rPr>
      <w:sz w:val="18"/>
    </w:rPr>
  </w:style>
  <w:style w:type="paragraph" w:styleId="736">
    <w:name w:val="toc 6"/>
    <w:next w:val="697"/>
    <w:uiPriority w:val="39"/>
    <w:unhideWhenUsed/>
    <w:qFormat/>
    <w:pPr>
      <w:ind w:left="1417"/>
      <w:spacing w:after="57"/>
    </w:pPr>
    <w:rPr>
      <w:rFonts w:hint="default" w:ascii="Times New Roman" w:hAnsi="Times New Roman" w:eastAsia="宋体" w:cs="Times New Roman"/>
      <w:lang w:val="en-US" w:eastAsia="zh-CN" w:bidi="ar-SA"/>
    </w:rPr>
  </w:style>
  <w:style w:type="paragraph" w:styleId="737">
    <w:name w:val="table of figures"/>
    <w:next w:val="697"/>
    <w:uiPriority w:val="99"/>
    <w:unhideWhenUsed/>
    <w:qFormat/>
    <w:rPr>
      <w:rFonts w:hint="default" w:ascii="Times New Roman" w:hAnsi="Times New Roman" w:eastAsia="宋体" w:cs="Times New Roman"/>
      <w:lang w:val="en-US" w:eastAsia="zh-CN" w:bidi="ar-SA"/>
    </w:rPr>
  </w:style>
  <w:style w:type="paragraph" w:styleId="738">
    <w:name w:val="toc 2"/>
    <w:next w:val="697"/>
    <w:uiPriority w:val="39"/>
    <w:unhideWhenUsed/>
    <w:qFormat/>
    <w:pPr>
      <w:ind w:left="283"/>
      <w:spacing w:after="57"/>
    </w:pPr>
    <w:rPr>
      <w:rFonts w:hint="default" w:ascii="Times New Roman" w:hAnsi="Times New Roman" w:eastAsia="宋体" w:cs="Times New Roman"/>
      <w:lang w:val="en-US" w:eastAsia="zh-CN" w:bidi="ar-SA"/>
    </w:rPr>
  </w:style>
  <w:style w:type="paragraph" w:styleId="739">
    <w:name w:val="toc 9"/>
    <w:next w:val="697"/>
    <w:uiPriority w:val="39"/>
    <w:unhideWhenUsed/>
    <w:qFormat/>
    <w:pPr>
      <w:ind w:left="2268"/>
      <w:spacing w:after="57"/>
    </w:pPr>
    <w:rPr>
      <w:rFonts w:hint="default" w:ascii="Times New Roman" w:hAnsi="Times New Roman" w:eastAsia="宋体" w:cs="Times New Roman"/>
      <w:lang w:val="en-US" w:eastAsia="zh-CN" w:bidi="ar-SA"/>
    </w:rPr>
  </w:style>
  <w:style w:type="paragraph" w:styleId="740">
    <w:name w:val="Normal (Web)"/>
    <w:basedOn w:val="697"/>
    <w:uiPriority w:val="99"/>
    <w:semiHidden/>
    <w:unhideWhenUsed/>
    <w:qFormat/>
    <w:rPr>
      <w:sz w:val="24"/>
    </w:rPr>
  </w:style>
  <w:style w:type="paragraph" w:styleId="741">
    <w:name w:val="Title"/>
    <w:basedOn w:val="697"/>
    <w:next w:val="697"/>
    <w:link w:val="841"/>
    <w:uiPriority w:val="10"/>
    <w:qFormat/>
    <w:pPr>
      <w:contextualSpacing/>
      <w:spacing w:before="300" w:after="200"/>
    </w:pPr>
    <w:rPr>
      <w:sz w:val="48"/>
      <w:szCs w:val="48"/>
    </w:rPr>
  </w:style>
  <w:style w:type="character" w:styleId="742">
    <w:name w:val="endnote reference"/>
    <w:uiPriority w:val="99"/>
    <w:semiHidden/>
    <w:unhideWhenUsed/>
    <w:qFormat/>
    <w:rPr>
      <w:vertAlign w:val="superscript"/>
    </w:rPr>
  </w:style>
  <w:style w:type="character" w:styleId="743">
    <w:name w:val="page number"/>
    <w:basedOn w:val="707"/>
    <w:uiPriority w:val="99"/>
    <w:qFormat/>
  </w:style>
  <w:style w:type="character" w:styleId="744">
    <w:name w:val="FollowedHyperlink"/>
    <w:basedOn w:val="707"/>
    <w:uiPriority w:val="99"/>
    <w:unhideWhenUsed/>
    <w:qFormat/>
    <w:rPr>
      <w:color w:val="800080"/>
      <w:u w:val="single"/>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07"/>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49" w:customStyle="1">
    <w:name w:val="一级条标题"/>
    <w:basedOn w:val="750"/>
    <w:next w:val="7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0" w:customStyle="1">
    <w:name w:val="章标题"/>
    <w:basedOn w:val="751"/>
    <w:next w:val="762"/>
    <w:uiPriority w:val="0"/>
    <w:qFormat/>
    <w:pPr>
      <w:jc w:val="center"/>
      <w:spacing w:before="158" w:after="153" w:line="1292" w:lineRule="atLeast"/>
      <w:widowControl/>
    </w:pPr>
    <w:rPr>
      <w:rFonts w:ascii="Arial" w:hAnsi="Calibri" w:eastAsia="黑体"/>
      <w:sz w:val="31"/>
      <w:szCs w:val="22"/>
      <w:lang w:eastAsia="en-US" w:bidi="en-US"/>
    </w:rPr>
  </w:style>
  <w:style w:type="paragraph" w:styleId="751" w:customStyle="1">
    <w:name w:val="正文1"/>
    <w:basedOn w:val="752"/>
    <w:next w:val="760"/>
    <w:link w:val="995"/>
    <w:uiPriority w:val="0"/>
    <w:qFormat/>
  </w:style>
  <w:style w:type="paragraph" w:styleId="752" w:customStyle="1">
    <w:name w:val="正文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标题 21"/>
    <w:basedOn w:val="754"/>
    <w:next w:val="752"/>
    <w:uiPriority w:val="0"/>
    <w:qFormat/>
    <w:pPr>
      <w:jc w:val="center"/>
      <w:keepLines/>
      <w:keepNext/>
      <w:spacing w:before="260" w:after="260" w:line="360" w:lineRule="auto"/>
      <w:outlineLvl w:val="1"/>
    </w:pPr>
    <w:rPr>
      <w:rFonts w:ascii="Arial" w:hAnsi="Arial" w:eastAsia="仿宋"/>
      <w:bCs/>
      <w:sz w:val="24"/>
      <w:szCs w:val="32"/>
    </w:rPr>
  </w:style>
  <w:style w:type="paragraph" w:styleId="754" w:customStyle="1">
    <w:name w:val="正文111"/>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正文首行缩进11"/>
    <w:basedOn w:val="756"/>
    <w:uiPriority w:val="0"/>
    <w:qFormat/>
    <w:pPr>
      <w:ind w:firstLine="420"/>
    </w:pPr>
    <w:rPr>
      <w:rFonts w:ascii="Times New Roman"/>
      <w:sz w:val="24"/>
    </w:rPr>
  </w:style>
  <w:style w:type="paragraph" w:styleId="756" w:customStyle="1">
    <w:name w:val="正文文本11"/>
    <w:basedOn w:val="757"/>
    <w:next w:val="754"/>
    <w:uiPriority w:val="0"/>
    <w:qFormat/>
    <w:pPr>
      <w:spacing w:after="120"/>
    </w:pPr>
  </w:style>
  <w:style w:type="paragraph" w:styleId="757" w:customStyle="1">
    <w:name w:val="正文12"/>
    <w:next w:val="758"/>
    <w:uiPriority w:val="0"/>
    <w:qFormat/>
    <w:pPr>
      <w:jc w:val="both"/>
      <w:widowControl w:val="off"/>
    </w:pPr>
    <w:rPr>
      <w:rFonts w:hint="default" w:ascii="Calibri" w:hAnsi="Calibri" w:eastAsia="宋体" w:cs="Times New Roman"/>
      <w:sz w:val="21"/>
      <w:szCs w:val="24"/>
      <w:lang w:val="en-US" w:eastAsia="zh-CN" w:bidi="ar-SA"/>
    </w:rPr>
  </w:style>
  <w:style w:type="paragraph" w:styleId="758" w:customStyle="1">
    <w:name w:val="文本块11"/>
    <w:basedOn w:val="759"/>
    <w:uiPriority w:val="0"/>
    <w:qFormat/>
    <w:pPr>
      <w:ind w:left="420" w:right="33"/>
      <w:jc w:val="left"/>
    </w:pPr>
    <w:rPr>
      <w:sz w:val="24"/>
      <w:szCs w:val="20"/>
    </w:rPr>
  </w:style>
  <w:style w:type="paragraph" w:styleId="759" w:customStyle="1">
    <w:name w:val="正文1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脚注文本1"/>
    <w:basedOn w:val="751"/>
    <w:next w:val="761"/>
    <w:link w:val="990"/>
    <w:uiPriority w:val="0"/>
    <w:qFormat/>
    <w:pPr>
      <w:jc w:val="left"/>
    </w:pPr>
    <w:rPr>
      <w:rFonts w:ascii="宋体" w:eastAsia="Times New Roman"/>
      <w:sz w:val="18"/>
      <w:szCs w:val="18"/>
    </w:rPr>
  </w:style>
  <w:style w:type="paragraph" w:styleId="761" w:customStyle="1">
    <w:name w:val="索引 51"/>
    <w:basedOn w:val="751"/>
    <w:next w:val="751"/>
    <w:uiPriority w:val="0"/>
    <w:qFormat/>
    <w:pPr>
      <w:ind w:left="798"/>
      <w:jc w:val="left"/>
    </w:pPr>
    <w:rPr>
      <w:rFonts w:ascii="Calibri" w:hAnsi="Calibri"/>
    </w:rPr>
  </w:style>
  <w:style w:type="paragraph" w:styleId="762"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段"/>
    <w:basedOn w:val="764"/>
    <w:next w:val="762"/>
    <w:uiPriority w:val="0"/>
    <w:qFormat/>
    <w:pPr>
      <w:ind w:firstLine="200"/>
      <w:widowControl/>
    </w:pPr>
    <w:rPr>
      <w:rFonts w:ascii="宋体"/>
    </w:rPr>
  </w:style>
  <w:style w:type="paragraph" w:styleId="764" w:customStyle="1">
    <w:name w:val="正文13"/>
    <w:next w:val="765"/>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65" w:customStyle="1">
    <w:name w:val="正文首行缩进1"/>
    <w:basedOn w:val="713"/>
    <w:next w:val="766"/>
    <w:uiPriority w:val="0"/>
    <w:qFormat/>
    <w:pPr>
      <w:ind w:firstLine="420"/>
      <w:spacing w:after="120"/>
    </w:pPr>
    <w:rPr>
      <w:rFonts w:ascii="Times New Roman"/>
      <w:szCs w:val="24"/>
    </w:rPr>
  </w:style>
  <w:style w:type="paragraph" w:styleId="766" w:customStyle="1">
    <w:name w:val="正文首行缩进 211"/>
    <w:basedOn w:val="767"/>
    <w:next w:val="762"/>
    <w:uiPriority w:val="0"/>
    <w:qFormat/>
    <w:pPr>
      <w:ind w:firstLine="420"/>
    </w:pPr>
    <w:rPr>
      <w:sz w:val="24"/>
    </w:rPr>
  </w:style>
  <w:style w:type="paragraph" w:styleId="767" w:customStyle="1">
    <w:name w:val="正文文本缩进11"/>
    <w:basedOn w:val="757"/>
    <w:next w:val="768"/>
    <w:uiPriority w:val="0"/>
    <w:qFormat/>
    <w:pPr>
      <w:ind w:firstLine="425"/>
      <w:spacing w:line="360" w:lineRule="auto"/>
    </w:pPr>
  </w:style>
  <w:style w:type="paragraph" w:styleId="768" w:customStyle="1">
    <w:name w:val="寄信人地址1"/>
    <w:basedOn w:val="757"/>
    <w:uiPriority w:val="0"/>
    <w:qFormat/>
    <w:pPr>
      <w:ind w:firstLine="200"/>
    </w:pPr>
    <w:rPr>
      <w:rFonts w:ascii="Arial" w:hAnsi="Arial" w:eastAsia="仿宋_GB2312"/>
    </w:rPr>
  </w:style>
  <w:style w:type="paragraph" w:styleId="769" w:customStyle="1">
    <w:name w:val="BodyText1I"/>
    <w:basedOn w:val="770"/>
    <w:next w:val="752"/>
    <w:uiPriority w:val="0"/>
    <w:qFormat/>
    <w:pPr>
      <w:ind w:firstLine="420"/>
    </w:pPr>
  </w:style>
  <w:style w:type="paragraph" w:styleId="770" w:customStyle="1">
    <w:name w:val="BodyText"/>
    <w:basedOn w:val="752"/>
    <w:next w:val="752"/>
    <w:uiPriority w:val="0"/>
    <w:qFormat/>
    <w:pPr>
      <w:spacing w:after="120"/>
    </w:pPr>
  </w:style>
  <w:style w:type="paragraph" w:styleId="771" w:customStyle="1">
    <w:name w:val="文本块1"/>
    <w:basedOn w:val="751"/>
    <w:next w:val="772"/>
    <w:uiPriority w:val="0"/>
    <w:qFormat/>
    <w:pPr>
      <w:ind w:left="1440" w:right="1440"/>
      <w:spacing w:after="120"/>
    </w:pPr>
  </w:style>
  <w:style w:type="paragraph" w:styleId="772" w:customStyle="1">
    <w:name w:val="标题 41"/>
    <w:basedOn w:val="773"/>
    <w:next w:val="752"/>
    <w:link w:val="981"/>
    <w:uiPriority w:val="0"/>
    <w:qFormat/>
    <w:pPr>
      <w:keepLines/>
      <w:keepNext/>
      <w:spacing w:before="280" w:after="290" w:line="376" w:lineRule="auto"/>
      <w:outlineLvl w:val="3"/>
    </w:pPr>
    <w:rPr>
      <w:rFonts w:ascii="Calibri Light" w:hAnsi="Calibri Light" w:eastAsia="宋体"/>
      <w:sz w:val="28"/>
      <w:szCs w:val="28"/>
    </w:rPr>
  </w:style>
  <w:style w:type="paragraph" w:styleId="773" w:customStyle="1">
    <w:name w:val="标题1"/>
    <w:basedOn w:val="754"/>
    <w:next w:val="762"/>
    <w:uiPriority w:val="0"/>
    <w:qFormat/>
    <w:pPr>
      <w:jc w:val="center"/>
      <w:spacing w:before="300" w:after="300"/>
      <w:outlineLvl w:val="0"/>
    </w:pPr>
    <w:rPr>
      <w:rFonts w:ascii="Cambria" w:hAnsi="Cambria" w:eastAsia="仿宋_GB2312"/>
      <w:b/>
      <w:bCs/>
      <w:sz w:val="36"/>
      <w:szCs w:val="32"/>
    </w:rPr>
  </w:style>
  <w:style w:type="paragraph" w:styleId="774" w:customStyle="1">
    <w:name w:val="脚注文本11"/>
    <w:basedOn w:val="697"/>
    <w:next w:val="775"/>
    <w:uiPriority w:val="0"/>
    <w:unhideWhenUsed/>
    <w:qFormat/>
    <w:pPr>
      <w:spacing w:after="40"/>
    </w:pPr>
    <w:rPr>
      <w:sz w:val="18"/>
    </w:rPr>
  </w:style>
  <w:style w:type="paragraph" w:styleId="775" w:customStyle="1">
    <w:name w:val="索引 511"/>
    <w:basedOn w:val="697"/>
    <w:next w:val="754"/>
    <w:uiPriority w:val="0"/>
    <w:qFormat/>
    <w:pPr>
      <w:ind w:left="798"/>
    </w:pPr>
  </w:style>
  <w:style w:type="paragraph" w:styleId="776" w:customStyle="1">
    <w:name w:val="标题 111"/>
    <w:next w:val="752"/>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77" w:customStyle="1">
    <w:name w:val="无间隔1"/>
    <w:uiPriority w:val="99"/>
    <w:qFormat/>
    <w:rPr>
      <w:rFonts w:hint="default" w:ascii="Tahoma" w:hAnsi="Tahoma" w:eastAsia="微软雅黑" w:cs="Times New Roman"/>
      <w:sz w:val="22"/>
      <w:szCs w:val="22"/>
      <w:lang w:val="en-US" w:eastAsia="zh-CN" w:bidi="ar-SA"/>
    </w:rPr>
  </w:style>
  <w:style w:type="paragraph" w:styleId="778" w:customStyle="1">
    <w:name w:val="标题 211"/>
    <w:basedOn w:val="759"/>
    <w:next w:val="75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79" w:customStyle="1">
    <w:name w:val="目录 11"/>
    <w:basedOn w:val="752"/>
    <w:next w:val="697"/>
    <w:uiPriority w:val="0"/>
    <w:qFormat/>
    <w:pPr>
      <w:jc w:val="left"/>
      <w:spacing w:after="100" w:line="259" w:lineRule="auto"/>
      <w:widowControl/>
    </w:pPr>
    <w:rPr>
      <w:rFonts w:ascii="Calibri" w:hAnsi="Calibri"/>
      <w:sz w:val="22"/>
      <w:szCs w:val="22"/>
    </w:rPr>
  </w:style>
  <w:style w:type="character" w:styleId="780" w:customStyle="1">
    <w:name w:val="Heading 1 Char"/>
    <w:basedOn w:val="707"/>
    <w:uiPriority w:val="9"/>
    <w:qFormat/>
    <w:rPr>
      <w:rFonts w:ascii="Arial" w:hAnsi="Arial" w:eastAsia="Arial" w:cs="Arial"/>
      <w:sz w:val="40"/>
      <w:szCs w:val="40"/>
    </w:rPr>
  </w:style>
  <w:style w:type="character" w:styleId="781" w:customStyle="1">
    <w:name w:val="Heading 3 Char"/>
    <w:basedOn w:val="707"/>
    <w:uiPriority w:val="9"/>
    <w:qFormat/>
    <w:rPr>
      <w:rFonts w:ascii="Arial" w:hAnsi="Arial" w:eastAsia="Arial" w:cs="Arial"/>
      <w:sz w:val="30"/>
      <w:szCs w:val="30"/>
    </w:rPr>
  </w:style>
  <w:style w:type="character" w:styleId="782" w:customStyle="1">
    <w:name w:val="Heading 4 Char"/>
    <w:basedOn w:val="707"/>
    <w:uiPriority w:val="9"/>
    <w:qFormat/>
    <w:rPr>
      <w:rFonts w:ascii="Arial" w:hAnsi="Arial" w:eastAsia="Arial" w:cs="Arial"/>
      <w:b/>
      <w:bCs/>
      <w:sz w:val="26"/>
      <w:szCs w:val="26"/>
    </w:rPr>
  </w:style>
  <w:style w:type="character" w:styleId="783" w:customStyle="1">
    <w:name w:val="Heading 5 Char"/>
    <w:basedOn w:val="707"/>
    <w:uiPriority w:val="9"/>
    <w:qFormat/>
    <w:rPr>
      <w:rFonts w:ascii="Arial" w:hAnsi="Arial" w:eastAsia="Arial" w:cs="Arial"/>
      <w:b/>
      <w:bCs/>
      <w:sz w:val="24"/>
      <w:szCs w:val="24"/>
    </w:rPr>
  </w:style>
  <w:style w:type="character" w:styleId="784" w:customStyle="1">
    <w:name w:val="Heading 6 Char"/>
    <w:basedOn w:val="707"/>
    <w:uiPriority w:val="9"/>
    <w:qFormat/>
    <w:rPr>
      <w:rFonts w:ascii="Arial" w:hAnsi="Arial" w:eastAsia="Arial" w:cs="Arial"/>
      <w:b/>
      <w:bCs/>
      <w:sz w:val="22"/>
      <w:szCs w:val="22"/>
    </w:rPr>
  </w:style>
  <w:style w:type="character" w:styleId="785" w:customStyle="1">
    <w:name w:val="Heading 7 Char"/>
    <w:basedOn w:val="707"/>
    <w:uiPriority w:val="9"/>
    <w:qFormat/>
    <w:rPr>
      <w:rFonts w:ascii="Arial" w:hAnsi="Arial" w:eastAsia="Arial" w:cs="Arial"/>
      <w:b/>
      <w:bCs/>
      <w:i/>
      <w:iCs/>
      <w:sz w:val="22"/>
      <w:szCs w:val="22"/>
    </w:rPr>
  </w:style>
  <w:style w:type="character" w:styleId="786" w:customStyle="1">
    <w:name w:val="Heading 8 Char"/>
    <w:basedOn w:val="707"/>
    <w:uiPriority w:val="9"/>
    <w:qFormat/>
    <w:rPr>
      <w:rFonts w:ascii="Arial" w:hAnsi="Arial" w:eastAsia="Arial" w:cs="Arial"/>
      <w:i/>
      <w:iCs/>
      <w:sz w:val="22"/>
      <w:szCs w:val="22"/>
    </w:rPr>
  </w:style>
  <w:style w:type="character" w:styleId="787" w:customStyle="1">
    <w:name w:val="Heading 9 Char"/>
    <w:basedOn w:val="707"/>
    <w:uiPriority w:val="9"/>
    <w:qFormat/>
    <w:rPr>
      <w:rFonts w:ascii="Arial" w:hAnsi="Arial" w:eastAsia="Arial" w:cs="Arial"/>
      <w:i/>
      <w:iCs/>
      <w:sz w:val="21"/>
      <w:szCs w:val="21"/>
    </w:rPr>
  </w:style>
  <w:style w:type="character" w:styleId="788" w:customStyle="1">
    <w:name w:val="Title Char"/>
    <w:basedOn w:val="707"/>
    <w:uiPriority w:val="10"/>
    <w:qFormat/>
    <w:rPr>
      <w:sz w:val="48"/>
      <w:szCs w:val="48"/>
    </w:rPr>
  </w:style>
  <w:style w:type="character" w:styleId="789" w:customStyle="1">
    <w:name w:val="Subtitle Char"/>
    <w:basedOn w:val="707"/>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07"/>
    <w:uiPriority w:val="99"/>
    <w:qFormat/>
  </w:style>
  <w:style w:type="character" w:styleId="793" w:customStyle="1">
    <w:name w:val="Caption Char"/>
    <w:uiPriority w:val="99"/>
    <w:qFormat/>
  </w:style>
  <w:style w:type="table" w:styleId="794"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0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正文首行缩进 21"/>
    <w:basedOn w:val="817"/>
    <w:next w:val="754"/>
    <w:uiPriority w:val="0"/>
    <w:qFormat/>
    <w:pPr>
      <w:ind w:firstLine="420"/>
    </w:pPr>
  </w:style>
  <w:style w:type="paragraph" w:styleId="817" w:customStyle="1">
    <w:name w:val="正文文本缩进1"/>
    <w:basedOn w:val="752"/>
    <w:next w:val="768"/>
    <w:uiPriority w:val="0"/>
    <w:qFormat/>
    <w:pPr>
      <w:ind w:left="420"/>
      <w:spacing w:after="120"/>
    </w:pPr>
    <w:rPr>
      <w:rFonts w:ascii="Calibri" w:hAnsi="Calibri"/>
    </w:rPr>
  </w:style>
  <w:style w:type="paragraph" w:styleId="818" w:customStyle="1">
    <w:name w:val="寄信人地址11"/>
    <w:basedOn w:val="759"/>
    <w:uiPriority w:val="0"/>
    <w:qFormat/>
    <w:pPr>
      <w:jc w:val="both"/>
      <w:widowControl w:val="off"/>
    </w:pPr>
    <w:rPr>
      <w:rFonts w:hint="default" w:ascii="Arial" w:hAnsi="Arial" w:eastAsia="宋体" w:cs="Times New Roman"/>
      <w:sz w:val="21"/>
      <w:szCs w:val="24"/>
      <w:lang w:val="en-US" w:eastAsia="zh-CN" w:bidi="ar-SA"/>
    </w:rPr>
  </w:style>
  <w:style w:type="paragraph" w:styleId="819" w:customStyle="1">
    <w:name w:val="正文文本1"/>
    <w:basedOn w:val="751"/>
    <w:next w:val="757"/>
    <w:uiPriority w:val="0"/>
    <w:qFormat/>
    <w:pPr>
      <w:spacing w:after="120"/>
    </w:pPr>
    <w:rPr>
      <w:rFonts w:ascii="Calibri" w:hAnsi="Calibri"/>
    </w:rPr>
  </w:style>
  <w:style w:type="paragraph" w:styleId="820" w:customStyle="1">
    <w:name w:val="正文文本111"/>
    <w:next w:val="757"/>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821" w:customStyle="1">
    <w:name w:val="标题 411"/>
    <w:basedOn w:val="757"/>
    <w:next w:val="752"/>
    <w:uiPriority w:val="0"/>
    <w:qFormat/>
    <w:pPr>
      <w:keepLines/>
      <w:keepNext/>
      <w:spacing w:before="280" w:after="290" w:line="376" w:lineRule="auto"/>
      <w:outlineLvl w:val="3"/>
    </w:pPr>
    <w:rPr>
      <w:rFonts w:ascii="Arial" w:hAnsi="Arial" w:eastAsia="黑体"/>
      <w:b/>
      <w:bCs/>
      <w:sz w:val="28"/>
      <w:szCs w:val="28"/>
    </w:rPr>
  </w:style>
  <w:style w:type="paragraph" w:styleId="822" w:customStyle="1">
    <w:name w:val="目录 111"/>
    <w:basedOn w:val="754"/>
    <w:next w:val="697"/>
    <w:uiPriority w:val="0"/>
    <w:qFormat/>
  </w:style>
  <w:style w:type="paragraph" w:styleId="823" w:customStyle="1">
    <w:name w:val="正文缩进1"/>
    <w:basedOn w:val="751"/>
    <w:next w:val="754"/>
    <w:uiPriority w:val="0"/>
    <w:qFormat/>
    <w:pPr>
      <w:ind w:firstLine="420"/>
    </w:pPr>
  </w:style>
  <w:style w:type="paragraph" w:styleId="82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25" w:customStyle="1">
    <w:name w:val="标题 3 Char"/>
    <w:basedOn w:val="826"/>
    <w:link w:val="827"/>
    <w:uiPriority w:val="0"/>
    <w:qFormat/>
    <w:rPr>
      <w:rFonts w:ascii="Tahoma" w:hAnsi="Tahoma" w:eastAsia="微软雅黑"/>
      <w:b/>
      <w:bCs/>
      <w:sz w:val="32"/>
      <w:szCs w:val="32"/>
    </w:rPr>
  </w:style>
  <w:style w:type="character" w:styleId="826" w:customStyle="1">
    <w:name w:val="默认段落字体1"/>
    <w:uiPriority w:val="0"/>
    <w:qFormat/>
  </w:style>
  <w:style w:type="paragraph" w:styleId="827" w:customStyle="1">
    <w:name w:val="标题 31"/>
    <w:basedOn w:val="751"/>
    <w:next w:val="751"/>
    <w:link w:val="825"/>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28" w:customStyle="1">
    <w:name w:val="正文文本12"/>
    <w:basedOn w:val="762"/>
    <w:next w:val="772"/>
    <w:uiPriority w:val="0"/>
    <w:qFormat/>
    <w:pPr>
      <w:spacing w:after="120"/>
    </w:pPr>
  </w:style>
  <w:style w:type="paragraph" w:styleId="829" w:customStyle="1">
    <w:name w:val="索引 411"/>
    <w:basedOn w:val="697"/>
    <w:next w:val="697"/>
    <w:uiPriority w:val="0"/>
    <w:qFormat/>
    <w:pPr>
      <w:ind w:left="1260"/>
    </w:pPr>
  </w:style>
  <w:style w:type="paragraph" w:styleId="83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31" w:customStyle="1">
    <w:name w:val="标题 1 字符"/>
    <w:link w:val="698"/>
    <w:uiPriority w:val="9"/>
    <w:qFormat/>
    <w:rPr>
      <w:rFonts w:ascii="Arial" w:hAnsi="Arial" w:eastAsia="Arial" w:cs="Arial"/>
      <w:sz w:val="40"/>
      <w:szCs w:val="40"/>
    </w:rPr>
  </w:style>
  <w:style w:type="character" w:styleId="832" w:customStyle="1">
    <w:name w:val="Heading 2 Char"/>
    <w:uiPriority w:val="9"/>
    <w:qFormat/>
    <w:rPr>
      <w:rFonts w:ascii="Arial" w:hAnsi="Arial" w:eastAsia="Arial" w:cs="Arial"/>
      <w:sz w:val="34"/>
    </w:rPr>
  </w:style>
  <w:style w:type="character" w:styleId="833" w:customStyle="1">
    <w:name w:val="标题 3 字符"/>
    <w:link w:val="700"/>
    <w:uiPriority w:val="9"/>
    <w:qFormat/>
    <w:rPr>
      <w:rFonts w:ascii="Arial" w:hAnsi="Arial" w:eastAsia="Arial" w:cs="Arial"/>
      <w:sz w:val="30"/>
      <w:szCs w:val="30"/>
    </w:rPr>
  </w:style>
  <w:style w:type="character" w:styleId="834" w:customStyle="1">
    <w:name w:val="标题 4 字符"/>
    <w:link w:val="701"/>
    <w:uiPriority w:val="9"/>
    <w:qFormat/>
    <w:rPr>
      <w:rFonts w:ascii="Arial" w:hAnsi="Arial" w:eastAsia="Arial" w:cs="Arial"/>
      <w:b/>
      <w:bCs/>
      <w:sz w:val="26"/>
      <w:szCs w:val="26"/>
    </w:rPr>
  </w:style>
  <w:style w:type="character" w:styleId="835" w:customStyle="1">
    <w:name w:val="标题 5 字符"/>
    <w:link w:val="702"/>
    <w:uiPriority w:val="9"/>
    <w:qFormat/>
    <w:rPr>
      <w:rFonts w:ascii="Arial" w:hAnsi="Arial" w:eastAsia="Arial" w:cs="Arial"/>
      <w:b/>
      <w:bCs/>
      <w:sz w:val="24"/>
      <w:szCs w:val="24"/>
    </w:rPr>
  </w:style>
  <w:style w:type="character" w:styleId="836" w:customStyle="1">
    <w:name w:val="标题 6 字符"/>
    <w:link w:val="703"/>
    <w:uiPriority w:val="9"/>
    <w:qFormat/>
    <w:rPr>
      <w:rFonts w:ascii="Arial" w:hAnsi="Arial" w:eastAsia="Arial" w:cs="Arial"/>
      <w:b/>
      <w:bCs/>
      <w:sz w:val="22"/>
      <w:szCs w:val="22"/>
    </w:rPr>
  </w:style>
  <w:style w:type="character" w:styleId="837" w:customStyle="1">
    <w:name w:val="标题 7 字符"/>
    <w:link w:val="704"/>
    <w:uiPriority w:val="9"/>
    <w:qFormat/>
    <w:rPr>
      <w:rFonts w:ascii="Arial" w:hAnsi="Arial" w:eastAsia="Arial" w:cs="Arial"/>
      <w:b/>
      <w:bCs/>
      <w:i/>
      <w:iCs/>
      <w:sz w:val="22"/>
      <w:szCs w:val="22"/>
    </w:rPr>
  </w:style>
  <w:style w:type="character" w:styleId="838" w:customStyle="1">
    <w:name w:val="标题 8 字符"/>
    <w:link w:val="705"/>
    <w:uiPriority w:val="9"/>
    <w:qFormat/>
    <w:rPr>
      <w:rFonts w:ascii="Arial" w:hAnsi="Arial" w:eastAsia="Arial" w:cs="Arial"/>
      <w:i/>
      <w:iCs/>
      <w:sz w:val="22"/>
      <w:szCs w:val="22"/>
    </w:rPr>
  </w:style>
  <w:style w:type="character" w:styleId="839" w:customStyle="1">
    <w:name w:val="标题 9 字符"/>
    <w:link w:val="706"/>
    <w:uiPriority w:val="9"/>
    <w:qFormat/>
    <w:rPr>
      <w:rFonts w:ascii="Arial" w:hAnsi="Arial" w:eastAsia="Arial" w:cs="Arial"/>
      <w:i/>
      <w:iCs/>
      <w:sz w:val="21"/>
      <w:szCs w:val="21"/>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link w:val="741"/>
    <w:uiPriority w:val="10"/>
    <w:qFormat/>
    <w:rPr>
      <w:sz w:val="48"/>
      <w:szCs w:val="48"/>
    </w:rPr>
  </w:style>
  <w:style w:type="character" w:styleId="842" w:customStyle="1">
    <w:name w:val="副标题 字符"/>
    <w:link w:val="734"/>
    <w:uiPriority w:val="11"/>
    <w:qFormat/>
    <w:rPr>
      <w:sz w:val="24"/>
      <w:szCs w:val="24"/>
    </w:rPr>
  </w:style>
  <w:style w:type="paragraph" w:styleId="843">
    <w:name w:val="Quote"/>
    <w:link w:val="844"/>
    <w:uiPriority w:val="29"/>
    <w:qFormat/>
    <w:pPr>
      <w:ind w:left="720" w:right="720"/>
    </w:pPr>
    <w:rPr>
      <w:rFonts w:hint="default" w:ascii="Times New Roman" w:hAnsi="Times New Roman" w:eastAsia="宋体" w:cs="Times New Roman"/>
      <w:i/>
      <w:lang w:val="en-US" w:eastAsia="zh-CN" w:bidi="ar-SA"/>
    </w:rPr>
  </w:style>
  <w:style w:type="character" w:styleId="844" w:customStyle="1">
    <w:name w:val="引用 字符"/>
    <w:link w:val="843"/>
    <w:uiPriority w:val="29"/>
    <w:qFormat/>
    <w:rPr>
      <w:i/>
    </w:rPr>
  </w:style>
  <w:style w:type="paragraph" w:styleId="845">
    <w:name w:val="Intense Quote"/>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6" w:customStyle="1">
    <w:name w:val="明显引用 字符"/>
    <w:link w:val="845"/>
    <w:uiPriority w:val="30"/>
    <w:qFormat/>
    <w:rPr>
      <w:i/>
    </w:rPr>
  </w:style>
  <w:style w:type="character" w:styleId="847" w:customStyle="1">
    <w:name w:val="页眉 字符"/>
    <w:link w:val="729"/>
    <w:uiPriority w:val="99"/>
    <w:qFormat/>
  </w:style>
  <w:style w:type="character" w:styleId="848" w:customStyle="1">
    <w:name w:val="Footer Char"/>
    <w:uiPriority w:val="99"/>
    <w:qFormat/>
  </w:style>
  <w:style w:type="character" w:styleId="849" w:customStyle="1">
    <w:name w:val="页脚 字符"/>
    <w:link w:val="728"/>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35"/>
    <w:uiPriority w:val="99"/>
    <w:qFormat/>
    <w:rPr>
      <w:sz w:val="18"/>
    </w:rPr>
  </w:style>
  <w:style w:type="character" w:styleId="976" w:customStyle="1">
    <w:name w:val="尾注文本 字符"/>
    <w:link w:val="726"/>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751"/>
    <w:next w:val="751"/>
    <w:link w:val="980"/>
    <w:uiPriority w:val="0"/>
    <w:qFormat/>
    <w:pPr>
      <w:jc w:val="center"/>
      <w:keepLines/>
      <w:keepNext/>
      <w:spacing w:line="578" w:lineRule="auto"/>
      <w:outlineLvl w:val="0"/>
    </w:pPr>
    <w:rPr>
      <w:rFonts w:eastAsia="新宋体"/>
      <w:b/>
      <w:bCs/>
      <w:sz w:val="30"/>
      <w:szCs w:val="44"/>
    </w:rPr>
  </w:style>
  <w:style w:type="table" w:styleId="979" w:customStyle="1">
    <w:name w:val="普通表格1"/>
    <w:uiPriority w:val="0"/>
    <w:qFormat/>
    <w:tblPr>
      <w:tblLayout w:type="fixed"/>
      <w:tblCellMar>
        <w:left w:w="0" w:type="dxa"/>
        <w:top w:w="0" w:type="dxa"/>
        <w:right w:w="0" w:type="dxa"/>
        <w:bottom w:w="0" w:type="dxa"/>
      </w:tblCellMar>
    </w:tblPr>
  </w:style>
  <w:style w:type="character" w:styleId="980" w:customStyle="1">
    <w:name w:val="标题 1 Char"/>
    <w:link w:val="978"/>
    <w:uiPriority w:val="0"/>
    <w:qFormat/>
    <w:rPr>
      <w:rFonts w:eastAsia="新宋体"/>
      <w:b/>
      <w:bCs/>
      <w:sz w:val="30"/>
      <w:szCs w:val="44"/>
    </w:rPr>
  </w:style>
  <w:style w:type="character" w:styleId="981" w:customStyle="1">
    <w:name w:val="标题 4 Char"/>
    <w:basedOn w:val="826"/>
    <w:link w:val="772"/>
    <w:uiPriority w:val="0"/>
    <w:semiHidden/>
    <w:qFormat/>
    <w:rPr>
      <w:rFonts w:ascii="Calibri Light" w:hAnsi="Calibri Light" w:eastAsia="宋体"/>
      <w:b/>
      <w:bCs/>
      <w:sz w:val="28"/>
      <w:szCs w:val="28"/>
    </w:rPr>
  </w:style>
  <w:style w:type="paragraph" w:styleId="982" w:customStyle="1">
    <w:name w:val="批注文字1"/>
    <w:basedOn w:val="751"/>
    <w:uiPriority w:val="0"/>
    <w:qFormat/>
    <w:pPr>
      <w:jc w:val="left"/>
    </w:pPr>
  </w:style>
  <w:style w:type="paragraph" w:styleId="983" w:customStyle="1">
    <w:name w:val="纯文本1"/>
    <w:basedOn w:val="751"/>
    <w:uiPriority w:val="0"/>
    <w:qFormat/>
    <w:rPr>
      <w:rFonts w:ascii="宋体" w:hAnsi="Courier New"/>
      <w:sz w:val="20"/>
      <w:szCs w:val="20"/>
    </w:rPr>
  </w:style>
  <w:style w:type="paragraph" w:styleId="984" w:customStyle="1">
    <w:name w:val="日期1"/>
    <w:basedOn w:val="751"/>
    <w:next w:val="751"/>
    <w:uiPriority w:val="0"/>
    <w:qFormat/>
    <w:rPr>
      <w:rFonts w:eastAsia="仿宋_GB2312"/>
      <w:sz w:val="28"/>
      <w:szCs w:val="20"/>
    </w:rPr>
  </w:style>
  <w:style w:type="paragraph" w:styleId="985" w:customStyle="1">
    <w:name w:val="批注框文本1"/>
    <w:basedOn w:val="751"/>
    <w:link w:val="986"/>
    <w:uiPriority w:val="0"/>
    <w:qFormat/>
    <w:rPr>
      <w:sz w:val="18"/>
      <w:szCs w:val="18"/>
    </w:rPr>
  </w:style>
  <w:style w:type="character" w:styleId="986" w:customStyle="1">
    <w:name w:val="批注框文本 Char"/>
    <w:basedOn w:val="826"/>
    <w:link w:val="985"/>
    <w:uiPriority w:val="0"/>
    <w:qFormat/>
    <w:rPr>
      <w:rFonts w:ascii="Times New Roman" w:hAnsi="Times New Roman" w:eastAsia="宋体"/>
      <w:sz w:val="18"/>
      <w:szCs w:val="18"/>
    </w:rPr>
  </w:style>
  <w:style w:type="paragraph" w:styleId="987" w:customStyle="1">
    <w:name w:val="页脚1"/>
    <w:basedOn w:val="754"/>
    <w:link w:val="988"/>
    <w:uiPriority w:val="0"/>
    <w:qFormat/>
    <w:pPr>
      <w:jc w:val="left"/>
      <w:tabs>
        <w:tab w:val="center" w:pos="4153" w:leader="none"/>
        <w:tab w:val="right" w:pos="8306" w:leader="none"/>
      </w:tabs>
    </w:pPr>
    <w:rPr>
      <w:sz w:val="18"/>
      <w:szCs w:val="18"/>
    </w:rPr>
  </w:style>
  <w:style w:type="character" w:styleId="988" w:customStyle="1">
    <w:name w:val="页脚 Char"/>
    <w:basedOn w:val="826"/>
    <w:link w:val="987"/>
    <w:uiPriority w:val="0"/>
    <w:qFormat/>
    <w:rPr>
      <w:rFonts w:ascii="Times New Roman" w:hAnsi="Times New Roman" w:eastAsia="宋体"/>
      <w:sz w:val="18"/>
      <w:szCs w:val="18"/>
    </w:rPr>
  </w:style>
  <w:style w:type="paragraph" w:styleId="989"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脚注文本 Char"/>
    <w:basedOn w:val="826"/>
    <w:link w:val="760"/>
    <w:uiPriority w:val="0"/>
    <w:qFormat/>
    <w:rPr>
      <w:rFonts w:ascii="宋体" w:hAnsi="Times New Roman" w:eastAsia="Times New Roman"/>
      <w:sz w:val="18"/>
      <w:szCs w:val="18"/>
    </w:rPr>
  </w:style>
  <w:style w:type="paragraph" w:styleId="991" w:customStyle="1">
    <w:name w:val="目录 21"/>
    <w:basedOn w:val="751"/>
    <w:next w:val="751"/>
    <w:uiPriority w:val="0"/>
    <w:qFormat/>
    <w:pPr>
      <w:ind w:left="420"/>
    </w:pPr>
  </w:style>
  <w:style w:type="paragraph" w:styleId="992" w:customStyle="1">
    <w:name w:val="普通(网站)1"/>
    <w:basedOn w:val="751"/>
    <w:uiPriority w:val="0"/>
    <w:qFormat/>
    <w:pPr>
      <w:jc w:val="left"/>
      <w:spacing w:before="100" w:beforeAutospacing="1" w:after="100" w:afterAutospacing="1"/>
      <w:widowControl/>
    </w:pPr>
    <w:rPr>
      <w:rFonts w:ascii="宋体" w:hAnsi="宋体"/>
      <w:sz w:val="24"/>
    </w:rPr>
  </w:style>
  <w:style w:type="table" w:styleId="993" w:customStyle="1">
    <w:name w:val="网格型1"/>
    <w:basedOn w:val="979"/>
    <w:uiPriority w:val="0"/>
    <w:qFormat/>
    <w:tblPr/>
  </w:style>
  <w:style w:type="character" w:styleId="994" w:customStyle="1">
    <w:name w:val="页码1"/>
    <w:basedOn w:val="826"/>
    <w:uiPriority w:val="0"/>
    <w:qFormat/>
  </w:style>
  <w:style w:type="character" w:styleId="995" w:customStyle="1">
    <w:name w:val="超链接11"/>
    <w:link w:val="751"/>
    <w:uiPriority w:val="0"/>
    <w:qFormat/>
    <w:rPr>
      <w:color w:val="0000ff"/>
      <w:u w:val="single"/>
    </w:rPr>
  </w:style>
  <w:style w:type="paragraph" w:styleId="996" w:customStyle="1">
    <w:name w:val="p0"/>
    <w:basedOn w:val="751"/>
    <w:uiPriority w:val="0"/>
    <w:qFormat/>
    <w:pPr>
      <w:widowControl/>
    </w:pPr>
    <w:rPr>
      <w:szCs w:val="21"/>
    </w:rPr>
  </w:style>
  <w:style w:type="paragraph" w:styleId="997">
    <w:name w:val="List Paragraph"/>
    <w:basedOn w:val="697"/>
    <w:uiPriority w:val="0"/>
    <w:qFormat/>
    <w:pPr>
      <w:ind w:firstLine="420"/>
    </w:pPr>
  </w:style>
  <w:style w:type="character" w:styleId="998" w:customStyle="1">
    <w:name w:val="NormalCharacter"/>
    <w:uiPriority w:val="0"/>
    <w:semiHidden/>
    <w:qFormat/>
    <w:rPr>
      <w:sz w:val="28"/>
      <w:lang w:val="en-US" w:eastAsia="zh-CN" w:bidi="ar-SA"/>
    </w:rPr>
  </w:style>
  <w:style w:type="paragraph" w:styleId="999" w:customStyle="1">
    <w:name w:val="179"/>
    <w:basedOn w:val="751"/>
    <w:uiPriority w:val="0"/>
    <w:qFormat/>
    <w:pPr>
      <w:ind w:firstLine="420"/>
      <w:jc w:val="left"/>
      <w:widowControl/>
    </w:pPr>
    <w:rPr>
      <w:rFonts w:ascii="宋体" w:hAnsi="宋体"/>
      <w:sz w:val="24"/>
    </w:rPr>
  </w:style>
  <w:style w:type="paragraph" w:styleId="100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1" w:customStyle="1">
    <w:name w:val="样式 样式 样式 样式 小四 左 首行缩进:  2 字符 + 首行缩进:  2 字符 Char + 右  0 字符1 + 首行缩...3"/>
    <w:basedOn w:val="751"/>
    <w:uiPriority w:val="0"/>
    <w:qFormat/>
    <w:pPr>
      <w:ind w:firstLine="480"/>
      <w:jc w:val="left"/>
      <w:spacing w:line="360" w:lineRule="auto"/>
    </w:pPr>
    <w:rPr>
      <w:sz w:val="24"/>
    </w:rPr>
  </w:style>
  <w:style w:type="paragraph" w:styleId="1002" w:customStyle="1">
    <w:name w:val="标准"/>
    <w:basedOn w:val="751"/>
    <w:uiPriority w:val="0"/>
    <w:qFormat/>
    <w:pPr>
      <w:ind w:firstLine="200"/>
      <w:spacing w:line="360" w:lineRule="auto"/>
    </w:pPr>
    <w:rPr>
      <w:szCs w:val="21"/>
    </w:rPr>
  </w:style>
  <w:style w:type="character" w:styleId="1003" w:customStyle="1">
    <w:name w:val="超链接1"/>
    <w:uiPriority w:val="0"/>
    <w:qFormat/>
    <w:rPr>
      <w:rFonts w:ascii="Times New Roman" w:hAnsi="Times New Roman" w:eastAsia="宋体" w:cs="Times New Roman"/>
      <w:lang w:val="en-US" w:eastAsia="zh-CN" w:bidi="ar-SA"/>
    </w:rPr>
  </w:style>
  <w:style w:type="paragraph" w:styleId="1004" w:customStyle="1">
    <w:name w:val="Table Paragraph"/>
    <w:basedOn w:val="751"/>
    <w:uiPriority w:val="0"/>
    <w:qFormat/>
    <w:pPr>
      <w:jc w:val="left"/>
    </w:pPr>
    <w:rPr>
      <w:rFonts w:ascii="Arial Unicode MS" w:hAnsi="Arial Unicode MS" w:eastAsia="Arial Unicode MS"/>
      <w:sz w:val="22"/>
      <w:szCs w:val="22"/>
      <w:lang w:val="zh-CN" w:bidi="zh-CN"/>
    </w:rPr>
  </w:style>
  <w:style w:type="paragraph" w:styleId="1005" w:customStyle="1">
    <w:name w:val="首行缩进"/>
    <w:basedOn w:val="697"/>
    <w:next w:val="697"/>
    <w:uiPriority w:val="0"/>
    <w:qFormat/>
    <w:pPr>
      <w:ind w:firstLine="420"/>
      <w:spacing w:line="360" w:lineRule="auto"/>
    </w:pPr>
  </w:style>
  <w:style w:type="paragraph" w:styleId="1006" w:customStyle="1">
    <w:name w:val="_HT_正文"/>
    <w:basedOn w:val="697"/>
    <w:uiPriority w:val="0"/>
    <w:qFormat/>
    <w:pPr>
      <w:ind w:firstLine="200"/>
      <w:jc w:val="both"/>
      <w:spacing w:line="360" w:lineRule="auto"/>
    </w:pPr>
    <w:rPr>
      <w:sz w:val="24"/>
    </w:rPr>
  </w:style>
  <w:style w:type="paragraph" w:styleId="1007" w:customStyle="1">
    <w:name w:val="副标题1"/>
    <w:basedOn w:val="752"/>
    <w:next w:val="752"/>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08" w:customStyle="1">
    <w:name w:val="标题 22"/>
    <w:basedOn w:val="697"/>
    <w:next w:val="697"/>
    <w:uiPriority w:val="0"/>
    <w:qFormat/>
    <w:pPr>
      <w:keepLines/>
      <w:keepNext/>
    </w:pPr>
    <w:rPr>
      <w:rFonts w:ascii="Arial" w:hAnsi="Arial"/>
      <w:sz w:val="28"/>
    </w:rPr>
  </w:style>
  <w:style w:type="paragraph" w:styleId="1009" w:customStyle="1">
    <w:name w:val="列出段落1"/>
    <w:basedOn w:val="762"/>
    <w:uiPriority w:val="0"/>
    <w:qFormat/>
    <w:pPr>
      <w:ind w:firstLine="420"/>
    </w:pPr>
    <w:rPr>
      <w:rFonts w:ascii="Calibri" w:hAnsi="Calibri"/>
      <w:sz w:val="22"/>
      <w:szCs w:val="22"/>
    </w:rPr>
  </w:style>
  <w:style w:type="paragraph" w:styleId="1010" w:customStyle="1">
    <w:name w:val="正文121"/>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表格文字"/>
    <w:basedOn w:val="762"/>
    <w:next w:val="828"/>
    <w:uiPriority w:val="0"/>
    <w:qFormat/>
    <w:pPr>
      <w:jc w:val="left"/>
    </w:pPr>
    <w:rPr>
      <w:bCs/>
      <w:spacing w:val="10"/>
      <w:sz w:val="20"/>
      <w:szCs w:val="20"/>
    </w:rPr>
  </w:style>
  <w:style w:type="paragraph" w:styleId="1012" w:customStyle="1">
    <w:name w:val="正文113"/>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BodyText1I2"/>
    <w:basedOn w:val="1014"/>
    <w:uiPriority w:val="0"/>
    <w:qFormat/>
    <w:pPr>
      <w:ind w:firstLine="420"/>
      <w:spacing w:line="240" w:lineRule="auto"/>
    </w:pPr>
    <w:rPr>
      <w:sz w:val="21"/>
    </w:rPr>
  </w:style>
  <w:style w:type="paragraph" w:styleId="1014" w:customStyle="1">
    <w:name w:val="BodyTextIndent"/>
    <w:basedOn w:val="1012"/>
    <w:next w:val="1015"/>
    <w:uiPriority w:val="0"/>
    <w:qFormat/>
    <w:pPr>
      <w:ind w:left="420" w:firstLine="200"/>
      <w:spacing w:after="120" w:line="360" w:lineRule="auto"/>
    </w:pPr>
    <w:rPr>
      <w:rFonts w:ascii="Verdana" w:hAnsi="Verdana"/>
      <w:sz w:val="24"/>
      <w:szCs w:val="28"/>
    </w:rPr>
  </w:style>
  <w:style w:type="paragraph" w:styleId="1015" w:customStyle="1">
    <w:name w:val="EnvelopeReturn"/>
    <w:basedOn w:val="697"/>
    <w:uiPriority w:val="0"/>
    <w:qFormat/>
    <w:rPr>
      <w:rFonts w:ascii="Arial" w:hAnsi="Arial"/>
    </w:rPr>
  </w:style>
  <w:style w:type="table" w:styleId="1016" w:customStyle="1">
    <w:name w:val="Table Normal"/>
    <w:uiPriority w:val="0"/>
    <w:semiHidden/>
    <w:unhideWhenUsed/>
    <w:qFormat/>
    <w:tblPr>
      <w:tblLayout w:type="fixed"/>
      <w:tblCellMar>
        <w:left w:w="0" w:type="dxa"/>
        <w:top w:w="0" w:type="dxa"/>
        <w:right w:w="0" w:type="dxa"/>
        <w:bottom w:w="0" w:type="dxa"/>
      </w:tblCellMar>
    </w:tblPr>
  </w:style>
  <w:style w:type="paragraph" w:styleId="1017" w:customStyle="1">
    <w:name w:val="Table Text"/>
    <w:basedOn w:val="697"/>
    <w:uiPriority w:val="0"/>
    <w:semiHidden/>
    <w:qFormat/>
    <w:rPr>
      <w:rFonts w:ascii="Arial" w:hAnsi="Arial" w:eastAsia="Arial" w:cs="Arial"/>
      <w:sz w:val="21"/>
      <w:szCs w:val="21"/>
      <w:lang w:eastAsia="en-US"/>
    </w:rPr>
  </w:style>
  <w:style w:type="character" w:styleId="1018" w:customStyle="1">
    <w:name w:val="font11"/>
    <w:basedOn w:val="707"/>
    <w:uiPriority w:val="0"/>
    <w:qFormat/>
    <w:rPr>
      <w:rFonts w:hint="eastAsia" w:ascii="宋体" w:hAnsi="宋体" w:eastAsia="宋体" w:cs="宋体"/>
      <w:color w:val="000000"/>
      <w:sz w:val="22"/>
      <w:szCs w:val="22"/>
      <w:u w:val="none"/>
    </w:rPr>
  </w:style>
  <w:style w:type="paragraph" w:styleId="1019" w:customStyle="1">
    <w:name w:val="样式"/>
    <w:uiPriority w:val="0"/>
    <w:qFormat/>
    <w:pPr>
      <w:widowControl w:val="off"/>
    </w:pPr>
    <w:rPr>
      <w:rFonts w:hint="default" w:ascii="宋体" w:hAnsi="宋体" w:eastAsia="宋体" w:cs="宋体"/>
      <w:sz w:val="24"/>
      <w:szCs w:val="24"/>
      <w:lang w:val="en-US" w:eastAsia="zh-CN" w:bidi="he-IL"/>
    </w:rPr>
  </w:style>
  <w:style w:type="paragraph" w:styleId="1020" w:customStyle="1">
    <w:name w:val="页眉11"/>
    <w:basedOn w:val="759"/>
    <w:uiPriority w:val="0"/>
    <w:qFormat/>
    <w:pPr>
      <w:jc w:val="center"/>
      <w:tabs>
        <w:tab w:val="center" w:pos="4153" w:leader="none"/>
        <w:tab w:val="right" w:pos="8306" w:leader="none"/>
      </w:tabs>
      <w:pBdr>
        <w:bottom w:val="single" w:color="000000" w:sz="6" w:space="1"/>
      </w:pBdr>
    </w:pPr>
    <w:rPr>
      <w:sz w:val="18"/>
      <w:szCs w:val="18"/>
    </w:rPr>
  </w:style>
  <w:style w:type="paragraph" w:styleId="1021" w:customStyle="1">
    <w:name w:val="页脚11"/>
    <w:basedOn w:val="759"/>
    <w:uiPriority w:val="0"/>
    <w:qFormat/>
    <w:pPr>
      <w:jc w:val="left"/>
      <w:tabs>
        <w:tab w:val="center" w:pos="4153" w:leader="none"/>
        <w:tab w:val="right" w:pos="8306" w:leader="none"/>
      </w:tabs>
    </w:pPr>
    <w:rPr>
      <w:sz w:val="18"/>
      <w:szCs w:val="18"/>
    </w:rPr>
  </w:style>
  <w:style w:type="character" w:styleId="1022" w:customStyle="1">
    <w:name w:val="15"/>
    <w:basedOn w:val="707"/>
    <w:uiPriority w:val="0"/>
    <w:qFormat/>
    <w:rPr>
      <w:rFonts w:hint="default" w:ascii="Times New Roman" w:hAnsi="Times New Roman" w:cs="Times New Roman"/>
    </w:rPr>
  </w:style>
  <w:style w:type="character" w:styleId="1023" w:customStyle="1">
    <w:name w:val="16"/>
    <w:basedOn w:val="707"/>
    <w:uiPriority w:val="0"/>
    <w:qFormat/>
    <w:rPr>
      <w:rFonts w:hint="default" w:ascii="Times New Roman" w:hAnsi="Times New Roman" w:cs="Times New Roman"/>
    </w:rPr>
  </w:style>
  <w:style w:type="character" w:styleId="1024" w:customStyle="1">
    <w:name w:val="批注框文本 字符"/>
    <w:basedOn w:val="707"/>
    <w:link w:val="727"/>
    <w:uiPriority w:val="99"/>
    <w:semiHidden/>
    <w:qFormat/>
    <w:rPr>
      <w:sz w:val="18"/>
      <w:szCs w:val="18"/>
    </w:rPr>
  </w:style>
  <w:style w:type="character" w:styleId="1025" w:customStyle="1">
    <w:name w:val="批注文字 字符"/>
    <w:basedOn w:val="707"/>
    <w:link w:val="710"/>
    <w:uiPriority w:val="99"/>
    <w:semiHidden/>
    <w:qFormat/>
  </w:style>
  <w:style w:type="character" w:styleId="1026" w:customStyle="1">
    <w:name w:val="批注主题 字符"/>
    <w:basedOn w:val="1025"/>
    <w:link w:val="709"/>
    <w:uiPriority w:val="99"/>
    <w:semiHidden/>
    <w:qFormat/>
    <w:rPr>
      <w:b/>
      <w:bCs/>
    </w:rPr>
  </w:style>
  <w:style w:type="paragraph" w:styleId="1027" w:customStyle="1">
    <w:name w:val="T表格中正文"/>
    <w:basedOn w:val="697"/>
    <w:uiPriority w:val="0"/>
    <w:qFormat/>
    <w:pPr>
      <w:jc w:val="center"/>
      <w:spacing w:line="460" w:lineRule="exact"/>
    </w:pPr>
    <w:rPr>
      <w:rFonts w:eastAsia="仿宋"/>
      <w:sz w:val="24"/>
    </w:rPr>
  </w:style>
  <w:style w:type="paragraph" w:styleId="1028" w:customStyle="1">
    <w:name w:val="Body text|2"/>
    <w:basedOn w:val="697"/>
    <w:uiPriority w:val="0"/>
    <w:qFormat/>
    <w:pPr>
      <w:ind w:left="1080"/>
      <w:spacing w:before="1120" w:after="2760"/>
    </w:pPr>
    <w:rPr>
      <w:rFonts w:ascii="宋体" w:hAnsi="宋体" w:cs="宋体"/>
      <w:sz w:val="32"/>
      <w:szCs w:val="32"/>
      <w:lang w:val="zh-TW" w:eastAsia="zh-TW" w:bidi="zh-TW"/>
    </w:rPr>
  </w:style>
  <w:style w:type="character" w:styleId="1029" w:customStyle="1">
    <w:name w:val="fontstyle01"/>
    <w:basedOn w:val="707"/>
    <w:uiPriority w:val="0"/>
    <w:qFormat/>
    <w:rPr>
      <w:rFonts w:ascii="宋体" w:hAnsi="宋体" w:eastAsia="宋体" w:cs="宋体"/>
      <w:color w:val="000000"/>
      <w:sz w:val="22"/>
      <w:szCs w:val="22"/>
    </w:rPr>
  </w:style>
  <w:style w:type="character" w:styleId="1030" w:customStyle="1">
    <w:name w:val="font31"/>
    <w:basedOn w:val="707"/>
    <w:uiPriority w:val="0"/>
    <w:qFormat/>
    <w:rPr>
      <w:rFonts w:hint="eastAsia" w:ascii="宋体" w:hAnsi="宋体" w:eastAsia="宋体" w:cs="宋体"/>
      <w:color w:val="000000"/>
      <w:sz w:val="20"/>
      <w:szCs w:val="20"/>
      <w:u w:val="none"/>
    </w:rPr>
  </w:style>
  <w:style w:type="paragraph" w:styleId="1031" w:customStyle="1">
    <w:name w:val="目录 1112"/>
    <w:basedOn w:val="697"/>
    <w:next w:val="697"/>
    <w:uiPriority w:val="39"/>
    <w:qFormat/>
  </w:style>
  <w:style w:type="paragraph" w:styleId="1032"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33" w:customStyle="1">
    <w:name w:val="*正文"/>
    <w:basedOn w:val="697"/>
    <w:uiPriority w:val="0"/>
    <w:unhideWhenUsed/>
    <w:qFormat/>
    <w:pPr>
      <w:ind w:firstLine="200"/>
      <w:spacing w:line="360" w:lineRule="auto"/>
    </w:pPr>
    <w:rPr>
      <w:rFonts w:hint="default" w:ascii="宋体" w:hAnsi="Calibri"/>
      <w:sz w:val="24"/>
    </w:rPr>
  </w:style>
  <w:style w:type="character" w:styleId="1034" w:customStyle="1">
    <w:name w:val="font41"/>
    <w:basedOn w:val="707"/>
    <w:uiPriority w:val="0"/>
    <w:unhideWhenUsed/>
    <w:qFormat/>
    <w:rPr>
      <w:rFonts w:hint="default" w:ascii="Calibri" w:hAnsi="Calibri" w:eastAsia="宋体"/>
      <w:color w:val="000000"/>
      <w:sz w:val="28"/>
    </w:rPr>
  </w:style>
  <w:style w:type="paragraph" w:styleId="1035" w:customStyle="1">
    <w:name w:val="正文缩进11"/>
    <w:basedOn w:val="757"/>
    <w:uiPriority w:val="99"/>
    <w:unhideWhenUsed/>
    <w:qFormat/>
    <w:pPr>
      <w:ind w:firstLine="420"/>
    </w:pPr>
    <w:rPr>
      <w:rFonts w:hint="default" w:eastAsia="Times New Roman"/>
      <w:sz w:val="24"/>
    </w:rPr>
  </w:style>
  <w:style w:type="paragraph" w:styleId="1036" w:customStyle="1">
    <w:name w:val="彩色列表 - 着色 11"/>
    <w:uiPriority w:val="0"/>
    <w:qFormat/>
    <w:pPr>
      <w:ind w:firstLine="420"/>
      <w:jc w:val="both"/>
      <w:widowControl w:val="off"/>
    </w:pPr>
    <w:rPr>
      <w:rFonts w:hint="default" w:ascii="Times New Roman" w:hAnsi="Times New Roman" w:eastAsia="宋体" w:cs="Times New Roman"/>
      <w:sz w:val="20"/>
      <w:szCs w:val="24"/>
      <w:lang w:val="en-US" w:eastAsia="zh-CN" w:bidi="ar-SA"/>
    </w:rPr>
  </w:style>
  <w:style w:type="character" w:styleId="1037" w:customStyle="1">
    <w:name w:val="font21"/>
    <w:uiPriority w:val="0"/>
    <w:qFormat/>
    <w:rPr>
      <w:rFonts w:hint="default" w:ascii="Times New Roman" w:hAnsi="Times New Roman" w:cs="Times New Roman"/>
      <w:color w:val="000000"/>
      <w:sz w:val="24"/>
      <w:szCs w:val="24"/>
      <w:u w:val="none"/>
    </w:rPr>
  </w:style>
  <w:style w:type="character" w:styleId="1038" w:customStyle="1">
    <w:name w:val="font01"/>
    <w:uiPriority w:val="0"/>
    <w:qFormat/>
    <w:rPr>
      <w:rFonts w:hint="default" w:ascii="仿宋_GB2312" w:eastAsia="仿宋_GB2312" w:cs="仿宋_GB2312"/>
      <w:color w:val="000000"/>
      <w:sz w:val="24"/>
      <w:szCs w:val="24"/>
      <w:u w:val="none"/>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尉勇立</cp:lastModifiedBy>
  <cp:revision>7</cp:revision>
  <dcterms:created xsi:type="dcterms:W3CDTF">2024-02-20T07:23:00Z</dcterms:created>
  <dcterms:modified xsi:type="dcterms:W3CDTF">2026-06-11T00:48:16Z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eyJoZGlkIjoiYmY0NjkzMjhmMmFmNzk0MTdmZTNlMmZhNWU3NjkzZmYiLCJ1c2VySWQiOiIxNTIxNjMxODE3In0=</vt:lpwstr>
  </property>
</Properties>
</file>