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bCs/>
          <w:color w:val="000000" w:themeColor="text1"/>
          <w:sz w:val="28"/>
          <w:szCs w:val="28"/>
          <w:highlight w:val="non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如有建议或意见，请以书面形式并加盖公章、注明联系人、联系方式，于202</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6</w:t>
      </w:r>
      <w:r>
        <w:rPr>
          <w:rFonts w:hint="eastAsia" w:ascii="宋体" w:hAnsi="宋体" w:eastAsia="宋体" w:cs="宋体"/>
          <w:bCs/>
          <w:color w:val="000000" w:themeColor="text1"/>
          <w:sz w:val="28"/>
          <w:szCs w:val="28"/>
          <w:highlight w:val="none"/>
          <w14:textFill>
            <w14:solidFill>
              <w14:schemeClr w14:val="tx1"/>
            </w14:solidFill>
          </w14:textFill>
        </w:rPr>
        <w:t>年</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7</w:t>
      </w:r>
      <w:r>
        <w:rPr>
          <w:rFonts w:hint="eastAsia" w:ascii="宋体" w:hAnsi="宋体" w:eastAsia="宋体" w:cs="宋体"/>
          <w:bCs/>
          <w:color w:val="000000" w:themeColor="text1"/>
          <w:sz w:val="28"/>
          <w:szCs w:val="28"/>
          <w:highlight w:val="none"/>
          <w14:textFill>
            <w14:solidFill>
              <w14:schemeClr w14:val="tx1"/>
            </w14:solidFill>
          </w14:textFill>
        </w:rPr>
        <w:t>月</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29</w:t>
      </w:r>
      <w:r>
        <w:rPr>
          <w:rFonts w:hint="eastAsia" w:ascii="宋体" w:hAnsi="宋体" w:eastAsia="宋体" w:cs="宋体"/>
          <w:bCs/>
          <w:color w:val="000000" w:themeColor="text1"/>
          <w:sz w:val="28"/>
          <w:szCs w:val="28"/>
          <w:highlight w:val="none"/>
          <w14:textFill>
            <w14:solidFill>
              <w14:schemeClr w14:val="tx1"/>
            </w14:solidFill>
          </w14:textFill>
        </w:rPr>
        <w:t>日17:00之前送至我单位，逾期不受</w:t>
      </w:r>
      <w:bookmarkStart w:id="0" w:name="_GoBack"/>
      <w:bookmarkEnd w:id="0"/>
      <w:r>
        <w:rPr>
          <w:rFonts w:hint="eastAsia" w:ascii="宋体" w:hAnsi="宋体" w:eastAsia="宋体" w:cs="宋体"/>
          <w:bCs/>
          <w:color w:val="000000" w:themeColor="text1"/>
          <w:sz w:val="28"/>
          <w:szCs w:val="28"/>
          <w:highlight w:val="none"/>
          <w14:textFill>
            <w14:solidFill>
              <w14:schemeClr w14:val="tx1"/>
            </w14:solidFill>
          </w14:textFill>
        </w:rPr>
        <w:t>理（如邮寄，202</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6</w:t>
      </w:r>
      <w:r>
        <w:rPr>
          <w:rFonts w:hint="eastAsia" w:ascii="宋体" w:hAnsi="宋体" w:eastAsia="宋体" w:cs="宋体"/>
          <w:bCs/>
          <w:color w:val="000000" w:themeColor="text1"/>
          <w:sz w:val="28"/>
          <w:szCs w:val="28"/>
          <w:highlight w:val="none"/>
          <w14:textFill>
            <w14:solidFill>
              <w14:schemeClr w14:val="tx1"/>
            </w14:solidFill>
          </w14:textFill>
        </w:rPr>
        <w:t>年</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7</w:t>
      </w:r>
      <w:r>
        <w:rPr>
          <w:rFonts w:hint="eastAsia" w:ascii="宋体" w:hAnsi="宋体" w:eastAsia="宋体" w:cs="宋体"/>
          <w:bCs/>
          <w:color w:val="000000" w:themeColor="text1"/>
          <w:sz w:val="28"/>
          <w:szCs w:val="28"/>
          <w:highlight w:val="none"/>
          <w14:textFill>
            <w14:solidFill>
              <w14:schemeClr w14:val="tx1"/>
            </w14:solidFill>
          </w14:textFill>
        </w:rPr>
        <w:t>月</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29</w:t>
      </w:r>
      <w:r>
        <w:rPr>
          <w:rFonts w:hint="eastAsia" w:ascii="宋体" w:hAnsi="宋体" w:eastAsia="宋体" w:cs="宋体"/>
          <w:bCs/>
          <w:color w:val="000000" w:themeColor="text1"/>
          <w:sz w:val="28"/>
          <w:szCs w:val="28"/>
          <w:highlight w:val="none"/>
          <w14:textFill>
            <w14:solidFill>
              <w14:schemeClr w14:val="tx1"/>
            </w14:solidFill>
          </w14:textFill>
        </w:rPr>
        <w:t>日17:00之后到达本公司的邮件将不再受理）。</w:t>
      </w:r>
    </w:p>
    <w:p>
      <w:pPr>
        <w:jc w:val="center"/>
        <w:rPr>
          <w:rFonts w:hint="eastAsia" w:ascii="宋体" w:hAnsi="宋体" w:cs="宋体"/>
          <w:color w:val="auto"/>
          <w:highlight w:val="none"/>
        </w:rPr>
      </w:pPr>
      <w:r>
        <w:rPr>
          <w:rFonts w:hint="eastAsia" w:ascii="宋体" w:hAnsi="宋体" w:cs="宋体"/>
          <w:b/>
          <w:bCs/>
          <w:color w:val="auto"/>
          <w:sz w:val="30"/>
          <w:szCs w:val="44"/>
          <w:highlight w:val="none"/>
        </w:rPr>
        <w:t>采购需求</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000000" w:themeColor="text1"/>
          <w:sz w:val="28"/>
          <w:szCs w:val="28"/>
          <w:highlight w:val="none"/>
          <w:lang w:val="en-US" w:eastAsia="zh-CN" w:bidi="ar"/>
          <w14:textFill>
            <w14:solidFill>
              <w14:schemeClr w14:val="tx1"/>
            </w14:solidFill>
          </w14:textFill>
        </w:rPr>
      </w:pPr>
      <w:r>
        <w:rPr>
          <w:rFonts w:hint="eastAsia" w:ascii="宋体" w:hAnsi="宋体" w:eastAsia="宋体" w:cs="宋体"/>
          <w:b/>
          <w:bCs/>
          <w:color w:val="auto"/>
          <w:sz w:val="28"/>
          <w:szCs w:val="28"/>
          <w:highlight w:val="none"/>
          <w:lang w:bidi="ar"/>
        </w:rPr>
        <w:t>一、</w:t>
      </w:r>
      <w:r>
        <w:rPr>
          <w:rFonts w:hint="eastAsia" w:ascii="宋体" w:hAnsi="宋体" w:eastAsia="宋体" w:cs="宋体"/>
          <w:b/>
          <w:bCs/>
          <w:color w:val="auto"/>
          <w:sz w:val="28"/>
          <w:szCs w:val="28"/>
          <w:highlight w:val="none"/>
          <w:lang w:val="en-US" w:eastAsia="zh-CN" w:bidi="ar"/>
        </w:rPr>
        <w:t>说明</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b w:val="0"/>
          <w:bCs w:val="0"/>
          <w:strike w:val="0"/>
          <w:dstrike w:val="0"/>
          <w:color w:val="000000" w:themeColor="text1"/>
          <w:sz w:val="28"/>
          <w:szCs w:val="28"/>
          <w:highlight w:val="yellow"/>
          <w:lang w:val="en-US" w:eastAsia="zh-CN" w:bidi="ar"/>
          <w14:textFill>
            <w14:solidFill>
              <w14:schemeClr w14:val="tx1"/>
            </w14:solidFill>
          </w14:textFill>
        </w:rPr>
      </w:pPr>
      <w:r>
        <w:rPr>
          <w:rFonts w:hint="eastAsia" w:ascii="宋体" w:hAnsi="宋体" w:eastAsia="宋体" w:cs="宋体"/>
          <w:b w:val="0"/>
          <w:bCs w:val="0"/>
          <w:strike w:val="0"/>
          <w:dstrike w:val="0"/>
          <w:color w:val="000000" w:themeColor="text1"/>
          <w:sz w:val="28"/>
          <w:szCs w:val="28"/>
          <w:highlight w:val="none"/>
          <w:lang w:val="en-US" w:eastAsia="zh-CN" w:bidi="ar"/>
          <w14:textFill>
            <w14:solidFill>
              <w14:schemeClr w14:val="tx1"/>
            </w14:solidFill>
          </w14:textFill>
        </w:rPr>
        <w:t>（一）本项目采购预算总金额为：500万元人民币。</w:t>
      </w:r>
      <w:r>
        <w:rPr>
          <w:rFonts w:hint="eastAsia" w:ascii="宋体" w:hAnsi="宋体" w:eastAsia="宋体" w:cs="宋体"/>
          <w:bCs/>
          <w:color w:val="000000" w:themeColor="text1"/>
          <w:sz w:val="28"/>
          <w:szCs w:val="28"/>
          <w:highlight w:val="none"/>
          <w14:textFill>
            <w14:solidFill>
              <w14:schemeClr w14:val="tx1"/>
            </w14:solidFill>
          </w14:textFill>
        </w:rPr>
        <w:t>其中</w:t>
      </w:r>
      <w:r>
        <w:rPr>
          <w:rFonts w:hint="eastAsia" w:ascii="宋体" w:hAnsi="宋体" w:cs="宋体"/>
          <w:bCs/>
          <w:color w:val="000000" w:themeColor="text1"/>
          <w:sz w:val="28"/>
          <w:szCs w:val="28"/>
          <w:highlight w:val="none"/>
          <w:lang w:val="en-US" w:eastAsia="zh-CN"/>
          <w14:textFill>
            <w14:solidFill>
              <w14:schemeClr w14:val="tx1"/>
            </w14:solidFill>
          </w14:textFill>
        </w:rPr>
        <w:t>采购包1不接受超过</w:t>
      </w:r>
      <w:r>
        <w:rPr>
          <w:rFonts w:hint="eastAsia" w:ascii="宋体" w:hAnsi="宋体" w:eastAsia="宋体" w:cs="宋体"/>
          <w:bCs/>
          <w:color w:val="000000" w:themeColor="text1"/>
          <w:sz w:val="28"/>
          <w:szCs w:val="28"/>
          <w:highlight w:val="none"/>
          <w14:textFill>
            <w14:solidFill>
              <w14:schemeClr w14:val="tx1"/>
            </w14:solidFill>
          </w14:textFill>
        </w:rPr>
        <w:t>预算金额200万元</w:t>
      </w:r>
      <w:r>
        <w:rPr>
          <w:rFonts w:hint="eastAsia" w:ascii="宋体" w:hAnsi="宋体" w:cs="宋体"/>
          <w:bCs/>
          <w:color w:val="000000" w:themeColor="text1"/>
          <w:sz w:val="28"/>
          <w:szCs w:val="28"/>
          <w:highlight w:val="none"/>
          <w:lang w:val="en-US" w:eastAsia="zh-CN"/>
          <w14:textFill>
            <w14:solidFill>
              <w14:schemeClr w14:val="tx1"/>
            </w14:solidFill>
          </w14:textFill>
        </w:rPr>
        <w:t>的投标报价</w:t>
      </w:r>
      <w:r>
        <w:rPr>
          <w:rFonts w:hint="eastAsia" w:ascii="宋体" w:hAnsi="宋体" w:eastAsia="宋体" w:cs="宋体"/>
          <w:bCs/>
          <w:color w:val="000000" w:themeColor="text1"/>
          <w:sz w:val="28"/>
          <w:szCs w:val="28"/>
          <w:highlight w:val="none"/>
          <w14:textFill>
            <w14:solidFill>
              <w14:schemeClr w14:val="tx1"/>
            </w14:solidFill>
          </w14:textFill>
        </w:rPr>
        <w:t>，</w:t>
      </w:r>
      <w:r>
        <w:rPr>
          <w:rFonts w:hint="eastAsia" w:ascii="宋体" w:hAnsi="宋体" w:cs="宋体"/>
          <w:bCs/>
          <w:color w:val="000000" w:themeColor="text1"/>
          <w:sz w:val="28"/>
          <w:szCs w:val="28"/>
          <w:highlight w:val="none"/>
          <w:lang w:val="en-US" w:eastAsia="zh-CN"/>
          <w14:textFill>
            <w14:solidFill>
              <w14:schemeClr w14:val="tx1"/>
            </w14:solidFill>
          </w14:textFill>
        </w:rPr>
        <w:t>采购包2不接受超过</w:t>
      </w:r>
      <w:r>
        <w:rPr>
          <w:rFonts w:hint="eastAsia" w:ascii="宋体" w:hAnsi="宋体" w:eastAsia="宋体" w:cs="宋体"/>
          <w:bCs/>
          <w:color w:val="000000" w:themeColor="text1"/>
          <w:sz w:val="28"/>
          <w:szCs w:val="28"/>
          <w:highlight w:val="none"/>
          <w14:textFill>
            <w14:solidFill>
              <w14:schemeClr w14:val="tx1"/>
            </w14:solidFill>
          </w14:textFill>
        </w:rPr>
        <w:t>预算金额160万元</w:t>
      </w:r>
      <w:r>
        <w:rPr>
          <w:rFonts w:hint="eastAsia" w:ascii="宋体" w:hAnsi="宋体" w:cs="宋体"/>
          <w:bCs/>
          <w:color w:val="000000" w:themeColor="text1"/>
          <w:sz w:val="28"/>
          <w:szCs w:val="28"/>
          <w:highlight w:val="none"/>
          <w:lang w:val="en-US" w:eastAsia="zh-CN"/>
          <w14:textFill>
            <w14:solidFill>
              <w14:schemeClr w14:val="tx1"/>
            </w14:solidFill>
          </w14:textFill>
        </w:rPr>
        <w:t>的投标报价</w:t>
      </w:r>
      <w:r>
        <w:rPr>
          <w:rFonts w:hint="eastAsia" w:ascii="宋体" w:hAnsi="宋体" w:eastAsia="宋体" w:cs="宋体"/>
          <w:bCs/>
          <w:color w:val="000000" w:themeColor="text1"/>
          <w:sz w:val="28"/>
          <w:szCs w:val="28"/>
          <w:highlight w:val="none"/>
          <w14:textFill>
            <w14:solidFill>
              <w14:schemeClr w14:val="tx1"/>
            </w14:solidFill>
          </w14:textFill>
        </w:rPr>
        <w:t>，</w:t>
      </w:r>
      <w:r>
        <w:rPr>
          <w:rFonts w:hint="eastAsia" w:ascii="宋体" w:hAnsi="宋体" w:cs="宋体"/>
          <w:bCs/>
          <w:color w:val="000000" w:themeColor="text1"/>
          <w:sz w:val="28"/>
          <w:szCs w:val="28"/>
          <w:highlight w:val="none"/>
          <w:lang w:val="en-US" w:eastAsia="zh-CN"/>
          <w14:textFill>
            <w14:solidFill>
              <w14:schemeClr w14:val="tx1"/>
            </w14:solidFill>
          </w14:textFill>
        </w:rPr>
        <w:t>采购包3不接受</w:t>
      </w:r>
      <w:r>
        <w:rPr>
          <w:rFonts w:hint="eastAsia" w:ascii="宋体" w:hAnsi="宋体" w:eastAsia="宋体" w:cs="宋体"/>
          <w:bCs/>
          <w:color w:val="000000" w:themeColor="text1"/>
          <w:sz w:val="28"/>
          <w:szCs w:val="28"/>
          <w:highlight w:val="none"/>
          <w14:textFill>
            <w14:solidFill>
              <w14:schemeClr w14:val="tx1"/>
            </w14:solidFill>
          </w14:textFill>
        </w:rPr>
        <w:t>预算金额140万元</w:t>
      </w:r>
      <w:r>
        <w:rPr>
          <w:rFonts w:hint="eastAsia" w:ascii="宋体" w:hAnsi="宋体" w:cs="宋体"/>
          <w:bCs/>
          <w:color w:val="000000" w:themeColor="text1"/>
          <w:sz w:val="28"/>
          <w:szCs w:val="28"/>
          <w:highlight w:val="none"/>
          <w:lang w:val="en-US" w:eastAsia="zh-CN"/>
          <w14:textFill>
            <w14:solidFill>
              <w14:schemeClr w14:val="tx1"/>
            </w14:solidFill>
          </w14:textFill>
        </w:rPr>
        <w:t>的投标报价。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bidi="ar"/>
        </w:rPr>
      </w:pPr>
      <w:r>
        <w:rPr>
          <w:rFonts w:hint="eastAsia" w:ascii="宋体" w:hAnsi="宋体" w:eastAsia="宋体" w:cs="宋体"/>
          <w:b w:val="0"/>
          <w:bCs w:val="0"/>
          <w:color w:val="auto"/>
          <w:sz w:val="28"/>
          <w:szCs w:val="28"/>
          <w:highlight w:val="none"/>
          <w:lang w:val="en-US" w:eastAsia="zh-CN" w:bidi="ar"/>
        </w:rPr>
        <w:t>（二）此项目不属于专门面向中小企业采购的项目。</w:t>
      </w:r>
    </w:p>
    <w:p>
      <w:pPr>
        <w:pageBreakBefore w:val="0"/>
        <w:widowControl w:val="0"/>
        <w:kinsoku/>
        <w:wordWrap/>
        <w:overflowPunct/>
        <w:topLinePunct w:val="0"/>
        <w:autoSpaceDE/>
        <w:autoSpaceDN/>
        <w:bidi w:val="0"/>
        <w:adjustRightInd/>
        <w:snapToGrid/>
        <w:spacing w:line="480" w:lineRule="exact"/>
        <w:ind w:firstLine="560" w:firstLineChars="200"/>
        <w:textAlignment w:val="auto"/>
        <w:outlineLvl w:val="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（三）</w:t>
      </w:r>
      <w:r>
        <w:rPr>
          <w:rFonts w:hint="eastAsia" w:ascii="宋体" w:hAnsi="宋体" w:eastAsia="宋体" w:cs="宋体"/>
          <w:color w:val="auto"/>
          <w:sz w:val="28"/>
          <w:szCs w:val="28"/>
          <w:highlight w:val="none"/>
          <w:lang w:val="en-US" w:eastAsia="zh-CN"/>
        </w:rPr>
        <w:t>本项目对应的中小企业划分标准所属行业为（其他未列明行业）</w:t>
      </w:r>
      <w:r>
        <w:rPr>
          <w:rFonts w:hint="eastAsia" w:ascii="宋体" w:hAnsi="宋体" w:cs="宋体"/>
          <w:color w:val="auto"/>
          <w:sz w:val="28"/>
          <w:szCs w:val="28"/>
          <w:highlight w:val="none"/>
          <w:lang w:val="en-US" w:eastAsia="zh-CN"/>
        </w:rPr>
        <w:t>。</w:t>
      </w:r>
    </w:p>
    <w:p>
      <w:pPr>
        <w:pageBreakBefore w:val="0"/>
        <w:widowControl w:val="0"/>
        <w:kinsoku/>
        <w:wordWrap/>
        <w:overflowPunct/>
        <w:topLinePunct w:val="0"/>
        <w:autoSpaceDE/>
        <w:autoSpaceDN/>
        <w:bidi w:val="0"/>
        <w:adjustRightInd/>
        <w:snapToGrid/>
        <w:spacing w:line="480" w:lineRule="exact"/>
        <w:ind w:firstLine="560" w:firstLineChars="200"/>
        <w:textAlignment w:val="auto"/>
        <w:outlineLvl w:val="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注：</w:t>
      </w:r>
      <w:r>
        <w:rPr>
          <w:rFonts w:hint="eastAsia" w:ascii="宋体" w:hAnsi="宋体" w:eastAsia="宋体" w:cs="宋体"/>
          <w:color w:val="auto"/>
          <w:sz w:val="28"/>
          <w:szCs w:val="28"/>
          <w:highlight w:val="none"/>
          <w:lang w:val="en-US" w:eastAsia="zh-CN"/>
        </w:rPr>
        <w:t>从业人员300人以下的为中小微型企业。其中，从业人员100人及以上的为中型企业；从业人员10人及以上的为小型企业；从业人员10人以下的为微型企业。</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0"/>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（四）合同履行期限：合同签订之日起至所承包工作全部完成并经采购人验</w:t>
      </w:r>
      <w:r>
        <w:rPr>
          <w:rFonts w:hint="eastAsia" w:ascii="宋体" w:hAnsi="宋体" w:cs="宋体"/>
          <w:color w:val="000000" w:themeColor="text1"/>
          <w:sz w:val="28"/>
          <w:szCs w:val="28"/>
          <w:highlight w:val="none"/>
          <w:lang w:val="en-US" w:eastAsia="zh-CN"/>
          <w14:textFill>
            <w14:solidFill>
              <w14:schemeClr w14:val="tx1"/>
            </w14:solidFill>
          </w14:textFill>
        </w:rPr>
        <w:t>收通过为止（具体以相关主管部门验收通过为准）。</w:t>
      </w:r>
      <w:r>
        <w:rPr>
          <w:rFonts w:hint="eastAsia" w:ascii="宋体" w:hAnsi="宋体" w:cs="宋体"/>
          <w:color w:val="000000" w:themeColor="text1"/>
          <w:sz w:val="28"/>
          <w:szCs w:val="28"/>
          <w:highlight w:val="none"/>
          <w:lang w:val="en-US" w:eastAsia="zh-CN"/>
          <w14:textFill>
            <w14:solidFill>
              <w14:schemeClr w14:val="tx1"/>
            </w14:solidFill>
          </w14:textFill>
        </w:rPr>
        <w:br w:type="textWrapping"/>
      </w:r>
      <w:r>
        <w:rPr>
          <w:rFonts w:hint="eastAsia" w:ascii="宋体" w:hAnsi="宋体" w:cs="宋体"/>
          <w:color w:val="000000" w:themeColor="text1"/>
          <w:sz w:val="28"/>
          <w:szCs w:val="28"/>
          <w:highlight w:val="none"/>
          <w:lang w:val="en-US" w:eastAsia="zh-CN"/>
          <w14:textFill>
            <w14:solidFill>
              <w14:schemeClr w14:val="tx1"/>
            </w14:solidFill>
          </w14:textFill>
        </w:rPr>
        <w:t xml:space="preserve">    （五）实施政府采购异常低价审查的有关要求，详见本采购文件《第二章  投标人须知》“（三十）实施政府采购异常低价审查的有关要求”。</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bidi="ar"/>
        </w:rPr>
      </w:pPr>
      <w:r>
        <w:rPr>
          <w:rFonts w:hint="eastAsia" w:ascii="宋体" w:hAnsi="宋体" w:eastAsia="宋体" w:cs="宋体"/>
          <w:b/>
          <w:bCs/>
          <w:color w:val="auto"/>
          <w:sz w:val="28"/>
          <w:szCs w:val="28"/>
          <w:highlight w:val="none"/>
          <w:lang w:val="en-US" w:eastAsia="zh-CN" w:bidi="ar"/>
        </w:rPr>
        <w:t>二</w:t>
      </w:r>
      <w:r>
        <w:rPr>
          <w:rFonts w:hint="eastAsia" w:ascii="宋体" w:hAnsi="宋体" w:eastAsia="宋体" w:cs="宋体"/>
          <w:b/>
          <w:bCs/>
          <w:color w:val="auto"/>
          <w:sz w:val="28"/>
          <w:szCs w:val="28"/>
          <w:highlight w:val="none"/>
          <w:lang w:bidi="ar"/>
        </w:rPr>
        <w:t>、项目基本情况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cs="宋体"/>
          <w:color w:val="auto"/>
          <w:sz w:val="28"/>
          <w:szCs w:val="28"/>
          <w:highlight w:val="none"/>
          <w:lang w:val="en-US" w:eastAsia="zh-CN" w:bidi="ar"/>
        </w:rPr>
        <w:t>1、</w:t>
      </w:r>
      <w:r>
        <w:rPr>
          <w:rFonts w:hint="eastAsia" w:ascii="宋体" w:hAnsi="宋体" w:eastAsia="宋体" w:cs="宋体"/>
          <w:color w:val="auto"/>
          <w:sz w:val="28"/>
          <w:szCs w:val="28"/>
          <w:highlight w:val="none"/>
          <w:lang w:bidi="ar"/>
        </w:rPr>
        <w:t>本项目依托</w:t>
      </w:r>
      <w:r>
        <w:rPr>
          <w:rFonts w:hint="eastAsia" w:ascii="宋体" w:hAnsi="宋体" w:eastAsia="宋体" w:cs="宋体"/>
          <w:color w:val="auto"/>
          <w:sz w:val="28"/>
          <w:szCs w:val="28"/>
          <w:highlight w:val="none"/>
          <w:lang w:eastAsia="zh-CN" w:bidi="ar"/>
        </w:rPr>
        <w:t>徐州市</w:t>
      </w:r>
      <w:r>
        <w:rPr>
          <w:rFonts w:hint="eastAsia" w:ascii="宋体" w:hAnsi="宋体" w:eastAsia="宋体" w:cs="宋体"/>
          <w:color w:val="auto"/>
          <w:sz w:val="28"/>
          <w:szCs w:val="28"/>
          <w:highlight w:val="none"/>
          <w:lang w:bidi="ar"/>
        </w:rPr>
        <w:t>国家级中小企业数字化转型城市试点建设工作要求，依据工信部</w:t>
      </w:r>
      <w:r>
        <w:rPr>
          <w:rFonts w:hint="eastAsia" w:ascii="宋体" w:hAnsi="宋体" w:eastAsia="宋体" w:cs="宋体"/>
          <w:color w:val="auto"/>
          <w:sz w:val="28"/>
          <w:szCs w:val="28"/>
          <w:highlight w:val="none"/>
          <w:lang w:val="en-US" w:eastAsia="zh-CN" w:bidi="ar"/>
        </w:rPr>
        <w:t>最新发布的</w:t>
      </w:r>
      <w:r>
        <w:rPr>
          <w:rFonts w:hint="eastAsia" w:ascii="宋体" w:hAnsi="宋体" w:eastAsia="宋体" w:cs="宋体"/>
          <w:color w:val="auto"/>
          <w:sz w:val="28"/>
          <w:szCs w:val="28"/>
          <w:highlight w:val="none"/>
          <w:lang w:bidi="ar"/>
        </w:rPr>
        <w:t>《中小企业数字化水平评测指标》及省、市相关试点管理细则，面向全市约650家试点企业</w:t>
      </w:r>
      <w:r>
        <w:rPr>
          <w:rFonts w:hint="eastAsia" w:ascii="宋体" w:hAnsi="宋体" w:eastAsia="宋体" w:cs="宋体"/>
          <w:color w:val="auto"/>
          <w:sz w:val="28"/>
          <w:szCs w:val="28"/>
          <w:highlight w:val="none"/>
          <w:lang w:val="en-US" w:eastAsia="zh-CN" w:bidi="ar"/>
        </w:rPr>
        <w:t>开展</w:t>
      </w:r>
      <w:r>
        <w:rPr>
          <w:rFonts w:hint="eastAsia" w:ascii="宋体" w:hAnsi="宋体" w:eastAsia="宋体" w:cs="宋体"/>
          <w:color w:val="auto"/>
          <w:sz w:val="28"/>
          <w:szCs w:val="28"/>
          <w:highlight w:val="none"/>
          <w:lang w:bidi="ar"/>
        </w:rPr>
        <w:t>数字化评测工作，对参评企业的数字化水平进行如实评定，并出具《中小企业数字化水平评测报告》；同时</w:t>
      </w:r>
      <w:r>
        <w:rPr>
          <w:rFonts w:hint="eastAsia" w:ascii="宋体" w:hAnsi="宋体" w:eastAsia="宋体" w:cs="宋体"/>
          <w:color w:val="auto"/>
          <w:sz w:val="28"/>
          <w:szCs w:val="28"/>
          <w:highlight w:val="none"/>
          <w:lang w:val="en-US" w:eastAsia="zh-CN" w:bidi="ar"/>
        </w:rPr>
        <w:t>提供</w:t>
      </w:r>
      <w:r>
        <w:rPr>
          <w:rFonts w:hint="eastAsia" w:ascii="宋体" w:hAnsi="宋体" w:eastAsia="宋体" w:cs="宋体"/>
          <w:color w:val="auto"/>
          <w:sz w:val="28"/>
          <w:szCs w:val="28"/>
          <w:highlight w:val="none"/>
          <w:lang w:bidi="ar"/>
        </w:rPr>
        <w:t>一套中小企业数字化转型公共服务平台，</w:t>
      </w:r>
      <w:r>
        <w:rPr>
          <w:rFonts w:hint="eastAsia" w:ascii="宋体" w:hAnsi="宋体" w:eastAsia="宋体" w:cs="宋体"/>
          <w:color w:val="auto"/>
          <w:sz w:val="28"/>
          <w:szCs w:val="28"/>
          <w:highlight w:val="none"/>
          <w:lang w:val="en-US" w:eastAsia="zh-CN" w:bidi="ar"/>
        </w:rPr>
        <w:t>需</w:t>
      </w:r>
      <w:r>
        <w:rPr>
          <w:rFonts w:hint="eastAsia" w:ascii="宋体" w:hAnsi="宋体" w:eastAsia="宋体" w:cs="宋体"/>
          <w:color w:val="auto"/>
          <w:sz w:val="28"/>
          <w:szCs w:val="28"/>
          <w:highlight w:val="none"/>
          <w:lang w:bidi="ar"/>
        </w:rPr>
        <w:t>配套提供</w:t>
      </w:r>
      <w:r>
        <w:rPr>
          <w:rFonts w:hint="eastAsia" w:ascii="宋体" w:hAnsi="宋体" w:eastAsia="宋体" w:cs="宋体"/>
          <w:color w:val="auto"/>
          <w:sz w:val="28"/>
          <w:szCs w:val="28"/>
          <w:highlight w:val="none"/>
          <w:lang w:val="en-US" w:eastAsia="zh-CN" w:bidi="ar"/>
        </w:rPr>
        <w:t>试点</w:t>
      </w:r>
      <w:r>
        <w:rPr>
          <w:rFonts w:hint="eastAsia" w:ascii="宋体" w:hAnsi="宋体" w:eastAsia="宋体" w:cs="宋体"/>
          <w:color w:val="auto"/>
          <w:sz w:val="28"/>
          <w:szCs w:val="28"/>
          <w:highlight w:val="none"/>
          <w:lang w:bidi="ar"/>
        </w:rPr>
        <w:t>全周期运营服务。平台需全面覆盖国家中小企业数字化转型试点</w:t>
      </w:r>
      <w:r>
        <w:rPr>
          <w:rFonts w:hint="eastAsia" w:ascii="宋体" w:hAnsi="宋体" w:eastAsia="宋体" w:cs="宋体"/>
          <w:color w:val="auto"/>
          <w:sz w:val="28"/>
          <w:szCs w:val="28"/>
          <w:highlight w:val="none"/>
          <w:lang w:val="en-US" w:eastAsia="zh-CN" w:bidi="ar"/>
        </w:rPr>
        <w:t>专项</w:t>
      </w:r>
      <w:r>
        <w:rPr>
          <w:rFonts w:hint="eastAsia" w:ascii="宋体" w:hAnsi="宋体" w:eastAsia="宋体" w:cs="宋体"/>
          <w:color w:val="auto"/>
          <w:sz w:val="28"/>
          <w:szCs w:val="28"/>
          <w:highlight w:val="none"/>
          <w:lang w:bidi="ar"/>
        </w:rPr>
        <w:t>全流程管理需求，实现试点项目从启动到验收的全链条监管，切实发挥供需对接实效，打造</w:t>
      </w:r>
      <w:r>
        <w:rPr>
          <w:rFonts w:hint="eastAsia" w:ascii="宋体" w:hAnsi="宋体" w:eastAsia="宋体" w:cs="宋体"/>
          <w:color w:val="auto"/>
          <w:sz w:val="28"/>
          <w:szCs w:val="28"/>
          <w:highlight w:val="none"/>
          <w:lang w:val="en-US" w:eastAsia="zh-CN" w:bidi="ar"/>
        </w:rPr>
        <w:t>本地中小企业</w:t>
      </w:r>
      <w:r>
        <w:rPr>
          <w:rFonts w:hint="eastAsia" w:ascii="宋体" w:hAnsi="宋体" w:eastAsia="宋体" w:cs="宋体"/>
          <w:color w:val="auto"/>
          <w:sz w:val="28"/>
          <w:szCs w:val="28"/>
          <w:highlight w:val="none"/>
          <w:lang w:bidi="ar"/>
        </w:rPr>
        <w:t>数字化转型服务载体。</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cs="宋体"/>
          <w:color w:val="auto"/>
          <w:sz w:val="28"/>
          <w:szCs w:val="28"/>
          <w:highlight w:val="none"/>
          <w:lang w:val="en-US" w:eastAsia="zh-CN" w:bidi="ar"/>
        </w:rPr>
        <w:t>2、</w:t>
      </w:r>
      <w:r>
        <w:rPr>
          <w:rFonts w:hint="eastAsia" w:ascii="宋体" w:hAnsi="宋体" w:eastAsia="宋体" w:cs="宋体"/>
          <w:color w:val="auto"/>
          <w:sz w:val="28"/>
          <w:szCs w:val="28"/>
          <w:highlight w:val="none"/>
          <w:lang w:bidi="ar"/>
        </w:rPr>
        <w:t>本项目划分为三个</w:t>
      </w:r>
      <w:r>
        <w:rPr>
          <w:rFonts w:hint="eastAsia" w:ascii="宋体" w:hAnsi="宋体" w:cs="宋体"/>
          <w:color w:val="auto"/>
          <w:sz w:val="28"/>
          <w:szCs w:val="28"/>
          <w:highlight w:val="none"/>
          <w:lang w:val="en-US" w:eastAsia="zh-CN" w:bidi="ar"/>
        </w:rPr>
        <w:t>采购包</w:t>
      </w:r>
      <w:r>
        <w:rPr>
          <w:rFonts w:hint="eastAsia" w:ascii="宋体" w:hAnsi="宋体" w:eastAsia="宋体" w:cs="宋体"/>
          <w:color w:val="auto"/>
          <w:sz w:val="28"/>
          <w:szCs w:val="28"/>
          <w:highlight w:val="none"/>
          <w:lang w:bidi="ar"/>
        </w:rPr>
        <w:t>：</w:t>
      </w:r>
    </w:p>
    <w:tbl>
      <w:tblPr>
        <w:tblStyle w:val="23"/>
        <w:tblW w:w="10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6"/>
        <w:gridCol w:w="4223"/>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06" w:type="dxa"/>
            <w:vAlign w:val="top"/>
          </w:tcPr>
          <w:p>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default" w:ascii="宋体" w:hAnsi="宋体" w:cs="宋体"/>
                <w:color w:val="000000" w:themeColor="text1"/>
                <w:sz w:val="28"/>
                <w:szCs w:val="28"/>
                <w:highlight w:val="none"/>
                <w:vertAlign w:val="baseline"/>
                <w:lang w:val="en-US" w:eastAsia="zh-CN" w:bidi="ar"/>
                <w14:textFill>
                  <w14:solidFill>
                    <w14:schemeClr w14:val="tx1"/>
                  </w14:solidFill>
                </w14:textFill>
              </w:rPr>
            </w:pPr>
            <w:r>
              <w:rPr>
                <w:rFonts w:hint="eastAsia" w:ascii="宋体" w:hAnsi="宋体" w:cs="宋体"/>
                <w:color w:val="000000" w:themeColor="text1"/>
                <w:sz w:val="28"/>
                <w:szCs w:val="28"/>
                <w:highlight w:val="none"/>
                <w:vertAlign w:val="baseline"/>
                <w:lang w:val="en-US" w:eastAsia="zh-CN" w:bidi="ar"/>
                <w14:textFill>
                  <w14:solidFill>
                    <w14:schemeClr w14:val="tx1"/>
                  </w14:solidFill>
                </w14:textFill>
              </w:rPr>
              <w:t>采购包</w:t>
            </w:r>
          </w:p>
        </w:tc>
        <w:tc>
          <w:tcPr>
            <w:tcW w:w="4223" w:type="dxa"/>
            <w:vAlign w:val="top"/>
          </w:tcPr>
          <w:p>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default" w:ascii="宋体" w:hAnsi="宋体" w:cs="宋体"/>
                <w:color w:val="000000" w:themeColor="text1"/>
                <w:sz w:val="28"/>
                <w:szCs w:val="28"/>
                <w:highlight w:val="none"/>
                <w:vertAlign w:val="baseline"/>
                <w:lang w:val="en-US" w:eastAsia="zh-CN" w:bidi="ar"/>
                <w14:textFill>
                  <w14:solidFill>
                    <w14:schemeClr w14:val="tx1"/>
                  </w14:solidFill>
                </w14:textFill>
              </w:rPr>
            </w:pPr>
            <w:r>
              <w:rPr>
                <w:rFonts w:hint="eastAsia" w:ascii="宋体" w:hAnsi="宋体" w:cs="宋体"/>
                <w:color w:val="000000" w:themeColor="text1"/>
                <w:sz w:val="28"/>
                <w:szCs w:val="28"/>
                <w:highlight w:val="none"/>
                <w:vertAlign w:val="baseline"/>
                <w:lang w:val="en-US" w:eastAsia="zh-CN" w:bidi="ar"/>
                <w14:textFill>
                  <w14:solidFill>
                    <w14:schemeClr w14:val="tx1"/>
                  </w14:solidFill>
                </w14:textFill>
              </w:rPr>
              <w:t>工作内容概况</w:t>
            </w:r>
          </w:p>
        </w:tc>
        <w:tc>
          <w:tcPr>
            <w:tcW w:w="1770" w:type="dxa"/>
            <w:vAlign w:val="top"/>
          </w:tcPr>
          <w:p>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default" w:ascii="宋体" w:hAnsi="宋体" w:cs="宋体"/>
                <w:color w:val="000000" w:themeColor="text1"/>
                <w:sz w:val="28"/>
                <w:szCs w:val="28"/>
                <w:highlight w:val="none"/>
                <w:vertAlign w:val="baseline"/>
                <w:lang w:val="en-US" w:eastAsia="zh-CN" w:bidi="ar"/>
                <w14:textFill>
                  <w14:solidFill>
                    <w14:schemeClr w14:val="tx1"/>
                  </w14:solidFill>
                </w14:textFill>
              </w:rPr>
            </w:pPr>
            <w:r>
              <w:rPr>
                <w:rFonts w:hint="eastAsia" w:ascii="宋体" w:hAnsi="宋体" w:cs="宋体"/>
                <w:color w:val="000000" w:themeColor="text1"/>
                <w:sz w:val="28"/>
                <w:szCs w:val="28"/>
                <w:highlight w:val="none"/>
                <w:vertAlign w:val="baseline"/>
                <w:lang w:val="en-US" w:eastAsia="zh-CN" w:bidi="ar"/>
                <w14:textFill>
                  <w14:solidFill>
                    <w14:schemeClr w14:val="tx1"/>
                  </w14:solidFill>
                </w14:textFill>
              </w:rPr>
              <w:t>预算金额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4106" w:type="dxa"/>
            <w:vAlign w:val="center"/>
          </w:tcPr>
          <w:p>
            <w:pPr>
              <w:keepNext w:val="0"/>
              <w:keepLines w:val="0"/>
              <w:pageBreakBefore w:val="0"/>
              <w:widowControl w:val="0"/>
              <w:kinsoku/>
              <w:wordWrap/>
              <w:overflowPunct/>
              <w:topLinePunct w:val="0"/>
              <w:autoSpaceDE/>
              <w:autoSpaceDN/>
              <w:bidi w:val="0"/>
              <w:adjustRightInd/>
              <w:snapToGrid/>
              <w:spacing w:after="0" w:line="480" w:lineRule="exact"/>
              <w:jc w:val="both"/>
              <w:textAlignment w:val="auto"/>
              <w:rPr>
                <w:rFonts w:hint="eastAsia" w:ascii="宋体" w:hAnsi="宋体" w:cs="宋体"/>
                <w:color w:val="000000" w:themeColor="text1"/>
                <w:sz w:val="28"/>
                <w:szCs w:val="28"/>
                <w:highlight w:val="none"/>
                <w:vertAlign w:val="baseline"/>
                <w:lang w:val="en-US" w:eastAsia="zh-CN" w:bidi="ar"/>
                <w14:textFill>
                  <w14:solidFill>
                    <w14:schemeClr w14:val="tx1"/>
                  </w14:solidFill>
                </w14:textFill>
              </w:rPr>
            </w:pPr>
            <w:r>
              <w:rPr>
                <w:rFonts w:hint="eastAsia" w:ascii="宋体" w:hAnsi="宋体" w:cs="宋体"/>
                <w:color w:val="000000" w:themeColor="text1"/>
                <w:sz w:val="28"/>
                <w:szCs w:val="28"/>
                <w:highlight w:val="none"/>
                <w:vertAlign w:val="baseline"/>
                <w:lang w:val="en-US" w:eastAsia="zh-CN" w:bidi="ar"/>
                <w14:textFill>
                  <w14:solidFill>
                    <w14:schemeClr w14:val="tx1"/>
                  </w14:solidFill>
                </w14:textFill>
              </w:rPr>
              <w:t>采购包1：徐州市中小企业数字化转型企业数字化水平评测（一）</w:t>
            </w:r>
          </w:p>
        </w:tc>
        <w:tc>
          <w:tcPr>
            <w:tcW w:w="4223" w:type="dxa"/>
            <w:vAlign w:val="top"/>
          </w:tcPr>
          <w:p>
            <w:pPr>
              <w:keepNext w:val="0"/>
              <w:keepLines w:val="0"/>
              <w:pageBreakBefore w:val="0"/>
              <w:widowControl w:val="0"/>
              <w:kinsoku/>
              <w:wordWrap/>
              <w:overflowPunct/>
              <w:topLinePunct w:val="0"/>
              <w:autoSpaceDE/>
              <w:autoSpaceDN/>
              <w:bidi w:val="0"/>
              <w:adjustRightInd/>
              <w:snapToGrid/>
              <w:spacing w:after="0" w:line="480" w:lineRule="exact"/>
              <w:jc w:val="both"/>
              <w:textAlignment w:val="auto"/>
              <w:rPr>
                <w:rFonts w:hint="eastAsia" w:ascii="宋体" w:hAnsi="宋体" w:eastAsia="宋体" w:cs="宋体"/>
                <w:color w:val="000000" w:themeColor="text1"/>
                <w:sz w:val="28"/>
                <w:szCs w:val="28"/>
                <w:highlight w:val="none"/>
                <w:vertAlign w:val="baseline"/>
                <w:lang w:val="en-US" w:eastAsia="zh-CN" w:bidi="ar"/>
                <w14:textFill>
                  <w14:solidFill>
                    <w14:schemeClr w14:val="tx1"/>
                  </w14:solidFill>
                </w14:textFill>
              </w:rPr>
            </w:pPr>
            <w:r>
              <w:rPr>
                <w:rFonts w:hint="eastAsia" w:ascii="宋体" w:hAnsi="宋体" w:eastAsia="宋体" w:cs="宋体"/>
                <w:color w:val="000000" w:themeColor="text1"/>
                <w:sz w:val="28"/>
                <w:szCs w:val="28"/>
                <w:highlight w:val="none"/>
                <w:lang w:bidi="ar"/>
                <w14:textFill>
                  <w14:solidFill>
                    <w14:schemeClr w14:val="tx1"/>
                  </w14:solidFill>
                </w14:textFill>
              </w:rPr>
              <w:t>完成2</w:t>
            </w:r>
            <w:r>
              <w:rPr>
                <w:rFonts w:hint="eastAsia" w:ascii="宋体" w:hAnsi="宋体" w:cs="宋体"/>
                <w:color w:val="000000" w:themeColor="text1"/>
                <w:sz w:val="28"/>
                <w:szCs w:val="28"/>
                <w:highlight w:val="none"/>
                <w:lang w:val="en-US" w:eastAsia="zh-CN" w:bidi="ar"/>
                <w14:textFill>
                  <w14:solidFill>
                    <w14:schemeClr w14:val="tx1"/>
                  </w14:solidFill>
                </w14:textFill>
              </w:rPr>
              <w:t>45</w:t>
            </w:r>
            <w:r>
              <w:rPr>
                <w:rFonts w:hint="eastAsia" w:ascii="宋体" w:hAnsi="宋体" w:eastAsia="宋体" w:cs="宋体"/>
                <w:color w:val="000000" w:themeColor="text1"/>
                <w:sz w:val="28"/>
                <w:szCs w:val="28"/>
                <w:highlight w:val="none"/>
                <w:lang w:bidi="ar"/>
                <w14:textFill>
                  <w14:solidFill>
                    <w14:schemeClr w14:val="tx1"/>
                  </w14:solidFill>
                </w14:textFill>
              </w:rPr>
              <w:t>家试点企业数字化水平评测工作，并提供中小企业数字化转型公共服务平台及全周期运营服务</w:t>
            </w:r>
            <w:r>
              <w:rPr>
                <w:rFonts w:hint="eastAsia" w:ascii="宋体" w:hAnsi="宋体" w:cs="宋体"/>
                <w:color w:val="000000" w:themeColor="text1"/>
                <w:sz w:val="28"/>
                <w:szCs w:val="28"/>
                <w:highlight w:val="none"/>
                <w:lang w:eastAsia="zh-CN" w:bidi="ar"/>
                <w14:textFill>
                  <w14:solidFill>
                    <w14:schemeClr w14:val="tx1"/>
                  </w14:solidFill>
                </w14:textFill>
              </w:rPr>
              <w:t>。</w:t>
            </w:r>
          </w:p>
        </w:tc>
        <w:tc>
          <w:tcPr>
            <w:tcW w:w="1770" w:type="dxa"/>
            <w:vAlign w:val="center"/>
          </w:tcPr>
          <w:p>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default" w:ascii="宋体" w:hAnsi="宋体" w:cs="宋体"/>
                <w:color w:val="000000" w:themeColor="text1"/>
                <w:sz w:val="28"/>
                <w:szCs w:val="28"/>
                <w:highlight w:val="none"/>
                <w:vertAlign w:val="baseline"/>
                <w:lang w:val="en-US" w:eastAsia="zh-CN" w:bidi="ar"/>
                <w14:textFill>
                  <w14:solidFill>
                    <w14:schemeClr w14:val="tx1"/>
                  </w14:solidFill>
                </w14:textFill>
              </w:rPr>
            </w:pPr>
            <w:r>
              <w:rPr>
                <w:rFonts w:hint="eastAsia" w:ascii="宋体" w:hAnsi="宋体" w:cs="宋体"/>
                <w:color w:val="000000" w:themeColor="text1"/>
                <w:sz w:val="28"/>
                <w:szCs w:val="28"/>
                <w:highlight w:val="none"/>
                <w:vertAlign w:val="baseline"/>
                <w:lang w:val="en-US" w:eastAsia="zh-CN" w:bidi="ar"/>
                <w14:textFill>
                  <w14:solidFill>
                    <w14:schemeClr w14:val="tx1"/>
                  </w14:solidFill>
                </w14:textFill>
              </w:rPr>
              <w:t>200万元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jc w:val="center"/>
        </w:trPr>
        <w:tc>
          <w:tcPr>
            <w:tcW w:w="4106" w:type="dxa"/>
            <w:vAlign w:val="center"/>
          </w:tcPr>
          <w:p>
            <w:pPr>
              <w:keepNext w:val="0"/>
              <w:keepLines w:val="0"/>
              <w:pageBreakBefore w:val="0"/>
              <w:widowControl w:val="0"/>
              <w:kinsoku/>
              <w:wordWrap/>
              <w:overflowPunct/>
              <w:topLinePunct w:val="0"/>
              <w:autoSpaceDE/>
              <w:autoSpaceDN/>
              <w:bidi w:val="0"/>
              <w:adjustRightInd/>
              <w:snapToGrid/>
              <w:spacing w:after="0" w:line="480" w:lineRule="exact"/>
              <w:jc w:val="both"/>
              <w:textAlignment w:val="auto"/>
              <w:rPr>
                <w:rFonts w:hint="eastAsia" w:ascii="宋体" w:hAnsi="宋体" w:cs="宋体"/>
                <w:color w:val="000000" w:themeColor="text1"/>
                <w:sz w:val="28"/>
                <w:szCs w:val="28"/>
                <w:highlight w:val="none"/>
                <w:vertAlign w:val="baseline"/>
                <w:lang w:val="en-US" w:eastAsia="zh-CN" w:bidi="ar"/>
                <w14:textFill>
                  <w14:solidFill>
                    <w14:schemeClr w14:val="tx1"/>
                  </w14:solidFill>
                </w14:textFill>
              </w:rPr>
            </w:pPr>
            <w:r>
              <w:rPr>
                <w:rFonts w:hint="eastAsia" w:ascii="宋体" w:hAnsi="宋体" w:cs="宋体"/>
                <w:color w:val="000000" w:themeColor="text1"/>
                <w:sz w:val="28"/>
                <w:szCs w:val="28"/>
                <w:highlight w:val="none"/>
                <w:vertAlign w:val="baseline"/>
                <w:lang w:val="en-US" w:eastAsia="zh-CN" w:bidi="ar"/>
                <w14:textFill>
                  <w14:solidFill>
                    <w14:schemeClr w14:val="tx1"/>
                  </w14:solidFill>
                </w14:textFill>
              </w:rPr>
              <w:t>采购包2：徐州市中小企业数字化转型企业数字化水平评测（二）</w:t>
            </w:r>
          </w:p>
        </w:tc>
        <w:tc>
          <w:tcPr>
            <w:tcW w:w="4223" w:type="dxa"/>
            <w:vAlign w:val="top"/>
          </w:tcPr>
          <w:p>
            <w:pPr>
              <w:keepNext w:val="0"/>
              <w:keepLines w:val="0"/>
              <w:pageBreakBefore w:val="0"/>
              <w:widowControl w:val="0"/>
              <w:kinsoku/>
              <w:wordWrap/>
              <w:overflowPunct/>
              <w:topLinePunct w:val="0"/>
              <w:autoSpaceDE/>
              <w:autoSpaceDN/>
              <w:bidi w:val="0"/>
              <w:adjustRightInd/>
              <w:snapToGrid/>
              <w:spacing w:after="0" w:line="480" w:lineRule="exact"/>
              <w:jc w:val="both"/>
              <w:textAlignment w:val="auto"/>
              <w:rPr>
                <w:rFonts w:hint="eastAsia" w:ascii="宋体" w:hAnsi="宋体" w:eastAsia="宋体" w:cs="宋体"/>
                <w:color w:val="000000" w:themeColor="text1"/>
                <w:sz w:val="28"/>
                <w:szCs w:val="28"/>
                <w:highlight w:val="none"/>
                <w:vertAlign w:val="baseline"/>
                <w:lang w:val="en-US" w:eastAsia="zh-CN" w:bidi="ar"/>
                <w14:textFill>
                  <w14:solidFill>
                    <w14:schemeClr w14:val="tx1"/>
                  </w14:solidFill>
                </w14:textFill>
              </w:rPr>
            </w:pPr>
            <w:r>
              <w:rPr>
                <w:rFonts w:hint="eastAsia" w:ascii="宋体" w:hAnsi="宋体" w:eastAsia="宋体" w:cs="宋体"/>
                <w:color w:val="000000" w:themeColor="text1"/>
                <w:sz w:val="28"/>
                <w:szCs w:val="28"/>
                <w:highlight w:val="none"/>
                <w:lang w:bidi="ar"/>
                <w14:textFill>
                  <w14:solidFill>
                    <w14:schemeClr w14:val="tx1"/>
                  </w14:solidFill>
                </w14:textFill>
              </w:rPr>
              <w:t>完成2</w:t>
            </w:r>
            <w:r>
              <w:rPr>
                <w:rFonts w:hint="eastAsia" w:ascii="宋体" w:hAnsi="宋体" w:cs="宋体"/>
                <w:color w:val="000000" w:themeColor="text1"/>
                <w:sz w:val="28"/>
                <w:szCs w:val="28"/>
                <w:highlight w:val="none"/>
                <w:lang w:val="en-US" w:eastAsia="zh-CN" w:bidi="ar"/>
                <w14:textFill>
                  <w14:solidFill>
                    <w14:schemeClr w14:val="tx1"/>
                  </w14:solidFill>
                </w14:textFill>
              </w:rPr>
              <w:t>16</w:t>
            </w:r>
            <w:r>
              <w:rPr>
                <w:rFonts w:hint="eastAsia" w:ascii="宋体" w:hAnsi="宋体" w:eastAsia="宋体" w:cs="宋体"/>
                <w:color w:val="000000" w:themeColor="text1"/>
                <w:sz w:val="28"/>
                <w:szCs w:val="28"/>
                <w:highlight w:val="none"/>
                <w:lang w:bidi="ar"/>
                <w14:textFill>
                  <w14:solidFill>
                    <w14:schemeClr w14:val="tx1"/>
                  </w14:solidFill>
                </w14:textFill>
              </w:rPr>
              <w:t>家试点企业数字化水平评测工作</w:t>
            </w:r>
            <w:r>
              <w:rPr>
                <w:rFonts w:hint="eastAsia" w:ascii="宋体" w:hAnsi="宋体" w:cs="宋体"/>
                <w:color w:val="000000" w:themeColor="text1"/>
                <w:sz w:val="28"/>
                <w:szCs w:val="28"/>
                <w:highlight w:val="none"/>
                <w:lang w:eastAsia="zh-CN" w:bidi="ar"/>
                <w14:textFill>
                  <w14:solidFill>
                    <w14:schemeClr w14:val="tx1"/>
                  </w14:solidFill>
                </w14:textFill>
              </w:rPr>
              <w:t>。</w:t>
            </w:r>
          </w:p>
        </w:tc>
        <w:tc>
          <w:tcPr>
            <w:tcW w:w="1770" w:type="dxa"/>
            <w:vAlign w:val="center"/>
          </w:tcPr>
          <w:p>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cs="宋体"/>
                <w:color w:val="000000" w:themeColor="text1"/>
                <w:sz w:val="28"/>
                <w:szCs w:val="28"/>
                <w:highlight w:val="none"/>
                <w:vertAlign w:val="baseline"/>
                <w:lang w:val="en-US" w:eastAsia="zh-CN" w:bidi="ar"/>
                <w14:textFill>
                  <w14:solidFill>
                    <w14:schemeClr w14:val="tx1"/>
                  </w14:solidFill>
                </w14:textFill>
              </w:rPr>
            </w:pPr>
            <w:r>
              <w:rPr>
                <w:rFonts w:hint="eastAsia" w:ascii="宋体" w:hAnsi="宋体" w:eastAsia="宋体" w:cs="宋体"/>
                <w:color w:val="000000" w:themeColor="text1"/>
                <w:sz w:val="28"/>
                <w:szCs w:val="28"/>
                <w:highlight w:val="none"/>
                <w:lang w:bidi="ar"/>
                <w14:textFill>
                  <w14:solidFill>
                    <w14:schemeClr w14:val="tx1"/>
                  </w14:solidFill>
                </w14:textFill>
              </w:rPr>
              <w:t>160万元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4106" w:type="dxa"/>
            <w:vAlign w:val="center"/>
          </w:tcPr>
          <w:p>
            <w:pPr>
              <w:keepNext w:val="0"/>
              <w:keepLines w:val="0"/>
              <w:pageBreakBefore w:val="0"/>
              <w:widowControl w:val="0"/>
              <w:kinsoku/>
              <w:wordWrap/>
              <w:overflowPunct/>
              <w:topLinePunct w:val="0"/>
              <w:autoSpaceDE/>
              <w:autoSpaceDN/>
              <w:bidi w:val="0"/>
              <w:adjustRightInd/>
              <w:snapToGrid/>
              <w:spacing w:after="0" w:line="480" w:lineRule="exact"/>
              <w:jc w:val="both"/>
              <w:textAlignment w:val="auto"/>
              <w:rPr>
                <w:rFonts w:hint="eastAsia" w:ascii="宋体" w:hAnsi="宋体" w:cs="宋体"/>
                <w:color w:val="000000" w:themeColor="text1"/>
                <w:sz w:val="28"/>
                <w:szCs w:val="28"/>
                <w:highlight w:val="none"/>
                <w:vertAlign w:val="baseline"/>
                <w:lang w:val="en-US" w:eastAsia="zh-CN" w:bidi="ar"/>
                <w14:textFill>
                  <w14:solidFill>
                    <w14:schemeClr w14:val="tx1"/>
                  </w14:solidFill>
                </w14:textFill>
              </w:rPr>
            </w:pPr>
            <w:r>
              <w:rPr>
                <w:rFonts w:hint="eastAsia" w:ascii="宋体" w:hAnsi="宋体" w:cs="宋体"/>
                <w:color w:val="000000" w:themeColor="text1"/>
                <w:sz w:val="28"/>
                <w:szCs w:val="28"/>
                <w:highlight w:val="none"/>
                <w:vertAlign w:val="baseline"/>
                <w:lang w:val="en-US" w:eastAsia="zh-CN" w:bidi="ar"/>
                <w14:textFill>
                  <w14:solidFill>
                    <w14:schemeClr w14:val="tx1"/>
                  </w14:solidFill>
                </w14:textFill>
              </w:rPr>
              <w:t>采购包3：徐州市中小企业数字化转型企业数字化水平评测（三）</w:t>
            </w:r>
          </w:p>
        </w:tc>
        <w:tc>
          <w:tcPr>
            <w:tcW w:w="4223" w:type="dxa"/>
            <w:vAlign w:val="top"/>
          </w:tcPr>
          <w:p>
            <w:pPr>
              <w:keepNext w:val="0"/>
              <w:keepLines w:val="0"/>
              <w:pageBreakBefore w:val="0"/>
              <w:widowControl w:val="0"/>
              <w:kinsoku/>
              <w:wordWrap/>
              <w:overflowPunct/>
              <w:topLinePunct w:val="0"/>
              <w:autoSpaceDE/>
              <w:autoSpaceDN/>
              <w:bidi w:val="0"/>
              <w:adjustRightInd/>
              <w:snapToGrid/>
              <w:spacing w:after="0" w:line="480" w:lineRule="exact"/>
              <w:jc w:val="both"/>
              <w:textAlignment w:val="auto"/>
              <w:rPr>
                <w:rFonts w:hint="eastAsia" w:ascii="宋体" w:hAnsi="宋体" w:cs="宋体"/>
                <w:color w:val="000000" w:themeColor="text1"/>
                <w:sz w:val="28"/>
                <w:szCs w:val="28"/>
                <w:highlight w:val="none"/>
                <w:vertAlign w:val="baseline"/>
                <w:lang w:val="en-US" w:eastAsia="zh-CN" w:bidi="ar"/>
                <w14:textFill>
                  <w14:solidFill>
                    <w14:schemeClr w14:val="tx1"/>
                  </w14:solidFill>
                </w14:textFill>
              </w:rPr>
            </w:pPr>
            <w:r>
              <w:rPr>
                <w:rFonts w:hint="eastAsia" w:ascii="宋体" w:hAnsi="宋体" w:eastAsia="宋体" w:cs="宋体"/>
                <w:color w:val="000000" w:themeColor="text1"/>
                <w:sz w:val="28"/>
                <w:szCs w:val="28"/>
                <w:highlight w:val="none"/>
                <w:lang w:bidi="ar"/>
                <w14:textFill>
                  <w14:solidFill>
                    <w14:schemeClr w14:val="tx1"/>
                  </w14:solidFill>
                </w14:textFill>
              </w:rPr>
              <w:t>完成1</w:t>
            </w:r>
            <w:r>
              <w:rPr>
                <w:rFonts w:hint="eastAsia" w:ascii="宋体" w:hAnsi="宋体" w:cs="宋体"/>
                <w:color w:val="000000" w:themeColor="text1"/>
                <w:sz w:val="28"/>
                <w:szCs w:val="28"/>
                <w:highlight w:val="none"/>
                <w:lang w:val="en-US" w:eastAsia="zh-CN" w:bidi="ar"/>
                <w14:textFill>
                  <w14:solidFill>
                    <w14:schemeClr w14:val="tx1"/>
                  </w14:solidFill>
                </w14:textFill>
              </w:rPr>
              <w:t>89</w:t>
            </w:r>
            <w:r>
              <w:rPr>
                <w:rFonts w:hint="eastAsia" w:ascii="宋体" w:hAnsi="宋体" w:eastAsia="宋体" w:cs="宋体"/>
                <w:color w:val="000000" w:themeColor="text1"/>
                <w:sz w:val="28"/>
                <w:szCs w:val="28"/>
                <w:highlight w:val="none"/>
                <w:lang w:bidi="ar"/>
                <w14:textFill>
                  <w14:solidFill>
                    <w14:schemeClr w14:val="tx1"/>
                  </w14:solidFill>
                </w14:textFill>
              </w:rPr>
              <w:t>家试点企业数字化水平评测工作</w:t>
            </w:r>
          </w:p>
        </w:tc>
        <w:tc>
          <w:tcPr>
            <w:tcW w:w="1770" w:type="dxa"/>
            <w:vAlign w:val="center"/>
          </w:tcPr>
          <w:p>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cs="宋体"/>
                <w:color w:val="000000" w:themeColor="text1"/>
                <w:sz w:val="28"/>
                <w:szCs w:val="28"/>
                <w:highlight w:val="none"/>
                <w:vertAlign w:val="baseline"/>
                <w:lang w:val="en-US" w:eastAsia="zh-CN" w:bidi="ar"/>
                <w14:textFill>
                  <w14:solidFill>
                    <w14:schemeClr w14:val="tx1"/>
                  </w14:solidFill>
                </w14:textFill>
              </w:rPr>
            </w:pPr>
            <w:r>
              <w:rPr>
                <w:rFonts w:hint="eastAsia" w:ascii="宋体" w:hAnsi="宋体" w:eastAsia="宋体" w:cs="宋体"/>
                <w:color w:val="000000" w:themeColor="text1"/>
                <w:sz w:val="28"/>
                <w:szCs w:val="28"/>
                <w:highlight w:val="none"/>
                <w:lang w:bidi="ar"/>
                <w14:textFill>
                  <w14:solidFill>
                    <w14:schemeClr w14:val="tx1"/>
                  </w14:solidFill>
                </w14:textFill>
              </w:rPr>
              <w:t>140万元</w:t>
            </w:r>
          </w:p>
        </w:tc>
      </w:tr>
    </w:tbl>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000000" w:themeColor="text1"/>
          <w:sz w:val="28"/>
          <w:szCs w:val="28"/>
          <w:highlight w:val="none"/>
          <w:lang w:val="en-US" w:eastAsia="zh-CN" w:bidi="ar"/>
          <w14:textFill>
            <w14:solidFill>
              <w14:schemeClr w14:val="tx1"/>
            </w14:solidFill>
          </w14:textFill>
        </w:rPr>
      </w:pPr>
      <w:r>
        <w:rPr>
          <w:rFonts w:hint="eastAsia" w:ascii="宋体" w:hAnsi="宋体" w:eastAsia="宋体" w:cs="宋体"/>
          <w:color w:val="000000" w:themeColor="text1"/>
          <w:sz w:val="28"/>
          <w:szCs w:val="28"/>
          <w:highlight w:val="none"/>
          <w:lang w:val="en-US" w:eastAsia="zh-CN" w:bidi="ar"/>
          <w14:textFill>
            <w14:solidFill>
              <w14:schemeClr w14:val="tx1"/>
            </w14:solidFill>
          </w14:textFill>
        </w:rPr>
        <w:t>3、兼投不兼中规则</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0"/>
        <w:rPr>
          <w:rFonts w:hint="default" w:ascii="宋体" w:hAnsi="宋体" w:eastAsia="宋体" w:cs="宋体"/>
          <w:b/>
          <w:bCs w:val="0"/>
          <w:color w:val="000000" w:themeColor="text1"/>
          <w:sz w:val="28"/>
          <w:szCs w:val="28"/>
          <w:highlight w:val="none"/>
          <w:u w:val="none"/>
          <w:lang w:val="en-US" w:eastAsia="zh-CN"/>
          <w14:textFill>
            <w14:solidFill>
              <w14:schemeClr w14:val="tx1"/>
            </w14:solidFill>
          </w14:textFill>
        </w:rPr>
      </w:pPr>
      <w:r>
        <w:rPr>
          <w:rFonts w:hint="default" w:ascii="宋体" w:hAnsi="宋体" w:eastAsia="宋体" w:cs="宋体"/>
          <w:b w:val="0"/>
          <w:bCs/>
          <w:color w:val="000000" w:themeColor="text1"/>
          <w:sz w:val="28"/>
          <w:szCs w:val="28"/>
          <w:highlight w:val="none"/>
          <w:u w:val="none"/>
          <w:lang w:val="en-US" w:eastAsia="zh-CN"/>
          <w14:textFill>
            <w14:solidFill>
              <w14:schemeClr w14:val="tx1"/>
            </w14:solidFill>
          </w14:textFill>
        </w:rPr>
        <w:t>本项目共分为3个采购</w:t>
      </w:r>
      <w:r>
        <w:rPr>
          <w:rFonts w:hint="eastAsia" w:ascii="宋体" w:hAnsi="宋体" w:cs="宋体"/>
          <w:b w:val="0"/>
          <w:bCs/>
          <w:color w:val="000000" w:themeColor="text1"/>
          <w:sz w:val="28"/>
          <w:szCs w:val="28"/>
          <w:highlight w:val="none"/>
          <w:u w:val="none"/>
          <w:lang w:val="en-US" w:eastAsia="zh-CN"/>
          <w14:textFill>
            <w14:solidFill>
              <w14:schemeClr w14:val="tx1"/>
            </w14:solidFill>
          </w14:textFill>
        </w:rPr>
        <w:t>包，投标人可同时对多个采购包进行投标，但最多只能中标一个采购包。本项目按照采购包1、采购包2、采购包3的顺序依次进行评审。在前一采购包中被确定为中标人的，可以继续参与后续采购包的评审，但不再被推荐为中标候选人，且不得再次成为中标人。</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bidi="ar"/>
        </w:rPr>
      </w:pPr>
      <w:r>
        <w:rPr>
          <w:rFonts w:hint="eastAsia" w:ascii="宋体" w:hAnsi="宋体" w:eastAsia="宋体" w:cs="宋体"/>
          <w:b/>
          <w:bCs/>
          <w:color w:val="auto"/>
          <w:sz w:val="28"/>
          <w:szCs w:val="28"/>
          <w:highlight w:val="none"/>
          <w:lang w:val="en-US" w:eastAsia="zh-CN" w:bidi="ar"/>
        </w:rPr>
        <w:t>三</w:t>
      </w:r>
      <w:r>
        <w:rPr>
          <w:rFonts w:hint="eastAsia" w:ascii="宋体" w:hAnsi="宋体" w:eastAsia="宋体" w:cs="宋体"/>
          <w:b/>
          <w:bCs/>
          <w:color w:val="auto"/>
          <w:sz w:val="28"/>
          <w:szCs w:val="28"/>
          <w:highlight w:val="none"/>
          <w:lang w:bidi="ar"/>
        </w:rPr>
        <w:t>、第三方评测机构基本要求（三个</w:t>
      </w:r>
      <w:r>
        <w:rPr>
          <w:rFonts w:hint="eastAsia" w:ascii="宋体" w:hAnsi="宋体" w:eastAsia="宋体" w:cs="宋体"/>
          <w:b/>
          <w:bCs/>
          <w:color w:val="auto"/>
          <w:sz w:val="28"/>
          <w:szCs w:val="28"/>
          <w:highlight w:val="none"/>
          <w:lang w:val="en-US" w:eastAsia="zh-CN" w:bidi="ar"/>
        </w:rPr>
        <w:t>采购包</w:t>
      </w:r>
      <w:r>
        <w:rPr>
          <w:rFonts w:hint="eastAsia" w:ascii="宋体" w:hAnsi="宋体" w:eastAsia="宋体" w:cs="宋体"/>
          <w:b/>
          <w:bCs/>
          <w:color w:val="auto"/>
          <w:sz w:val="28"/>
          <w:szCs w:val="28"/>
          <w:highlight w:val="none"/>
          <w:lang w:bidi="ar"/>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b/>
          <w:bCs/>
          <w:color w:val="auto"/>
          <w:sz w:val="28"/>
          <w:szCs w:val="28"/>
          <w:highlight w:val="none"/>
          <w:lang w:bidi="ar"/>
        </w:rPr>
        <w:t>（一）主体资格。</w:t>
      </w:r>
      <w:r>
        <w:rPr>
          <w:rFonts w:hint="eastAsia" w:ascii="宋体" w:hAnsi="宋体" w:eastAsia="宋体" w:cs="宋体"/>
          <w:color w:val="auto"/>
          <w:sz w:val="28"/>
          <w:szCs w:val="28"/>
          <w:highlight w:val="none"/>
          <w:lang w:bidi="ar"/>
        </w:rPr>
        <w:t>在中华人民共和国境内注册的独立法人，自成立以来无违法违规行为，社会信誉良好；近三年内未被列入失信被执行人、重大税收违法案件当事人、政府采购严重违法失信行为记录名单。</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b/>
          <w:bCs/>
          <w:color w:val="auto"/>
          <w:sz w:val="28"/>
          <w:szCs w:val="28"/>
          <w:highlight w:val="none"/>
          <w:lang w:bidi="ar"/>
        </w:rPr>
        <w:t>（二）独立性（回避制度）</w:t>
      </w:r>
      <w:r>
        <w:rPr>
          <w:rFonts w:hint="eastAsia" w:ascii="宋体" w:hAnsi="宋体" w:eastAsia="宋体" w:cs="宋体"/>
          <w:color w:val="auto"/>
          <w:sz w:val="28"/>
          <w:szCs w:val="28"/>
          <w:highlight w:val="none"/>
          <w:lang w:bidi="ar"/>
        </w:rPr>
        <w:t>。评测、审计、验收各环节业务相互独立、互不交叉。已为试点企业提供诊断、方案制定、改造实施等服务的机构，不得承担本项目评测工作。与试点企业、服务商存在利害关系的机构及专家须主动回避。中标后，在城市试点实施期内，不得申报本市数字化转型城市试点推荐服务商或试点企业。</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b/>
          <w:bCs/>
          <w:color w:val="auto"/>
          <w:sz w:val="28"/>
          <w:szCs w:val="28"/>
          <w:highlight w:val="none"/>
          <w:lang w:bidi="ar"/>
        </w:rPr>
        <w:t>（三）专业能力。</w:t>
      </w:r>
      <w:r>
        <w:rPr>
          <w:rFonts w:hint="eastAsia" w:ascii="宋体" w:hAnsi="宋体" w:eastAsia="宋体" w:cs="宋体"/>
          <w:color w:val="auto"/>
          <w:sz w:val="28"/>
          <w:szCs w:val="28"/>
          <w:highlight w:val="none"/>
          <w:lang w:bidi="ar"/>
        </w:rPr>
        <w:t>具备中小企业数字化水平评测专业技术能力及公共服务平台开发运营能力，拥有丰富的相关服务案例。团队须熟悉工信部</w:t>
      </w:r>
      <w:r>
        <w:rPr>
          <w:rFonts w:hint="eastAsia" w:ascii="宋体" w:hAnsi="宋体" w:eastAsia="宋体" w:cs="宋体"/>
          <w:color w:val="auto"/>
          <w:sz w:val="28"/>
          <w:szCs w:val="28"/>
          <w:highlight w:val="none"/>
          <w:lang w:val="en-US" w:eastAsia="zh-CN" w:bidi="ar"/>
        </w:rPr>
        <w:t>最新发布的</w:t>
      </w:r>
      <w:r>
        <w:rPr>
          <w:rFonts w:hint="eastAsia" w:ascii="宋体" w:hAnsi="宋体" w:eastAsia="宋体" w:cs="宋体"/>
          <w:color w:val="auto"/>
          <w:sz w:val="28"/>
          <w:szCs w:val="28"/>
          <w:highlight w:val="none"/>
          <w:lang w:bidi="ar"/>
        </w:rPr>
        <w:t>《中小企业数字化水平评测指标》，掌握评测流程、指标解读、打分标准等要求，具备现场核查、系统核验、数据分析等综合能力。</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b/>
          <w:bCs/>
          <w:color w:val="auto"/>
          <w:sz w:val="28"/>
          <w:szCs w:val="28"/>
          <w:highlight w:val="none"/>
          <w:lang w:bidi="ar"/>
        </w:rPr>
        <w:t>（四）人员保障。</w:t>
      </w:r>
      <w:r>
        <w:rPr>
          <w:rFonts w:hint="eastAsia" w:ascii="宋体" w:hAnsi="宋体" w:eastAsia="宋体" w:cs="宋体"/>
          <w:color w:val="auto"/>
          <w:sz w:val="28"/>
          <w:szCs w:val="28"/>
          <w:highlight w:val="none"/>
          <w:lang w:bidi="ar"/>
        </w:rPr>
        <w:t>组建结构合理、人员稳定的专项服务团队，配备不少于15人的专业团队，提供所有服务人员近三个月社保证明材料。评测专家须具备相关高级职称或同等专业水平，须熟悉细分行业工艺流程和业务场景。在服务需求密集阶段，能够按需动态调整人员配置。项目负责人合同期内原则上不得随意更换。</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b/>
          <w:bCs/>
          <w:color w:val="auto"/>
          <w:sz w:val="28"/>
          <w:szCs w:val="28"/>
          <w:highlight w:val="none"/>
          <w:lang w:bidi="ar"/>
        </w:rPr>
        <w:t>（五）廉洁保密与责任追究。</w:t>
      </w:r>
      <w:r>
        <w:rPr>
          <w:rFonts w:hint="eastAsia" w:ascii="宋体" w:hAnsi="宋体" w:eastAsia="宋体" w:cs="宋体"/>
          <w:color w:val="auto"/>
          <w:sz w:val="28"/>
          <w:szCs w:val="28"/>
          <w:highlight w:val="none"/>
          <w:lang w:bidi="ar"/>
        </w:rPr>
        <w:t>签署廉洁保密承诺，对知悉的企业商业秘密、技术秘密严格保密；不得与试点企业或服务商存在利益关联，不得徇私舞弊、收受财物。对报告质量差、结论失真、弄虚作假或履职不力的，依法依规采取通报、警告、暂停合作、终止合同、移出服务资源池等五级处理措施，并追究法律责任。采购人对中标机构的服务质量、执业情况、信誉等进行动态跟踪和检查评估，如果发现有弄虚作假、出现重大纰漏的情况，取消其服务资格。</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宋体" w:hAnsi="宋体" w:eastAsia="宋体" w:cs="宋体"/>
          <w:b/>
          <w:bCs/>
          <w:color w:val="auto"/>
          <w:sz w:val="28"/>
          <w:szCs w:val="28"/>
          <w:highlight w:val="none"/>
          <w:lang w:bidi="ar"/>
        </w:rPr>
      </w:pPr>
      <w:r>
        <w:rPr>
          <w:rFonts w:hint="eastAsia" w:ascii="宋体" w:hAnsi="宋体" w:eastAsia="宋体" w:cs="宋体"/>
          <w:b/>
          <w:bCs/>
          <w:color w:val="auto"/>
          <w:sz w:val="28"/>
          <w:szCs w:val="28"/>
          <w:highlight w:val="none"/>
          <w:lang w:val="en-US" w:eastAsia="zh-CN" w:bidi="ar"/>
        </w:rPr>
        <w:t>四</w:t>
      </w:r>
      <w:r>
        <w:rPr>
          <w:rFonts w:hint="eastAsia" w:ascii="宋体" w:hAnsi="宋体" w:eastAsia="宋体" w:cs="宋体"/>
          <w:b/>
          <w:bCs/>
          <w:color w:val="auto"/>
          <w:sz w:val="28"/>
          <w:szCs w:val="28"/>
          <w:highlight w:val="none"/>
          <w:lang w:bidi="ar"/>
        </w:rPr>
        <w:t>、</w:t>
      </w:r>
      <w:r>
        <w:rPr>
          <w:rFonts w:hint="eastAsia" w:ascii="宋体" w:hAnsi="宋体" w:cs="宋体"/>
          <w:b/>
          <w:bCs/>
          <w:color w:val="auto"/>
          <w:sz w:val="28"/>
          <w:szCs w:val="28"/>
          <w:highlight w:val="none"/>
          <w:lang w:val="en-US" w:eastAsia="zh-CN" w:bidi="ar"/>
        </w:rPr>
        <w:t>采购包1</w:t>
      </w:r>
      <w:r>
        <w:rPr>
          <w:rFonts w:hint="eastAsia" w:ascii="宋体" w:hAnsi="宋体" w:eastAsia="宋体" w:cs="宋体"/>
          <w:b/>
          <w:bCs/>
          <w:color w:val="auto"/>
          <w:sz w:val="28"/>
          <w:szCs w:val="28"/>
          <w:highlight w:val="none"/>
          <w:lang w:bidi="ar"/>
        </w:rPr>
        <w:t>采购需求</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eastAsia="zh-CN" w:bidi="ar"/>
        </w:rPr>
      </w:pPr>
      <w:r>
        <w:rPr>
          <w:rFonts w:hint="eastAsia" w:ascii="宋体" w:hAnsi="宋体" w:eastAsia="宋体" w:cs="宋体"/>
          <w:b/>
          <w:bCs/>
          <w:color w:val="auto"/>
          <w:sz w:val="28"/>
          <w:szCs w:val="28"/>
          <w:highlight w:val="none"/>
          <w:lang w:bidi="ar"/>
        </w:rPr>
        <w:t>（一）中小企业数字化水平评测服务</w:t>
      </w:r>
      <w:r>
        <w:rPr>
          <w:rFonts w:hint="eastAsia" w:ascii="宋体" w:hAnsi="宋体" w:cs="宋体"/>
          <w:b/>
          <w:bCs/>
          <w:color w:val="auto"/>
          <w:sz w:val="28"/>
          <w:szCs w:val="28"/>
          <w:highlight w:val="none"/>
          <w:lang w:eastAsia="zh-CN" w:bidi="ar"/>
        </w:rPr>
        <w:t>（</w:t>
      </w:r>
      <w:r>
        <w:rPr>
          <w:rFonts w:hint="eastAsia" w:ascii="宋体" w:hAnsi="宋体" w:cs="宋体"/>
          <w:b/>
          <w:bCs/>
          <w:color w:val="auto"/>
          <w:sz w:val="28"/>
          <w:szCs w:val="28"/>
          <w:highlight w:val="none"/>
          <w:lang w:val="en-US" w:eastAsia="zh-CN" w:bidi="ar"/>
        </w:rPr>
        <w:t>245家</w:t>
      </w:r>
      <w:r>
        <w:rPr>
          <w:rFonts w:hint="eastAsia" w:ascii="宋体" w:hAnsi="宋体" w:cs="宋体"/>
          <w:b/>
          <w:bCs/>
          <w:color w:val="auto"/>
          <w:sz w:val="28"/>
          <w:szCs w:val="28"/>
          <w:highlight w:val="none"/>
          <w:lang w:eastAsia="zh-CN" w:bidi="ar"/>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bidi="ar"/>
        </w:rPr>
      </w:pPr>
      <w:r>
        <w:rPr>
          <w:rFonts w:hint="eastAsia" w:ascii="宋体" w:hAnsi="宋体" w:cs="宋体"/>
          <w:b/>
          <w:bCs/>
          <w:color w:val="auto"/>
          <w:sz w:val="28"/>
          <w:szCs w:val="28"/>
          <w:highlight w:val="none"/>
          <w:lang w:val="en-US" w:eastAsia="zh-CN" w:bidi="ar"/>
        </w:rPr>
        <w:t>1.</w:t>
      </w:r>
      <w:r>
        <w:rPr>
          <w:rFonts w:hint="eastAsia" w:ascii="宋体" w:hAnsi="宋体" w:eastAsia="宋体" w:cs="宋体"/>
          <w:b/>
          <w:bCs/>
          <w:color w:val="auto"/>
          <w:sz w:val="28"/>
          <w:szCs w:val="28"/>
          <w:highlight w:val="none"/>
          <w:lang w:bidi="ar"/>
        </w:rPr>
        <w:t>前期准备阶段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结合</w:t>
      </w:r>
      <w:r>
        <w:rPr>
          <w:rFonts w:hint="eastAsia" w:ascii="宋体" w:hAnsi="宋体" w:eastAsia="宋体" w:cs="宋体"/>
          <w:color w:val="auto"/>
          <w:sz w:val="28"/>
          <w:szCs w:val="28"/>
          <w:highlight w:val="none"/>
          <w:lang w:eastAsia="zh-CN" w:bidi="ar"/>
        </w:rPr>
        <w:t>徐州市</w:t>
      </w:r>
      <w:r>
        <w:rPr>
          <w:rFonts w:hint="eastAsia" w:ascii="宋体" w:hAnsi="宋体" w:eastAsia="宋体" w:cs="宋体"/>
          <w:color w:val="auto"/>
          <w:sz w:val="28"/>
          <w:szCs w:val="28"/>
          <w:highlight w:val="none"/>
          <w:lang w:bidi="ar"/>
        </w:rPr>
        <w:t>两大试点行业特点</w:t>
      </w:r>
      <w:r>
        <w:rPr>
          <w:rFonts w:hint="eastAsia" w:ascii="宋体" w:hAnsi="宋体" w:cs="宋体"/>
          <w:color w:val="auto"/>
          <w:sz w:val="28"/>
          <w:szCs w:val="28"/>
          <w:highlight w:val="none"/>
          <w:lang w:eastAsia="zh-CN" w:bidi="ar"/>
        </w:rPr>
        <w:t>，</w:t>
      </w:r>
      <w:r>
        <w:rPr>
          <w:rFonts w:hint="eastAsia" w:ascii="宋体" w:hAnsi="宋体" w:cs="宋体"/>
          <w:color w:val="auto"/>
          <w:sz w:val="28"/>
          <w:szCs w:val="28"/>
          <w:highlight w:val="none"/>
          <w:lang w:val="en-US" w:eastAsia="zh-CN" w:bidi="ar"/>
        </w:rPr>
        <w:t>配合</w:t>
      </w:r>
      <w:r>
        <w:rPr>
          <w:rFonts w:hint="eastAsia" w:ascii="宋体" w:hAnsi="宋体" w:eastAsia="宋体" w:cs="宋体"/>
          <w:color w:val="auto"/>
          <w:sz w:val="28"/>
          <w:szCs w:val="28"/>
          <w:highlight w:val="none"/>
          <w:lang w:bidi="ar"/>
        </w:rPr>
        <w:t>编制《</w:t>
      </w:r>
      <w:r>
        <w:rPr>
          <w:rFonts w:hint="eastAsia" w:ascii="宋体" w:hAnsi="宋体" w:eastAsia="宋体" w:cs="宋体"/>
          <w:color w:val="auto"/>
          <w:sz w:val="28"/>
          <w:szCs w:val="28"/>
          <w:highlight w:val="none"/>
          <w:lang w:eastAsia="zh-CN" w:bidi="ar"/>
        </w:rPr>
        <w:t>徐州市</w:t>
      </w:r>
      <w:r>
        <w:rPr>
          <w:rFonts w:hint="eastAsia" w:ascii="宋体" w:hAnsi="宋体" w:eastAsia="宋体" w:cs="宋体"/>
          <w:color w:val="auto"/>
          <w:sz w:val="28"/>
          <w:szCs w:val="28"/>
          <w:highlight w:val="none"/>
          <w:lang w:bidi="ar"/>
        </w:rPr>
        <w:t>中小企业数字化转型评测工作总体方案》，面向</w:t>
      </w:r>
      <w:r>
        <w:rPr>
          <w:rFonts w:hint="eastAsia" w:ascii="宋体" w:hAnsi="宋体" w:cs="宋体"/>
          <w:color w:val="auto"/>
          <w:sz w:val="28"/>
          <w:szCs w:val="28"/>
          <w:highlight w:val="none"/>
          <w:lang w:val="en-US" w:eastAsia="zh-CN" w:bidi="ar"/>
        </w:rPr>
        <w:t>本标段</w:t>
      </w:r>
      <w:r>
        <w:rPr>
          <w:rFonts w:hint="eastAsia" w:ascii="宋体" w:hAnsi="宋体" w:eastAsia="宋体" w:cs="宋体"/>
          <w:color w:val="auto"/>
          <w:sz w:val="28"/>
          <w:szCs w:val="28"/>
          <w:highlight w:val="none"/>
          <w:lang w:bidi="ar"/>
        </w:rPr>
        <w:t>开展政策及评测标准宣贯培训，解读国家及省市数字化转型政策、评测指标、自评流程、材料报送要求。原则上，评测启动前应至少完成一轮集中培训</w:t>
      </w:r>
      <w:r>
        <w:rPr>
          <w:rFonts w:hint="eastAsia" w:ascii="宋体" w:hAnsi="宋体" w:eastAsia="宋体" w:cs="宋体"/>
          <w:color w:val="auto"/>
          <w:sz w:val="28"/>
          <w:szCs w:val="28"/>
          <w:highlight w:val="none"/>
          <w:lang w:eastAsia="zh-CN" w:bidi="ar"/>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bidi="ar"/>
        </w:rPr>
      </w:pPr>
      <w:r>
        <w:rPr>
          <w:rFonts w:hint="eastAsia" w:ascii="宋体" w:hAnsi="宋体" w:cs="宋体"/>
          <w:b/>
          <w:bCs/>
          <w:color w:val="auto"/>
          <w:sz w:val="28"/>
          <w:szCs w:val="28"/>
          <w:highlight w:val="none"/>
          <w:lang w:val="en-US" w:eastAsia="zh-CN" w:bidi="ar"/>
        </w:rPr>
        <w:t>2.</w:t>
      </w:r>
      <w:r>
        <w:rPr>
          <w:rFonts w:hint="eastAsia" w:ascii="宋体" w:hAnsi="宋体" w:eastAsia="宋体" w:cs="宋体"/>
          <w:b/>
          <w:bCs/>
          <w:color w:val="auto"/>
          <w:sz w:val="28"/>
          <w:szCs w:val="28"/>
          <w:highlight w:val="none"/>
          <w:lang w:bidi="ar"/>
        </w:rPr>
        <w:t>现场实地评测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组建专业评测小组入企现场核查。围绕数字化基础、数字化经营、数字化管理、数字化成效四大维度开展工作：</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人员访谈：与企业负责人、技术负责人、核心业务岗位人员分别访谈，核实数字化系统使用情况、改造落地效果、业务提效数据等实际情况。</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系统核验：现场操作数字化系统，调取后台运行数据、系统日志、接口交互记录、操作痕迹记录，核查系统实际部署及常态化使用情况。对系统功能模块逐一演示验证，确认各项功能是否正常运行，对关键数据接口、数据自动采集与上传情况进行技术验证。</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实地查验：逐一核对软硬件设备铭牌、型号、数量、部署位置，核实部署场景与合同约定的一致性，对网络链路、数据采集节点等隐蔽工程进行抽验，确保改造内容真实落地、链路畅通。</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指标打分：严格按照国家级评测指标逐项打分，客观判定企业数字化等级</w:t>
      </w:r>
      <w:r>
        <w:rPr>
          <w:rFonts w:hint="eastAsia" w:ascii="宋体" w:hAnsi="宋体" w:cs="宋体"/>
          <w:color w:val="auto"/>
          <w:sz w:val="28"/>
          <w:szCs w:val="28"/>
          <w:highlight w:val="none"/>
          <w:lang w:eastAsia="zh-CN" w:bidi="ar"/>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val="en-US" w:eastAsia="zh-CN" w:bidi="ar"/>
        </w:rPr>
      </w:pPr>
      <w:r>
        <w:rPr>
          <w:rFonts w:hint="eastAsia" w:ascii="宋体" w:hAnsi="宋体" w:cs="宋体"/>
          <w:b/>
          <w:bCs/>
          <w:color w:val="auto"/>
          <w:sz w:val="28"/>
          <w:szCs w:val="28"/>
          <w:highlight w:val="none"/>
          <w:lang w:val="en-US" w:eastAsia="zh-CN" w:bidi="ar"/>
        </w:rPr>
        <w:t>3.</w:t>
      </w:r>
      <w:r>
        <w:rPr>
          <w:rFonts w:hint="eastAsia" w:ascii="宋体" w:hAnsi="宋体" w:eastAsia="宋体" w:cs="宋体"/>
          <w:b/>
          <w:bCs/>
          <w:color w:val="auto"/>
          <w:sz w:val="28"/>
          <w:szCs w:val="28"/>
          <w:highlight w:val="none"/>
          <w:lang w:val="en-US" w:eastAsia="zh-CN" w:bidi="ar"/>
        </w:rPr>
        <w:t>评测成果输出</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1）一企一档评测报告。逐家出具《中小企业数字化水平评测报告》，内容包含企业基本信息、现场核查记录、指标得分、等级判定、存在问题、改进建议、佐证材料清单等，报告须加盖评测机构公章、评测专家签字，报告要素齐全、结论清晰。落实“一企一档”要求，为每家企业建立全套评测档案，归集佐证材料、现场照片、系统截图、评测报告</w:t>
      </w:r>
      <w:r>
        <w:rPr>
          <w:rFonts w:hint="eastAsia" w:ascii="宋体" w:hAnsi="宋体" w:eastAsia="宋体" w:cs="宋体"/>
          <w:color w:val="auto"/>
          <w:sz w:val="28"/>
          <w:szCs w:val="28"/>
          <w:highlight w:val="none"/>
          <w:lang w:eastAsia="zh-CN" w:bidi="ar"/>
        </w:rPr>
        <w:t>、整改记录</w:t>
      </w:r>
      <w:r>
        <w:rPr>
          <w:rFonts w:hint="eastAsia" w:ascii="宋体" w:hAnsi="宋体" w:eastAsia="宋体" w:cs="宋体"/>
          <w:color w:val="auto"/>
          <w:sz w:val="28"/>
          <w:szCs w:val="28"/>
          <w:highlight w:val="none"/>
          <w:lang w:bidi="ar"/>
        </w:rPr>
        <w:t>等资料，统一归档，支持后续核查、审计、验收。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eastAsia="zh-CN" w:bidi="ar"/>
        </w:rPr>
        <w:t>（</w:t>
      </w:r>
      <w:r>
        <w:rPr>
          <w:rFonts w:hint="eastAsia" w:ascii="宋体" w:hAnsi="宋体" w:eastAsia="宋体" w:cs="宋体"/>
          <w:color w:val="auto"/>
          <w:sz w:val="28"/>
          <w:szCs w:val="28"/>
          <w:highlight w:val="none"/>
          <w:lang w:val="en-US" w:eastAsia="zh-CN" w:bidi="ar"/>
        </w:rPr>
        <w:t>2</w:t>
      </w:r>
      <w:r>
        <w:rPr>
          <w:rFonts w:hint="eastAsia" w:ascii="宋体" w:hAnsi="宋体" w:eastAsia="宋体" w:cs="宋体"/>
          <w:color w:val="auto"/>
          <w:sz w:val="28"/>
          <w:szCs w:val="28"/>
          <w:highlight w:val="none"/>
          <w:lang w:eastAsia="zh-CN" w:bidi="ar"/>
        </w:rPr>
        <w:t>）</w:t>
      </w:r>
      <w:r>
        <w:rPr>
          <w:rFonts w:hint="eastAsia" w:ascii="宋体" w:hAnsi="宋体" w:eastAsia="宋体" w:cs="宋体"/>
          <w:color w:val="auto"/>
          <w:sz w:val="28"/>
          <w:szCs w:val="28"/>
          <w:highlight w:val="none"/>
          <w:lang w:bidi="ar"/>
        </w:rPr>
        <w:t>整改复评报告。对初评未达标企业出具专项整改意见，明确不达标项、整改方向及复评标准。整改期满后，组织二次复评，逐项核验整改落实情况，出具复评报告，明确是否达标。复评次数原则上不超过两次。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eastAsia="zh-CN" w:bidi="ar"/>
        </w:rPr>
        <w:t>（</w:t>
      </w:r>
      <w:r>
        <w:rPr>
          <w:rFonts w:hint="eastAsia" w:ascii="宋体" w:hAnsi="宋体" w:eastAsia="宋体" w:cs="宋体"/>
          <w:color w:val="auto"/>
          <w:sz w:val="28"/>
          <w:szCs w:val="28"/>
          <w:highlight w:val="none"/>
          <w:lang w:val="en-US" w:eastAsia="zh-CN" w:bidi="ar"/>
        </w:rPr>
        <w:t>3</w:t>
      </w:r>
      <w:r>
        <w:rPr>
          <w:rFonts w:hint="eastAsia" w:ascii="宋体" w:hAnsi="宋体" w:eastAsia="宋体" w:cs="宋体"/>
          <w:color w:val="auto"/>
          <w:sz w:val="28"/>
          <w:szCs w:val="28"/>
          <w:highlight w:val="none"/>
          <w:lang w:eastAsia="zh-CN" w:bidi="ar"/>
        </w:rPr>
        <w:t>）</w:t>
      </w:r>
      <w:r>
        <w:rPr>
          <w:rFonts w:hint="eastAsia" w:ascii="宋体" w:hAnsi="宋体" w:eastAsia="宋体" w:cs="宋体"/>
          <w:color w:val="auto"/>
          <w:sz w:val="28"/>
          <w:szCs w:val="28"/>
          <w:highlight w:val="none"/>
          <w:lang w:bidi="ar"/>
        </w:rPr>
        <w:t>评测</w:t>
      </w:r>
      <w:r>
        <w:rPr>
          <w:rFonts w:hint="eastAsia" w:ascii="宋体" w:hAnsi="宋体" w:eastAsia="宋体" w:cs="宋体"/>
          <w:color w:val="auto"/>
          <w:sz w:val="28"/>
          <w:szCs w:val="28"/>
          <w:highlight w:val="none"/>
          <w:lang w:eastAsia="zh-CN" w:bidi="ar"/>
        </w:rPr>
        <w:t>工作简报</w:t>
      </w:r>
      <w:r>
        <w:rPr>
          <w:rFonts w:hint="eastAsia" w:ascii="宋体" w:hAnsi="宋体" w:eastAsia="宋体" w:cs="宋体"/>
          <w:color w:val="auto"/>
          <w:sz w:val="28"/>
          <w:szCs w:val="28"/>
          <w:highlight w:val="none"/>
          <w:lang w:bidi="ar"/>
        </w:rPr>
        <w:t>。按批次出具《评测工作简报》，汇总当期评测进度、达标率、共性问题、典型案例及风险提示。配合开展中期、期末绩效评价，梳理评测数据、汇总工作台账，协助完成绩效报告编制、实地复核、问题整改台账建立等工作。</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val="en-US" w:eastAsia="zh-CN" w:bidi="ar"/>
        </w:rPr>
      </w:pPr>
      <w:r>
        <w:rPr>
          <w:rFonts w:hint="eastAsia" w:ascii="宋体" w:hAnsi="宋体" w:cs="宋体"/>
          <w:b/>
          <w:bCs/>
          <w:color w:val="auto"/>
          <w:sz w:val="28"/>
          <w:szCs w:val="28"/>
          <w:highlight w:val="none"/>
          <w:lang w:val="en-US" w:eastAsia="zh-CN" w:bidi="ar"/>
        </w:rPr>
        <w:t>（二）</w:t>
      </w:r>
      <w:r>
        <w:rPr>
          <w:rFonts w:hint="eastAsia" w:ascii="宋体" w:hAnsi="宋体" w:eastAsia="宋体" w:cs="宋体"/>
          <w:b/>
          <w:bCs/>
          <w:color w:val="auto"/>
          <w:sz w:val="28"/>
          <w:szCs w:val="28"/>
          <w:highlight w:val="none"/>
          <w:lang w:bidi="ar"/>
        </w:rPr>
        <w:t>中小企业数字化转型公共服务平台</w:t>
      </w:r>
      <w:r>
        <w:rPr>
          <w:rFonts w:hint="eastAsia" w:ascii="宋体" w:hAnsi="宋体" w:eastAsia="宋体" w:cs="宋体"/>
          <w:b/>
          <w:bCs/>
          <w:color w:val="auto"/>
          <w:sz w:val="28"/>
          <w:szCs w:val="28"/>
          <w:highlight w:val="none"/>
          <w:lang w:val="en-US" w:eastAsia="zh-CN" w:bidi="ar"/>
        </w:rPr>
        <w:t>提供及全周期</w:t>
      </w:r>
      <w:r>
        <w:rPr>
          <w:rFonts w:hint="eastAsia" w:ascii="宋体" w:hAnsi="宋体" w:eastAsia="宋体" w:cs="宋体"/>
          <w:b/>
          <w:bCs/>
          <w:color w:val="auto"/>
          <w:sz w:val="28"/>
          <w:szCs w:val="28"/>
          <w:highlight w:val="none"/>
          <w:lang w:bidi="ar"/>
        </w:rPr>
        <w:t>运营</w:t>
      </w:r>
      <w:r>
        <w:rPr>
          <w:rFonts w:hint="eastAsia" w:ascii="宋体" w:hAnsi="宋体" w:eastAsia="宋体" w:cs="宋体"/>
          <w:b/>
          <w:bCs/>
          <w:color w:val="auto"/>
          <w:sz w:val="28"/>
          <w:szCs w:val="28"/>
          <w:highlight w:val="none"/>
          <w:lang w:val="en-US" w:eastAsia="zh-CN" w:bidi="ar"/>
        </w:rPr>
        <w:t>服务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0"/>
        <w:rPr>
          <w:rFonts w:hint="eastAsia" w:ascii="宋体" w:hAnsi="宋体" w:eastAsia="宋体" w:cs="宋体"/>
          <w:bCs/>
          <w:color w:val="auto"/>
          <w:sz w:val="28"/>
          <w:szCs w:val="28"/>
          <w:highlight w:val="none"/>
          <w:u w:val="none"/>
        </w:rPr>
      </w:pPr>
      <w:r>
        <w:rPr>
          <w:rFonts w:hint="eastAsia" w:ascii="宋体" w:hAnsi="宋体" w:eastAsia="宋体" w:cs="宋体"/>
          <w:color w:val="auto"/>
          <w:sz w:val="28"/>
          <w:szCs w:val="28"/>
          <w:highlight w:val="none"/>
          <w:lang w:val="en-US" w:eastAsia="zh-CN" w:bidi="ar"/>
        </w:rPr>
        <w:t>供</w:t>
      </w:r>
      <w:r>
        <w:rPr>
          <w:rFonts w:hint="eastAsia" w:ascii="宋体" w:hAnsi="宋体" w:eastAsia="宋体" w:cs="宋体"/>
          <w:color w:val="auto"/>
          <w:sz w:val="28"/>
          <w:szCs w:val="28"/>
          <w:highlight w:val="none"/>
          <w:lang w:bidi="ar"/>
        </w:rPr>
        <w:t>应商需提供</w:t>
      </w:r>
      <w:r>
        <w:rPr>
          <w:rFonts w:hint="eastAsia" w:ascii="宋体" w:hAnsi="宋体" w:eastAsia="宋体" w:cs="宋体"/>
          <w:color w:val="auto"/>
          <w:sz w:val="28"/>
          <w:szCs w:val="28"/>
          <w:highlight w:val="none"/>
          <w:lang w:val="en-US" w:eastAsia="zh-CN" w:bidi="ar"/>
        </w:rPr>
        <w:t>中小企业数字化转型公共服务</w:t>
      </w:r>
      <w:r>
        <w:rPr>
          <w:rFonts w:hint="eastAsia" w:ascii="宋体" w:hAnsi="宋体" w:eastAsia="宋体" w:cs="宋体"/>
          <w:color w:val="auto"/>
          <w:sz w:val="28"/>
          <w:szCs w:val="28"/>
          <w:highlight w:val="none"/>
          <w:lang w:bidi="ar"/>
        </w:rPr>
        <w:t>平台，全程负责平台的部署适配、</w:t>
      </w:r>
      <w:r>
        <w:rPr>
          <w:rFonts w:hint="eastAsia" w:ascii="宋体" w:hAnsi="宋体" w:cs="宋体"/>
          <w:color w:val="auto"/>
          <w:sz w:val="28"/>
          <w:szCs w:val="28"/>
          <w:highlight w:val="none"/>
          <w:lang w:eastAsia="zh-CN" w:bidi="ar"/>
        </w:rPr>
        <w:t>二次开发、</w:t>
      </w:r>
      <w:r>
        <w:rPr>
          <w:rFonts w:hint="eastAsia" w:ascii="宋体" w:hAnsi="宋体" w:eastAsia="宋体" w:cs="宋体"/>
          <w:color w:val="auto"/>
          <w:sz w:val="28"/>
          <w:szCs w:val="28"/>
          <w:highlight w:val="none"/>
          <w:lang w:bidi="ar"/>
        </w:rPr>
        <w:t>功能调试、日常运维、内容运营、迭代优化</w:t>
      </w:r>
      <w:r>
        <w:rPr>
          <w:rFonts w:hint="eastAsia" w:ascii="宋体" w:hAnsi="宋体" w:eastAsia="宋体" w:cs="宋体"/>
          <w:color w:val="auto"/>
          <w:sz w:val="28"/>
          <w:szCs w:val="28"/>
          <w:highlight w:val="none"/>
          <w:lang w:eastAsia="zh-CN" w:bidi="ar"/>
        </w:rPr>
        <w:t>、</w:t>
      </w:r>
      <w:r>
        <w:rPr>
          <w:rFonts w:hint="eastAsia" w:ascii="宋体" w:hAnsi="宋体" w:cs="宋体"/>
          <w:color w:val="auto"/>
          <w:sz w:val="28"/>
          <w:szCs w:val="28"/>
          <w:highlight w:val="none"/>
          <w:lang w:eastAsia="zh-CN" w:bidi="ar"/>
        </w:rPr>
        <w:t>安全防护、</w:t>
      </w:r>
      <w:r>
        <w:rPr>
          <w:rFonts w:hint="eastAsia" w:ascii="宋体" w:hAnsi="宋体" w:eastAsia="宋体" w:cs="宋体"/>
          <w:color w:val="auto"/>
          <w:sz w:val="28"/>
          <w:szCs w:val="28"/>
          <w:highlight w:val="none"/>
        </w:rPr>
        <w:t>数据对接、资源运营</w:t>
      </w:r>
      <w:r>
        <w:rPr>
          <w:rFonts w:hint="eastAsia" w:ascii="宋体" w:hAnsi="宋体" w:eastAsia="宋体" w:cs="宋体"/>
          <w:color w:val="auto"/>
          <w:sz w:val="28"/>
          <w:szCs w:val="28"/>
          <w:highlight w:val="none"/>
          <w:lang w:bidi="ar"/>
        </w:rPr>
        <w:t>等全部后续服务工作，保障平台在试点周期内稳定运行、功能持续适配管理要求。</w:t>
      </w:r>
      <w:r>
        <w:rPr>
          <w:rFonts w:hint="eastAsia" w:ascii="宋体" w:hAnsi="宋体" w:cs="宋体"/>
          <w:color w:val="auto"/>
          <w:sz w:val="28"/>
          <w:szCs w:val="28"/>
          <w:highlight w:val="none"/>
          <w:lang w:eastAsia="zh-CN" w:bidi="ar"/>
        </w:rPr>
        <w:t>试点期结束后，</w:t>
      </w:r>
      <w:r>
        <w:rPr>
          <w:rFonts w:hint="eastAsia" w:ascii="宋体" w:hAnsi="宋体" w:eastAsia="宋体" w:cs="宋体"/>
          <w:bCs/>
          <w:color w:val="auto"/>
          <w:sz w:val="28"/>
          <w:szCs w:val="28"/>
          <w:highlight w:val="none"/>
          <w:u w:val="none"/>
          <w:lang w:eastAsia="zh-CN"/>
        </w:rPr>
        <w:t>平台数据</w:t>
      </w:r>
      <w:r>
        <w:rPr>
          <w:rFonts w:hint="eastAsia" w:ascii="宋体" w:hAnsi="宋体" w:cs="宋体"/>
          <w:bCs/>
          <w:color w:val="auto"/>
          <w:sz w:val="28"/>
          <w:szCs w:val="28"/>
          <w:highlight w:val="none"/>
          <w:u w:val="none"/>
          <w:lang w:val="en-US" w:eastAsia="zh-CN"/>
        </w:rPr>
        <w:t>需具备</w:t>
      </w:r>
      <w:r>
        <w:rPr>
          <w:rFonts w:hint="eastAsia" w:ascii="宋体" w:hAnsi="宋体" w:eastAsia="宋体" w:cs="宋体"/>
          <w:bCs/>
          <w:color w:val="auto"/>
          <w:sz w:val="28"/>
          <w:szCs w:val="28"/>
          <w:highlight w:val="none"/>
          <w:u w:val="none"/>
          <w:lang w:eastAsia="zh-CN"/>
        </w:rPr>
        <w:t>保留不少于</w:t>
      </w:r>
      <w:r>
        <w:rPr>
          <w:rFonts w:hint="eastAsia" w:ascii="宋体" w:hAnsi="宋体" w:eastAsia="宋体" w:cs="宋体"/>
          <w:bCs/>
          <w:color w:val="auto"/>
          <w:sz w:val="28"/>
          <w:szCs w:val="28"/>
          <w:highlight w:val="none"/>
          <w:u w:val="none"/>
          <w:lang w:val="en-US" w:eastAsia="zh-CN"/>
        </w:rPr>
        <w:t>5年</w:t>
      </w:r>
      <w:r>
        <w:rPr>
          <w:rFonts w:hint="eastAsia" w:ascii="宋体" w:hAnsi="宋体" w:cs="宋体"/>
          <w:bCs/>
          <w:color w:val="auto"/>
          <w:sz w:val="28"/>
          <w:szCs w:val="28"/>
          <w:highlight w:val="none"/>
          <w:u w:val="none"/>
          <w:lang w:val="en-US" w:eastAsia="zh-CN"/>
        </w:rPr>
        <w:t>时间随时调阅、下载功能</w:t>
      </w:r>
      <w:r>
        <w:rPr>
          <w:rFonts w:hint="eastAsia" w:ascii="宋体" w:hAnsi="宋体" w:eastAsia="宋体" w:cs="宋体"/>
          <w:bCs/>
          <w:color w:val="auto"/>
          <w:sz w:val="28"/>
          <w:szCs w:val="28"/>
          <w:highlight w:val="none"/>
          <w:u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cs="宋体"/>
          <w:b/>
          <w:bCs/>
          <w:color w:val="auto"/>
          <w:sz w:val="28"/>
          <w:szCs w:val="28"/>
          <w:highlight w:val="none"/>
          <w:lang w:val="en-US" w:eastAsia="zh-CN" w:bidi="ar"/>
        </w:rPr>
      </w:pPr>
      <w:r>
        <w:rPr>
          <w:rFonts w:hint="eastAsia" w:ascii="宋体" w:hAnsi="宋体" w:cs="宋体"/>
          <w:b/>
          <w:bCs/>
          <w:color w:val="auto"/>
          <w:sz w:val="28"/>
          <w:szCs w:val="28"/>
          <w:highlight w:val="none"/>
          <w:lang w:val="en-US" w:eastAsia="zh-CN" w:bidi="ar"/>
        </w:rPr>
        <w:t>1.</w:t>
      </w:r>
      <w:r>
        <w:rPr>
          <w:rFonts w:hint="eastAsia" w:ascii="宋体" w:hAnsi="宋体" w:eastAsia="宋体" w:cs="宋体"/>
          <w:b/>
          <w:bCs/>
          <w:color w:val="auto"/>
          <w:sz w:val="28"/>
          <w:szCs w:val="28"/>
          <w:highlight w:val="none"/>
          <w:lang w:bidi="ar"/>
        </w:rPr>
        <w:t>平台核心功能要求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平台需集成试点全流程监管、业务闭环管理、资源供需对接、数字化服务、数据可视化五大板块，功能包含但不限于以下模块，全面支撑试点工作落地：</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val="en-US" w:eastAsia="zh-CN" w:bidi="ar"/>
        </w:rPr>
        <w:t>（1）</w:t>
      </w:r>
      <w:r>
        <w:rPr>
          <w:rFonts w:hint="eastAsia" w:ascii="宋体" w:hAnsi="宋体" w:eastAsia="宋体" w:cs="宋体"/>
          <w:color w:val="auto"/>
          <w:sz w:val="28"/>
          <w:szCs w:val="28"/>
          <w:highlight w:val="none"/>
          <w:lang w:bidi="ar"/>
        </w:rPr>
        <w:t>试点企业全生命周期管理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eastAsia="zh-CN" w:bidi="ar"/>
        </w:rPr>
      </w:pPr>
      <w:r>
        <w:rPr>
          <w:rFonts w:hint="eastAsia" w:ascii="宋体" w:hAnsi="宋体" w:eastAsia="宋体" w:cs="宋体"/>
          <w:color w:val="auto"/>
          <w:sz w:val="28"/>
          <w:szCs w:val="28"/>
          <w:highlight w:val="none"/>
          <w:lang w:bidi="ar"/>
        </w:rPr>
        <w:t>实现试点企业入库、信息备案、状态跟踪、退出管理、动态台账管理。支持企业信息线上填报、材料上传、资质审核、分类标签管理，全程记录企业参与试点各阶段状态，形成企业动态管理台账，满足监管溯源要求。试点企业库实行动态管理，对不再符合条件的企业予以调出，对符合条件的企业可按属地原则申请补录</w:t>
      </w:r>
      <w:r>
        <w:rPr>
          <w:rFonts w:hint="eastAsia" w:ascii="宋体" w:hAnsi="宋体" w:eastAsia="宋体" w:cs="宋体"/>
          <w:color w:val="auto"/>
          <w:sz w:val="28"/>
          <w:szCs w:val="28"/>
          <w:highlight w:val="none"/>
          <w:lang w:eastAsia="zh-CN" w:bidi="ar"/>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val="en-US" w:eastAsia="zh-CN" w:bidi="ar"/>
        </w:rPr>
        <w:t>（2）</w:t>
      </w:r>
      <w:r>
        <w:rPr>
          <w:rFonts w:hint="eastAsia" w:ascii="宋体" w:hAnsi="宋体" w:eastAsia="宋体" w:cs="宋体"/>
          <w:color w:val="auto"/>
          <w:sz w:val="28"/>
          <w:szCs w:val="28"/>
          <w:highlight w:val="none"/>
          <w:lang w:bidi="ar"/>
        </w:rPr>
        <w:t>服务商资源池管理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trike/>
          <w:dstrike w:val="0"/>
          <w:color w:val="auto"/>
          <w:sz w:val="28"/>
          <w:szCs w:val="28"/>
          <w:highlight w:val="none"/>
          <w:lang w:eastAsia="zh-CN" w:bidi="ar"/>
        </w:rPr>
      </w:pPr>
      <w:r>
        <w:rPr>
          <w:rFonts w:hint="eastAsia" w:ascii="宋体" w:hAnsi="宋体" w:eastAsia="宋体" w:cs="宋体"/>
          <w:color w:val="auto"/>
          <w:sz w:val="28"/>
          <w:szCs w:val="28"/>
          <w:highlight w:val="none"/>
          <w:lang w:bidi="ar"/>
        </w:rPr>
        <w:t>建立全市数字化服务商标准化资源库，支持服务商</w:t>
      </w:r>
      <w:r>
        <w:rPr>
          <w:rFonts w:hint="eastAsia" w:ascii="宋体" w:hAnsi="宋体" w:eastAsia="宋体" w:cs="宋体"/>
          <w:color w:val="auto"/>
          <w:sz w:val="28"/>
          <w:szCs w:val="28"/>
          <w:highlight w:val="none"/>
          <w:lang w:val="en-US" w:eastAsia="zh-CN" w:bidi="ar"/>
        </w:rPr>
        <w:t>入库</w:t>
      </w:r>
      <w:r>
        <w:rPr>
          <w:rFonts w:hint="eastAsia" w:ascii="宋体" w:hAnsi="宋体" w:eastAsia="宋体" w:cs="宋体"/>
          <w:color w:val="auto"/>
          <w:sz w:val="28"/>
          <w:szCs w:val="28"/>
          <w:highlight w:val="none"/>
          <w:lang w:bidi="ar"/>
        </w:rPr>
        <w:t>申请、资质审核、信息备案、</w:t>
      </w:r>
      <w:r>
        <w:rPr>
          <w:rFonts w:hint="eastAsia" w:ascii="宋体" w:hAnsi="宋体" w:eastAsia="宋体" w:cs="宋体"/>
          <w:color w:val="auto"/>
          <w:sz w:val="28"/>
          <w:szCs w:val="28"/>
          <w:highlight w:val="none"/>
          <w:lang w:val="en-US" w:eastAsia="zh-CN" w:bidi="ar"/>
        </w:rPr>
        <w:t>动态</w:t>
      </w:r>
      <w:r>
        <w:rPr>
          <w:rFonts w:hint="eastAsia" w:ascii="宋体" w:hAnsi="宋体" w:eastAsia="宋体" w:cs="宋体"/>
          <w:color w:val="auto"/>
          <w:sz w:val="28"/>
          <w:szCs w:val="28"/>
          <w:highlight w:val="none"/>
          <w:lang w:bidi="ar"/>
        </w:rPr>
        <w:t>管理。支持精准检索、筛选、排序，规范服务商准入与动态监管。按综合型、行业型、场景型分类管理服务商</w:t>
      </w:r>
      <w:r>
        <w:rPr>
          <w:rFonts w:hint="eastAsia" w:ascii="宋体" w:hAnsi="宋体" w:cs="宋体"/>
          <w:color w:val="auto"/>
          <w:sz w:val="28"/>
          <w:szCs w:val="28"/>
          <w:highlight w:val="none"/>
          <w:lang w:eastAsia="zh-CN" w:bidi="ar"/>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w:t>
      </w:r>
      <w:r>
        <w:rPr>
          <w:rFonts w:hint="eastAsia" w:ascii="宋体" w:hAnsi="宋体" w:eastAsia="宋体" w:cs="宋体"/>
          <w:color w:val="auto"/>
          <w:sz w:val="28"/>
          <w:szCs w:val="28"/>
          <w:highlight w:val="none"/>
          <w:lang w:val="en-US" w:eastAsia="zh-CN" w:bidi="ar"/>
        </w:rPr>
        <w:t>3</w:t>
      </w:r>
      <w:r>
        <w:rPr>
          <w:rFonts w:hint="eastAsia" w:ascii="宋体" w:hAnsi="宋体" w:eastAsia="宋体" w:cs="宋体"/>
          <w:color w:val="auto"/>
          <w:sz w:val="28"/>
          <w:szCs w:val="28"/>
          <w:highlight w:val="none"/>
          <w:lang w:bidi="ar"/>
        </w:rPr>
        <w:t>）“小快轻准”产品及解决方案库</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建立“小快轻准”产品库，收录、展示各类轻量化数字化软硬件产品、标准化解决方案。支持产品分类、参数展示、在线咨询。支持常态化征集适配两大试点行业、小型化、快速化、轻量化、精准化的数字化产品、工业APP及场景解决方案</w:t>
      </w:r>
      <w:r>
        <w:rPr>
          <w:rFonts w:hint="eastAsia" w:ascii="宋体" w:hAnsi="宋体" w:cs="宋体"/>
          <w:color w:val="auto"/>
          <w:sz w:val="28"/>
          <w:szCs w:val="28"/>
          <w:highlight w:val="none"/>
          <w:lang w:eastAsia="zh-CN" w:bidi="ar"/>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w:t>
      </w:r>
      <w:r>
        <w:rPr>
          <w:rFonts w:hint="eastAsia" w:ascii="宋体" w:hAnsi="宋体" w:eastAsia="宋体" w:cs="宋体"/>
          <w:color w:val="auto"/>
          <w:sz w:val="28"/>
          <w:szCs w:val="28"/>
          <w:highlight w:val="none"/>
          <w:lang w:val="en-US" w:eastAsia="zh-CN" w:bidi="ar"/>
        </w:rPr>
        <w:t>4</w:t>
      </w:r>
      <w:r>
        <w:rPr>
          <w:rFonts w:hint="eastAsia" w:ascii="宋体" w:hAnsi="宋体" w:eastAsia="宋体" w:cs="宋体"/>
          <w:color w:val="auto"/>
          <w:sz w:val="28"/>
          <w:szCs w:val="28"/>
          <w:highlight w:val="none"/>
          <w:lang w:bidi="ar"/>
        </w:rPr>
        <w:t>）专家库管理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建立数字化转型专家资源库，汇聚行业领域、数字化转型技术、法务、财务审计等领域专业人才。支持专家入库申请、资质审核、信息备案、分类管理，支持专家搜索与联系，为项目评审、方案论证、绩效评估等提供专家资源支撑。</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val="en-US" w:bidi="ar"/>
        </w:rPr>
      </w:pPr>
      <w:r>
        <w:rPr>
          <w:rFonts w:hint="eastAsia" w:ascii="宋体" w:hAnsi="宋体" w:eastAsia="宋体" w:cs="宋体"/>
          <w:color w:val="auto"/>
          <w:sz w:val="28"/>
          <w:szCs w:val="28"/>
          <w:highlight w:val="none"/>
          <w:lang w:val="en-US" w:eastAsia="zh-CN" w:bidi="ar"/>
        </w:rPr>
        <w:t>（5）供需对接精准匹配</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搭建企业需求清单库，实现企业需求精准匹配服务商、专家、“小快轻准”产品和解决方案、标杆案例、政策文件等资源</w:t>
      </w:r>
      <w:r>
        <w:rPr>
          <w:rFonts w:hint="eastAsia" w:ascii="宋体" w:hAnsi="宋体" w:cs="宋体"/>
          <w:color w:val="auto"/>
          <w:sz w:val="28"/>
          <w:szCs w:val="28"/>
          <w:highlight w:val="none"/>
          <w:lang w:eastAsia="zh-CN" w:bidi="ar"/>
        </w:rPr>
        <w:t>，</w:t>
      </w:r>
      <w:r>
        <w:rPr>
          <w:rFonts w:hint="eastAsia" w:ascii="宋体" w:hAnsi="宋体" w:eastAsia="宋体" w:cs="宋体"/>
          <w:color w:val="auto"/>
          <w:sz w:val="28"/>
          <w:szCs w:val="28"/>
          <w:highlight w:val="none"/>
          <w:lang w:bidi="ar"/>
        </w:rPr>
        <w:t>提升供需对接效率。支持企业浏览和搜索</w:t>
      </w:r>
      <w:r>
        <w:rPr>
          <w:rFonts w:hint="eastAsia" w:ascii="宋体" w:hAnsi="宋体" w:cs="宋体"/>
          <w:color w:val="auto"/>
          <w:sz w:val="28"/>
          <w:szCs w:val="28"/>
          <w:highlight w:val="none"/>
          <w:lang w:val="en-US" w:eastAsia="zh-CN" w:bidi="ar"/>
        </w:rPr>
        <w:t>数字化转型小块轻准产品和解决方案等相关</w:t>
      </w:r>
      <w:r>
        <w:rPr>
          <w:rFonts w:hint="eastAsia" w:ascii="宋体" w:hAnsi="宋体" w:eastAsia="宋体" w:cs="宋体"/>
          <w:color w:val="auto"/>
          <w:sz w:val="28"/>
          <w:szCs w:val="28"/>
          <w:highlight w:val="none"/>
          <w:lang w:bidi="ar"/>
        </w:rPr>
        <w:t>资源，提升供需对接效率。搭建“需求大厅”，为企业与服务商搭建对接桥梁，快速解决转型痛点。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val="en-US" w:eastAsia="zh-CN" w:bidi="ar"/>
        </w:rPr>
        <w:t>（6）</w:t>
      </w:r>
      <w:r>
        <w:rPr>
          <w:rFonts w:hint="eastAsia" w:ascii="宋体" w:hAnsi="宋体" w:eastAsia="宋体" w:cs="宋体"/>
          <w:color w:val="auto"/>
          <w:sz w:val="28"/>
          <w:szCs w:val="28"/>
          <w:highlight w:val="none"/>
          <w:lang w:bidi="ar"/>
        </w:rPr>
        <w:t>试点项目全链条监管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覆盖试点项目全过程档案线上上传、审核、归档、查询、溯源全流程。支持电子存档、履约节点提醒，关联对应企业、服务商、小快轻准产品和解决方案，实现与数字化改造项目备案、评测、审计、验收、评优、推广一一绑定，便于资金、履约情况联动核查。实现对试点项目启动、实施进展、项目验收等关键节点的进度监测与成效分析</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宋体" w:hAnsi="宋体" w:eastAsia="宋体" w:cs="宋体"/>
          <w:color w:val="auto"/>
          <w:sz w:val="28"/>
          <w:szCs w:val="28"/>
          <w:highlight w:val="none"/>
          <w:lang w:val="en-US" w:eastAsia="zh-CN" w:bidi="ar"/>
        </w:rPr>
      </w:pPr>
      <w:r>
        <w:rPr>
          <w:rFonts w:hint="eastAsia" w:ascii="宋体" w:hAnsi="宋体" w:eastAsia="宋体" w:cs="宋体"/>
          <w:color w:val="auto"/>
          <w:sz w:val="28"/>
          <w:szCs w:val="28"/>
          <w:highlight w:val="none"/>
          <w:lang w:val="en-US" w:eastAsia="zh-CN" w:bidi="ar"/>
        </w:rPr>
        <w:t>（7）</w:t>
      </w:r>
      <w:r>
        <w:rPr>
          <w:rFonts w:hint="eastAsia" w:ascii="宋体" w:hAnsi="宋体" w:eastAsia="宋体" w:cs="宋体"/>
          <w:color w:val="auto"/>
          <w:sz w:val="28"/>
          <w:szCs w:val="28"/>
          <w:highlight w:val="none"/>
          <w:lang w:bidi="ar"/>
        </w:rPr>
        <w:t>评测验收全流程管理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对接线下评测、验收工作，实现评测、验收任务派发、进度跟踪、评测、验收材料线上归集、评测、验收报告上传、整改通知下发、复评管理等功能。实现评测验收全流程闭环管理，所有资料线上存档备查</w:t>
      </w:r>
      <w:r>
        <w:rPr>
          <w:rFonts w:hint="eastAsia" w:ascii="宋体" w:hAnsi="宋体" w:eastAsia="宋体" w:cs="宋体"/>
          <w:color w:val="auto"/>
          <w:sz w:val="28"/>
          <w:szCs w:val="28"/>
          <w:highlight w:val="none"/>
          <w:lang w:eastAsia="zh-CN" w:bidi="ar"/>
        </w:rPr>
        <w:t>，</w:t>
      </w:r>
      <w:r>
        <w:rPr>
          <w:rFonts w:hint="eastAsia" w:ascii="宋体" w:hAnsi="宋体" w:eastAsia="宋体" w:cs="宋体"/>
          <w:color w:val="auto"/>
          <w:sz w:val="28"/>
          <w:szCs w:val="28"/>
          <w:highlight w:val="none"/>
          <w:lang w:bidi="ar"/>
        </w:rPr>
        <w:t>一企一档动态管理。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val="en-US" w:eastAsia="zh-CN" w:bidi="ar"/>
        </w:rPr>
        <w:t>（</w:t>
      </w:r>
      <w:r>
        <w:rPr>
          <w:rFonts w:hint="eastAsia" w:ascii="宋体" w:hAnsi="宋体" w:cs="宋体"/>
          <w:color w:val="auto"/>
          <w:sz w:val="28"/>
          <w:szCs w:val="28"/>
          <w:highlight w:val="none"/>
          <w:lang w:val="en-US" w:eastAsia="zh-CN" w:bidi="ar"/>
        </w:rPr>
        <w:t>8</w:t>
      </w:r>
      <w:r>
        <w:rPr>
          <w:rFonts w:hint="eastAsia" w:ascii="宋体" w:hAnsi="宋体" w:eastAsia="宋体" w:cs="宋体"/>
          <w:color w:val="auto"/>
          <w:sz w:val="28"/>
          <w:szCs w:val="28"/>
          <w:highlight w:val="none"/>
          <w:lang w:val="en-US" w:eastAsia="zh-CN" w:bidi="ar"/>
        </w:rPr>
        <w:t>）</w:t>
      </w:r>
      <w:r>
        <w:rPr>
          <w:rFonts w:hint="eastAsia" w:ascii="宋体" w:hAnsi="宋体" w:eastAsia="宋体" w:cs="宋体"/>
          <w:color w:val="auto"/>
          <w:sz w:val="28"/>
          <w:szCs w:val="28"/>
          <w:highlight w:val="none"/>
          <w:lang w:bidi="ar"/>
        </w:rPr>
        <w:t>“一企一档”电子档案管理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按照档案管理规范，自动为每家试点企业建立线上电子档案库，归集企业基本资料、评测报告、现场佐证材料、合同文件、验收资料、整改记录、资金凭证等全部材料。支持档案分类存储、在线查阅、下载、归档、审计溯源。满足国家、省、市档案管理相关规章制度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w:t>
      </w:r>
      <w:r>
        <w:rPr>
          <w:rFonts w:hint="eastAsia" w:ascii="宋体" w:hAnsi="宋体" w:cs="宋体"/>
          <w:color w:val="auto"/>
          <w:sz w:val="28"/>
          <w:szCs w:val="28"/>
          <w:highlight w:val="none"/>
          <w:lang w:val="en-US" w:eastAsia="zh-CN" w:bidi="ar"/>
        </w:rPr>
        <w:t>9</w:t>
      </w:r>
      <w:r>
        <w:rPr>
          <w:rFonts w:hint="eastAsia" w:ascii="宋体" w:hAnsi="宋体" w:eastAsia="宋体" w:cs="宋体"/>
          <w:color w:val="auto"/>
          <w:sz w:val="28"/>
          <w:szCs w:val="28"/>
          <w:highlight w:val="none"/>
          <w:lang w:bidi="ar"/>
        </w:rPr>
        <w:t>）政策资讯与公共服务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集成政策资讯发布、通知公告推送、线上咨询、问答互动、政策解读、活动报名等公共服务功能。同步国家、省、市数字化转型相关政策、行业资讯、工作通知，为全市中小企业提供常态化政策服务与咨询答疑。</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（1</w:t>
      </w:r>
      <w:r>
        <w:rPr>
          <w:rFonts w:hint="eastAsia" w:ascii="宋体" w:hAnsi="宋体" w:cs="宋体"/>
          <w:color w:val="auto"/>
          <w:sz w:val="28"/>
          <w:szCs w:val="28"/>
          <w:highlight w:val="none"/>
          <w:lang w:val="en-US" w:eastAsia="zh-CN" w:bidi="ar"/>
        </w:rPr>
        <w:t>0</w:t>
      </w:r>
      <w:r>
        <w:rPr>
          <w:rFonts w:hint="eastAsia" w:ascii="宋体" w:hAnsi="宋体" w:eastAsia="宋体" w:cs="宋体"/>
          <w:color w:val="auto"/>
          <w:sz w:val="28"/>
          <w:szCs w:val="28"/>
          <w:highlight w:val="none"/>
          <w:lang w:bidi="ar"/>
        </w:rPr>
        <w:t>）标杆案例展示与推广</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cs="宋体"/>
          <w:color w:val="auto"/>
          <w:sz w:val="28"/>
          <w:szCs w:val="28"/>
          <w:highlight w:val="none"/>
          <w:lang w:val="en-US" w:eastAsia="zh-CN" w:bidi="ar"/>
        </w:rPr>
      </w:pPr>
      <w:r>
        <w:rPr>
          <w:rFonts w:hint="eastAsia" w:ascii="宋体" w:hAnsi="宋体" w:cs="宋体"/>
          <w:color w:val="auto"/>
          <w:sz w:val="28"/>
          <w:szCs w:val="28"/>
          <w:highlight w:val="none"/>
          <w:lang w:val="en-US" w:eastAsia="zh-CN" w:bidi="ar"/>
        </w:rPr>
        <w:t>平台具备</w:t>
      </w:r>
      <w:r>
        <w:rPr>
          <w:rFonts w:hint="eastAsia" w:ascii="宋体" w:hAnsi="宋体" w:eastAsia="宋体" w:cs="宋体"/>
          <w:color w:val="auto"/>
          <w:sz w:val="28"/>
          <w:szCs w:val="28"/>
          <w:highlight w:val="none"/>
          <w:lang w:bidi="ar"/>
        </w:rPr>
        <w:t>发布全市中小企业数字化转型标杆案例、优秀改造场景、典型成效</w:t>
      </w:r>
      <w:r>
        <w:rPr>
          <w:rFonts w:hint="eastAsia" w:ascii="宋体" w:hAnsi="宋体" w:cs="宋体"/>
          <w:color w:val="auto"/>
          <w:sz w:val="28"/>
          <w:szCs w:val="28"/>
          <w:highlight w:val="none"/>
          <w:lang w:val="en-US" w:eastAsia="zh-CN" w:bidi="ar"/>
        </w:rPr>
        <w:t>相关功能</w:t>
      </w:r>
      <w:r>
        <w:rPr>
          <w:rFonts w:hint="eastAsia" w:ascii="宋体" w:hAnsi="宋体" w:eastAsia="宋体" w:cs="宋体"/>
          <w:color w:val="auto"/>
          <w:sz w:val="28"/>
          <w:szCs w:val="28"/>
          <w:highlight w:val="none"/>
          <w:lang w:bidi="ar"/>
        </w:rPr>
        <w:t>。支持案例分类展示、详情查阅、在线分享、案例检索，打造转型经验共享阵地，发挥标杆示范引领作用。系统总结试点工作经验，定期征集遴选细分行业典型案例和创新举措，汇编推广。</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（1</w:t>
      </w:r>
      <w:r>
        <w:rPr>
          <w:rFonts w:hint="eastAsia" w:ascii="宋体" w:hAnsi="宋体" w:cs="宋体"/>
          <w:color w:val="auto"/>
          <w:sz w:val="28"/>
          <w:szCs w:val="28"/>
          <w:highlight w:val="none"/>
          <w:lang w:val="en-US" w:eastAsia="zh-CN" w:bidi="ar"/>
        </w:rPr>
        <w:t>1</w:t>
      </w:r>
      <w:r>
        <w:rPr>
          <w:rFonts w:hint="eastAsia" w:ascii="宋体" w:hAnsi="宋体" w:eastAsia="宋体" w:cs="宋体"/>
          <w:color w:val="auto"/>
          <w:sz w:val="28"/>
          <w:szCs w:val="28"/>
          <w:highlight w:val="none"/>
          <w:lang w:bidi="ar"/>
        </w:rPr>
        <w:t>）数据统计与可视化</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搭建数字化数据看板，实时展示全市试点企业数量、项目进度、数字化等级分布、改造投入、转型成效等核心数据。支持多维度数据导出、自定义报表生成，满足日常监管与汇报需求。支持进度监测、成效分析、风险预警、决策支撑。</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（1</w:t>
      </w:r>
      <w:r>
        <w:rPr>
          <w:rFonts w:hint="eastAsia" w:ascii="宋体" w:hAnsi="宋体" w:cs="宋体"/>
          <w:color w:val="auto"/>
          <w:sz w:val="28"/>
          <w:szCs w:val="28"/>
          <w:highlight w:val="none"/>
          <w:lang w:val="en-US" w:eastAsia="zh-CN" w:bidi="ar"/>
        </w:rPr>
        <w:t>2</w:t>
      </w:r>
      <w:r>
        <w:rPr>
          <w:rFonts w:hint="eastAsia" w:ascii="宋体" w:hAnsi="宋体" w:eastAsia="宋体" w:cs="宋体"/>
          <w:color w:val="auto"/>
          <w:sz w:val="28"/>
          <w:szCs w:val="28"/>
          <w:highlight w:val="none"/>
          <w:lang w:bidi="ar"/>
        </w:rPr>
        <w:t>）试点城市绩效管理模块</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对照试点城市验收要求，汇总各项考核指标数据，在线评估绩效完成情况，为工作成效提供数据支撑。支持提交绩效评价申请，支持试点城市动态配置绩效指标。支撑试点城市中期评价、终期验收、审计核查全流程材料与数据管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（1</w:t>
      </w:r>
      <w:r>
        <w:rPr>
          <w:rFonts w:hint="eastAsia" w:ascii="宋体" w:hAnsi="宋体" w:cs="宋体"/>
          <w:color w:val="auto"/>
          <w:sz w:val="28"/>
          <w:szCs w:val="28"/>
          <w:highlight w:val="none"/>
          <w:lang w:val="en-US" w:eastAsia="zh-CN" w:bidi="ar"/>
        </w:rPr>
        <w:t>3</w:t>
      </w:r>
      <w:r>
        <w:rPr>
          <w:rFonts w:hint="eastAsia" w:ascii="宋体" w:hAnsi="宋体" w:eastAsia="宋体" w:cs="宋体"/>
          <w:color w:val="auto"/>
          <w:sz w:val="28"/>
          <w:szCs w:val="28"/>
          <w:highlight w:val="none"/>
          <w:lang w:bidi="ar"/>
        </w:rPr>
        <w:t>）系统管理与安全防护</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实现精细化权限管理及日志追溯，保障平台规范运营。支持用户账号的注册审核、权限管理、问题答疑。</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bidi="ar"/>
        </w:rPr>
      </w:pPr>
      <w:r>
        <w:rPr>
          <w:rFonts w:hint="eastAsia" w:ascii="宋体" w:hAnsi="宋体" w:cs="宋体"/>
          <w:b/>
          <w:bCs/>
          <w:color w:val="auto"/>
          <w:sz w:val="28"/>
          <w:szCs w:val="28"/>
          <w:highlight w:val="none"/>
          <w:lang w:val="en-US" w:eastAsia="zh-CN" w:bidi="ar"/>
        </w:rPr>
        <w:t>2.</w:t>
      </w:r>
      <w:r>
        <w:rPr>
          <w:rFonts w:hint="eastAsia" w:ascii="宋体" w:hAnsi="宋体" w:eastAsia="宋体" w:cs="宋体"/>
          <w:b/>
          <w:bCs/>
          <w:color w:val="auto"/>
          <w:sz w:val="28"/>
          <w:szCs w:val="28"/>
          <w:highlight w:val="none"/>
          <w:lang w:bidi="ar"/>
        </w:rPr>
        <w:t>运营维护服务要求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strike/>
          <w:dstrike w:val="0"/>
          <w:color w:val="auto"/>
          <w:sz w:val="28"/>
          <w:szCs w:val="28"/>
          <w:highlight w:val="none"/>
          <w:lang w:bidi="ar"/>
        </w:rPr>
      </w:pPr>
      <w:r>
        <w:rPr>
          <w:rFonts w:hint="eastAsia" w:ascii="宋体" w:hAnsi="宋体" w:eastAsia="宋体" w:cs="宋体"/>
          <w:color w:val="auto"/>
          <w:sz w:val="28"/>
          <w:szCs w:val="28"/>
          <w:highlight w:val="none"/>
          <w:lang w:bidi="ar"/>
        </w:rPr>
        <w:t>供应商需提供7×24小时平台运维保障，及时响应并修复系统故障、漏洞，定期开展服务器巡检、数据备份、网络安全防护；需每日敦促各管理权限主体更新平台内容</w:t>
      </w:r>
      <w:r>
        <w:rPr>
          <w:rFonts w:hint="eastAsia" w:ascii="宋体" w:hAnsi="宋体" w:cs="宋体"/>
          <w:color w:val="auto"/>
          <w:sz w:val="28"/>
          <w:szCs w:val="28"/>
          <w:highlight w:val="none"/>
          <w:lang w:eastAsia="zh-CN" w:bidi="ar"/>
        </w:rPr>
        <w:t>，</w:t>
      </w:r>
      <w:r>
        <w:rPr>
          <w:rFonts w:hint="eastAsia" w:ascii="宋体" w:hAnsi="宋体" w:eastAsia="宋体" w:cs="宋体"/>
          <w:color w:val="auto"/>
          <w:sz w:val="28"/>
          <w:szCs w:val="28"/>
          <w:highlight w:val="none"/>
          <w:lang w:bidi="ar"/>
        </w:rPr>
        <w:t>保障信息真实有效；负责所有平台用户账号的注册审核、权限管理、问题答疑，配合采购人完成各阶段绩效评估、审计核查的资料调取、数据支撑工作。</w:t>
      </w:r>
      <w:r>
        <w:rPr>
          <w:rFonts w:hint="eastAsia" w:ascii="宋体" w:hAnsi="宋体" w:cs="宋体"/>
          <w:color w:val="auto"/>
          <w:sz w:val="28"/>
          <w:szCs w:val="28"/>
          <w:highlight w:val="none"/>
          <w:lang w:val="en-US" w:eastAsia="zh-CN" w:bidi="ar"/>
        </w:rPr>
        <w:t>试点服务期限内，</w:t>
      </w:r>
      <w:r>
        <w:rPr>
          <w:rFonts w:hint="eastAsia" w:ascii="宋体" w:hAnsi="宋体" w:eastAsia="宋体" w:cs="宋体"/>
          <w:color w:val="auto"/>
          <w:sz w:val="28"/>
          <w:szCs w:val="28"/>
          <w:highlight w:val="none"/>
          <w:lang w:bidi="ar"/>
        </w:rPr>
        <w:t>平台功能需随国家、省试点管理要求变化免费迭代优化，确保长期适配监管与服务需求。</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bidi="ar"/>
        </w:rPr>
      </w:pPr>
      <w:r>
        <w:rPr>
          <w:rFonts w:hint="eastAsia" w:ascii="宋体" w:hAnsi="宋体" w:cs="宋体"/>
          <w:b/>
          <w:bCs/>
          <w:color w:val="auto"/>
          <w:sz w:val="28"/>
          <w:szCs w:val="28"/>
          <w:highlight w:val="none"/>
          <w:lang w:val="en-US" w:eastAsia="zh-CN" w:bidi="ar"/>
        </w:rPr>
        <w:t>3.</w:t>
      </w:r>
      <w:r>
        <w:rPr>
          <w:rFonts w:hint="eastAsia" w:ascii="宋体" w:hAnsi="宋体" w:eastAsia="宋体" w:cs="宋体"/>
          <w:b/>
          <w:bCs/>
          <w:color w:val="auto"/>
          <w:sz w:val="28"/>
          <w:szCs w:val="28"/>
          <w:highlight w:val="none"/>
          <w:lang w:bidi="ar"/>
        </w:rPr>
        <w:t>对接要求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平台需具备成熟的接口适配能力，支持与国家、省中小企业数字化转型公共服务平台完成数据对接，实现试点数据自动同步、上报</w:t>
      </w:r>
      <w:r>
        <w:rPr>
          <w:rFonts w:hint="eastAsia" w:ascii="宋体" w:hAnsi="宋体" w:eastAsia="宋体" w:cs="宋体"/>
          <w:color w:val="auto"/>
          <w:sz w:val="28"/>
          <w:szCs w:val="28"/>
          <w:highlight w:val="none"/>
          <w:lang w:eastAsia="zh-CN" w:bidi="ar"/>
        </w:rPr>
        <w:t>。根据试点工作资金拨付有关要求，支持与徐州市综合性企业服务平台</w:t>
      </w:r>
      <w:r>
        <w:rPr>
          <w:rFonts w:hint="eastAsia" w:ascii="宋体" w:hAnsi="宋体" w:cs="宋体"/>
          <w:color w:val="auto"/>
          <w:sz w:val="28"/>
          <w:szCs w:val="28"/>
          <w:highlight w:val="none"/>
          <w:lang w:eastAsia="zh-CN" w:bidi="ar"/>
        </w:rPr>
        <w:t>进行</w:t>
      </w:r>
      <w:r>
        <w:rPr>
          <w:rFonts w:hint="eastAsia" w:ascii="宋体" w:hAnsi="宋体" w:eastAsia="宋体" w:cs="宋体"/>
          <w:color w:val="auto"/>
          <w:sz w:val="28"/>
          <w:szCs w:val="28"/>
          <w:highlight w:val="none"/>
          <w:lang w:eastAsia="zh-CN" w:bidi="ar"/>
        </w:rPr>
        <w:t>数据对接</w:t>
      </w:r>
      <w:r>
        <w:rPr>
          <w:rFonts w:hint="eastAsia" w:ascii="宋体" w:hAnsi="宋体" w:cs="宋体"/>
          <w:color w:val="auto"/>
          <w:sz w:val="28"/>
          <w:szCs w:val="28"/>
          <w:highlight w:val="none"/>
          <w:lang w:eastAsia="zh-CN" w:bidi="ar"/>
        </w:rPr>
        <w:t>，</w:t>
      </w:r>
      <w:r>
        <w:rPr>
          <w:rFonts w:hint="eastAsia" w:ascii="宋体" w:hAnsi="宋体" w:eastAsia="宋体" w:cs="宋体"/>
          <w:color w:val="auto"/>
          <w:sz w:val="28"/>
          <w:szCs w:val="28"/>
          <w:highlight w:val="none"/>
          <w:lang w:eastAsia="zh-CN" w:bidi="ar"/>
        </w:rPr>
        <w:t>实现财政资金拨付</w:t>
      </w:r>
      <w:r>
        <w:rPr>
          <w:rFonts w:hint="eastAsia" w:ascii="宋体" w:hAnsi="宋体" w:eastAsia="宋体" w:cs="宋体"/>
          <w:color w:val="auto"/>
          <w:sz w:val="28"/>
          <w:szCs w:val="28"/>
          <w:highlight w:val="none"/>
          <w:lang w:bidi="ar"/>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bidi="ar"/>
        </w:rPr>
      </w:pPr>
      <w:r>
        <w:rPr>
          <w:rFonts w:hint="eastAsia" w:ascii="宋体" w:hAnsi="宋体" w:cs="宋体"/>
          <w:b/>
          <w:bCs/>
          <w:color w:val="auto"/>
          <w:sz w:val="28"/>
          <w:szCs w:val="28"/>
          <w:highlight w:val="none"/>
          <w:lang w:val="en-US" w:eastAsia="zh-CN" w:bidi="ar"/>
        </w:rPr>
        <w:t>4.</w:t>
      </w:r>
      <w:r>
        <w:rPr>
          <w:rFonts w:hint="eastAsia" w:ascii="宋体" w:hAnsi="宋体" w:eastAsia="宋体" w:cs="宋体"/>
          <w:b/>
          <w:bCs/>
          <w:color w:val="auto"/>
          <w:sz w:val="28"/>
          <w:szCs w:val="28"/>
          <w:highlight w:val="none"/>
          <w:lang w:val="en-US" w:eastAsia="zh-CN" w:bidi="ar"/>
        </w:rPr>
        <w:t>配合绩效评估、验收及审计相关工作</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配合市工信局、市财政局完成国家、省级中期绩效评估和终期验收工作，整理汇总评测报告、平台运营数据、工作台账等全套佐证资料，提供数据、报告、档案支撑；配合上级核查、实地抽检、访谈等工作；根据绩效评价意见及时补充资料、完善报告、落实整改。配合开展审计和后评估复核工作</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val="en-US" w:eastAsia="zh-CN" w:bidi="ar"/>
        </w:rPr>
      </w:pPr>
      <w:r>
        <w:rPr>
          <w:rFonts w:hint="eastAsia" w:ascii="宋体" w:hAnsi="宋体" w:cs="宋体"/>
          <w:b/>
          <w:bCs/>
          <w:color w:val="auto"/>
          <w:sz w:val="28"/>
          <w:szCs w:val="28"/>
          <w:highlight w:val="none"/>
          <w:lang w:val="en-US" w:eastAsia="zh-CN" w:bidi="ar"/>
        </w:rPr>
        <w:t>采购包2</w:t>
      </w:r>
      <w:r>
        <w:rPr>
          <w:rFonts w:hint="eastAsia" w:ascii="宋体" w:hAnsi="宋体" w:eastAsia="宋体" w:cs="宋体"/>
          <w:b/>
          <w:bCs/>
          <w:color w:val="auto"/>
          <w:sz w:val="28"/>
          <w:szCs w:val="28"/>
          <w:highlight w:val="none"/>
          <w:lang w:val="en-US" w:eastAsia="zh-CN" w:bidi="ar"/>
        </w:rPr>
        <w:t>采购需求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val="en-US" w:eastAsia="zh-CN" w:bidi="ar"/>
        </w:rPr>
      </w:pPr>
      <w:r>
        <w:rPr>
          <w:rFonts w:hint="eastAsia" w:ascii="宋体" w:hAnsi="宋体" w:eastAsia="宋体" w:cs="宋体"/>
          <w:b/>
          <w:bCs/>
          <w:color w:val="auto"/>
          <w:sz w:val="28"/>
          <w:szCs w:val="28"/>
          <w:highlight w:val="none"/>
          <w:lang w:bidi="ar"/>
        </w:rPr>
        <w:t>中小企业数字化水平评测服务</w:t>
      </w:r>
      <w:r>
        <w:rPr>
          <w:rFonts w:hint="eastAsia" w:ascii="宋体" w:hAnsi="宋体" w:cs="宋体"/>
          <w:b/>
          <w:bCs/>
          <w:color w:val="auto"/>
          <w:sz w:val="28"/>
          <w:szCs w:val="28"/>
          <w:highlight w:val="none"/>
          <w:lang w:eastAsia="zh-CN" w:bidi="ar"/>
        </w:rPr>
        <w:t>（</w:t>
      </w:r>
      <w:r>
        <w:rPr>
          <w:rFonts w:hint="eastAsia" w:ascii="宋体" w:hAnsi="宋体" w:cs="宋体"/>
          <w:b/>
          <w:bCs/>
          <w:color w:val="auto"/>
          <w:sz w:val="28"/>
          <w:szCs w:val="28"/>
          <w:highlight w:val="none"/>
          <w:lang w:val="en-US" w:eastAsia="zh-CN" w:bidi="ar"/>
        </w:rPr>
        <w:t>216家</w:t>
      </w:r>
      <w:r>
        <w:rPr>
          <w:rFonts w:hint="eastAsia" w:ascii="宋体" w:hAnsi="宋体" w:cs="宋体"/>
          <w:b/>
          <w:bCs/>
          <w:color w:val="auto"/>
          <w:sz w:val="28"/>
          <w:szCs w:val="28"/>
          <w:highlight w:val="none"/>
          <w:lang w:eastAsia="zh-CN" w:bidi="ar"/>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bidi="ar"/>
        </w:rPr>
      </w:pPr>
      <w:r>
        <w:rPr>
          <w:rFonts w:hint="eastAsia" w:ascii="宋体" w:hAnsi="宋体" w:cs="宋体"/>
          <w:b/>
          <w:bCs/>
          <w:color w:val="auto"/>
          <w:sz w:val="28"/>
          <w:szCs w:val="28"/>
          <w:highlight w:val="none"/>
          <w:lang w:val="en-US" w:eastAsia="zh-CN" w:bidi="ar"/>
        </w:rPr>
        <w:t>1.</w:t>
      </w:r>
      <w:r>
        <w:rPr>
          <w:rFonts w:hint="eastAsia" w:ascii="宋体" w:hAnsi="宋体" w:eastAsia="宋体" w:cs="宋体"/>
          <w:b/>
          <w:bCs/>
          <w:color w:val="auto"/>
          <w:sz w:val="28"/>
          <w:szCs w:val="28"/>
          <w:highlight w:val="none"/>
          <w:lang w:bidi="ar"/>
        </w:rPr>
        <w:t>前期准备阶段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结合</w:t>
      </w:r>
      <w:r>
        <w:rPr>
          <w:rFonts w:hint="eastAsia" w:ascii="宋体" w:hAnsi="宋体" w:eastAsia="宋体" w:cs="宋体"/>
          <w:color w:val="auto"/>
          <w:sz w:val="28"/>
          <w:szCs w:val="28"/>
          <w:highlight w:val="none"/>
          <w:lang w:eastAsia="zh-CN" w:bidi="ar"/>
        </w:rPr>
        <w:t>徐州市</w:t>
      </w:r>
      <w:r>
        <w:rPr>
          <w:rFonts w:hint="eastAsia" w:ascii="宋体" w:hAnsi="宋体" w:eastAsia="宋体" w:cs="宋体"/>
          <w:color w:val="auto"/>
          <w:sz w:val="28"/>
          <w:szCs w:val="28"/>
          <w:highlight w:val="none"/>
          <w:lang w:bidi="ar"/>
        </w:rPr>
        <w:t>两大试点行业特点，编制《</w:t>
      </w:r>
      <w:r>
        <w:rPr>
          <w:rFonts w:hint="eastAsia" w:ascii="宋体" w:hAnsi="宋体" w:eastAsia="宋体" w:cs="宋体"/>
          <w:color w:val="auto"/>
          <w:sz w:val="28"/>
          <w:szCs w:val="28"/>
          <w:highlight w:val="none"/>
          <w:lang w:eastAsia="zh-CN" w:bidi="ar"/>
        </w:rPr>
        <w:t>徐州市</w:t>
      </w:r>
      <w:r>
        <w:rPr>
          <w:rFonts w:hint="eastAsia" w:ascii="宋体" w:hAnsi="宋体" w:eastAsia="宋体" w:cs="宋体"/>
          <w:color w:val="auto"/>
          <w:sz w:val="28"/>
          <w:szCs w:val="28"/>
          <w:highlight w:val="none"/>
          <w:lang w:bidi="ar"/>
        </w:rPr>
        <w:t>中小企业数字化转型评测工作总体方案》，明确评测流程、指标解读、打分标准、档案归集等要求。面向试点企业、数字化服务商开展政策及评测标准宣贯培训，解读国家及省市数字化转型政策、评测指标、自评流程、材料报送要求。原则上，评测启动前应至少完成一轮集中培训</w:t>
      </w:r>
      <w:r>
        <w:rPr>
          <w:rFonts w:hint="eastAsia" w:ascii="宋体" w:hAnsi="宋体" w:eastAsia="宋体" w:cs="宋体"/>
          <w:color w:val="auto"/>
          <w:sz w:val="28"/>
          <w:szCs w:val="28"/>
          <w:highlight w:val="none"/>
          <w:lang w:eastAsia="zh-CN" w:bidi="ar"/>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bidi="ar"/>
        </w:rPr>
      </w:pPr>
      <w:r>
        <w:rPr>
          <w:rFonts w:hint="eastAsia" w:ascii="宋体" w:hAnsi="宋体" w:cs="宋体"/>
          <w:b/>
          <w:bCs/>
          <w:color w:val="auto"/>
          <w:sz w:val="28"/>
          <w:szCs w:val="28"/>
          <w:highlight w:val="none"/>
          <w:lang w:val="en-US" w:eastAsia="zh-CN" w:bidi="ar"/>
        </w:rPr>
        <w:t>2.</w:t>
      </w:r>
      <w:r>
        <w:rPr>
          <w:rFonts w:hint="eastAsia" w:ascii="宋体" w:hAnsi="宋体" w:eastAsia="宋体" w:cs="宋体"/>
          <w:b/>
          <w:bCs/>
          <w:color w:val="auto"/>
          <w:sz w:val="28"/>
          <w:szCs w:val="28"/>
          <w:highlight w:val="none"/>
          <w:lang w:bidi="ar"/>
        </w:rPr>
        <w:t>现场实地评测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组建专业评测小组入企现场核查。围绕数字化基础、数字化经营、数字化管理、数字化成效四大维度开展工作：</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人员访谈：与企业负责人、技术负责人、核心业务岗位人员分别访谈，核实数字化系统使用情况、改造落地效果、业务提效数据等实际情况。</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系统核验：现场操作数字化系统，调取后台运行数据、系统日志、接口交互记录、操作痕迹记录，核查系统实际部署及常态化使用情况。对系统功能模块逐一演示验证，确认各项功能是否正常运行，对关键数据接口、数据自动采集与上传情况进行技术验证。</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实地查验：逐一核对软硬件设备铭牌、型号、数量、部署位置，核实部署场景与合同约定的一致性，对网络链路、数据采集节点等隐蔽工程进行抽验，确保改造内容真实落地、链路畅通。</w:t>
      </w: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指标打分：严格按照国家级评测指标逐项打分，客观判定企业数字化等级</w:t>
      </w:r>
      <w:r>
        <w:rPr>
          <w:rFonts w:hint="eastAsia" w:ascii="宋体" w:hAnsi="宋体" w:cs="宋体"/>
          <w:color w:val="auto"/>
          <w:sz w:val="28"/>
          <w:szCs w:val="28"/>
          <w:highlight w:val="none"/>
          <w:lang w:eastAsia="zh-CN" w:bidi="ar"/>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val="en-US" w:eastAsia="zh-CN" w:bidi="ar"/>
        </w:rPr>
      </w:pPr>
      <w:r>
        <w:rPr>
          <w:rFonts w:hint="eastAsia" w:ascii="宋体" w:hAnsi="宋体" w:cs="宋体"/>
          <w:b/>
          <w:bCs/>
          <w:color w:val="auto"/>
          <w:sz w:val="28"/>
          <w:szCs w:val="28"/>
          <w:highlight w:val="none"/>
          <w:lang w:val="en-US" w:eastAsia="zh-CN" w:bidi="ar"/>
        </w:rPr>
        <w:t>3.</w:t>
      </w:r>
      <w:r>
        <w:rPr>
          <w:rFonts w:hint="eastAsia" w:ascii="宋体" w:hAnsi="宋体" w:eastAsia="宋体" w:cs="宋体"/>
          <w:b/>
          <w:bCs/>
          <w:color w:val="auto"/>
          <w:sz w:val="28"/>
          <w:szCs w:val="28"/>
          <w:highlight w:val="none"/>
          <w:lang w:val="en-US" w:eastAsia="zh-CN" w:bidi="ar"/>
        </w:rPr>
        <w:t>评测成果输出</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1）一企一档评测报告。逐家出具《中小企业数字化水平评测报告》，内容包含企业基本信息、现场核查记录、指标得分、等级判定、存在问题、改进建议、佐证材料清单等，报告须加盖评测机构公章、评测专家签字，报告要素齐全、结论清晰。落实“一企一档”要求，为每家企业建立全套评测档案，归集佐证材料、现场照片、系统截图、评测报告</w:t>
      </w:r>
      <w:r>
        <w:rPr>
          <w:rFonts w:hint="eastAsia" w:ascii="宋体" w:hAnsi="宋体" w:eastAsia="宋体" w:cs="宋体"/>
          <w:color w:val="auto"/>
          <w:sz w:val="28"/>
          <w:szCs w:val="28"/>
          <w:highlight w:val="none"/>
          <w:lang w:eastAsia="zh-CN" w:bidi="ar"/>
        </w:rPr>
        <w:t>、整改记录</w:t>
      </w:r>
      <w:r>
        <w:rPr>
          <w:rFonts w:hint="eastAsia" w:ascii="宋体" w:hAnsi="宋体" w:eastAsia="宋体" w:cs="宋体"/>
          <w:color w:val="auto"/>
          <w:sz w:val="28"/>
          <w:szCs w:val="28"/>
          <w:highlight w:val="none"/>
          <w:lang w:bidi="ar"/>
        </w:rPr>
        <w:t>等资料，统一归档，支持后续核查、审计、验收。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eastAsia="zh-CN" w:bidi="ar"/>
        </w:rPr>
        <w:t>（</w:t>
      </w:r>
      <w:r>
        <w:rPr>
          <w:rFonts w:hint="eastAsia" w:ascii="宋体" w:hAnsi="宋体" w:eastAsia="宋体" w:cs="宋体"/>
          <w:color w:val="auto"/>
          <w:sz w:val="28"/>
          <w:szCs w:val="28"/>
          <w:highlight w:val="none"/>
          <w:lang w:val="en-US" w:eastAsia="zh-CN" w:bidi="ar"/>
        </w:rPr>
        <w:t>2</w:t>
      </w:r>
      <w:r>
        <w:rPr>
          <w:rFonts w:hint="eastAsia" w:ascii="宋体" w:hAnsi="宋体" w:eastAsia="宋体" w:cs="宋体"/>
          <w:color w:val="auto"/>
          <w:sz w:val="28"/>
          <w:szCs w:val="28"/>
          <w:highlight w:val="none"/>
          <w:lang w:eastAsia="zh-CN" w:bidi="ar"/>
        </w:rPr>
        <w:t>）</w:t>
      </w:r>
      <w:r>
        <w:rPr>
          <w:rFonts w:hint="eastAsia" w:ascii="宋体" w:hAnsi="宋体" w:eastAsia="宋体" w:cs="宋体"/>
          <w:color w:val="auto"/>
          <w:sz w:val="28"/>
          <w:szCs w:val="28"/>
          <w:highlight w:val="none"/>
          <w:lang w:bidi="ar"/>
        </w:rPr>
        <w:t>整改复评报告。对初评未达标企业出具专项整改意见，明确不达标项、整改方向及复评标准。整改期满后，组织二次复评，逐项核验整改落实情况，出具复评报告，明确是否达标。复评次数原则上不超过两次。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eastAsia="zh-CN" w:bidi="ar"/>
        </w:rPr>
        <w:t>（</w:t>
      </w:r>
      <w:r>
        <w:rPr>
          <w:rFonts w:hint="eastAsia" w:ascii="宋体" w:hAnsi="宋体" w:eastAsia="宋体" w:cs="宋体"/>
          <w:color w:val="auto"/>
          <w:sz w:val="28"/>
          <w:szCs w:val="28"/>
          <w:highlight w:val="none"/>
          <w:lang w:val="en-US" w:eastAsia="zh-CN" w:bidi="ar"/>
        </w:rPr>
        <w:t>3</w:t>
      </w:r>
      <w:r>
        <w:rPr>
          <w:rFonts w:hint="eastAsia" w:ascii="宋体" w:hAnsi="宋体" w:eastAsia="宋体" w:cs="宋体"/>
          <w:color w:val="auto"/>
          <w:sz w:val="28"/>
          <w:szCs w:val="28"/>
          <w:highlight w:val="none"/>
          <w:lang w:eastAsia="zh-CN" w:bidi="ar"/>
        </w:rPr>
        <w:t>）</w:t>
      </w:r>
      <w:r>
        <w:rPr>
          <w:rFonts w:hint="eastAsia" w:ascii="宋体" w:hAnsi="宋体" w:eastAsia="宋体" w:cs="宋体"/>
          <w:color w:val="auto"/>
          <w:sz w:val="28"/>
          <w:szCs w:val="28"/>
          <w:highlight w:val="none"/>
          <w:lang w:bidi="ar"/>
        </w:rPr>
        <w:t>评测</w:t>
      </w:r>
      <w:r>
        <w:rPr>
          <w:rFonts w:hint="eastAsia" w:ascii="宋体" w:hAnsi="宋体" w:eastAsia="宋体" w:cs="宋体"/>
          <w:color w:val="auto"/>
          <w:sz w:val="28"/>
          <w:szCs w:val="28"/>
          <w:highlight w:val="none"/>
          <w:lang w:eastAsia="zh-CN" w:bidi="ar"/>
        </w:rPr>
        <w:t>工作简报</w:t>
      </w:r>
      <w:r>
        <w:rPr>
          <w:rFonts w:hint="eastAsia" w:ascii="宋体" w:hAnsi="宋体" w:eastAsia="宋体" w:cs="宋体"/>
          <w:color w:val="auto"/>
          <w:sz w:val="28"/>
          <w:szCs w:val="28"/>
          <w:highlight w:val="none"/>
          <w:lang w:bidi="ar"/>
        </w:rPr>
        <w:t>。按批次出具《评测工作简报》，汇总当期评测进度、达标率、共性问题、典型案例及风险提示。配合开展中期、期末绩效评价，梳理评测数据、汇总工作台账，协助完成绩效报告编制、实地复核、问题整改台账建立等工作。</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val="en-US" w:eastAsia="zh-CN" w:bidi="ar"/>
        </w:rPr>
      </w:pPr>
      <w:r>
        <w:rPr>
          <w:rFonts w:hint="eastAsia" w:ascii="宋体" w:hAnsi="宋体" w:cs="宋体"/>
          <w:b/>
          <w:bCs/>
          <w:color w:val="auto"/>
          <w:sz w:val="28"/>
          <w:szCs w:val="28"/>
          <w:highlight w:val="none"/>
          <w:lang w:val="en-US" w:eastAsia="zh-CN" w:bidi="ar"/>
        </w:rPr>
        <w:t>采购包3</w:t>
      </w:r>
      <w:r>
        <w:rPr>
          <w:rFonts w:hint="eastAsia" w:ascii="宋体" w:hAnsi="宋体" w:eastAsia="宋体" w:cs="宋体"/>
          <w:b/>
          <w:bCs/>
          <w:color w:val="auto"/>
          <w:sz w:val="28"/>
          <w:szCs w:val="28"/>
          <w:highlight w:val="none"/>
          <w:lang w:val="en-US" w:eastAsia="zh-CN" w:bidi="ar"/>
        </w:rPr>
        <w:t>采购需求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val="en-US" w:eastAsia="zh-CN" w:bidi="ar"/>
        </w:rPr>
      </w:pPr>
      <w:r>
        <w:rPr>
          <w:rFonts w:hint="eastAsia" w:ascii="宋体" w:hAnsi="宋体" w:eastAsia="宋体" w:cs="宋体"/>
          <w:b/>
          <w:bCs/>
          <w:color w:val="auto"/>
          <w:sz w:val="28"/>
          <w:szCs w:val="28"/>
          <w:highlight w:val="none"/>
          <w:lang w:bidi="ar"/>
        </w:rPr>
        <w:t>中小企业数字化水平评测服务</w:t>
      </w:r>
      <w:r>
        <w:rPr>
          <w:rFonts w:hint="eastAsia" w:ascii="宋体" w:hAnsi="宋体" w:cs="宋体"/>
          <w:b/>
          <w:bCs/>
          <w:color w:val="auto"/>
          <w:sz w:val="28"/>
          <w:szCs w:val="28"/>
          <w:highlight w:val="none"/>
          <w:lang w:eastAsia="zh-CN" w:bidi="ar"/>
        </w:rPr>
        <w:t>（</w:t>
      </w:r>
      <w:r>
        <w:rPr>
          <w:rFonts w:hint="eastAsia" w:ascii="宋体" w:hAnsi="宋体" w:cs="宋体"/>
          <w:b/>
          <w:bCs/>
          <w:color w:val="auto"/>
          <w:sz w:val="28"/>
          <w:szCs w:val="28"/>
          <w:highlight w:val="none"/>
          <w:lang w:val="en-US" w:eastAsia="zh-CN" w:bidi="ar"/>
        </w:rPr>
        <w:t>189家</w:t>
      </w:r>
      <w:r>
        <w:rPr>
          <w:rFonts w:hint="eastAsia" w:ascii="宋体" w:hAnsi="宋体" w:cs="宋体"/>
          <w:b/>
          <w:bCs/>
          <w:color w:val="auto"/>
          <w:sz w:val="28"/>
          <w:szCs w:val="28"/>
          <w:highlight w:val="none"/>
          <w:lang w:eastAsia="zh-CN" w:bidi="ar"/>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bidi="ar"/>
        </w:rPr>
      </w:pPr>
      <w:r>
        <w:rPr>
          <w:rFonts w:hint="eastAsia" w:ascii="宋体" w:hAnsi="宋体" w:cs="宋体"/>
          <w:b/>
          <w:bCs/>
          <w:color w:val="auto"/>
          <w:sz w:val="28"/>
          <w:szCs w:val="28"/>
          <w:highlight w:val="none"/>
          <w:lang w:val="en-US" w:eastAsia="zh-CN" w:bidi="ar"/>
        </w:rPr>
        <w:t>1.</w:t>
      </w:r>
      <w:r>
        <w:rPr>
          <w:rFonts w:hint="eastAsia" w:ascii="宋体" w:hAnsi="宋体" w:eastAsia="宋体" w:cs="宋体"/>
          <w:b/>
          <w:bCs/>
          <w:color w:val="auto"/>
          <w:sz w:val="28"/>
          <w:szCs w:val="28"/>
          <w:highlight w:val="none"/>
          <w:lang w:bidi="ar"/>
        </w:rPr>
        <w:t>前期准备阶段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结合</w:t>
      </w:r>
      <w:r>
        <w:rPr>
          <w:rFonts w:hint="eastAsia" w:ascii="宋体" w:hAnsi="宋体" w:eastAsia="宋体" w:cs="宋体"/>
          <w:color w:val="auto"/>
          <w:sz w:val="28"/>
          <w:szCs w:val="28"/>
          <w:highlight w:val="none"/>
          <w:lang w:eastAsia="zh-CN" w:bidi="ar"/>
        </w:rPr>
        <w:t>徐州市</w:t>
      </w:r>
      <w:r>
        <w:rPr>
          <w:rFonts w:hint="eastAsia" w:ascii="宋体" w:hAnsi="宋体" w:eastAsia="宋体" w:cs="宋体"/>
          <w:color w:val="auto"/>
          <w:sz w:val="28"/>
          <w:szCs w:val="28"/>
          <w:highlight w:val="none"/>
          <w:lang w:bidi="ar"/>
        </w:rPr>
        <w:t>两大试点行业特点</w:t>
      </w:r>
      <w:r>
        <w:rPr>
          <w:rFonts w:hint="eastAsia" w:ascii="宋体" w:hAnsi="宋体" w:cs="宋体"/>
          <w:color w:val="auto"/>
          <w:sz w:val="28"/>
          <w:szCs w:val="28"/>
          <w:highlight w:val="none"/>
          <w:lang w:eastAsia="zh-CN" w:bidi="ar"/>
        </w:rPr>
        <w:t>，</w:t>
      </w:r>
      <w:r>
        <w:rPr>
          <w:rFonts w:hint="eastAsia" w:ascii="宋体" w:hAnsi="宋体" w:cs="宋体"/>
          <w:color w:val="auto"/>
          <w:sz w:val="28"/>
          <w:szCs w:val="28"/>
          <w:highlight w:val="none"/>
          <w:lang w:val="en-US" w:eastAsia="zh-CN" w:bidi="ar"/>
        </w:rPr>
        <w:t>配合</w:t>
      </w:r>
      <w:r>
        <w:rPr>
          <w:rFonts w:hint="eastAsia" w:ascii="宋体" w:hAnsi="宋体" w:eastAsia="宋体" w:cs="宋体"/>
          <w:color w:val="auto"/>
          <w:sz w:val="28"/>
          <w:szCs w:val="28"/>
          <w:highlight w:val="none"/>
          <w:lang w:bidi="ar"/>
        </w:rPr>
        <w:t>编制《</w:t>
      </w:r>
      <w:r>
        <w:rPr>
          <w:rFonts w:hint="eastAsia" w:ascii="宋体" w:hAnsi="宋体" w:eastAsia="宋体" w:cs="宋体"/>
          <w:color w:val="auto"/>
          <w:sz w:val="28"/>
          <w:szCs w:val="28"/>
          <w:highlight w:val="none"/>
          <w:lang w:eastAsia="zh-CN" w:bidi="ar"/>
        </w:rPr>
        <w:t>徐州市</w:t>
      </w:r>
      <w:r>
        <w:rPr>
          <w:rFonts w:hint="eastAsia" w:ascii="宋体" w:hAnsi="宋体" w:eastAsia="宋体" w:cs="宋体"/>
          <w:color w:val="auto"/>
          <w:sz w:val="28"/>
          <w:szCs w:val="28"/>
          <w:highlight w:val="none"/>
          <w:lang w:bidi="ar"/>
        </w:rPr>
        <w:t>中小企业数字化转型评测工作总体方案》，面向</w:t>
      </w:r>
      <w:r>
        <w:rPr>
          <w:rFonts w:hint="eastAsia" w:ascii="宋体" w:hAnsi="宋体" w:cs="宋体"/>
          <w:color w:val="auto"/>
          <w:sz w:val="28"/>
          <w:szCs w:val="28"/>
          <w:highlight w:val="none"/>
          <w:lang w:val="en-US" w:eastAsia="zh-CN" w:bidi="ar"/>
        </w:rPr>
        <w:t>本标段</w:t>
      </w:r>
      <w:r>
        <w:rPr>
          <w:rFonts w:hint="eastAsia" w:ascii="宋体" w:hAnsi="宋体" w:eastAsia="宋体" w:cs="宋体"/>
          <w:color w:val="auto"/>
          <w:sz w:val="28"/>
          <w:szCs w:val="28"/>
          <w:highlight w:val="none"/>
          <w:lang w:bidi="ar"/>
        </w:rPr>
        <w:t>开展政策及评测标准宣贯培训，解读国家及省市数字化转型政策、评测指标、自评流程、材料报送要求。原则上，评测启动前应至少完成一轮集中培训</w:t>
      </w:r>
      <w:r>
        <w:rPr>
          <w:rFonts w:hint="eastAsia" w:ascii="宋体" w:hAnsi="宋体" w:eastAsia="宋体" w:cs="宋体"/>
          <w:color w:val="auto"/>
          <w:sz w:val="28"/>
          <w:szCs w:val="28"/>
          <w:highlight w:val="none"/>
          <w:lang w:eastAsia="zh-CN" w:bidi="ar"/>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bidi="ar"/>
        </w:rPr>
      </w:pPr>
      <w:r>
        <w:rPr>
          <w:rFonts w:hint="eastAsia" w:ascii="宋体" w:hAnsi="宋体" w:cs="宋体"/>
          <w:b/>
          <w:bCs/>
          <w:color w:val="auto"/>
          <w:sz w:val="28"/>
          <w:szCs w:val="28"/>
          <w:highlight w:val="none"/>
          <w:lang w:val="en-US" w:eastAsia="zh-CN" w:bidi="ar"/>
        </w:rPr>
        <w:t>2.</w:t>
      </w:r>
      <w:r>
        <w:rPr>
          <w:rFonts w:hint="eastAsia" w:ascii="宋体" w:hAnsi="宋体" w:eastAsia="宋体" w:cs="宋体"/>
          <w:b/>
          <w:bCs/>
          <w:color w:val="auto"/>
          <w:sz w:val="28"/>
          <w:szCs w:val="28"/>
          <w:highlight w:val="none"/>
          <w:lang w:bidi="ar"/>
        </w:rPr>
        <w:t>现场实地评测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组建专业评测小组入企现场核查。围绕数字化基础、数字化经营、数字化管理、数字化成效四大维度开展工作：</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人员访谈：与企业负责人、技术负责人、核心业务岗位人员分别访谈，核实数字化系统使用情况、改造落地效果、业务提效数据等实际情况。</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系统核验：现场操作数字化系统，调取后台运行数据、系统日志、接口交互记录、操作痕迹记录，核查系统实际部署及常态化使用情况。对系统功能模块逐一演示验证，确认各项功能是否正常运行，对关键数据接口、数据自动采集与上传情况进行技术验证。</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实地查验：逐一核对软硬件设备铭牌、型号、数量、部署位置，核实部署场景与合同约定的一致性，对网络链路、数据采集节点等隐蔽工程进行抽验，确保改造内容真实落地、链路畅通。</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指标打分：严格按照国家级评测指标逐项打分，客观判定企业数字化等级</w:t>
      </w:r>
      <w:r>
        <w:rPr>
          <w:rFonts w:hint="eastAsia" w:ascii="宋体" w:hAnsi="宋体" w:cs="宋体"/>
          <w:color w:val="auto"/>
          <w:sz w:val="28"/>
          <w:szCs w:val="28"/>
          <w:highlight w:val="none"/>
          <w:lang w:eastAsia="zh-CN" w:bidi="ar"/>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val="en-US" w:eastAsia="zh-CN" w:bidi="ar"/>
        </w:rPr>
      </w:pPr>
      <w:r>
        <w:rPr>
          <w:rFonts w:hint="eastAsia" w:ascii="宋体" w:hAnsi="宋体" w:cs="宋体"/>
          <w:b/>
          <w:bCs/>
          <w:color w:val="auto"/>
          <w:sz w:val="28"/>
          <w:szCs w:val="28"/>
          <w:highlight w:val="none"/>
          <w:lang w:val="en-US" w:eastAsia="zh-CN" w:bidi="ar"/>
        </w:rPr>
        <w:t>3.</w:t>
      </w:r>
      <w:r>
        <w:rPr>
          <w:rFonts w:hint="eastAsia" w:ascii="宋体" w:hAnsi="宋体" w:eastAsia="宋体" w:cs="宋体"/>
          <w:b/>
          <w:bCs/>
          <w:color w:val="auto"/>
          <w:sz w:val="28"/>
          <w:szCs w:val="28"/>
          <w:highlight w:val="none"/>
          <w:lang w:val="en-US" w:eastAsia="zh-CN" w:bidi="ar"/>
        </w:rPr>
        <w:t>评测成果输出</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1）一企一档评测报告。逐家出具《中小企业数字化水平评测报告》，内容包含企业基本信息、现场核查记录、指标得分、等级判定、存在问题、改进建议、佐证材料清单等，报告须加盖评测机构公章、评测专家签字，报告要素齐全、结论清晰。落实“一企一档”要求，为每家企业建立全套评测档案，归集佐证材料、现场照片、系统截图、评测报告</w:t>
      </w:r>
      <w:r>
        <w:rPr>
          <w:rFonts w:hint="eastAsia" w:ascii="宋体" w:hAnsi="宋体" w:eastAsia="宋体" w:cs="宋体"/>
          <w:color w:val="auto"/>
          <w:sz w:val="28"/>
          <w:szCs w:val="28"/>
          <w:highlight w:val="none"/>
          <w:lang w:eastAsia="zh-CN" w:bidi="ar"/>
        </w:rPr>
        <w:t>、整改记录</w:t>
      </w:r>
      <w:r>
        <w:rPr>
          <w:rFonts w:hint="eastAsia" w:ascii="宋体" w:hAnsi="宋体" w:eastAsia="宋体" w:cs="宋体"/>
          <w:color w:val="auto"/>
          <w:sz w:val="28"/>
          <w:szCs w:val="28"/>
          <w:highlight w:val="none"/>
          <w:lang w:bidi="ar"/>
        </w:rPr>
        <w:t>等资料，统一归档，支持后续核查、审计、验收。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eastAsia="zh-CN" w:bidi="ar"/>
        </w:rPr>
        <w:t>（</w:t>
      </w:r>
      <w:r>
        <w:rPr>
          <w:rFonts w:hint="eastAsia" w:ascii="宋体" w:hAnsi="宋体" w:eastAsia="宋体" w:cs="宋体"/>
          <w:color w:val="auto"/>
          <w:sz w:val="28"/>
          <w:szCs w:val="28"/>
          <w:highlight w:val="none"/>
          <w:lang w:val="en-US" w:eastAsia="zh-CN" w:bidi="ar"/>
        </w:rPr>
        <w:t>2</w:t>
      </w:r>
      <w:r>
        <w:rPr>
          <w:rFonts w:hint="eastAsia" w:ascii="宋体" w:hAnsi="宋体" w:eastAsia="宋体" w:cs="宋体"/>
          <w:color w:val="auto"/>
          <w:sz w:val="28"/>
          <w:szCs w:val="28"/>
          <w:highlight w:val="none"/>
          <w:lang w:eastAsia="zh-CN" w:bidi="ar"/>
        </w:rPr>
        <w:t>）</w:t>
      </w:r>
      <w:r>
        <w:rPr>
          <w:rFonts w:hint="eastAsia" w:ascii="宋体" w:hAnsi="宋体" w:eastAsia="宋体" w:cs="宋体"/>
          <w:color w:val="auto"/>
          <w:sz w:val="28"/>
          <w:szCs w:val="28"/>
          <w:highlight w:val="none"/>
          <w:lang w:bidi="ar"/>
        </w:rPr>
        <w:t>整改复评报告。对初评未达标企业出具专项整改意见，明确不达标项、整改方向及复评标准。整改期满后，组织二次复评，逐项核验整改落实情况，出具复评报告，明确是否达标。复评次数原则上不超过两次。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eastAsia="zh-CN" w:bidi="ar"/>
        </w:rPr>
        <w:t>（</w:t>
      </w:r>
      <w:r>
        <w:rPr>
          <w:rFonts w:hint="eastAsia" w:ascii="宋体" w:hAnsi="宋体" w:eastAsia="宋体" w:cs="宋体"/>
          <w:color w:val="auto"/>
          <w:sz w:val="28"/>
          <w:szCs w:val="28"/>
          <w:highlight w:val="none"/>
          <w:lang w:val="en-US" w:eastAsia="zh-CN" w:bidi="ar"/>
        </w:rPr>
        <w:t>3</w:t>
      </w:r>
      <w:r>
        <w:rPr>
          <w:rFonts w:hint="eastAsia" w:ascii="宋体" w:hAnsi="宋体" w:eastAsia="宋体" w:cs="宋体"/>
          <w:color w:val="auto"/>
          <w:sz w:val="28"/>
          <w:szCs w:val="28"/>
          <w:highlight w:val="none"/>
          <w:lang w:eastAsia="zh-CN" w:bidi="ar"/>
        </w:rPr>
        <w:t>）</w:t>
      </w:r>
      <w:r>
        <w:rPr>
          <w:rFonts w:hint="eastAsia" w:ascii="宋体" w:hAnsi="宋体" w:eastAsia="宋体" w:cs="宋体"/>
          <w:color w:val="auto"/>
          <w:sz w:val="28"/>
          <w:szCs w:val="28"/>
          <w:highlight w:val="none"/>
          <w:lang w:bidi="ar"/>
        </w:rPr>
        <w:t>评测</w:t>
      </w:r>
      <w:r>
        <w:rPr>
          <w:rFonts w:hint="eastAsia" w:ascii="宋体" w:hAnsi="宋体" w:eastAsia="宋体" w:cs="宋体"/>
          <w:color w:val="auto"/>
          <w:sz w:val="28"/>
          <w:szCs w:val="28"/>
          <w:highlight w:val="none"/>
          <w:lang w:eastAsia="zh-CN" w:bidi="ar"/>
        </w:rPr>
        <w:t>工作简报</w:t>
      </w:r>
      <w:r>
        <w:rPr>
          <w:rFonts w:hint="eastAsia" w:ascii="宋体" w:hAnsi="宋体" w:eastAsia="宋体" w:cs="宋体"/>
          <w:color w:val="auto"/>
          <w:sz w:val="28"/>
          <w:szCs w:val="28"/>
          <w:highlight w:val="none"/>
          <w:lang w:bidi="ar"/>
        </w:rPr>
        <w:t>。按批次出具《评测工作简报》，汇总当期评测进度、达标率、共性问题、典型案例及风险提示。配合开展中期、期末绩效评价，梳理评测数据、汇总工作台账，协助完成绩效报告编制、实地复核、问题整改台账建立等工作。</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b/>
          <w:bCs/>
          <w:color w:val="auto"/>
          <w:sz w:val="28"/>
          <w:szCs w:val="28"/>
          <w:highlight w:val="none"/>
          <w:lang w:val="en-US" w:eastAsia="zh-CN" w:bidi="ar"/>
        </w:rPr>
      </w:pPr>
      <w:r>
        <w:rPr>
          <w:rFonts w:hint="eastAsia" w:ascii="宋体" w:hAnsi="宋体" w:cs="宋体"/>
          <w:b/>
          <w:bCs/>
          <w:color w:val="auto"/>
          <w:sz w:val="28"/>
          <w:szCs w:val="28"/>
          <w:highlight w:val="none"/>
          <w:lang w:val="en-US" w:eastAsia="zh-CN" w:bidi="ar"/>
        </w:rPr>
        <w:t>其他要求</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eastAsia" w:ascii="宋体" w:hAnsi="宋体" w:eastAsia="宋体" w:cs="宋体"/>
          <w:color w:val="auto"/>
          <w:sz w:val="28"/>
          <w:szCs w:val="28"/>
          <w:highlight w:val="none"/>
        </w:rPr>
      </w:pPr>
      <w:r>
        <w:rPr>
          <w:rFonts w:hint="eastAsia" w:ascii="宋体" w:hAnsi="宋体" w:eastAsia="宋体" w:cs="宋体"/>
          <w:b w:val="0"/>
          <w:bCs w:val="0"/>
          <w:color w:val="auto"/>
          <w:sz w:val="28"/>
          <w:szCs w:val="28"/>
          <w:highlight w:val="none"/>
        </w:rPr>
        <w:t>见招标文件第五章《拟签订的合同文本》。</w:t>
      </w:r>
    </w:p>
    <w:p>
      <w:pPr>
        <w:keepNext w:val="0"/>
        <w:keepLines w:val="0"/>
        <w:pageBreakBefore w:val="0"/>
        <w:widowControl w:val="0"/>
        <w:kinsoku/>
        <w:wordWrap/>
        <w:overflowPunct/>
        <w:topLinePunct w:val="0"/>
        <w:autoSpaceDE/>
        <w:autoSpaceDN/>
        <w:bidi w:val="0"/>
        <w:adjustRightInd/>
        <w:snapToGrid/>
        <w:spacing w:line="200" w:lineRule="atLeast"/>
        <w:textAlignment w:val="auto"/>
        <w:rPr>
          <w:color w:val="auto"/>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新宋体">
    <w:panose1 w:val="02010609030101010101"/>
    <w:charset w:val="86"/>
    <w:family w:val="auto"/>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D013F"/>
    <w:multiLevelType w:val="singleLevel"/>
    <w:tmpl w:val="9FFD013F"/>
    <w:lvl w:ilvl="0" w:tentative="0">
      <w:start w:val="1"/>
      <w:numFmt w:val="decimal"/>
      <w:suff w:val="nothing"/>
      <w:lvlText w:val="（%1）"/>
      <w:lvlJc w:val="left"/>
    </w:lvl>
  </w:abstractNum>
  <w:abstractNum w:abstractNumId="1">
    <w:nsid w:val="AE535629"/>
    <w:multiLevelType w:val="singleLevel"/>
    <w:tmpl w:val="AE535629"/>
    <w:lvl w:ilvl="0" w:tentative="0">
      <w:start w:val="1"/>
      <w:numFmt w:val="decimal"/>
      <w:suff w:val="nothing"/>
      <w:lvlText w:val="（%1）"/>
      <w:lvlJc w:val="left"/>
    </w:lvl>
  </w:abstractNum>
  <w:abstractNum w:abstractNumId="2">
    <w:nsid w:val="F35E43A8"/>
    <w:multiLevelType w:val="singleLevel"/>
    <w:tmpl w:val="F35E43A8"/>
    <w:lvl w:ilvl="0" w:tentative="0">
      <w:start w:val="1"/>
      <w:numFmt w:val="decimal"/>
      <w:suff w:val="nothing"/>
      <w:lvlText w:val="（%1）"/>
      <w:lvlJc w:val="left"/>
    </w:lvl>
  </w:abstractNum>
  <w:abstractNum w:abstractNumId="3">
    <w:nsid w:val="520CB588"/>
    <w:multiLevelType w:val="singleLevel"/>
    <w:tmpl w:val="520CB588"/>
    <w:lvl w:ilvl="0" w:tentative="0">
      <w:start w:val="5"/>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C49A3"/>
    <w:rsid w:val="13923875"/>
    <w:rsid w:val="14EE22A9"/>
    <w:rsid w:val="3B337E46"/>
    <w:rsid w:val="409E33DB"/>
    <w:rsid w:val="481E60AD"/>
    <w:rsid w:val="4B7B0F89"/>
    <w:rsid w:val="50DE5B7C"/>
    <w:rsid w:val="59FB5EC9"/>
    <w:rsid w:val="5F436FE4"/>
    <w:rsid w:val="60636E92"/>
    <w:rsid w:val="700A50B3"/>
    <w:rsid w:val="73891D5B"/>
    <w:rsid w:val="7E234D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customStyle="1" w:styleId="2">
    <w:name w:val="文本块11"/>
    <w:basedOn w:val="3"/>
    <w:qFormat/>
    <w:uiPriority w:val="0"/>
    <w:pPr>
      <w:ind w:left="256" w:right="6" w:firstLine="624"/>
    </w:pPr>
    <w:rPr>
      <w:rFonts w:ascii="Arial" w:hAnsi="Arial" w:eastAsia="仿宋"/>
      <w:sz w:val="28"/>
    </w:rPr>
  </w:style>
  <w:style w:type="paragraph" w:customStyle="1" w:styleId="3">
    <w:name w:val="正文12"/>
    <w:next w:val="4"/>
    <w:qFormat/>
    <w:uiPriority w:val="0"/>
    <w:pPr>
      <w:widowControl w:val="0"/>
      <w:spacing w:line="360" w:lineRule="auto"/>
      <w:ind w:firstLine="723"/>
      <w:jc w:val="both"/>
    </w:pPr>
    <w:rPr>
      <w:rFonts w:hint="default" w:ascii="Times New Roman" w:hAnsi="Times New Roman" w:eastAsia="宋体" w:cs="Times New Roman"/>
      <w:sz w:val="24"/>
      <w:szCs w:val="24"/>
      <w:lang w:val="en-US" w:eastAsia="zh-CN" w:bidi="ar-SA"/>
    </w:rPr>
  </w:style>
  <w:style w:type="paragraph" w:customStyle="1" w:styleId="4">
    <w:name w:val="正文文本111"/>
    <w:basedOn w:val="3"/>
    <w:next w:val="3"/>
    <w:qFormat/>
    <w:uiPriority w:val="0"/>
  </w:style>
  <w:style w:type="paragraph" w:styleId="6">
    <w:name w:val="Body Text"/>
    <w:basedOn w:val="1"/>
    <w:next w:val="7"/>
    <w:qFormat/>
    <w:uiPriority w:val="0"/>
    <w:pPr>
      <w:spacing w:after="120"/>
    </w:pPr>
  </w:style>
  <w:style w:type="paragraph" w:customStyle="1" w:styleId="7">
    <w:name w:val="一级条标题"/>
    <w:basedOn w:val="8"/>
    <w:next w:val="9"/>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8">
    <w:name w:val="章标题"/>
    <w:next w:val="1"/>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9">
    <w:name w:val="段"/>
    <w:basedOn w:val="10"/>
    <w:next w:val="1"/>
    <w:qFormat/>
    <w:uiPriority w:val="0"/>
    <w:pPr>
      <w:widowControl/>
      <w:ind w:firstLine="200"/>
    </w:pPr>
    <w:rPr>
      <w:rFonts w:hint="eastAsia" w:ascii="宋体"/>
      <w:szCs w:val="20"/>
    </w:rPr>
  </w:style>
  <w:style w:type="paragraph" w:customStyle="1" w:styleId="10">
    <w:name w:val="正文1"/>
    <w:basedOn w:val="11"/>
    <w:next w:val="2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1">
    <w:name w:val="正文111"/>
    <w:next w:val="12"/>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2">
    <w:name w:val="正文首行缩进1"/>
    <w:basedOn w:val="13"/>
    <w:next w:val="17"/>
    <w:qFormat/>
    <w:uiPriority w:val="0"/>
    <w:pPr>
      <w:ind w:firstLine="420"/>
    </w:pPr>
    <w:rPr>
      <w:rFonts w:ascii="仿宋_GB2312" w:hAnsi="Times New Roman" w:eastAsia="仿宋_GB2312"/>
      <w:sz w:val="30"/>
      <w:szCs w:val="30"/>
    </w:rPr>
  </w:style>
  <w:style w:type="paragraph" w:customStyle="1" w:styleId="13">
    <w:name w:val="正文文本11"/>
    <w:basedOn w:val="14"/>
    <w:next w:val="15"/>
    <w:qFormat/>
    <w:uiPriority w:val="0"/>
    <w:pPr>
      <w:spacing w:after="120"/>
    </w:pPr>
  </w:style>
  <w:style w:type="paragraph" w:customStyle="1" w:styleId="14">
    <w:name w:val="正文112"/>
    <w:next w:val="13"/>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5">
    <w:name w:val="正文11"/>
    <w:next w:val="16"/>
    <w:qFormat/>
    <w:uiPriority w:val="0"/>
    <w:pPr>
      <w:jc w:val="both"/>
    </w:pPr>
    <w:rPr>
      <w:rFonts w:hint="default" w:ascii="Times New Roman" w:hAnsi="Times New Roman" w:eastAsia="宋体" w:cs="Times New Roman"/>
      <w:lang w:val="en-US" w:eastAsia="zh-CN" w:bidi="ar-SA"/>
    </w:rPr>
  </w:style>
  <w:style w:type="paragraph" w:customStyle="1" w:styleId="16">
    <w:name w:val="标题 211"/>
    <w:basedOn w:val="15"/>
    <w:next w:val="15"/>
    <w:qFormat/>
    <w:uiPriority w:val="0"/>
    <w:pPr>
      <w:keepNext/>
      <w:keepLines/>
      <w:spacing w:before="260" w:after="260" w:line="416" w:lineRule="auto"/>
      <w:outlineLvl w:val="1"/>
    </w:pPr>
    <w:rPr>
      <w:rFonts w:ascii="Calibri Light" w:hAnsi="Calibri Light"/>
      <w:bCs/>
      <w:sz w:val="32"/>
      <w:szCs w:val="32"/>
    </w:rPr>
  </w:style>
  <w:style w:type="paragraph" w:customStyle="1" w:styleId="17">
    <w:name w:val="正文首行缩进 21"/>
    <w:basedOn w:val="18"/>
    <w:next w:val="11"/>
    <w:qFormat/>
    <w:uiPriority w:val="0"/>
    <w:pPr>
      <w:ind w:firstLine="420"/>
    </w:pPr>
    <w:rPr>
      <w:rFonts w:ascii="Times New Roman" w:hAnsi="Times New Roman"/>
    </w:rPr>
  </w:style>
  <w:style w:type="paragraph" w:customStyle="1" w:styleId="18">
    <w:name w:val="正文文本缩进1"/>
    <w:basedOn w:val="1"/>
    <w:next w:val="19"/>
    <w:qFormat/>
    <w:uiPriority w:val="99"/>
    <w:pPr>
      <w:spacing w:after="120"/>
      <w:ind w:left="420"/>
    </w:pPr>
    <w:rPr>
      <w:rFonts w:ascii="Calibri" w:hAnsi="Calibri"/>
    </w:rPr>
  </w:style>
  <w:style w:type="paragraph" w:customStyle="1" w:styleId="19">
    <w:name w:val="寄信人地址1"/>
    <w:basedOn w:val="1"/>
    <w:qFormat/>
    <w:uiPriority w:val="0"/>
    <w:rPr>
      <w:rFonts w:ascii="Arial" w:hAnsi="Arial"/>
    </w:rPr>
  </w:style>
  <w:style w:type="paragraph" w:customStyle="1" w:styleId="20">
    <w:name w:val="目录 11"/>
    <w:basedOn w:val="3"/>
    <w:next w:val="10"/>
    <w:qFormat/>
    <w:uiPriority w:val="39"/>
  </w:style>
  <w:style w:type="paragraph" w:styleId="21">
    <w:name w:val="Block Text"/>
    <w:basedOn w:val="1"/>
    <w:qFormat/>
    <w:uiPriority w:val="0"/>
    <w:pPr>
      <w:ind w:left="567" w:right="454" w:firstLine="498"/>
    </w:pPr>
    <w:rPr>
      <w:rFonts w:ascii="仿宋_GB2312" w:eastAsia="仿宋_GB2312"/>
      <w:sz w:val="30"/>
    </w:rPr>
  </w:style>
  <w:style w:type="table" w:styleId="23">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25">
    <w:name w:val="标题 111"/>
    <w:basedOn w:val="1"/>
    <w:next w:val="1"/>
    <w:qFormat/>
    <w:uiPriority w:val="9"/>
    <w:pPr>
      <w:keepNext/>
      <w:keepLines/>
      <w:spacing w:line="578" w:lineRule="auto"/>
      <w:jc w:val="center"/>
      <w:outlineLvl w:val="0"/>
    </w:pPr>
    <w:rPr>
      <w:rFonts w:eastAsia="新宋体"/>
      <w:b/>
      <w:bCs/>
      <w:sz w:val="30"/>
      <w:szCs w:val="44"/>
    </w:rPr>
  </w:style>
  <w:style w:type="paragraph" w:customStyle="1" w:styleId="26">
    <w:name w:val="正文文本1"/>
    <w:basedOn w:val="1"/>
    <w:qFormat/>
    <w:uiPriority w:val="0"/>
    <w:pPr>
      <w:spacing w:after="12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2025-01-09T01:45:00Z</dcterms:created>
  <dc:creator>Administrator</dc:creator>
  <cp:lastModifiedBy>       J.</cp:lastModifiedBy>
  <dcterms:modified xsi:type="dcterms:W3CDTF">2026-07-24T06:14:48Z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598A79BA465A4E06BF0C32D99D92C58E</vt:lpwstr>
  </property>
</Properties>
</file>