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72B49E">
      <w:pPr>
        <w:spacing w:line="560" w:lineRule="exact"/>
        <w:rPr>
          <w:rFonts w:hint="eastAsia" w:ascii="仿宋" w:hAnsi="仿宋" w:eastAsia="仿宋" w:cs="仿宋"/>
          <w:b/>
          <w:bCs/>
          <w:color w:val="auto"/>
          <w:sz w:val="32"/>
          <w:szCs w:val="32"/>
          <w:highlight w:val="none"/>
          <w:lang w:val="en-US" w:eastAsia="zh-CN"/>
        </w:rPr>
      </w:pPr>
    </w:p>
    <w:p w14:paraId="0A7E2511">
      <w:pPr>
        <w:pStyle w:val="9"/>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120" w:afterAutospacing="0"/>
        <w:ind w:left="0" w:right="0" w:firstLine="560"/>
        <w:jc w:val="both"/>
        <w:rPr>
          <w:highlight w:val="none"/>
        </w:rPr>
      </w:pPr>
      <w:r>
        <w:rPr>
          <w:rFonts w:hint="eastAsia" w:ascii="宋体" w:hAnsi="宋体" w:eastAsia="宋体" w:cs="宋体"/>
          <w:color w:val="000000"/>
          <w:sz w:val="28"/>
          <w:szCs w:val="28"/>
          <w:highlight w:val="none"/>
        </w:rPr>
        <w:t>如有建议或意见，请以书面形式并加盖公章、注明联系人、联系方式，于</w:t>
      </w:r>
      <w:r>
        <w:rPr>
          <w:rFonts w:hint="eastAsia" w:ascii="宋体" w:hAnsi="宋体" w:eastAsia="宋体" w:cs="宋体"/>
          <w:color w:val="000000"/>
          <w:sz w:val="28"/>
          <w:szCs w:val="28"/>
          <w:highlight w:val="none"/>
          <w:lang w:val="en-US" w:eastAsia="zh-CN"/>
        </w:rPr>
        <w:t>2026</w:t>
      </w:r>
      <w:r>
        <w:rPr>
          <w:rFonts w:hint="eastAsia" w:ascii="宋体" w:hAnsi="宋体" w:eastAsia="宋体" w:cs="宋体"/>
          <w:color w:val="000000"/>
          <w:sz w:val="28"/>
          <w:szCs w:val="28"/>
          <w:highlight w:val="none"/>
        </w:rPr>
        <w:t>年</w:t>
      </w:r>
      <w:r>
        <w:rPr>
          <w:rFonts w:hint="eastAsia" w:ascii="宋体" w:hAnsi="宋体" w:cs="宋体"/>
          <w:color w:val="000000"/>
          <w:sz w:val="28"/>
          <w:szCs w:val="28"/>
          <w:highlight w:val="none"/>
          <w:lang w:val="en-US" w:eastAsia="zh-CN"/>
        </w:rPr>
        <w:t>8</w:t>
      </w:r>
      <w:r>
        <w:rPr>
          <w:rFonts w:hint="eastAsia" w:ascii="宋体" w:hAnsi="宋体" w:eastAsia="宋体" w:cs="宋体"/>
          <w:color w:val="000000"/>
          <w:sz w:val="28"/>
          <w:szCs w:val="28"/>
          <w:highlight w:val="none"/>
          <w:lang w:val="en-US" w:eastAsia="zh-CN"/>
        </w:rPr>
        <w:t>月</w:t>
      </w:r>
      <w:r>
        <w:rPr>
          <w:rFonts w:hint="eastAsia" w:ascii="宋体" w:hAnsi="宋体" w:cs="宋体"/>
          <w:color w:val="000000"/>
          <w:sz w:val="28"/>
          <w:szCs w:val="28"/>
          <w:highlight w:val="none"/>
          <w:lang w:val="en-US" w:eastAsia="zh-CN"/>
        </w:rPr>
        <w:t>5</w:t>
      </w:r>
      <w:r>
        <w:rPr>
          <w:rFonts w:hint="eastAsia" w:ascii="宋体" w:hAnsi="宋体" w:eastAsia="宋体" w:cs="宋体"/>
          <w:color w:val="000000"/>
          <w:sz w:val="28"/>
          <w:szCs w:val="28"/>
          <w:highlight w:val="none"/>
          <w:lang w:val="en-US" w:eastAsia="zh-CN"/>
        </w:rPr>
        <w:t>日</w:t>
      </w:r>
      <w:r>
        <w:rPr>
          <w:rFonts w:hint="eastAsia" w:ascii="宋体" w:hAnsi="宋体" w:eastAsia="宋体" w:cs="宋体"/>
          <w:color w:val="000000"/>
          <w:sz w:val="28"/>
          <w:szCs w:val="28"/>
          <w:highlight w:val="none"/>
        </w:rPr>
        <w:t>17:00之前送至我单位，逾期不受理（如邮寄，</w:t>
      </w:r>
      <w:r>
        <w:rPr>
          <w:rFonts w:hint="eastAsia" w:ascii="宋体" w:hAnsi="宋体" w:eastAsia="宋体" w:cs="宋体"/>
          <w:color w:val="000000"/>
          <w:sz w:val="28"/>
          <w:szCs w:val="28"/>
          <w:highlight w:val="none"/>
          <w:lang w:val="en-US" w:eastAsia="zh-CN"/>
        </w:rPr>
        <w:t>2026</w:t>
      </w:r>
      <w:r>
        <w:rPr>
          <w:rFonts w:hint="eastAsia" w:ascii="宋体" w:hAnsi="宋体" w:eastAsia="宋体" w:cs="宋体"/>
          <w:color w:val="000000"/>
          <w:sz w:val="28"/>
          <w:szCs w:val="28"/>
          <w:highlight w:val="none"/>
        </w:rPr>
        <w:t>年</w:t>
      </w:r>
      <w:r>
        <w:rPr>
          <w:rFonts w:hint="eastAsia" w:ascii="宋体" w:hAnsi="宋体" w:cs="宋体"/>
          <w:color w:val="000000"/>
          <w:sz w:val="28"/>
          <w:szCs w:val="28"/>
          <w:highlight w:val="none"/>
          <w:lang w:val="en-US" w:eastAsia="zh-CN"/>
        </w:rPr>
        <w:t>8</w:t>
      </w:r>
      <w:r>
        <w:rPr>
          <w:rFonts w:hint="eastAsia" w:ascii="宋体" w:hAnsi="宋体" w:eastAsia="宋体" w:cs="宋体"/>
          <w:color w:val="000000"/>
          <w:sz w:val="28"/>
          <w:szCs w:val="28"/>
          <w:highlight w:val="none"/>
          <w:lang w:val="en-US" w:eastAsia="zh-CN"/>
        </w:rPr>
        <w:t>月</w:t>
      </w:r>
      <w:r>
        <w:rPr>
          <w:rFonts w:hint="eastAsia" w:ascii="宋体" w:hAnsi="宋体" w:cs="宋体"/>
          <w:color w:val="000000"/>
          <w:sz w:val="28"/>
          <w:szCs w:val="28"/>
          <w:highlight w:val="none"/>
          <w:lang w:val="en-US" w:eastAsia="zh-CN"/>
        </w:rPr>
        <w:t>5</w:t>
      </w:r>
      <w:r>
        <w:rPr>
          <w:rFonts w:hint="eastAsia" w:ascii="宋体" w:hAnsi="宋体" w:eastAsia="宋体" w:cs="宋体"/>
          <w:color w:val="000000"/>
          <w:sz w:val="28"/>
          <w:szCs w:val="28"/>
          <w:highlight w:val="none"/>
          <w:lang w:val="en-US" w:eastAsia="zh-CN"/>
        </w:rPr>
        <w:t>日</w:t>
      </w:r>
      <w:r>
        <w:rPr>
          <w:rFonts w:hint="eastAsia" w:ascii="宋体" w:hAnsi="宋体" w:eastAsia="宋体" w:cs="宋体"/>
          <w:color w:val="000000"/>
          <w:sz w:val="28"/>
          <w:szCs w:val="28"/>
          <w:highlight w:val="none"/>
        </w:rPr>
        <w:t>17:00之后到达本公司的邮件将不再受理）。</w:t>
      </w:r>
    </w:p>
    <w:p w14:paraId="43E2F977"/>
    <w:p w14:paraId="3C5B4C77">
      <w:pPr>
        <w:pStyle w:val="10"/>
      </w:pPr>
    </w:p>
    <w:p w14:paraId="11E5703B">
      <w:pPr>
        <w:pStyle w:val="10"/>
      </w:pPr>
    </w:p>
    <w:p w14:paraId="72DF5484">
      <w:pPr>
        <w:pStyle w:val="10"/>
      </w:pPr>
    </w:p>
    <w:p w14:paraId="06A5C7F2">
      <w:pPr>
        <w:pStyle w:val="10"/>
      </w:pPr>
    </w:p>
    <w:p w14:paraId="7AEC5903">
      <w:pPr>
        <w:pStyle w:val="10"/>
      </w:pPr>
    </w:p>
    <w:p w14:paraId="49C89790">
      <w:pPr>
        <w:pStyle w:val="10"/>
      </w:pPr>
    </w:p>
    <w:p w14:paraId="682605F8">
      <w:pPr>
        <w:pStyle w:val="10"/>
      </w:pPr>
    </w:p>
    <w:p w14:paraId="57186BB2">
      <w:pPr>
        <w:pStyle w:val="10"/>
      </w:pPr>
    </w:p>
    <w:p w14:paraId="244771ED">
      <w:pPr>
        <w:pStyle w:val="10"/>
      </w:pPr>
    </w:p>
    <w:p w14:paraId="1C37824C">
      <w:pPr>
        <w:pStyle w:val="10"/>
      </w:pPr>
    </w:p>
    <w:p w14:paraId="11FD3AFF">
      <w:pPr>
        <w:pStyle w:val="10"/>
      </w:pPr>
    </w:p>
    <w:p w14:paraId="363B60C3">
      <w:pPr>
        <w:pStyle w:val="10"/>
      </w:pPr>
    </w:p>
    <w:p w14:paraId="673BE089">
      <w:pPr>
        <w:pStyle w:val="10"/>
      </w:pPr>
    </w:p>
    <w:p w14:paraId="0E9F731C">
      <w:pPr>
        <w:pStyle w:val="10"/>
      </w:pPr>
    </w:p>
    <w:p w14:paraId="39EC02BC">
      <w:pPr>
        <w:pStyle w:val="10"/>
      </w:pPr>
    </w:p>
    <w:p w14:paraId="534AD2C7">
      <w:pPr>
        <w:pStyle w:val="10"/>
      </w:pPr>
    </w:p>
    <w:p w14:paraId="2C2B958E">
      <w:pPr>
        <w:pStyle w:val="10"/>
      </w:pPr>
    </w:p>
    <w:p w14:paraId="6ED999BC">
      <w:pPr>
        <w:jc w:val="center"/>
        <w:rPr>
          <w:rFonts w:hint="default" w:ascii="宋体" w:hAnsi="宋体" w:eastAsia="宋体" w:cs="宋体"/>
          <w:b/>
          <w:bCs/>
          <w:color w:val="000000" w:themeColor="text1"/>
          <w:sz w:val="28"/>
          <w:szCs w:val="28"/>
          <w:highlight w:val="white"/>
          <w:lang w:val="en-US" w:eastAsia="zh-CN"/>
          <w14:textFill>
            <w14:solidFill>
              <w14:schemeClr w14:val="tx1"/>
            </w14:solidFill>
          </w14:textFill>
        </w:rPr>
      </w:pPr>
      <w:r>
        <w:rPr>
          <w:rFonts w:hint="eastAsia" w:ascii="宋体" w:hAnsi="宋体" w:eastAsia="宋体" w:cs="宋体"/>
          <w:b/>
          <w:bCs/>
          <w:sz w:val="30"/>
          <w:szCs w:val="44"/>
          <w:highlight w:val="white"/>
        </w:rPr>
        <w:t>采购需求</w:t>
      </w:r>
    </w:p>
    <w:p w14:paraId="79A4C279">
      <w:pPr>
        <w:pStyle w:val="13"/>
        <w:keepNext w:val="0"/>
        <w:keepLines w:val="0"/>
        <w:pageBreakBefore w:val="0"/>
        <w:widowControl w:val="0"/>
        <w:numPr>
          <w:ilvl w:val="0"/>
          <w:numId w:val="0"/>
        </w:numPr>
        <w:spacing w:after="0" w:line="360" w:lineRule="auto"/>
        <w:jc w:val="center"/>
        <w:rPr>
          <w:rFonts w:ascii="宋体" w:hAnsi="宋体" w:eastAsia="宋体" w:cs="宋体"/>
          <w:b/>
          <w:bCs/>
          <w:color w:val="000000"/>
          <w:sz w:val="28"/>
          <w:szCs w:val="28"/>
          <w:highlight w:val="none"/>
          <w:lang w:val="en-US" w:eastAsia="zh-CN" w:bidi="ar-SA"/>
        </w:rPr>
      </w:pPr>
      <w:r>
        <w:rPr>
          <w:rFonts w:hint="eastAsia" w:ascii="宋体" w:hAnsi="宋体" w:cs="宋体"/>
          <w:b/>
          <w:bCs/>
          <w:color w:val="000000"/>
          <w:sz w:val="28"/>
          <w:szCs w:val="28"/>
          <w:highlight w:val="none"/>
          <w:lang w:val="en-US" w:eastAsia="zh-CN" w:bidi="ar-SA"/>
        </w:rPr>
        <w:t>第一部分 项目说明</w:t>
      </w:r>
    </w:p>
    <w:p w14:paraId="75A336B7">
      <w:pPr>
        <w:pStyle w:val="13"/>
        <w:keepNext w:val="0"/>
        <w:keepLines w:val="0"/>
        <w:pageBreakBefore w:val="0"/>
        <w:widowControl w:val="0"/>
        <w:numPr>
          <w:ilvl w:val="0"/>
          <w:numId w:val="0"/>
        </w:numPr>
        <w:spacing w:after="0" w:line="312" w:lineRule="auto"/>
        <w:ind w:right="0"/>
        <w:rPr>
          <w:rFonts w:ascii="宋体" w:hAnsi="宋体" w:eastAsia="宋体" w:cs="宋体"/>
          <w:color w:val="000000"/>
          <w:sz w:val="24"/>
          <w:szCs w:val="24"/>
          <w:highlight w:val="none"/>
          <w:lang w:val="en-US" w:eastAsia="zh-CN" w:bidi="ar-SA"/>
        </w:rPr>
      </w:pPr>
      <w:r>
        <w:rPr>
          <w:rFonts w:hint="eastAsia" w:ascii="宋体" w:hAnsi="宋体" w:cs="宋体"/>
          <w:color w:val="000000"/>
          <w:sz w:val="24"/>
          <w:szCs w:val="24"/>
          <w:highlight w:val="none"/>
          <w:lang w:val="en-US" w:eastAsia="zh-CN" w:bidi="ar-SA"/>
        </w:rPr>
        <w:t>一、项目概况</w:t>
      </w:r>
    </w:p>
    <w:p w14:paraId="06ED1F83">
      <w:pPr>
        <w:pStyle w:val="13"/>
        <w:keepNext w:val="0"/>
        <w:keepLines w:val="0"/>
        <w:pageBreakBefore w:val="0"/>
        <w:widowControl w:val="0"/>
        <w:numPr>
          <w:ilvl w:val="0"/>
          <w:numId w:val="0"/>
        </w:numPr>
        <w:spacing w:after="0" w:line="312" w:lineRule="auto"/>
        <w:ind w:right="0" w:firstLine="480"/>
        <w:rPr>
          <w:rFonts w:hint="eastAsia" w:ascii="宋体" w:hAnsi="宋体" w:cs="宋体"/>
          <w:color w:val="000000"/>
          <w:sz w:val="24"/>
          <w:szCs w:val="24"/>
          <w:highlight w:val="none"/>
          <w:lang w:eastAsia="zh-CN"/>
        </w:rPr>
      </w:pPr>
      <w:r>
        <w:rPr>
          <w:rFonts w:hint="eastAsia"/>
          <w:color w:val="000000"/>
          <w:sz w:val="24"/>
          <w:szCs w:val="24"/>
          <w:highlight w:val="none"/>
          <w:lang w:val="en-US" w:eastAsia="zh-CN"/>
        </w:rPr>
        <w:t>1、项目名称：</w:t>
      </w:r>
      <w:r>
        <w:rPr>
          <w:rFonts w:hint="eastAsia" w:ascii="宋体" w:hAnsi="宋体" w:cs="宋体"/>
          <w:color w:val="000000"/>
          <w:sz w:val="24"/>
          <w:szCs w:val="24"/>
          <w:highlight w:val="none"/>
          <w:lang w:eastAsia="zh-CN"/>
        </w:rPr>
        <w:t>徐州市数智化财政业务平台-财政信息化服务</w:t>
      </w:r>
    </w:p>
    <w:p w14:paraId="2CAACC4C">
      <w:pPr>
        <w:keepNext w:val="0"/>
        <w:keepLines w:val="0"/>
        <w:pageBreakBefore w:val="0"/>
        <w:widowControl w:val="0"/>
        <w:spacing w:line="312" w:lineRule="auto"/>
        <w:ind w:right="0" w:firstLine="480"/>
        <w:rPr>
          <w:rFonts w:ascii="宋体" w:hAnsi="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2、项目内容：</w:t>
      </w:r>
      <w:r>
        <w:rPr>
          <w:rFonts w:hint="eastAsia" w:ascii="宋体" w:hAnsi="宋体" w:eastAsia="宋体" w:cs="宋体"/>
          <w:i w:val="0"/>
          <w:iCs w:val="0"/>
          <w:caps w:val="0"/>
          <w:color w:val="000000"/>
          <w:spacing w:val="0"/>
          <w:sz w:val="24"/>
          <w:szCs w:val="24"/>
          <w:highlight w:val="none"/>
          <w:lang w:eastAsia="zh-CN"/>
        </w:rPr>
        <w:t>财政信息化服务</w:t>
      </w:r>
      <w:r>
        <w:rPr>
          <w:rFonts w:hint="eastAsia" w:ascii="宋体" w:hAnsi="宋体" w:eastAsia="宋体" w:cs="宋体"/>
          <w:i w:val="0"/>
          <w:iCs w:val="0"/>
          <w:caps w:val="0"/>
          <w:color w:val="000000"/>
          <w:spacing w:val="0"/>
          <w:sz w:val="24"/>
          <w:szCs w:val="24"/>
          <w:highlight w:val="none"/>
          <w:lang w:val="en-US" w:eastAsia="zh-CN"/>
        </w:rPr>
        <w:t>，详见第二部分采购需求。</w:t>
      </w:r>
    </w:p>
    <w:p w14:paraId="17138B0B">
      <w:pPr>
        <w:keepNext w:val="0"/>
        <w:keepLines w:val="0"/>
        <w:pageBreakBefore w:val="0"/>
        <w:widowControl w:val="0"/>
        <w:spacing w:line="312" w:lineRule="auto"/>
        <w:ind w:right="0" w:firstLine="480"/>
        <w:rPr>
          <w:rFonts w:hint="eastAsia" w:ascii="宋体" w:hAnsi="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3、标段划分：本项目划分4个采购包，其中：</w:t>
      </w:r>
    </w:p>
    <w:p w14:paraId="79BDF6EA">
      <w:pPr>
        <w:keepNext w:val="0"/>
        <w:keepLines w:val="0"/>
        <w:pageBreakBefore w:val="0"/>
        <w:widowControl w:val="0"/>
        <w:spacing w:line="312" w:lineRule="auto"/>
        <w:ind w:right="0" w:firstLine="480"/>
        <w:rPr>
          <w:rFonts w:hint="eastAsia" w:ascii="宋体" w:hAnsi="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采购包1：财政信息化软硬件运维服务</w:t>
      </w:r>
    </w:p>
    <w:p w14:paraId="11F928CA">
      <w:pPr>
        <w:keepNext w:val="0"/>
        <w:keepLines w:val="0"/>
        <w:pageBreakBefore w:val="0"/>
        <w:widowControl w:val="0"/>
        <w:spacing w:line="312" w:lineRule="auto"/>
        <w:ind w:right="0" w:firstLine="480"/>
        <w:rPr>
          <w:rFonts w:hint="eastAsia" w:ascii="宋体" w:hAnsi="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采购包2：财政机房核心软硬件维保</w:t>
      </w:r>
    </w:p>
    <w:p w14:paraId="539E7AA4">
      <w:pPr>
        <w:keepNext w:val="0"/>
        <w:keepLines w:val="0"/>
        <w:pageBreakBefore w:val="0"/>
        <w:widowControl w:val="0"/>
        <w:spacing w:line="312" w:lineRule="auto"/>
        <w:ind w:right="0" w:firstLine="480"/>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采购包3：徐州市非税系统运维服务</w:t>
      </w:r>
    </w:p>
    <w:p w14:paraId="10551EED">
      <w:pPr>
        <w:keepNext w:val="0"/>
        <w:keepLines w:val="0"/>
        <w:pageBreakBefore w:val="0"/>
        <w:widowControl w:val="0"/>
        <w:spacing w:line="312" w:lineRule="auto"/>
        <w:ind w:right="0" w:firstLine="480"/>
        <w:rPr>
          <w:rFonts w:hint="default"/>
          <w:highlight w:val="none"/>
          <w:lang w:val="en-US" w:eastAsia="zh-CN"/>
        </w:rPr>
      </w:pPr>
      <w:r>
        <w:rPr>
          <w:rFonts w:hint="eastAsia" w:ascii="宋体" w:hAnsi="宋体" w:eastAsia="宋体" w:cs="宋体"/>
          <w:color w:val="000000"/>
          <w:sz w:val="24"/>
          <w:szCs w:val="24"/>
          <w:highlight w:val="none"/>
          <w:lang w:val="en-US" w:eastAsia="zh-CN"/>
        </w:rPr>
        <w:t>采购包4：</w:t>
      </w:r>
      <w:r>
        <w:rPr>
          <w:rFonts w:hint="eastAsia" w:ascii="宋体" w:hAnsi="宋体" w:cs="宋体"/>
          <w:color w:val="000000"/>
          <w:sz w:val="24"/>
          <w:szCs w:val="24"/>
          <w:highlight w:val="none"/>
          <w:lang w:val="en-US" w:eastAsia="zh-CN"/>
        </w:rPr>
        <w:t>苏采云系统运维服务</w:t>
      </w:r>
    </w:p>
    <w:p w14:paraId="09FC30B7">
      <w:pPr>
        <w:keepNext w:val="0"/>
        <w:keepLines w:val="0"/>
        <w:pageBreakBefore w:val="0"/>
        <w:widowControl w:val="0"/>
        <w:spacing w:line="312" w:lineRule="auto"/>
        <w:ind w:right="0" w:firstLine="480"/>
        <w:rPr>
          <w:rFonts w:hint="eastAsia" w:ascii="宋体" w:hAnsi="宋体" w:cs="宋体"/>
          <w:b w:val="0"/>
          <w:bCs/>
          <w:color w:val="000000"/>
          <w:sz w:val="24"/>
          <w:szCs w:val="24"/>
          <w:highlight w:val="none"/>
          <w:lang w:val="en-US" w:eastAsia="zh-CN"/>
        </w:rPr>
      </w:pPr>
      <w:r>
        <w:rPr>
          <w:rFonts w:hint="eastAsia" w:ascii="宋体" w:hAnsi="宋体" w:cs="宋体"/>
          <w:b w:val="0"/>
          <w:bCs/>
          <w:color w:val="000000"/>
          <w:sz w:val="24"/>
          <w:szCs w:val="24"/>
          <w:highlight w:val="none"/>
          <w:lang w:val="en-US" w:eastAsia="zh-CN"/>
        </w:rPr>
        <w:t>说明：</w:t>
      </w:r>
      <w:r>
        <w:rPr>
          <w:rFonts w:hint="eastAsia" w:ascii="宋体" w:hAnsi="宋体" w:eastAsia="宋体" w:cs="宋体"/>
          <w:b w:val="0"/>
          <w:bCs/>
          <w:color w:val="000000"/>
          <w:sz w:val="24"/>
          <w:szCs w:val="24"/>
          <w:highlight w:val="none"/>
          <w:lang w:val="en-US" w:eastAsia="zh-CN"/>
        </w:rPr>
        <w:t>每个投标人可以同时参加</w:t>
      </w:r>
      <w:r>
        <w:rPr>
          <w:rFonts w:hint="eastAsia" w:ascii="宋体" w:hAnsi="宋体" w:cs="宋体"/>
          <w:b w:val="0"/>
          <w:bCs/>
          <w:color w:val="000000"/>
          <w:sz w:val="24"/>
          <w:szCs w:val="24"/>
          <w:highlight w:val="none"/>
          <w:lang w:val="en-US" w:eastAsia="zh-CN"/>
        </w:rPr>
        <w:t>以上4</w:t>
      </w:r>
      <w:r>
        <w:rPr>
          <w:rFonts w:hint="eastAsia" w:ascii="宋体" w:hAnsi="宋体" w:eastAsia="宋体" w:cs="宋体"/>
          <w:b w:val="0"/>
          <w:bCs/>
          <w:color w:val="000000"/>
          <w:sz w:val="24"/>
          <w:szCs w:val="24"/>
          <w:highlight w:val="none"/>
          <w:lang w:val="en-US" w:eastAsia="zh-CN"/>
        </w:rPr>
        <w:t>个采购包的投标与评审，但每个投标人最多允许</w:t>
      </w:r>
      <w:r>
        <w:rPr>
          <w:rFonts w:hint="eastAsia" w:ascii="宋体" w:hAnsi="宋体" w:cs="宋体"/>
          <w:b w:val="0"/>
          <w:bCs/>
          <w:color w:val="000000"/>
          <w:sz w:val="24"/>
          <w:szCs w:val="24"/>
          <w:highlight w:val="none"/>
          <w:lang w:val="en-US" w:eastAsia="zh-CN"/>
        </w:rPr>
        <w:t>中标1</w:t>
      </w:r>
      <w:r>
        <w:rPr>
          <w:rFonts w:hint="eastAsia" w:ascii="宋体" w:hAnsi="宋体" w:eastAsia="宋体" w:cs="宋体"/>
          <w:b w:val="0"/>
          <w:bCs/>
          <w:color w:val="000000"/>
          <w:sz w:val="24"/>
          <w:szCs w:val="24"/>
          <w:highlight w:val="none"/>
          <w:lang w:val="en-US" w:eastAsia="zh-CN"/>
        </w:rPr>
        <w:t>个采购包。若投标人已在前采购包中推荐为第一中标候选人的，可继续参与后续采购包的评审，但不得再次中标，且不再推荐为后续采购包的中标候选人。各采购包中标候选人数量不得低于3个，否则该采购包按废标处理。本项目按照采购包</w:t>
      </w:r>
      <w:r>
        <w:rPr>
          <w:rFonts w:hint="eastAsia" w:ascii="宋体" w:hAnsi="宋体" w:cs="宋体"/>
          <w:b w:val="0"/>
          <w:bCs/>
          <w:color w:val="000000"/>
          <w:sz w:val="24"/>
          <w:szCs w:val="24"/>
          <w:highlight w:val="none"/>
          <w:lang w:val="en-US" w:eastAsia="zh-CN"/>
        </w:rPr>
        <w:t>1</w:t>
      </w:r>
      <w:r>
        <w:rPr>
          <w:rFonts w:hint="eastAsia" w:ascii="宋体" w:hAnsi="宋体" w:eastAsia="宋体" w:cs="宋体"/>
          <w:b w:val="0"/>
          <w:bCs/>
          <w:color w:val="000000"/>
          <w:sz w:val="24"/>
          <w:szCs w:val="24"/>
          <w:highlight w:val="none"/>
          <w:lang w:val="en-US" w:eastAsia="zh-CN"/>
        </w:rPr>
        <w:t>、采购包</w:t>
      </w:r>
      <w:r>
        <w:rPr>
          <w:rFonts w:hint="eastAsia" w:ascii="宋体" w:hAnsi="宋体" w:cs="宋体"/>
          <w:b w:val="0"/>
          <w:bCs/>
          <w:color w:val="000000"/>
          <w:sz w:val="24"/>
          <w:szCs w:val="24"/>
          <w:highlight w:val="none"/>
          <w:lang w:val="en-US" w:eastAsia="zh-CN"/>
        </w:rPr>
        <w:t>2</w:t>
      </w:r>
      <w:r>
        <w:rPr>
          <w:rFonts w:hint="eastAsia" w:ascii="宋体" w:hAnsi="宋体" w:eastAsia="宋体" w:cs="宋体"/>
          <w:b w:val="0"/>
          <w:bCs/>
          <w:color w:val="000000"/>
          <w:sz w:val="24"/>
          <w:szCs w:val="24"/>
          <w:highlight w:val="none"/>
          <w:lang w:val="en-US" w:eastAsia="zh-CN"/>
        </w:rPr>
        <w:t>、采购包3、采购包</w:t>
      </w:r>
      <w:r>
        <w:rPr>
          <w:rFonts w:hint="eastAsia" w:ascii="宋体" w:hAnsi="宋体" w:cs="宋体"/>
          <w:b w:val="0"/>
          <w:bCs/>
          <w:color w:val="000000"/>
          <w:sz w:val="24"/>
          <w:szCs w:val="24"/>
          <w:highlight w:val="none"/>
          <w:lang w:val="en-US" w:eastAsia="zh-CN"/>
        </w:rPr>
        <w:t>4</w:t>
      </w:r>
      <w:r>
        <w:rPr>
          <w:rFonts w:hint="eastAsia" w:ascii="宋体" w:hAnsi="宋体" w:eastAsia="宋体" w:cs="宋体"/>
          <w:b w:val="0"/>
          <w:bCs/>
          <w:color w:val="000000"/>
          <w:sz w:val="24"/>
          <w:szCs w:val="24"/>
          <w:highlight w:val="none"/>
          <w:lang w:val="en-US" w:eastAsia="zh-CN"/>
        </w:rPr>
        <w:t>的顺序进行评审。</w:t>
      </w:r>
    </w:p>
    <w:p w14:paraId="65B005E5">
      <w:pPr>
        <w:keepNext w:val="0"/>
        <w:keepLines w:val="0"/>
        <w:pageBreakBefore w:val="0"/>
        <w:widowControl w:val="0"/>
        <w:spacing w:line="312" w:lineRule="auto"/>
        <w:ind w:right="0"/>
        <w:rPr>
          <w:rFonts w:ascii="宋体" w:hAnsi="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二、</w:t>
      </w:r>
      <w:r>
        <w:rPr>
          <w:rFonts w:hint="eastAsia" w:ascii="宋体" w:hAnsi="宋体" w:cs="宋体"/>
          <w:b/>
          <w:bCs/>
          <w:color w:val="000000"/>
          <w:sz w:val="24"/>
          <w:szCs w:val="24"/>
          <w:highlight w:val="none"/>
          <w:lang w:val="en-US" w:eastAsia="zh-CN"/>
        </w:rPr>
        <w:t>采购</w:t>
      </w:r>
      <w:r>
        <w:rPr>
          <w:rFonts w:hint="eastAsia" w:ascii="宋体" w:hAnsi="宋体" w:cs="宋体"/>
          <w:b/>
          <w:bCs/>
          <w:color w:val="000000"/>
          <w:sz w:val="24"/>
          <w:szCs w:val="24"/>
          <w:highlight w:val="none"/>
        </w:rPr>
        <w:t>预算金额</w:t>
      </w:r>
    </w:p>
    <w:p w14:paraId="5F4E57AA">
      <w:pPr>
        <w:keepNext w:val="0"/>
        <w:keepLines w:val="0"/>
        <w:pageBreakBefore w:val="0"/>
        <w:widowControl w:val="0"/>
        <w:spacing w:line="312" w:lineRule="auto"/>
        <w:ind w:right="0" w:firstLine="480"/>
        <w:rPr>
          <w:rFonts w:hint="eastAsia" w:ascii="宋体" w:hAnsi="宋体" w:eastAsia="宋体" w:cs="宋体"/>
          <w:color w:val="000000"/>
          <w:sz w:val="24"/>
          <w:highlight w:val="none"/>
          <w:lang w:val="en-US" w:eastAsia="zh-CN"/>
        </w:rPr>
      </w:pPr>
      <w:r>
        <w:rPr>
          <w:rFonts w:hint="eastAsia" w:ascii="宋体" w:hAnsi="宋体" w:eastAsia="宋体" w:cs="宋体"/>
          <w:color w:val="000000"/>
          <w:sz w:val="24"/>
          <w:highlight w:val="none"/>
          <w:lang w:val="en-US" w:eastAsia="zh-CN"/>
        </w:rPr>
        <w:t>1、</w:t>
      </w:r>
      <w:r>
        <w:rPr>
          <w:rFonts w:hint="eastAsia" w:ascii="宋体" w:hAnsi="宋体" w:eastAsia="宋体" w:cs="宋体"/>
          <w:color w:val="000000"/>
          <w:sz w:val="24"/>
          <w:highlight w:val="none"/>
        </w:rPr>
        <w:t>本项目不接受超过</w:t>
      </w:r>
      <w:r>
        <w:rPr>
          <w:rFonts w:hint="eastAsia" w:ascii="宋体" w:hAnsi="宋体" w:cs="宋体"/>
          <w:i w:val="0"/>
          <w:iCs w:val="0"/>
          <w:caps w:val="0"/>
          <w:color w:val="000000"/>
          <w:spacing w:val="0"/>
          <w:sz w:val="24"/>
          <w:szCs w:val="24"/>
          <w:highlight w:val="none"/>
          <w:lang w:val="en-US" w:eastAsia="zh-CN"/>
        </w:rPr>
        <w:t>199.75</w:t>
      </w:r>
      <w:r>
        <w:rPr>
          <w:rFonts w:hint="eastAsia" w:ascii="宋体" w:hAnsi="宋体" w:eastAsia="宋体" w:cs="宋体"/>
          <w:color w:val="000000"/>
          <w:sz w:val="24"/>
          <w:highlight w:val="none"/>
        </w:rPr>
        <w:t>万元</w:t>
      </w:r>
      <w:r>
        <w:rPr>
          <w:rFonts w:hint="eastAsia" w:ascii="宋体" w:hAnsi="宋体" w:eastAsia="宋体" w:cs="宋体"/>
          <w:color w:val="000000"/>
          <w:sz w:val="24"/>
          <w:highlight w:val="none"/>
          <w:lang w:eastAsia="zh-CN"/>
        </w:rPr>
        <w:t>（</w:t>
      </w:r>
      <w:r>
        <w:rPr>
          <w:rFonts w:hint="eastAsia" w:ascii="宋体" w:hAnsi="宋体" w:eastAsia="宋体" w:cs="宋体"/>
          <w:color w:val="000000"/>
          <w:sz w:val="24"/>
          <w:highlight w:val="none"/>
        </w:rPr>
        <w:t>最高限价</w:t>
      </w:r>
      <w:r>
        <w:rPr>
          <w:rFonts w:hint="eastAsia" w:ascii="宋体" w:hAnsi="宋体" w:eastAsia="宋体" w:cs="宋体"/>
          <w:color w:val="000000"/>
          <w:sz w:val="24"/>
          <w:highlight w:val="none"/>
          <w:lang w:eastAsia="zh-CN"/>
        </w:rPr>
        <w:t>）的</w:t>
      </w:r>
      <w:r>
        <w:rPr>
          <w:rFonts w:hint="eastAsia" w:ascii="宋体" w:hAnsi="宋体" w:eastAsia="宋体" w:cs="宋体"/>
          <w:color w:val="000000"/>
          <w:sz w:val="24"/>
          <w:highlight w:val="none"/>
          <w:lang w:val="en-US" w:eastAsia="zh-CN"/>
        </w:rPr>
        <w:t>投标报价</w:t>
      </w:r>
      <w:r>
        <w:rPr>
          <w:rFonts w:hint="eastAsia" w:ascii="宋体" w:hAnsi="宋体" w:eastAsia="宋体" w:cs="宋体"/>
          <w:color w:val="000000"/>
          <w:sz w:val="24"/>
          <w:highlight w:val="none"/>
          <w:lang w:eastAsia="zh-CN"/>
        </w:rPr>
        <w:t>，</w:t>
      </w:r>
      <w:r>
        <w:rPr>
          <w:rFonts w:hint="eastAsia" w:ascii="宋体" w:hAnsi="宋体" w:eastAsia="宋体" w:cs="宋体"/>
          <w:color w:val="000000"/>
          <w:sz w:val="24"/>
          <w:highlight w:val="none"/>
          <w:lang w:val="en-US" w:eastAsia="zh-CN"/>
        </w:rPr>
        <w:t>其中：</w:t>
      </w:r>
    </w:p>
    <w:p w14:paraId="059BA23C">
      <w:pPr>
        <w:keepNext w:val="0"/>
        <w:keepLines w:val="0"/>
        <w:pageBreakBefore w:val="0"/>
        <w:widowControl w:val="0"/>
        <w:spacing w:line="312" w:lineRule="auto"/>
        <w:ind w:right="0" w:firstLine="480"/>
        <w:rPr>
          <w:rFonts w:hint="eastAsia" w:ascii="宋体" w:hAnsi="宋体" w:eastAsia="宋体" w:cs="宋体"/>
          <w:color w:val="000000"/>
          <w:sz w:val="24"/>
          <w:highlight w:val="none"/>
          <w:lang w:eastAsia="zh-CN"/>
        </w:rPr>
      </w:pPr>
      <w:r>
        <w:rPr>
          <w:rFonts w:hint="eastAsia" w:ascii="宋体" w:hAnsi="宋体" w:eastAsia="宋体" w:cs="宋体"/>
          <w:color w:val="000000"/>
          <w:sz w:val="24"/>
          <w:highlight w:val="none"/>
          <w:lang w:val="en-US" w:eastAsia="zh-CN"/>
        </w:rPr>
        <w:t>采购包1</w:t>
      </w:r>
      <w:r>
        <w:rPr>
          <w:rFonts w:hint="eastAsia" w:ascii="宋体" w:hAnsi="宋体" w:eastAsia="宋体" w:cs="宋体"/>
          <w:color w:val="000000"/>
          <w:sz w:val="24"/>
          <w:highlight w:val="none"/>
        </w:rPr>
        <w:t>不接受</w:t>
      </w:r>
      <w:r>
        <w:rPr>
          <w:rFonts w:hint="eastAsia" w:ascii="宋体" w:hAnsi="宋体" w:eastAsia="宋体" w:cs="宋体"/>
          <w:color w:val="000000"/>
          <w:sz w:val="24"/>
          <w:highlight w:val="none"/>
          <w:lang w:val="en-US" w:eastAsia="zh-CN"/>
        </w:rPr>
        <w:t>超过</w:t>
      </w:r>
      <w:r>
        <w:rPr>
          <w:rFonts w:hint="eastAsia" w:ascii="宋体" w:hAnsi="宋体" w:cs="宋体"/>
          <w:i w:val="0"/>
          <w:iCs w:val="0"/>
          <w:caps w:val="0"/>
          <w:color w:val="000000"/>
          <w:spacing w:val="0"/>
          <w:sz w:val="24"/>
          <w:szCs w:val="24"/>
          <w:highlight w:val="none"/>
          <w:lang w:val="en-US" w:eastAsia="zh-CN"/>
        </w:rPr>
        <w:t>87</w:t>
      </w:r>
      <w:r>
        <w:rPr>
          <w:rFonts w:hint="eastAsia" w:ascii="宋体" w:hAnsi="宋体" w:eastAsia="宋体" w:cs="宋体"/>
          <w:i w:val="0"/>
          <w:iCs w:val="0"/>
          <w:caps w:val="0"/>
          <w:color w:val="000000"/>
          <w:spacing w:val="0"/>
          <w:sz w:val="24"/>
          <w:szCs w:val="24"/>
          <w:highlight w:val="none"/>
          <w:lang w:val="en-US" w:eastAsia="zh-CN"/>
        </w:rPr>
        <w:t>万元</w:t>
      </w:r>
      <w:r>
        <w:rPr>
          <w:rFonts w:hint="eastAsia" w:ascii="宋体" w:hAnsi="宋体" w:eastAsia="宋体" w:cs="宋体"/>
          <w:color w:val="000000"/>
          <w:sz w:val="24"/>
          <w:highlight w:val="none"/>
          <w:lang w:val="en-US" w:eastAsia="zh-CN"/>
        </w:rPr>
        <w:t>（</w:t>
      </w:r>
      <w:r>
        <w:rPr>
          <w:rFonts w:hint="eastAsia" w:ascii="宋体" w:hAnsi="宋体" w:eastAsia="宋体" w:cs="宋体"/>
          <w:color w:val="000000"/>
          <w:sz w:val="24"/>
          <w:highlight w:val="none"/>
        </w:rPr>
        <w:t>最高限价）的投标报价</w:t>
      </w:r>
      <w:r>
        <w:rPr>
          <w:rFonts w:hint="eastAsia" w:ascii="宋体" w:hAnsi="宋体" w:eastAsia="宋体" w:cs="宋体"/>
          <w:color w:val="000000"/>
          <w:sz w:val="24"/>
          <w:highlight w:val="none"/>
          <w:lang w:eastAsia="zh-CN"/>
        </w:rPr>
        <w:t>；</w:t>
      </w:r>
    </w:p>
    <w:p w14:paraId="19012FC6">
      <w:pPr>
        <w:keepNext w:val="0"/>
        <w:keepLines w:val="0"/>
        <w:pageBreakBefore w:val="0"/>
        <w:widowControl w:val="0"/>
        <w:spacing w:line="312" w:lineRule="auto"/>
        <w:ind w:right="0" w:firstLine="480"/>
        <w:rPr>
          <w:rFonts w:hint="eastAsia" w:ascii="宋体" w:hAnsi="宋体" w:eastAsia="宋体" w:cs="宋体"/>
          <w:color w:val="000000"/>
          <w:sz w:val="24"/>
          <w:highlight w:val="none"/>
          <w:lang w:eastAsia="zh-CN"/>
        </w:rPr>
      </w:pPr>
      <w:r>
        <w:rPr>
          <w:rFonts w:hint="eastAsia" w:ascii="宋体" w:hAnsi="宋体" w:eastAsia="宋体" w:cs="宋体"/>
          <w:color w:val="000000"/>
          <w:sz w:val="24"/>
          <w:highlight w:val="none"/>
          <w:lang w:val="en-US" w:eastAsia="zh-CN"/>
        </w:rPr>
        <w:t>采购包2</w:t>
      </w:r>
      <w:r>
        <w:rPr>
          <w:rFonts w:hint="eastAsia" w:ascii="宋体" w:hAnsi="宋体" w:eastAsia="宋体" w:cs="宋体"/>
          <w:color w:val="000000"/>
          <w:sz w:val="24"/>
          <w:highlight w:val="none"/>
        </w:rPr>
        <w:t>不接受</w:t>
      </w:r>
      <w:r>
        <w:rPr>
          <w:rFonts w:hint="eastAsia" w:ascii="宋体" w:hAnsi="宋体" w:eastAsia="宋体" w:cs="宋体"/>
          <w:color w:val="000000"/>
          <w:sz w:val="24"/>
          <w:highlight w:val="none"/>
          <w:lang w:val="en-US" w:eastAsia="zh-CN"/>
        </w:rPr>
        <w:t>超过</w:t>
      </w:r>
      <w:r>
        <w:rPr>
          <w:rFonts w:hint="eastAsia" w:ascii="宋体" w:hAnsi="宋体" w:cs="宋体"/>
          <w:color w:val="000000"/>
          <w:sz w:val="24"/>
          <w:highlight w:val="none"/>
          <w:lang w:val="en-US" w:eastAsia="zh-CN"/>
        </w:rPr>
        <w:t>45</w:t>
      </w:r>
      <w:r>
        <w:rPr>
          <w:rFonts w:hint="eastAsia" w:ascii="宋体" w:hAnsi="宋体" w:eastAsia="宋体" w:cs="宋体"/>
          <w:i w:val="0"/>
          <w:iCs w:val="0"/>
          <w:caps w:val="0"/>
          <w:color w:val="000000"/>
          <w:spacing w:val="0"/>
          <w:sz w:val="24"/>
          <w:szCs w:val="24"/>
          <w:highlight w:val="none"/>
          <w:lang w:val="en-US" w:eastAsia="zh-CN"/>
        </w:rPr>
        <w:t>万元</w:t>
      </w:r>
      <w:r>
        <w:rPr>
          <w:rFonts w:hint="eastAsia" w:ascii="宋体" w:hAnsi="宋体" w:eastAsia="宋体" w:cs="宋体"/>
          <w:color w:val="000000"/>
          <w:sz w:val="24"/>
          <w:highlight w:val="none"/>
          <w:lang w:val="en-US" w:eastAsia="zh-CN"/>
        </w:rPr>
        <w:t>（</w:t>
      </w:r>
      <w:r>
        <w:rPr>
          <w:rFonts w:hint="eastAsia" w:ascii="宋体" w:hAnsi="宋体" w:eastAsia="宋体" w:cs="宋体"/>
          <w:color w:val="000000"/>
          <w:sz w:val="24"/>
          <w:highlight w:val="none"/>
        </w:rPr>
        <w:t>最高限价）的投标报价</w:t>
      </w:r>
      <w:r>
        <w:rPr>
          <w:rFonts w:hint="eastAsia" w:ascii="宋体" w:hAnsi="宋体" w:eastAsia="宋体" w:cs="宋体"/>
          <w:color w:val="000000"/>
          <w:sz w:val="24"/>
          <w:highlight w:val="none"/>
          <w:lang w:eastAsia="zh-CN"/>
        </w:rPr>
        <w:t>；</w:t>
      </w:r>
    </w:p>
    <w:p w14:paraId="094141F1">
      <w:pPr>
        <w:keepNext w:val="0"/>
        <w:keepLines w:val="0"/>
        <w:pageBreakBefore w:val="0"/>
        <w:widowControl w:val="0"/>
        <w:spacing w:line="312" w:lineRule="auto"/>
        <w:ind w:right="0" w:firstLine="480"/>
        <w:rPr>
          <w:rFonts w:hint="eastAsia" w:ascii="宋体" w:hAnsi="宋体" w:eastAsia="宋体" w:cs="宋体"/>
          <w:color w:val="000000"/>
          <w:sz w:val="24"/>
          <w:highlight w:val="none"/>
          <w:lang w:eastAsia="zh-CN"/>
        </w:rPr>
      </w:pPr>
      <w:r>
        <w:rPr>
          <w:rFonts w:hint="eastAsia" w:ascii="宋体" w:hAnsi="宋体" w:eastAsia="宋体" w:cs="宋体"/>
          <w:color w:val="000000"/>
          <w:sz w:val="24"/>
          <w:highlight w:val="none"/>
          <w:lang w:val="en-US" w:eastAsia="zh-CN"/>
        </w:rPr>
        <w:t>采购包3</w:t>
      </w:r>
      <w:r>
        <w:rPr>
          <w:rFonts w:hint="eastAsia" w:ascii="宋体" w:hAnsi="宋体" w:eastAsia="宋体" w:cs="宋体"/>
          <w:color w:val="000000"/>
          <w:sz w:val="24"/>
          <w:highlight w:val="none"/>
        </w:rPr>
        <w:t>不接受</w:t>
      </w:r>
      <w:r>
        <w:rPr>
          <w:rFonts w:hint="eastAsia" w:ascii="宋体" w:hAnsi="宋体" w:eastAsia="宋体" w:cs="宋体"/>
          <w:color w:val="000000"/>
          <w:sz w:val="24"/>
          <w:highlight w:val="none"/>
          <w:lang w:val="en-US" w:eastAsia="zh-CN"/>
        </w:rPr>
        <w:t>超过38.95</w:t>
      </w:r>
      <w:r>
        <w:rPr>
          <w:rFonts w:hint="eastAsia" w:ascii="宋体" w:hAnsi="宋体" w:eastAsia="宋体" w:cs="宋体"/>
          <w:i w:val="0"/>
          <w:iCs w:val="0"/>
          <w:caps w:val="0"/>
          <w:color w:val="000000"/>
          <w:spacing w:val="0"/>
          <w:sz w:val="24"/>
          <w:szCs w:val="24"/>
          <w:highlight w:val="none"/>
          <w:lang w:val="en-US" w:eastAsia="zh-CN"/>
        </w:rPr>
        <w:t>万元</w:t>
      </w:r>
      <w:r>
        <w:rPr>
          <w:rFonts w:hint="eastAsia" w:ascii="宋体" w:hAnsi="宋体" w:eastAsia="宋体" w:cs="宋体"/>
          <w:color w:val="000000"/>
          <w:sz w:val="24"/>
          <w:highlight w:val="none"/>
          <w:lang w:val="en-US" w:eastAsia="zh-CN"/>
        </w:rPr>
        <w:t>（</w:t>
      </w:r>
      <w:r>
        <w:rPr>
          <w:rFonts w:hint="eastAsia" w:ascii="宋体" w:hAnsi="宋体" w:eastAsia="宋体" w:cs="宋体"/>
          <w:color w:val="000000"/>
          <w:sz w:val="24"/>
          <w:highlight w:val="none"/>
        </w:rPr>
        <w:t>最高限价）的投标报价</w:t>
      </w:r>
      <w:r>
        <w:rPr>
          <w:rFonts w:hint="eastAsia" w:ascii="宋体" w:hAnsi="宋体" w:eastAsia="宋体" w:cs="宋体"/>
          <w:color w:val="000000"/>
          <w:sz w:val="24"/>
          <w:highlight w:val="none"/>
          <w:lang w:eastAsia="zh-CN"/>
        </w:rPr>
        <w:t>。</w:t>
      </w:r>
    </w:p>
    <w:p w14:paraId="4F11D8CA">
      <w:pPr>
        <w:keepNext w:val="0"/>
        <w:keepLines w:val="0"/>
        <w:pageBreakBefore w:val="0"/>
        <w:widowControl w:val="0"/>
        <w:spacing w:line="312" w:lineRule="auto"/>
        <w:ind w:right="0" w:firstLine="480"/>
        <w:rPr>
          <w:rFonts w:hint="eastAsia"/>
          <w:highlight w:val="none"/>
          <w:lang w:eastAsia="zh-CN"/>
        </w:rPr>
      </w:pPr>
      <w:r>
        <w:rPr>
          <w:rFonts w:hint="eastAsia" w:ascii="宋体" w:hAnsi="宋体" w:eastAsia="宋体" w:cs="宋体"/>
          <w:color w:val="000000"/>
          <w:sz w:val="24"/>
          <w:highlight w:val="none"/>
          <w:lang w:val="en-US" w:eastAsia="zh-CN"/>
        </w:rPr>
        <w:t>采购包4</w:t>
      </w:r>
      <w:r>
        <w:rPr>
          <w:rFonts w:hint="eastAsia" w:ascii="宋体" w:hAnsi="宋体" w:eastAsia="宋体" w:cs="宋体"/>
          <w:color w:val="000000"/>
          <w:sz w:val="24"/>
          <w:highlight w:val="none"/>
        </w:rPr>
        <w:t>不接受</w:t>
      </w:r>
      <w:r>
        <w:rPr>
          <w:rFonts w:hint="eastAsia" w:ascii="宋体" w:hAnsi="宋体" w:eastAsia="宋体" w:cs="宋体"/>
          <w:color w:val="000000"/>
          <w:sz w:val="24"/>
          <w:highlight w:val="none"/>
          <w:lang w:val="en-US" w:eastAsia="zh-CN"/>
        </w:rPr>
        <w:t>超过</w:t>
      </w:r>
      <w:r>
        <w:rPr>
          <w:rFonts w:hint="eastAsia" w:ascii="宋体" w:hAnsi="宋体" w:eastAsia="宋体" w:cs="宋体"/>
          <w:i w:val="0"/>
          <w:iCs w:val="0"/>
          <w:caps w:val="0"/>
          <w:color w:val="000000"/>
          <w:spacing w:val="0"/>
          <w:sz w:val="24"/>
          <w:szCs w:val="24"/>
          <w:highlight w:val="none"/>
          <w:lang w:val="en-US" w:eastAsia="zh-CN"/>
        </w:rPr>
        <w:t>2</w:t>
      </w:r>
      <w:r>
        <w:rPr>
          <w:rFonts w:hint="eastAsia" w:ascii="宋体" w:hAnsi="宋体" w:cs="宋体"/>
          <w:i w:val="0"/>
          <w:iCs w:val="0"/>
          <w:caps w:val="0"/>
          <w:color w:val="000000"/>
          <w:spacing w:val="0"/>
          <w:sz w:val="24"/>
          <w:szCs w:val="24"/>
          <w:highlight w:val="none"/>
          <w:lang w:val="en-US" w:eastAsia="zh-CN"/>
        </w:rPr>
        <w:t>8</w:t>
      </w:r>
      <w:r>
        <w:rPr>
          <w:rFonts w:hint="eastAsia" w:ascii="宋体" w:hAnsi="宋体" w:eastAsia="宋体" w:cs="宋体"/>
          <w:i w:val="0"/>
          <w:iCs w:val="0"/>
          <w:caps w:val="0"/>
          <w:color w:val="000000"/>
          <w:spacing w:val="0"/>
          <w:sz w:val="24"/>
          <w:szCs w:val="24"/>
          <w:highlight w:val="none"/>
          <w:lang w:val="en-US" w:eastAsia="zh-CN"/>
        </w:rPr>
        <w:t>.8万元</w:t>
      </w:r>
      <w:r>
        <w:rPr>
          <w:rFonts w:hint="eastAsia" w:ascii="宋体" w:hAnsi="宋体" w:eastAsia="宋体" w:cs="宋体"/>
          <w:color w:val="000000"/>
          <w:sz w:val="24"/>
          <w:highlight w:val="none"/>
          <w:lang w:val="en-US" w:eastAsia="zh-CN"/>
        </w:rPr>
        <w:t>（</w:t>
      </w:r>
      <w:r>
        <w:rPr>
          <w:rFonts w:hint="eastAsia" w:ascii="宋体" w:hAnsi="宋体" w:eastAsia="宋体" w:cs="宋体"/>
          <w:color w:val="000000"/>
          <w:sz w:val="24"/>
          <w:highlight w:val="none"/>
        </w:rPr>
        <w:t>最高限价）的投标报价</w:t>
      </w:r>
      <w:r>
        <w:rPr>
          <w:rFonts w:hint="eastAsia" w:ascii="宋体" w:hAnsi="宋体" w:eastAsia="宋体" w:cs="宋体"/>
          <w:color w:val="000000"/>
          <w:sz w:val="24"/>
          <w:highlight w:val="none"/>
          <w:lang w:eastAsia="zh-CN"/>
        </w:rPr>
        <w:t>。</w:t>
      </w:r>
    </w:p>
    <w:p w14:paraId="5BFE77C4">
      <w:pPr>
        <w:pStyle w:val="14"/>
        <w:keepNext w:val="0"/>
        <w:keepLines w:val="0"/>
        <w:pageBreakBefore w:val="0"/>
        <w:widowControl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312" w:lineRule="auto"/>
        <w:ind w:right="0" w:firstLine="480"/>
        <w:jc w:val="both"/>
        <w:rPr>
          <w:rFonts w:hint="eastAsia" w:ascii="宋体" w:hAnsi="宋体" w:eastAsia="宋体" w:cs="宋体"/>
          <w:color w:val="000000"/>
          <w:sz w:val="24"/>
          <w:szCs w:val="24"/>
          <w:highlight w:val="none"/>
        </w:rPr>
      </w:pPr>
      <w:r>
        <w:rPr>
          <w:rFonts w:hint="eastAsia" w:ascii="宋体" w:hAnsi="宋体" w:cs="宋体"/>
          <w:color w:val="000000"/>
          <w:sz w:val="24"/>
          <w:szCs w:val="24"/>
          <w:highlight w:val="none"/>
          <w:lang w:val="en-US" w:eastAsia="zh-CN"/>
        </w:rPr>
        <w:t>2、</w:t>
      </w:r>
      <w:r>
        <w:rPr>
          <w:rFonts w:hint="eastAsia" w:ascii="宋体" w:hAnsi="宋体" w:eastAsia="宋体" w:cs="宋体"/>
          <w:color w:val="000000"/>
          <w:sz w:val="24"/>
          <w:szCs w:val="24"/>
          <w:highlight w:val="none"/>
        </w:rPr>
        <w:t>投标报价包括</w:t>
      </w:r>
      <w:r>
        <w:rPr>
          <w:rFonts w:hint="eastAsia" w:ascii="宋体" w:hAnsi="宋体" w:eastAsia="宋体" w:cs="宋体"/>
          <w:color w:val="000000"/>
          <w:sz w:val="24"/>
          <w:szCs w:val="24"/>
          <w:highlight w:val="none"/>
          <w:lang w:val="en-US" w:eastAsia="zh-CN"/>
        </w:rPr>
        <w:t>投标人</w:t>
      </w:r>
      <w:r>
        <w:rPr>
          <w:rFonts w:hint="eastAsia" w:ascii="宋体" w:hAnsi="宋体" w:eastAsia="宋体" w:cs="宋体"/>
          <w:color w:val="000000"/>
          <w:sz w:val="24"/>
          <w:szCs w:val="24"/>
          <w:highlight w:val="none"/>
        </w:rPr>
        <w:t>为本项目提供的所有服务费用及税金</w:t>
      </w:r>
      <w:r>
        <w:rPr>
          <w:rFonts w:hint="eastAsia" w:ascii="宋体" w:hAnsi="宋体" w:cs="宋体"/>
          <w:color w:val="000000"/>
          <w:sz w:val="24"/>
          <w:szCs w:val="24"/>
          <w:highlight w:val="none"/>
          <w:lang w:eastAsia="zh-CN"/>
        </w:rPr>
        <w:t>，</w:t>
      </w:r>
      <w:r>
        <w:rPr>
          <w:rFonts w:hint="eastAsia" w:ascii="宋体" w:hAnsi="宋体" w:eastAsia="宋体" w:cs="宋体"/>
          <w:color w:val="000000"/>
          <w:sz w:val="24"/>
          <w:szCs w:val="24"/>
          <w:highlight w:val="none"/>
        </w:rPr>
        <w:t>采购人不再支付报价以外的任何费用。</w:t>
      </w:r>
    </w:p>
    <w:p w14:paraId="489B32D0">
      <w:pPr>
        <w:keepNext w:val="0"/>
        <w:keepLines w:val="0"/>
        <w:pageBreakBefore w:val="0"/>
        <w:widowControl w:val="0"/>
        <w:numPr>
          <w:ilvl w:val="0"/>
          <w:numId w:val="0"/>
        </w:numPr>
        <w:spacing w:line="312" w:lineRule="auto"/>
        <w:ind w:right="0"/>
        <w:jc w:val="center"/>
        <w:rPr>
          <w:rFonts w:hint="eastAsia"/>
          <w:b/>
          <w:bCs/>
          <w:color w:val="000000"/>
          <w:sz w:val="28"/>
          <w:szCs w:val="28"/>
          <w:highlight w:val="none"/>
          <w:lang w:val="en-US" w:eastAsia="zh-CN"/>
        </w:rPr>
      </w:pPr>
    </w:p>
    <w:p w14:paraId="6CAF7FEE">
      <w:pPr>
        <w:keepNext w:val="0"/>
        <w:keepLines w:val="0"/>
        <w:pageBreakBefore w:val="0"/>
        <w:widowControl w:val="0"/>
        <w:numPr>
          <w:ilvl w:val="0"/>
          <w:numId w:val="0"/>
        </w:numPr>
        <w:spacing w:line="312" w:lineRule="auto"/>
        <w:ind w:right="0"/>
        <w:jc w:val="center"/>
        <w:rPr>
          <w:rFonts w:hint="eastAsia"/>
          <w:b/>
          <w:bCs/>
          <w:color w:val="000000"/>
          <w:sz w:val="28"/>
          <w:szCs w:val="28"/>
          <w:highlight w:val="none"/>
          <w:lang w:val="en-US" w:eastAsia="zh-CN"/>
        </w:rPr>
      </w:pPr>
    </w:p>
    <w:p w14:paraId="220ABD5E">
      <w:pPr>
        <w:keepNext w:val="0"/>
        <w:keepLines w:val="0"/>
        <w:pageBreakBefore w:val="0"/>
        <w:widowControl w:val="0"/>
        <w:numPr>
          <w:ilvl w:val="0"/>
          <w:numId w:val="0"/>
        </w:numPr>
        <w:spacing w:line="312" w:lineRule="auto"/>
        <w:ind w:right="0"/>
        <w:jc w:val="center"/>
        <w:rPr>
          <w:rFonts w:hint="eastAsia"/>
          <w:b/>
          <w:bCs/>
          <w:color w:val="000000"/>
          <w:sz w:val="28"/>
          <w:szCs w:val="28"/>
          <w:highlight w:val="none"/>
          <w:lang w:val="en-US" w:eastAsia="zh-CN"/>
        </w:rPr>
      </w:pPr>
    </w:p>
    <w:p w14:paraId="5BC2DAAE">
      <w:pPr>
        <w:keepNext w:val="0"/>
        <w:keepLines w:val="0"/>
        <w:pageBreakBefore w:val="0"/>
        <w:widowControl w:val="0"/>
        <w:numPr>
          <w:ilvl w:val="0"/>
          <w:numId w:val="0"/>
        </w:numPr>
        <w:spacing w:line="312" w:lineRule="auto"/>
        <w:ind w:right="0"/>
        <w:jc w:val="center"/>
        <w:rPr>
          <w:rFonts w:hint="eastAsia"/>
          <w:b/>
          <w:bCs/>
          <w:color w:val="000000"/>
          <w:sz w:val="28"/>
          <w:szCs w:val="28"/>
          <w:highlight w:val="none"/>
          <w:lang w:val="en-US" w:eastAsia="zh-CN"/>
        </w:rPr>
      </w:pPr>
    </w:p>
    <w:p w14:paraId="1FD6621C">
      <w:pPr>
        <w:keepNext w:val="0"/>
        <w:keepLines w:val="0"/>
        <w:pageBreakBefore w:val="0"/>
        <w:widowControl w:val="0"/>
        <w:numPr>
          <w:ilvl w:val="0"/>
          <w:numId w:val="0"/>
        </w:numPr>
        <w:spacing w:line="312" w:lineRule="auto"/>
        <w:ind w:right="0"/>
        <w:jc w:val="center"/>
        <w:rPr>
          <w:rFonts w:hint="eastAsia"/>
          <w:b/>
          <w:bCs/>
          <w:color w:val="000000"/>
          <w:sz w:val="28"/>
          <w:szCs w:val="28"/>
          <w:highlight w:val="none"/>
          <w:lang w:val="en-US" w:eastAsia="zh-CN"/>
        </w:rPr>
      </w:pPr>
    </w:p>
    <w:p w14:paraId="701AA2F1">
      <w:pPr>
        <w:keepNext w:val="0"/>
        <w:keepLines w:val="0"/>
        <w:pageBreakBefore w:val="0"/>
        <w:widowControl w:val="0"/>
        <w:numPr>
          <w:ilvl w:val="0"/>
          <w:numId w:val="0"/>
        </w:numPr>
        <w:spacing w:line="312" w:lineRule="auto"/>
        <w:ind w:right="0"/>
        <w:jc w:val="center"/>
        <w:rPr>
          <w:rFonts w:hint="eastAsia"/>
          <w:b/>
          <w:bCs/>
          <w:color w:val="000000"/>
          <w:sz w:val="28"/>
          <w:szCs w:val="28"/>
          <w:highlight w:val="none"/>
          <w:lang w:val="en-US" w:eastAsia="zh-CN"/>
        </w:rPr>
      </w:pPr>
    </w:p>
    <w:p w14:paraId="510B837F">
      <w:pPr>
        <w:keepNext w:val="0"/>
        <w:keepLines w:val="0"/>
        <w:pageBreakBefore w:val="0"/>
        <w:widowControl w:val="0"/>
        <w:numPr>
          <w:ilvl w:val="0"/>
          <w:numId w:val="0"/>
        </w:numPr>
        <w:spacing w:line="312" w:lineRule="auto"/>
        <w:ind w:right="0"/>
        <w:jc w:val="center"/>
        <w:rPr>
          <w:b/>
          <w:bCs/>
          <w:color w:val="000000"/>
          <w:sz w:val="28"/>
          <w:szCs w:val="28"/>
          <w:highlight w:val="none"/>
          <w:lang w:val="en-US" w:eastAsia="zh-CN"/>
        </w:rPr>
      </w:pPr>
      <w:r>
        <w:rPr>
          <w:rFonts w:hint="eastAsia"/>
          <w:b/>
          <w:bCs/>
          <w:color w:val="000000"/>
          <w:sz w:val="28"/>
          <w:szCs w:val="28"/>
          <w:highlight w:val="none"/>
          <w:lang w:val="en-US" w:eastAsia="zh-CN"/>
        </w:rPr>
        <w:t>第二部分 采购需求</w:t>
      </w:r>
    </w:p>
    <w:p w14:paraId="3C0BFBD2">
      <w:pPr>
        <w:keepNext w:val="0"/>
        <w:keepLines w:val="0"/>
        <w:pageBreakBefore w:val="0"/>
        <w:widowControl w:val="0"/>
        <w:spacing w:line="312" w:lineRule="auto"/>
        <w:ind w:right="0"/>
        <w:jc w:val="center"/>
        <w:outlineLvl w:val="1"/>
        <w:rPr>
          <w:rFonts w:hint="eastAsia" w:ascii="宋体" w:hAnsi="宋体" w:eastAsia="宋体" w:cs="宋体"/>
          <w:color w:val="000000"/>
          <w:sz w:val="28"/>
          <w:szCs w:val="28"/>
          <w:highlight w:val="none"/>
          <w:lang w:val="en-US" w:eastAsia="zh-CN"/>
        </w:rPr>
      </w:pPr>
      <w:r>
        <w:rPr>
          <w:rFonts w:hint="eastAsia" w:ascii="宋体" w:hAnsi="宋体" w:eastAsia="宋体" w:cs="宋体"/>
          <w:b/>
          <w:bCs/>
          <w:color w:val="000000"/>
          <w:sz w:val="28"/>
          <w:szCs w:val="28"/>
          <w:highlight w:val="none"/>
          <w:lang w:val="en-US" w:eastAsia="zh-CN"/>
        </w:rPr>
        <w:t>采购包1：财政信息化软硬件运维服务</w:t>
      </w:r>
    </w:p>
    <w:p w14:paraId="51B6BA51">
      <w:pPr>
        <w:keepNext w:val="0"/>
        <w:keepLines w:val="0"/>
        <w:pageBreakBefore w:val="0"/>
        <w:tabs>
          <w:tab w:val="left" w:pos="0"/>
        </w:tabs>
        <w:spacing w:line="440" w:lineRule="exact"/>
        <w:ind w:firstLine="655"/>
        <w:rPr>
          <w:rFonts w:hint="eastAsia" w:ascii="宋体" w:hAnsi="宋体" w:eastAsia="宋体" w:cs="宋体"/>
          <w:b/>
          <w:bCs/>
          <w:sz w:val="24"/>
          <w:szCs w:val="24"/>
        </w:rPr>
      </w:pPr>
      <w:r>
        <w:rPr>
          <w:rFonts w:hint="eastAsia" w:ascii="宋体" w:hAnsi="宋体" w:eastAsia="宋体" w:cs="宋体"/>
          <w:b/>
          <w:bCs/>
          <w:sz w:val="24"/>
          <w:szCs w:val="24"/>
        </w:rPr>
        <w:t>一、说明</w:t>
      </w:r>
    </w:p>
    <w:p w14:paraId="6CED34EB">
      <w:pPr>
        <w:keepNext w:val="0"/>
        <w:keepLines w:val="0"/>
        <w:pageBreakBefore w:val="0"/>
        <w:tabs>
          <w:tab w:val="left" w:pos="0"/>
        </w:tabs>
        <w:kinsoku/>
        <w:wordWrap/>
        <w:overflowPunct/>
        <w:topLinePunct w:val="0"/>
        <w:autoSpaceDE/>
        <w:autoSpaceDN/>
        <w:bidi w:val="0"/>
        <w:adjustRightInd/>
        <w:snapToGrid/>
        <w:spacing w:line="360" w:lineRule="auto"/>
        <w:ind w:firstLine="560"/>
        <w:textAlignment w:val="auto"/>
        <w:rPr>
          <w:rFonts w:hint="eastAsia" w:ascii="宋体" w:hAnsi="宋体" w:eastAsia="宋体" w:cs="宋体"/>
          <w:sz w:val="24"/>
          <w:szCs w:val="24"/>
          <w:lang w:eastAsia="zh-CN"/>
        </w:rPr>
      </w:pPr>
      <w:r>
        <w:rPr>
          <w:rFonts w:hint="eastAsia" w:ascii="宋体" w:hAnsi="宋体" w:eastAsia="宋体" w:cs="宋体"/>
          <w:sz w:val="24"/>
          <w:szCs w:val="24"/>
        </w:rPr>
        <w:t>1</w:t>
      </w:r>
      <w:r>
        <w:rPr>
          <w:rFonts w:hint="eastAsia" w:ascii="宋体" w:hAnsi="宋体" w:eastAsia="宋体" w:cs="宋体"/>
          <w:bCs/>
          <w:sz w:val="24"/>
          <w:szCs w:val="24"/>
          <w:lang w:eastAsia="zh-CN"/>
        </w:rPr>
        <w:t>、</w:t>
      </w:r>
      <w:r>
        <w:rPr>
          <w:rFonts w:hint="eastAsia" w:ascii="宋体" w:hAnsi="宋体" w:eastAsia="宋体" w:cs="宋体"/>
          <w:sz w:val="24"/>
          <w:szCs w:val="24"/>
        </w:rPr>
        <w:t>采购人：</w:t>
      </w:r>
      <w:r>
        <w:rPr>
          <w:rFonts w:hint="eastAsia" w:ascii="宋体" w:hAnsi="宋体" w:eastAsia="宋体" w:cs="宋体"/>
          <w:sz w:val="24"/>
          <w:szCs w:val="24"/>
          <w:lang w:eastAsia="zh-CN"/>
        </w:rPr>
        <w:t>徐州市财政效能中心</w:t>
      </w:r>
    </w:p>
    <w:p w14:paraId="70715444">
      <w:pPr>
        <w:keepNext w:val="0"/>
        <w:keepLines w:val="0"/>
        <w:pageBreakBefore w:val="0"/>
        <w:tabs>
          <w:tab w:val="left" w:pos="0"/>
        </w:tabs>
        <w:kinsoku/>
        <w:wordWrap/>
        <w:overflowPunct/>
        <w:topLinePunct w:val="0"/>
        <w:autoSpaceDE/>
        <w:autoSpaceDN/>
        <w:bidi w:val="0"/>
        <w:adjustRightInd/>
        <w:snapToGrid/>
        <w:spacing w:line="360" w:lineRule="auto"/>
        <w:ind w:firstLine="560"/>
        <w:textAlignment w:val="auto"/>
        <w:rPr>
          <w:rFonts w:hint="eastAsia" w:ascii="宋体" w:hAnsi="宋体" w:eastAsia="宋体" w:cs="宋体"/>
          <w:sz w:val="24"/>
          <w:szCs w:val="24"/>
          <w:lang w:eastAsia="zh-CN"/>
        </w:rPr>
      </w:pPr>
      <w:r>
        <w:rPr>
          <w:rFonts w:hint="eastAsia" w:ascii="宋体" w:hAnsi="宋体" w:eastAsia="宋体" w:cs="宋体"/>
          <w:sz w:val="24"/>
          <w:szCs w:val="24"/>
        </w:rPr>
        <w:t>2</w:t>
      </w:r>
      <w:r>
        <w:rPr>
          <w:rFonts w:hint="eastAsia" w:ascii="宋体" w:hAnsi="宋体" w:eastAsia="宋体" w:cs="宋体"/>
          <w:sz w:val="24"/>
          <w:szCs w:val="24"/>
          <w:lang w:eastAsia="zh-CN"/>
        </w:rPr>
        <w:t>、</w:t>
      </w:r>
      <w:r>
        <w:rPr>
          <w:rFonts w:hint="eastAsia" w:ascii="宋体" w:hAnsi="宋体" w:eastAsia="宋体" w:cs="宋体"/>
          <w:sz w:val="24"/>
          <w:szCs w:val="24"/>
        </w:rPr>
        <w:t>项目名称：</w:t>
      </w:r>
      <w:r>
        <w:rPr>
          <w:rFonts w:hint="eastAsia" w:ascii="宋体" w:hAnsi="宋体" w:eastAsia="宋体" w:cs="宋体"/>
          <w:sz w:val="24"/>
          <w:szCs w:val="24"/>
          <w:lang w:eastAsia="zh-CN"/>
        </w:rPr>
        <w:t>徐州市数智化财政业务平台一财政信息化服务。</w:t>
      </w:r>
    </w:p>
    <w:p w14:paraId="4F853297">
      <w:pPr>
        <w:keepNext w:val="0"/>
        <w:keepLines w:val="0"/>
        <w:pageBreakBefore w:val="0"/>
        <w:kinsoku/>
        <w:wordWrap/>
        <w:overflowPunct/>
        <w:topLinePunct w:val="0"/>
        <w:autoSpaceDE/>
        <w:autoSpaceDN/>
        <w:bidi w:val="0"/>
        <w:adjustRightInd/>
        <w:snapToGrid/>
        <w:spacing w:line="360" w:lineRule="auto"/>
        <w:ind w:firstLine="560"/>
        <w:textAlignment w:val="auto"/>
        <w:rPr>
          <w:rFonts w:hint="eastAsia" w:ascii="宋体" w:hAnsi="宋体" w:eastAsia="宋体" w:cs="宋体"/>
          <w:sz w:val="24"/>
          <w:szCs w:val="24"/>
          <w:lang w:eastAsia="zh-CN"/>
        </w:rPr>
      </w:pPr>
      <w:r>
        <w:rPr>
          <w:rFonts w:hint="eastAsia" w:ascii="宋体" w:hAnsi="宋体" w:eastAsia="宋体" w:cs="宋体"/>
          <w:sz w:val="24"/>
          <w:szCs w:val="24"/>
        </w:rPr>
        <w:t>3</w:t>
      </w:r>
      <w:r>
        <w:rPr>
          <w:rFonts w:hint="eastAsia" w:ascii="宋体" w:hAnsi="宋体" w:eastAsia="宋体" w:cs="宋体"/>
          <w:sz w:val="24"/>
          <w:szCs w:val="24"/>
          <w:lang w:eastAsia="zh-CN"/>
        </w:rPr>
        <w:t>、</w:t>
      </w:r>
      <w:r>
        <w:rPr>
          <w:rFonts w:hint="eastAsia" w:ascii="宋体" w:hAnsi="宋体" w:eastAsia="宋体" w:cs="宋体"/>
          <w:sz w:val="24"/>
          <w:szCs w:val="24"/>
        </w:rPr>
        <w:t>采购标的：</w:t>
      </w:r>
      <w:r>
        <w:rPr>
          <w:rFonts w:hint="eastAsia" w:ascii="宋体" w:hAnsi="宋体" w:eastAsia="宋体" w:cs="宋体"/>
          <w:sz w:val="24"/>
          <w:szCs w:val="24"/>
          <w:lang w:eastAsia="zh-CN"/>
        </w:rPr>
        <w:t>采购包1:财政信息化软硬件运维服务。</w:t>
      </w:r>
    </w:p>
    <w:p w14:paraId="0B00173F">
      <w:pPr>
        <w:keepNext w:val="0"/>
        <w:keepLines w:val="0"/>
        <w:pageBreakBefore w:val="0"/>
        <w:kinsoku/>
        <w:wordWrap/>
        <w:overflowPunct/>
        <w:topLinePunct w:val="0"/>
        <w:autoSpaceDE/>
        <w:autoSpaceDN/>
        <w:bidi w:val="0"/>
        <w:adjustRightInd/>
        <w:snapToGrid/>
        <w:spacing w:line="360" w:lineRule="auto"/>
        <w:ind w:firstLine="56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采购标的对应的中小企业划分标准所属行业为软件和信息技术服务业</w:t>
      </w:r>
    </w:p>
    <w:p w14:paraId="50B5CB42">
      <w:pPr>
        <w:keepNext w:val="0"/>
        <w:keepLines w:val="0"/>
        <w:pageBreakBefore w:val="0"/>
        <w:kinsoku/>
        <w:wordWrap/>
        <w:overflowPunct/>
        <w:topLinePunct w:val="0"/>
        <w:autoSpaceDE/>
        <w:autoSpaceDN/>
        <w:bidi w:val="0"/>
        <w:adjustRightInd/>
        <w:snapToGrid/>
        <w:spacing w:line="360" w:lineRule="auto"/>
        <w:ind w:firstLine="560"/>
        <w:textAlignment w:val="auto"/>
        <w:rPr>
          <w:rFonts w:hint="eastAsia" w:ascii="宋体" w:hAnsi="宋体" w:eastAsia="宋体" w:cs="宋体"/>
          <w:sz w:val="24"/>
          <w:szCs w:val="24"/>
        </w:rPr>
      </w:pPr>
      <w:r>
        <w:rPr>
          <w:rFonts w:hint="eastAsia" w:ascii="宋体" w:hAnsi="宋体" w:eastAsia="宋体" w:cs="宋体"/>
          <w:sz w:val="24"/>
          <w:szCs w:val="24"/>
        </w:rPr>
        <w:t>注：中小企业划分标准所属行业以《关于印发中小企业划型标准规定的通知》（工信部联企业[2011]300号）的规定为准。</w:t>
      </w:r>
    </w:p>
    <w:p w14:paraId="3EDBC192">
      <w:pPr>
        <w:keepNext w:val="0"/>
        <w:keepLines w:val="0"/>
        <w:pageBreakBefore w:val="0"/>
        <w:kinsoku/>
        <w:wordWrap/>
        <w:overflowPunct/>
        <w:topLinePunct w:val="0"/>
        <w:autoSpaceDE/>
        <w:autoSpaceDN/>
        <w:bidi w:val="0"/>
        <w:adjustRightInd/>
        <w:snapToGrid/>
        <w:spacing w:line="360" w:lineRule="auto"/>
        <w:ind w:firstLine="56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5</w:t>
      </w:r>
      <w:r>
        <w:rPr>
          <w:rFonts w:hint="eastAsia" w:ascii="宋体" w:hAnsi="宋体" w:eastAsia="宋体" w:cs="宋体"/>
          <w:bCs/>
          <w:sz w:val="24"/>
          <w:szCs w:val="24"/>
          <w:lang w:eastAsia="zh-CN"/>
        </w:rPr>
        <w:t>、</w:t>
      </w:r>
      <w:r>
        <w:rPr>
          <w:rFonts w:hint="eastAsia" w:ascii="宋体" w:hAnsi="宋体" w:eastAsia="宋体" w:cs="宋体"/>
          <w:sz w:val="24"/>
          <w:szCs w:val="24"/>
        </w:rPr>
        <w:t>本项目为专门面向中小企业的项目。</w:t>
      </w:r>
    </w:p>
    <w:p w14:paraId="3064F9FF">
      <w:pPr>
        <w:keepNext w:val="0"/>
        <w:keepLines w:val="0"/>
        <w:pageBreakBefore w:val="0"/>
        <w:tabs>
          <w:tab w:val="left" w:pos="0"/>
        </w:tabs>
        <w:kinsoku/>
        <w:wordWrap/>
        <w:overflowPunct/>
        <w:topLinePunct w:val="0"/>
        <w:autoSpaceDE/>
        <w:autoSpaceDN/>
        <w:bidi w:val="0"/>
        <w:adjustRightInd/>
        <w:snapToGrid/>
        <w:spacing w:line="360" w:lineRule="auto"/>
        <w:ind w:firstLine="560"/>
        <w:textAlignment w:val="auto"/>
        <w:rPr>
          <w:rFonts w:hint="eastAsia" w:ascii="宋体" w:hAnsi="宋体" w:eastAsia="宋体" w:cs="宋体"/>
          <w:b/>
          <w:bCs/>
          <w:sz w:val="24"/>
          <w:szCs w:val="24"/>
        </w:rPr>
      </w:pPr>
      <w:r>
        <w:rPr>
          <w:rFonts w:hint="eastAsia" w:ascii="宋体" w:hAnsi="宋体" w:eastAsia="宋体" w:cs="宋体"/>
          <w:sz w:val="24"/>
          <w:szCs w:val="24"/>
          <w:lang w:val="en-US" w:eastAsia="zh-CN"/>
        </w:rPr>
        <w:t>6</w:t>
      </w:r>
      <w:r>
        <w:rPr>
          <w:rFonts w:hint="eastAsia" w:ascii="宋体" w:hAnsi="宋体" w:eastAsia="宋体" w:cs="宋体"/>
          <w:bCs/>
          <w:sz w:val="24"/>
          <w:szCs w:val="24"/>
          <w:lang w:eastAsia="zh-CN"/>
        </w:rPr>
        <w:t>、</w:t>
      </w:r>
      <w:r>
        <w:rPr>
          <w:rFonts w:hint="eastAsia" w:ascii="宋体" w:hAnsi="宋体" w:eastAsia="宋体" w:cs="宋体"/>
          <w:sz w:val="24"/>
          <w:szCs w:val="24"/>
        </w:rPr>
        <w:t>本项目不接受超过</w:t>
      </w:r>
      <w:r>
        <w:rPr>
          <w:rFonts w:hint="eastAsia" w:ascii="宋体" w:hAnsi="宋体" w:eastAsia="宋体" w:cs="宋体"/>
          <w:b/>
          <w:bCs/>
          <w:sz w:val="24"/>
          <w:szCs w:val="24"/>
          <w:lang w:val="en-US" w:eastAsia="zh-CN"/>
        </w:rPr>
        <w:t>87</w:t>
      </w:r>
      <w:r>
        <w:rPr>
          <w:rFonts w:hint="eastAsia" w:ascii="宋体" w:hAnsi="宋体" w:eastAsia="宋体" w:cs="宋体"/>
          <w:b/>
          <w:bCs/>
          <w:sz w:val="24"/>
          <w:szCs w:val="24"/>
        </w:rPr>
        <w:t>万元</w:t>
      </w:r>
      <w:r>
        <w:rPr>
          <w:rFonts w:hint="eastAsia" w:ascii="宋体" w:hAnsi="宋体" w:eastAsia="宋体" w:cs="宋体"/>
          <w:b w:val="0"/>
          <w:bCs w:val="0"/>
          <w:sz w:val="24"/>
          <w:szCs w:val="24"/>
        </w:rPr>
        <w:t>（采购项目预算金额）</w:t>
      </w:r>
      <w:r>
        <w:rPr>
          <w:rFonts w:hint="eastAsia" w:ascii="宋体" w:hAnsi="宋体" w:eastAsia="宋体" w:cs="宋体"/>
          <w:sz w:val="24"/>
          <w:szCs w:val="24"/>
        </w:rPr>
        <w:t>的投标报价。</w:t>
      </w:r>
    </w:p>
    <w:p w14:paraId="76315C11">
      <w:pPr>
        <w:keepNext w:val="0"/>
        <w:keepLines w:val="0"/>
        <w:pageBreakBefore w:val="0"/>
        <w:widowControl/>
        <w:kinsoku/>
        <w:wordWrap/>
        <w:overflowPunct/>
        <w:topLinePunct w:val="0"/>
        <w:autoSpaceDE/>
        <w:autoSpaceDN/>
        <w:bidi w:val="0"/>
        <w:adjustRightInd/>
        <w:snapToGrid/>
        <w:spacing w:line="360" w:lineRule="auto"/>
        <w:ind w:firstLine="562"/>
        <w:jc w:val="left"/>
        <w:textAlignment w:val="auto"/>
        <w:outlineLvl w:val="1"/>
        <w:rPr>
          <w:rFonts w:hint="eastAsia" w:ascii="宋体" w:hAnsi="宋体" w:eastAsia="宋体" w:cs="宋体"/>
          <w:b/>
          <w:bCs/>
          <w:sz w:val="24"/>
          <w:szCs w:val="24"/>
        </w:rPr>
      </w:pPr>
      <w:r>
        <w:rPr>
          <w:rFonts w:hint="eastAsia" w:ascii="宋体" w:hAnsi="宋体" w:eastAsia="宋体" w:cs="宋体"/>
          <w:b/>
          <w:bCs/>
          <w:sz w:val="24"/>
          <w:szCs w:val="24"/>
        </w:rPr>
        <w:t>二、技术要求</w:t>
      </w:r>
    </w:p>
    <w:p w14:paraId="546BF73D">
      <w:pPr>
        <w:keepNext w:val="0"/>
        <w:keepLines w:val="0"/>
        <w:pageBreakBefore w:val="0"/>
        <w:widowControl/>
        <w:kinsoku/>
        <w:wordWrap/>
        <w:overflowPunct/>
        <w:topLinePunct w:val="0"/>
        <w:autoSpaceDE/>
        <w:autoSpaceDN/>
        <w:bidi w:val="0"/>
        <w:adjustRightInd/>
        <w:snapToGrid/>
        <w:spacing w:line="360" w:lineRule="auto"/>
        <w:ind w:firstLine="562"/>
        <w:jc w:val="left"/>
        <w:textAlignment w:val="auto"/>
        <w:outlineLvl w:val="1"/>
        <w:rPr>
          <w:rFonts w:hint="eastAsia" w:ascii="宋体" w:hAnsi="宋体" w:eastAsia="宋体" w:cs="宋体"/>
          <w:sz w:val="24"/>
          <w:szCs w:val="24"/>
        </w:rPr>
      </w:pPr>
      <w:r>
        <w:rPr>
          <w:rFonts w:hint="eastAsia" w:ascii="宋体" w:hAnsi="宋体" w:eastAsia="宋体" w:cs="宋体"/>
          <w:sz w:val="24"/>
          <w:szCs w:val="24"/>
        </w:rPr>
        <w:t>（一）技术具体要求</w:t>
      </w:r>
    </w:p>
    <w:p w14:paraId="085A3A0D">
      <w:pPr>
        <w:keepNext w:val="0"/>
        <w:keepLines w:val="0"/>
        <w:pageBreakBefore w:val="0"/>
        <w:widowControl/>
        <w:kinsoku/>
        <w:wordWrap/>
        <w:overflowPunct/>
        <w:topLinePunct w:val="0"/>
        <w:autoSpaceDE/>
        <w:autoSpaceDN/>
        <w:bidi w:val="0"/>
        <w:adjustRightInd/>
        <w:snapToGrid/>
        <w:spacing w:line="360" w:lineRule="auto"/>
        <w:ind w:firstLine="562"/>
        <w:jc w:val="left"/>
        <w:textAlignment w:val="auto"/>
        <w:outlineLvl w:val="1"/>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eastAsia="zh-CN"/>
        </w:rPr>
        <w:t>、</w:t>
      </w:r>
      <w:r>
        <w:rPr>
          <w:rFonts w:hint="eastAsia" w:ascii="宋体" w:hAnsi="宋体" w:eastAsia="宋体" w:cs="宋体"/>
          <w:sz w:val="24"/>
          <w:szCs w:val="24"/>
        </w:rPr>
        <w:t>开发要求</w:t>
      </w:r>
    </w:p>
    <w:p w14:paraId="715A66C2">
      <w:pPr>
        <w:keepNext w:val="0"/>
        <w:keepLines w:val="0"/>
        <w:pageBreakBefore w:val="0"/>
        <w:widowControl/>
        <w:kinsoku/>
        <w:wordWrap/>
        <w:overflowPunct/>
        <w:topLinePunct w:val="0"/>
        <w:autoSpaceDE/>
        <w:autoSpaceDN/>
        <w:bidi w:val="0"/>
        <w:adjustRightInd/>
        <w:snapToGrid/>
        <w:spacing w:line="360" w:lineRule="auto"/>
        <w:ind w:firstLine="562"/>
        <w:jc w:val="left"/>
        <w:textAlignment w:val="auto"/>
        <w:outlineLvl w:val="1"/>
        <w:rPr>
          <w:rFonts w:hint="eastAsia" w:ascii="宋体" w:hAnsi="宋体" w:eastAsia="宋体" w:cs="宋体"/>
          <w:sz w:val="24"/>
          <w:szCs w:val="24"/>
        </w:rPr>
      </w:pPr>
      <w:r>
        <w:rPr>
          <w:rFonts w:hint="eastAsia" w:ascii="宋体" w:hAnsi="宋体" w:eastAsia="宋体" w:cs="宋体"/>
          <w:sz w:val="24"/>
          <w:szCs w:val="24"/>
        </w:rPr>
        <w:t xml:space="preserve">(1)为保持与现有信息化系统环境一致，系统开发需采用J2EE架构、JAVA语言、数据库开发； </w:t>
      </w:r>
    </w:p>
    <w:p w14:paraId="5FFEEC68">
      <w:pPr>
        <w:keepNext w:val="0"/>
        <w:keepLines w:val="0"/>
        <w:pageBreakBefore w:val="0"/>
        <w:widowControl/>
        <w:kinsoku/>
        <w:wordWrap/>
        <w:overflowPunct/>
        <w:topLinePunct w:val="0"/>
        <w:autoSpaceDE/>
        <w:autoSpaceDN/>
        <w:bidi w:val="0"/>
        <w:adjustRightInd/>
        <w:snapToGrid/>
        <w:spacing w:line="360" w:lineRule="auto"/>
        <w:ind w:firstLine="562"/>
        <w:jc w:val="left"/>
        <w:textAlignment w:val="auto"/>
        <w:outlineLvl w:val="1"/>
        <w:rPr>
          <w:rFonts w:hint="eastAsia" w:ascii="宋体" w:hAnsi="宋体" w:eastAsia="宋体" w:cs="宋体"/>
          <w:sz w:val="24"/>
          <w:szCs w:val="24"/>
        </w:rPr>
      </w:pPr>
      <w:r>
        <w:rPr>
          <w:rFonts w:hint="eastAsia" w:ascii="宋体" w:hAnsi="宋体" w:eastAsia="宋体" w:cs="宋体"/>
          <w:sz w:val="24"/>
          <w:szCs w:val="24"/>
        </w:rPr>
        <w:t xml:space="preserve">(2)系统设计要面向徐州市财政局信息化系统整体解决方案；设计要具有前瞻性、先进性、可靠性以及可扩展性，符合财政信息化发展的方向； </w:t>
      </w:r>
    </w:p>
    <w:p w14:paraId="681BC870">
      <w:pPr>
        <w:keepNext w:val="0"/>
        <w:keepLines w:val="0"/>
        <w:pageBreakBefore w:val="0"/>
        <w:widowControl/>
        <w:kinsoku/>
        <w:wordWrap/>
        <w:overflowPunct/>
        <w:topLinePunct w:val="0"/>
        <w:autoSpaceDE/>
        <w:autoSpaceDN/>
        <w:bidi w:val="0"/>
        <w:adjustRightInd/>
        <w:snapToGrid/>
        <w:spacing w:line="360" w:lineRule="auto"/>
        <w:ind w:firstLine="562"/>
        <w:jc w:val="left"/>
        <w:textAlignment w:val="auto"/>
        <w:outlineLvl w:val="1"/>
        <w:rPr>
          <w:rFonts w:hint="eastAsia" w:ascii="宋体" w:hAnsi="宋体" w:eastAsia="宋体" w:cs="宋体"/>
          <w:sz w:val="24"/>
          <w:szCs w:val="24"/>
        </w:rPr>
      </w:pPr>
      <w:r>
        <w:rPr>
          <w:rFonts w:hint="eastAsia" w:ascii="宋体" w:hAnsi="宋体" w:eastAsia="宋体" w:cs="宋体"/>
          <w:sz w:val="24"/>
          <w:szCs w:val="24"/>
        </w:rPr>
        <w:t xml:space="preserve">(3)软件开发从需求分析、系统设计、编码、测试到系统的正式运行，须遵循财政部要求的数据基础规范； </w:t>
      </w:r>
    </w:p>
    <w:p w14:paraId="28A2D371">
      <w:pPr>
        <w:keepNext w:val="0"/>
        <w:keepLines w:val="0"/>
        <w:pageBreakBefore w:val="0"/>
        <w:widowControl/>
        <w:kinsoku/>
        <w:wordWrap/>
        <w:overflowPunct/>
        <w:topLinePunct w:val="0"/>
        <w:autoSpaceDE/>
        <w:autoSpaceDN/>
        <w:bidi w:val="0"/>
        <w:adjustRightInd/>
        <w:snapToGrid/>
        <w:spacing w:line="360" w:lineRule="auto"/>
        <w:ind w:firstLine="562"/>
        <w:jc w:val="left"/>
        <w:textAlignment w:val="auto"/>
        <w:outlineLvl w:val="1"/>
        <w:rPr>
          <w:rFonts w:hint="eastAsia" w:ascii="宋体" w:hAnsi="宋体" w:eastAsia="宋体" w:cs="宋体"/>
          <w:sz w:val="24"/>
          <w:szCs w:val="24"/>
        </w:rPr>
      </w:pPr>
      <w:r>
        <w:rPr>
          <w:rFonts w:hint="eastAsia" w:ascii="宋体" w:hAnsi="宋体" w:eastAsia="宋体" w:cs="宋体"/>
          <w:sz w:val="24"/>
          <w:szCs w:val="24"/>
        </w:rPr>
        <w:t>(4)</w:t>
      </w:r>
      <w:r>
        <w:rPr>
          <w:rFonts w:hint="eastAsia" w:ascii="宋体" w:hAnsi="宋体" w:cs="宋体"/>
          <w:sz w:val="24"/>
          <w:szCs w:val="24"/>
          <w:lang w:eastAsia="zh-CN"/>
        </w:rPr>
        <w:t>徐州市</w:t>
      </w:r>
      <w:r>
        <w:rPr>
          <w:rFonts w:hint="eastAsia" w:ascii="宋体" w:hAnsi="宋体" w:eastAsia="宋体" w:cs="宋体"/>
          <w:sz w:val="24"/>
          <w:szCs w:val="24"/>
        </w:rPr>
        <w:t>财政</w:t>
      </w:r>
      <w:r>
        <w:rPr>
          <w:rFonts w:hint="eastAsia" w:ascii="宋体" w:hAnsi="宋体" w:cs="宋体"/>
          <w:sz w:val="24"/>
          <w:szCs w:val="24"/>
          <w:lang w:eastAsia="zh-CN"/>
        </w:rPr>
        <w:t>效能中心</w:t>
      </w:r>
      <w:r>
        <w:rPr>
          <w:rFonts w:hint="eastAsia" w:ascii="宋体" w:hAnsi="宋体" w:eastAsia="宋体" w:cs="宋体"/>
          <w:sz w:val="24"/>
          <w:szCs w:val="24"/>
        </w:rPr>
        <w:t>拥有对合同有效期间内开发的系统中的数据库设计、数据字典、程序源代码、开发文档等</w:t>
      </w:r>
      <w:r>
        <w:rPr>
          <w:rFonts w:hint="eastAsia" w:ascii="宋体" w:hAnsi="宋体" w:cs="宋体"/>
          <w:sz w:val="24"/>
          <w:szCs w:val="24"/>
          <w:lang w:eastAsia="zh-CN"/>
        </w:rPr>
        <w:t>开发资料</w:t>
      </w:r>
      <w:r>
        <w:rPr>
          <w:rFonts w:hint="eastAsia" w:ascii="宋体" w:hAnsi="宋体" w:eastAsia="宋体" w:cs="宋体"/>
          <w:sz w:val="24"/>
          <w:szCs w:val="24"/>
        </w:rPr>
        <w:t>，需要至少半年一次</w:t>
      </w:r>
      <w:r>
        <w:rPr>
          <w:rFonts w:hint="eastAsia" w:ascii="宋体" w:hAnsi="宋体" w:cs="宋体"/>
          <w:sz w:val="24"/>
          <w:szCs w:val="24"/>
          <w:lang w:eastAsia="zh-CN"/>
        </w:rPr>
        <w:t>主动</w:t>
      </w:r>
      <w:r>
        <w:rPr>
          <w:rFonts w:hint="eastAsia" w:ascii="宋体" w:hAnsi="宋体" w:eastAsia="宋体" w:cs="宋体"/>
          <w:sz w:val="24"/>
          <w:szCs w:val="24"/>
        </w:rPr>
        <w:t>交由</w:t>
      </w:r>
      <w:r>
        <w:rPr>
          <w:rFonts w:hint="eastAsia" w:ascii="宋体" w:hAnsi="宋体" w:cs="宋体"/>
          <w:sz w:val="24"/>
          <w:szCs w:val="24"/>
          <w:lang w:eastAsia="zh-CN"/>
        </w:rPr>
        <w:t>徐州市</w:t>
      </w:r>
      <w:r>
        <w:rPr>
          <w:rFonts w:hint="eastAsia" w:ascii="宋体" w:hAnsi="宋体" w:eastAsia="宋体" w:cs="宋体"/>
          <w:sz w:val="24"/>
          <w:szCs w:val="24"/>
        </w:rPr>
        <w:t>财政</w:t>
      </w:r>
      <w:r>
        <w:rPr>
          <w:rFonts w:hint="eastAsia" w:ascii="宋体" w:hAnsi="宋体" w:cs="宋体"/>
          <w:sz w:val="24"/>
          <w:szCs w:val="24"/>
          <w:lang w:eastAsia="zh-CN"/>
        </w:rPr>
        <w:t>效能</w:t>
      </w:r>
      <w:r>
        <w:rPr>
          <w:rFonts w:hint="eastAsia" w:ascii="宋体" w:hAnsi="宋体" w:eastAsia="宋体" w:cs="宋体"/>
          <w:sz w:val="24"/>
          <w:szCs w:val="24"/>
        </w:rPr>
        <w:t>中心留存。</w:t>
      </w:r>
    </w:p>
    <w:p w14:paraId="32C4115B">
      <w:pPr>
        <w:keepNext w:val="0"/>
        <w:keepLines w:val="0"/>
        <w:pageBreakBefore w:val="0"/>
        <w:widowControl/>
        <w:kinsoku/>
        <w:wordWrap/>
        <w:overflowPunct/>
        <w:topLinePunct w:val="0"/>
        <w:autoSpaceDE/>
        <w:autoSpaceDN/>
        <w:bidi w:val="0"/>
        <w:adjustRightInd/>
        <w:snapToGrid/>
        <w:spacing w:line="360" w:lineRule="auto"/>
        <w:ind w:firstLine="562"/>
        <w:jc w:val="left"/>
        <w:textAlignment w:val="auto"/>
        <w:outlineLvl w:val="1"/>
        <w:rPr>
          <w:rFonts w:hint="eastAsia" w:ascii="宋体" w:hAnsi="宋体" w:eastAsia="宋体" w:cs="宋体"/>
          <w:sz w:val="24"/>
          <w:szCs w:val="24"/>
        </w:rPr>
      </w:pPr>
      <w:r>
        <w:rPr>
          <w:rFonts w:hint="eastAsia" w:ascii="宋体" w:hAnsi="宋体" w:eastAsia="宋体" w:cs="宋体"/>
          <w:sz w:val="24"/>
          <w:szCs w:val="24"/>
        </w:rPr>
        <w:t>(5)开发及运维人员要严格遵守财政局保密制度，禁止在没有审批的情况下将财政的任何业务数据私自存储或带出，也禁止在没有在审批的情况下擅自更改业务数据库及已上线投入生产的任何程序源代码。</w:t>
      </w:r>
    </w:p>
    <w:p w14:paraId="23C2330E">
      <w:pPr>
        <w:keepNext w:val="0"/>
        <w:keepLines w:val="0"/>
        <w:pageBreakBefore w:val="0"/>
        <w:widowControl/>
        <w:kinsoku/>
        <w:wordWrap/>
        <w:overflowPunct/>
        <w:topLinePunct w:val="0"/>
        <w:autoSpaceDE/>
        <w:autoSpaceDN/>
        <w:bidi w:val="0"/>
        <w:adjustRightInd/>
        <w:snapToGrid/>
        <w:spacing w:line="360" w:lineRule="auto"/>
        <w:ind w:firstLine="562"/>
        <w:jc w:val="left"/>
        <w:textAlignment w:val="auto"/>
        <w:outlineLvl w:val="1"/>
        <w:rPr>
          <w:rFonts w:hint="eastAsia" w:ascii="宋体" w:hAnsi="宋体" w:eastAsia="宋体" w:cs="宋体"/>
          <w:sz w:val="24"/>
          <w:szCs w:val="24"/>
          <w:lang w:val="en-US" w:eastAsia="zh-CN"/>
        </w:rPr>
      </w:pPr>
      <w:r>
        <w:rPr>
          <w:rFonts w:hint="eastAsia" w:ascii="宋体" w:hAnsi="宋体" w:eastAsia="宋体" w:cs="宋体"/>
          <w:sz w:val="24"/>
          <w:szCs w:val="24"/>
        </w:rPr>
        <w:t>(6)根据财政业务信息化建设要求，负责需求分析、编程、调试、测试等软件开发任务，开发完善财政重点工作及综合考核、工作周记、财政综合业务管理平台等系统。对接财政业务需求进行接口及二次开发，开发及完善短信平台与办公OA接口、财政与大数据管理中心接口、财政与人社部门接口等等。</w:t>
      </w:r>
    </w:p>
    <w:p w14:paraId="336D3D06">
      <w:pPr>
        <w:keepNext w:val="0"/>
        <w:keepLines w:val="0"/>
        <w:pageBreakBefore w:val="0"/>
        <w:widowControl/>
        <w:kinsoku/>
        <w:wordWrap/>
        <w:overflowPunct/>
        <w:topLinePunct w:val="0"/>
        <w:autoSpaceDE/>
        <w:autoSpaceDN/>
        <w:bidi w:val="0"/>
        <w:adjustRightInd/>
        <w:snapToGrid/>
        <w:spacing w:line="360" w:lineRule="auto"/>
        <w:ind w:firstLine="562"/>
        <w:jc w:val="left"/>
        <w:textAlignment w:val="auto"/>
        <w:outlineLvl w:val="1"/>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eastAsia="zh-CN"/>
        </w:rPr>
        <w:t>、</w:t>
      </w:r>
      <w:r>
        <w:rPr>
          <w:rFonts w:hint="eastAsia" w:ascii="宋体" w:hAnsi="宋体" w:eastAsia="宋体" w:cs="宋体"/>
          <w:sz w:val="24"/>
          <w:szCs w:val="24"/>
        </w:rPr>
        <w:t>维护要求</w:t>
      </w:r>
    </w:p>
    <w:p w14:paraId="4BDE7273">
      <w:pPr>
        <w:keepNext w:val="0"/>
        <w:keepLines w:val="0"/>
        <w:pageBreakBefore w:val="0"/>
        <w:widowControl/>
        <w:kinsoku/>
        <w:wordWrap/>
        <w:overflowPunct/>
        <w:topLinePunct w:val="0"/>
        <w:autoSpaceDE/>
        <w:autoSpaceDN/>
        <w:bidi w:val="0"/>
        <w:adjustRightInd/>
        <w:snapToGrid/>
        <w:spacing w:line="360" w:lineRule="auto"/>
        <w:ind w:firstLine="562"/>
        <w:jc w:val="left"/>
        <w:textAlignment w:val="auto"/>
        <w:outlineLvl w:val="1"/>
        <w:rPr>
          <w:rFonts w:hint="eastAsia" w:ascii="宋体" w:hAnsi="宋体" w:eastAsia="宋体" w:cs="宋体"/>
          <w:sz w:val="24"/>
          <w:szCs w:val="24"/>
        </w:rPr>
      </w:pPr>
      <w:r>
        <w:rPr>
          <w:rFonts w:hint="eastAsia" w:ascii="宋体" w:hAnsi="宋体" w:eastAsia="宋体" w:cs="宋体"/>
          <w:sz w:val="24"/>
          <w:szCs w:val="24"/>
        </w:rPr>
        <w:t>(1)负责市本级</w:t>
      </w:r>
      <w:r>
        <w:rPr>
          <w:rFonts w:hint="eastAsia" w:ascii="宋体" w:hAnsi="宋体" w:eastAsia="宋体" w:cs="宋体"/>
          <w:sz w:val="24"/>
          <w:szCs w:val="24"/>
          <w:lang w:eastAsia="zh-CN"/>
        </w:rPr>
        <w:t>江苏省</w:t>
      </w:r>
      <w:r>
        <w:rPr>
          <w:rFonts w:hint="eastAsia" w:ascii="宋体" w:hAnsi="宋体" w:eastAsia="宋体" w:cs="宋体"/>
          <w:sz w:val="24"/>
          <w:szCs w:val="24"/>
        </w:rPr>
        <w:t>预算管理一体化</w:t>
      </w:r>
      <w:r>
        <w:rPr>
          <w:rFonts w:hint="eastAsia" w:ascii="宋体" w:hAnsi="宋体" w:eastAsia="宋体" w:cs="宋体"/>
          <w:sz w:val="24"/>
          <w:szCs w:val="24"/>
          <w:lang w:eastAsia="zh-CN"/>
        </w:rPr>
        <w:t>数据回流系统、</w:t>
      </w:r>
      <w:r>
        <w:rPr>
          <w:rFonts w:hint="eastAsia" w:ascii="宋体" w:hAnsi="宋体" w:eastAsia="宋体" w:cs="宋体"/>
          <w:sz w:val="24"/>
          <w:szCs w:val="24"/>
          <w:lang w:val="en-US" w:eastAsia="zh-CN"/>
        </w:rPr>
        <w:t>清单化工作平台、运维工单系统、</w:t>
      </w:r>
      <w:r>
        <w:rPr>
          <w:rFonts w:hint="eastAsia" w:ascii="宋体" w:hAnsi="宋体" w:eastAsia="宋体" w:cs="宋体"/>
          <w:sz w:val="24"/>
          <w:szCs w:val="24"/>
        </w:rPr>
        <w:t>财政统一会计核算系统（</w:t>
      </w:r>
      <w:r>
        <w:rPr>
          <w:rFonts w:hint="eastAsia" w:ascii="宋体" w:hAnsi="宋体" w:eastAsia="宋体" w:cs="宋体"/>
          <w:sz w:val="24"/>
          <w:szCs w:val="24"/>
          <w:lang w:eastAsia="zh-CN"/>
        </w:rPr>
        <w:t>老系统</w:t>
      </w:r>
      <w:r>
        <w:rPr>
          <w:rFonts w:hint="eastAsia" w:ascii="宋体" w:hAnsi="宋体" w:eastAsia="宋体" w:cs="宋体"/>
          <w:sz w:val="24"/>
          <w:szCs w:val="24"/>
        </w:rPr>
        <w:t>）、非税征缴及票据管理系统（</w:t>
      </w:r>
      <w:r>
        <w:rPr>
          <w:rFonts w:hint="eastAsia" w:ascii="宋体" w:hAnsi="宋体" w:eastAsia="宋体" w:cs="宋体"/>
          <w:sz w:val="24"/>
          <w:szCs w:val="24"/>
          <w:lang w:eastAsia="zh-CN"/>
        </w:rPr>
        <w:t>老系统</w:t>
      </w:r>
      <w:r>
        <w:rPr>
          <w:rFonts w:hint="eastAsia" w:ascii="宋体" w:hAnsi="宋体" w:eastAsia="宋体" w:cs="宋体"/>
          <w:sz w:val="24"/>
          <w:szCs w:val="24"/>
        </w:rPr>
        <w:t>）、直达资金监控系统、</w:t>
      </w:r>
      <w:r>
        <w:rPr>
          <w:rFonts w:hint="eastAsia" w:ascii="宋体" w:hAnsi="宋体" w:eastAsia="宋体" w:cs="宋体"/>
          <w:sz w:val="24"/>
          <w:szCs w:val="24"/>
          <w:lang w:eastAsia="zh-CN"/>
        </w:rPr>
        <w:t>部门预算系统（老系统）、</w:t>
      </w:r>
      <w:r>
        <w:rPr>
          <w:rFonts w:hint="eastAsia" w:ascii="宋体" w:hAnsi="宋体" w:eastAsia="宋体" w:cs="宋体"/>
          <w:sz w:val="24"/>
          <w:szCs w:val="24"/>
        </w:rPr>
        <w:t>预算执行系统（</w:t>
      </w:r>
      <w:r>
        <w:rPr>
          <w:rFonts w:hint="eastAsia" w:ascii="宋体" w:hAnsi="宋体" w:eastAsia="宋体" w:cs="宋体"/>
          <w:sz w:val="24"/>
          <w:szCs w:val="24"/>
          <w:lang w:eastAsia="zh-CN"/>
        </w:rPr>
        <w:t>老系统</w:t>
      </w:r>
      <w:r>
        <w:rPr>
          <w:rFonts w:hint="eastAsia" w:ascii="宋体" w:hAnsi="宋体" w:eastAsia="宋体" w:cs="宋体"/>
          <w:sz w:val="24"/>
          <w:szCs w:val="24"/>
        </w:rPr>
        <w:t>）、工资发放系统（</w:t>
      </w:r>
      <w:r>
        <w:rPr>
          <w:rFonts w:hint="eastAsia" w:ascii="宋体" w:hAnsi="宋体" w:eastAsia="宋体" w:cs="宋体"/>
          <w:sz w:val="24"/>
          <w:szCs w:val="24"/>
          <w:lang w:eastAsia="zh-CN"/>
        </w:rPr>
        <w:t>老系统</w:t>
      </w:r>
      <w:r>
        <w:rPr>
          <w:rFonts w:hint="eastAsia" w:ascii="宋体" w:hAnsi="宋体" w:eastAsia="宋体" w:cs="宋体"/>
          <w:sz w:val="24"/>
          <w:szCs w:val="24"/>
        </w:rPr>
        <w:t>）、财政证书管理系统、财政业务系统异地灾备双活系统、财政云中心业务工作平台、财政身份认证、</w:t>
      </w:r>
      <w:r>
        <w:rPr>
          <w:rFonts w:hint="eastAsia" w:ascii="宋体" w:hAnsi="宋体" w:eastAsia="宋体" w:cs="宋体"/>
          <w:sz w:val="24"/>
          <w:szCs w:val="24"/>
          <w:lang w:eastAsia="zh-CN"/>
        </w:rPr>
        <w:t>财政杀毒软件系统、</w:t>
      </w:r>
      <w:r>
        <w:rPr>
          <w:rFonts w:hint="eastAsia" w:ascii="宋体" w:hAnsi="宋体" w:eastAsia="宋体" w:cs="宋体"/>
          <w:sz w:val="24"/>
          <w:szCs w:val="24"/>
        </w:rPr>
        <w:t>短信平台等应用部署、运行维护、故障检测与恢复、系统调优、使用培训、日常操作指导与相关技术问题答疑等相关工作。</w:t>
      </w:r>
    </w:p>
    <w:p w14:paraId="0EB71A19">
      <w:pPr>
        <w:keepNext w:val="0"/>
        <w:keepLines w:val="0"/>
        <w:pageBreakBefore w:val="0"/>
        <w:widowControl/>
        <w:kinsoku/>
        <w:wordWrap/>
        <w:overflowPunct/>
        <w:topLinePunct w:val="0"/>
        <w:autoSpaceDE/>
        <w:autoSpaceDN/>
        <w:bidi w:val="0"/>
        <w:adjustRightInd/>
        <w:snapToGrid/>
        <w:spacing w:line="360" w:lineRule="auto"/>
        <w:ind w:firstLine="562"/>
        <w:jc w:val="left"/>
        <w:textAlignment w:val="auto"/>
        <w:outlineLvl w:val="1"/>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eastAsia="zh-CN"/>
        </w:rPr>
        <w:t>参与日常驻场运维江苏省</w:t>
      </w:r>
      <w:r>
        <w:rPr>
          <w:rFonts w:hint="eastAsia" w:ascii="宋体" w:hAnsi="宋体" w:eastAsia="宋体" w:cs="宋体"/>
          <w:sz w:val="24"/>
          <w:szCs w:val="24"/>
        </w:rPr>
        <w:t>预算管理一体化系统、办公OA系统、非税</w:t>
      </w:r>
      <w:r>
        <w:rPr>
          <w:rFonts w:hint="eastAsia" w:ascii="宋体" w:hAnsi="宋体" w:eastAsia="宋体" w:cs="宋体"/>
          <w:sz w:val="24"/>
          <w:szCs w:val="24"/>
          <w:lang w:eastAsia="zh-CN"/>
        </w:rPr>
        <w:t>及</w:t>
      </w:r>
      <w:r>
        <w:rPr>
          <w:rFonts w:hint="eastAsia" w:ascii="宋体" w:hAnsi="宋体" w:eastAsia="宋体" w:cs="宋体"/>
          <w:sz w:val="24"/>
          <w:szCs w:val="24"/>
        </w:rPr>
        <w:t>电子化</w:t>
      </w:r>
      <w:r>
        <w:rPr>
          <w:rFonts w:hint="eastAsia" w:ascii="宋体" w:hAnsi="宋体" w:eastAsia="宋体" w:cs="宋体"/>
          <w:sz w:val="24"/>
          <w:szCs w:val="24"/>
          <w:lang w:eastAsia="zh-CN"/>
        </w:rPr>
        <w:t>征缴</w:t>
      </w:r>
      <w:r>
        <w:rPr>
          <w:rFonts w:hint="eastAsia" w:ascii="宋体" w:hAnsi="宋体" w:eastAsia="宋体" w:cs="宋体"/>
          <w:sz w:val="24"/>
          <w:szCs w:val="24"/>
        </w:rPr>
        <w:t>管理系统、</w:t>
      </w:r>
      <w:r>
        <w:rPr>
          <w:rFonts w:hint="eastAsia" w:ascii="宋体" w:hAnsi="宋体" w:eastAsia="宋体" w:cs="宋体"/>
          <w:sz w:val="24"/>
          <w:szCs w:val="24"/>
          <w:lang w:eastAsia="zh-CN"/>
        </w:rPr>
        <w:t>徐州</w:t>
      </w:r>
      <w:r>
        <w:rPr>
          <w:rFonts w:hint="eastAsia" w:ascii="宋体" w:hAnsi="宋体" w:eastAsia="宋体" w:cs="宋体"/>
          <w:sz w:val="24"/>
          <w:szCs w:val="24"/>
        </w:rPr>
        <w:t>政府采购</w:t>
      </w:r>
      <w:r>
        <w:rPr>
          <w:rFonts w:hint="eastAsia" w:ascii="宋体" w:hAnsi="宋体" w:eastAsia="宋体" w:cs="宋体"/>
          <w:sz w:val="24"/>
          <w:szCs w:val="24"/>
          <w:lang w:eastAsia="zh-CN"/>
        </w:rPr>
        <w:t>信息网</w:t>
      </w:r>
      <w:r>
        <w:rPr>
          <w:rFonts w:hint="eastAsia" w:ascii="宋体" w:hAnsi="宋体" w:eastAsia="宋体" w:cs="宋体"/>
          <w:sz w:val="24"/>
          <w:szCs w:val="24"/>
        </w:rPr>
        <w:t>、大数据交换平台</w:t>
      </w:r>
      <w:r>
        <w:rPr>
          <w:rFonts w:hint="eastAsia" w:ascii="宋体" w:hAnsi="宋体" w:eastAsia="宋体" w:cs="宋体"/>
          <w:sz w:val="24"/>
          <w:szCs w:val="24"/>
          <w:lang w:eastAsia="zh-CN"/>
        </w:rPr>
        <w:t>、财政应用数据库、中间件</w:t>
      </w:r>
      <w:r>
        <w:rPr>
          <w:rFonts w:hint="eastAsia" w:ascii="宋体" w:hAnsi="宋体" w:eastAsia="宋体" w:cs="宋体"/>
          <w:sz w:val="24"/>
          <w:szCs w:val="24"/>
        </w:rPr>
        <w:t>等</w:t>
      </w:r>
      <w:r>
        <w:rPr>
          <w:rFonts w:hint="eastAsia" w:ascii="宋体" w:hAnsi="宋体" w:eastAsia="宋体" w:cs="宋体"/>
          <w:sz w:val="24"/>
          <w:szCs w:val="24"/>
          <w:lang w:eastAsia="zh-CN"/>
        </w:rPr>
        <w:t>相关的软硬件</w:t>
      </w:r>
      <w:r>
        <w:rPr>
          <w:rFonts w:hint="eastAsia" w:ascii="宋体" w:hAnsi="宋体" w:eastAsia="宋体" w:cs="宋体"/>
          <w:sz w:val="24"/>
          <w:szCs w:val="24"/>
        </w:rPr>
        <w:t>应用部署、运行维护、故障检测与恢复、系统调优、使用培训、日常操作指导与相关技术问题答疑等相关工作。</w:t>
      </w:r>
    </w:p>
    <w:p w14:paraId="50E87198">
      <w:pPr>
        <w:keepNext w:val="0"/>
        <w:keepLines w:val="0"/>
        <w:pageBreakBefore w:val="0"/>
        <w:widowControl/>
        <w:kinsoku/>
        <w:wordWrap/>
        <w:overflowPunct/>
        <w:topLinePunct w:val="0"/>
        <w:autoSpaceDE/>
        <w:autoSpaceDN/>
        <w:bidi w:val="0"/>
        <w:adjustRightInd/>
        <w:snapToGrid/>
        <w:spacing w:line="360" w:lineRule="auto"/>
        <w:ind w:firstLine="562"/>
        <w:jc w:val="left"/>
        <w:textAlignment w:val="auto"/>
        <w:outlineLvl w:val="1"/>
        <w:rPr>
          <w:rFonts w:hint="eastAsia" w:ascii="宋体" w:hAnsi="宋体" w:eastAsia="宋体" w:cs="宋体"/>
          <w:sz w:val="24"/>
          <w:szCs w:val="24"/>
        </w:rPr>
      </w:pPr>
      <w:r>
        <w:rPr>
          <w:rFonts w:hint="eastAsia" w:ascii="宋体" w:hAnsi="宋体" w:eastAsia="宋体" w:cs="宋体"/>
          <w:sz w:val="24"/>
          <w:szCs w:val="24"/>
        </w:rPr>
        <w:t>(3)负责检查并排除财政</w:t>
      </w:r>
      <w:r>
        <w:rPr>
          <w:rFonts w:hint="eastAsia" w:ascii="宋体" w:hAnsi="宋体" w:eastAsia="宋体" w:cs="宋体"/>
          <w:sz w:val="24"/>
          <w:szCs w:val="24"/>
          <w:lang w:eastAsia="zh-CN"/>
        </w:rPr>
        <w:t>所有</w:t>
      </w:r>
      <w:r>
        <w:rPr>
          <w:rFonts w:hint="eastAsia" w:ascii="宋体" w:hAnsi="宋体" w:eastAsia="宋体" w:cs="宋体"/>
          <w:sz w:val="24"/>
          <w:szCs w:val="24"/>
        </w:rPr>
        <w:t>办公电脑及外围设备</w:t>
      </w:r>
      <w:r>
        <w:rPr>
          <w:rFonts w:hint="eastAsia" w:ascii="宋体" w:hAnsi="宋体" w:eastAsia="宋体" w:cs="宋体"/>
          <w:sz w:val="24"/>
          <w:szCs w:val="24"/>
          <w:lang w:eastAsia="zh-CN"/>
        </w:rPr>
        <w:t>及相关</w:t>
      </w:r>
      <w:r>
        <w:rPr>
          <w:rFonts w:hint="eastAsia" w:ascii="宋体" w:hAnsi="宋体" w:eastAsia="宋体" w:cs="宋体"/>
          <w:sz w:val="24"/>
          <w:szCs w:val="24"/>
        </w:rPr>
        <w:t>的软硬件故障，排除财政客户端、楼层交换设备网络等问题；安装及调试</w:t>
      </w:r>
      <w:r>
        <w:rPr>
          <w:rFonts w:hint="eastAsia" w:ascii="宋体" w:hAnsi="宋体" w:eastAsia="宋体" w:cs="宋体"/>
          <w:sz w:val="24"/>
          <w:szCs w:val="24"/>
          <w:lang w:eastAsia="zh-CN"/>
        </w:rPr>
        <w:t>各类</w:t>
      </w:r>
      <w:r>
        <w:rPr>
          <w:rFonts w:hint="eastAsia" w:ascii="宋体" w:hAnsi="宋体" w:eastAsia="宋体" w:cs="宋体"/>
          <w:sz w:val="24"/>
          <w:szCs w:val="24"/>
        </w:rPr>
        <w:t>财政</w:t>
      </w:r>
      <w:r>
        <w:rPr>
          <w:rFonts w:hint="eastAsia" w:ascii="宋体" w:hAnsi="宋体" w:eastAsia="宋体" w:cs="宋体"/>
          <w:sz w:val="24"/>
          <w:szCs w:val="24"/>
          <w:lang w:eastAsia="zh-CN"/>
        </w:rPr>
        <w:t>业务软件、</w:t>
      </w:r>
      <w:r>
        <w:rPr>
          <w:rFonts w:hint="eastAsia" w:ascii="宋体" w:hAnsi="宋体" w:eastAsia="宋体" w:cs="宋体"/>
          <w:sz w:val="24"/>
          <w:szCs w:val="24"/>
        </w:rPr>
        <w:t>办公OA</w:t>
      </w:r>
      <w:r>
        <w:rPr>
          <w:rFonts w:hint="eastAsia" w:ascii="宋体" w:hAnsi="宋体" w:eastAsia="宋体" w:cs="宋体"/>
          <w:sz w:val="24"/>
          <w:szCs w:val="24"/>
          <w:lang w:eastAsia="zh-CN"/>
        </w:rPr>
        <w:t>及办公工具软件（如：</w:t>
      </w:r>
      <w:r>
        <w:rPr>
          <w:rFonts w:hint="eastAsia" w:ascii="宋体" w:hAnsi="宋体" w:eastAsia="宋体" w:cs="宋体"/>
          <w:sz w:val="24"/>
          <w:szCs w:val="24"/>
        </w:rPr>
        <w:t>杀毒软件、</w:t>
      </w:r>
      <w:r>
        <w:rPr>
          <w:rFonts w:hint="eastAsia" w:ascii="宋体" w:hAnsi="宋体" w:eastAsia="宋体" w:cs="宋体"/>
          <w:sz w:val="24"/>
          <w:szCs w:val="24"/>
          <w:lang w:eastAsia="zh-CN"/>
        </w:rPr>
        <w:t>省厅邮件、工作助手</w:t>
      </w:r>
      <w:r>
        <w:rPr>
          <w:rFonts w:hint="eastAsia" w:ascii="宋体" w:hAnsi="宋体" w:eastAsia="宋体" w:cs="宋体"/>
          <w:sz w:val="24"/>
          <w:szCs w:val="24"/>
        </w:rPr>
        <w:t>等</w:t>
      </w:r>
      <w:r>
        <w:rPr>
          <w:rFonts w:hint="eastAsia" w:ascii="宋体" w:hAnsi="宋体" w:eastAsia="宋体" w:cs="宋体"/>
          <w:sz w:val="24"/>
          <w:szCs w:val="24"/>
          <w:lang w:eastAsia="zh-CN"/>
        </w:rPr>
        <w:t>）</w:t>
      </w:r>
      <w:r>
        <w:rPr>
          <w:rFonts w:hint="eastAsia" w:ascii="宋体" w:hAnsi="宋体" w:eastAsia="宋体" w:cs="宋体"/>
          <w:sz w:val="24"/>
          <w:szCs w:val="24"/>
        </w:rPr>
        <w:t>，进行故障检测及排除；按照要求操作及维护视频会议设备、财政</w:t>
      </w:r>
      <w:r>
        <w:rPr>
          <w:rFonts w:hint="eastAsia" w:ascii="宋体" w:hAnsi="宋体" w:eastAsia="宋体" w:cs="宋体"/>
          <w:sz w:val="24"/>
          <w:szCs w:val="24"/>
          <w:lang w:eastAsia="zh-CN"/>
        </w:rPr>
        <w:t>工作</w:t>
      </w:r>
      <w:r>
        <w:rPr>
          <w:rFonts w:hint="eastAsia" w:ascii="宋体" w:hAnsi="宋体" w:eastAsia="宋体" w:cs="宋体"/>
          <w:sz w:val="24"/>
          <w:szCs w:val="24"/>
        </w:rPr>
        <w:t>云</w:t>
      </w:r>
      <w:r>
        <w:rPr>
          <w:rFonts w:hint="eastAsia" w:ascii="宋体" w:hAnsi="宋体" w:eastAsia="宋体" w:cs="宋体"/>
          <w:sz w:val="24"/>
          <w:szCs w:val="24"/>
          <w:lang w:eastAsia="zh-CN"/>
        </w:rPr>
        <w:t>桌面等，</w:t>
      </w:r>
      <w:r>
        <w:rPr>
          <w:rFonts w:hint="eastAsia" w:ascii="宋体" w:hAnsi="宋体" w:eastAsia="宋体" w:cs="宋体"/>
          <w:sz w:val="24"/>
          <w:szCs w:val="24"/>
        </w:rPr>
        <w:t>协助管理办公设备相关资产。</w:t>
      </w:r>
    </w:p>
    <w:p w14:paraId="31B96C54">
      <w:pPr>
        <w:keepNext w:val="0"/>
        <w:keepLines w:val="0"/>
        <w:pageBreakBefore w:val="0"/>
        <w:widowControl/>
        <w:kinsoku/>
        <w:wordWrap/>
        <w:overflowPunct/>
        <w:topLinePunct w:val="0"/>
        <w:autoSpaceDE/>
        <w:autoSpaceDN/>
        <w:bidi w:val="0"/>
        <w:adjustRightInd/>
        <w:snapToGrid/>
        <w:spacing w:line="360" w:lineRule="auto"/>
        <w:ind w:firstLine="562"/>
        <w:jc w:val="left"/>
        <w:textAlignment w:val="auto"/>
        <w:outlineLvl w:val="1"/>
        <w:rPr>
          <w:rFonts w:hint="eastAsia" w:ascii="宋体" w:hAnsi="宋体" w:eastAsia="宋体" w:cs="宋体"/>
          <w:sz w:val="24"/>
          <w:szCs w:val="24"/>
        </w:rPr>
      </w:pPr>
      <w:r>
        <w:rPr>
          <w:rFonts w:hint="eastAsia" w:ascii="宋体" w:hAnsi="宋体" w:eastAsia="宋体" w:cs="宋体"/>
          <w:sz w:val="24"/>
          <w:szCs w:val="24"/>
        </w:rPr>
        <w:t>（4）负责检查并排除财政办公电脑及外围设备所有的软硬件故障</w:t>
      </w:r>
      <w:r>
        <w:rPr>
          <w:rFonts w:hint="eastAsia" w:ascii="宋体" w:hAnsi="宋体" w:eastAsia="宋体" w:cs="宋体"/>
          <w:sz w:val="24"/>
          <w:szCs w:val="24"/>
          <w:lang w:eastAsia="zh-CN"/>
        </w:rPr>
        <w:t>；定期巡检并</w:t>
      </w:r>
      <w:r>
        <w:rPr>
          <w:rFonts w:hint="eastAsia" w:ascii="宋体" w:hAnsi="宋体" w:eastAsia="宋体" w:cs="宋体"/>
          <w:sz w:val="24"/>
          <w:szCs w:val="24"/>
        </w:rPr>
        <w:t>排除</w:t>
      </w:r>
      <w:r>
        <w:rPr>
          <w:rFonts w:hint="eastAsia" w:ascii="宋体" w:hAnsi="宋体" w:eastAsia="宋体" w:cs="宋体"/>
          <w:sz w:val="24"/>
          <w:szCs w:val="24"/>
          <w:lang w:eastAsia="zh-CN"/>
        </w:rPr>
        <w:t>财政机房</w:t>
      </w:r>
      <w:r>
        <w:rPr>
          <w:rFonts w:hint="eastAsia" w:ascii="宋体" w:hAnsi="宋体" w:eastAsia="宋体" w:cs="宋体"/>
          <w:sz w:val="24"/>
          <w:szCs w:val="24"/>
          <w:lang w:val="en-US" w:eastAsia="zh-CN"/>
        </w:rPr>
        <w:t>UPS、精密空调、动环监控等问题；</w:t>
      </w:r>
      <w:r>
        <w:rPr>
          <w:rFonts w:hint="eastAsia" w:ascii="宋体" w:hAnsi="宋体" w:eastAsia="宋体" w:cs="宋体"/>
          <w:sz w:val="24"/>
          <w:szCs w:val="24"/>
          <w:lang w:eastAsia="zh-CN"/>
        </w:rPr>
        <w:t>定期巡检并</w:t>
      </w:r>
      <w:r>
        <w:rPr>
          <w:rFonts w:hint="eastAsia" w:ascii="宋体" w:hAnsi="宋体" w:eastAsia="宋体" w:cs="宋体"/>
          <w:sz w:val="24"/>
          <w:szCs w:val="24"/>
        </w:rPr>
        <w:t>排除财政</w:t>
      </w:r>
      <w:r>
        <w:rPr>
          <w:rFonts w:hint="eastAsia" w:ascii="宋体" w:hAnsi="宋体" w:eastAsia="宋体" w:cs="宋体"/>
          <w:sz w:val="24"/>
          <w:szCs w:val="24"/>
          <w:lang w:eastAsia="zh-CN"/>
        </w:rPr>
        <w:t>所使用的</w:t>
      </w:r>
      <w:r>
        <w:rPr>
          <w:rFonts w:hint="eastAsia" w:ascii="宋体" w:hAnsi="宋体" w:eastAsia="宋体" w:cs="宋体"/>
          <w:sz w:val="24"/>
          <w:szCs w:val="24"/>
        </w:rPr>
        <w:t>楼层交换设备网络等问题；协助</w:t>
      </w:r>
      <w:r>
        <w:rPr>
          <w:rFonts w:hint="eastAsia" w:ascii="宋体" w:hAnsi="宋体" w:eastAsia="宋体" w:cs="宋体"/>
          <w:sz w:val="24"/>
          <w:szCs w:val="24"/>
          <w:lang w:eastAsia="zh-CN"/>
        </w:rPr>
        <w:t>排除</w:t>
      </w:r>
      <w:r>
        <w:rPr>
          <w:rFonts w:hint="eastAsia" w:ascii="宋体" w:hAnsi="宋体" w:eastAsia="宋体" w:cs="宋体"/>
          <w:sz w:val="24"/>
          <w:szCs w:val="24"/>
          <w:lang w:val="en-US" w:eastAsia="zh-CN"/>
        </w:rPr>
        <w:t>问题，</w:t>
      </w:r>
      <w:r>
        <w:rPr>
          <w:rFonts w:hint="eastAsia" w:ascii="宋体" w:hAnsi="宋体" w:eastAsia="宋体" w:cs="宋体"/>
          <w:sz w:val="24"/>
          <w:szCs w:val="24"/>
        </w:rPr>
        <w:t>管理办公设备相关资产</w:t>
      </w:r>
      <w:r>
        <w:rPr>
          <w:rFonts w:hint="eastAsia" w:ascii="宋体" w:hAnsi="宋体" w:eastAsia="宋体" w:cs="宋体"/>
          <w:sz w:val="24"/>
          <w:szCs w:val="24"/>
          <w:lang w:eastAsia="zh-CN"/>
        </w:rPr>
        <w:t>（主要包括</w:t>
      </w:r>
      <w:r>
        <w:rPr>
          <w:rFonts w:hint="eastAsia" w:ascii="宋体" w:hAnsi="宋体" w:eastAsia="宋体" w:cs="宋体"/>
          <w:sz w:val="24"/>
          <w:szCs w:val="24"/>
        </w:rPr>
        <w:t>台式计算机含华为云终端 387</w:t>
      </w:r>
      <w:r>
        <w:rPr>
          <w:rFonts w:hint="eastAsia" w:ascii="宋体" w:hAnsi="宋体" w:cs="宋体"/>
          <w:sz w:val="24"/>
          <w:szCs w:val="24"/>
          <w:lang w:eastAsia="zh-CN"/>
        </w:rPr>
        <w:t>台</w:t>
      </w:r>
      <w:r>
        <w:rPr>
          <w:rFonts w:hint="eastAsia" w:ascii="宋体" w:hAnsi="宋体" w:eastAsia="宋体" w:cs="宋体"/>
          <w:sz w:val="24"/>
          <w:szCs w:val="24"/>
        </w:rPr>
        <w:t>，便携式计算机 81</w:t>
      </w:r>
      <w:r>
        <w:rPr>
          <w:rFonts w:hint="eastAsia" w:ascii="宋体" w:hAnsi="宋体" w:cs="宋体"/>
          <w:sz w:val="24"/>
          <w:szCs w:val="24"/>
          <w:lang w:eastAsia="zh-CN"/>
        </w:rPr>
        <w:t>台</w:t>
      </w:r>
      <w:r>
        <w:rPr>
          <w:rFonts w:hint="eastAsia" w:ascii="宋体" w:hAnsi="宋体" w:eastAsia="宋体" w:cs="宋体"/>
          <w:sz w:val="24"/>
          <w:szCs w:val="24"/>
        </w:rPr>
        <w:t>，打印机含一体机237</w:t>
      </w:r>
      <w:r>
        <w:rPr>
          <w:rFonts w:hint="eastAsia" w:ascii="宋体" w:hAnsi="宋体" w:cs="宋体"/>
          <w:sz w:val="24"/>
          <w:szCs w:val="24"/>
          <w:lang w:eastAsia="zh-CN"/>
        </w:rPr>
        <w:t>台</w:t>
      </w:r>
      <w:r>
        <w:rPr>
          <w:rFonts w:hint="eastAsia" w:ascii="宋体" w:hAnsi="宋体" w:eastAsia="宋体" w:cs="宋体"/>
          <w:sz w:val="24"/>
          <w:szCs w:val="24"/>
        </w:rPr>
        <w:t>，扫描仪11</w:t>
      </w:r>
      <w:r>
        <w:rPr>
          <w:rFonts w:hint="eastAsia" w:ascii="宋体" w:hAnsi="宋体" w:cs="宋体"/>
          <w:sz w:val="24"/>
          <w:szCs w:val="24"/>
          <w:lang w:eastAsia="zh-CN"/>
        </w:rPr>
        <w:t>台</w:t>
      </w:r>
      <w:r>
        <w:rPr>
          <w:rFonts w:hint="eastAsia" w:ascii="宋体" w:hAnsi="宋体" w:eastAsia="宋体" w:cs="宋体"/>
          <w:sz w:val="24"/>
          <w:szCs w:val="24"/>
        </w:rPr>
        <w:t>等</w:t>
      </w:r>
      <w:r>
        <w:rPr>
          <w:rFonts w:hint="eastAsia" w:ascii="宋体" w:hAnsi="宋体" w:eastAsia="宋体" w:cs="宋体"/>
          <w:sz w:val="24"/>
          <w:szCs w:val="24"/>
          <w:lang w:eastAsia="zh-CN"/>
        </w:rPr>
        <w:t>）；更换办公设备耗材；参与登记</w:t>
      </w:r>
      <w:r>
        <w:rPr>
          <w:rFonts w:hint="eastAsia" w:ascii="宋体" w:hAnsi="宋体" w:cs="宋体"/>
          <w:sz w:val="24"/>
          <w:szCs w:val="24"/>
          <w:lang w:eastAsia="zh-CN"/>
        </w:rPr>
        <w:t>资产</w:t>
      </w:r>
      <w:r>
        <w:rPr>
          <w:rFonts w:hint="eastAsia" w:ascii="宋体" w:hAnsi="宋体" w:eastAsia="宋体" w:cs="宋体"/>
          <w:sz w:val="24"/>
          <w:szCs w:val="24"/>
          <w:lang w:eastAsia="zh-CN"/>
        </w:rPr>
        <w:t>管理台账等</w:t>
      </w:r>
      <w:r>
        <w:rPr>
          <w:rFonts w:hint="eastAsia" w:ascii="宋体" w:hAnsi="宋体" w:eastAsia="宋体" w:cs="宋体"/>
          <w:sz w:val="24"/>
          <w:szCs w:val="24"/>
        </w:rPr>
        <w:t>。</w:t>
      </w:r>
    </w:p>
    <w:p w14:paraId="55C0973D">
      <w:pPr>
        <w:pStyle w:val="8"/>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（5）负责对预算单位的入网规范管理，排除预算单位在日常访问财政业务系统中的网络、终端及相关的软硬件故障；</w:t>
      </w:r>
      <w:r>
        <w:rPr>
          <w:rFonts w:hint="eastAsia" w:ascii="宋体" w:hAnsi="宋体" w:cs="宋体"/>
          <w:sz w:val="24"/>
          <w:szCs w:val="24"/>
          <w:lang w:val="en-US" w:eastAsia="zh-CN"/>
        </w:rPr>
        <w:t>按照</w:t>
      </w:r>
      <w:r>
        <w:rPr>
          <w:rFonts w:hint="eastAsia" w:ascii="宋体" w:hAnsi="宋体" w:eastAsia="宋体" w:cs="宋体"/>
          <w:sz w:val="24"/>
          <w:szCs w:val="24"/>
          <w:lang w:val="en-US" w:eastAsia="zh-CN"/>
        </w:rPr>
        <w:t>网络管理员</w:t>
      </w:r>
      <w:r>
        <w:rPr>
          <w:rFonts w:hint="eastAsia" w:ascii="宋体" w:hAnsi="宋体" w:cs="宋体"/>
          <w:sz w:val="24"/>
          <w:szCs w:val="24"/>
          <w:lang w:val="en-US" w:eastAsia="zh-CN"/>
        </w:rPr>
        <w:t>要求</w:t>
      </w:r>
      <w:r>
        <w:rPr>
          <w:rFonts w:hint="eastAsia" w:ascii="宋体" w:hAnsi="宋体" w:eastAsia="宋体" w:cs="宋体"/>
          <w:sz w:val="24"/>
          <w:szCs w:val="24"/>
          <w:lang w:val="en-US" w:eastAsia="zh-CN"/>
        </w:rPr>
        <w:t>做好财政网络</w:t>
      </w:r>
      <w:r>
        <w:rPr>
          <w:rFonts w:hint="eastAsia" w:ascii="宋体" w:hAnsi="宋体" w:cs="宋体"/>
          <w:sz w:val="24"/>
          <w:szCs w:val="24"/>
          <w:lang w:val="en-US" w:eastAsia="zh-CN"/>
        </w:rPr>
        <w:t>服务</w:t>
      </w:r>
      <w:r>
        <w:rPr>
          <w:rFonts w:hint="eastAsia" w:ascii="宋体" w:hAnsi="宋体" w:eastAsia="宋体" w:cs="宋体"/>
          <w:sz w:val="24"/>
          <w:szCs w:val="24"/>
          <w:lang w:val="en-US" w:eastAsia="zh-CN"/>
        </w:rPr>
        <w:t>（包括网络安全设备的日常巡检和管理）；</w:t>
      </w:r>
      <w:r>
        <w:rPr>
          <w:rFonts w:hint="eastAsia" w:ascii="宋体" w:hAnsi="宋体" w:cs="宋体"/>
          <w:sz w:val="24"/>
          <w:szCs w:val="24"/>
          <w:lang w:val="en-US" w:eastAsia="zh-CN"/>
        </w:rPr>
        <w:t>按照</w:t>
      </w:r>
      <w:r>
        <w:rPr>
          <w:rFonts w:hint="eastAsia" w:ascii="宋体" w:hAnsi="宋体" w:eastAsia="宋体" w:cs="宋体"/>
          <w:sz w:val="24"/>
          <w:szCs w:val="24"/>
          <w:lang w:val="en-US" w:eastAsia="zh-CN"/>
        </w:rPr>
        <w:t>安全管理员</w:t>
      </w:r>
      <w:r>
        <w:rPr>
          <w:rFonts w:hint="eastAsia" w:ascii="宋体" w:hAnsi="宋体" w:cs="宋体"/>
          <w:sz w:val="24"/>
          <w:szCs w:val="24"/>
          <w:lang w:val="en-US" w:eastAsia="zh-CN"/>
        </w:rPr>
        <w:t>要求做好</w:t>
      </w:r>
      <w:r>
        <w:rPr>
          <w:rFonts w:hint="eastAsia" w:ascii="宋体" w:hAnsi="宋体" w:eastAsia="宋体" w:cs="宋体"/>
          <w:sz w:val="24"/>
          <w:szCs w:val="24"/>
          <w:lang w:val="en-US" w:eastAsia="zh-CN"/>
        </w:rPr>
        <w:t>财政网络安全、财政内部的终端及相关的软硬件安全</w:t>
      </w:r>
      <w:r>
        <w:rPr>
          <w:rFonts w:hint="eastAsia" w:ascii="宋体" w:hAnsi="宋体" w:cs="宋体"/>
          <w:sz w:val="24"/>
          <w:szCs w:val="24"/>
          <w:lang w:val="en-US" w:eastAsia="zh-CN"/>
        </w:rPr>
        <w:t>服务</w:t>
      </w:r>
      <w:r>
        <w:rPr>
          <w:rFonts w:hint="eastAsia" w:ascii="宋体" w:hAnsi="宋体" w:eastAsia="宋体" w:cs="宋体"/>
          <w:sz w:val="24"/>
          <w:szCs w:val="24"/>
          <w:lang w:val="en-US" w:eastAsia="zh-CN"/>
        </w:rPr>
        <w:t>，对所负责开发及运维的系统及所在的服务器及相关设备上及时做好安全漏洞补丁。</w:t>
      </w:r>
    </w:p>
    <w:p w14:paraId="7E8AA5AC">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（6）负责按要求对财政及预算单位使用财政业务系统的计算机及相关设备进行国产化部署、升级和适配。</w:t>
      </w:r>
    </w:p>
    <w:p w14:paraId="6DE489AF">
      <w:pPr>
        <w:keepNext w:val="0"/>
        <w:keepLines w:val="0"/>
        <w:pageBreakBefore w:val="0"/>
        <w:widowControl/>
        <w:kinsoku/>
        <w:wordWrap/>
        <w:overflowPunct/>
        <w:topLinePunct w:val="0"/>
        <w:autoSpaceDE/>
        <w:autoSpaceDN/>
        <w:bidi w:val="0"/>
        <w:adjustRightInd/>
        <w:snapToGrid/>
        <w:spacing w:line="360" w:lineRule="auto"/>
        <w:ind w:firstLine="562"/>
        <w:jc w:val="left"/>
        <w:textAlignment w:val="auto"/>
        <w:outlineLvl w:val="1"/>
        <w:rPr>
          <w:rFonts w:hint="eastAsia" w:ascii="宋体" w:hAnsi="宋体" w:eastAsia="宋体" w:cs="宋体"/>
          <w:sz w:val="24"/>
          <w:szCs w:val="24"/>
        </w:rPr>
      </w:pPr>
      <w:r>
        <w:rPr>
          <w:rFonts w:hint="eastAsia" w:ascii="宋体" w:hAnsi="宋体" w:eastAsia="宋体" w:cs="宋体"/>
          <w:sz w:val="24"/>
          <w:szCs w:val="24"/>
        </w:rPr>
        <w:t>（二）投标文件要求</w:t>
      </w:r>
    </w:p>
    <w:p w14:paraId="047E362D">
      <w:pPr>
        <w:keepNext w:val="0"/>
        <w:keepLines w:val="0"/>
        <w:pageBreakBefore w:val="0"/>
        <w:widowControl/>
        <w:kinsoku/>
        <w:wordWrap/>
        <w:overflowPunct/>
        <w:topLinePunct w:val="0"/>
        <w:autoSpaceDE/>
        <w:autoSpaceDN/>
        <w:bidi w:val="0"/>
        <w:adjustRightInd/>
        <w:snapToGrid/>
        <w:spacing w:line="360" w:lineRule="auto"/>
        <w:ind w:firstLine="562"/>
        <w:jc w:val="left"/>
        <w:textAlignment w:val="auto"/>
        <w:outlineLvl w:val="1"/>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eastAsia="zh-CN"/>
        </w:rPr>
        <w:t>、</w:t>
      </w:r>
      <w:r>
        <w:rPr>
          <w:rFonts w:hint="eastAsia" w:ascii="宋体" w:hAnsi="宋体" w:eastAsia="宋体" w:cs="宋体"/>
          <w:sz w:val="24"/>
          <w:szCs w:val="24"/>
        </w:rPr>
        <w:t>投标文件中提供《技术方案》文件；</w:t>
      </w:r>
    </w:p>
    <w:p w14:paraId="436E8419">
      <w:pPr>
        <w:keepNext w:val="0"/>
        <w:keepLines w:val="0"/>
        <w:pageBreakBefore w:val="0"/>
        <w:widowControl/>
        <w:kinsoku/>
        <w:wordWrap/>
        <w:overflowPunct/>
        <w:topLinePunct w:val="0"/>
        <w:autoSpaceDE/>
        <w:autoSpaceDN/>
        <w:bidi w:val="0"/>
        <w:adjustRightInd/>
        <w:snapToGrid/>
        <w:spacing w:line="360" w:lineRule="auto"/>
        <w:ind w:firstLine="562"/>
        <w:jc w:val="left"/>
        <w:textAlignment w:val="auto"/>
        <w:outlineLvl w:val="1"/>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eastAsia="zh-CN"/>
        </w:rPr>
        <w:t>、</w:t>
      </w:r>
      <w:r>
        <w:rPr>
          <w:rFonts w:hint="eastAsia" w:ascii="宋体" w:hAnsi="宋体" w:eastAsia="宋体" w:cs="宋体"/>
          <w:sz w:val="24"/>
          <w:szCs w:val="24"/>
        </w:rPr>
        <w:t>《技术方案》包括以下内容：</w:t>
      </w:r>
    </w:p>
    <w:p w14:paraId="4C2A04D2">
      <w:pPr>
        <w:keepNext w:val="0"/>
        <w:keepLines w:val="0"/>
        <w:pageBreakBefore w:val="0"/>
        <w:widowControl/>
        <w:kinsoku/>
        <w:wordWrap/>
        <w:overflowPunct/>
        <w:topLinePunct w:val="0"/>
        <w:autoSpaceDE/>
        <w:autoSpaceDN/>
        <w:bidi w:val="0"/>
        <w:adjustRightInd/>
        <w:snapToGrid/>
        <w:spacing w:line="360" w:lineRule="auto"/>
        <w:ind w:firstLine="562"/>
        <w:jc w:val="left"/>
        <w:textAlignment w:val="auto"/>
        <w:outlineLvl w:val="1"/>
        <w:rPr>
          <w:rFonts w:hint="eastAsia" w:ascii="宋体" w:hAnsi="宋体" w:eastAsia="宋体" w:cs="宋体"/>
          <w:sz w:val="24"/>
          <w:szCs w:val="24"/>
        </w:rPr>
      </w:pPr>
      <w:r>
        <w:rPr>
          <w:rFonts w:hint="eastAsia" w:ascii="宋体" w:hAnsi="宋体" w:eastAsia="宋体" w:cs="宋体"/>
          <w:sz w:val="24"/>
          <w:szCs w:val="24"/>
        </w:rPr>
        <w:t>(1)《开发方案》；</w:t>
      </w:r>
    </w:p>
    <w:p w14:paraId="7601F234">
      <w:pPr>
        <w:keepNext w:val="0"/>
        <w:keepLines w:val="0"/>
        <w:pageBreakBefore w:val="0"/>
        <w:widowControl/>
        <w:kinsoku/>
        <w:wordWrap/>
        <w:overflowPunct/>
        <w:topLinePunct w:val="0"/>
        <w:autoSpaceDE/>
        <w:autoSpaceDN/>
        <w:bidi w:val="0"/>
        <w:adjustRightInd/>
        <w:snapToGrid/>
        <w:spacing w:line="360" w:lineRule="auto"/>
        <w:ind w:firstLine="562"/>
        <w:jc w:val="left"/>
        <w:textAlignment w:val="auto"/>
        <w:outlineLvl w:val="1"/>
        <w:rPr>
          <w:rFonts w:hint="eastAsia" w:ascii="宋体" w:hAnsi="宋体" w:eastAsia="宋体" w:cs="宋体"/>
          <w:b/>
          <w:bCs/>
          <w:sz w:val="24"/>
          <w:szCs w:val="24"/>
        </w:rPr>
      </w:pPr>
      <w:r>
        <w:rPr>
          <w:rFonts w:hint="eastAsia" w:ascii="宋体" w:hAnsi="宋体" w:eastAsia="宋体" w:cs="宋体"/>
          <w:sz w:val="24"/>
          <w:szCs w:val="24"/>
        </w:rPr>
        <w:t xml:space="preserve">(2)《维护方案》。                                                                             </w:t>
      </w:r>
    </w:p>
    <w:p w14:paraId="5B3D15F9">
      <w:pPr>
        <w:keepNext w:val="0"/>
        <w:keepLines w:val="0"/>
        <w:pageBreakBefore w:val="0"/>
        <w:widowControl/>
        <w:kinsoku/>
        <w:wordWrap/>
        <w:overflowPunct/>
        <w:topLinePunct w:val="0"/>
        <w:autoSpaceDE/>
        <w:autoSpaceDN/>
        <w:bidi w:val="0"/>
        <w:adjustRightInd/>
        <w:snapToGrid/>
        <w:spacing w:line="360" w:lineRule="auto"/>
        <w:ind w:firstLine="562"/>
        <w:jc w:val="left"/>
        <w:textAlignment w:val="auto"/>
        <w:outlineLvl w:val="1"/>
        <w:rPr>
          <w:rFonts w:hint="eastAsia" w:ascii="宋体" w:hAnsi="宋体" w:eastAsia="宋体" w:cs="宋体"/>
          <w:sz w:val="24"/>
          <w:szCs w:val="24"/>
        </w:rPr>
      </w:pPr>
      <w:r>
        <w:rPr>
          <w:rFonts w:hint="eastAsia" w:ascii="宋体" w:hAnsi="宋体" w:eastAsia="宋体" w:cs="宋体"/>
          <w:b/>
          <w:bCs/>
          <w:sz w:val="24"/>
          <w:szCs w:val="24"/>
        </w:rPr>
        <w:t>三、项目实施要求</w:t>
      </w:r>
    </w:p>
    <w:p w14:paraId="3C247325">
      <w:pPr>
        <w:keepNext w:val="0"/>
        <w:keepLines w:val="0"/>
        <w:pageBreakBefore w:val="0"/>
        <w:widowControl/>
        <w:kinsoku/>
        <w:wordWrap/>
        <w:overflowPunct/>
        <w:topLinePunct w:val="0"/>
        <w:autoSpaceDE/>
        <w:autoSpaceDN/>
        <w:bidi w:val="0"/>
        <w:adjustRightInd/>
        <w:snapToGrid/>
        <w:spacing w:line="360" w:lineRule="auto"/>
        <w:ind w:firstLine="562"/>
        <w:jc w:val="left"/>
        <w:textAlignment w:val="auto"/>
        <w:outlineLvl w:val="1"/>
        <w:rPr>
          <w:rFonts w:hint="eastAsia" w:ascii="宋体" w:hAnsi="宋体" w:eastAsia="宋体" w:cs="宋体"/>
          <w:sz w:val="24"/>
          <w:szCs w:val="24"/>
        </w:rPr>
      </w:pPr>
      <w:r>
        <w:rPr>
          <w:rFonts w:hint="eastAsia" w:ascii="宋体" w:hAnsi="宋体" w:eastAsia="宋体" w:cs="宋体"/>
          <w:sz w:val="24"/>
          <w:szCs w:val="24"/>
        </w:rPr>
        <w:t>（一）项目实施具体要求</w:t>
      </w:r>
    </w:p>
    <w:p w14:paraId="004DAEE6">
      <w:pPr>
        <w:keepNext w:val="0"/>
        <w:keepLines w:val="0"/>
        <w:pageBreakBefore w:val="0"/>
        <w:widowControl/>
        <w:kinsoku/>
        <w:wordWrap/>
        <w:overflowPunct/>
        <w:topLinePunct w:val="0"/>
        <w:autoSpaceDE/>
        <w:autoSpaceDN/>
        <w:bidi w:val="0"/>
        <w:adjustRightInd/>
        <w:snapToGrid/>
        <w:spacing w:line="360" w:lineRule="auto"/>
        <w:ind w:firstLine="562"/>
        <w:jc w:val="left"/>
        <w:textAlignment w:val="auto"/>
        <w:outlineLvl w:val="1"/>
        <w:rPr>
          <w:rFonts w:hint="eastAsia" w:ascii="宋体" w:hAnsi="宋体" w:eastAsia="宋体" w:cs="宋体"/>
          <w:sz w:val="24"/>
          <w:szCs w:val="24"/>
          <w:lang w:eastAsia="zh-CN"/>
        </w:rPr>
      </w:pPr>
      <w:r>
        <w:rPr>
          <w:rFonts w:hint="eastAsia" w:ascii="宋体" w:hAnsi="宋体" w:eastAsia="宋体" w:cs="宋体"/>
          <w:sz w:val="24"/>
          <w:szCs w:val="24"/>
        </w:rPr>
        <w:t>1</w:t>
      </w:r>
      <w:r>
        <w:rPr>
          <w:rFonts w:hint="eastAsia" w:ascii="宋体" w:hAnsi="宋体" w:eastAsia="宋体" w:cs="宋体"/>
          <w:sz w:val="24"/>
          <w:szCs w:val="24"/>
          <w:lang w:eastAsia="zh-CN"/>
        </w:rPr>
        <w:t>、</w:t>
      </w:r>
      <w:r>
        <w:rPr>
          <w:rFonts w:hint="eastAsia" w:ascii="宋体" w:hAnsi="宋体" w:eastAsia="宋体" w:cs="宋体"/>
          <w:sz w:val="24"/>
          <w:szCs w:val="24"/>
        </w:rPr>
        <w:t>项目进度与计划管理措施要求</w:t>
      </w:r>
      <w:r>
        <w:rPr>
          <w:rFonts w:hint="eastAsia" w:ascii="宋体" w:hAnsi="宋体" w:eastAsia="宋体" w:cs="宋体"/>
          <w:sz w:val="24"/>
          <w:szCs w:val="24"/>
          <w:lang w:eastAsia="zh-CN"/>
        </w:rPr>
        <w:t>：</w:t>
      </w:r>
    </w:p>
    <w:p w14:paraId="4099A82A">
      <w:pPr>
        <w:keepNext w:val="0"/>
        <w:keepLines w:val="0"/>
        <w:pageBreakBefore w:val="0"/>
        <w:widowControl/>
        <w:kinsoku/>
        <w:wordWrap/>
        <w:overflowPunct/>
        <w:topLinePunct w:val="0"/>
        <w:autoSpaceDE/>
        <w:autoSpaceDN/>
        <w:bidi w:val="0"/>
        <w:adjustRightInd/>
        <w:snapToGrid/>
        <w:spacing w:line="360" w:lineRule="auto"/>
        <w:ind w:firstLine="562"/>
        <w:jc w:val="left"/>
        <w:textAlignment w:val="auto"/>
        <w:outlineLvl w:val="1"/>
        <w:rPr>
          <w:rFonts w:hint="eastAsia" w:ascii="宋体" w:hAnsi="宋体" w:eastAsia="宋体" w:cs="宋体"/>
          <w:sz w:val="24"/>
          <w:szCs w:val="24"/>
        </w:rPr>
      </w:pPr>
      <w:r>
        <w:rPr>
          <w:rFonts w:hint="eastAsia" w:ascii="宋体" w:hAnsi="宋体" w:eastAsia="宋体" w:cs="宋体"/>
          <w:sz w:val="24"/>
          <w:szCs w:val="24"/>
        </w:rPr>
        <w:t>项目进度与计划管理涵盖项目进度控制的前提条件、主要控制手段、控制内容以及不同阶段的详细控制方案。其中，进度控制的前提需明确项目的目标、范围和资源配置；主要手段应包含定期的进度评估、偏差分析与纠正措施的制定；控制内容涵盖任务的起止时间、关键路径和里程碑节点；不同阶段如项目启动、规划、执行、监控和收尾等的进度控制方案应详尽且具有针对性。</w:t>
      </w:r>
    </w:p>
    <w:p w14:paraId="0BD0C242">
      <w:pPr>
        <w:keepNext w:val="0"/>
        <w:keepLines w:val="0"/>
        <w:pageBreakBefore w:val="0"/>
        <w:widowControl/>
        <w:kinsoku/>
        <w:wordWrap/>
        <w:overflowPunct/>
        <w:topLinePunct w:val="0"/>
        <w:autoSpaceDE/>
        <w:autoSpaceDN/>
        <w:bidi w:val="0"/>
        <w:adjustRightInd/>
        <w:snapToGrid/>
        <w:spacing w:line="360" w:lineRule="auto"/>
        <w:ind w:firstLine="562"/>
        <w:jc w:val="left"/>
        <w:textAlignment w:val="auto"/>
        <w:outlineLvl w:val="1"/>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eastAsia="zh-CN"/>
        </w:rPr>
        <w:t>、</w:t>
      </w:r>
      <w:r>
        <w:rPr>
          <w:rFonts w:hint="eastAsia" w:ascii="宋体" w:hAnsi="宋体" w:eastAsia="宋体" w:cs="宋体"/>
          <w:sz w:val="24"/>
          <w:szCs w:val="24"/>
        </w:rPr>
        <w:t>项目实施计划措施要求</w:t>
      </w:r>
    </w:p>
    <w:p w14:paraId="5A874A11">
      <w:pPr>
        <w:keepNext w:val="0"/>
        <w:keepLines w:val="0"/>
        <w:pageBreakBefore w:val="0"/>
        <w:widowControl/>
        <w:kinsoku/>
        <w:wordWrap/>
        <w:overflowPunct/>
        <w:topLinePunct w:val="0"/>
        <w:autoSpaceDE/>
        <w:autoSpaceDN/>
        <w:bidi w:val="0"/>
        <w:adjustRightInd/>
        <w:snapToGrid/>
        <w:spacing w:line="360" w:lineRule="auto"/>
        <w:ind w:firstLine="562"/>
        <w:jc w:val="left"/>
        <w:textAlignment w:val="auto"/>
        <w:outlineLvl w:val="1"/>
        <w:rPr>
          <w:rFonts w:hint="eastAsia" w:ascii="宋体" w:hAnsi="宋体" w:eastAsia="宋体" w:cs="宋体"/>
          <w:sz w:val="24"/>
          <w:szCs w:val="24"/>
        </w:rPr>
      </w:pPr>
      <w:r>
        <w:rPr>
          <w:rFonts w:hint="eastAsia" w:ascii="宋体" w:hAnsi="宋体" w:eastAsia="宋体" w:cs="宋体"/>
          <w:sz w:val="24"/>
          <w:szCs w:val="24"/>
        </w:rPr>
        <w:t>项目实施计划涵盖项目工程的实施原则以及总体的推进计划等方案。实施原则要遵循科学性、合理性和可行性，确保项目有序推进；总体推进计划需明确各阶段的工作重点、时间节点和资源需求，保障项目按时高质量完成。</w:t>
      </w:r>
    </w:p>
    <w:p w14:paraId="6508AD62">
      <w:pPr>
        <w:keepNext w:val="0"/>
        <w:keepLines w:val="0"/>
        <w:pageBreakBefore w:val="0"/>
        <w:widowControl/>
        <w:kinsoku/>
        <w:wordWrap/>
        <w:overflowPunct/>
        <w:topLinePunct w:val="0"/>
        <w:autoSpaceDE/>
        <w:autoSpaceDN/>
        <w:bidi w:val="0"/>
        <w:adjustRightInd/>
        <w:snapToGrid/>
        <w:spacing w:line="360" w:lineRule="auto"/>
        <w:ind w:firstLine="562"/>
        <w:jc w:val="left"/>
        <w:textAlignment w:val="auto"/>
        <w:outlineLvl w:val="1"/>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z w:val="24"/>
          <w:szCs w:val="24"/>
          <w:lang w:eastAsia="zh-CN"/>
        </w:rPr>
        <w:t>、</w:t>
      </w:r>
      <w:r>
        <w:rPr>
          <w:rFonts w:hint="eastAsia" w:ascii="宋体" w:hAnsi="宋体" w:eastAsia="宋体" w:cs="宋体"/>
          <w:sz w:val="24"/>
          <w:szCs w:val="24"/>
        </w:rPr>
        <w:t>项目质量保证措施要求</w:t>
      </w:r>
    </w:p>
    <w:p w14:paraId="1BBF1079">
      <w:pPr>
        <w:keepNext w:val="0"/>
        <w:keepLines w:val="0"/>
        <w:pageBreakBefore w:val="0"/>
        <w:widowControl/>
        <w:kinsoku/>
        <w:wordWrap/>
        <w:overflowPunct/>
        <w:topLinePunct w:val="0"/>
        <w:autoSpaceDE/>
        <w:autoSpaceDN/>
        <w:bidi w:val="0"/>
        <w:adjustRightInd/>
        <w:snapToGrid/>
        <w:spacing w:line="360" w:lineRule="auto"/>
        <w:ind w:firstLine="562"/>
        <w:jc w:val="left"/>
        <w:textAlignment w:val="auto"/>
        <w:outlineLvl w:val="1"/>
        <w:rPr>
          <w:rFonts w:hint="eastAsia" w:ascii="宋体" w:hAnsi="宋体" w:eastAsia="宋体" w:cs="宋体"/>
          <w:sz w:val="24"/>
          <w:szCs w:val="24"/>
        </w:rPr>
      </w:pPr>
      <w:r>
        <w:rPr>
          <w:rFonts w:hint="eastAsia" w:ascii="宋体" w:hAnsi="宋体" w:eastAsia="宋体" w:cs="宋体"/>
          <w:sz w:val="24"/>
          <w:szCs w:val="24"/>
        </w:rPr>
        <w:t>项目质量保证措施包含项目需求分析、总体设计、详细设计、系统开发、系统实施和试运行、项目验收、系统正式运行及维护等阶段，以及各阶段辅助文档的整理汇总等方案。在需求分析阶段，要确保需求的准确性和完整性；总体设计阶段注重系统架构的合理性和稳定性；详细设计阶段细化各模块的功能和接口；系统开发阶段遵循规范的开发流程和质量标准；系统实施和试运行阶段做好系统部署和测试；项目验收阶段严格按照验收标准进行评估；系统正式运行及维护阶段及时处理问题和优化系统，并确保各阶段辅助文档的规范整理和汇总。</w:t>
      </w:r>
    </w:p>
    <w:p w14:paraId="30EC2D88">
      <w:pPr>
        <w:keepNext w:val="0"/>
        <w:keepLines w:val="0"/>
        <w:pageBreakBefore w:val="0"/>
        <w:widowControl/>
        <w:kinsoku/>
        <w:wordWrap/>
        <w:overflowPunct/>
        <w:topLinePunct w:val="0"/>
        <w:autoSpaceDE/>
        <w:autoSpaceDN/>
        <w:bidi w:val="0"/>
        <w:adjustRightInd/>
        <w:snapToGrid/>
        <w:spacing w:line="360" w:lineRule="auto"/>
        <w:ind w:firstLine="562"/>
        <w:jc w:val="left"/>
        <w:textAlignment w:val="auto"/>
        <w:outlineLvl w:val="1"/>
        <w:rPr>
          <w:rFonts w:hint="eastAsia" w:ascii="宋体" w:hAnsi="宋体" w:eastAsia="宋体" w:cs="宋体"/>
          <w:sz w:val="24"/>
          <w:szCs w:val="24"/>
        </w:rPr>
      </w:pPr>
      <w:r>
        <w:rPr>
          <w:rFonts w:hint="eastAsia" w:ascii="宋体" w:hAnsi="宋体" w:eastAsia="宋体" w:cs="宋体"/>
          <w:sz w:val="24"/>
          <w:szCs w:val="24"/>
        </w:rPr>
        <w:t>4</w:t>
      </w:r>
      <w:r>
        <w:rPr>
          <w:rFonts w:hint="eastAsia" w:ascii="宋体" w:hAnsi="宋体" w:eastAsia="宋体" w:cs="宋体"/>
          <w:sz w:val="24"/>
          <w:szCs w:val="24"/>
          <w:lang w:eastAsia="zh-CN"/>
        </w:rPr>
        <w:t>、</w:t>
      </w:r>
      <w:r>
        <w:rPr>
          <w:rFonts w:hint="eastAsia" w:ascii="宋体" w:hAnsi="宋体" w:eastAsia="宋体" w:cs="宋体"/>
          <w:sz w:val="24"/>
          <w:szCs w:val="24"/>
        </w:rPr>
        <w:t>系统测试措施要求</w:t>
      </w:r>
    </w:p>
    <w:p w14:paraId="116623CF">
      <w:pPr>
        <w:keepNext w:val="0"/>
        <w:keepLines w:val="0"/>
        <w:pageBreakBefore w:val="0"/>
        <w:widowControl/>
        <w:kinsoku/>
        <w:wordWrap/>
        <w:overflowPunct/>
        <w:topLinePunct w:val="0"/>
        <w:autoSpaceDE/>
        <w:autoSpaceDN/>
        <w:bidi w:val="0"/>
        <w:adjustRightInd/>
        <w:snapToGrid/>
        <w:spacing w:line="360" w:lineRule="auto"/>
        <w:ind w:firstLine="562"/>
        <w:jc w:val="left"/>
        <w:textAlignment w:val="auto"/>
        <w:outlineLvl w:val="1"/>
        <w:rPr>
          <w:rFonts w:hint="eastAsia" w:ascii="宋体" w:hAnsi="宋体" w:eastAsia="宋体" w:cs="宋体"/>
          <w:sz w:val="24"/>
          <w:szCs w:val="24"/>
        </w:rPr>
      </w:pPr>
      <w:r>
        <w:rPr>
          <w:rFonts w:hint="eastAsia" w:ascii="宋体" w:hAnsi="宋体" w:eastAsia="宋体" w:cs="宋体"/>
          <w:sz w:val="24"/>
          <w:szCs w:val="24"/>
        </w:rPr>
        <w:t>系统测试涵盖测试工作准备、软件开发测试、设计测试用例和数据整理等方案。测试工作准备需明确测试目标、范围和环境搭建；软件开发测试要遵循严格的测试流程和标准；设计测试用例要保证覆盖全面、重点突出；数据整理要确保准确、完整和有效，为系统的稳定运行提供有力保障。</w:t>
      </w:r>
    </w:p>
    <w:p w14:paraId="4A8180BC">
      <w:pPr>
        <w:keepNext w:val="0"/>
        <w:keepLines w:val="0"/>
        <w:pageBreakBefore w:val="0"/>
        <w:widowControl/>
        <w:kinsoku/>
        <w:wordWrap/>
        <w:overflowPunct/>
        <w:topLinePunct w:val="0"/>
        <w:autoSpaceDE/>
        <w:autoSpaceDN/>
        <w:bidi w:val="0"/>
        <w:adjustRightInd/>
        <w:snapToGrid/>
        <w:spacing w:line="360" w:lineRule="auto"/>
        <w:ind w:firstLine="562"/>
        <w:jc w:val="left"/>
        <w:textAlignment w:val="auto"/>
        <w:outlineLvl w:val="1"/>
        <w:rPr>
          <w:rFonts w:hint="eastAsia" w:ascii="宋体" w:hAnsi="宋体" w:eastAsia="宋体" w:cs="宋体"/>
          <w:sz w:val="24"/>
          <w:szCs w:val="24"/>
        </w:rPr>
      </w:pPr>
      <w:r>
        <w:rPr>
          <w:rFonts w:hint="eastAsia" w:ascii="宋体" w:hAnsi="宋体" w:eastAsia="宋体" w:cs="宋体"/>
          <w:sz w:val="24"/>
          <w:szCs w:val="24"/>
        </w:rPr>
        <w:t>（二）投标文件要求</w:t>
      </w:r>
    </w:p>
    <w:p w14:paraId="7ADE6578">
      <w:pPr>
        <w:keepNext w:val="0"/>
        <w:keepLines w:val="0"/>
        <w:pageBreakBefore w:val="0"/>
        <w:widowControl/>
        <w:kinsoku/>
        <w:wordWrap/>
        <w:overflowPunct/>
        <w:topLinePunct w:val="0"/>
        <w:autoSpaceDE/>
        <w:autoSpaceDN/>
        <w:bidi w:val="0"/>
        <w:adjustRightInd/>
        <w:snapToGrid/>
        <w:spacing w:line="360" w:lineRule="auto"/>
        <w:ind w:firstLine="562"/>
        <w:jc w:val="left"/>
        <w:textAlignment w:val="auto"/>
        <w:outlineLvl w:val="1"/>
        <w:rPr>
          <w:rFonts w:hint="eastAsia" w:ascii="宋体" w:hAnsi="宋体" w:eastAsia="宋体" w:cs="宋体"/>
          <w:sz w:val="24"/>
          <w:szCs w:val="24"/>
          <w:highlight w:val="none"/>
        </w:rPr>
      </w:pPr>
      <w:r>
        <w:rPr>
          <w:rFonts w:hint="eastAsia" w:ascii="宋体" w:hAnsi="宋体" w:eastAsia="宋体" w:cs="宋体"/>
          <w:sz w:val="24"/>
          <w:szCs w:val="24"/>
        </w:rPr>
        <w:t>1</w:t>
      </w:r>
      <w:r>
        <w:rPr>
          <w:rFonts w:hint="eastAsia" w:ascii="宋体" w:hAnsi="宋体" w:eastAsia="宋体" w:cs="宋体"/>
          <w:sz w:val="24"/>
          <w:szCs w:val="24"/>
          <w:lang w:eastAsia="zh-CN"/>
        </w:rPr>
        <w:t>、</w:t>
      </w:r>
      <w:r>
        <w:rPr>
          <w:rFonts w:hint="eastAsia" w:ascii="宋体" w:hAnsi="宋体" w:eastAsia="宋体" w:cs="宋体"/>
          <w:sz w:val="24"/>
          <w:szCs w:val="24"/>
        </w:rPr>
        <w:t>投标文件</w:t>
      </w:r>
      <w:r>
        <w:rPr>
          <w:rFonts w:hint="eastAsia" w:ascii="宋体" w:hAnsi="宋体" w:eastAsia="宋体" w:cs="宋体"/>
          <w:sz w:val="24"/>
          <w:szCs w:val="24"/>
          <w:highlight w:val="none"/>
        </w:rPr>
        <w:t>中提供《项目实施方案》；</w:t>
      </w:r>
    </w:p>
    <w:p w14:paraId="0E12497C">
      <w:pPr>
        <w:keepNext w:val="0"/>
        <w:keepLines w:val="0"/>
        <w:pageBreakBefore w:val="0"/>
        <w:widowControl/>
        <w:kinsoku/>
        <w:wordWrap/>
        <w:overflowPunct/>
        <w:topLinePunct w:val="0"/>
        <w:autoSpaceDE/>
        <w:autoSpaceDN/>
        <w:bidi w:val="0"/>
        <w:adjustRightInd/>
        <w:snapToGrid/>
        <w:spacing w:line="360" w:lineRule="auto"/>
        <w:ind w:firstLine="562"/>
        <w:jc w:val="left"/>
        <w:textAlignment w:val="auto"/>
        <w:outlineLvl w:val="1"/>
        <w:rPr>
          <w:rFonts w:hint="eastAsia" w:ascii="宋体" w:hAnsi="宋体" w:eastAsia="宋体" w:cs="宋体"/>
          <w:b/>
          <w:bCs/>
          <w:sz w:val="24"/>
          <w:szCs w:val="24"/>
          <w:highlight w:val="none"/>
        </w:rPr>
      </w:pPr>
      <w:r>
        <w:rPr>
          <w:rFonts w:hint="eastAsia" w:ascii="宋体" w:hAnsi="宋体" w:eastAsia="宋体" w:cs="宋体"/>
          <w:sz w:val="24"/>
          <w:szCs w:val="24"/>
          <w:highlight w:val="none"/>
        </w:rPr>
        <w:t>2</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对照“(一)项目实施具体要求”，编制《项目实施方案》。</w:t>
      </w:r>
    </w:p>
    <w:p w14:paraId="69D9B526">
      <w:pPr>
        <w:keepNext w:val="0"/>
        <w:keepLines w:val="0"/>
        <w:pageBreakBefore w:val="0"/>
        <w:widowControl/>
        <w:kinsoku/>
        <w:wordWrap/>
        <w:overflowPunct/>
        <w:topLinePunct w:val="0"/>
        <w:autoSpaceDE/>
        <w:autoSpaceDN/>
        <w:bidi w:val="0"/>
        <w:adjustRightInd/>
        <w:snapToGrid/>
        <w:spacing w:line="360" w:lineRule="auto"/>
        <w:ind w:firstLine="562"/>
        <w:jc w:val="left"/>
        <w:textAlignment w:val="auto"/>
        <w:outlineLvl w:val="1"/>
        <w:rPr>
          <w:rFonts w:hint="eastAsia" w:ascii="宋体" w:hAnsi="宋体" w:eastAsia="宋体" w:cs="宋体"/>
          <w:sz w:val="24"/>
          <w:szCs w:val="24"/>
          <w:highlight w:val="none"/>
        </w:rPr>
      </w:pPr>
      <w:r>
        <w:rPr>
          <w:rFonts w:hint="eastAsia" w:ascii="宋体" w:hAnsi="宋体" w:eastAsia="宋体" w:cs="宋体"/>
          <w:b/>
          <w:bCs/>
          <w:sz w:val="24"/>
          <w:szCs w:val="24"/>
          <w:highlight w:val="none"/>
        </w:rPr>
        <w:t>四、人员配备要求</w:t>
      </w:r>
    </w:p>
    <w:p w14:paraId="6F56F5C1">
      <w:pPr>
        <w:keepNext w:val="0"/>
        <w:keepLines w:val="0"/>
        <w:pageBreakBefore w:val="0"/>
        <w:widowControl/>
        <w:kinsoku/>
        <w:wordWrap/>
        <w:overflowPunct/>
        <w:topLinePunct w:val="0"/>
        <w:autoSpaceDE/>
        <w:autoSpaceDN/>
        <w:bidi w:val="0"/>
        <w:adjustRightInd/>
        <w:snapToGrid/>
        <w:spacing w:line="360" w:lineRule="auto"/>
        <w:ind w:firstLine="562"/>
        <w:jc w:val="left"/>
        <w:textAlignment w:val="auto"/>
        <w:outlineLvl w:val="1"/>
        <w:rPr>
          <w:rFonts w:hint="eastAsia" w:ascii="宋体" w:hAnsi="宋体" w:eastAsia="宋体" w:cs="宋体"/>
          <w:sz w:val="24"/>
          <w:szCs w:val="24"/>
          <w:highlight w:val="none"/>
        </w:rPr>
      </w:pPr>
      <w:r>
        <w:rPr>
          <w:rFonts w:hint="eastAsia" w:ascii="宋体" w:hAnsi="宋体" w:eastAsia="宋体" w:cs="宋体"/>
          <w:sz w:val="24"/>
          <w:szCs w:val="24"/>
          <w:highlight w:val="none"/>
        </w:rPr>
        <w:t>（一）驻场人员配备要求</w:t>
      </w:r>
    </w:p>
    <w:p w14:paraId="07836DBF">
      <w:pPr>
        <w:keepNext w:val="0"/>
        <w:keepLines w:val="0"/>
        <w:pageBreakBefore w:val="0"/>
        <w:widowControl/>
        <w:kinsoku/>
        <w:wordWrap/>
        <w:overflowPunct/>
        <w:topLinePunct w:val="0"/>
        <w:autoSpaceDE/>
        <w:autoSpaceDN/>
        <w:bidi w:val="0"/>
        <w:adjustRightInd/>
        <w:snapToGrid/>
        <w:spacing w:line="360" w:lineRule="auto"/>
        <w:ind w:firstLine="562"/>
        <w:jc w:val="left"/>
        <w:textAlignment w:val="auto"/>
        <w:outlineLvl w:val="1"/>
        <w:rPr>
          <w:rFonts w:hint="eastAsia" w:ascii="宋体" w:hAnsi="宋体" w:eastAsia="宋体" w:cs="宋体"/>
          <w:sz w:val="24"/>
          <w:szCs w:val="24"/>
          <w:highlight w:val="none"/>
          <w:lang w:eastAsia="zh-CN"/>
        </w:rPr>
      </w:pPr>
      <w:r>
        <w:rPr>
          <w:rFonts w:hint="eastAsia" w:ascii="宋体" w:hAnsi="宋体" w:eastAsia="宋体" w:cs="宋体"/>
          <w:b w:val="0"/>
          <w:bCs w:val="0"/>
          <w:sz w:val="24"/>
          <w:szCs w:val="24"/>
          <w:highlight w:val="none"/>
        </w:rPr>
        <w:t>（投标文件中提供</w:t>
      </w:r>
      <w:r>
        <w:rPr>
          <w:rFonts w:hint="eastAsia" w:ascii="宋体" w:hAnsi="宋体" w:eastAsia="宋体" w:cs="宋体"/>
          <w:b w:val="0"/>
          <w:bCs w:val="0"/>
          <w:sz w:val="24"/>
          <w:szCs w:val="24"/>
          <w:highlight w:val="none"/>
          <w:lang w:eastAsia="zh-CN"/>
        </w:rPr>
        <w:t>劳动合同、</w:t>
      </w:r>
      <w:r>
        <w:rPr>
          <w:rFonts w:hint="eastAsia" w:ascii="宋体" w:hAnsi="宋体" w:eastAsia="宋体" w:cs="宋体"/>
          <w:b w:val="0"/>
          <w:bCs w:val="0"/>
          <w:sz w:val="24"/>
          <w:szCs w:val="24"/>
          <w:highlight w:val="none"/>
        </w:rPr>
        <w:t>及投标人为以上配备人员缴纳的</w:t>
      </w:r>
      <w:r>
        <w:rPr>
          <w:rFonts w:hint="eastAsia" w:ascii="宋体" w:hAnsi="宋体" w:eastAsia="宋体" w:cs="宋体"/>
          <w:b w:val="0"/>
          <w:bCs w:val="0"/>
          <w:sz w:val="24"/>
          <w:szCs w:val="24"/>
          <w:highlight w:val="none"/>
          <w:lang w:val="en-US" w:eastAsia="zh-CN"/>
        </w:rPr>
        <w:t>开标时间（不含开标当月）前6个月</w:t>
      </w:r>
      <w:r>
        <w:rPr>
          <w:rFonts w:hint="eastAsia" w:ascii="宋体" w:hAnsi="宋体" w:cs="宋体"/>
          <w:b w:val="0"/>
          <w:bCs w:val="0"/>
          <w:sz w:val="24"/>
          <w:szCs w:val="24"/>
          <w:highlight w:val="none"/>
          <w:lang w:val="en-US" w:eastAsia="zh-CN"/>
        </w:rPr>
        <w:t>内</w:t>
      </w:r>
      <w:r>
        <w:rPr>
          <w:rFonts w:hint="eastAsia" w:ascii="宋体" w:hAnsi="宋体" w:eastAsia="宋体" w:cs="宋体"/>
          <w:b w:val="0"/>
          <w:bCs w:val="0"/>
          <w:sz w:val="24"/>
          <w:szCs w:val="24"/>
          <w:highlight w:val="none"/>
          <w:lang w:val="en-US" w:eastAsia="zh-CN"/>
        </w:rPr>
        <w:t>任何1</w:t>
      </w:r>
      <w:bookmarkStart w:id="2" w:name="_GoBack"/>
      <w:bookmarkEnd w:id="2"/>
      <w:r>
        <w:rPr>
          <w:rFonts w:hint="eastAsia" w:ascii="宋体" w:hAnsi="宋体" w:eastAsia="宋体" w:cs="宋体"/>
          <w:b w:val="0"/>
          <w:bCs w:val="0"/>
          <w:sz w:val="24"/>
          <w:szCs w:val="24"/>
          <w:highlight w:val="none"/>
          <w:lang w:val="en-US" w:eastAsia="zh-CN"/>
        </w:rPr>
        <w:t>月</w:t>
      </w:r>
      <w:r>
        <w:rPr>
          <w:rFonts w:hint="eastAsia" w:ascii="宋体" w:hAnsi="宋体" w:eastAsia="宋体" w:cs="宋体"/>
          <w:b w:val="0"/>
          <w:bCs w:val="0"/>
          <w:sz w:val="24"/>
          <w:szCs w:val="24"/>
          <w:highlight w:val="none"/>
        </w:rPr>
        <w:t>社会保障资金的相关材料扫描件</w:t>
      </w:r>
      <w:r>
        <w:rPr>
          <w:rFonts w:hint="eastAsia" w:ascii="宋体" w:hAnsi="宋体" w:eastAsia="宋体" w:cs="宋体"/>
          <w:b w:val="0"/>
          <w:bCs w:val="0"/>
          <w:sz w:val="24"/>
          <w:szCs w:val="24"/>
          <w:highlight w:val="none"/>
          <w:lang w:eastAsia="zh-CN"/>
        </w:rPr>
        <w:t>。</w:t>
      </w:r>
      <w:r>
        <w:rPr>
          <w:rFonts w:hint="eastAsia" w:ascii="宋体" w:hAnsi="宋体" w:cs="宋体"/>
          <w:b w:val="0"/>
          <w:bCs w:val="0"/>
          <w:sz w:val="24"/>
          <w:szCs w:val="24"/>
          <w:highlight w:val="none"/>
          <w:lang w:eastAsia="zh-CN"/>
        </w:rPr>
        <w:t>）</w:t>
      </w:r>
    </w:p>
    <w:p w14:paraId="5B58A727">
      <w:pPr>
        <w:keepNext w:val="0"/>
        <w:keepLines w:val="0"/>
        <w:pageBreakBefore w:val="0"/>
        <w:widowControl/>
        <w:kinsoku/>
        <w:wordWrap/>
        <w:overflowPunct/>
        <w:topLinePunct w:val="0"/>
        <w:autoSpaceDE/>
        <w:autoSpaceDN/>
        <w:bidi w:val="0"/>
        <w:adjustRightInd/>
        <w:snapToGrid/>
        <w:spacing w:line="360" w:lineRule="auto"/>
        <w:ind w:firstLine="562"/>
        <w:jc w:val="left"/>
        <w:textAlignment w:val="auto"/>
        <w:outlineLvl w:val="1"/>
        <w:rPr>
          <w:rFonts w:hint="eastAsia" w:ascii="宋体" w:hAnsi="宋体" w:eastAsia="宋体" w:cs="宋体"/>
          <w:sz w:val="24"/>
          <w:szCs w:val="24"/>
        </w:rPr>
      </w:pPr>
      <w:r>
        <w:rPr>
          <w:rFonts w:hint="eastAsia" w:ascii="宋体" w:hAnsi="宋体" w:eastAsia="宋体" w:cs="宋体"/>
          <w:sz w:val="24"/>
          <w:szCs w:val="24"/>
          <w:highlight w:val="none"/>
        </w:rPr>
        <w:t>1</w:t>
      </w:r>
      <w:r>
        <w:rPr>
          <w:rFonts w:hint="eastAsia" w:ascii="宋体" w:hAnsi="宋体" w:eastAsia="宋体" w:cs="宋体"/>
          <w:sz w:val="24"/>
          <w:szCs w:val="24"/>
          <w:highlight w:val="none"/>
          <w:lang w:eastAsia="zh-CN"/>
        </w:rPr>
        <w:t>、程序开发人员 1 名，投标人承诺中标后为本项目配备稳定开发人员。人员需具备 Java 程序开发经验熟悉Java设计模式，精通Java及Web应用的开发；熟练使用Spring技术栈（Spring Cloud，Spring Boot，Spring Data, Spring Security）等主流框架和技术；掌握代码管理技术，熟悉SVN/GIT等代码管理系统，有优秀的代码管理经验；熟悉</w:t>
      </w:r>
      <w:r>
        <w:rPr>
          <w:rFonts w:hint="eastAsia" w:ascii="宋体" w:hAnsi="宋体" w:cs="宋体"/>
          <w:sz w:val="24"/>
          <w:szCs w:val="24"/>
          <w:highlight w:val="none"/>
          <w:lang w:eastAsia="zh-CN"/>
        </w:rPr>
        <w:t>达梦、高斯、</w:t>
      </w:r>
      <w:r>
        <w:rPr>
          <w:rFonts w:hint="eastAsia" w:ascii="宋体" w:hAnsi="宋体" w:eastAsia="宋体" w:cs="宋体"/>
          <w:sz w:val="24"/>
          <w:szCs w:val="24"/>
          <w:highlight w:val="none"/>
          <w:lang w:eastAsia="zh-CN"/>
        </w:rPr>
        <w:t>Oracle、SQLsever、Mysql等关系型数据库基本操作，并能熟练使用数据库语句，精</w:t>
      </w:r>
      <w:r>
        <w:rPr>
          <w:rFonts w:hint="eastAsia" w:ascii="宋体" w:hAnsi="宋体" w:eastAsia="宋体" w:cs="宋体"/>
          <w:sz w:val="24"/>
          <w:szCs w:val="24"/>
          <w:lang w:eastAsia="zh-CN"/>
        </w:rPr>
        <w:t>通数据库优先；熟悉Unix、Linux操作系统；熟练掌握</w:t>
      </w:r>
      <w:r>
        <w:rPr>
          <w:rFonts w:hint="eastAsia" w:ascii="宋体" w:hAnsi="宋体" w:cs="宋体"/>
          <w:sz w:val="24"/>
          <w:szCs w:val="24"/>
          <w:lang w:eastAsia="zh-CN"/>
        </w:rPr>
        <w:t>东方通、</w:t>
      </w:r>
      <w:r>
        <w:rPr>
          <w:rFonts w:hint="eastAsia" w:ascii="宋体" w:hAnsi="宋体" w:eastAsia="宋体" w:cs="宋体"/>
          <w:sz w:val="24"/>
          <w:szCs w:val="24"/>
          <w:lang w:eastAsia="zh-CN"/>
        </w:rPr>
        <w:t xml:space="preserve">Weblogic、Tomcat、MQ等中间件的部署及配置；对互联网技术感兴趣，具有快速学习不同技术和编程语言能力以及较强的逻辑分析和独立解决问题能力，具有Android 平台开发经验者。 </w:t>
      </w:r>
    </w:p>
    <w:p w14:paraId="62D279E8">
      <w:pPr>
        <w:keepNext w:val="0"/>
        <w:keepLines w:val="0"/>
        <w:pageBreakBefore w:val="0"/>
        <w:widowControl/>
        <w:kinsoku/>
        <w:wordWrap/>
        <w:overflowPunct/>
        <w:topLinePunct w:val="0"/>
        <w:autoSpaceDE/>
        <w:autoSpaceDN/>
        <w:bidi w:val="0"/>
        <w:adjustRightInd/>
        <w:snapToGrid/>
        <w:spacing w:line="360" w:lineRule="auto"/>
        <w:ind w:firstLine="562"/>
        <w:jc w:val="left"/>
        <w:textAlignment w:val="auto"/>
        <w:outlineLvl w:val="1"/>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eastAsia="zh-CN"/>
        </w:rPr>
        <w:t>、</w:t>
      </w:r>
      <w:r>
        <w:rPr>
          <w:rFonts w:hint="eastAsia" w:ascii="宋体" w:hAnsi="宋体" w:eastAsia="宋体" w:cs="宋体"/>
          <w:sz w:val="24"/>
          <w:szCs w:val="24"/>
        </w:rPr>
        <w:t>软件运维人员2名，熟练掌握财政业务知识和工作流程；熟悉</w:t>
      </w:r>
      <w:r>
        <w:rPr>
          <w:rFonts w:hint="eastAsia" w:ascii="宋体" w:hAnsi="宋体" w:cs="宋体"/>
          <w:sz w:val="24"/>
          <w:szCs w:val="24"/>
          <w:highlight w:val="none"/>
          <w:lang w:eastAsia="zh-CN"/>
        </w:rPr>
        <w:t>达梦、高斯、</w:t>
      </w:r>
      <w:r>
        <w:rPr>
          <w:rFonts w:hint="eastAsia" w:ascii="宋体" w:hAnsi="宋体" w:eastAsia="宋体" w:cs="宋体"/>
          <w:sz w:val="24"/>
          <w:szCs w:val="24"/>
          <w:highlight w:val="none"/>
          <w:lang w:eastAsia="zh-CN"/>
        </w:rPr>
        <w:t>Oracle、</w:t>
      </w:r>
      <w:r>
        <w:rPr>
          <w:rFonts w:hint="eastAsia" w:ascii="宋体" w:hAnsi="宋体" w:eastAsia="宋体" w:cs="宋体"/>
          <w:sz w:val="24"/>
          <w:szCs w:val="24"/>
        </w:rPr>
        <w:t>SQLsever、Mysql等关系型数据库基本操作，并能熟练使用数据库语句；熟练掌握</w:t>
      </w:r>
      <w:r>
        <w:rPr>
          <w:rFonts w:hint="eastAsia" w:ascii="宋体" w:hAnsi="宋体" w:cs="宋体"/>
          <w:sz w:val="24"/>
          <w:szCs w:val="24"/>
          <w:lang w:eastAsia="zh-CN"/>
        </w:rPr>
        <w:t>东方通、</w:t>
      </w:r>
      <w:r>
        <w:rPr>
          <w:rFonts w:hint="eastAsia" w:ascii="宋体" w:hAnsi="宋体" w:eastAsia="宋体" w:cs="宋体"/>
          <w:sz w:val="24"/>
          <w:szCs w:val="24"/>
        </w:rPr>
        <w:t>Weblogic、Tomcat、MQ等中间件的配置及管理；熟练掌握财政使用的用友政务软件。</w:t>
      </w:r>
    </w:p>
    <w:p w14:paraId="20BDDEAB">
      <w:pPr>
        <w:keepNext w:val="0"/>
        <w:keepLines w:val="0"/>
        <w:pageBreakBefore w:val="0"/>
        <w:widowControl/>
        <w:kinsoku/>
        <w:wordWrap/>
        <w:overflowPunct/>
        <w:topLinePunct w:val="0"/>
        <w:autoSpaceDE/>
        <w:autoSpaceDN/>
        <w:bidi w:val="0"/>
        <w:adjustRightInd/>
        <w:snapToGrid/>
        <w:spacing w:line="360" w:lineRule="auto"/>
        <w:ind w:firstLine="562"/>
        <w:jc w:val="left"/>
        <w:textAlignment w:val="auto"/>
        <w:outlineLvl w:val="1"/>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z w:val="24"/>
          <w:szCs w:val="24"/>
          <w:lang w:eastAsia="zh-CN"/>
        </w:rPr>
        <w:t>、</w:t>
      </w:r>
      <w:r>
        <w:rPr>
          <w:rFonts w:hint="eastAsia" w:ascii="宋体" w:hAnsi="宋体" w:eastAsia="宋体" w:cs="宋体"/>
          <w:sz w:val="24"/>
          <w:szCs w:val="24"/>
        </w:rPr>
        <w:t>硬件运维人员1名，具有中级（四级）及以上的计算机调试相关职业技能证书且能够熟练维修PC台式机、笔记本、打印机、扫描仪等办公终端设备、熟练掌握客户端网络设置与故障修复；熟练掌握</w:t>
      </w:r>
      <w:r>
        <w:rPr>
          <w:rFonts w:hint="eastAsia" w:ascii="宋体" w:hAnsi="宋体" w:cs="宋体"/>
          <w:sz w:val="24"/>
          <w:szCs w:val="24"/>
          <w:lang w:eastAsia="zh-CN"/>
        </w:rPr>
        <w:t>银河麒麟、统信、</w:t>
      </w:r>
      <w:r>
        <w:rPr>
          <w:rFonts w:hint="eastAsia" w:ascii="宋体" w:hAnsi="宋体" w:cs="宋体"/>
          <w:sz w:val="24"/>
          <w:szCs w:val="24"/>
          <w:lang w:val="en-US" w:eastAsia="zh-CN"/>
        </w:rPr>
        <w:t>Linux等</w:t>
      </w:r>
      <w:r>
        <w:rPr>
          <w:rFonts w:hint="eastAsia" w:ascii="宋体" w:hAnsi="宋体" w:eastAsia="宋体" w:cs="宋体"/>
          <w:sz w:val="24"/>
          <w:szCs w:val="24"/>
        </w:rPr>
        <w:t>操作系统、</w:t>
      </w:r>
      <w:r>
        <w:rPr>
          <w:rFonts w:hint="eastAsia" w:ascii="宋体" w:hAnsi="宋体" w:cs="宋体"/>
          <w:sz w:val="24"/>
          <w:szCs w:val="24"/>
          <w:lang w:val="en-US" w:eastAsia="zh-CN"/>
        </w:rPr>
        <w:t>WPS</w:t>
      </w:r>
      <w:r>
        <w:rPr>
          <w:rFonts w:hint="eastAsia" w:ascii="宋体" w:hAnsi="宋体" w:eastAsia="宋体" w:cs="宋体"/>
          <w:sz w:val="24"/>
          <w:szCs w:val="24"/>
        </w:rPr>
        <w:t>办公系统、趋势杀毒网络软件、常用PDF软件、工具等安装及故障排除；熟练掌握数据备份与恢复相关技术；具有操作视频会议室全套设备的基本技能；具有对UPS稳压电源、精密空调等机房外围硬件设备管理经验。</w:t>
      </w:r>
    </w:p>
    <w:p w14:paraId="3A1C8E52">
      <w:pPr>
        <w:keepNext w:val="0"/>
        <w:keepLines w:val="0"/>
        <w:pageBreakBefore w:val="0"/>
        <w:widowControl/>
        <w:kinsoku/>
        <w:wordWrap/>
        <w:overflowPunct/>
        <w:topLinePunct w:val="0"/>
        <w:autoSpaceDE/>
        <w:autoSpaceDN/>
        <w:bidi w:val="0"/>
        <w:adjustRightInd/>
        <w:snapToGrid/>
        <w:spacing w:line="360" w:lineRule="auto"/>
        <w:ind w:firstLine="562"/>
        <w:jc w:val="left"/>
        <w:textAlignment w:val="auto"/>
        <w:outlineLvl w:val="1"/>
        <w:rPr>
          <w:rFonts w:hint="eastAsia" w:ascii="宋体" w:hAnsi="宋体" w:eastAsia="宋体" w:cs="宋体"/>
          <w:sz w:val="24"/>
          <w:szCs w:val="24"/>
        </w:rPr>
      </w:pPr>
      <w:r>
        <w:rPr>
          <w:rFonts w:hint="eastAsia" w:ascii="宋体" w:hAnsi="宋体" w:eastAsia="宋体" w:cs="宋体"/>
          <w:sz w:val="24"/>
          <w:szCs w:val="24"/>
        </w:rPr>
        <w:t>4</w:t>
      </w:r>
      <w:r>
        <w:rPr>
          <w:rFonts w:hint="eastAsia" w:ascii="宋体" w:hAnsi="宋体" w:eastAsia="宋体" w:cs="宋体"/>
          <w:sz w:val="24"/>
          <w:szCs w:val="24"/>
          <w:lang w:eastAsia="zh-CN"/>
        </w:rPr>
        <w:t>、</w:t>
      </w:r>
      <w:r>
        <w:rPr>
          <w:rFonts w:hint="eastAsia" w:ascii="宋体" w:hAnsi="宋体" w:eastAsia="宋体" w:cs="宋体"/>
          <w:sz w:val="24"/>
          <w:szCs w:val="24"/>
        </w:rPr>
        <w:t>以上技术人员全部要求驻场不低于5*8小时服务，严格按照采购人要求的工作时间进行出勤。驻场人员应对安全应急响应：全面应急响应，5分钟响应，半小时内到达现场；一般网络安全问题2小时内解决，重大安全事件8小时内解决。应急响应内容包括：入侵调查、入侵取证、主机、网络异常响应、攻击溯源、业务恢复并出具报告。</w:t>
      </w:r>
    </w:p>
    <w:p w14:paraId="627722B1">
      <w:pPr>
        <w:keepNext w:val="0"/>
        <w:keepLines w:val="0"/>
        <w:pageBreakBefore w:val="0"/>
        <w:widowControl/>
        <w:kinsoku/>
        <w:wordWrap/>
        <w:overflowPunct/>
        <w:topLinePunct w:val="0"/>
        <w:autoSpaceDE/>
        <w:autoSpaceDN/>
        <w:bidi w:val="0"/>
        <w:adjustRightInd/>
        <w:snapToGrid/>
        <w:spacing w:line="360" w:lineRule="auto"/>
        <w:ind w:firstLine="562"/>
        <w:jc w:val="left"/>
        <w:textAlignment w:val="auto"/>
        <w:outlineLvl w:val="1"/>
        <w:rPr>
          <w:rFonts w:hint="eastAsia" w:ascii="宋体" w:hAnsi="宋体" w:eastAsia="宋体" w:cs="宋体"/>
          <w:sz w:val="24"/>
          <w:szCs w:val="24"/>
        </w:rPr>
      </w:pPr>
      <w:r>
        <w:rPr>
          <w:rFonts w:hint="eastAsia" w:ascii="宋体" w:hAnsi="宋体" w:eastAsia="宋体" w:cs="宋体"/>
          <w:sz w:val="24"/>
          <w:szCs w:val="24"/>
        </w:rPr>
        <w:t>5</w:t>
      </w:r>
      <w:r>
        <w:rPr>
          <w:rFonts w:hint="eastAsia" w:ascii="宋体" w:hAnsi="宋体" w:eastAsia="宋体" w:cs="宋体"/>
          <w:sz w:val="24"/>
          <w:szCs w:val="24"/>
          <w:lang w:eastAsia="zh-CN"/>
        </w:rPr>
        <w:t>、</w:t>
      </w:r>
      <w:r>
        <w:rPr>
          <w:rFonts w:hint="eastAsia" w:ascii="宋体" w:hAnsi="宋体" w:eastAsia="宋体" w:cs="宋体"/>
          <w:sz w:val="24"/>
          <w:szCs w:val="24"/>
        </w:rPr>
        <w:t>驻场人员应对项目内容中承担运维的系统（包括数据库和服务器）至少每月进行一次全面的安全风险检查，并提供检查报告。</w:t>
      </w:r>
    </w:p>
    <w:p w14:paraId="2F704796">
      <w:pPr>
        <w:keepNext w:val="0"/>
        <w:keepLines w:val="0"/>
        <w:pageBreakBefore w:val="0"/>
        <w:widowControl/>
        <w:kinsoku/>
        <w:wordWrap/>
        <w:overflowPunct/>
        <w:topLinePunct w:val="0"/>
        <w:autoSpaceDE/>
        <w:autoSpaceDN/>
        <w:bidi w:val="0"/>
        <w:adjustRightInd/>
        <w:snapToGrid/>
        <w:spacing w:line="360" w:lineRule="auto"/>
        <w:ind w:firstLine="562"/>
        <w:jc w:val="left"/>
        <w:textAlignment w:val="auto"/>
        <w:outlineLvl w:val="1"/>
        <w:rPr>
          <w:rFonts w:hint="eastAsia" w:ascii="宋体" w:hAnsi="宋体" w:eastAsia="宋体" w:cs="宋体"/>
          <w:sz w:val="24"/>
          <w:szCs w:val="24"/>
        </w:rPr>
      </w:pPr>
      <w:r>
        <w:rPr>
          <w:rFonts w:hint="eastAsia" w:ascii="宋体" w:hAnsi="宋体" w:eastAsia="宋体" w:cs="宋体"/>
          <w:sz w:val="24"/>
          <w:szCs w:val="24"/>
        </w:rPr>
        <w:t>6</w:t>
      </w:r>
      <w:r>
        <w:rPr>
          <w:rFonts w:hint="eastAsia" w:ascii="宋体" w:hAnsi="宋体" w:eastAsia="宋体" w:cs="宋体"/>
          <w:sz w:val="24"/>
          <w:szCs w:val="24"/>
          <w:lang w:eastAsia="zh-CN"/>
        </w:rPr>
        <w:t>、</w:t>
      </w:r>
      <w:r>
        <w:rPr>
          <w:rFonts w:hint="eastAsia" w:ascii="宋体" w:hAnsi="宋体" w:eastAsia="宋体" w:cs="宋体"/>
          <w:sz w:val="24"/>
          <w:szCs w:val="24"/>
        </w:rPr>
        <w:t>协助采购人处理安全通报的技术问题（包括且不限于上级财政部门、以及政府部门的通告）。</w:t>
      </w:r>
    </w:p>
    <w:p w14:paraId="3B3FDB32">
      <w:pPr>
        <w:keepNext w:val="0"/>
        <w:keepLines w:val="0"/>
        <w:pageBreakBefore w:val="0"/>
        <w:widowControl/>
        <w:kinsoku/>
        <w:wordWrap/>
        <w:overflowPunct/>
        <w:topLinePunct w:val="0"/>
        <w:autoSpaceDE/>
        <w:autoSpaceDN/>
        <w:bidi w:val="0"/>
        <w:adjustRightInd/>
        <w:snapToGrid/>
        <w:spacing w:line="360" w:lineRule="auto"/>
        <w:ind w:firstLine="562"/>
        <w:jc w:val="left"/>
        <w:textAlignment w:val="auto"/>
        <w:outlineLvl w:val="1"/>
        <w:rPr>
          <w:rFonts w:hint="eastAsia" w:ascii="宋体" w:hAnsi="宋体" w:eastAsia="宋体" w:cs="宋体"/>
          <w:sz w:val="24"/>
          <w:szCs w:val="24"/>
        </w:rPr>
      </w:pPr>
      <w:r>
        <w:rPr>
          <w:rFonts w:hint="eastAsia" w:ascii="宋体" w:hAnsi="宋体" w:eastAsia="宋体" w:cs="宋体"/>
          <w:sz w:val="24"/>
          <w:szCs w:val="24"/>
        </w:rPr>
        <w:t>7.驻场人员应对项目内容中承担运维的系统进行安全监测，结合日志审计工具、漏洞扫描软件、态势感知平台以及风险预警平台等安全工具进行网络安全问题自查以及问题处理。</w:t>
      </w:r>
    </w:p>
    <w:p w14:paraId="02A21765">
      <w:pPr>
        <w:keepNext w:val="0"/>
        <w:keepLines w:val="0"/>
        <w:pageBreakBefore w:val="0"/>
        <w:widowControl/>
        <w:kinsoku/>
        <w:wordWrap/>
        <w:overflowPunct/>
        <w:topLinePunct w:val="0"/>
        <w:autoSpaceDE/>
        <w:autoSpaceDN/>
        <w:bidi w:val="0"/>
        <w:adjustRightInd/>
        <w:snapToGrid/>
        <w:spacing w:line="360" w:lineRule="auto"/>
        <w:ind w:firstLine="562"/>
        <w:jc w:val="left"/>
        <w:textAlignment w:val="auto"/>
        <w:outlineLvl w:val="1"/>
        <w:rPr>
          <w:rFonts w:hint="eastAsia" w:ascii="宋体" w:hAnsi="宋体" w:eastAsia="宋体" w:cs="宋体"/>
          <w:sz w:val="24"/>
          <w:szCs w:val="24"/>
        </w:rPr>
      </w:pPr>
      <w:r>
        <w:rPr>
          <w:rFonts w:hint="eastAsia" w:ascii="宋体" w:hAnsi="宋体" w:eastAsia="宋体" w:cs="宋体"/>
          <w:sz w:val="24"/>
          <w:szCs w:val="24"/>
        </w:rPr>
        <w:t>（二）投标文件要求</w:t>
      </w:r>
    </w:p>
    <w:p w14:paraId="4A6C7163">
      <w:pPr>
        <w:keepNext w:val="0"/>
        <w:keepLines w:val="0"/>
        <w:pageBreakBefore w:val="0"/>
        <w:widowControl/>
        <w:kinsoku/>
        <w:wordWrap/>
        <w:overflowPunct/>
        <w:topLinePunct w:val="0"/>
        <w:autoSpaceDE/>
        <w:autoSpaceDN/>
        <w:bidi w:val="0"/>
        <w:adjustRightInd/>
        <w:snapToGrid/>
        <w:spacing w:line="360" w:lineRule="auto"/>
        <w:ind w:firstLine="562"/>
        <w:jc w:val="left"/>
        <w:textAlignment w:val="auto"/>
        <w:outlineLvl w:val="1"/>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eastAsia="zh-CN"/>
        </w:rPr>
        <w:t>、</w:t>
      </w:r>
      <w:r>
        <w:rPr>
          <w:rFonts w:hint="eastAsia" w:ascii="宋体" w:hAnsi="宋体" w:eastAsia="宋体" w:cs="宋体"/>
          <w:sz w:val="24"/>
          <w:szCs w:val="24"/>
        </w:rPr>
        <w:t>投标文件中提供《人员配备方案》；</w:t>
      </w:r>
    </w:p>
    <w:p w14:paraId="434BA33C">
      <w:pPr>
        <w:keepNext w:val="0"/>
        <w:keepLines w:val="0"/>
        <w:pageBreakBefore w:val="0"/>
        <w:widowControl/>
        <w:kinsoku/>
        <w:wordWrap/>
        <w:overflowPunct/>
        <w:topLinePunct w:val="0"/>
        <w:autoSpaceDE/>
        <w:autoSpaceDN/>
        <w:bidi w:val="0"/>
        <w:adjustRightInd/>
        <w:snapToGrid/>
        <w:spacing w:line="360" w:lineRule="auto"/>
        <w:ind w:firstLine="562"/>
        <w:jc w:val="left"/>
        <w:textAlignment w:val="auto"/>
        <w:outlineLvl w:val="1"/>
        <w:rPr>
          <w:rFonts w:hint="eastAsia" w:ascii="宋体" w:hAnsi="宋体" w:eastAsia="宋体" w:cs="宋体"/>
          <w:b/>
          <w:bCs/>
          <w:sz w:val="24"/>
          <w:szCs w:val="24"/>
        </w:rPr>
      </w:pPr>
      <w:r>
        <w:rPr>
          <w:rFonts w:hint="eastAsia" w:ascii="宋体" w:hAnsi="宋体" w:eastAsia="宋体" w:cs="宋体"/>
          <w:sz w:val="24"/>
          <w:szCs w:val="24"/>
        </w:rPr>
        <w:t>2</w:t>
      </w:r>
      <w:r>
        <w:rPr>
          <w:rFonts w:hint="eastAsia" w:ascii="宋体" w:hAnsi="宋体" w:eastAsia="宋体" w:cs="宋体"/>
          <w:sz w:val="24"/>
          <w:szCs w:val="24"/>
          <w:lang w:eastAsia="zh-CN"/>
        </w:rPr>
        <w:t>、</w:t>
      </w:r>
      <w:r>
        <w:rPr>
          <w:rFonts w:hint="eastAsia" w:ascii="宋体" w:hAnsi="宋体" w:eastAsia="宋体" w:cs="宋体"/>
          <w:sz w:val="24"/>
          <w:szCs w:val="24"/>
        </w:rPr>
        <w:t>对照“(一)驻场人员配备要求”，编制《人员配备方案》。</w:t>
      </w:r>
    </w:p>
    <w:p w14:paraId="3C336613">
      <w:pPr>
        <w:keepNext w:val="0"/>
        <w:keepLines w:val="0"/>
        <w:pageBreakBefore w:val="0"/>
        <w:widowControl/>
        <w:kinsoku/>
        <w:wordWrap/>
        <w:overflowPunct/>
        <w:topLinePunct w:val="0"/>
        <w:autoSpaceDE/>
        <w:autoSpaceDN/>
        <w:bidi w:val="0"/>
        <w:adjustRightInd/>
        <w:snapToGrid/>
        <w:spacing w:line="360" w:lineRule="auto"/>
        <w:ind w:firstLine="562"/>
        <w:jc w:val="left"/>
        <w:textAlignment w:val="auto"/>
        <w:outlineLvl w:val="1"/>
        <w:rPr>
          <w:rFonts w:hint="eastAsia" w:ascii="宋体" w:hAnsi="宋体" w:eastAsia="宋体" w:cs="宋体"/>
          <w:b/>
          <w:bCs/>
          <w:sz w:val="24"/>
          <w:szCs w:val="24"/>
        </w:rPr>
      </w:pPr>
      <w:r>
        <w:rPr>
          <w:rFonts w:hint="eastAsia" w:ascii="宋体" w:hAnsi="宋体" w:eastAsia="宋体" w:cs="宋体"/>
          <w:b/>
          <w:bCs/>
          <w:sz w:val="24"/>
          <w:szCs w:val="24"/>
        </w:rPr>
        <w:t>五、技术培训要求</w:t>
      </w:r>
    </w:p>
    <w:p w14:paraId="4126D028">
      <w:pPr>
        <w:keepNext w:val="0"/>
        <w:keepLines w:val="0"/>
        <w:pageBreakBefore w:val="0"/>
        <w:widowControl/>
        <w:kinsoku/>
        <w:wordWrap/>
        <w:overflowPunct/>
        <w:topLinePunct w:val="0"/>
        <w:autoSpaceDE/>
        <w:autoSpaceDN/>
        <w:bidi w:val="0"/>
        <w:adjustRightInd/>
        <w:snapToGrid/>
        <w:spacing w:line="360" w:lineRule="auto"/>
        <w:ind w:firstLine="562"/>
        <w:jc w:val="left"/>
        <w:textAlignment w:val="auto"/>
        <w:outlineLvl w:val="1"/>
        <w:rPr>
          <w:rFonts w:hint="eastAsia" w:ascii="宋体" w:hAnsi="宋体" w:eastAsia="宋体" w:cs="宋体"/>
          <w:sz w:val="24"/>
          <w:szCs w:val="24"/>
        </w:rPr>
      </w:pPr>
      <w:r>
        <w:rPr>
          <w:rFonts w:hint="eastAsia" w:ascii="宋体" w:hAnsi="宋体" w:eastAsia="宋体" w:cs="宋体"/>
          <w:sz w:val="24"/>
          <w:szCs w:val="24"/>
        </w:rPr>
        <w:t xml:space="preserve">（一）技术培训具体要求 </w:t>
      </w:r>
    </w:p>
    <w:p w14:paraId="1C16135D">
      <w:pPr>
        <w:keepNext w:val="0"/>
        <w:keepLines w:val="0"/>
        <w:pageBreakBefore w:val="0"/>
        <w:widowControl/>
        <w:kinsoku/>
        <w:wordWrap/>
        <w:overflowPunct/>
        <w:topLinePunct w:val="0"/>
        <w:autoSpaceDE/>
        <w:autoSpaceDN/>
        <w:bidi w:val="0"/>
        <w:adjustRightInd/>
        <w:snapToGrid/>
        <w:spacing w:line="360" w:lineRule="auto"/>
        <w:ind w:firstLine="562"/>
        <w:jc w:val="left"/>
        <w:textAlignment w:val="auto"/>
        <w:outlineLvl w:val="1"/>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eastAsia="zh-CN"/>
        </w:rPr>
        <w:t>、</w:t>
      </w:r>
      <w:r>
        <w:rPr>
          <w:rFonts w:hint="eastAsia" w:ascii="宋体" w:hAnsi="宋体" w:eastAsia="宋体" w:cs="宋体"/>
          <w:sz w:val="24"/>
          <w:szCs w:val="24"/>
        </w:rPr>
        <w:t>培训内容： 培训为综合型内容，需针对各财政业务系统，针对不同用户层次、不同用户角色进行全面系统的培训，涵盖普通用户层、系统管理员和应用级管理员层、技术人员等的培训方案。中标人的所有培训均为免费提供，采购人不再支付任何费用。</w:t>
      </w:r>
    </w:p>
    <w:p w14:paraId="729CB0D9">
      <w:pPr>
        <w:keepNext w:val="0"/>
        <w:keepLines w:val="0"/>
        <w:pageBreakBefore w:val="0"/>
        <w:widowControl/>
        <w:kinsoku/>
        <w:wordWrap/>
        <w:overflowPunct/>
        <w:topLinePunct w:val="0"/>
        <w:autoSpaceDE/>
        <w:autoSpaceDN/>
        <w:bidi w:val="0"/>
        <w:adjustRightInd/>
        <w:snapToGrid/>
        <w:spacing w:line="360" w:lineRule="auto"/>
        <w:ind w:firstLine="562"/>
        <w:jc w:val="left"/>
        <w:textAlignment w:val="auto"/>
        <w:outlineLvl w:val="1"/>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eastAsia="zh-CN"/>
        </w:rPr>
        <w:t>、</w:t>
      </w:r>
      <w:r>
        <w:rPr>
          <w:rFonts w:hint="eastAsia" w:ascii="宋体" w:hAnsi="宋体" w:eastAsia="宋体" w:cs="宋体"/>
          <w:sz w:val="24"/>
          <w:szCs w:val="24"/>
        </w:rPr>
        <w:t>培训计划：培训计划要求为系统管理员提供至少 1 - 3 人的培训，中标人应负责准备培训地点及相关资料等与培训相关的事宜。</w:t>
      </w:r>
    </w:p>
    <w:p w14:paraId="357C0096">
      <w:pPr>
        <w:keepNext w:val="0"/>
        <w:keepLines w:val="0"/>
        <w:pageBreakBefore w:val="0"/>
        <w:widowControl/>
        <w:kinsoku/>
        <w:wordWrap/>
        <w:overflowPunct/>
        <w:topLinePunct w:val="0"/>
        <w:autoSpaceDE/>
        <w:autoSpaceDN/>
        <w:bidi w:val="0"/>
        <w:adjustRightInd/>
        <w:snapToGrid/>
        <w:spacing w:line="360" w:lineRule="auto"/>
        <w:ind w:firstLine="562"/>
        <w:jc w:val="left"/>
        <w:textAlignment w:val="auto"/>
        <w:outlineLvl w:val="1"/>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z w:val="24"/>
          <w:szCs w:val="24"/>
          <w:lang w:eastAsia="zh-CN"/>
        </w:rPr>
        <w:t>、</w:t>
      </w:r>
      <w:r>
        <w:rPr>
          <w:rFonts w:hint="eastAsia" w:ascii="宋体" w:hAnsi="宋体" w:eastAsia="宋体" w:cs="宋体"/>
          <w:sz w:val="24"/>
          <w:szCs w:val="24"/>
        </w:rPr>
        <w:t>培训方式：培训方式要求中标人采用课堂现场讲解和授课相结合、理论和实践相结合的形式，通过培训提高用户对业务系统的操作和常规维护能力。</w:t>
      </w:r>
    </w:p>
    <w:p w14:paraId="11104479">
      <w:pPr>
        <w:keepNext w:val="0"/>
        <w:keepLines w:val="0"/>
        <w:pageBreakBefore w:val="0"/>
        <w:widowControl/>
        <w:kinsoku/>
        <w:wordWrap/>
        <w:overflowPunct/>
        <w:topLinePunct w:val="0"/>
        <w:autoSpaceDE/>
        <w:autoSpaceDN/>
        <w:bidi w:val="0"/>
        <w:adjustRightInd/>
        <w:snapToGrid/>
        <w:spacing w:line="360" w:lineRule="auto"/>
        <w:ind w:firstLine="562"/>
        <w:jc w:val="left"/>
        <w:textAlignment w:val="auto"/>
        <w:outlineLvl w:val="1"/>
        <w:rPr>
          <w:rFonts w:hint="eastAsia" w:ascii="宋体" w:hAnsi="宋体" w:eastAsia="宋体" w:cs="宋体"/>
          <w:sz w:val="24"/>
          <w:szCs w:val="24"/>
        </w:rPr>
      </w:pPr>
      <w:r>
        <w:rPr>
          <w:rFonts w:hint="eastAsia" w:ascii="宋体" w:hAnsi="宋体" w:eastAsia="宋体" w:cs="宋体"/>
          <w:sz w:val="24"/>
          <w:szCs w:val="24"/>
        </w:rPr>
        <w:t>4</w:t>
      </w:r>
      <w:r>
        <w:rPr>
          <w:rFonts w:hint="eastAsia" w:ascii="宋体" w:hAnsi="宋体" w:eastAsia="宋体" w:cs="宋体"/>
          <w:sz w:val="24"/>
          <w:szCs w:val="24"/>
          <w:lang w:eastAsia="zh-CN"/>
        </w:rPr>
        <w:t>、</w:t>
      </w:r>
      <w:r>
        <w:rPr>
          <w:rFonts w:hint="eastAsia" w:ascii="宋体" w:hAnsi="宋体" w:eastAsia="宋体" w:cs="宋体"/>
          <w:sz w:val="24"/>
          <w:szCs w:val="24"/>
        </w:rPr>
        <w:t>培训质量控制计划措施：培训质量控制针对操作环节，通过多渠道通知、多方式培训、多场次安排，确保培训工作高效开展。</w:t>
      </w:r>
    </w:p>
    <w:p w14:paraId="691B2256">
      <w:pPr>
        <w:keepNext w:val="0"/>
        <w:keepLines w:val="0"/>
        <w:pageBreakBefore w:val="0"/>
        <w:widowControl/>
        <w:kinsoku/>
        <w:wordWrap/>
        <w:overflowPunct/>
        <w:topLinePunct w:val="0"/>
        <w:autoSpaceDE/>
        <w:autoSpaceDN/>
        <w:bidi w:val="0"/>
        <w:adjustRightInd/>
        <w:snapToGrid/>
        <w:spacing w:line="360" w:lineRule="auto"/>
        <w:ind w:firstLine="562"/>
        <w:jc w:val="left"/>
        <w:textAlignment w:val="auto"/>
        <w:outlineLvl w:val="1"/>
        <w:rPr>
          <w:rFonts w:hint="eastAsia" w:ascii="宋体" w:hAnsi="宋体" w:eastAsia="宋体" w:cs="宋体"/>
          <w:sz w:val="24"/>
          <w:szCs w:val="24"/>
        </w:rPr>
      </w:pPr>
      <w:r>
        <w:rPr>
          <w:rFonts w:hint="eastAsia" w:ascii="宋体" w:hAnsi="宋体" w:eastAsia="宋体" w:cs="宋体"/>
          <w:sz w:val="24"/>
          <w:szCs w:val="24"/>
        </w:rPr>
        <w:t>（二）投标文件要求</w:t>
      </w:r>
    </w:p>
    <w:p w14:paraId="713EA945">
      <w:pPr>
        <w:keepNext w:val="0"/>
        <w:keepLines w:val="0"/>
        <w:pageBreakBefore w:val="0"/>
        <w:widowControl/>
        <w:kinsoku/>
        <w:wordWrap/>
        <w:overflowPunct/>
        <w:topLinePunct w:val="0"/>
        <w:autoSpaceDE/>
        <w:autoSpaceDN/>
        <w:bidi w:val="0"/>
        <w:adjustRightInd/>
        <w:snapToGrid/>
        <w:spacing w:line="360" w:lineRule="auto"/>
        <w:ind w:firstLine="562"/>
        <w:jc w:val="left"/>
        <w:textAlignment w:val="auto"/>
        <w:outlineLvl w:val="1"/>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eastAsia="zh-CN"/>
        </w:rPr>
        <w:t>、</w:t>
      </w:r>
      <w:r>
        <w:rPr>
          <w:rFonts w:hint="eastAsia" w:ascii="宋体" w:hAnsi="宋体" w:eastAsia="宋体" w:cs="宋体"/>
          <w:sz w:val="24"/>
          <w:szCs w:val="24"/>
        </w:rPr>
        <w:t>投标文件中提供《技术培训方案》；</w:t>
      </w:r>
    </w:p>
    <w:p w14:paraId="55B1CB6C">
      <w:pPr>
        <w:keepNext w:val="0"/>
        <w:keepLines w:val="0"/>
        <w:pageBreakBefore w:val="0"/>
        <w:widowControl/>
        <w:kinsoku/>
        <w:wordWrap/>
        <w:overflowPunct/>
        <w:topLinePunct w:val="0"/>
        <w:autoSpaceDE/>
        <w:autoSpaceDN/>
        <w:bidi w:val="0"/>
        <w:adjustRightInd/>
        <w:snapToGrid/>
        <w:spacing w:line="360" w:lineRule="auto"/>
        <w:ind w:firstLine="562"/>
        <w:jc w:val="left"/>
        <w:textAlignment w:val="auto"/>
        <w:outlineLvl w:val="1"/>
        <w:rPr>
          <w:rFonts w:hint="eastAsia" w:ascii="宋体" w:hAnsi="宋体" w:eastAsia="宋体" w:cs="宋体"/>
          <w:b/>
          <w:color w:val="000000"/>
          <w:sz w:val="24"/>
          <w:szCs w:val="24"/>
          <w:highlight w:val="none"/>
          <w:lang w:eastAsia="zh-CN"/>
        </w:rPr>
      </w:pPr>
      <w:r>
        <w:rPr>
          <w:rFonts w:hint="eastAsia" w:ascii="宋体" w:hAnsi="宋体" w:eastAsia="宋体" w:cs="宋体"/>
          <w:sz w:val="24"/>
          <w:szCs w:val="24"/>
        </w:rPr>
        <w:t>2</w:t>
      </w:r>
      <w:r>
        <w:rPr>
          <w:rFonts w:hint="eastAsia" w:ascii="宋体" w:hAnsi="宋体" w:eastAsia="宋体" w:cs="宋体"/>
          <w:sz w:val="24"/>
          <w:szCs w:val="24"/>
          <w:lang w:eastAsia="zh-CN"/>
        </w:rPr>
        <w:t>、</w:t>
      </w:r>
      <w:r>
        <w:rPr>
          <w:rFonts w:hint="eastAsia" w:ascii="宋体" w:hAnsi="宋体" w:eastAsia="宋体" w:cs="宋体"/>
          <w:sz w:val="24"/>
          <w:szCs w:val="24"/>
        </w:rPr>
        <w:t>对照“(一)技术培训具体要求”，编制《技术培训方案》。</w:t>
      </w:r>
    </w:p>
    <w:p w14:paraId="0083F3BE">
      <w:pPr>
        <w:keepNext w:val="0"/>
        <w:keepLines w:val="0"/>
        <w:pageBreakBefore w:val="0"/>
        <w:widowControl/>
        <w:kinsoku/>
        <w:wordWrap/>
        <w:overflowPunct/>
        <w:topLinePunct w:val="0"/>
        <w:autoSpaceDE/>
        <w:autoSpaceDN/>
        <w:bidi w:val="0"/>
        <w:adjustRightInd/>
        <w:snapToGrid/>
        <w:spacing w:line="360" w:lineRule="auto"/>
        <w:ind w:left="0" w:firstLine="562"/>
        <w:jc w:val="left"/>
        <w:textAlignment w:val="auto"/>
        <w:outlineLvl w:val="1"/>
        <w:rPr>
          <w:rFonts w:hint="eastAsia" w:ascii="宋体" w:hAnsi="宋体" w:eastAsia="宋体" w:cs="宋体"/>
          <w:b/>
          <w:bCs/>
          <w:sz w:val="24"/>
          <w:szCs w:val="24"/>
        </w:rPr>
      </w:pPr>
      <w:r>
        <w:rPr>
          <w:rFonts w:hint="eastAsia" w:ascii="宋体" w:hAnsi="宋体" w:eastAsia="宋体" w:cs="宋体"/>
          <w:b/>
          <w:bCs/>
          <w:sz w:val="24"/>
          <w:szCs w:val="24"/>
          <w:lang w:eastAsia="zh-CN"/>
        </w:rPr>
        <w:t>六、</w:t>
      </w:r>
      <w:r>
        <w:rPr>
          <w:rFonts w:hint="eastAsia" w:ascii="宋体" w:hAnsi="宋体" w:eastAsia="宋体" w:cs="宋体"/>
          <w:b/>
          <w:bCs/>
          <w:sz w:val="24"/>
          <w:szCs w:val="24"/>
        </w:rPr>
        <w:t>安全保障及保密要求</w:t>
      </w:r>
    </w:p>
    <w:p w14:paraId="3A83FCBE">
      <w:pPr>
        <w:keepNext w:val="0"/>
        <w:keepLines w:val="0"/>
        <w:pageBreakBefore w:val="0"/>
        <w:widowControl/>
        <w:kinsoku/>
        <w:wordWrap/>
        <w:overflowPunct/>
        <w:topLinePunct w:val="0"/>
        <w:autoSpaceDE/>
        <w:autoSpaceDN/>
        <w:bidi w:val="0"/>
        <w:adjustRightInd/>
        <w:snapToGrid/>
        <w:spacing w:line="360" w:lineRule="auto"/>
        <w:ind w:left="0" w:firstLine="562"/>
        <w:jc w:val="left"/>
        <w:textAlignment w:val="auto"/>
        <w:outlineLvl w:val="1"/>
        <w:rPr>
          <w:rFonts w:hint="eastAsia" w:ascii="宋体" w:hAnsi="宋体" w:eastAsia="宋体" w:cs="宋体"/>
          <w:sz w:val="24"/>
          <w:szCs w:val="24"/>
        </w:rPr>
      </w:pPr>
      <w:r>
        <w:rPr>
          <w:rFonts w:hint="eastAsia" w:ascii="宋体" w:hAnsi="宋体" w:eastAsia="宋体" w:cs="宋体"/>
          <w:sz w:val="24"/>
          <w:szCs w:val="24"/>
        </w:rPr>
        <w:t>安全运维管理要求。供应商必须规范日常的安全操作，符合财政部总体安全策略，通过实施必要的安全运行维护措施，配合采购人定期开展网络安全自查，自查内容至少包括系统日常运行情况、系统漏洞等。配合采购人定期进行安全审计，审计内容至少包括系统账号、权限、操作行为和安全技术措施有效性等，及时发现和处理信息系统运行过程中的安全隐患，减少或避免网络安全事件的发生。</w:t>
      </w:r>
    </w:p>
    <w:p w14:paraId="4FCCFCBC">
      <w:pPr>
        <w:keepNext w:val="0"/>
        <w:keepLines w:val="0"/>
        <w:pageBreakBefore w:val="0"/>
        <w:widowControl/>
        <w:kinsoku/>
        <w:wordWrap/>
        <w:overflowPunct/>
        <w:topLinePunct w:val="0"/>
        <w:autoSpaceDE/>
        <w:autoSpaceDN/>
        <w:bidi w:val="0"/>
        <w:adjustRightInd/>
        <w:snapToGrid/>
        <w:spacing w:line="360" w:lineRule="auto"/>
        <w:ind w:left="0" w:firstLine="562"/>
        <w:jc w:val="left"/>
        <w:textAlignment w:val="auto"/>
        <w:outlineLvl w:val="1"/>
        <w:rPr>
          <w:rFonts w:hint="eastAsia" w:ascii="宋体" w:hAnsi="宋体" w:eastAsia="宋体" w:cs="宋体"/>
          <w:sz w:val="24"/>
          <w:szCs w:val="24"/>
        </w:rPr>
      </w:pPr>
      <w:r>
        <w:rPr>
          <w:rFonts w:hint="eastAsia" w:ascii="宋体" w:hAnsi="宋体" w:eastAsia="宋体" w:cs="宋体"/>
          <w:sz w:val="24"/>
          <w:szCs w:val="24"/>
        </w:rPr>
        <w:t>技术安全防护要求。规范管理信息化设备的安全维护；根据工作所需设置最小访问权限；禁止将系统管理员权限授予其他人员；禁止绕过运维安全审计系统对基础软件进行远程维护；严格控制运维工具的使用，经过采购人审核后才可接入财政网络进行操作；规范财政网络和信息系统软硬件的配置管理，信息系统配置、升级或改造等方面的变更按照审批流程操作。因运维实施人员配置错误、操作错误，造成系统、设备、资金损失，追究相关公司责任。</w:t>
      </w:r>
    </w:p>
    <w:p w14:paraId="1B7F4E5B">
      <w:pPr>
        <w:keepNext w:val="0"/>
        <w:keepLines w:val="0"/>
        <w:pageBreakBefore w:val="0"/>
        <w:widowControl/>
        <w:kinsoku/>
        <w:wordWrap/>
        <w:overflowPunct/>
        <w:topLinePunct w:val="0"/>
        <w:autoSpaceDE/>
        <w:autoSpaceDN/>
        <w:bidi w:val="0"/>
        <w:adjustRightInd/>
        <w:snapToGrid/>
        <w:spacing w:line="360" w:lineRule="auto"/>
        <w:ind w:left="0" w:firstLine="562"/>
        <w:jc w:val="left"/>
        <w:textAlignment w:val="auto"/>
        <w:outlineLvl w:val="1"/>
        <w:rPr>
          <w:rFonts w:hint="eastAsia" w:ascii="宋体" w:hAnsi="宋体" w:eastAsia="宋体" w:cs="宋体"/>
          <w:sz w:val="24"/>
          <w:szCs w:val="24"/>
        </w:rPr>
      </w:pPr>
      <w:r>
        <w:rPr>
          <w:rFonts w:hint="eastAsia" w:ascii="宋体" w:hAnsi="宋体" w:eastAsia="宋体" w:cs="宋体"/>
          <w:sz w:val="24"/>
          <w:szCs w:val="24"/>
        </w:rPr>
        <w:t>信息保密要求。供应商承诺对采购人提供的内部资料、数据和信息予以保密。未经采购人书面许可，不许以任何形式向第三方透露。成交供应商应与驻场运维服务人员签订保密协议，督促运维服务人员严格遵守保密规定。</w:t>
      </w:r>
    </w:p>
    <w:p w14:paraId="38A24105">
      <w:pPr>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line="360" w:lineRule="auto"/>
        <w:ind w:left="0" w:right="0" w:firstLine="562"/>
        <w:jc w:val="left"/>
        <w:textAlignment w:val="auto"/>
        <w:outlineLvl w:val="1"/>
        <w:rPr>
          <w:rFonts w:hint="eastAsia" w:ascii="宋体" w:hAnsi="宋体" w:eastAsia="宋体" w:cs="宋体"/>
          <w:b/>
          <w:bCs/>
          <w:sz w:val="24"/>
          <w:szCs w:val="24"/>
        </w:rPr>
      </w:pPr>
      <w:bookmarkStart w:id="0" w:name="_Toc73374414"/>
      <w:r>
        <w:rPr>
          <w:rFonts w:hint="eastAsia" w:ascii="宋体" w:hAnsi="宋体" w:eastAsia="宋体" w:cs="宋体"/>
          <w:b/>
          <w:bCs/>
          <w:sz w:val="24"/>
          <w:szCs w:val="24"/>
          <w:lang w:val="en-US" w:eastAsia="zh-CN"/>
        </w:rPr>
        <w:t>七</w:t>
      </w: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工作</w:t>
      </w:r>
      <w:r>
        <w:rPr>
          <w:rFonts w:hint="eastAsia" w:ascii="宋体" w:hAnsi="宋体" w:eastAsia="宋体" w:cs="宋体"/>
          <w:b/>
          <w:bCs/>
          <w:sz w:val="24"/>
          <w:szCs w:val="24"/>
        </w:rPr>
        <w:t>考核</w:t>
      </w:r>
    </w:p>
    <w:p w14:paraId="539CB7FA">
      <w:pPr>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line="360" w:lineRule="auto"/>
        <w:ind w:left="0" w:right="0" w:firstLine="562"/>
        <w:jc w:val="left"/>
        <w:textAlignment w:val="auto"/>
        <w:outlineLvl w:val="1"/>
        <w:rPr>
          <w:rFonts w:hint="eastAsia" w:ascii="宋体" w:hAnsi="宋体" w:eastAsia="宋体" w:cs="宋体"/>
          <w:b w:val="0"/>
          <w:sz w:val="24"/>
          <w:szCs w:val="24"/>
          <w:lang w:eastAsia="zh-CN"/>
        </w:rPr>
      </w:pPr>
      <w:r>
        <w:rPr>
          <w:rFonts w:hint="eastAsia" w:ascii="宋体" w:hAnsi="宋体" w:eastAsia="宋体" w:cs="宋体"/>
          <w:sz w:val="24"/>
          <w:szCs w:val="24"/>
          <w:lang w:eastAsia="zh-CN"/>
        </w:rPr>
        <w:t>采购人组织对中标供应商运维服务工作进行考核。</w:t>
      </w:r>
    </w:p>
    <w:p w14:paraId="107B3EB8">
      <w:pPr>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line="360" w:lineRule="auto"/>
        <w:ind w:left="0" w:right="0" w:firstLine="562"/>
        <w:jc w:val="left"/>
        <w:textAlignment w:val="auto"/>
        <w:outlineLvl w:val="1"/>
        <w:rPr>
          <w:rFonts w:hint="eastAsia" w:ascii="宋体" w:hAnsi="宋体" w:eastAsia="宋体" w:cs="宋体"/>
          <w:sz w:val="24"/>
          <w:szCs w:val="24"/>
        </w:rPr>
      </w:pPr>
      <w:r>
        <w:rPr>
          <w:rFonts w:hint="eastAsia" w:ascii="宋体" w:hAnsi="宋体" w:eastAsia="宋体" w:cs="宋体"/>
          <w:b w:val="0"/>
          <w:sz w:val="24"/>
          <w:szCs w:val="24"/>
        </w:rPr>
        <w:t>考核内容：</w:t>
      </w:r>
    </w:p>
    <w:p w14:paraId="12455CF2">
      <w:pPr>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line="360" w:lineRule="auto"/>
        <w:ind w:left="0" w:right="0" w:firstLine="562"/>
        <w:jc w:val="left"/>
        <w:textAlignment w:val="auto"/>
        <w:outlineLvl w:val="1"/>
        <w:rPr>
          <w:rFonts w:hint="eastAsia" w:ascii="宋体" w:hAnsi="宋体" w:eastAsia="宋体" w:cs="宋体"/>
          <w:sz w:val="24"/>
          <w:szCs w:val="24"/>
        </w:rPr>
      </w:pPr>
      <w:r>
        <w:rPr>
          <w:rFonts w:hint="eastAsia" w:ascii="宋体" w:hAnsi="宋体" w:eastAsia="宋体" w:cs="宋体"/>
          <w:sz w:val="24"/>
          <w:szCs w:val="24"/>
        </w:rPr>
        <w:t>考核实行百分制，90分(含)以上为优秀，90 分以下 75 分(含)以上为良好，75分以下60分(含)以上为合格，低于60分的为不合格。</w:t>
      </w:r>
    </w:p>
    <w:p w14:paraId="1E16F72B">
      <w:pPr>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line="360" w:lineRule="auto"/>
        <w:ind w:left="0" w:right="0" w:firstLine="562"/>
        <w:jc w:val="left"/>
        <w:textAlignment w:val="auto"/>
        <w:outlineLvl w:val="1"/>
        <w:rPr>
          <w:rFonts w:hint="eastAsia" w:ascii="宋体" w:hAnsi="宋体" w:eastAsia="宋体" w:cs="宋体"/>
          <w:sz w:val="24"/>
          <w:szCs w:val="24"/>
        </w:rPr>
      </w:pPr>
      <w:r>
        <w:rPr>
          <w:rFonts w:hint="eastAsia" w:ascii="宋体" w:hAnsi="宋体" w:eastAsia="宋体" w:cs="宋体"/>
          <w:b w:val="0"/>
          <w:sz w:val="24"/>
          <w:szCs w:val="24"/>
        </w:rPr>
        <w:t>考核应用：</w:t>
      </w:r>
    </w:p>
    <w:p w14:paraId="1CA649E7">
      <w:pPr>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line="360" w:lineRule="auto"/>
        <w:ind w:left="0" w:right="0" w:firstLine="562"/>
        <w:jc w:val="left"/>
        <w:textAlignment w:val="auto"/>
        <w:outlineLvl w:val="1"/>
        <w:rPr>
          <w:rFonts w:hint="eastAsia" w:ascii="宋体" w:hAnsi="宋体" w:eastAsia="宋体" w:cs="宋体"/>
          <w:sz w:val="24"/>
          <w:szCs w:val="24"/>
        </w:rPr>
      </w:pPr>
      <w:r>
        <w:rPr>
          <w:rFonts w:hint="eastAsia" w:ascii="宋体" w:hAnsi="宋体" w:eastAsia="宋体" w:cs="宋体"/>
          <w:sz w:val="24"/>
          <w:szCs w:val="24"/>
        </w:rPr>
        <w:t>当期考核结果为良好(含良好)以上的，按合同约定全额支付服务费用；当期考核结果为合格的，按</w:t>
      </w:r>
      <w:r>
        <w:rPr>
          <w:rFonts w:hint="eastAsia" w:ascii="宋体" w:hAnsi="宋体" w:eastAsia="宋体" w:cs="宋体"/>
          <w:sz w:val="24"/>
          <w:szCs w:val="24"/>
          <w:lang w:eastAsia="zh-CN"/>
        </w:rPr>
        <w:t>（</w:t>
      </w:r>
      <w:r>
        <w:rPr>
          <w:rFonts w:hint="eastAsia" w:ascii="宋体" w:hAnsi="宋体" w:eastAsia="宋体" w:cs="宋体"/>
          <w:sz w:val="24"/>
          <w:szCs w:val="24"/>
        </w:rPr>
        <w:t>合同约定</w:t>
      </w:r>
      <w:r>
        <w:rPr>
          <w:rFonts w:hint="eastAsia" w:ascii="宋体" w:hAnsi="宋体" w:eastAsia="宋体" w:cs="宋体"/>
          <w:sz w:val="24"/>
          <w:szCs w:val="24"/>
          <w:lang w:eastAsia="zh-CN"/>
        </w:rPr>
        <w:t>全</w:t>
      </w:r>
      <w:r>
        <w:rPr>
          <w:rFonts w:hint="eastAsia" w:ascii="宋体" w:hAnsi="宋体" w:eastAsia="宋体" w:cs="宋体"/>
          <w:sz w:val="24"/>
          <w:szCs w:val="24"/>
        </w:rPr>
        <w:t>额</w:t>
      </w:r>
      <w:r>
        <w:rPr>
          <w:rFonts w:hint="eastAsia" w:ascii="宋体" w:hAnsi="宋体" w:eastAsia="宋体" w:cs="宋体"/>
          <w:sz w:val="24"/>
          <w:szCs w:val="24"/>
          <w:lang w:val="en-US" w:eastAsia="zh-CN"/>
        </w:rPr>
        <w:t>/合同总天数）×运维天数的</w:t>
      </w:r>
      <w:r>
        <w:rPr>
          <w:rFonts w:hint="eastAsia" w:ascii="宋体" w:hAnsi="宋体" w:eastAsia="宋体" w:cs="宋体"/>
          <w:sz w:val="24"/>
          <w:szCs w:val="24"/>
        </w:rPr>
        <w:t>80%支付；当期考核结果为不合格的，按</w:t>
      </w:r>
      <w:r>
        <w:rPr>
          <w:rFonts w:hint="eastAsia" w:ascii="宋体" w:hAnsi="宋体" w:eastAsia="宋体" w:cs="宋体"/>
          <w:sz w:val="24"/>
          <w:szCs w:val="24"/>
          <w:lang w:eastAsia="zh-CN"/>
        </w:rPr>
        <w:t>（</w:t>
      </w:r>
      <w:r>
        <w:rPr>
          <w:rFonts w:hint="eastAsia" w:ascii="宋体" w:hAnsi="宋体" w:eastAsia="宋体" w:cs="宋体"/>
          <w:sz w:val="24"/>
          <w:szCs w:val="24"/>
        </w:rPr>
        <w:t>合同约定</w:t>
      </w:r>
      <w:r>
        <w:rPr>
          <w:rFonts w:hint="eastAsia" w:ascii="宋体" w:hAnsi="宋体" w:eastAsia="宋体" w:cs="宋体"/>
          <w:sz w:val="24"/>
          <w:szCs w:val="24"/>
          <w:lang w:eastAsia="zh-CN"/>
        </w:rPr>
        <w:t>全</w:t>
      </w:r>
      <w:r>
        <w:rPr>
          <w:rFonts w:hint="eastAsia" w:ascii="宋体" w:hAnsi="宋体" w:eastAsia="宋体" w:cs="宋体"/>
          <w:sz w:val="24"/>
          <w:szCs w:val="24"/>
        </w:rPr>
        <w:t>额</w:t>
      </w:r>
      <w:r>
        <w:rPr>
          <w:rFonts w:hint="eastAsia" w:ascii="宋体" w:hAnsi="宋体" w:eastAsia="宋体" w:cs="宋体"/>
          <w:sz w:val="24"/>
          <w:szCs w:val="24"/>
          <w:lang w:val="en-US" w:eastAsia="zh-CN"/>
        </w:rPr>
        <w:t>/合同总天数）×运维天数的</w:t>
      </w:r>
      <w:r>
        <w:rPr>
          <w:rFonts w:hint="eastAsia" w:ascii="宋体" w:hAnsi="宋体" w:eastAsia="宋体" w:cs="宋体"/>
          <w:sz w:val="24"/>
          <w:szCs w:val="24"/>
        </w:rPr>
        <w:t>50%支付</w:t>
      </w:r>
      <w:r>
        <w:rPr>
          <w:rFonts w:hint="eastAsia" w:ascii="宋体" w:hAnsi="宋体" w:eastAsia="宋体" w:cs="宋体"/>
          <w:sz w:val="24"/>
          <w:szCs w:val="24"/>
          <w:lang w:eastAsia="zh-CN"/>
        </w:rPr>
        <w:t>，采购人可单方终止与中标供应商的合同关系</w:t>
      </w:r>
      <w:r>
        <w:rPr>
          <w:rFonts w:hint="eastAsia" w:ascii="宋体" w:hAnsi="宋体" w:eastAsia="宋体" w:cs="宋体"/>
          <w:sz w:val="24"/>
          <w:szCs w:val="24"/>
        </w:rPr>
        <w:t>。</w:t>
      </w:r>
      <w:r>
        <w:rPr>
          <w:rFonts w:hint="eastAsia" w:ascii="宋体" w:hAnsi="宋体" w:eastAsia="宋体" w:cs="宋体"/>
          <w:sz w:val="24"/>
          <w:szCs w:val="24"/>
          <w:lang w:eastAsia="zh-CN"/>
        </w:rPr>
        <w:t>中标供应商</w:t>
      </w:r>
      <w:r>
        <w:rPr>
          <w:rFonts w:hint="eastAsia" w:ascii="宋体" w:hAnsi="宋体" w:eastAsia="宋体" w:cs="宋体"/>
          <w:sz w:val="24"/>
          <w:szCs w:val="24"/>
        </w:rPr>
        <w:t>在服务期限内无故停止服务或连续两次考核结果均不合格的，停止与该</w:t>
      </w:r>
      <w:r>
        <w:rPr>
          <w:rFonts w:hint="eastAsia" w:ascii="宋体" w:hAnsi="宋体" w:eastAsia="宋体" w:cs="宋体"/>
          <w:sz w:val="24"/>
          <w:szCs w:val="24"/>
          <w:lang w:eastAsia="zh-CN"/>
        </w:rPr>
        <w:t>供应商</w:t>
      </w:r>
      <w:r>
        <w:rPr>
          <w:rFonts w:hint="eastAsia" w:ascii="宋体" w:hAnsi="宋体" w:eastAsia="宋体" w:cs="宋体"/>
          <w:sz w:val="24"/>
          <w:szCs w:val="24"/>
        </w:rPr>
        <w:t>续约。 </w:t>
      </w:r>
    </w:p>
    <w:p w14:paraId="16F65D10">
      <w:pPr>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after="0" w:line="360" w:lineRule="auto"/>
        <w:ind w:left="0" w:right="0" w:firstLine="562"/>
        <w:jc w:val="left"/>
        <w:textAlignment w:val="auto"/>
        <w:outlineLvl w:val="1"/>
        <w:rPr>
          <w:rFonts w:hint="eastAsia" w:ascii="宋体" w:hAnsi="宋体" w:eastAsia="宋体" w:cs="宋体"/>
          <w:sz w:val="24"/>
          <w:szCs w:val="24"/>
        </w:rPr>
      </w:pPr>
      <w:r>
        <w:rPr>
          <w:rFonts w:hint="eastAsia" w:ascii="宋体" w:hAnsi="宋体" w:eastAsia="宋体" w:cs="宋体"/>
          <w:b w:val="0"/>
          <w:sz w:val="24"/>
          <w:szCs w:val="24"/>
        </w:rPr>
        <w:t>主要考核指标：（具体考核项根据实际工作需要调整）</w:t>
      </w:r>
    </w:p>
    <w:tbl>
      <w:tblPr>
        <w:tblStyle w:val="15"/>
        <w:tblW w:w="8732" w:type="dxa"/>
        <w:tblInd w:w="-108"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CellMar>
          <w:top w:w="0" w:type="dxa"/>
          <w:left w:w="108" w:type="dxa"/>
          <w:bottom w:w="0" w:type="dxa"/>
          <w:right w:w="108" w:type="dxa"/>
        </w:tblCellMar>
      </w:tblPr>
      <w:tblGrid>
        <w:gridCol w:w="1369"/>
        <w:gridCol w:w="3113"/>
        <w:gridCol w:w="1687"/>
        <w:gridCol w:w="1175"/>
        <w:gridCol w:w="1388"/>
      </w:tblGrid>
      <w:tr w14:paraId="6A2293E7">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rPr>
          <w:trHeight w:val="478" w:hRule="atLeast"/>
        </w:trPr>
        <w:tc>
          <w:tcPr>
            <w:tcW w:w="1369" w:type="dxa"/>
            <w:noWrap w:val="0"/>
            <w:tcMar>
              <w:top w:w="0" w:type="dxa"/>
              <w:left w:w="108" w:type="dxa"/>
              <w:bottom w:w="0" w:type="dxa"/>
              <w:right w:w="108" w:type="dxa"/>
            </w:tcMar>
            <w:vAlign w:val="center"/>
          </w:tcPr>
          <w:p w14:paraId="7818FDE4">
            <w:pPr>
              <w:keepNext w:val="0"/>
              <w:keepLines w:val="0"/>
              <w:pageBreakBefore w:val="0"/>
              <w:widowControl/>
              <w:pBdr>
                <w:top w:val="none" w:color="auto" w:sz="0" w:space="0"/>
                <w:left w:val="none" w:color="auto" w:sz="0" w:space="0"/>
                <w:bottom w:val="none" w:color="auto" w:sz="0" w:space="0"/>
                <w:right w:val="none" w:color="auto" w:sz="0" w:space="0"/>
              </w:pBdr>
              <w:spacing w:before="0" w:after="0" w:line="440" w:lineRule="exact"/>
              <w:ind w:right="0"/>
              <w:jc w:val="center"/>
              <w:outlineLvl w:val="1"/>
              <w:rPr>
                <w:rFonts w:hint="eastAsia" w:ascii="宋体" w:hAnsi="宋体" w:eastAsia="宋体" w:cs="宋体"/>
                <w:sz w:val="24"/>
                <w:szCs w:val="24"/>
              </w:rPr>
            </w:pPr>
            <w:r>
              <w:rPr>
                <w:rFonts w:hint="eastAsia" w:ascii="宋体" w:hAnsi="宋体" w:eastAsia="宋体" w:cs="宋体"/>
                <w:sz w:val="24"/>
                <w:szCs w:val="24"/>
              </w:rPr>
              <w:t>序号</w:t>
            </w:r>
          </w:p>
        </w:tc>
        <w:tc>
          <w:tcPr>
            <w:tcW w:w="3113" w:type="dxa"/>
            <w:noWrap w:val="0"/>
            <w:tcMar>
              <w:top w:w="0" w:type="dxa"/>
              <w:left w:w="108" w:type="dxa"/>
              <w:bottom w:w="0" w:type="dxa"/>
              <w:right w:w="108" w:type="dxa"/>
            </w:tcMar>
            <w:vAlign w:val="center"/>
          </w:tcPr>
          <w:p w14:paraId="39C0D318">
            <w:pPr>
              <w:keepNext w:val="0"/>
              <w:keepLines w:val="0"/>
              <w:pageBreakBefore w:val="0"/>
              <w:widowControl/>
              <w:pBdr>
                <w:top w:val="none" w:color="auto" w:sz="0" w:space="0"/>
                <w:left w:val="none" w:color="auto" w:sz="0" w:space="0"/>
                <w:bottom w:val="none" w:color="auto" w:sz="0" w:space="0"/>
                <w:right w:val="none" w:color="auto" w:sz="0" w:space="0"/>
              </w:pBdr>
              <w:spacing w:before="0" w:after="0" w:line="440" w:lineRule="exact"/>
              <w:ind w:right="0"/>
              <w:jc w:val="center"/>
              <w:outlineLvl w:val="1"/>
              <w:rPr>
                <w:rFonts w:hint="eastAsia" w:ascii="宋体" w:hAnsi="宋体" w:eastAsia="宋体" w:cs="宋体"/>
                <w:sz w:val="24"/>
                <w:szCs w:val="24"/>
              </w:rPr>
            </w:pPr>
            <w:r>
              <w:rPr>
                <w:rFonts w:hint="eastAsia" w:ascii="宋体" w:hAnsi="宋体" w:eastAsia="宋体" w:cs="宋体"/>
                <w:sz w:val="24"/>
                <w:szCs w:val="24"/>
              </w:rPr>
              <w:t>考核项</w:t>
            </w:r>
          </w:p>
        </w:tc>
        <w:tc>
          <w:tcPr>
            <w:tcW w:w="1687" w:type="dxa"/>
            <w:noWrap w:val="0"/>
            <w:tcMar>
              <w:top w:w="0" w:type="dxa"/>
              <w:left w:w="108" w:type="dxa"/>
              <w:bottom w:w="0" w:type="dxa"/>
              <w:right w:w="108" w:type="dxa"/>
            </w:tcMar>
            <w:vAlign w:val="center"/>
          </w:tcPr>
          <w:p w14:paraId="49100E5D">
            <w:pPr>
              <w:keepNext w:val="0"/>
              <w:keepLines w:val="0"/>
              <w:pageBreakBefore w:val="0"/>
              <w:widowControl/>
              <w:pBdr>
                <w:top w:val="none" w:color="auto" w:sz="0" w:space="0"/>
                <w:left w:val="none" w:color="auto" w:sz="0" w:space="0"/>
                <w:bottom w:val="none" w:color="auto" w:sz="0" w:space="0"/>
                <w:right w:val="none" w:color="auto" w:sz="0" w:space="0"/>
              </w:pBdr>
              <w:spacing w:before="0" w:after="0" w:line="440" w:lineRule="exact"/>
              <w:ind w:right="0"/>
              <w:jc w:val="center"/>
              <w:outlineLvl w:val="1"/>
              <w:rPr>
                <w:rFonts w:hint="eastAsia" w:ascii="宋体" w:hAnsi="宋体" w:eastAsia="宋体" w:cs="宋体"/>
                <w:sz w:val="24"/>
                <w:szCs w:val="24"/>
              </w:rPr>
            </w:pPr>
            <w:r>
              <w:rPr>
                <w:rFonts w:hint="eastAsia" w:ascii="宋体" w:hAnsi="宋体" w:eastAsia="宋体" w:cs="宋体"/>
                <w:sz w:val="24"/>
                <w:szCs w:val="24"/>
              </w:rPr>
              <w:t>分值</w:t>
            </w:r>
          </w:p>
        </w:tc>
        <w:tc>
          <w:tcPr>
            <w:tcW w:w="1175" w:type="dxa"/>
            <w:noWrap w:val="0"/>
            <w:tcMar>
              <w:top w:w="0" w:type="dxa"/>
              <w:left w:w="108" w:type="dxa"/>
              <w:bottom w:w="0" w:type="dxa"/>
              <w:right w:w="108" w:type="dxa"/>
            </w:tcMar>
            <w:vAlign w:val="center"/>
          </w:tcPr>
          <w:p w14:paraId="4D892AFE">
            <w:pPr>
              <w:keepNext w:val="0"/>
              <w:keepLines w:val="0"/>
              <w:pageBreakBefore w:val="0"/>
              <w:widowControl/>
              <w:pBdr>
                <w:top w:val="none" w:color="auto" w:sz="0" w:space="0"/>
                <w:left w:val="none" w:color="auto" w:sz="0" w:space="0"/>
                <w:bottom w:val="none" w:color="auto" w:sz="0" w:space="0"/>
                <w:right w:val="none" w:color="auto" w:sz="0" w:space="0"/>
              </w:pBdr>
              <w:spacing w:before="0" w:after="0" w:line="440" w:lineRule="exact"/>
              <w:ind w:right="0"/>
              <w:jc w:val="center"/>
              <w:outlineLvl w:val="1"/>
              <w:rPr>
                <w:rFonts w:hint="eastAsia" w:ascii="宋体" w:hAnsi="宋体" w:eastAsia="宋体" w:cs="宋体"/>
                <w:sz w:val="24"/>
                <w:szCs w:val="24"/>
              </w:rPr>
            </w:pPr>
            <w:r>
              <w:rPr>
                <w:rFonts w:hint="eastAsia" w:ascii="宋体" w:hAnsi="宋体" w:eastAsia="宋体" w:cs="宋体"/>
                <w:sz w:val="24"/>
                <w:szCs w:val="24"/>
              </w:rPr>
              <w:t>得分</w:t>
            </w:r>
          </w:p>
        </w:tc>
        <w:tc>
          <w:tcPr>
            <w:tcW w:w="1388" w:type="dxa"/>
            <w:noWrap w:val="0"/>
            <w:tcMar>
              <w:top w:w="0" w:type="dxa"/>
              <w:left w:w="108" w:type="dxa"/>
              <w:bottom w:w="0" w:type="dxa"/>
              <w:right w:w="108" w:type="dxa"/>
            </w:tcMar>
            <w:vAlign w:val="center"/>
          </w:tcPr>
          <w:p w14:paraId="748D4C6E">
            <w:pPr>
              <w:keepNext w:val="0"/>
              <w:keepLines w:val="0"/>
              <w:pageBreakBefore w:val="0"/>
              <w:widowControl/>
              <w:pBdr>
                <w:top w:val="none" w:color="auto" w:sz="0" w:space="0"/>
                <w:left w:val="none" w:color="auto" w:sz="0" w:space="0"/>
                <w:bottom w:val="none" w:color="auto" w:sz="0" w:space="0"/>
                <w:right w:val="none" w:color="auto" w:sz="0" w:space="0"/>
              </w:pBdr>
              <w:spacing w:before="0" w:after="0" w:line="440" w:lineRule="exact"/>
              <w:ind w:right="0"/>
              <w:jc w:val="center"/>
              <w:outlineLvl w:val="1"/>
              <w:rPr>
                <w:rFonts w:hint="eastAsia" w:ascii="宋体" w:hAnsi="宋体" w:eastAsia="宋体" w:cs="宋体"/>
                <w:sz w:val="24"/>
                <w:szCs w:val="24"/>
              </w:rPr>
            </w:pPr>
            <w:r>
              <w:rPr>
                <w:rFonts w:hint="eastAsia" w:ascii="宋体" w:hAnsi="宋体" w:eastAsia="宋体" w:cs="宋体"/>
                <w:sz w:val="24"/>
                <w:szCs w:val="24"/>
              </w:rPr>
              <w:t>说明</w:t>
            </w:r>
          </w:p>
        </w:tc>
      </w:tr>
      <w:tr w14:paraId="086809B0">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rPr>
          <w:trHeight w:val="478" w:hRule="atLeast"/>
        </w:trPr>
        <w:tc>
          <w:tcPr>
            <w:tcW w:w="1369" w:type="dxa"/>
            <w:noWrap w:val="0"/>
            <w:tcMar>
              <w:top w:w="0" w:type="dxa"/>
              <w:left w:w="108" w:type="dxa"/>
              <w:bottom w:w="0" w:type="dxa"/>
              <w:right w:w="108" w:type="dxa"/>
            </w:tcMar>
            <w:vAlign w:val="center"/>
          </w:tcPr>
          <w:p w14:paraId="1D40F266">
            <w:pPr>
              <w:keepNext w:val="0"/>
              <w:keepLines w:val="0"/>
              <w:pageBreakBefore w:val="0"/>
              <w:widowControl/>
              <w:pBdr>
                <w:top w:val="none" w:color="auto" w:sz="0" w:space="0"/>
                <w:left w:val="none" w:color="auto" w:sz="0" w:space="0"/>
                <w:bottom w:val="none" w:color="auto" w:sz="0" w:space="0"/>
                <w:right w:val="none" w:color="auto" w:sz="0" w:space="0"/>
              </w:pBdr>
              <w:spacing w:before="0" w:after="0" w:line="440" w:lineRule="exact"/>
              <w:ind w:right="0"/>
              <w:jc w:val="center"/>
              <w:outlineLvl w:val="1"/>
              <w:rPr>
                <w:rFonts w:hint="eastAsia" w:ascii="宋体" w:hAnsi="宋体" w:eastAsia="宋体" w:cs="宋体"/>
                <w:sz w:val="24"/>
                <w:szCs w:val="24"/>
              </w:rPr>
            </w:pPr>
            <w:r>
              <w:rPr>
                <w:rFonts w:hint="eastAsia" w:ascii="宋体" w:hAnsi="宋体" w:eastAsia="宋体" w:cs="宋体"/>
                <w:sz w:val="24"/>
                <w:szCs w:val="24"/>
              </w:rPr>
              <w:t>1</w:t>
            </w:r>
          </w:p>
        </w:tc>
        <w:tc>
          <w:tcPr>
            <w:tcW w:w="3113" w:type="dxa"/>
            <w:noWrap w:val="0"/>
            <w:tcMar>
              <w:top w:w="0" w:type="dxa"/>
              <w:left w:w="108" w:type="dxa"/>
              <w:bottom w:w="0" w:type="dxa"/>
              <w:right w:w="108" w:type="dxa"/>
            </w:tcMar>
            <w:vAlign w:val="center"/>
          </w:tcPr>
          <w:p w14:paraId="4E789CAB">
            <w:pPr>
              <w:keepNext w:val="0"/>
              <w:keepLines w:val="0"/>
              <w:pageBreakBefore w:val="0"/>
              <w:widowControl/>
              <w:pBdr>
                <w:top w:val="none" w:color="auto" w:sz="0" w:space="0"/>
                <w:left w:val="none" w:color="auto" w:sz="0" w:space="0"/>
                <w:bottom w:val="none" w:color="auto" w:sz="0" w:space="0"/>
                <w:right w:val="none" w:color="auto" w:sz="0" w:space="0"/>
              </w:pBdr>
              <w:spacing w:before="0" w:after="0" w:line="440" w:lineRule="exact"/>
              <w:ind w:left="0" w:right="0" w:firstLine="562"/>
              <w:jc w:val="left"/>
              <w:outlineLvl w:val="1"/>
              <w:rPr>
                <w:rFonts w:hint="eastAsia" w:ascii="宋体" w:hAnsi="宋体" w:eastAsia="宋体" w:cs="宋体"/>
                <w:sz w:val="24"/>
                <w:szCs w:val="24"/>
              </w:rPr>
            </w:pPr>
            <w:r>
              <w:rPr>
                <w:rFonts w:hint="eastAsia" w:ascii="宋体" w:hAnsi="宋体" w:eastAsia="宋体" w:cs="宋体"/>
                <w:sz w:val="24"/>
                <w:szCs w:val="24"/>
              </w:rPr>
              <w:t>日常考勤</w:t>
            </w:r>
          </w:p>
        </w:tc>
        <w:tc>
          <w:tcPr>
            <w:tcW w:w="1687" w:type="dxa"/>
            <w:noWrap w:val="0"/>
            <w:tcMar>
              <w:top w:w="0" w:type="dxa"/>
              <w:left w:w="108" w:type="dxa"/>
              <w:bottom w:w="0" w:type="dxa"/>
              <w:right w:w="108" w:type="dxa"/>
            </w:tcMar>
            <w:vAlign w:val="center"/>
          </w:tcPr>
          <w:p w14:paraId="1AD4DEE8">
            <w:pPr>
              <w:keepNext w:val="0"/>
              <w:keepLines w:val="0"/>
              <w:pageBreakBefore w:val="0"/>
              <w:widowControl/>
              <w:pBdr>
                <w:top w:val="none" w:color="auto" w:sz="0" w:space="0"/>
                <w:left w:val="none" w:color="auto" w:sz="0" w:space="0"/>
                <w:bottom w:val="none" w:color="auto" w:sz="0" w:space="0"/>
                <w:right w:val="none" w:color="auto" w:sz="0" w:space="0"/>
              </w:pBdr>
              <w:spacing w:before="0" w:after="0" w:line="440" w:lineRule="exact"/>
              <w:ind w:right="0"/>
              <w:jc w:val="center"/>
              <w:outlineLvl w:val="1"/>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20</w:t>
            </w:r>
          </w:p>
        </w:tc>
        <w:tc>
          <w:tcPr>
            <w:tcW w:w="1175" w:type="dxa"/>
            <w:noWrap w:val="0"/>
            <w:tcMar>
              <w:top w:w="0" w:type="dxa"/>
              <w:left w:w="108" w:type="dxa"/>
              <w:bottom w:w="0" w:type="dxa"/>
              <w:right w:w="108" w:type="dxa"/>
            </w:tcMar>
            <w:vAlign w:val="center"/>
          </w:tcPr>
          <w:p w14:paraId="71FF0048">
            <w:pPr>
              <w:keepNext w:val="0"/>
              <w:keepLines w:val="0"/>
              <w:pageBreakBefore w:val="0"/>
              <w:widowControl/>
              <w:pBdr>
                <w:top w:val="none" w:color="auto" w:sz="0" w:space="0"/>
                <w:left w:val="none" w:color="auto" w:sz="0" w:space="0"/>
                <w:bottom w:val="none" w:color="auto" w:sz="0" w:space="0"/>
                <w:right w:val="none" w:color="auto" w:sz="0" w:space="0"/>
              </w:pBdr>
              <w:spacing w:before="0" w:after="0" w:line="440" w:lineRule="exact"/>
              <w:ind w:left="0" w:right="0" w:firstLine="562"/>
              <w:jc w:val="left"/>
              <w:outlineLvl w:val="1"/>
              <w:rPr>
                <w:rFonts w:hint="eastAsia" w:ascii="宋体" w:hAnsi="宋体" w:eastAsia="宋体" w:cs="宋体"/>
                <w:sz w:val="24"/>
                <w:szCs w:val="24"/>
              </w:rPr>
            </w:pPr>
            <w:r>
              <w:rPr>
                <w:rFonts w:hint="eastAsia" w:ascii="宋体" w:hAnsi="宋体" w:eastAsia="宋体" w:cs="宋体"/>
                <w:sz w:val="24"/>
                <w:szCs w:val="24"/>
              </w:rPr>
              <w:t> </w:t>
            </w:r>
          </w:p>
        </w:tc>
        <w:tc>
          <w:tcPr>
            <w:tcW w:w="1388" w:type="dxa"/>
            <w:noWrap/>
            <w:tcMar>
              <w:top w:w="0" w:type="dxa"/>
              <w:left w:w="108" w:type="dxa"/>
              <w:bottom w:w="0" w:type="dxa"/>
              <w:right w:w="108" w:type="dxa"/>
            </w:tcMar>
            <w:vAlign w:val="center"/>
          </w:tcPr>
          <w:p w14:paraId="3153668A">
            <w:pPr>
              <w:keepNext w:val="0"/>
              <w:keepLines w:val="0"/>
              <w:pageBreakBefore w:val="0"/>
              <w:widowControl/>
              <w:pBdr>
                <w:top w:val="none" w:color="auto" w:sz="0" w:space="0"/>
                <w:left w:val="none" w:color="auto" w:sz="0" w:space="0"/>
                <w:bottom w:val="none" w:color="auto" w:sz="0" w:space="0"/>
                <w:right w:val="none" w:color="auto" w:sz="0" w:space="0"/>
              </w:pBdr>
              <w:spacing w:before="0" w:after="0" w:line="440" w:lineRule="exact"/>
              <w:ind w:left="0" w:right="0" w:firstLine="562"/>
              <w:jc w:val="left"/>
              <w:outlineLvl w:val="1"/>
              <w:rPr>
                <w:rFonts w:hint="eastAsia" w:ascii="宋体" w:hAnsi="宋体" w:eastAsia="宋体" w:cs="宋体"/>
                <w:sz w:val="24"/>
                <w:szCs w:val="24"/>
              </w:rPr>
            </w:pPr>
            <w:r>
              <w:rPr>
                <w:rFonts w:hint="eastAsia" w:ascii="宋体" w:hAnsi="宋体" w:eastAsia="宋体" w:cs="宋体"/>
                <w:sz w:val="24"/>
                <w:szCs w:val="24"/>
              </w:rPr>
              <w:t> </w:t>
            </w:r>
          </w:p>
        </w:tc>
      </w:tr>
      <w:tr w14:paraId="02CC33AA">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rPr>
          <w:trHeight w:val="478" w:hRule="atLeast"/>
        </w:trPr>
        <w:tc>
          <w:tcPr>
            <w:tcW w:w="1369" w:type="dxa"/>
            <w:noWrap w:val="0"/>
            <w:tcMar>
              <w:top w:w="0" w:type="dxa"/>
              <w:left w:w="108" w:type="dxa"/>
              <w:bottom w:w="0" w:type="dxa"/>
              <w:right w:w="108" w:type="dxa"/>
            </w:tcMar>
            <w:vAlign w:val="center"/>
          </w:tcPr>
          <w:p w14:paraId="2EA77A23">
            <w:pPr>
              <w:keepNext w:val="0"/>
              <w:keepLines w:val="0"/>
              <w:pageBreakBefore w:val="0"/>
              <w:widowControl/>
              <w:pBdr>
                <w:top w:val="none" w:color="auto" w:sz="0" w:space="0"/>
                <w:left w:val="none" w:color="auto" w:sz="0" w:space="0"/>
                <w:bottom w:val="none" w:color="auto" w:sz="0" w:space="0"/>
                <w:right w:val="none" w:color="auto" w:sz="0" w:space="0"/>
              </w:pBdr>
              <w:spacing w:before="0" w:after="0" w:line="440" w:lineRule="exact"/>
              <w:ind w:right="0"/>
              <w:jc w:val="center"/>
              <w:outlineLvl w:val="1"/>
              <w:rPr>
                <w:rFonts w:hint="eastAsia" w:ascii="宋体" w:hAnsi="宋体" w:eastAsia="宋体" w:cs="宋体"/>
                <w:sz w:val="24"/>
                <w:szCs w:val="24"/>
              </w:rPr>
            </w:pPr>
            <w:r>
              <w:rPr>
                <w:rFonts w:hint="eastAsia" w:ascii="宋体" w:hAnsi="宋体" w:eastAsia="宋体" w:cs="宋体"/>
                <w:sz w:val="24"/>
                <w:szCs w:val="24"/>
              </w:rPr>
              <w:t>2</w:t>
            </w:r>
          </w:p>
        </w:tc>
        <w:tc>
          <w:tcPr>
            <w:tcW w:w="3113" w:type="dxa"/>
            <w:noWrap w:val="0"/>
            <w:tcMar>
              <w:top w:w="0" w:type="dxa"/>
              <w:left w:w="108" w:type="dxa"/>
              <w:bottom w:w="0" w:type="dxa"/>
              <w:right w:w="108" w:type="dxa"/>
            </w:tcMar>
            <w:vAlign w:val="center"/>
          </w:tcPr>
          <w:p w14:paraId="067B6FA8">
            <w:pPr>
              <w:keepNext w:val="0"/>
              <w:keepLines w:val="0"/>
              <w:pageBreakBefore w:val="0"/>
              <w:widowControl/>
              <w:pBdr>
                <w:top w:val="none" w:color="auto" w:sz="0" w:space="0"/>
                <w:left w:val="none" w:color="auto" w:sz="0" w:space="0"/>
                <w:bottom w:val="none" w:color="auto" w:sz="0" w:space="0"/>
                <w:right w:val="none" w:color="auto" w:sz="0" w:space="0"/>
              </w:pBdr>
              <w:spacing w:before="0" w:after="0" w:line="440" w:lineRule="exact"/>
              <w:ind w:left="0" w:right="0" w:firstLine="562"/>
              <w:jc w:val="left"/>
              <w:outlineLvl w:val="1"/>
              <w:rPr>
                <w:rFonts w:hint="eastAsia" w:ascii="宋体" w:hAnsi="宋体" w:eastAsia="宋体" w:cs="宋体"/>
                <w:sz w:val="24"/>
                <w:szCs w:val="24"/>
              </w:rPr>
            </w:pPr>
            <w:r>
              <w:rPr>
                <w:rFonts w:hint="eastAsia" w:ascii="宋体" w:hAnsi="宋体" w:eastAsia="宋体" w:cs="宋体"/>
                <w:sz w:val="24"/>
                <w:szCs w:val="24"/>
                <w:lang w:eastAsia="zh-CN"/>
              </w:rPr>
              <w:t>工作量</w:t>
            </w:r>
          </w:p>
        </w:tc>
        <w:tc>
          <w:tcPr>
            <w:tcW w:w="1687" w:type="dxa"/>
            <w:noWrap w:val="0"/>
            <w:tcMar>
              <w:top w:w="0" w:type="dxa"/>
              <w:left w:w="108" w:type="dxa"/>
              <w:bottom w:w="0" w:type="dxa"/>
              <w:right w:w="108" w:type="dxa"/>
            </w:tcMar>
            <w:vAlign w:val="center"/>
          </w:tcPr>
          <w:p w14:paraId="3661D940">
            <w:pPr>
              <w:keepNext w:val="0"/>
              <w:keepLines w:val="0"/>
              <w:pageBreakBefore w:val="0"/>
              <w:widowControl/>
              <w:pBdr>
                <w:top w:val="none" w:color="auto" w:sz="0" w:space="0"/>
                <w:left w:val="none" w:color="auto" w:sz="0" w:space="0"/>
                <w:bottom w:val="none" w:color="auto" w:sz="0" w:space="0"/>
                <w:right w:val="none" w:color="auto" w:sz="0" w:space="0"/>
              </w:pBdr>
              <w:spacing w:before="0" w:after="0" w:line="440" w:lineRule="exact"/>
              <w:ind w:right="0"/>
              <w:jc w:val="center"/>
              <w:outlineLvl w:val="1"/>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20</w:t>
            </w:r>
          </w:p>
        </w:tc>
        <w:tc>
          <w:tcPr>
            <w:tcW w:w="1175" w:type="dxa"/>
            <w:noWrap w:val="0"/>
            <w:tcMar>
              <w:top w:w="0" w:type="dxa"/>
              <w:left w:w="108" w:type="dxa"/>
              <w:bottom w:w="0" w:type="dxa"/>
              <w:right w:w="108" w:type="dxa"/>
            </w:tcMar>
            <w:vAlign w:val="center"/>
          </w:tcPr>
          <w:p w14:paraId="7D4FA79D">
            <w:pPr>
              <w:keepNext w:val="0"/>
              <w:keepLines w:val="0"/>
              <w:pageBreakBefore w:val="0"/>
              <w:widowControl/>
              <w:pBdr>
                <w:top w:val="none" w:color="auto" w:sz="0" w:space="0"/>
                <w:left w:val="none" w:color="auto" w:sz="0" w:space="0"/>
                <w:bottom w:val="none" w:color="auto" w:sz="0" w:space="0"/>
                <w:right w:val="none" w:color="auto" w:sz="0" w:space="0"/>
              </w:pBdr>
              <w:spacing w:before="0" w:after="0" w:line="440" w:lineRule="exact"/>
              <w:ind w:left="0" w:right="0" w:firstLine="562"/>
              <w:jc w:val="left"/>
              <w:outlineLvl w:val="1"/>
              <w:rPr>
                <w:rFonts w:hint="eastAsia" w:ascii="宋体" w:hAnsi="宋体" w:eastAsia="宋体" w:cs="宋体"/>
                <w:sz w:val="24"/>
                <w:szCs w:val="24"/>
              </w:rPr>
            </w:pPr>
            <w:r>
              <w:rPr>
                <w:rFonts w:hint="eastAsia" w:ascii="宋体" w:hAnsi="宋体" w:eastAsia="宋体" w:cs="宋体"/>
                <w:sz w:val="24"/>
                <w:szCs w:val="24"/>
              </w:rPr>
              <w:t> </w:t>
            </w:r>
          </w:p>
        </w:tc>
        <w:tc>
          <w:tcPr>
            <w:tcW w:w="1388" w:type="dxa"/>
            <w:noWrap/>
            <w:tcMar>
              <w:top w:w="0" w:type="dxa"/>
              <w:left w:w="108" w:type="dxa"/>
              <w:bottom w:w="0" w:type="dxa"/>
              <w:right w:w="108" w:type="dxa"/>
            </w:tcMar>
            <w:vAlign w:val="center"/>
          </w:tcPr>
          <w:p w14:paraId="36264257">
            <w:pPr>
              <w:keepNext w:val="0"/>
              <w:keepLines w:val="0"/>
              <w:pageBreakBefore w:val="0"/>
              <w:widowControl/>
              <w:pBdr>
                <w:top w:val="none" w:color="auto" w:sz="0" w:space="0"/>
                <w:left w:val="none" w:color="auto" w:sz="0" w:space="0"/>
                <w:bottom w:val="none" w:color="auto" w:sz="0" w:space="0"/>
                <w:right w:val="none" w:color="auto" w:sz="0" w:space="0"/>
              </w:pBdr>
              <w:spacing w:before="0" w:after="0" w:line="440" w:lineRule="exact"/>
              <w:ind w:left="0" w:right="0" w:firstLine="562"/>
              <w:jc w:val="left"/>
              <w:outlineLvl w:val="1"/>
              <w:rPr>
                <w:rFonts w:hint="eastAsia" w:ascii="宋体" w:hAnsi="宋体" w:eastAsia="宋体" w:cs="宋体"/>
                <w:sz w:val="24"/>
                <w:szCs w:val="24"/>
              </w:rPr>
            </w:pPr>
            <w:r>
              <w:rPr>
                <w:rFonts w:hint="eastAsia" w:ascii="宋体" w:hAnsi="宋体" w:eastAsia="宋体" w:cs="宋体"/>
                <w:sz w:val="24"/>
                <w:szCs w:val="24"/>
              </w:rPr>
              <w:t> </w:t>
            </w:r>
          </w:p>
        </w:tc>
      </w:tr>
      <w:tr w14:paraId="4B616DF2">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rPr>
          <w:trHeight w:val="478" w:hRule="atLeast"/>
        </w:trPr>
        <w:tc>
          <w:tcPr>
            <w:tcW w:w="1369" w:type="dxa"/>
            <w:noWrap w:val="0"/>
            <w:tcMar>
              <w:top w:w="0" w:type="dxa"/>
              <w:left w:w="108" w:type="dxa"/>
              <w:bottom w:w="0" w:type="dxa"/>
              <w:right w:w="108" w:type="dxa"/>
            </w:tcMar>
            <w:vAlign w:val="center"/>
          </w:tcPr>
          <w:p w14:paraId="41445449">
            <w:pPr>
              <w:keepNext w:val="0"/>
              <w:keepLines w:val="0"/>
              <w:pageBreakBefore w:val="0"/>
              <w:widowControl/>
              <w:pBdr>
                <w:top w:val="none" w:color="auto" w:sz="0" w:space="0"/>
                <w:left w:val="none" w:color="auto" w:sz="0" w:space="0"/>
                <w:bottom w:val="none" w:color="auto" w:sz="0" w:space="0"/>
                <w:right w:val="none" w:color="auto" w:sz="0" w:space="0"/>
              </w:pBdr>
              <w:spacing w:before="0" w:after="0" w:line="440" w:lineRule="exact"/>
              <w:ind w:right="0"/>
              <w:jc w:val="center"/>
              <w:outlineLvl w:val="1"/>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w:t>
            </w:r>
          </w:p>
        </w:tc>
        <w:tc>
          <w:tcPr>
            <w:tcW w:w="3113" w:type="dxa"/>
            <w:noWrap w:val="0"/>
            <w:tcMar>
              <w:top w:w="0" w:type="dxa"/>
              <w:left w:w="108" w:type="dxa"/>
              <w:bottom w:w="0" w:type="dxa"/>
              <w:right w:w="108" w:type="dxa"/>
            </w:tcMar>
            <w:vAlign w:val="center"/>
          </w:tcPr>
          <w:p w14:paraId="4F545375">
            <w:pPr>
              <w:keepNext w:val="0"/>
              <w:keepLines w:val="0"/>
              <w:pageBreakBefore w:val="0"/>
              <w:widowControl/>
              <w:pBdr>
                <w:top w:val="none" w:color="auto" w:sz="0" w:space="0"/>
                <w:left w:val="none" w:color="auto" w:sz="0" w:space="0"/>
                <w:bottom w:val="none" w:color="auto" w:sz="0" w:space="0"/>
                <w:right w:val="none" w:color="auto" w:sz="0" w:space="0"/>
              </w:pBdr>
              <w:spacing w:before="0" w:after="0" w:line="440" w:lineRule="exact"/>
              <w:ind w:left="0" w:right="0" w:firstLine="562"/>
              <w:jc w:val="left"/>
              <w:outlineLvl w:val="1"/>
              <w:rPr>
                <w:rFonts w:hint="eastAsia" w:ascii="宋体" w:hAnsi="宋体" w:eastAsia="宋体" w:cs="宋体"/>
                <w:sz w:val="24"/>
                <w:szCs w:val="24"/>
                <w:lang w:eastAsia="zh-CN"/>
              </w:rPr>
            </w:pPr>
            <w:r>
              <w:rPr>
                <w:rFonts w:hint="eastAsia" w:ascii="宋体" w:hAnsi="宋体" w:eastAsia="宋体" w:cs="宋体"/>
                <w:sz w:val="24"/>
                <w:szCs w:val="24"/>
                <w:lang w:eastAsia="zh-CN"/>
              </w:rPr>
              <w:t>服务响应效率</w:t>
            </w:r>
          </w:p>
        </w:tc>
        <w:tc>
          <w:tcPr>
            <w:tcW w:w="1687" w:type="dxa"/>
            <w:noWrap w:val="0"/>
            <w:tcMar>
              <w:top w:w="0" w:type="dxa"/>
              <w:left w:w="108" w:type="dxa"/>
              <w:bottom w:w="0" w:type="dxa"/>
              <w:right w:w="108" w:type="dxa"/>
            </w:tcMar>
            <w:vAlign w:val="center"/>
          </w:tcPr>
          <w:p w14:paraId="2ECAF014">
            <w:pPr>
              <w:keepNext w:val="0"/>
              <w:keepLines w:val="0"/>
              <w:pageBreakBefore w:val="0"/>
              <w:widowControl/>
              <w:pBdr>
                <w:top w:val="none" w:color="auto" w:sz="0" w:space="0"/>
                <w:left w:val="none" w:color="auto" w:sz="0" w:space="0"/>
                <w:bottom w:val="none" w:color="auto" w:sz="0" w:space="0"/>
                <w:right w:val="none" w:color="auto" w:sz="0" w:space="0"/>
              </w:pBdr>
              <w:spacing w:before="0" w:after="0" w:line="440" w:lineRule="exact"/>
              <w:ind w:right="0"/>
              <w:jc w:val="center"/>
              <w:outlineLvl w:val="1"/>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w:t>
            </w:r>
          </w:p>
        </w:tc>
        <w:tc>
          <w:tcPr>
            <w:tcW w:w="1175" w:type="dxa"/>
            <w:noWrap w:val="0"/>
            <w:tcMar>
              <w:top w:w="0" w:type="dxa"/>
              <w:left w:w="108" w:type="dxa"/>
              <w:bottom w:w="0" w:type="dxa"/>
              <w:right w:w="108" w:type="dxa"/>
            </w:tcMar>
            <w:vAlign w:val="center"/>
          </w:tcPr>
          <w:p w14:paraId="70CE779B">
            <w:pPr>
              <w:keepNext w:val="0"/>
              <w:keepLines w:val="0"/>
              <w:pageBreakBefore w:val="0"/>
              <w:widowControl/>
              <w:pBdr>
                <w:top w:val="none" w:color="auto" w:sz="0" w:space="0"/>
                <w:left w:val="none" w:color="auto" w:sz="0" w:space="0"/>
                <w:bottom w:val="none" w:color="auto" w:sz="0" w:space="0"/>
                <w:right w:val="none" w:color="auto" w:sz="0" w:space="0"/>
              </w:pBdr>
              <w:spacing w:before="0" w:after="0" w:line="440" w:lineRule="exact"/>
              <w:ind w:left="0" w:right="0" w:firstLine="562"/>
              <w:jc w:val="left"/>
              <w:outlineLvl w:val="1"/>
              <w:rPr>
                <w:rFonts w:hint="eastAsia" w:ascii="宋体" w:hAnsi="宋体" w:eastAsia="宋体" w:cs="宋体"/>
                <w:sz w:val="24"/>
                <w:szCs w:val="24"/>
              </w:rPr>
            </w:pPr>
          </w:p>
        </w:tc>
        <w:tc>
          <w:tcPr>
            <w:tcW w:w="1388" w:type="dxa"/>
            <w:noWrap/>
            <w:tcMar>
              <w:top w:w="0" w:type="dxa"/>
              <w:left w:w="108" w:type="dxa"/>
              <w:bottom w:w="0" w:type="dxa"/>
              <w:right w:w="108" w:type="dxa"/>
            </w:tcMar>
            <w:vAlign w:val="center"/>
          </w:tcPr>
          <w:p w14:paraId="151AE423">
            <w:pPr>
              <w:keepNext w:val="0"/>
              <w:keepLines w:val="0"/>
              <w:pageBreakBefore w:val="0"/>
              <w:widowControl/>
              <w:pBdr>
                <w:top w:val="none" w:color="auto" w:sz="0" w:space="0"/>
                <w:left w:val="none" w:color="auto" w:sz="0" w:space="0"/>
                <w:bottom w:val="none" w:color="auto" w:sz="0" w:space="0"/>
                <w:right w:val="none" w:color="auto" w:sz="0" w:space="0"/>
              </w:pBdr>
              <w:spacing w:before="0" w:after="0" w:line="440" w:lineRule="exact"/>
              <w:ind w:left="0" w:right="0" w:firstLine="562"/>
              <w:jc w:val="left"/>
              <w:outlineLvl w:val="1"/>
              <w:rPr>
                <w:rFonts w:hint="eastAsia" w:ascii="宋体" w:hAnsi="宋体" w:eastAsia="宋体" w:cs="宋体"/>
                <w:sz w:val="24"/>
                <w:szCs w:val="24"/>
              </w:rPr>
            </w:pPr>
          </w:p>
        </w:tc>
      </w:tr>
      <w:tr w14:paraId="128B16B4">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rPr>
          <w:trHeight w:val="478" w:hRule="atLeast"/>
        </w:trPr>
        <w:tc>
          <w:tcPr>
            <w:tcW w:w="1369" w:type="dxa"/>
            <w:noWrap w:val="0"/>
            <w:tcMar>
              <w:top w:w="0" w:type="dxa"/>
              <w:left w:w="108" w:type="dxa"/>
              <w:bottom w:w="0" w:type="dxa"/>
              <w:right w:w="108" w:type="dxa"/>
            </w:tcMar>
            <w:vAlign w:val="center"/>
          </w:tcPr>
          <w:p w14:paraId="06C67E92">
            <w:pPr>
              <w:keepNext w:val="0"/>
              <w:keepLines w:val="0"/>
              <w:pageBreakBefore w:val="0"/>
              <w:widowControl/>
              <w:pBdr>
                <w:top w:val="none" w:color="auto" w:sz="0" w:space="0"/>
                <w:left w:val="none" w:color="auto" w:sz="0" w:space="0"/>
                <w:bottom w:val="none" w:color="auto" w:sz="0" w:space="0"/>
                <w:right w:val="none" w:color="auto" w:sz="0" w:space="0"/>
              </w:pBdr>
              <w:spacing w:before="0" w:after="0" w:line="440" w:lineRule="exact"/>
              <w:ind w:right="0"/>
              <w:jc w:val="center"/>
              <w:outlineLvl w:val="1"/>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w:t>
            </w:r>
          </w:p>
        </w:tc>
        <w:tc>
          <w:tcPr>
            <w:tcW w:w="3113" w:type="dxa"/>
            <w:noWrap w:val="0"/>
            <w:tcMar>
              <w:top w:w="0" w:type="dxa"/>
              <w:left w:w="108" w:type="dxa"/>
              <w:bottom w:w="0" w:type="dxa"/>
              <w:right w:w="108" w:type="dxa"/>
            </w:tcMar>
            <w:vAlign w:val="center"/>
          </w:tcPr>
          <w:p w14:paraId="54BD886C">
            <w:pPr>
              <w:keepNext w:val="0"/>
              <w:keepLines w:val="0"/>
              <w:pageBreakBefore w:val="0"/>
              <w:widowControl/>
              <w:pBdr>
                <w:top w:val="none" w:color="auto" w:sz="0" w:space="0"/>
                <w:left w:val="none" w:color="auto" w:sz="0" w:space="0"/>
                <w:bottom w:val="none" w:color="auto" w:sz="0" w:space="0"/>
                <w:right w:val="none" w:color="auto" w:sz="0" w:space="0"/>
              </w:pBdr>
              <w:spacing w:before="0" w:after="0" w:line="440" w:lineRule="exact"/>
              <w:ind w:left="0" w:right="0" w:firstLine="562"/>
              <w:jc w:val="left"/>
              <w:outlineLvl w:val="1"/>
              <w:rPr>
                <w:rFonts w:hint="eastAsia" w:ascii="宋体" w:hAnsi="宋体" w:eastAsia="宋体" w:cs="宋体"/>
                <w:sz w:val="24"/>
                <w:szCs w:val="24"/>
                <w:lang w:eastAsia="zh-CN"/>
              </w:rPr>
            </w:pPr>
            <w:r>
              <w:rPr>
                <w:rFonts w:hint="eastAsia" w:ascii="宋体" w:hAnsi="宋体" w:eastAsia="宋体" w:cs="宋体"/>
                <w:sz w:val="24"/>
                <w:szCs w:val="24"/>
                <w:lang w:eastAsia="zh-CN"/>
              </w:rPr>
              <w:t>解决问题能力</w:t>
            </w:r>
          </w:p>
        </w:tc>
        <w:tc>
          <w:tcPr>
            <w:tcW w:w="1687" w:type="dxa"/>
            <w:noWrap w:val="0"/>
            <w:tcMar>
              <w:top w:w="0" w:type="dxa"/>
              <w:left w:w="108" w:type="dxa"/>
              <w:bottom w:w="0" w:type="dxa"/>
              <w:right w:w="108" w:type="dxa"/>
            </w:tcMar>
            <w:vAlign w:val="center"/>
          </w:tcPr>
          <w:p w14:paraId="51C76035">
            <w:pPr>
              <w:keepNext w:val="0"/>
              <w:keepLines w:val="0"/>
              <w:pageBreakBefore w:val="0"/>
              <w:widowControl/>
              <w:pBdr>
                <w:top w:val="none" w:color="auto" w:sz="0" w:space="0"/>
                <w:left w:val="none" w:color="auto" w:sz="0" w:space="0"/>
                <w:bottom w:val="none" w:color="auto" w:sz="0" w:space="0"/>
                <w:right w:val="none" w:color="auto" w:sz="0" w:space="0"/>
              </w:pBdr>
              <w:spacing w:before="0" w:after="0" w:line="440" w:lineRule="exact"/>
              <w:ind w:right="0"/>
              <w:jc w:val="center"/>
              <w:outlineLvl w:val="1"/>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w:t>
            </w:r>
          </w:p>
        </w:tc>
        <w:tc>
          <w:tcPr>
            <w:tcW w:w="1175" w:type="dxa"/>
            <w:noWrap w:val="0"/>
            <w:tcMar>
              <w:top w:w="0" w:type="dxa"/>
              <w:left w:w="108" w:type="dxa"/>
              <w:bottom w:w="0" w:type="dxa"/>
              <w:right w:w="108" w:type="dxa"/>
            </w:tcMar>
            <w:vAlign w:val="center"/>
          </w:tcPr>
          <w:p w14:paraId="207DBE1C">
            <w:pPr>
              <w:keepNext w:val="0"/>
              <w:keepLines w:val="0"/>
              <w:pageBreakBefore w:val="0"/>
              <w:widowControl/>
              <w:pBdr>
                <w:top w:val="none" w:color="auto" w:sz="0" w:space="0"/>
                <w:left w:val="none" w:color="auto" w:sz="0" w:space="0"/>
                <w:bottom w:val="none" w:color="auto" w:sz="0" w:space="0"/>
                <w:right w:val="none" w:color="auto" w:sz="0" w:space="0"/>
              </w:pBdr>
              <w:spacing w:before="0" w:after="0" w:line="440" w:lineRule="exact"/>
              <w:ind w:left="0" w:right="0" w:firstLine="562"/>
              <w:jc w:val="left"/>
              <w:outlineLvl w:val="1"/>
              <w:rPr>
                <w:rFonts w:hint="eastAsia" w:ascii="宋体" w:hAnsi="宋体" w:eastAsia="宋体" w:cs="宋体"/>
                <w:sz w:val="24"/>
                <w:szCs w:val="24"/>
              </w:rPr>
            </w:pPr>
          </w:p>
        </w:tc>
        <w:tc>
          <w:tcPr>
            <w:tcW w:w="1388" w:type="dxa"/>
            <w:noWrap/>
            <w:tcMar>
              <w:top w:w="0" w:type="dxa"/>
              <w:left w:w="108" w:type="dxa"/>
              <w:bottom w:w="0" w:type="dxa"/>
              <w:right w:w="108" w:type="dxa"/>
            </w:tcMar>
            <w:vAlign w:val="center"/>
          </w:tcPr>
          <w:p w14:paraId="452A231D">
            <w:pPr>
              <w:keepNext w:val="0"/>
              <w:keepLines w:val="0"/>
              <w:pageBreakBefore w:val="0"/>
              <w:widowControl/>
              <w:pBdr>
                <w:top w:val="none" w:color="auto" w:sz="0" w:space="0"/>
                <w:left w:val="none" w:color="auto" w:sz="0" w:space="0"/>
                <w:bottom w:val="none" w:color="auto" w:sz="0" w:space="0"/>
                <w:right w:val="none" w:color="auto" w:sz="0" w:space="0"/>
              </w:pBdr>
              <w:spacing w:before="0" w:after="0" w:line="440" w:lineRule="exact"/>
              <w:ind w:left="0" w:right="0" w:firstLine="562"/>
              <w:jc w:val="left"/>
              <w:outlineLvl w:val="1"/>
              <w:rPr>
                <w:rFonts w:hint="eastAsia" w:ascii="宋体" w:hAnsi="宋体" w:eastAsia="宋体" w:cs="宋体"/>
                <w:sz w:val="24"/>
                <w:szCs w:val="24"/>
              </w:rPr>
            </w:pPr>
          </w:p>
        </w:tc>
      </w:tr>
      <w:tr w14:paraId="110D756D">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rPr>
          <w:trHeight w:val="478" w:hRule="atLeast"/>
        </w:trPr>
        <w:tc>
          <w:tcPr>
            <w:tcW w:w="1369" w:type="dxa"/>
            <w:noWrap w:val="0"/>
            <w:tcMar>
              <w:top w:w="0" w:type="dxa"/>
              <w:left w:w="108" w:type="dxa"/>
              <w:bottom w:w="0" w:type="dxa"/>
              <w:right w:w="108" w:type="dxa"/>
            </w:tcMar>
            <w:vAlign w:val="center"/>
          </w:tcPr>
          <w:p w14:paraId="6D014732">
            <w:pPr>
              <w:keepNext w:val="0"/>
              <w:keepLines w:val="0"/>
              <w:pageBreakBefore w:val="0"/>
              <w:widowControl/>
              <w:pBdr>
                <w:top w:val="none" w:color="auto" w:sz="0" w:space="0"/>
                <w:left w:val="none" w:color="auto" w:sz="0" w:space="0"/>
                <w:bottom w:val="none" w:color="auto" w:sz="0" w:space="0"/>
                <w:right w:val="none" w:color="auto" w:sz="0" w:space="0"/>
              </w:pBdr>
              <w:spacing w:before="0" w:after="0" w:line="440" w:lineRule="exact"/>
              <w:ind w:right="0"/>
              <w:jc w:val="center"/>
              <w:outlineLvl w:val="1"/>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w:t>
            </w:r>
          </w:p>
        </w:tc>
        <w:tc>
          <w:tcPr>
            <w:tcW w:w="3113" w:type="dxa"/>
            <w:noWrap w:val="0"/>
            <w:tcMar>
              <w:top w:w="0" w:type="dxa"/>
              <w:left w:w="108" w:type="dxa"/>
              <w:bottom w:w="0" w:type="dxa"/>
              <w:right w:w="108" w:type="dxa"/>
            </w:tcMar>
            <w:vAlign w:val="center"/>
          </w:tcPr>
          <w:p w14:paraId="1540E5CE">
            <w:pPr>
              <w:keepNext w:val="0"/>
              <w:keepLines w:val="0"/>
              <w:pageBreakBefore w:val="0"/>
              <w:widowControl/>
              <w:pBdr>
                <w:top w:val="none" w:color="auto" w:sz="0" w:space="0"/>
                <w:left w:val="none" w:color="auto" w:sz="0" w:space="0"/>
                <w:bottom w:val="none" w:color="auto" w:sz="0" w:space="0"/>
                <w:right w:val="none" w:color="auto" w:sz="0" w:space="0"/>
              </w:pBdr>
              <w:spacing w:before="0" w:after="0" w:line="440" w:lineRule="exact"/>
              <w:ind w:left="0" w:right="0" w:firstLine="562"/>
              <w:jc w:val="left"/>
              <w:outlineLvl w:val="1"/>
              <w:rPr>
                <w:rFonts w:hint="eastAsia" w:ascii="宋体" w:hAnsi="宋体" w:eastAsia="宋体" w:cs="宋体"/>
                <w:sz w:val="24"/>
                <w:szCs w:val="24"/>
                <w:lang w:eastAsia="zh-CN"/>
              </w:rPr>
            </w:pPr>
            <w:r>
              <w:rPr>
                <w:rFonts w:hint="eastAsia" w:ascii="宋体" w:hAnsi="宋体" w:eastAsia="宋体" w:cs="宋体"/>
                <w:sz w:val="24"/>
                <w:szCs w:val="24"/>
                <w:lang w:eastAsia="zh-CN"/>
              </w:rPr>
              <w:t>人员稳定性</w:t>
            </w:r>
          </w:p>
        </w:tc>
        <w:tc>
          <w:tcPr>
            <w:tcW w:w="1687" w:type="dxa"/>
            <w:noWrap w:val="0"/>
            <w:tcMar>
              <w:top w:w="0" w:type="dxa"/>
              <w:left w:w="108" w:type="dxa"/>
              <w:bottom w:w="0" w:type="dxa"/>
              <w:right w:w="108" w:type="dxa"/>
            </w:tcMar>
            <w:vAlign w:val="center"/>
          </w:tcPr>
          <w:p w14:paraId="44AA7A42">
            <w:pPr>
              <w:keepNext w:val="0"/>
              <w:keepLines w:val="0"/>
              <w:pageBreakBefore w:val="0"/>
              <w:widowControl/>
              <w:pBdr>
                <w:top w:val="none" w:color="auto" w:sz="0" w:space="0"/>
                <w:left w:val="none" w:color="auto" w:sz="0" w:space="0"/>
                <w:bottom w:val="none" w:color="auto" w:sz="0" w:space="0"/>
                <w:right w:val="none" w:color="auto" w:sz="0" w:space="0"/>
              </w:pBdr>
              <w:spacing w:before="0" w:after="0" w:line="440" w:lineRule="exact"/>
              <w:ind w:right="0"/>
              <w:jc w:val="center"/>
              <w:outlineLvl w:val="1"/>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w:t>
            </w:r>
          </w:p>
        </w:tc>
        <w:tc>
          <w:tcPr>
            <w:tcW w:w="1175" w:type="dxa"/>
            <w:noWrap w:val="0"/>
            <w:tcMar>
              <w:top w:w="0" w:type="dxa"/>
              <w:left w:w="108" w:type="dxa"/>
              <w:bottom w:w="0" w:type="dxa"/>
              <w:right w:w="108" w:type="dxa"/>
            </w:tcMar>
            <w:vAlign w:val="center"/>
          </w:tcPr>
          <w:p w14:paraId="2A634C69">
            <w:pPr>
              <w:keepNext w:val="0"/>
              <w:keepLines w:val="0"/>
              <w:pageBreakBefore w:val="0"/>
              <w:widowControl/>
              <w:pBdr>
                <w:top w:val="none" w:color="auto" w:sz="0" w:space="0"/>
                <w:left w:val="none" w:color="auto" w:sz="0" w:space="0"/>
                <w:bottom w:val="none" w:color="auto" w:sz="0" w:space="0"/>
                <w:right w:val="none" w:color="auto" w:sz="0" w:space="0"/>
              </w:pBdr>
              <w:spacing w:before="0" w:after="0" w:line="440" w:lineRule="exact"/>
              <w:ind w:left="0" w:right="0" w:firstLine="562"/>
              <w:jc w:val="left"/>
              <w:outlineLvl w:val="1"/>
              <w:rPr>
                <w:rFonts w:hint="eastAsia" w:ascii="宋体" w:hAnsi="宋体" w:eastAsia="宋体" w:cs="宋体"/>
                <w:sz w:val="24"/>
                <w:szCs w:val="24"/>
              </w:rPr>
            </w:pPr>
          </w:p>
        </w:tc>
        <w:tc>
          <w:tcPr>
            <w:tcW w:w="1388" w:type="dxa"/>
            <w:noWrap/>
            <w:tcMar>
              <w:top w:w="0" w:type="dxa"/>
              <w:left w:w="108" w:type="dxa"/>
              <w:bottom w:w="0" w:type="dxa"/>
              <w:right w:w="108" w:type="dxa"/>
            </w:tcMar>
            <w:vAlign w:val="center"/>
          </w:tcPr>
          <w:p w14:paraId="5294AC22">
            <w:pPr>
              <w:keepNext w:val="0"/>
              <w:keepLines w:val="0"/>
              <w:pageBreakBefore w:val="0"/>
              <w:widowControl/>
              <w:pBdr>
                <w:top w:val="none" w:color="auto" w:sz="0" w:space="0"/>
                <w:left w:val="none" w:color="auto" w:sz="0" w:space="0"/>
                <w:bottom w:val="none" w:color="auto" w:sz="0" w:space="0"/>
                <w:right w:val="none" w:color="auto" w:sz="0" w:space="0"/>
              </w:pBdr>
              <w:spacing w:before="0" w:after="0" w:line="440" w:lineRule="exact"/>
              <w:ind w:left="0" w:right="0" w:firstLine="562"/>
              <w:jc w:val="left"/>
              <w:outlineLvl w:val="1"/>
              <w:rPr>
                <w:rFonts w:hint="eastAsia" w:ascii="宋体" w:hAnsi="宋体" w:eastAsia="宋体" w:cs="宋体"/>
                <w:sz w:val="24"/>
                <w:szCs w:val="24"/>
              </w:rPr>
            </w:pPr>
          </w:p>
        </w:tc>
      </w:tr>
      <w:tr w14:paraId="28014BB6">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rPr>
          <w:trHeight w:val="478" w:hRule="atLeast"/>
        </w:trPr>
        <w:tc>
          <w:tcPr>
            <w:tcW w:w="1369" w:type="dxa"/>
            <w:noWrap w:val="0"/>
            <w:tcMar>
              <w:top w:w="0" w:type="dxa"/>
              <w:left w:w="108" w:type="dxa"/>
              <w:bottom w:w="0" w:type="dxa"/>
              <w:right w:w="108" w:type="dxa"/>
            </w:tcMar>
            <w:vAlign w:val="center"/>
          </w:tcPr>
          <w:p w14:paraId="31EDC1AE">
            <w:pPr>
              <w:keepNext w:val="0"/>
              <w:keepLines w:val="0"/>
              <w:pageBreakBefore w:val="0"/>
              <w:widowControl/>
              <w:pBdr>
                <w:top w:val="none" w:color="auto" w:sz="0" w:space="0"/>
                <w:left w:val="none" w:color="auto" w:sz="0" w:space="0"/>
                <w:bottom w:val="none" w:color="auto" w:sz="0" w:space="0"/>
                <w:right w:val="none" w:color="auto" w:sz="0" w:space="0"/>
              </w:pBdr>
              <w:spacing w:before="0" w:after="0" w:line="440" w:lineRule="exact"/>
              <w:ind w:right="0"/>
              <w:jc w:val="center"/>
              <w:outlineLvl w:val="1"/>
              <w:rPr>
                <w:rFonts w:hint="eastAsia" w:ascii="宋体" w:hAnsi="宋体" w:eastAsia="宋体" w:cs="宋体"/>
                <w:sz w:val="24"/>
                <w:szCs w:val="24"/>
                <w:lang w:eastAsia="zh-CN"/>
              </w:rPr>
            </w:pPr>
            <w:r>
              <w:rPr>
                <w:rFonts w:hint="eastAsia" w:ascii="宋体" w:hAnsi="宋体" w:eastAsia="宋体" w:cs="宋体"/>
                <w:sz w:val="24"/>
                <w:szCs w:val="24"/>
                <w:lang w:val="en-US" w:eastAsia="zh-CN"/>
              </w:rPr>
              <w:t>7</w:t>
            </w:r>
          </w:p>
        </w:tc>
        <w:tc>
          <w:tcPr>
            <w:tcW w:w="3113" w:type="dxa"/>
            <w:noWrap w:val="0"/>
            <w:tcMar>
              <w:top w:w="0" w:type="dxa"/>
              <w:left w:w="108" w:type="dxa"/>
              <w:bottom w:w="0" w:type="dxa"/>
              <w:right w:w="108" w:type="dxa"/>
            </w:tcMar>
            <w:vAlign w:val="center"/>
          </w:tcPr>
          <w:p w14:paraId="19CA456B">
            <w:pPr>
              <w:keepNext w:val="0"/>
              <w:keepLines w:val="0"/>
              <w:pageBreakBefore w:val="0"/>
              <w:widowControl/>
              <w:pBdr>
                <w:top w:val="none" w:color="auto" w:sz="0" w:space="0"/>
                <w:left w:val="none" w:color="auto" w:sz="0" w:space="0"/>
                <w:bottom w:val="none" w:color="auto" w:sz="0" w:space="0"/>
                <w:right w:val="none" w:color="auto" w:sz="0" w:space="0"/>
              </w:pBdr>
              <w:spacing w:before="0" w:after="0" w:line="440" w:lineRule="exact"/>
              <w:ind w:left="0" w:right="0" w:firstLine="562"/>
              <w:jc w:val="left"/>
              <w:outlineLvl w:val="1"/>
              <w:rPr>
                <w:rFonts w:hint="eastAsia" w:ascii="宋体" w:hAnsi="宋体" w:eastAsia="宋体" w:cs="宋体"/>
                <w:sz w:val="24"/>
                <w:szCs w:val="24"/>
              </w:rPr>
            </w:pPr>
            <w:r>
              <w:rPr>
                <w:rFonts w:hint="eastAsia" w:ascii="宋体" w:hAnsi="宋体" w:eastAsia="宋体" w:cs="宋体"/>
                <w:sz w:val="24"/>
                <w:szCs w:val="24"/>
                <w:lang w:eastAsia="zh-CN"/>
              </w:rPr>
              <w:t>团队</w:t>
            </w:r>
            <w:r>
              <w:rPr>
                <w:rFonts w:hint="eastAsia" w:ascii="宋体" w:hAnsi="宋体" w:eastAsia="宋体" w:cs="宋体"/>
                <w:sz w:val="24"/>
                <w:szCs w:val="24"/>
              </w:rPr>
              <w:t>内部管理</w:t>
            </w:r>
          </w:p>
        </w:tc>
        <w:tc>
          <w:tcPr>
            <w:tcW w:w="1687" w:type="dxa"/>
            <w:noWrap w:val="0"/>
            <w:tcMar>
              <w:top w:w="0" w:type="dxa"/>
              <w:left w:w="108" w:type="dxa"/>
              <w:bottom w:w="0" w:type="dxa"/>
              <w:right w:w="108" w:type="dxa"/>
            </w:tcMar>
            <w:vAlign w:val="center"/>
          </w:tcPr>
          <w:p w14:paraId="499AFD1B">
            <w:pPr>
              <w:keepNext w:val="0"/>
              <w:keepLines w:val="0"/>
              <w:pageBreakBefore w:val="0"/>
              <w:widowControl/>
              <w:pBdr>
                <w:top w:val="none" w:color="auto" w:sz="0" w:space="0"/>
                <w:left w:val="none" w:color="auto" w:sz="0" w:space="0"/>
                <w:bottom w:val="none" w:color="auto" w:sz="0" w:space="0"/>
                <w:right w:val="none" w:color="auto" w:sz="0" w:space="0"/>
              </w:pBdr>
              <w:spacing w:before="0" w:after="0" w:line="440" w:lineRule="exact"/>
              <w:ind w:right="0"/>
              <w:jc w:val="center"/>
              <w:outlineLvl w:val="1"/>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w:t>
            </w:r>
          </w:p>
        </w:tc>
        <w:tc>
          <w:tcPr>
            <w:tcW w:w="1175" w:type="dxa"/>
            <w:noWrap w:val="0"/>
            <w:tcMar>
              <w:top w:w="0" w:type="dxa"/>
              <w:left w:w="108" w:type="dxa"/>
              <w:bottom w:w="0" w:type="dxa"/>
              <w:right w:w="108" w:type="dxa"/>
            </w:tcMar>
            <w:vAlign w:val="center"/>
          </w:tcPr>
          <w:p w14:paraId="1B8D9F9B">
            <w:pPr>
              <w:keepNext w:val="0"/>
              <w:keepLines w:val="0"/>
              <w:pageBreakBefore w:val="0"/>
              <w:widowControl/>
              <w:pBdr>
                <w:top w:val="none" w:color="auto" w:sz="0" w:space="0"/>
                <w:left w:val="none" w:color="auto" w:sz="0" w:space="0"/>
                <w:bottom w:val="none" w:color="auto" w:sz="0" w:space="0"/>
                <w:right w:val="none" w:color="auto" w:sz="0" w:space="0"/>
              </w:pBdr>
              <w:spacing w:before="0" w:after="0" w:line="440" w:lineRule="exact"/>
              <w:ind w:left="0" w:right="0" w:firstLine="562"/>
              <w:jc w:val="left"/>
              <w:outlineLvl w:val="1"/>
              <w:rPr>
                <w:rFonts w:hint="eastAsia" w:ascii="宋体" w:hAnsi="宋体" w:eastAsia="宋体" w:cs="宋体"/>
                <w:sz w:val="24"/>
                <w:szCs w:val="24"/>
              </w:rPr>
            </w:pPr>
            <w:r>
              <w:rPr>
                <w:rFonts w:hint="eastAsia" w:ascii="宋体" w:hAnsi="宋体" w:eastAsia="宋体" w:cs="宋体"/>
                <w:sz w:val="24"/>
                <w:szCs w:val="24"/>
              </w:rPr>
              <w:t> </w:t>
            </w:r>
          </w:p>
        </w:tc>
        <w:tc>
          <w:tcPr>
            <w:tcW w:w="1388" w:type="dxa"/>
            <w:noWrap/>
            <w:tcMar>
              <w:top w:w="0" w:type="dxa"/>
              <w:left w:w="108" w:type="dxa"/>
              <w:bottom w:w="0" w:type="dxa"/>
              <w:right w:w="108" w:type="dxa"/>
            </w:tcMar>
            <w:vAlign w:val="center"/>
          </w:tcPr>
          <w:p w14:paraId="38CE4345">
            <w:pPr>
              <w:keepNext w:val="0"/>
              <w:keepLines w:val="0"/>
              <w:pageBreakBefore w:val="0"/>
              <w:widowControl/>
              <w:pBdr>
                <w:top w:val="none" w:color="auto" w:sz="0" w:space="0"/>
                <w:left w:val="none" w:color="auto" w:sz="0" w:space="0"/>
                <w:bottom w:val="none" w:color="auto" w:sz="0" w:space="0"/>
                <w:right w:val="none" w:color="auto" w:sz="0" w:space="0"/>
              </w:pBdr>
              <w:spacing w:before="0" w:after="0" w:line="440" w:lineRule="exact"/>
              <w:ind w:left="0" w:right="0" w:firstLine="562"/>
              <w:jc w:val="left"/>
              <w:outlineLvl w:val="1"/>
              <w:rPr>
                <w:rFonts w:hint="eastAsia" w:ascii="宋体" w:hAnsi="宋体" w:eastAsia="宋体" w:cs="宋体"/>
                <w:sz w:val="24"/>
                <w:szCs w:val="24"/>
              </w:rPr>
            </w:pPr>
            <w:r>
              <w:rPr>
                <w:rFonts w:hint="eastAsia" w:ascii="宋体" w:hAnsi="宋体" w:eastAsia="宋体" w:cs="宋体"/>
                <w:sz w:val="24"/>
                <w:szCs w:val="24"/>
              </w:rPr>
              <w:t> </w:t>
            </w:r>
          </w:p>
        </w:tc>
      </w:tr>
      <w:tr w14:paraId="23EEA030">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rPr>
          <w:trHeight w:val="478" w:hRule="atLeast"/>
        </w:trPr>
        <w:tc>
          <w:tcPr>
            <w:tcW w:w="1369" w:type="dxa"/>
            <w:noWrap w:val="0"/>
            <w:tcMar>
              <w:top w:w="0" w:type="dxa"/>
              <w:left w:w="108" w:type="dxa"/>
              <w:bottom w:w="0" w:type="dxa"/>
              <w:right w:w="108" w:type="dxa"/>
            </w:tcMar>
            <w:vAlign w:val="center"/>
          </w:tcPr>
          <w:p w14:paraId="49523B29">
            <w:pPr>
              <w:keepNext w:val="0"/>
              <w:keepLines w:val="0"/>
              <w:pageBreakBefore w:val="0"/>
              <w:widowControl/>
              <w:pBdr>
                <w:top w:val="none" w:color="auto" w:sz="0" w:space="0"/>
                <w:left w:val="none" w:color="auto" w:sz="0" w:space="0"/>
                <w:bottom w:val="none" w:color="auto" w:sz="0" w:space="0"/>
                <w:right w:val="none" w:color="auto" w:sz="0" w:space="0"/>
              </w:pBdr>
              <w:spacing w:before="0" w:after="0" w:line="440" w:lineRule="exact"/>
              <w:ind w:right="0"/>
              <w:jc w:val="center"/>
              <w:outlineLvl w:val="1"/>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w:t>
            </w:r>
          </w:p>
        </w:tc>
        <w:tc>
          <w:tcPr>
            <w:tcW w:w="3113" w:type="dxa"/>
            <w:noWrap w:val="0"/>
            <w:tcMar>
              <w:top w:w="0" w:type="dxa"/>
              <w:left w:w="108" w:type="dxa"/>
              <w:bottom w:w="0" w:type="dxa"/>
              <w:right w:w="108" w:type="dxa"/>
            </w:tcMar>
            <w:vAlign w:val="center"/>
          </w:tcPr>
          <w:p w14:paraId="576C2DB2">
            <w:pPr>
              <w:keepNext w:val="0"/>
              <w:keepLines w:val="0"/>
              <w:pageBreakBefore w:val="0"/>
              <w:widowControl/>
              <w:pBdr>
                <w:top w:val="none" w:color="auto" w:sz="0" w:space="0"/>
                <w:left w:val="none" w:color="auto" w:sz="0" w:space="0"/>
                <w:bottom w:val="none" w:color="auto" w:sz="0" w:space="0"/>
                <w:right w:val="none" w:color="auto" w:sz="0" w:space="0"/>
              </w:pBdr>
              <w:spacing w:before="0" w:after="0" w:line="440" w:lineRule="exact"/>
              <w:ind w:left="0" w:right="0" w:firstLine="562"/>
              <w:jc w:val="left"/>
              <w:outlineLvl w:val="1"/>
              <w:rPr>
                <w:rFonts w:hint="eastAsia" w:ascii="宋体" w:hAnsi="宋体" w:eastAsia="宋体" w:cs="宋体"/>
                <w:sz w:val="24"/>
                <w:szCs w:val="24"/>
                <w:lang w:eastAsia="zh-CN"/>
              </w:rPr>
            </w:pPr>
            <w:r>
              <w:rPr>
                <w:rFonts w:hint="eastAsia" w:ascii="宋体" w:hAnsi="宋体" w:eastAsia="宋体" w:cs="宋体"/>
                <w:sz w:val="24"/>
                <w:szCs w:val="24"/>
                <w:lang w:eastAsia="zh-CN"/>
              </w:rPr>
              <w:t>网络安全</w:t>
            </w:r>
            <w:r>
              <w:rPr>
                <w:rFonts w:hint="eastAsia" w:ascii="宋体" w:hAnsi="宋体" w:eastAsia="宋体" w:cs="宋体"/>
                <w:sz w:val="24"/>
                <w:szCs w:val="24"/>
              </w:rPr>
              <w:t>情况</w:t>
            </w:r>
          </w:p>
        </w:tc>
        <w:tc>
          <w:tcPr>
            <w:tcW w:w="1687" w:type="dxa"/>
            <w:noWrap w:val="0"/>
            <w:tcMar>
              <w:top w:w="0" w:type="dxa"/>
              <w:left w:w="108" w:type="dxa"/>
              <w:bottom w:w="0" w:type="dxa"/>
              <w:right w:w="108" w:type="dxa"/>
            </w:tcMar>
            <w:vAlign w:val="center"/>
          </w:tcPr>
          <w:p w14:paraId="0AC51A1D">
            <w:pPr>
              <w:keepNext w:val="0"/>
              <w:keepLines w:val="0"/>
              <w:pageBreakBefore w:val="0"/>
              <w:widowControl/>
              <w:pBdr>
                <w:top w:val="none" w:color="auto" w:sz="0" w:space="0"/>
                <w:left w:val="none" w:color="auto" w:sz="0" w:space="0"/>
                <w:bottom w:val="none" w:color="auto" w:sz="0" w:space="0"/>
                <w:right w:val="none" w:color="auto" w:sz="0" w:space="0"/>
              </w:pBdr>
              <w:spacing w:before="0" w:after="0" w:line="440" w:lineRule="exact"/>
              <w:ind w:right="0"/>
              <w:jc w:val="center"/>
              <w:outlineLvl w:val="1"/>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w:t>
            </w:r>
          </w:p>
        </w:tc>
        <w:tc>
          <w:tcPr>
            <w:tcW w:w="1175" w:type="dxa"/>
            <w:noWrap w:val="0"/>
            <w:tcMar>
              <w:top w:w="0" w:type="dxa"/>
              <w:left w:w="108" w:type="dxa"/>
              <w:bottom w:w="0" w:type="dxa"/>
              <w:right w:w="108" w:type="dxa"/>
            </w:tcMar>
            <w:vAlign w:val="center"/>
          </w:tcPr>
          <w:p w14:paraId="6278E6F1">
            <w:pPr>
              <w:keepNext w:val="0"/>
              <w:keepLines w:val="0"/>
              <w:pageBreakBefore w:val="0"/>
              <w:widowControl/>
              <w:pBdr>
                <w:top w:val="none" w:color="auto" w:sz="0" w:space="0"/>
                <w:left w:val="none" w:color="auto" w:sz="0" w:space="0"/>
                <w:bottom w:val="none" w:color="auto" w:sz="0" w:space="0"/>
                <w:right w:val="none" w:color="auto" w:sz="0" w:space="0"/>
              </w:pBdr>
              <w:spacing w:before="0" w:after="0" w:line="440" w:lineRule="exact"/>
              <w:ind w:left="0" w:right="0" w:firstLine="562"/>
              <w:jc w:val="left"/>
              <w:outlineLvl w:val="1"/>
              <w:rPr>
                <w:rFonts w:hint="eastAsia" w:ascii="宋体" w:hAnsi="宋体" w:eastAsia="宋体" w:cs="宋体"/>
                <w:sz w:val="24"/>
                <w:szCs w:val="24"/>
              </w:rPr>
            </w:pPr>
          </w:p>
        </w:tc>
        <w:tc>
          <w:tcPr>
            <w:tcW w:w="1388" w:type="dxa"/>
            <w:noWrap/>
            <w:tcMar>
              <w:top w:w="0" w:type="dxa"/>
              <w:left w:w="108" w:type="dxa"/>
              <w:bottom w:w="0" w:type="dxa"/>
              <w:right w:w="108" w:type="dxa"/>
            </w:tcMar>
            <w:vAlign w:val="center"/>
          </w:tcPr>
          <w:p w14:paraId="5B16C8BC">
            <w:pPr>
              <w:keepNext w:val="0"/>
              <w:keepLines w:val="0"/>
              <w:pageBreakBefore w:val="0"/>
              <w:widowControl/>
              <w:pBdr>
                <w:top w:val="none" w:color="auto" w:sz="0" w:space="0"/>
                <w:left w:val="none" w:color="auto" w:sz="0" w:space="0"/>
                <w:bottom w:val="none" w:color="auto" w:sz="0" w:space="0"/>
                <w:right w:val="none" w:color="auto" w:sz="0" w:space="0"/>
              </w:pBdr>
              <w:spacing w:before="0" w:after="0" w:line="440" w:lineRule="exact"/>
              <w:ind w:left="0" w:right="0" w:firstLine="562"/>
              <w:jc w:val="left"/>
              <w:outlineLvl w:val="1"/>
              <w:rPr>
                <w:rFonts w:hint="eastAsia" w:ascii="宋体" w:hAnsi="宋体" w:eastAsia="宋体" w:cs="宋体"/>
                <w:sz w:val="24"/>
                <w:szCs w:val="24"/>
              </w:rPr>
            </w:pPr>
          </w:p>
        </w:tc>
      </w:tr>
      <w:tr w14:paraId="795801E7">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rPr>
          <w:trHeight w:val="478" w:hRule="atLeast"/>
        </w:trPr>
        <w:tc>
          <w:tcPr>
            <w:tcW w:w="1369" w:type="dxa"/>
            <w:noWrap w:val="0"/>
            <w:tcMar>
              <w:top w:w="0" w:type="dxa"/>
              <w:left w:w="108" w:type="dxa"/>
              <w:bottom w:w="0" w:type="dxa"/>
              <w:right w:w="108" w:type="dxa"/>
            </w:tcMar>
            <w:vAlign w:val="center"/>
          </w:tcPr>
          <w:p w14:paraId="00A530F9">
            <w:pPr>
              <w:keepNext w:val="0"/>
              <w:keepLines w:val="0"/>
              <w:pageBreakBefore w:val="0"/>
              <w:widowControl/>
              <w:pBdr>
                <w:top w:val="none" w:color="auto" w:sz="0" w:space="0"/>
                <w:left w:val="none" w:color="auto" w:sz="0" w:space="0"/>
                <w:bottom w:val="none" w:color="auto" w:sz="0" w:space="0"/>
                <w:right w:val="none" w:color="auto" w:sz="0" w:space="0"/>
              </w:pBdr>
              <w:spacing w:before="0" w:after="0" w:line="440" w:lineRule="exact"/>
              <w:ind w:right="0"/>
              <w:jc w:val="center"/>
              <w:outlineLvl w:val="1"/>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w:t>
            </w:r>
          </w:p>
        </w:tc>
        <w:tc>
          <w:tcPr>
            <w:tcW w:w="3113" w:type="dxa"/>
            <w:noWrap w:val="0"/>
            <w:tcMar>
              <w:top w:w="0" w:type="dxa"/>
              <w:left w:w="108" w:type="dxa"/>
              <w:bottom w:w="0" w:type="dxa"/>
              <w:right w:w="108" w:type="dxa"/>
            </w:tcMar>
            <w:vAlign w:val="center"/>
          </w:tcPr>
          <w:p w14:paraId="16DAFBE9">
            <w:pPr>
              <w:keepNext w:val="0"/>
              <w:keepLines w:val="0"/>
              <w:pageBreakBefore w:val="0"/>
              <w:widowControl/>
              <w:pBdr>
                <w:top w:val="none" w:color="auto" w:sz="0" w:space="0"/>
                <w:left w:val="none" w:color="auto" w:sz="0" w:space="0"/>
                <w:bottom w:val="none" w:color="auto" w:sz="0" w:space="0"/>
                <w:right w:val="none" w:color="auto" w:sz="0" w:space="0"/>
              </w:pBdr>
              <w:spacing w:before="0" w:after="0" w:line="440" w:lineRule="exact"/>
              <w:ind w:left="0" w:right="0" w:firstLine="562"/>
              <w:jc w:val="left"/>
              <w:outlineLvl w:val="1"/>
              <w:rPr>
                <w:rFonts w:hint="eastAsia" w:ascii="宋体" w:hAnsi="宋体" w:eastAsia="宋体" w:cs="宋体"/>
                <w:sz w:val="24"/>
                <w:szCs w:val="24"/>
                <w:lang w:eastAsia="zh-CN"/>
              </w:rPr>
            </w:pPr>
            <w:r>
              <w:rPr>
                <w:rFonts w:hint="eastAsia" w:ascii="宋体" w:hAnsi="宋体" w:eastAsia="宋体" w:cs="宋体"/>
                <w:sz w:val="24"/>
                <w:szCs w:val="24"/>
                <w:lang w:eastAsia="zh-CN"/>
              </w:rPr>
              <w:t>应急处理能力</w:t>
            </w:r>
          </w:p>
        </w:tc>
        <w:tc>
          <w:tcPr>
            <w:tcW w:w="1687" w:type="dxa"/>
            <w:noWrap w:val="0"/>
            <w:tcMar>
              <w:top w:w="0" w:type="dxa"/>
              <w:left w:w="108" w:type="dxa"/>
              <w:bottom w:w="0" w:type="dxa"/>
              <w:right w:w="108" w:type="dxa"/>
            </w:tcMar>
            <w:vAlign w:val="center"/>
          </w:tcPr>
          <w:p w14:paraId="0CD763B3">
            <w:pPr>
              <w:keepNext w:val="0"/>
              <w:keepLines w:val="0"/>
              <w:pageBreakBefore w:val="0"/>
              <w:widowControl/>
              <w:pBdr>
                <w:top w:val="none" w:color="auto" w:sz="0" w:space="0"/>
                <w:left w:val="none" w:color="auto" w:sz="0" w:space="0"/>
                <w:bottom w:val="none" w:color="auto" w:sz="0" w:space="0"/>
                <w:right w:val="none" w:color="auto" w:sz="0" w:space="0"/>
              </w:pBdr>
              <w:spacing w:before="0" w:after="0" w:line="440" w:lineRule="exact"/>
              <w:ind w:right="0"/>
              <w:jc w:val="center"/>
              <w:outlineLvl w:val="1"/>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w:t>
            </w:r>
          </w:p>
        </w:tc>
        <w:tc>
          <w:tcPr>
            <w:tcW w:w="1175" w:type="dxa"/>
            <w:noWrap w:val="0"/>
            <w:tcMar>
              <w:top w:w="0" w:type="dxa"/>
              <w:left w:w="108" w:type="dxa"/>
              <w:bottom w:w="0" w:type="dxa"/>
              <w:right w:w="108" w:type="dxa"/>
            </w:tcMar>
            <w:vAlign w:val="center"/>
          </w:tcPr>
          <w:p w14:paraId="54B12A05">
            <w:pPr>
              <w:keepNext w:val="0"/>
              <w:keepLines w:val="0"/>
              <w:pageBreakBefore w:val="0"/>
              <w:widowControl/>
              <w:pBdr>
                <w:top w:val="none" w:color="auto" w:sz="0" w:space="0"/>
                <w:left w:val="none" w:color="auto" w:sz="0" w:space="0"/>
                <w:bottom w:val="none" w:color="auto" w:sz="0" w:space="0"/>
                <w:right w:val="none" w:color="auto" w:sz="0" w:space="0"/>
              </w:pBdr>
              <w:spacing w:before="0" w:after="0" w:line="440" w:lineRule="exact"/>
              <w:ind w:left="0" w:right="0" w:firstLine="562"/>
              <w:jc w:val="left"/>
              <w:outlineLvl w:val="1"/>
              <w:rPr>
                <w:rFonts w:hint="eastAsia" w:ascii="宋体" w:hAnsi="宋体" w:eastAsia="宋体" w:cs="宋体"/>
                <w:sz w:val="24"/>
                <w:szCs w:val="24"/>
              </w:rPr>
            </w:pPr>
          </w:p>
        </w:tc>
        <w:tc>
          <w:tcPr>
            <w:tcW w:w="1388" w:type="dxa"/>
            <w:noWrap/>
            <w:tcMar>
              <w:top w:w="0" w:type="dxa"/>
              <w:left w:w="108" w:type="dxa"/>
              <w:bottom w:w="0" w:type="dxa"/>
              <w:right w:w="108" w:type="dxa"/>
            </w:tcMar>
            <w:vAlign w:val="center"/>
          </w:tcPr>
          <w:p w14:paraId="7117D958">
            <w:pPr>
              <w:keepNext w:val="0"/>
              <w:keepLines w:val="0"/>
              <w:pageBreakBefore w:val="0"/>
              <w:widowControl/>
              <w:pBdr>
                <w:top w:val="none" w:color="auto" w:sz="0" w:space="0"/>
                <w:left w:val="none" w:color="auto" w:sz="0" w:space="0"/>
                <w:bottom w:val="none" w:color="auto" w:sz="0" w:space="0"/>
                <w:right w:val="none" w:color="auto" w:sz="0" w:space="0"/>
              </w:pBdr>
              <w:spacing w:before="0" w:after="0" w:line="440" w:lineRule="exact"/>
              <w:ind w:left="0" w:right="0" w:firstLine="562"/>
              <w:jc w:val="left"/>
              <w:outlineLvl w:val="1"/>
              <w:rPr>
                <w:rFonts w:hint="eastAsia" w:ascii="宋体" w:hAnsi="宋体" w:eastAsia="宋体" w:cs="宋体"/>
                <w:sz w:val="24"/>
                <w:szCs w:val="24"/>
              </w:rPr>
            </w:pPr>
          </w:p>
        </w:tc>
      </w:tr>
      <w:tr w14:paraId="34ECE50E">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rPr>
          <w:trHeight w:val="478" w:hRule="atLeast"/>
        </w:trPr>
        <w:tc>
          <w:tcPr>
            <w:tcW w:w="1369" w:type="dxa"/>
            <w:noWrap w:val="0"/>
            <w:tcMar>
              <w:top w:w="0" w:type="dxa"/>
              <w:left w:w="108" w:type="dxa"/>
              <w:bottom w:w="0" w:type="dxa"/>
              <w:right w:w="108" w:type="dxa"/>
            </w:tcMar>
            <w:vAlign w:val="center"/>
          </w:tcPr>
          <w:p w14:paraId="34738F82">
            <w:pPr>
              <w:keepNext w:val="0"/>
              <w:keepLines w:val="0"/>
              <w:pageBreakBefore w:val="0"/>
              <w:widowControl/>
              <w:pBdr>
                <w:top w:val="none" w:color="auto" w:sz="0" w:space="0"/>
                <w:left w:val="none" w:color="auto" w:sz="0" w:space="0"/>
                <w:bottom w:val="none" w:color="auto" w:sz="0" w:space="0"/>
                <w:right w:val="none" w:color="auto" w:sz="0" w:space="0"/>
              </w:pBdr>
              <w:spacing w:before="0" w:after="0" w:line="440" w:lineRule="exact"/>
              <w:ind w:right="0"/>
              <w:jc w:val="center"/>
              <w:outlineLvl w:val="1"/>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w:t>
            </w:r>
          </w:p>
        </w:tc>
        <w:tc>
          <w:tcPr>
            <w:tcW w:w="3113" w:type="dxa"/>
            <w:noWrap w:val="0"/>
            <w:tcMar>
              <w:top w:w="0" w:type="dxa"/>
              <w:left w:w="108" w:type="dxa"/>
              <w:bottom w:w="0" w:type="dxa"/>
              <w:right w:w="108" w:type="dxa"/>
            </w:tcMar>
            <w:vAlign w:val="center"/>
          </w:tcPr>
          <w:p w14:paraId="16C1004C">
            <w:pPr>
              <w:keepNext w:val="0"/>
              <w:keepLines w:val="0"/>
              <w:pageBreakBefore w:val="0"/>
              <w:widowControl/>
              <w:pBdr>
                <w:top w:val="none" w:color="auto" w:sz="0" w:space="0"/>
                <w:left w:val="none" w:color="auto" w:sz="0" w:space="0"/>
                <w:bottom w:val="none" w:color="auto" w:sz="0" w:space="0"/>
                <w:right w:val="none" w:color="auto" w:sz="0" w:space="0"/>
              </w:pBdr>
              <w:spacing w:before="0" w:after="0" w:line="440" w:lineRule="exact"/>
              <w:ind w:left="0" w:right="0" w:firstLine="562"/>
              <w:jc w:val="left"/>
              <w:outlineLvl w:val="1"/>
              <w:rPr>
                <w:rFonts w:hint="eastAsia" w:ascii="宋体" w:hAnsi="宋体" w:eastAsia="宋体" w:cs="宋体"/>
                <w:sz w:val="24"/>
                <w:szCs w:val="24"/>
                <w:lang w:eastAsia="zh-CN"/>
              </w:rPr>
            </w:pPr>
            <w:r>
              <w:rPr>
                <w:rFonts w:hint="eastAsia" w:ascii="宋体" w:hAnsi="宋体" w:eastAsia="宋体" w:cs="宋体"/>
                <w:sz w:val="24"/>
                <w:szCs w:val="24"/>
                <w:lang w:eastAsia="zh-CN"/>
              </w:rPr>
              <w:t>人员</w:t>
            </w:r>
            <w:r>
              <w:rPr>
                <w:rFonts w:hint="eastAsia" w:ascii="宋体" w:hAnsi="宋体" w:eastAsia="宋体" w:cs="宋体"/>
                <w:sz w:val="24"/>
                <w:szCs w:val="24"/>
              </w:rPr>
              <w:t>工作态度</w:t>
            </w:r>
          </w:p>
        </w:tc>
        <w:tc>
          <w:tcPr>
            <w:tcW w:w="1687" w:type="dxa"/>
            <w:noWrap w:val="0"/>
            <w:tcMar>
              <w:top w:w="0" w:type="dxa"/>
              <w:left w:w="108" w:type="dxa"/>
              <w:bottom w:w="0" w:type="dxa"/>
              <w:right w:w="108" w:type="dxa"/>
            </w:tcMar>
            <w:vAlign w:val="center"/>
          </w:tcPr>
          <w:p w14:paraId="458D93B1">
            <w:pPr>
              <w:keepNext w:val="0"/>
              <w:keepLines w:val="0"/>
              <w:pageBreakBefore w:val="0"/>
              <w:widowControl/>
              <w:pBdr>
                <w:top w:val="none" w:color="auto" w:sz="0" w:space="0"/>
                <w:left w:val="none" w:color="auto" w:sz="0" w:space="0"/>
                <w:bottom w:val="none" w:color="auto" w:sz="0" w:space="0"/>
                <w:right w:val="none" w:color="auto" w:sz="0" w:space="0"/>
              </w:pBdr>
              <w:spacing w:before="0" w:after="0" w:line="440" w:lineRule="exact"/>
              <w:ind w:right="0"/>
              <w:jc w:val="center"/>
              <w:outlineLvl w:val="1"/>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w:t>
            </w:r>
          </w:p>
        </w:tc>
        <w:tc>
          <w:tcPr>
            <w:tcW w:w="1175" w:type="dxa"/>
            <w:noWrap w:val="0"/>
            <w:tcMar>
              <w:top w:w="0" w:type="dxa"/>
              <w:left w:w="108" w:type="dxa"/>
              <w:bottom w:w="0" w:type="dxa"/>
              <w:right w:w="108" w:type="dxa"/>
            </w:tcMar>
            <w:vAlign w:val="center"/>
          </w:tcPr>
          <w:p w14:paraId="12C068E8">
            <w:pPr>
              <w:keepNext w:val="0"/>
              <w:keepLines w:val="0"/>
              <w:pageBreakBefore w:val="0"/>
              <w:widowControl/>
              <w:pBdr>
                <w:top w:val="none" w:color="auto" w:sz="0" w:space="0"/>
                <w:left w:val="none" w:color="auto" w:sz="0" w:space="0"/>
                <w:bottom w:val="none" w:color="auto" w:sz="0" w:space="0"/>
                <w:right w:val="none" w:color="auto" w:sz="0" w:space="0"/>
              </w:pBdr>
              <w:spacing w:before="0" w:after="0" w:line="440" w:lineRule="exact"/>
              <w:ind w:left="0" w:right="0" w:firstLine="562"/>
              <w:jc w:val="left"/>
              <w:outlineLvl w:val="1"/>
              <w:rPr>
                <w:rFonts w:hint="eastAsia" w:ascii="宋体" w:hAnsi="宋体" w:eastAsia="宋体" w:cs="宋体"/>
                <w:sz w:val="24"/>
                <w:szCs w:val="24"/>
              </w:rPr>
            </w:pPr>
            <w:r>
              <w:rPr>
                <w:rFonts w:hint="eastAsia" w:ascii="宋体" w:hAnsi="宋体" w:eastAsia="宋体" w:cs="宋体"/>
                <w:sz w:val="24"/>
                <w:szCs w:val="24"/>
              </w:rPr>
              <w:t> </w:t>
            </w:r>
          </w:p>
        </w:tc>
        <w:tc>
          <w:tcPr>
            <w:tcW w:w="1388" w:type="dxa"/>
            <w:noWrap/>
            <w:tcMar>
              <w:top w:w="0" w:type="dxa"/>
              <w:left w:w="108" w:type="dxa"/>
              <w:bottom w:w="0" w:type="dxa"/>
              <w:right w:w="108" w:type="dxa"/>
            </w:tcMar>
            <w:vAlign w:val="center"/>
          </w:tcPr>
          <w:p w14:paraId="011C931E">
            <w:pPr>
              <w:keepNext w:val="0"/>
              <w:keepLines w:val="0"/>
              <w:pageBreakBefore w:val="0"/>
              <w:widowControl/>
              <w:pBdr>
                <w:top w:val="none" w:color="auto" w:sz="0" w:space="0"/>
                <w:left w:val="none" w:color="auto" w:sz="0" w:space="0"/>
                <w:bottom w:val="none" w:color="auto" w:sz="0" w:space="0"/>
                <w:right w:val="none" w:color="auto" w:sz="0" w:space="0"/>
              </w:pBdr>
              <w:spacing w:before="0" w:after="0" w:line="440" w:lineRule="exact"/>
              <w:ind w:left="0" w:right="0" w:firstLine="562"/>
              <w:jc w:val="left"/>
              <w:outlineLvl w:val="1"/>
              <w:rPr>
                <w:rFonts w:hint="eastAsia" w:ascii="宋体" w:hAnsi="宋体" w:eastAsia="宋体" w:cs="宋体"/>
                <w:sz w:val="24"/>
                <w:szCs w:val="24"/>
              </w:rPr>
            </w:pPr>
            <w:r>
              <w:rPr>
                <w:rFonts w:hint="eastAsia" w:ascii="宋体" w:hAnsi="宋体" w:eastAsia="宋体" w:cs="宋体"/>
                <w:sz w:val="24"/>
                <w:szCs w:val="24"/>
              </w:rPr>
              <w:t> </w:t>
            </w:r>
          </w:p>
        </w:tc>
      </w:tr>
      <w:tr w14:paraId="556A5D7E">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rPr>
          <w:trHeight w:val="478" w:hRule="atLeast"/>
        </w:trPr>
        <w:tc>
          <w:tcPr>
            <w:tcW w:w="1369" w:type="dxa"/>
            <w:noWrap w:val="0"/>
            <w:tcMar>
              <w:top w:w="0" w:type="dxa"/>
              <w:left w:w="108" w:type="dxa"/>
              <w:bottom w:w="0" w:type="dxa"/>
              <w:right w:w="108" w:type="dxa"/>
            </w:tcMar>
            <w:vAlign w:val="center"/>
          </w:tcPr>
          <w:p w14:paraId="63A9ED0B">
            <w:pPr>
              <w:keepNext w:val="0"/>
              <w:keepLines w:val="0"/>
              <w:pageBreakBefore w:val="0"/>
              <w:widowControl/>
              <w:pBdr>
                <w:top w:val="none" w:color="auto" w:sz="0" w:space="0"/>
                <w:left w:val="none" w:color="auto" w:sz="0" w:space="0"/>
                <w:bottom w:val="none" w:color="auto" w:sz="0" w:space="0"/>
                <w:right w:val="none" w:color="auto" w:sz="0" w:space="0"/>
              </w:pBdr>
              <w:spacing w:before="0" w:after="0" w:line="440" w:lineRule="exact"/>
              <w:ind w:right="0"/>
              <w:jc w:val="center"/>
              <w:outlineLvl w:val="1"/>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w:t>
            </w:r>
          </w:p>
        </w:tc>
        <w:tc>
          <w:tcPr>
            <w:tcW w:w="3113" w:type="dxa"/>
            <w:noWrap w:val="0"/>
            <w:tcMar>
              <w:top w:w="0" w:type="dxa"/>
              <w:left w:w="108" w:type="dxa"/>
              <w:bottom w:w="0" w:type="dxa"/>
              <w:right w:w="108" w:type="dxa"/>
            </w:tcMar>
            <w:vAlign w:val="center"/>
          </w:tcPr>
          <w:p w14:paraId="067EF518">
            <w:pPr>
              <w:keepNext w:val="0"/>
              <w:keepLines w:val="0"/>
              <w:pageBreakBefore w:val="0"/>
              <w:widowControl/>
              <w:pBdr>
                <w:top w:val="none" w:color="auto" w:sz="0" w:space="0"/>
                <w:left w:val="none" w:color="auto" w:sz="0" w:space="0"/>
                <w:bottom w:val="none" w:color="auto" w:sz="0" w:space="0"/>
                <w:right w:val="none" w:color="auto" w:sz="0" w:space="0"/>
              </w:pBdr>
              <w:spacing w:before="0" w:after="0" w:line="440" w:lineRule="exact"/>
              <w:ind w:left="0" w:right="0" w:firstLine="562"/>
              <w:jc w:val="left"/>
              <w:outlineLvl w:val="1"/>
              <w:rPr>
                <w:rFonts w:hint="eastAsia" w:ascii="宋体" w:hAnsi="宋体" w:eastAsia="宋体" w:cs="宋体"/>
                <w:sz w:val="24"/>
                <w:szCs w:val="24"/>
              </w:rPr>
            </w:pPr>
            <w:r>
              <w:rPr>
                <w:rFonts w:hint="eastAsia" w:ascii="宋体" w:hAnsi="宋体" w:eastAsia="宋体" w:cs="宋体"/>
                <w:sz w:val="24"/>
                <w:szCs w:val="24"/>
                <w:lang w:eastAsia="zh-CN"/>
              </w:rPr>
              <w:t>人员沟通能力</w:t>
            </w:r>
          </w:p>
        </w:tc>
        <w:tc>
          <w:tcPr>
            <w:tcW w:w="1687" w:type="dxa"/>
            <w:noWrap w:val="0"/>
            <w:tcMar>
              <w:top w:w="0" w:type="dxa"/>
              <w:left w:w="108" w:type="dxa"/>
              <w:bottom w:w="0" w:type="dxa"/>
              <w:right w:w="108" w:type="dxa"/>
            </w:tcMar>
            <w:vAlign w:val="center"/>
          </w:tcPr>
          <w:p w14:paraId="36179451">
            <w:pPr>
              <w:keepNext w:val="0"/>
              <w:keepLines w:val="0"/>
              <w:pageBreakBefore w:val="0"/>
              <w:widowControl/>
              <w:pBdr>
                <w:top w:val="none" w:color="auto" w:sz="0" w:space="0"/>
                <w:left w:val="none" w:color="auto" w:sz="0" w:space="0"/>
                <w:bottom w:val="none" w:color="auto" w:sz="0" w:space="0"/>
                <w:right w:val="none" w:color="auto" w:sz="0" w:space="0"/>
              </w:pBdr>
              <w:spacing w:before="0" w:after="0" w:line="440" w:lineRule="exact"/>
              <w:ind w:right="0"/>
              <w:jc w:val="center"/>
              <w:outlineLvl w:val="1"/>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w:t>
            </w:r>
          </w:p>
        </w:tc>
        <w:tc>
          <w:tcPr>
            <w:tcW w:w="1175" w:type="dxa"/>
            <w:noWrap w:val="0"/>
            <w:tcMar>
              <w:top w:w="0" w:type="dxa"/>
              <w:left w:w="108" w:type="dxa"/>
              <w:bottom w:w="0" w:type="dxa"/>
              <w:right w:w="108" w:type="dxa"/>
            </w:tcMar>
            <w:vAlign w:val="center"/>
          </w:tcPr>
          <w:p w14:paraId="4FB1F02A">
            <w:pPr>
              <w:keepNext w:val="0"/>
              <w:keepLines w:val="0"/>
              <w:pageBreakBefore w:val="0"/>
              <w:widowControl/>
              <w:pBdr>
                <w:top w:val="none" w:color="auto" w:sz="0" w:space="0"/>
                <w:left w:val="none" w:color="auto" w:sz="0" w:space="0"/>
                <w:bottom w:val="none" w:color="auto" w:sz="0" w:space="0"/>
                <w:right w:val="none" w:color="auto" w:sz="0" w:space="0"/>
              </w:pBdr>
              <w:spacing w:before="0" w:after="0" w:line="440" w:lineRule="exact"/>
              <w:ind w:left="0" w:right="0" w:firstLine="562"/>
              <w:jc w:val="left"/>
              <w:outlineLvl w:val="1"/>
              <w:rPr>
                <w:rFonts w:hint="eastAsia" w:ascii="宋体" w:hAnsi="宋体" w:eastAsia="宋体" w:cs="宋体"/>
                <w:sz w:val="24"/>
                <w:szCs w:val="24"/>
              </w:rPr>
            </w:pPr>
            <w:r>
              <w:rPr>
                <w:rFonts w:hint="eastAsia" w:ascii="宋体" w:hAnsi="宋体" w:eastAsia="宋体" w:cs="宋体"/>
                <w:sz w:val="24"/>
                <w:szCs w:val="24"/>
              </w:rPr>
              <w:t> </w:t>
            </w:r>
          </w:p>
        </w:tc>
        <w:tc>
          <w:tcPr>
            <w:tcW w:w="1388" w:type="dxa"/>
            <w:noWrap/>
            <w:tcMar>
              <w:top w:w="0" w:type="dxa"/>
              <w:left w:w="108" w:type="dxa"/>
              <w:bottom w:w="0" w:type="dxa"/>
              <w:right w:w="108" w:type="dxa"/>
            </w:tcMar>
            <w:vAlign w:val="center"/>
          </w:tcPr>
          <w:p w14:paraId="2D5443E0">
            <w:pPr>
              <w:keepNext w:val="0"/>
              <w:keepLines w:val="0"/>
              <w:pageBreakBefore w:val="0"/>
              <w:widowControl/>
              <w:pBdr>
                <w:top w:val="none" w:color="auto" w:sz="0" w:space="0"/>
                <w:left w:val="none" w:color="auto" w:sz="0" w:space="0"/>
                <w:bottom w:val="none" w:color="auto" w:sz="0" w:space="0"/>
                <w:right w:val="none" w:color="auto" w:sz="0" w:space="0"/>
              </w:pBdr>
              <w:spacing w:before="0" w:after="0" w:line="440" w:lineRule="exact"/>
              <w:ind w:left="0" w:right="0" w:firstLine="562"/>
              <w:jc w:val="left"/>
              <w:outlineLvl w:val="1"/>
              <w:rPr>
                <w:rFonts w:hint="eastAsia" w:ascii="宋体" w:hAnsi="宋体" w:eastAsia="宋体" w:cs="宋体"/>
                <w:sz w:val="24"/>
                <w:szCs w:val="24"/>
              </w:rPr>
            </w:pPr>
            <w:r>
              <w:rPr>
                <w:rFonts w:hint="eastAsia" w:ascii="宋体" w:hAnsi="宋体" w:eastAsia="宋体" w:cs="宋体"/>
                <w:sz w:val="24"/>
                <w:szCs w:val="24"/>
              </w:rPr>
              <w:t> </w:t>
            </w:r>
          </w:p>
        </w:tc>
      </w:tr>
      <w:tr w14:paraId="252E597E">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rPr>
          <w:trHeight w:val="478" w:hRule="atLeast"/>
        </w:trPr>
        <w:tc>
          <w:tcPr>
            <w:tcW w:w="1369" w:type="dxa"/>
            <w:noWrap w:val="0"/>
            <w:tcMar>
              <w:top w:w="0" w:type="dxa"/>
              <w:left w:w="108" w:type="dxa"/>
              <w:bottom w:w="0" w:type="dxa"/>
              <w:right w:w="108" w:type="dxa"/>
            </w:tcMar>
            <w:vAlign w:val="center"/>
          </w:tcPr>
          <w:p w14:paraId="5AB0F16D">
            <w:pPr>
              <w:keepNext w:val="0"/>
              <w:keepLines w:val="0"/>
              <w:pageBreakBefore w:val="0"/>
              <w:widowControl/>
              <w:pBdr>
                <w:top w:val="none" w:color="auto" w:sz="0" w:space="0"/>
                <w:left w:val="none" w:color="auto" w:sz="0" w:space="0"/>
                <w:bottom w:val="none" w:color="auto" w:sz="0" w:space="0"/>
                <w:right w:val="none" w:color="auto" w:sz="0" w:space="0"/>
              </w:pBdr>
              <w:spacing w:before="0" w:after="0" w:line="440" w:lineRule="exact"/>
              <w:ind w:right="0"/>
              <w:jc w:val="center"/>
              <w:outlineLvl w:val="1"/>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12</w:t>
            </w:r>
          </w:p>
        </w:tc>
        <w:tc>
          <w:tcPr>
            <w:tcW w:w="3113" w:type="dxa"/>
            <w:noWrap w:val="0"/>
            <w:tcMar>
              <w:top w:w="0" w:type="dxa"/>
              <w:left w:w="108" w:type="dxa"/>
              <w:bottom w:w="0" w:type="dxa"/>
              <w:right w:w="108" w:type="dxa"/>
            </w:tcMar>
            <w:vAlign w:val="center"/>
          </w:tcPr>
          <w:p w14:paraId="67DBA819">
            <w:pPr>
              <w:keepNext w:val="0"/>
              <w:keepLines w:val="0"/>
              <w:pageBreakBefore w:val="0"/>
              <w:widowControl/>
              <w:pBdr>
                <w:top w:val="none" w:color="auto" w:sz="0" w:space="0"/>
                <w:left w:val="none" w:color="auto" w:sz="0" w:space="0"/>
                <w:bottom w:val="none" w:color="auto" w:sz="0" w:space="0"/>
                <w:right w:val="none" w:color="auto" w:sz="0" w:space="0"/>
              </w:pBdr>
              <w:spacing w:before="0" w:after="0" w:line="440" w:lineRule="exact"/>
              <w:ind w:right="0"/>
              <w:jc w:val="center"/>
              <w:outlineLvl w:val="1"/>
              <w:rPr>
                <w:rFonts w:hint="eastAsia" w:ascii="宋体" w:hAnsi="宋体" w:eastAsia="宋体" w:cs="宋体"/>
                <w:sz w:val="24"/>
                <w:szCs w:val="24"/>
              </w:rPr>
            </w:pPr>
            <w:r>
              <w:rPr>
                <w:rFonts w:hint="eastAsia" w:ascii="宋体" w:hAnsi="宋体" w:eastAsia="宋体" w:cs="宋体"/>
                <w:sz w:val="24"/>
                <w:szCs w:val="24"/>
              </w:rPr>
              <w:t>其它任务完成情况</w:t>
            </w:r>
          </w:p>
        </w:tc>
        <w:tc>
          <w:tcPr>
            <w:tcW w:w="1687" w:type="dxa"/>
            <w:noWrap w:val="0"/>
            <w:tcMar>
              <w:top w:w="0" w:type="dxa"/>
              <w:left w:w="108" w:type="dxa"/>
              <w:bottom w:w="0" w:type="dxa"/>
              <w:right w:w="108" w:type="dxa"/>
            </w:tcMar>
            <w:vAlign w:val="center"/>
          </w:tcPr>
          <w:p w14:paraId="47184289">
            <w:pPr>
              <w:keepNext w:val="0"/>
              <w:keepLines w:val="0"/>
              <w:pageBreakBefore w:val="0"/>
              <w:widowControl/>
              <w:pBdr>
                <w:top w:val="none" w:color="auto" w:sz="0" w:space="0"/>
                <w:left w:val="none" w:color="auto" w:sz="0" w:space="0"/>
                <w:bottom w:val="none" w:color="auto" w:sz="0" w:space="0"/>
                <w:right w:val="none" w:color="auto" w:sz="0" w:space="0"/>
              </w:pBdr>
              <w:spacing w:before="0" w:after="0" w:line="440" w:lineRule="exact"/>
              <w:ind w:right="0"/>
              <w:jc w:val="center"/>
              <w:outlineLvl w:val="1"/>
              <w:rPr>
                <w:rFonts w:hint="eastAsia" w:ascii="宋体" w:hAnsi="宋体" w:eastAsia="宋体" w:cs="宋体"/>
                <w:sz w:val="24"/>
                <w:szCs w:val="24"/>
              </w:rPr>
            </w:pPr>
            <w:r>
              <w:rPr>
                <w:rFonts w:hint="eastAsia" w:ascii="宋体" w:hAnsi="宋体" w:eastAsia="宋体" w:cs="宋体"/>
                <w:sz w:val="24"/>
                <w:szCs w:val="24"/>
              </w:rPr>
              <w:t>5</w:t>
            </w:r>
          </w:p>
        </w:tc>
        <w:tc>
          <w:tcPr>
            <w:tcW w:w="1175" w:type="dxa"/>
            <w:noWrap w:val="0"/>
            <w:tcMar>
              <w:top w:w="0" w:type="dxa"/>
              <w:left w:w="108" w:type="dxa"/>
              <w:bottom w:w="0" w:type="dxa"/>
              <w:right w:w="108" w:type="dxa"/>
            </w:tcMar>
            <w:vAlign w:val="center"/>
          </w:tcPr>
          <w:p w14:paraId="7AFB317E">
            <w:pPr>
              <w:keepNext w:val="0"/>
              <w:keepLines w:val="0"/>
              <w:pageBreakBefore w:val="0"/>
              <w:widowControl/>
              <w:pBdr>
                <w:top w:val="none" w:color="auto" w:sz="0" w:space="0"/>
                <w:left w:val="none" w:color="auto" w:sz="0" w:space="0"/>
                <w:bottom w:val="none" w:color="auto" w:sz="0" w:space="0"/>
                <w:right w:val="none" w:color="auto" w:sz="0" w:space="0"/>
              </w:pBdr>
              <w:spacing w:before="0" w:after="0" w:line="440" w:lineRule="exact"/>
              <w:ind w:left="0" w:right="0" w:firstLine="562"/>
              <w:jc w:val="left"/>
              <w:outlineLvl w:val="1"/>
              <w:rPr>
                <w:rFonts w:hint="eastAsia" w:ascii="宋体" w:hAnsi="宋体" w:eastAsia="宋体" w:cs="宋体"/>
                <w:sz w:val="24"/>
                <w:szCs w:val="24"/>
              </w:rPr>
            </w:pPr>
            <w:r>
              <w:rPr>
                <w:rFonts w:hint="eastAsia" w:ascii="宋体" w:hAnsi="宋体" w:eastAsia="宋体" w:cs="宋体"/>
                <w:sz w:val="24"/>
                <w:szCs w:val="24"/>
              </w:rPr>
              <w:t> </w:t>
            </w:r>
          </w:p>
        </w:tc>
        <w:tc>
          <w:tcPr>
            <w:tcW w:w="1388" w:type="dxa"/>
            <w:noWrap/>
            <w:tcMar>
              <w:top w:w="0" w:type="dxa"/>
              <w:left w:w="108" w:type="dxa"/>
              <w:bottom w:w="0" w:type="dxa"/>
              <w:right w:w="108" w:type="dxa"/>
            </w:tcMar>
            <w:vAlign w:val="center"/>
          </w:tcPr>
          <w:p w14:paraId="44FBED11">
            <w:pPr>
              <w:keepNext w:val="0"/>
              <w:keepLines w:val="0"/>
              <w:pageBreakBefore w:val="0"/>
              <w:widowControl/>
              <w:pBdr>
                <w:top w:val="none" w:color="auto" w:sz="0" w:space="0"/>
                <w:left w:val="none" w:color="auto" w:sz="0" w:space="0"/>
                <w:bottom w:val="none" w:color="auto" w:sz="0" w:space="0"/>
                <w:right w:val="none" w:color="auto" w:sz="0" w:space="0"/>
              </w:pBdr>
              <w:spacing w:before="0" w:after="0" w:line="440" w:lineRule="exact"/>
              <w:ind w:left="0" w:right="0" w:firstLine="562"/>
              <w:jc w:val="left"/>
              <w:outlineLvl w:val="1"/>
              <w:rPr>
                <w:rFonts w:hint="eastAsia" w:ascii="宋体" w:hAnsi="宋体" w:eastAsia="宋体" w:cs="宋体"/>
                <w:sz w:val="24"/>
                <w:szCs w:val="24"/>
              </w:rPr>
            </w:pPr>
            <w:r>
              <w:rPr>
                <w:rFonts w:hint="eastAsia" w:ascii="宋体" w:hAnsi="宋体" w:eastAsia="宋体" w:cs="宋体"/>
                <w:sz w:val="24"/>
                <w:szCs w:val="24"/>
              </w:rPr>
              <w:t> </w:t>
            </w:r>
          </w:p>
        </w:tc>
      </w:tr>
      <w:tr w14:paraId="5621226E">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rPr>
          <w:trHeight w:val="506" w:hRule="atLeast"/>
        </w:trPr>
        <w:tc>
          <w:tcPr>
            <w:tcW w:w="4482" w:type="dxa"/>
            <w:gridSpan w:val="2"/>
            <w:noWrap w:val="0"/>
            <w:tcMar>
              <w:top w:w="0" w:type="dxa"/>
              <w:left w:w="108" w:type="dxa"/>
              <w:bottom w:w="0" w:type="dxa"/>
              <w:right w:w="108" w:type="dxa"/>
            </w:tcMar>
            <w:vAlign w:val="center"/>
          </w:tcPr>
          <w:p w14:paraId="2FCDC2D1">
            <w:pPr>
              <w:keepNext w:val="0"/>
              <w:keepLines w:val="0"/>
              <w:pageBreakBefore w:val="0"/>
              <w:widowControl/>
              <w:pBdr>
                <w:top w:val="none" w:color="auto" w:sz="0" w:space="0"/>
                <w:left w:val="none" w:color="auto" w:sz="0" w:space="0"/>
                <w:bottom w:val="none" w:color="auto" w:sz="0" w:space="0"/>
                <w:right w:val="none" w:color="auto" w:sz="0" w:space="0"/>
              </w:pBdr>
              <w:spacing w:before="0" w:after="0" w:line="440" w:lineRule="exact"/>
              <w:ind w:left="0" w:right="0" w:firstLine="562"/>
              <w:jc w:val="left"/>
              <w:outlineLvl w:val="1"/>
              <w:rPr>
                <w:rFonts w:hint="eastAsia" w:ascii="宋体" w:hAnsi="宋体" w:eastAsia="宋体" w:cs="宋体"/>
                <w:sz w:val="24"/>
                <w:szCs w:val="24"/>
              </w:rPr>
            </w:pPr>
            <w:r>
              <w:rPr>
                <w:rFonts w:hint="eastAsia" w:ascii="宋体" w:hAnsi="宋体" w:eastAsia="宋体" w:cs="宋体"/>
                <w:sz w:val="24"/>
                <w:szCs w:val="24"/>
              </w:rPr>
              <w:t>合计：</w:t>
            </w:r>
          </w:p>
        </w:tc>
        <w:tc>
          <w:tcPr>
            <w:tcW w:w="1687" w:type="dxa"/>
            <w:noWrap w:val="0"/>
            <w:tcMar>
              <w:top w:w="0" w:type="dxa"/>
              <w:left w:w="108" w:type="dxa"/>
              <w:bottom w:w="0" w:type="dxa"/>
              <w:right w:w="108" w:type="dxa"/>
            </w:tcMar>
            <w:vAlign w:val="center"/>
          </w:tcPr>
          <w:p w14:paraId="33602F33">
            <w:pPr>
              <w:keepNext w:val="0"/>
              <w:keepLines w:val="0"/>
              <w:pageBreakBefore w:val="0"/>
              <w:widowControl/>
              <w:pBdr>
                <w:top w:val="none" w:color="auto" w:sz="0" w:space="0"/>
                <w:left w:val="none" w:color="auto" w:sz="0" w:space="0"/>
                <w:bottom w:val="none" w:color="auto" w:sz="0" w:space="0"/>
                <w:right w:val="none" w:color="auto" w:sz="0" w:space="0"/>
              </w:pBdr>
              <w:spacing w:before="0" w:after="0" w:line="440" w:lineRule="exact"/>
              <w:ind w:right="0"/>
              <w:jc w:val="center"/>
              <w:outlineLvl w:val="1"/>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100</w:t>
            </w:r>
          </w:p>
        </w:tc>
        <w:tc>
          <w:tcPr>
            <w:tcW w:w="1175" w:type="dxa"/>
            <w:noWrap w:val="0"/>
            <w:tcMar>
              <w:top w:w="0" w:type="dxa"/>
              <w:left w:w="108" w:type="dxa"/>
              <w:bottom w:w="0" w:type="dxa"/>
              <w:right w:w="108" w:type="dxa"/>
            </w:tcMar>
            <w:vAlign w:val="center"/>
          </w:tcPr>
          <w:p w14:paraId="5BED7223">
            <w:pPr>
              <w:keepNext w:val="0"/>
              <w:keepLines w:val="0"/>
              <w:pageBreakBefore w:val="0"/>
              <w:widowControl/>
              <w:pBdr>
                <w:top w:val="none" w:color="auto" w:sz="0" w:space="0"/>
                <w:left w:val="none" w:color="auto" w:sz="0" w:space="0"/>
                <w:bottom w:val="none" w:color="auto" w:sz="0" w:space="0"/>
                <w:right w:val="none" w:color="auto" w:sz="0" w:space="0"/>
              </w:pBdr>
              <w:spacing w:before="0" w:after="0" w:line="440" w:lineRule="exact"/>
              <w:ind w:left="0" w:right="0" w:firstLine="562"/>
              <w:jc w:val="left"/>
              <w:outlineLvl w:val="1"/>
              <w:rPr>
                <w:rFonts w:hint="eastAsia" w:ascii="宋体" w:hAnsi="宋体" w:eastAsia="宋体" w:cs="宋体"/>
                <w:sz w:val="24"/>
                <w:szCs w:val="24"/>
              </w:rPr>
            </w:pPr>
            <w:r>
              <w:rPr>
                <w:rFonts w:hint="eastAsia" w:ascii="宋体" w:hAnsi="宋体" w:eastAsia="宋体" w:cs="宋体"/>
                <w:sz w:val="24"/>
                <w:szCs w:val="24"/>
              </w:rPr>
              <w:t> </w:t>
            </w:r>
          </w:p>
        </w:tc>
        <w:tc>
          <w:tcPr>
            <w:tcW w:w="1388" w:type="dxa"/>
            <w:noWrap w:val="0"/>
            <w:tcMar>
              <w:top w:w="0" w:type="dxa"/>
              <w:left w:w="108" w:type="dxa"/>
              <w:bottom w:w="0" w:type="dxa"/>
              <w:right w:w="108" w:type="dxa"/>
            </w:tcMar>
            <w:vAlign w:val="center"/>
          </w:tcPr>
          <w:p w14:paraId="42574ACF">
            <w:pPr>
              <w:keepNext w:val="0"/>
              <w:keepLines w:val="0"/>
              <w:pageBreakBefore w:val="0"/>
              <w:widowControl/>
              <w:pBdr>
                <w:top w:val="none" w:color="auto" w:sz="0" w:space="0"/>
                <w:left w:val="none" w:color="auto" w:sz="0" w:space="0"/>
                <w:bottom w:val="none" w:color="auto" w:sz="0" w:space="0"/>
                <w:right w:val="none" w:color="auto" w:sz="0" w:space="0"/>
              </w:pBdr>
              <w:spacing w:before="0" w:after="0" w:line="440" w:lineRule="exact"/>
              <w:ind w:left="0" w:right="0" w:firstLine="562"/>
              <w:jc w:val="left"/>
              <w:outlineLvl w:val="1"/>
              <w:rPr>
                <w:rFonts w:hint="eastAsia" w:ascii="宋体" w:hAnsi="宋体" w:eastAsia="宋体" w:cs="宋体"/>
                <w:sz w:val="24"/>
                <w:szCs w:val="24"/>
              </w:rPr>
            </w:pPr>
            <w:r>
              <w:rPr>
                <w:rFonts w:hint="eastAsia" w:ascii="宋体" w:hAnsi="宋体" w:eastAsia="宋体" w:cs="宋体"/>
                <w:sz w:val="24"/>
                <w:szCs w:val="24"/>
              </w:rPr>
              <w:t> </w:t>
            </w:r>
          </w:p>
        </w:tc>
      </w:tr>
      <w:tr w14:paraId="25D9FBA6">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rPr>
          <w:trHeight w:val="506" w:hRule="atLeast"/>
        </w:trPr>
        <w:tc>
          <w:tcPr>
            <w:tcW w:w="8732" w:type="dxa"/>
            <w:gridSpan w:val="5"/>
            <w:noWrap/>
            <w:tcMar>
              <w:top w:w="0" w:type="dxa"/>
              <w:left w:w="108" w:type="dxa"/>
              <w:bottom w:w="0" w:type="dxa"/>
              <w:right w:w="108" w:type="dxa"/>
            </w:tcMar>
            <w:vAlign w:val="center"/>
          </w:tcPr>
          <w:p w14:paraId="0D1BCABF">
            <w:pPr>
              <w:keepNext w:val="0"/>
              <w:keepLines w:val="0"/>
              <w:pageBreakBefore w:val="0"/>
              <w:widowControl/>
              <w:pBdr>
                <w:top w:val="none" w:color="auto" w:sz="0" w:space="0"/>
                <w:left w:val="none" w:color="auto" w:sz="0" w:space="0"/>
                <w:bottom w:val="none" w:color="auto" w:sz="0" w:space="0"/>
                <w:right w:val="none" w:color="auto" w:sz="0" w:space="0"/>
              </w:pBdr>
              <w:spacing w:before="0" w:after="0" w:line="440" w:lineRule="exact"/>
              <w:ind w:left="0" w:right="0" w:firstLine="562"/>
              <w:jc w:val="left"/>
              <w:outlineLvl w:val="1"/>
              <w:rPr>
                <w:rFonts w:hint="eastAsia" w:ascii="宋体" w:hAnsi="宋体" w:eastAsia="宋体" w:cs="宋体"/>
                <w:sz w:val="24"/>
                <w:szCs w:val="24"/>
              </w:rPr>
            </w:pPr>
            <w:r>
              <w:rPr>
                <w:rFonts w:hint="eastAsia" w:ascii="宋体" w:hAnsi="宋体" w:eastAsia="宋体" w:cs="宋体"/>
                <w:sz w:val="24"/>
                <w:szCs w:val="24"/>
              </w:rPr>
              <w:t>考核</w:t>
            </w:r>
            <w:r>
              <w:rPr>
                <w:rFonts w:hint="eastAsia" w:ascii="宋体" w:hAnsi="宋体" w:eastAsia="宋体" w:cs="宋体"/>
                <w:sz w:val="24"/>
                <w:szCs w:val="24"/>
                <w:lang w:eastAsia="zh-CN"/>
              </w:rPr>
              <w:t>人</w:t>
            </w:r>
            <w:r>
              <w:rPr>
                <w:rFonts w:hint="eastAsia" w:ascii="宋体" w:hAnsi="宋体" w:eastAsia="宋体" w:cs="宋体"/>
                <w:sz w:val="24"/>
                <w:szCs w:val="24"/>
              </w:rPr>
              <w:t>（签字）：</w:t>
            </w:r>
          </w:p>
          <w:p w14:paraId="5AD13E31">
            <w:pPr>
              <w:keepNext w:val="0"/>
              <w:keepLines w:val="0"/>
              <w:pageBreakBefore w:val="0"/>
              <w:widowControl/>
              <w:pBdr>
                <w:top w:val="none" w:color="auto" w:sz="0" w:space="0"/>
                <w:left w:val="none" w:color="auto" w:sz="0" w:space="0"/>
                <w:bottom w:val="none" w:color="auto" w:sz="0" w:space="0"/>
                <w:right w:val="none" w:color="auto" w:sz="0" w:space="0"/>
              </w:pBdr>
              <w:spacing w:before="0" w:after="0" w:line="440" w:lineRule="exact"/>
              <w:ind w:left="0" w:right="0" w:firstLine="562"/>
              <w:jc w:val="left"/>
              <w:outlineLvl w:val="1"/>
              <w:rPr>
                <w:rFonts w:hint="eastAsia" w:ascii="宋体" w:hAnsi="宋体" w:eastAsia="宋体" w:cs="宋体"/>
                <w:sz w:val="24"/>
                <w:szCs w:val="24"/>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日期：</w:t>
            </w:r>
          </w:p>
        </w:tc>
      </w:tr>
      <w:bookmarkEnd w:id="0"/>
    </w:tbl>
    <w:p w14:paraId="045D32D8">
      <w:pPr>
        <w:keepNext w:val="0"/>
        <w:keepLines w:val="0"/>
        <w:pageBreakBefore w:val="0"/>
        <w:widowControl/>
        <w:spacing w:line="440" w:lineRule="exact"/>
        <w:ind w:firstLine="482" w:firstLineChars="200"/>
        <w:jc w:val="left"/>
        <w:outlineLvl w:val="1"/>
        <w:rPr>
          <w:rFonts w:hint="eastAsia" w:ascii="宋体" w:hAnsi="宋体" w:eastAsia="宋体" w:cs="宋体"/>
          <w:sz w:val="24"/>
          <w:szCs w:val="24"/>
        </w:rPr>
      </w:pPr>
      <w:r>
        <w:rPr>
          <w:rFonts w:hint="eastAsia" w:ascii="宋体" w:hAnsi="宋体" w:eastAsia="宋体" w:cs="宋体"/>
          <w:b/>
          <w:bCs/>
          <w:sz w:val="24"/>
          <w:szCs w:val="24"/>
          <w:lang w:eastAsia="zh-CN"/>
        </w:rPr>
        <w:t>八</w:t>
      </w:r>
      <w:r>
        <w:rPr>
          <w:rFonts w:hint="eastAsia" w:ascii="宋体" w:hAnsi="宋体" w:eastAsia="宋体" w:cs="宋体"/>
          <w:b/>
          <w:bCs/>
          <w:sz w:val="24"/>
          <w:szCs w:val="24"/>
        </w:rPr>
        <w:t>、项目服务期限：</w:t>
      </w:r>
      <w:r>
        <w:rPr>
          <w:rFonts w:hint="eastAsia" w:ascii="宋体" w:hAnsi="宋体" w:eastAsia="宋体" w:cs="宋体"/>
          <w:sz w:val="24"/>
          <w:szCs w:val="24"/>
        </w:rPr>
        <w:t>自合同签订生效之日起1年。</w:t>
      </w:r>
    </w:p>
    <w:p w14:paraId="36CEB758">
      <w:pPr>
        <w:keepNext w:val="0"/>
        <w:keepLines w:val="0"/>
        <w:pageBreakBefore w:val="0"/>
        <w:widowControl/>
        <w:spacing w:line="440" w:lineRule="exact"/>
        <w:ind w:firstLine="562"/>
        <w:jc w:val="left"/>
        <w:outlineLvl w:val="1"/>
        <w:rPr>
          <w:rFonts w:hint="eastAsia" w:ascii="宋体" w:hAnsi="宋体" w:eastAsia="宋体" w:cs="宋体"/>
          <w:sz w:val="24"/>
          <w:szCs w:val="24"/>
        </w:rPr>
      </w:pPr>
      <w:r>
        <w:rPr>
          <w:rFonts w:hint="eastAsia" w:ascii="宋体" w:hAnsi="宋体" w:eastAsia="宋体" w:cs="宋体"/>
          <w:b/>
          <w:bCs/>
          <w:sz w:val="24"/>
          <w:szCs w:val="24"/>
        </w:rPr>
        <w:t>说明：本“</w:t>
      </w:r>
      <w:r>
        <w:rPr>
          <w:rFonts w:hint="eastAsia" w:ascii="宋体" w:hAnsi="宋体" w:eastAsia="宋体" w:cs="宋体"/>
          <w:b/>
          <w:bCs/>
          <w:sz w:val="24"/>
          <w:szCs w:val="24"/>
          <w:lang w:val="en-US" w:eastAsia="zh-CN"/>
        </w:rPr>
        <w:t>八</w:t>
      </w:r>
      <w:r>
        <w:rPr>
          <w:rFonts w:hint="eastAsia" w:ascii="宋体" w:hAnsi="宋体" w:eastAsia="宋体" w:cs="宋体"/>
          <w:b/>
          <w:bCs/>
          <w:sz w:val="24"/>
          <w:szCs w:val="24"/>
        </w:rPr>
        <w:t>、项目服务期限”为不允许偏离的实质性要求和条件，如有偏离，在符合性审查时按照投标无效处理。</w:t>
      </w:r>
    </w:p>
    <w:p w14:paraId="1F584A41">
      <w:pPr>
        <w:keepNext w:val="0"/>
        <w:keepLines w:val="0"/>
        <w:pageBreakBefore w:val="0"/>
        <w:widowControl/>
        <w:spacing w:line="440" w:lineRule="exact"/>
        <w:ind w:firstLine="562"/>
        <w:jc w:val="left"/>
        <w:outlineLvl w:val="1"/>
        <w:rPr>
          <w:rFonts w:hint="eastAsia" w:ascii="宋体" w:hAnsi="宋体" w:eastAsia="宋体" w:cs="宋体"/>
          <w:sz w:val="24"/>
          <w:szCs w:val="24"/>
        </w:rPr>
      </w:pPr>
      <w:r>
        <w:rPr>
          <w:rFonts w:hint="eastAsia" w:ascii="宋体" w:hAnsi="宋体" w:eastAsia="宋体" w:cs="宋体"/>
          <w:b/>
          <w:bCs/>
          <w:sz w:val="24"/>
          <w:szCs w:val="24"/>
          <w:lang w:eastAsia="zh-CN"/>
        </w:rPr>
        <w:t>九</w:t>
      </w:r>
      <w:r>
        <w:rPr>
          <w:rFonts w:hint="eastAsia" w:ascii="宋体" w:hAnsi="宋体" w:eastAsia="宋体" w:cs="宋体"/>
          <w:b/>
          <w:bCs/>
          <w:sz w:val="24"/>
          <w:szCs w:val="24"/>
        </w:rPr>
        <w:t>、项目服务地点：</w:t>
      </w:r>
      <w:r>
        <w:rPr>
          <w:rFonts w:hint="eastAsia" w:ascii="宋体" w:hAnsi="宋体" w:eastAsia="宋体" w:cs="宋体"/>
          <w:sz w:val="24"/>
          <w:szCs w:val="24"/>
        </w:rPr>
        <w:t>徐州市财政效能中心。</w:t>
      </w:r>
    </w:p>
    <w:p w14:paraId="6A988867">
      <w:pPr>
        <w:keepNext w:val="0"/>
        <w:keepLines w:val="0"/>
        <w:pageBreakBefore w:val="0"/>
        <w:widowControl/>
        <w:spacing w:line="440" w:lineRule="exact"/>
        <w:ind w:firstLine="482" w:firstLineChars="200"/>
        <w:jc w:val="left"/>
        <w:outlineLvl w:val="1"/>
        <w:rPr>
          <w:rFonts w:hint="eastAsia" w:ascii="宋体" w:hAnsi="宋体" w:eastAsia="宋体" w:cs="宋体"/>
          <w:sz w:val="24"/>
          <w:szCs w:val="24"/>
        </w:rPr>
      </w:pPr>
      <w:r>
        <w:rPr>
          <w:rFonts w:hint="eastAsia" w:ascii="宋体" w:hAnsi="宋体" w:eastAsia="宋体" w:cs="宋体"/>
          <w:b/>
          <w:bCs/>
          <w:sz w:val="24"/>
          <w:szCs w:val="24"/>
          <w:lang w:eastAsia="zh-CN"/>
        </w:rPr>
        <w:t>十</w:t>
      </w:r>
      <w:r>
        <w:rPr>
          <w:rFonts w:hint="eastAsia" w:ascii="宋体" w:hAnsi="宋体" w:eastAsia="宋体" w:cs="宋体"/>
          <w:b/>
          <w:bCs/>
          <w:sz w:val="24"/>
          <w:szCs w:val="24"/>
        </w:rPr>
        <w:t>、关于支付（采购资金的支付方式、时间、条件）的要求</w:t>
      </w:r>
    </w:p>
    <w:p w14:paraId="0C1EF904">
      <w:pPr>
        <w:keepNext w:val="0"/>
        <w:keepLines w:val="0"/>
        <w:pageBreakBefore w:val="0"/>
        <w:widowControl/>
        <w:spacing w:line="440" w:lineRule="exact"/>
        <w:ind w:firstLine="562"/>
        <w:jc w:val="left"/>
        <w:outlineLvl w:val="1"/>
        <w:rPr>
          <w:rFonts w:hint="eastAsia" w:ascii="宋体" w:hAnsi="宋体" w:eastAsia="宋体" w:cs="宋体"/>
          <w:sz w:val="24"/>
          <w:szCs w:val="24"/>
        </w:rPr>
      </w:pPr>
      <w:r>
        <w:rPr>
          <w:rFonts w:hint="eastAsia" w:ascii="宋体" w:hAnsi="宋体" w:eastAsia="宋体" w:cs="宋体"/>
          <w:b/>
          <w:bCs/>
          <w:sz w:val="24"/>
          <w:szCs w:val="24"/>
        </w:rPr>
        <w:t>招标文件中《拟签订的合同文本》中“</w:t>
      </w:r>
      <w:r>
        <w:rPr>
          <w:rFonts w:hint="eastAsia" w:ascii="宋体" w:hAnsi="宋体" w:eastAsia="宋体" w:cs="宋体"/>
          <w:b/>
          <w:bCs/>
          <w:sz w:val="24"/>
          <w:szCs w:val="24"/>
          <w:lang w:val="en-US" w:eastAsia="zh-CN"/>
        </w:rPr>
        <w:t>八</w:t>
      </w:r>
      <w:r>
        <w:rPr>
          <w:rFonts w:hint="eastAsia" w:ascii="宋体" w:hAnsi="宋体" w:eastAsia="宋体" w:cs="宋体"/>
          <w:b/>
          <w:bCs/>
          <w:sz w:val="24"/>
          <w:szCs w:val="24"/>
        </w:rPr>
        <w:t>、支付（采购资金的支付方式、时间、条件）” 是不允许偏离的实质性要求和条件，如有偏离，在符合性审查时按照投标无效处理。</w:t>
      </w:r>
    </w:p>
    <w:p w14:paraId="22B3D70A">
      <w:pPr>
        <w:keepNext w:val="0"/>
        <w:keepLines w:val="0"/>
        <w:pageBreakBefore w:val="0"/>
        <w:widowControl/>
        <w:spacing w:line="440" w:lineRule="exact"/>
        <w:ind w:firstLine="562"/>
        <w:jc w:val="left"/>
        <w:outlineLvl w:val="1"/>
        <w:rPr>
          <w:rFonts w:hint="eastAsia" w:ascii="宋体" w:hAnsi="宋体" w:eastAsia="宋体" w:cs="宋体"/>
          <w:sz w:val="24"/>
          <w:szCs w:val="24"/>
        </w:rPr>
      </w:pPr>
      <w:r>
        <w:rPr>
          <w:rFonts w:hint="eastAsia" w:ascii="宋体" w:hAnsi="宋体" w:eastAsia="宋体" w:cs="宋体"/>
          <w:b/>
          <w:bCs/>
          <w:sz w:val="24"/>
          <w:szCs w:val="24"/>
          <w:lang w:eastAsia="zh-CN"/>
        </w:rPr>
        <w:t>十一</w:t>
      </w:r>
      <w:r>
        <w:rPr>
          <w:rFonts w:hint="eastAsia" w:ascii="宋体" w:hAnsi="宋体" w:eastAsia="宋体" w:cs="宋体"/>
          <w:b/>
          <w:bCs/>
          <w:sz w:val="24"/>
          <w:szCs w:val="24"/>
        </w:rPr>
        <w:t>、验收标准（验收要求、验收标准和程序）要求</w:t>
      </w:r>
    </w:p>
    <w:p w14:paraId="5CBD10DA">
      <w:pPr>
        <w:keepNext w:val="0"/>
        <w:keepLines w:val="0"/>
        <w:pageBreakBefore w:val="0"/>
        <w:widowControl/>
        <w:spacing w:line="440" w:lineRule="exact"/>
        <w:ind w:firstLine="562"/>
        <w:jc w:val="left"/>
        <w:outlineLvl w:val="1"/>
        <w:rPr>
          <w:rFonts w:hint="eastAsia" w:ascii="宋体" w:hAnsi="宋体" w:eastAsia="宋体" w:cs="宋体"/>
          <w:sz w:val="24"/>
          <w:szCs w:val="24"/>
          <w:highlight w:val="none"/>
        </w:rPr>
      </w:pPr>
      <w:r>
        <w:rPr>
          <w:rFonts w:hint="eastAsia" w:ascii="宋体" w:hAnsi="宋体" w:eastAsia="宋体" w:cs="宋体"/>
          <w:sz w:val="24"/>
          <w:szCs w:val="24"/>
        </w:rPr>
        <w:t>以供应商的投标文件和供应商的澄清、说</w:t>
      </w:r>
      <w:r>
        <w:rPr>
          <w:rFonts w:hint="eastAsia" w:ascii="宋体" w:hAnsi="宋体" w:eastAsia="宋体" w:cs="宋体"/>
          <w:sz w:val="24"/>
          <w:szCs w:val="24"/>
          <w:highlight w:val="none"/>
        </w:rPr>
        <w:t>明或者更正为验收标准；供应商的投标文件和供应商的澄清、说明或者更正不明确的，以《招标文件》相关要求为验收标准；供应商的投标文件和供应商的澄清、说明或者更正和相关要求都不明确的，按国家相关标准；以上都不明确的，以通常标准为准。</w:t>
      </w:r>
    </w:p>
    <w:p w14:paraId="412F7610">
      <w:pPr>
        <w:keepNext w:val="0"/>
        <w:keepLines w:val="0"/>
        <w:pageBreakBefore w:val="0"/>
        <w:widowControl/>
        <w:spacing w:line="440" w:lineRule="exact"/>
        <w:ind w:firstLine="562"/>
        <w:jc w:val="left"/>
        <w:outlineLvl w:val="1"/>
        <w:rPr>
          <w:rFonts w:hint="eastAsia" w:ascii="宋体" w:hAnsi="宋体" w:eastAsia="宋体" w:cs="宋体"/>
          <w:b/>
          <w:bCs/>
          <w:sz w:val="28"/>
          <w:szCs w:val="28"/>
          <w:highlight w:val="none"/>
          <w:lang w:val="en-US" w:eastAsia="zh-CN"/>
        </w:rPr>
      </w:pPr>
      <w:r>
        <w:rPr>
          <w:rFonts w:hint="eastAsia" w:ascii="宋体" w:hAnsi="宋体" w:eastAsia="宋体" w:cs="宋体"/>
          <w:b/>
          <w:bCs/>
          <w:sz w:val="24"/>
          <w:szCs w:val="24"/>
          <w:highlight w:val="none"/>
        </w:rPr>
        <w:t>十</w:t>
      </w:r>
      <w:r>
        <w:rPr>
          <w:rFonts w:hint="eastAsia" w:ascii="宋体" w:hAnsi="宋体" w:eastAsia="宋体" w:cs="宋体"/>
          <w:b/>
          <w:bCs/>
          <w:sz w:val="24"/>
          <w:szCs w:val="24"/>
          <w:highlight w:val="none"/>
          <w:lang w:eastAsia="zh-CN"/>
        </w:rPr>
        <w:t>二</w:t>
      </w:r>
      <w:r>
        <w:rPr>
          <w:rFonts w:hint="eastAsia" w:ascii="宋体" w:hAnsi="宋体" w:eastAsia="宋体" w:cs="宋体"/>
          <w:b/>
          <w:bCs/>
          <w:sz w:val="24"/>
          <w:szCs w:val="24"/>
          <w:highlight w:val="none"/>
        </w:rPr>
        <w:t>、其他要求：见招标文件第五章《拟签订的合同文本》。</w:t>
      </w:r>
    </w:p>
    <w:p w14:paraId="09385647">
      <w:pPr>
        <w:keepNext w:val="0"/>
        <w:keepLines w:val="0"/>
        <w:pageBreakBefore w:val="0"/>
        <w:widowControl w:val="0"/>
        <w:spacing w:line="312" w:lineRule="auto"/>
        <w:ind w:right="0"/>
        <w:jc w:val="center"/>
        <w:outlineLvl w:val="1"/>
        <w:rPr>
          <w:rFonts w:hint="eastAsia" w:ascii="宋体" w:hAnsi="宋体" w:eastAsia="宋体" w:cs="宋体"/>
          <w:b/>
          <w:bCs/>
          <w:color w:val="000000"/>
          <w:sz w:val="28"/>
          <w:szCs w:val="28"/>
          <w:highlight w:val="none"/>
          <w:lang w:val="en-US" w:eastAsia="zh-CN"/>
        </w:rPr>
      </w:pPr>
      <w:r>
        <w:rPr>
          <w:rFonts w:hint="eastAsia" w:ascii="宋体" w:hAnsi="宋体" w:eastAsia="宋体" w:cs="宋体"/>
          <w:b/>
          <w:bCs/>
          <w:color w:val="000000"/>
          <w:sz w:val="28"/>
          <w:szCs w:val="28"/>
          <w:highlight w:val="none"/>
          <w:lang w:val="en-US" w:eastAsia="zh-CN"/>
        </w:rPr>
        <w:t>采购包2：财政机房核心软硬件维保</w:t>
      </w:r>
    </w:p>
    <w:p w14:paraId="5927BB86">
      <w:pPr>
        <w:spacing w:line="360" w:lineRule="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一、说明</w:t>
      </w:r>
    </w:p>
    <w:p w14:paraId="7DC6E2E2">
      <w:pPr>
        <w:spacing w:line="360" w:lineRule="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1.</w:t>
      </w:r>
      <w:r>
        <w:rPr>
          <w:rFonts w:hint="eastAsia" w:ascii="宋体" w:hAnsi="宋体" w:eastAsia="宋体" w:cs="宋体"/>
          <w:color w:val="000000" w:themeColor="text1"/>
          <w:sz w:val="24"/>
          <w:szCs w:val="24"/>
          <w14:textFill>
            <w14:solidFill>
              <w14:schemeClr w14:val="tx1"/>
            </w14:solidFill>
          </w14:textFill>
        </w:rPr>
        <w:t>本项目不接受超过</w:t>
      </w:r>
      <w:r>
        <w:rPr>
          <w:rFonts w:hint="eastAsia" w:ascii="宋体" w:hAnsi="宋体" w:eastAsia="宋体" w:cs="宋体"/>
          <w:color w:val="000000" w:themeColor="text1"/>
          <w:sz w:val="24"/>
          <w:szCs w:val="24"/>
          <w:lang w:val="en-US" w:eastAsia="zh-CN"/>
          <w14:textFill>
            <w14:solidFill>
              <w14:schemeClr w14:val="tx1"/>
            </w14:solidFill>
          </w14:textFill>
        </w:rPr>
        <w:t>45</w:t>
      </w:r>
      <w:r>
        <w:rPr>
          <w:rFonts w:hint="eastAsia" w:ascii="宋体" w:hAnsi="宋体" w:eastAsia="宋体" w:cs="宋体"/>
          <w:color w:val="000000" w:themeColor="text1"/>
          <w:sz w:val="24"/>
          <w:szCs w:val="24"/>
          <w14:textFill>
            <w14:solidFill>
              <w14:schemeClr w14:val="tx1"/>
            </w14:solidFill>
          </w14:textFill>
        </w:rPr>
        <w:t>万元的报价。</w:t>
      </w:r>
    </w:p>
    <w:p w14:paraId="1E16A9CD">
      <w:pPr>
        <w:spacing w:line="360" w:lineRule="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2.本项目为专门面向中小企业的项目。</w:t>
      </w:r>
    </w:p>
    <w:p w14:paraId="6507F1C4">
      <w:pPr>
        <w:spacing w:line="360" w:lineRule="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w:t>
      </w:r>
      <w:r>
        <w:rPr>
          <w:rFonts w:hint="eastAsia" w:ascii="宋体" w:hAnsi="宋体" w:eastAsia="宋体" w:cs="宋体"/>
          <w:color w:val="000000" w:themeColor="text1"/>
          <w:kern w:val="0"/>
          <w:sz w:val="24"/>
          <w:szCs w:val="24"/>
          <w14:textFill>
            <w14:solidFill>
              <w14:schemeClr w14:val="tx1"/>
            </w14:solidFill>
          </w14:textFill>
        </w:rPr>
        <w:t>采购标的：</w:t>
      </w:r>
      <w:r>
        <w:rPr>
          <w:rFonts w:hint="eastAsia" w:ascii="宋体" w:hAnsi="宋体" w:eastAsia="宋体" w:cs="宋体"/>
          <w:color w:val="000000" w:themeColor="text1"/>
          <w:sz w:val="24"/>
          <w:szCs w:val="24"/>
          <w:lang w:eastAsia="zh-CN"/>
          <w14:textFill>
            <w14:solidFill>
              <w14:schemeClr w14:val="tx1"/>
            </w14:solidFill>
          </w14:textFill>
        </w:rPr>
        <w:t>财政机房核心软硬件维保</w:t>
      </w:r>
      <w:r>
        <w:rPr>
          <w:rFonts w:hint="eastAsia" w:ascii="宋体" w:hAnsi="宋体" w:eastAsia="宋体" w:cs="宋体"/>
          <w:color w:val="000000" w:themeColor="text1"/>
          <w:sz w:val="24"/>
          <w:szCs w:val="24"/>
          <w14:textFill>
            <w14:solidFill>
              <w14:schemeClr w14:val="tx1"/>
            </w14:solidFill>
          </w14:textFill>
        </w:rPr>
        <w:t>。</w:t>
      </w:r>
    </w:p>
    <w:p w14:paraId="62DCA412">
      <w:pPr>
        <w:spacing w:line="360" w:lineRule="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（财政机房核心软硬件维保）对应的中小企业划分标准所属行业为（</w:t>
      </w:r>
      <w:r>
        <w:rPr>
          <w:rFonts w:hint="eastAsia" w:ascii="宋体" w:hAnsi="宋体" w:eastAsia="宋体" w:cs="宋体"/>
          <w:color w:val="000000" w:themeColor="text1"/>
          <w:kern w:val="0"/>
          <w:sz w:val="24"/>
          <w:szCs w:val="24"/>
          <w14:textFill>
            <w14:solidFill>
              <w14:schemeClr w14:val="tx1"/>
            </w14:solidFill>
          </w14:textFill>
        </w:rPr>
        <w:t>软件和信息技术服务业</w:t>
      </w:r>
      <w:r>
        <w:rPr>
          <w:rFonts w:hint="eastAsia" w:ascii="宋体" w:hAnsi="宋体" w:eastAsia="宋体" w:cs="宋体"/>
          <w:color w:val="000000" w:themeColor="text1"/>
          <w:sz w:val="24"/>
          <w:szCs w:val="24"/>
          <w14:textFill>
            <w14:solidFill>
              <w14:schemeClr w14:val="tx1"/>
            </w14:solidFill>
          </w14:textFill>
        </w:rPr>
        <w:t>）</w:t>
      </w:r>
    </w:p>
    <w:p w14:paraId="24A3D132">
      <w:pPr>
        <w:spacing w:line="360" w:lineRule="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注：中小企业划分标准所属行业以《工业和信息化部、国家统计局、国家发展和改革委员会、财政部关于印发中小企业划型标准规定的通知》（工信部联企业[2011]300号）的规定为准。</w:t>
      </w:r>
    </w:p>
    <w:p w14:paraId="13B9D956">
      <w:pPr>
        <w:spacing w:line="360" w:lineRule="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二、维保服务期限自采购合同签订并生效后1年。</w:t>
      </w:r>
    </w:p>
    <w:p w14:paraId="374D0DD0">
      <w:pPr>
        <w:spacing w:line="360" w:lineRule="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三、维保服务要求</w:t>
      </w:r>
    </w:p>
    <w:p w14:paraId="6D8F6DA1">
      <w:pPr>
        <w:spacing w:line="360" w:lineRule="auto"/>
        <w:outlineLvl w:val="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  （一）维保服务清单</w:t>
      </w:r>
    </w:p>
    <w:p w14:paraId="0BBE51D2">
      <w:pPr>
        <w:spacing w:line="360" w:lineRule="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     1.硬件部分清单</w:t>
      </w:r>
    </w:p>
    <w:tbl>
      <w:tblPr>
        <w:tblStyle w:val="11"/>
        <w:tblW w:w="8241" w:type="dxa"/>
        <w:jc w:val="center"/>
        <w:tblLayout w:type="fixed"/>
        <w:tblCellMar>
          <w:top w:w="0" w:type="dxa"/>
          <w:left w:w="108" w:type="dxa"/>
          <w:bottom w:w="0" w:type="dxa"/>
          <w:right w:w="108" w:type="dxa"/>
        </w:tblCellMar>
      </w:tblPr>
      <w:tblGrid>
        <w:gridCol w:w="1228"/>
        <w:gridCol w:w="945"/>
        <w:gridCol w:w="1552"/>
        <w:gridCol w:w="2615"/>
        <w:gridCol w:w="1901"/>
      </w:tblGrid>
      <w:tr w14:paraId="0BA61248">
        <w:tblPrEx>
          <w:tblCellMar>
            <w:top w:w="0" w:type="dxa"/>
            <w:left w:w="108" w:type="dxa"/>
            <w:bottom w:w="0" w:type="dxa"/>
            <w:right w:w="108" w:type="dxa"/>
          </w:tblCellMar>
        </w:tblPrEx>
        <w:trPr>
          <w:trHeight w:val="567" w:hRule="atLeast"/>
          <w:jc w:val="center"/>
        </w:trPr>
        <w:tc>
          <w:tcPr>
            <w:tcW w:w="1228" w:type="dxa"/>
            <w:tcBorders>
              <w:top w:val="single" w:color="auto" w:sz="4" w:space="0"/>
              <w:left w:val="single" w:color="auto" w:sz="8" w:space="0"/>
              <w:bottom w:val="single" w:color="auto" w:sz="8" w:space="0"/>
              <w:right w:val="single" w:color="auto" w:sz="8" w:space="0"/>
            </w:tcBorders>
            <w:noWrap w:val="0"/>
            <w:vAlign w:val="center"/>
          </w:tcPr>
          <w:p w14:paraId="69F7E038">
            <w:pPr>
              <w:widowControl/>
              <w:jc w:val="center"/>
              <w:rPr>
                <w:rFonts w:hint="eastAsia" w:ascii="宋体" w:hAnsi="宋体" w:eastAsia="宋体" w:cs="宋体"/>
                <w:b/>
                <w:bCs/>
                <w:kern w:val="0"/>
                <w:sz w:val="24"/>
                <w:szCs w:val="24"/>
              </w:rPr>
            </w:pPr>
            <w:r>
              <w:rPr>
                <w:rFonts w:hint="eastAsia" w:ascii="宋体" w:hAnsi="宋体" w:eastAsia="宋体" w:cs="宋体"/>
                <w:b/>
                <w:bCs/>
                <w:kern w:val="0"/>
                <w:sz w:val="24"/>
                <w:szCs w:val="24"/>
                <w:lang w:val="en-US" w:eastAsia="zh-CN"/>
              </w:rPr>
              <w:t>硬件</w:t>
            </w:r>
            <w:r>
              <w:rPr>
                <w:rFonts w:hint="eastAsia" w:ascii="宋体" w:hAnsi="宋体" w:eastAsia="宋体" w:cs="宋体"/>
                <w:b/>
                <w:bCs/>
                <w:kern w:val="0"/>
                <w:sz w:val="24"/>
                <w:szCs w:val="24"/>
              </w:rPr>
              <w:t>类别</w:t>
            </w:r>
          </w:p>
        </w:tc>
        <w:tc>
          <w:tcPr>
            <w:tcW w:w="945" w:type="dxa"/>
            <w:tcBorders>
              <w:top w:val="single" w:color="auto" w:sz="4" w:space="0"/>
              <w:left w:val="nil"/>
              <w:bottom w:val="single" w:color="auto" w:sz="8" w:space="0"/>
              <w:right w:val="single" w:color="auto" w:sz="8" w:space="0"/>
            </w:tcBorders>
            <w:noWrap w:val="0"/>
            <w:vAlign w:val="center"/>
          </w:tcPr>
          <w:p w14:paraId="264035E3">
            <w:pPr>
              <w:widowControl/>
              <w:jc w:val="center"/>
              <w:rPr>
                <w:rFonts w:hint="eastAsia" w:ascii="宋体" w:hAnsi="宋体" w:eastAsia="宋体" w:cs="宋体"/>
                <w:b/>
                <w:bCs/>
                <w:kern w:val="0"/>
                <w:sz w:val="24"/>
                <w:szCs w:val="24"/>
              </w:rPr>
            </w:pPr>
            <w:r>
              <w:rPr>
                <w:rFonts w:hint="eastAsia" w:ascii="宋体" w:hAnsi="宋体" w:eastAsia="宋体" w:cs="宋体"/>
                <w:b/>
                <w:bCs/>
                <w:kern w:val="0"/>
                <w:sz w:val="24"/>
                <w:szCs w:val="24"/>
              </w:rPr>
              <w:t>序号</w:t>
            </w:r>
          </w:p>
        </w:tc>
        <w:tc>
          <w:tcPr>
            <w:tcW w:w="1552" w:type="dxa"/>
            <w:tcBorders>
              <w:top w:val="single" w:color="auto" w:sz="8" w:space="0"/>
              <w:left w:val="nil"/>
              <w:bottom w:val="single" w:color="auto" w:sz="8" w:space="0"/>
              <w:right w:val="single" w:color="000000" w:sz="8" w:space="0"/>
            </w:tcBorders>
            <w:noWrap w:val="0"/>
            <w:vAlign w:val="center"/>
          </w:tcPr>
          <w:p w14:paraId="5790F081">
            <w:pPr>
              <w:widowControl/>
              <w:jc w:val="center"/>
              <w:rPr>
                <w:rFonts w:hint="eastAsia" w:ascii="宋体" w:hAnsi="宋体" w:eastAsia="宋体" w:cs="宋体"/>
                <w:b/>
                <w:bCs/>
                <w:kern w:val="0"/>
                <w:sz w:val="24"/>
                <w:szCs w:val="24"/>
              </w:rPr>
            </w:pPr>
            <w:r>
              <w:rPr>
                <w:rFonts w:hint="eastAsia" w:ascii="宋体" w:hAnsi="宋体" w:eastAsia="宋体" w:cs="宋体"/>
                <w:b/>
                <w:bCs/>
                <w:kern w:val="0"/>
                <w:sz w:val="24"/>
                <w:szCs w:val="24"/>
              </w:rPr>
              <w:t>设备名称</w:t>
            </w:r>
          </w:p>
        </w:tc>
        <w:tc>
          <w:tcPr>
            <w:tcW w:w="2615" w:type="dxa"/>
            <w:tcBorders>
              <w:top w:val="single" w:color="auto" w:sz="8" w:space="0"/>
              <w:left w:val="nil"/>
              <w:bottom w:val="single" w:color="auto" w:sz="8" w:space="0"/>
              <w:right w:val="single" w:color="000000" w:sz="8" w:space="0"/>
            </w:tcBorders>
            <w:noWrap w:val="0"/>
            <w:vAlign w:val="center"/>
          </w:tcPr>
          <w:p w14:paraId="39B9EB20">
            <w:pPr>
              <w:widowControl/>
              <w:jc w:val="center"/>
              <w:rPr>
                <w:rFonts w:hint="eastAsia" w:ascii="宋体" w:hAnsi="宋体" w:eastAsia="宋体" w:cs="宋体"/>
                <w:b/>
                <w:bCs/>
                <w:kern w:val="0"/>
                <w:sz w:val="24"/>
                <w:szCs w:val="24"/>
              </w:rPr>
            </w:pPr>
            <w:r>
              <w:rPr>
                <w:rFonts w:hint="eastAsia" w:ascii="宋体" w:hAnsi="宋体" w:eastAsia="宋体" w:cs="宋体"/>
                <w:b/>
                <w:bCs/>
                <w:kern w:val="0"/>
                <w:sz w:val="24"/>
                <w:szCs w:val="24"/>
              </w:rPr>
              <w:t>型号</w:t>
            </w:r>
          </w:p>
        </w:tc>
        <w:tc>
          <w:tcPr>
            <w:tcW w:w="1901" w:type="dxa"/>
            <w:tcBorders>
              <w:top w:val="single" w:color="auto" w:sz="8" w:space="0"/>
              <w:left w:val="nil"/>
              <w:bottom w:val="single" w:color="auto" w:sz="8" w:space="0"/>
              <w:right w:val="single" w:color="000000" w:sz="8" w:space="0"/>
            </w:tcBorders>
            <w:noWrap w:val="0"/>
            <w:vAlign w:val="center"/>
          </w:tcPr>
          <w:p w14:paraId="619FDCFD">
            <w:pPr>
              <w:widowControl/>
              <w:jc w:val="center"/>
              <w:rPr>
                <w:rFonts w:hint="eastAsia" w:ascii="宋体" w:hAnsi="宋体" w:eastAsia="宋体" w:cs="宋体"/>
                <w:b/>
                <w:bCs/>
                <w:kern w:val="0"/>
                <w:sz w:val="24"/>
                <w:szCs w:val="24"/>
              </w:rPr>
            </w:pPr>
            <w:r>
              <w:rPr>
                <w:rFonts w:hint="eastAsia" w:ascii="宋体" w:hAnsi="宋体" w:eastAsia="宋体" w:cs="宋体"/>
                <w:b/>
                <w:bCs/>
                <w:kern w:val="0"/>
                <w:sz w:val="24"/>
                <w:szCs w:val="24"/>
              </w:rPr>
              <w:t>序列号</w:t>
            </w:r>
          </w:p>
        </w:tc>
      </w:tr>
      <w:tr w14:paraId="5DE33834">
        <w:tblPrEx>
          <w:tblCellMar>
            <w:top w:w="0" w:type="dxa"/>
            <w:left w:w="108" w:type="dxa"/>
            <w:bottom w:w="0" w:type="dxa"/>
            <w:right w:w="108" w:type="dxa"/>
          </w:tblCellMar>
        </w:tblPrEx>
        <w:trPr>
          <w:trHeight w:val="567" w:hRule="atLeast"/>
          <w:jc w:val="center"/>
        </w:trPr>
        <w:tc>
          <w:tcPr>
            <w:tcW w:w="1228" w:type="dxa"/>
            <w:vMerge w:val="restart"/>
            <w:tcBorders>
              <w:top w:val="nil"/>
              <w:left w:val="single" w:color="auto" w:sz="8" w:space="0"/>
              <w:right w:val="single" w:color="auto" w:sz="8" w:space="0"/>
            </w:tcBorders>
            <w:noWrap w:val="0"/>
            <w:vAlign w:val="center"/>
          </w:tcPr>
          <w:p w14:paraId="084ABEBB">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小型机及其相关设备</w:t>
            </w:r>
          </w:p>
        </w:tc>
        <w:tc>
          <w:tcPr>
            <w:tcW w:w="945" w:type="dxa"/>
            <w:tcBorders>
              <w:top w:val="nil"/>
              <w:left w:val="single" w:color="auto" w:sz="8" w:space="0"/>
              <w:bottom w:val="single" w:color="000000" w:sz="8" w:space="0"/>
              <w:right w:val="single" w:color="auto" w:sz="8" w:space="0"/>
            </w:tcBorders>
            <w:noWrap w:val="0"/>
            <w:vAlign w:val="center"/>
          </w:tcPr>
          <w:p w14:paraId="4282A66B">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1</w:t>
            </w:r>
          </w:p>
        </w:tc>
        <w:tc>
          <w:tcPr>
            <w:tcW w:w="1552" w:type="dxa"/>
            <w:tcBorders>
              <w:top w:val="single" w:color="auto" w:sz="8" w:space="0"/>
              <w:left w:val="single" w:color="auto" w:sz="8" w:space="0"/>
              <w:bottom w:val="single" w:color="000000" w:sz="8" w:space="0"/>
              <w:right w:val="single" w:color="000000" w:sz="8" w:space="0"/>
            </w:tcBorders>
            <w:noWrap w:val="0"/>
            <w:vAlign w:val="center"/>
          </w:tcPr>
          <w:p w14:paraId="375B6145">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小型机</w:t>
            </w:r>
          </w:p>
        </w:tc>
        <w:tc>
          <w:tcPr>
            <w:tcW w:w="2615" w:type="dxa"/>
            <w:tcBorders>
              <w:top w:val="single" w:color="auto" w:sz="8" w:space="0"/>
              <w:left w:val="nil"/>
              <w:bottom w:val="single" w:color="auto" w:sz="8" w:space="0"/>
              <w:right w:val="single" w:color="000000" w:sz="8" w:space="0"/>
            </w:tcBorders>
            <w:noWrap w:val="0"/>
            <w:vAlign w:val="center"/>
          </w:tcPr>
          <w:p w14:paraId="028FAE93">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IBM S824(8286-42A）</w:t>
            </w:r>
          </w:p>
        </w:tc>
        <w:tc>
          <w:tcPr>
            <w:tcW w:w="1901" w:type="dxa"/>
            <w:tcBorders>
              <w:top w:val="single" w:color="auto" w:sz="8" w:space="0"/>
              <w:left w:val="single" w:color="auto" w:sz="8" w:space="0"/>
              <w:bottom w:val="single" w:color="000000" w:sz="8" w:space="0"/>
              <w:right w:val="single" w:color="000000" w:sz="8" w:space="0"/>
            </w:tcBorders>
            <w:noWrap w:val="0"/>
            <w:vAlign w:val="center"/>
          </w:tcPr>
          <w:p w14:paraId="270578A3">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84BD9FW</w:t>
            </w:r>
          </w:p>
        </w:tc>
      </w:tr>
      <w:tr w14:paraId="4138C478">
        <w:tblPrEx>
          <w:tblCellMar>
            <w:top w:w="0" w:type="dxa"/>
            <w:left w:w="108" w:type="dxa"/>
            <w:bottom w:w="0" w:type="dxa"/>
            <w:right w:w="108" w:type="dxa"/>
          </w:tblCellMar>
        </w:tblPrEx>
        <w:trPr>
          <w:trHeight w:val="567" w:hRule="atLeast"/>
          <w:jc w:val="center"/>
        </w:trPr>
        <w:tc>
          <w:tcPr>
            <w:tcW w:w="1228" w:type="dxa"/>
            <w:vMerge w:val="continue"/>
            <w:tcBorders>
              <w:left w:val="single" w:color="auto" w:sz="8" w:space="0"/>
              <w:right w:val="single" w:color="auto" w:sz="8" w:space="0"/>
            </w:tcBorders>
            <w:noWrap w:val="0"/>
            <w:vAlign w:val="center"/>
          </w:tcPr>
          <w:p w14:paraId="458889F7">
            <w:pPr>
              <w:widowControl/>
              <w:jc w:val="center"/>
              <w:rPr>
                <w:rFonts w:hint="eastAsia" w:ascii="宋体" w:hAnsi="宋体" w:eastAsia="宋体" w:cs="宋体"/>
                <w:kern w:val="0"/>
                <w:sz w:val="24"/>
                <w:szCs w:val="24"/>
              </w:rPr>
            </w:pPr>
          </w:p>
        </w:tc>
        <w:tc>
          <w:tcPr>
            <w:tcW w:w="945" w:type="dxa"/>
            <w:tcBorders>
              <w:top w:val="nil"/>
              <w:left w:val="single" w:color="auto" w:sz="8" w:space="0"/>
              <w:bottom w:val="single" w:color="000000" w:sz="8" w:space="0"/>
              <w:right w:val="single" w:color="auto" w:sz="8" w:space="0"/>
            </w:tcBorders>
            <w:noWrap w:val="0"/>
            <w:vAlign w:val="center"/>
          </w:tcPr>
          <w:p w14:paraId="177F4F25">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2</w:t>
            </w:r>
          </w:p>
        </w:tc>
        <w:tc>
          <w:tcPr>
            <w:tcW w:w="1552" w:type="dxa"/>
            <w:tcBorders>
              <w:top w:val="single" w:color="auto" w:sz="8" w:space="0"/>
              <w:left w:val="single" w:color="auto" w:sz="8" w:space="0"/>
              <w:bottom w:val="single" w:color="000000" w:sz="8" w:space="0"/>
              <w:right w:val="single" w:color="000000" w:sz="8" w:space="0"/>
            </w:tcBorders>
            <w:noWrap w:val="0"/>
            <w:vAlign w:val="center"/>
          </w:tcPr>
          <w:p w14:paraId="088300D6">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小型机</w:t>
            </w:r>
          </w:p>
        </w:tc>
        <w:tc>
          <w:tcPr>
            <w:tcW w:w="2615" w:type="dxa"/>
            <w:tcBorders>
              <w:top w:val="single" w:color="auto" w:sz="8" w:space="0"/>
              <w:left w:val="nil"/>
              <w:bottom w:val="single" w:color="auto" w:sz="8" w:space="0"/>
              <w:right w:val="single" w:color="000000" w:sz="8" w:space="0"/>
            </w:tcBorders>
            <w:noWrap w:val="0"/>
            <w:vAlign w:val="center"/>
          </w:tcPr>
          <w:p w14:paraId="223A07CA">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IBM S824(8286-42A）</w:t>
            </w:r>
          </w:p>
        </w:tc>
        <w:tc>
          <w:tcPr>
            <w:tcW w:w="1901" w:type="dxa"/>
            <w:tcBorders>
              <w:top w:val="single" w:color="auto" w:sz="8" w:space="0"/>
              <w:left w:val="single" w:color="auto" w:sz="8" w:space="0"/>
              <w:bottom w:val="single" w:color="000000" w:sz="8" w:space="0"/>
              <w:right w:val="single" w:color="000000" w:sz="8" w:space="0"/>
            </w:tcBorders>
            <w:noWrap w:val="0"/>
            <w:vAlign w:val="center"/>
          </w:tcPr>
          <w:p w14:paraId="2C70B960">
            <w:pPr>
              <w:widowControl/>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rPr>
              <w:t>84BDA0W</w:t>
            </w:r>
          </w:p>
        </w:tc>
      </w:tr>
      <w:tr w14:paraId="4DA387CA">
        <w:tblPrEx>
          <w:tblCellMar>
            <w:top w:w="0" w:type="dxa"/>
            <w:left w:w="108" w:type="dxa"/>
            <w:bottom w:w="0" w:type="dxa"/>
            <w:right w:w="108" w:type="dxa"/>
          </w:tblCellMar>
        </w:tblPrEx>
        <w:trPr>
          <w:trHeight w:val="567" w:hRule="atLeast"/>
          <w:jc w:val="center"/>
        </w:trPr>
        <w:tc>
          <w:tcPr>
            <w:tcW w:w="1228" w:type="dxa"/>
            <w:vMerge w:val="continue"/>
            <w:tcBorders>
              <w:left w:val="single" w:color="auto" w:sz="8" w:space="0"/>
              <w:right w:val="single" w:color="auto" w:sz="8" w:space="0"/>
            </w:tcBorders>
            <w:noWrap w:val="0"/>
            <w:vAlign w:val="center"/>
          </w:tcPr>
          <w:p w14:paraId="1C1CE770">
            <w:pPr>
              <w:widowControl/>
              <w:jc w:val="center"/>
              <w:rPr>
                <w:rFonts w:hint="eastAsia" w:ascii="宋体" w:hAnsi="宋体" w:eastAsia="宋体" w:cs="宋体"/>
                <w:kern w:val="0"/>
                <w:sz w:val="24"/>
                <w:szCs w:val="24"/>
              </w:rPr>
            </w:pPr>
          </w:p>
        </w:tc>
        <w:tc>
          <w:tcPr>
            <w:tcW w:w="945" w:type="dxa"/>
            <w:tcBorders>
              <w:top w:val="nil"/>
              <w:left w:val="single" w:color="auto" w:sz="8" w:space="0"/>
              <w:bottom w:val="single" w:color="000000" w:sz="8" w:space="0"/>
              <w:right w:val="single" w:color="auto" w:sz="8" w:space="0"/>
            </w:tcBorders>
            <w:noWrap w:val="0"/>
            <w:vAlign w:val="center"/>
          </w:tcPr>
          <w:p w14:paraId="49B4CBCA">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3</w:t>
            </w:r>
          </w:p>
        </w:tc>
        <w:tc>
          <w:tcPr>
            <w:tcW w:w="1552" w:type="dxa"/>
            <w:tcBorders>
              <w:top w:val="single" w:color="auto" w:sz="8" w:space="0"/>
              <w:left w:val="single" w:color="auto" w:sz="8" w:space="0"/>
              <w:bottom w:val="single" w:color="000000" w:sz="8" w:space="0"/>
              <w:right w:val="single" w:color="000000" w:sz="8" w:space="0"/>
            </w:tcBorders>
            <w:noWrap w:val="0"/>
            <w:vAlign w:val="center"/>
          </w:tcPr>
          <w:p w14:paraId="43E8DB0C">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小型机</w:t>
            </w:r>
          </w:p>
        </w:tc>
        <w:tc>
          <w:tcPr>
            <w:tcW w:w="2615" w:type="dxa"/>
            <w:tcBorders>
              <w:top w:val="single" w:color="auto" w:sz="8" w:space="0"/>
              <w:left w:val="nil"/>
              <w:bottom w:val="single" w:color="auto" w:sz="8" w:space="0"/>
              <w:right w:val="single" w:color="000000" w:sz="8" w:space="0"/>
            </w:tcBorders>
            <w:noWrap w:val="0"/>
            <w:vAlign w:val="center"/>
          </w:tcPr>
          <w:p w14:paraId="57B0DBB6">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IBM P560(8234-EMA)</w:t>
            </w:r>
          </w:p>
        </w:tc>
        <w:tc>
          <w:tcPr>
            <w:tcW w:w="1901" w:type="dxa"/>
            <w:tcBorders>
              <w:top w:val="single" w:color="auto" w:sz="8" w:space="0"/>
              <w:left w:val="single" w:color="auto" w:sz="8" w:space="0"/>
              <w:bottom w:val="single" w:color="000000" w:sz="8" w:space="0"/>
              <w:right w:val="single" w:color="000000" w:sz="8" w:space="0"/>
            </w:tcBorders>
            <w:noWrap w:val="0"/>
            <w:vAlign w:val="center"/>
          </w:tcPr>
          <w:p w14:paraId="792DB101">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06CBA14</w:t>
            </w:r>
          </w:p>
        </w:tc>
      </w:tr>
      <w:tr w14:paraId="2FB574D6">
        <w:tblPrEx>
          <w:tblCellMar>
            <w:top w:w="0" w:type="dxa"/>
            <w:left w:w="108" w:type="dxa"/>
            <w:bottom w:w="0" w:type="dxa"/>
            <w:right w:w="108" w:type="dxa"/>
          </w:tblCellMar>
        </w:tblPrEx>
        <w:trPr>
          <w:trHeight w:val="567" w:hRule="atLeast"/>
          <w:jc w:val="center"/>
        </w:trPr>
        <w:tc>
          <w:tcPr>
            <w:tcW w:w="1228" w:type="dxa"/>
            <w:vMerge w:val="continue"/>
            <w:tcBorders>
              <w:left w:val="single" w:color="auto" w:sz="8" w:space="0"/>
              <w:right w:val="single" w:color="auto" w:sz="8" w:space="0"/>
            </w:tcBorders>
            <w:noWrap w:val="0"/>
            <w:vAlign w:val="center"/>
          </w:tcPr>
          <w:p w14:paraId="313170C1">
            <w:pPr>
              <w:widowControl/>
              <w:jc w:val="center"/>
              <w:rPr>
                <w:rFonts w:hint="eastAsia" w:ascii="宋体" w:hAnsi="宋体" w:eastAsia="宋体" w:cs="宋体"/>
                <w:kern w:val="0"/>
                <w:sz w:val="24"/>
                <w:szCs w:val="24"/>
              </w:rPr>
            </w:pPr>
          </w:p>
        </w:tc>
        <w:tc>
          <w:tcPr>
            <w:tcW w:w="945" w:type="dxa"/>
            <w:tcBorders>
              <w:top w:val="nil"/>
              <w:left w:val="single" w:color="auto" w:sz="8" w:space="0"/>
              <w:bottom w:val="single" w:color="000000" w:sz="8" w:space="0"/>
              <w:right w:val="single" w:color="auto" w:sz="8" w:space="0"/>
            </w:tcBorders>
            <w:noWrap w:val="0"/>
            <w:vAlign w:val="center"/>
          </w:tcPr>
          <w:p w14:paraId="6EB03B68">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4</w:t>
            </w:r>
          </w:p>
        </w:tc>
        <w:tc>
          <w:tcPr>
            <w:tcW w:w="1552" w:type="dxa"/>
            <w:tcBorders>
              <w:top w:val="single" w:color="auto" w:sz="8" w:space="0"/>
              <w:left w:val="single" w:color="auto" w:sz="8" w:space="0"/>
              <w:bottom w:val="single" w:color="000000" w:sz="8" w:space="0"/>
              <w:right w:val="single" w:color="000000" w:sz="8" w:space="0"/>
            </w:tcBorders>
            <w:noWrap w:val="0"/>
            <w:vAlign w:val="center"/>
          </w:tcPr>
          <w:p w14:paraId="035956FC">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小型机</w:t>
            </w:r>
          </w:p>
        </w:tc>
        <w:tc>
          <w:tcPr>
            <w:tcW w:w="2615" w:type="dxa"/>
            <w:tcBorders>
              <w:top w:val="single" w:color="auto" w:sz="8" w:space="0"/>
              <w:left w:val="nil"/>
              <w:bottom w:val="single" w:color="auto" w:sz="8" w:space="0"/>
              <w:right w:val="single" w:color="000000" w:sz="8" w:space="0"/>
            </w:tcBorders>
            <w:noWrap w:val="0"/>
            <w:vAlign w:val="center"/>
          </w:tcPr>
          <w:p w14:paraId="355F292B">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IBM P560(8234-EMA)</w:t>
            </w:r>
          </w:p>
        </w:tc>
        <w:tc>
          <w:tcPr>
            <w:tcW w:w="1901" w:type="dxa"/>
            <w:tcBorders>
              <w:top w:val="single" w:color="auto" w:sz="8" w:space="0"/>
              <w:left w:val="single" w:color="auto" w:sz="8" w:space="0"/>
              <w:bottom w:val="single" w:color="000000" w:sz="8" w:space="0"/>
              <w:right w:val="single" w:color="000000" w:sz="8" w:space="0"/>
            </w:tcBorders>
            <w:noWrap w:val="0"/>
            <w:vAlign w:val="center"/>
          </w:tcPr>
          <w:p w14:paraId="5E97BF17">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06CB7F4</w:t>
            </w:r>
          </w:p>
        </w:tc>
      </w:tr>
      <w:tr w14:paraId="5F94339F">
        <w:tblPrEx>
          <w:tblCellMar>
            <w:top w:w="0" w:type="dxa"/>
            <w:left w:w="108" w:type="dxa"/>
            <w:bottom w:w="0" w:type="dxa"/>
            <w:right w:w="108" w:type="dxa"/>
          </w:tblCellMar>
        </w:tblPrEx>
        <w:trPr>
          <w:trHeight w:val="567" w:hRule="atLeast"/>
          <w:jc w:val="center"/>
        </w:trPr>
        <w:tc>
          <w:tcPr>
            <w:tcW w:w="1228" w:type="dxa"/>
            <w:vMerge w:val="continue"/>
            <w:tcBorders>
              <w:left w:val="single" w:color="auto" w:sz="8" w:space="0"/>
              <w:right w:val="single" w:color="auto" w:sz="8" w:space="0"/>
            </w:tcBorders>
            <w:noWrap w:val="0"/>
            <w:vAlign w:val="center"/>
          </w:tcPr>
          <w:p w14:paraId="4CC20473">
            <w:pPr>
              <w:widowControl/>
              <w:jc w:val="center"/>
              <w:rPr>
                <w:rFonts w:hint="eastAsia" w:ascii="宋体" w:hAnsi="宋体" w:eastAsia="宋体" w:cs="宋体"/>
                <w:kern w:val="0"/>
                <w:sz w:val="24"/>
                <w:szCs w:val="24"/>
              </w:rPr>
            </w:pPr>
          </w:p>
        </w:tc>
        <w:tc>
          <w:tcPr>
            <w:tcW w:w="945" w:type="dxa"/>
            <w:tcBorders>
              <w:top w:val="nil"/>
              <w:left w:val="single" w:color="auto" w:sz="8" w:space="0"/>
              <w:bottom w:val="single" w:color="000000" w:sz="8" w:space="0"/>
              <w:right w:val="single" w:color="auto" w:sz="8" w:space="0"/>
            </w:tcBorders>
            <w:noWrap w:val="0"/>
            <w:vAlign w:val="center"/>
          </w:tcPr>
          <w:p w14:paraId="0A31D66D">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5</w:t>
            </w:r>
          </w:p>
        </w:tc>
        <w:tc>
          <w:tcPr>
            <w:tcW w:w="1552" w:type="dxa"/>
            <w:tcBorders>
              <w:top w:val="single" w:color="auto" w:sz="8" w:space="0"/>
              <w:left w:val="single" w:color="auto" w:sz="8" w:space="0"/>
              <w:bottom w:val="single" w:color="000000" w:sz="8" w:space="0"/>
              <w:right w:val="single" w:color="000000" w:sz="8" w:space="0"/>
            </w:tcBorders>
            <w:noWrap w:val="0"/>
            <w:vAlign w:val="center"/>
          </w:tcPr>
          <w:p w14:paraId="61720B53">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小型机</w:t>
            </w:r>
          </w:p>
        </w:tc>
        <w:tc>
          <w:tcPr>
            <w:tcW w:w="2615" w:type="dxa"/>
            <w:tcBorders>
              <w:top w:val="single" w:color="auto" w:sz="8" w:space="0"/>
              <w:left w:val="nil"/>
              <w:bottom w:val="single" w:color="auto" w:sz="8" w:space="0"/>
              <w:right w:val="single" w:color="000000" w:sz="8" w:space="0"/>
            </w:tcBorders>
            <w:noWrap w:val="0"/>
            <w:vAlign w:val="center"/>
          </w:tcPr>
          <w:p w14:paraId="1D12F8B8">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IBM P570(9117-570)</w:t>
            </w:r>
          </w:p>
        </w:tc>
        <w:tc>
          <w:tcPr>
            <w:tcW w:w="1901" w:type="dxa"/>
            <w:tcBorders>
              <w:top w:val="single" w:color="auto" w:sz="8" w:space="0"/>
              <w:left w:val="single" w:color="auto" w:sz="8" w:space="0"/>
              <w:bottom w:val="single" w:color="000000" w:sz="8" w:space="0"/>
              <w:right w:val="single" w:color="000000" w:sz="8" w:space="0"/>
            </w:tcBorders>
            <w:noWrap w:val="0"/>
            <w:vAlign w:val="center"/>
          </w:tcPr>
          <w:p w14:paraId="458F5570">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0638DF0</w:t>
            </w:r>
          </w:p>
        </w:tc>
      </w:tr>
      <w:tr w14:paraId="22915B38">
        <w:tblPrEx>
          <w:tblCellMar>
            <w:top w:w="0" w:type="dxa"/>
            <w:left w:w="108" w:type="dxa"/>
            <w:bottom w:w="0" w:type="dxa"/>
            <w:right w:w="108" w:type="dxa"/>
          </w:tblCellMar>
        </w:tblPrEx>
        <w:trPr>
          <w:trHeight w:val="567" w:hRule="atLeast"/>
          <w:jc w:val="center"/>
        </w:trPr>
        <w:tc>
          <w:tcPr>
            <w:tcW w:w="1228" w:type="dxa"/>
            <w:vMerge w:val="continue"/>
            <w:tcBorders>
              <w:left w:val="single" w:color="auto" w:sz="8" w:space="0"/>
              <w:right w:val="single" w:color="auto" w:sz="8" w:space="0"/>
            </w:tcBorders>
            <w:noWrap w:val="0"/>
            <w:vAlign w:val="center"/>
          </w:tcPr>
          <w:p w14:paraId="5E2B96C7">
            <w:pPr>
              <w:widowControl/>
              <w:jc w:val="center"/>
              <w:rPr>
                <w:rFonts w:hint="eastAsia" w:ascii="宋体" w:hAnsi="宋体" w:eastAsia="宋体" w:cs="宋体"/>
                <w:kern w:val="0"/>
                <w:sz w:val="24"/>
                <w:szCs w:val="24"/>
              </w:rPr>
            </w:pPr>
          </w:p>
        </w:tc>
        <w:tc>
          <w:tcPr>
            <w:tcW w:w="945" w:type="dxa"/>
            <w:tcBorders>
              <w:top w:val="nil"/>
              <w:left w:val="single" w:color="auto" w:sz="8" w:space="0"/>
              <w:bottom w:val="single" w:color="000000" w:sz="8" w:space="0"/>
              <w:right w:val="single" w:color="auto" w:sz="8" w:space="0"/>
            </w:tcBorders>
            <w:noWrap w:val="0"/>
            <w:vAlign w:val="center"/>
          </w:tcPr>
          <w:p w14:paraId="02E91874">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6</w:t>
            </w:r>
          </w:p>
        </w:tc>
        <w:tc>
          <w:tcPr>
            <w:tcW w:w="1552" w:type="dxa"/>
            <w:tcBorders>
              <w:top w:val="single" w:color="auto" w:sz="8" w:space="0"/>
              <w:left w:val="single" w:color="auto" w:sz="8" w:space="0"/>
              <w:bottom w:val="single" w:color="000000" w:sz="8" w:space="0"/>
              <w:right w:val="single" w:color="000000" w:sz="8" w:space="0"/>
            </w:tcBorders>
            <w:noWrap w:val="0"/>
            <w:vAlign w:val="center"/>
          </w:tcPr>
          <w:p w14:paraId="5F69266D">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小型机</w:t>
            </w:r>
          </w:p>
        </w:tc>
        <w:tc>
          <w:tcPr>
            <w:tcW w:w="2615" w:type="dxa"/>
            <w:tcBorders>
              <w:top w:val="single" w:color="auto" w:sz="8" w:space="0"/>
              <w:left w:val="nil"/>
              <w:bottom w:val="single" w:color="auto" w:sz="4" w:space="0"/>
              <w:right w:val="single" w:color="000000" w:sz="8" w:space="0"/>
            </w:tcBorders>
            <w:noWrap w:val="0"/>
            <w:vAlign w:val="center"/>
          </w:tcPr>
          <w:p w14:paraId="7E91798E">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IBM P570(9117-570)</w:t>
            </w:r>
          </w:p>
        </w:tc>
        <w:tc>
          <w:tcPr>
            <w:tcW w:w="1901" w:type="dxa"/>
            <w:tcBorders>
              <w:top w:val="single" w:color="auto" w:sz="8" w:space="0"/>
              <w:left w:val="single" w:color="auto" w:sz="8" w:space="0"/>
              <w:bottom w:val="single" w:color="000000" w:sz="8" w:space="0"/>
              <w:right w:val="single" w:color="000000" w:sz="8" w:space="0"/>
            </w:tcBorders>
            <w:noWrap w:val="0"/>
            <w:vAlign w:val="center"/>
          </w:tcPr>
          <w:p w14:paraId="0672845D">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0638DD0</w:t>
            </w:r>
          </w:p>
        </w:tc>
      </w:tr>
      <w:tr w14:paraId="55C7D31B">
        <w:tblPrEx>
          <w:tblCellMar>
            <w:top w:w="0" w:type="dxa"/>
            <w:left w:w="108" w:type="dxa"/>
            <w:bottom w:w="0" w:type="dxa"/>
            <w:right w:w="108" w:type="dxa"/>
          </w:tblCellMar>
        </w:tblPrEx>
        <w:trPr>
          <w:trHeight w:val="567" w:hRule="atLeast"/>
          <w:jc w:val="center"/>
        </w:trPr>
        <w:tc>
          <w:tcPr>
            <w:tcW w:w="1228" w:type="dxa"/>
            <w:vMerge w:val="continue"/>
            <w:tcBorders>
              <w:left w:val="single" w:color="auto" w:sz="8" w:space="0"/>
              <w:right w:val="single" w:color="auto" w:sz="8" w:space="0"/>
            </w:tcBorders>
            <w:noWrap w:val="0"/>
            <w:vAlign w:val="center"/>
          </w:tcPr>
          <w:p w14:paraId="41DCEFB7">
            <w:pPr>
              <w:widowControl/>
              <w:jc w:val="center"/>
              <w:rPr>
                <w:rFonts w:hint="eastAsia" w:ascii="宋体" w:hAnsi="宋体" w:eastAsia="宋体" w:cs="宋体"/>
                <w:kern w:val="0"/>
                <w:sz w:val="24"/>
                <w:szCs w:val="24"/>
              </w:rPr>
            </w:pPr>
          </w:p>
        </w:tc>
        <w:tc>
          <w:tcPr>
            <w:tcW w:w="945" w:type="dxa"/>
            <w:tcBorders>
              <w:top w:val="single" w:color="auto" w:sz="4" w:space="0"/>
              <w:left w:val="single" w:color="auto" w:sz="8" w:space="0"/>
              <w:bottom w:val="single" w:color="000000" w:sz="8" w:space="0"/>
              <w:right w:val="single" w:color="auto" w:sz="8" w:space="0"/>
            </w:tcBorders>
            <w:noWrap w:val="0"/>
            <w:vAlign w:val="center"/>
          </w:tcPr>
          <w:p w14:paraId="455D3949">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7</w:t>
            </w:r>
          </w:p>
        </w:tc>
        <w:tc>
          <w:tcPr>
            <w:tcW w:w="1552" w:type="dxa"/>
            <w:tcBorders>
              <w:top w:val="single" w:color="auto" w:sz="4" w:space="0"/>
              <w:left w:val="single" w:color="auto" w:sz="8" w:space="0"/>
              <w:bottom w:val="single" w:color="000000" w:sz="8" w:space="0"/>
              <w:right w:val="single" w:color="000000" w:sz="8" w:space="0"/>
            </w:tcBorders>
            <w:noWrap w:val="0"/>
            <w:vAlign w:val="center"/>
          </w:tcPr>
          <w:p w14:paraId="4004E944">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小型机</w:t>
            </w:r>
          </w:p>
        </w:tc>
        <w:tc>
          <w:tcPr>
            <w:tcW w:w="2615" w:type="dxa"/>
            <w:tcBorders>
              <w:top w:val="single" w:color="auto" w:sz="4" w:space="0"/>
              <w:left w:val="nil"/>
              <w:bottom w:val="single" w:color="auto" w:sz="8" w:space="0"/>
              <w:right w:val="single" w:color="000000" w:sz="8" w:space="0"/>
            </w:tcBorders>
            <w:noWrap w:val="0"/>
            <w:vAlign w:val="center"/>
          </w:tcPr>
          <w:p w14:paraId="5C7239FE">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IBM S824(8286-42A）</w:t>
            </w:r>
          </w:p>
        </w:tc>
        <w:tc>
          <w:tcPr>
            <w:tcW w:w="1901" w:type="dxa"/>
            <w:tcBorders>
              <w:top w:val="single" w:color="auto" w:sz="4" w:space="0"/>
              <w:left w:val="single" w:color="auto" w:sz="8" w:space="0"/>
              <w:bottom w:val="single" w:color="000000" w:sz="8" w:space="0"/>
              <w:right w:val="single" w:color="000000" w:sz="8" w:space="0"/>
            </w:tcBorders>
            <w:noWrap w:val="0"/>
            <w:vAlign w:val="center"/>
          </w:tcPr>
          <w:p w14:paraId="4FBEE74C">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683819X</w:t>
            </w:r>
          </w:p>
        </w:tc>
      </w:tr>
      <w:tr w14:paraId="53A4F597">
        <w:tblPrEx>
          <w:tblCellMar>
            <w:top w:w="0" w:type="dxa"/>
            <w:left w:w="108" w:type="dxa"/>
            <w:bottom w:w="0" w:type="dxa"/>
            <w:right w:w="108" w:type="dxa"/>
          </w:tblCellMar>
        </w:tblPrEx>
        <w:trPr>
          <w:trHeight w:val="567" w:hRule="atLeast"/>
          <w:jc w:val="center"/>
        </w:trPr>
        <w:tc>
          <w:tcPr>
            <w:tcW w:w="1228" w:type="dxa"/>
            <w:vMerge w:val="continue"/>
            <w:tcBorders>
              <w:left w:val="single" w:color="auto" w:sz="8" w:space="0"/>
              <w:right w:val="single" w:color="auto" w:sz="8" w:space="0"/>
            </w:tcBorders>
            <w:noWrap w:val="0"/>
            <w:vAlign w:val="center"/>
          </w:tcPr>
          <w:p w14:paraId="371A2FD4">
            <w:pPr>
              <w:widowControl/>
              <w:jc w:val="center"/>
              <w:rPr>
                <w:rFonts w:hint="eastAsia" w:ascii="宋体" w:hAnsi="宋体" w:eastAsia="宋体" w:cs="宋体"/>
                <w:kern w:val="0"/>
                <w:sz w:val="24"/>
                <w:szCs w:val="24"/>
              </w:rPr>
            </w:pPr>
          </w:p>
        </w:tc>
        <w:tc>
          <w:tcPr>
            <w:tcW w:w="945" w:type="dxa"/>
            <w:tcBorders>
              <w:top w:val="nil"/>
              <w:left w:val="nil"/>
              <w:bottom w:val="single" w:color="auto" w:sz="8" w:space="0"/>
              <w:right w:val="single" w:color="auto" w:sz="8" w:space="0"/>
            </w:tcBorders>
            <w:noWrap w:val="0"/>
            <w:vAlign w:val="center"/>
          </w:tcPr>
          <w:p w14:paraId="1C10979D">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8</w:t>
            </w:r>
          </w:p>
        </w:tc>
        <w:tc>
          <w:tcPr>
            <w:tcW w:w="1552" w:type="dxa"/>
            <w:tcBorders>
              <w:top w:val="single" w:color="auto" w:sz="8" w:space="0"/>
              <w:left w:val="nil"/>
              <w:bottom w:val="single" w:color="auto" w:sz="8" w:space="0"/>
              <w:right w:val="single" w:color="000000" w:sz="8" w:space="0"/>
            </w:tcBorders>
            <w:noWrap w:val="0"/>
            <w:vAlign w:val="center"/>
          </w:tcPr>
          <w:p w14:paraId="6E733488">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主存储</w:t>
            </w:r>
          </w:p>
        </w:tc>
        <w:tc>
          <w:tcPr>
            <w:tcW w:w="2615" w:type="dxa"/>
            <w:tcBorders>
              <w:top w:val="single" w:color="auto" w:sz="8" w:space="0"/>
              <w:left w:val="nil"/>
              <w:bottom w:val="single" w:color="auto" w:sz="8" w:space="0"/>
              <w:right w:val="single" w:color="000000" w:sz="8" w:space="0"/>
            </w:tcBorders>
            <w:noWrap w:val="0"/>
            <w:vAlign w:val="center"/>
          </w:tcPr>
          <w:p w14:paraId="0ADA1DEF">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IBM DS4800</w:t>
            </w:r>
          </w:p>
        </w:tc>
        <w:tc>
          <w:tcPr>
            <w:tcW w:w="1901" w:type="dxa"/>
            <w:tcBorders>
              <w:top w:val="single" w:color="auto" w:sz="8" w:space="0"/>
              <w:left w:val="nil"/>
              <w:bottom w:val="single" w:color="auto" w:sz="8" w:space="0"/>
              <w:right w:val="single" w:color="000000" w:sz="8" w:space="0"/>
            </w:tcBorders>
            <w:noWrap w:val="0"/>
            <w:vAlign w:val="center"/>
          </w:tcPr>
          <w:p w14:paraId="6EBBD525">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1305302J</w:t>
            </w:r>
          </w:p>
        </w:tc>
      </w:tr>
      <w:tr w14:paraId="1DC1B806">
        <w:tblPrEx>
          <w:tblCellMar>
            <w:top w:w="0" w:type="dxa"/>
            <w:left w:w="108" w:type="dxa"/>
            <w:bottom w:w="0" w:type="dxa"/>
            <w:right w:w="108" w:type="dxa"/>
          </w:tblCellMar>
        </w:tblPrEx>
        <w:trPr>
          <w:trHeight w:val="567" w:hRule="atLeast"/>
          <w:jc w:val="center"/>
        </w:trPr>
        <w:tc>
          <w:tcPr>
            <w:tcW w:w="1228" w:type="dxa"/>
            <w:vMerge w:val="continue"/>
            <w:tcBorders>
              <w:left w:val="single" w:color="auto" w:sz="8" w:space="0"/>
              <w:right w:val="single" w:color="auto" w:sz="8" w:space="0"/>
            </w:tcBorders>
            <w:noWrap w:val="0"/>
            <w:vAlign w:val="center"/>
          </w:tcPr>
          <w:p w14:paraId="7D079AB3">
            <w:pPr>
              <w:widowControl/>
              <w:jc w:val="center"/>
              <w:rPr>
                <w:rFonts w:hint="eastAsia" w:ascii="宋体" w:hAnsi="宋体" w:eastAsia="宋体" w:cs="宋体"/>
                <w:kern w:val="0"/>
                <w:sz w:val="24"/>
                <w:szCs w:val="24"/>
              </w:rPr>
            </w:pPr>
          </w:p>
        </w:tc>
        <w:tc>
          <w:tcPr>
            <w:tcW w:w="945" w:type="dxa"/>
            <w:tcBorders>
              <w:top w:val="nil"/>
              <w:left w:val="nil"/>
              <w:bottom w:val="single" w:color="auto" w:sz="8" w:space="0"/>
              <w:right w:val="single" w:color="auto" w:sz="8" w:space="0"/>
            </w:tcBorders>
            <w:noWrap w:val="0"/>
            <w:vAlign w:val="center"/>
          </w:tcPr>
          <w:p w14:paraId="45530972">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9</w:t>
            </w:r>
          </w:p>
        </w:tc>
        <w:tc>
          <w:tcPr>
            <w:tcW w:w="1552" w:type="dxa"/>
            <w:tcBorders>
              <w:top w:val="single" w:color="auto" w:sz="8" w:space="0"/>
              <w:left w:val="nil"/>
              <w:bottom w:val="single" w:color="auto" w:sz="8" w:space="0"/>
              <w:right w:val="single" w:color="000000" w:sz="8" w:space="0"/>
            </w:tcBorders>
            <w:noWrap w:val="0"/>
            <w:vAlign w:val="center"/>
          </w:tcPr>
          <w:p w14:paraId="2419CA74">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主存储</w:t>
            </w:r>
          </w:p>
        </w:tc>
        <w:tc>
          <w:tcPr>
            <w:tcW w:w="2615" w:type="dxa"/>
            <w:tcBorders>
              <w:top w:val="single" w:color="auto" w:sz="8" w:space="0"/>
              <w:left w:val="nil"/>
              <w:bottom w:val="single" w:color="auto" w:sz="8" w:space="0"/>
              <w:right w:val="single" w:color="000000" w:sz="8" w:space="0"/>
            </w:tcBorders>
            <w:noWrap w:val="0"/>
            <w:vAlign w:val="center"/>
          </w:tcPr>
          <w:p w14:paraId="2657D015">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IBM V7000</w:t>
            </w:r>
          </w:p>
        </w:tc>
        <w:tc>
          <w:tcPr>
            <w:tcW w:w="1901" w:type="dxa"/>
            <w:tcBorders>
              <w:top w:val="single" w:color="auto" w:sz="8" w:space="0"/>
              <w:left w:val="nil"/>
              <w:bottom w:val="single" w:color="auto" w:sz="8" w:space="0"/>
              <w:right w:val="single" w:color="000000" w:sz="8" w:space="0"/>
            </w:tcBorders>
            <w:noWrap w:val="0"/>
            <w:vAlign w:val="center"/>
          </w:tcPr>
          <w:p w14:paraId="0D3F8875">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23D0835</w:t>
            </w:r>
          </w:p>
        </w:tc>
      </w:tr>
      <w:tr w14:paraId="2710BEC6">
        <w:tblPrEx>
          <w:tblCellMar>
            <w:top w:w="0" w:type="dxa"/>
            <w:left w:w="108" w:type="dxa"/>
            <w:bottom w:w="0" w:type="dxa"/>
            <w:right w:w="108" w:type="dxa"/>
          </w:tblCellMar>
        </w:tblPrEx>
        <w:trPr>
          <w:trHeight w:val="567" w:hRule="atLeast"/>
          <w:jc w:val="center"/>
        </w:trPr>
        <w:tc>
          <w:tcPr>
            <w:tcW w:w="1228" w:type="dxa"/>
            <w:vMerge w:val="continue"/>
            <w:tcBorders>
              <w:left w:val="single" w:color="auto" w:sz="8" w:space="0"/>
              <w:right w:val="single" w:color="auto" w:sz="8" w:space="0"/>
            </w:tcBorders>
            <w:noWrap w:val="0"/>
            <w:vAlign w:val="center"/>
          </w:tcPr>
          <w:p w14:paraId="4E74D131">
            <w:pPr>
              <w:widowControl/>
              <w:jc w:val="center"/>
              <w:rPr>
                <w:rFonts w:hint="eastAsia" w:ascii="宋体" w:hAnsi="宋体" w:eastAsia="宋体" w:cs="宋体"/>
                <w:kern w:val="0"/>
                <w:sz w:val="24"/>
                <w:szCs w:val="24"/>
              </w:rPr>
            </w:pPr>
          </w:p>
        </w:tc>
        <w:tc>
          <w:tcPr>
            <w:tcW w:w="945" w:type="dxa"/>
            <w:tcBorders>
              <w:top w:val="nil"/>
              <w:left w:val="nil"/>
              <w:bottom w:val="single" w:color="auto" w:sz="8" w:space="0"/>
              <w:right w:val="single" w:color="auto" w:sz="8" w:space="0"/>
            </w:tcBorders>
            <w:noWrap w:val="0"/>
            <w:vAlign w:val="center"/>
          </w:tcPr>
          <w:p w14:paraId="52BBCB66">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10</w:t>
            </w:r>
          </w:p>
        </w:tc>
        <w:tc>
          <w:tcPr>
            <w:tcW w:w="1552" w:type="dxa"/>
            <w:tcBorders>
              <w:top w:val="single" w:color="auto" w:sz="8" w:space="0"/>
              <w:left w:val="nil"/>
              <w:bottom w:val="single" w:color="auto" w:sz="8" w:space="0"/>
              <w:right w:val="single" w:color="000000" w:sz="8" w:space="0"/>
            </w:tcBorders>
            <w:noWrap w:val="0"/>
            <w:vAlign w:val="center"/>
          </w:tcPr>
          <w:p w14:paraId="0894AA61">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主存储</w:t>
            </w:r>
          </w:p>
        </w:tc>
        <w:tc>
          <w:tcPr>
            <w:tcW w:w="2615" w:type="dxa"/>
            <w:tcBorders>
              <w:top w:val="single" w:color="auto" w:sz="8" w:space="0"/>
              <w:left w:val="nil"/>
              <w:bottom w:val="single" w:color="auto" w:sz="8" w:space="0"/>
              <w:right w:val="single" w:color="000000" w:sz="8" w:space="0"/>
            </w:tcBorders>
            <w:noWrap w:val="0"/>
            <w:vAlign w:val="center"/>
          </w:tcPr>
          <w:p w14:paraId="3625764D">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新云东方NV7030</w:t>
            </w:r>
          </w:p>
        </w:tc>
        <w:tc>
          <w:tcPr>
            <w:tcW w:w="1901" w:type="dxa"/>
            <w:tcBorders>
              <w:top w:val="single" w:color="auto" w:sz="8" w:space="0"/>
              <w:left w:val="nil"/>
              <w:bottom w:val="single" w:color="auto" w:sz="8" w:space="0"/>
              <w:right w:val="single" w:color="000000" w:sz="8" w:space="0"/>
            </w:tcBorders>
            <w:noWrap w:val="0"/>
            <w:vAlign w:val="center"/>
          </w:tcPr>
          <w:p w14:paraId="3D065AD6">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7823FKB</w:t>
            </w:r>
          </w:p>
        </w:tc>
      </w:tr>
      <w:tr w14:paraId="324E7695">
        <w:tblPrEx>
          <w:tblCellMar>
            <w:top w:w="0" w:type="dxa"/>
            <w:left w:w="108" w:type="dxa"/>
            <w:bottom w:w="0" w:type="dxa"/>
            <w:right w:w="108" w:type="dxa"/>
          </w:tblCellMar>
        </w:tblPrEx>
        <w:trPr>
          <w:trHeight w:val="567" w:hRule="atLeast"/>
          <w:jc w:val="center"/>
        </w:trPr>
        <w:tc>
          <w:tcPr>
            <w:tcW w:w="1228" w:type="dxa"/>
            <w:vMerge w:val="continue"/>
            <w:tcBorders>
              <w:left w:val="single" w:color="auto" w:sz="8" w:space="0"/>
              <w:right w:val="single" w:color="auto" w:sz="8" w:space="0"/>
            </w:tcBorders>
            <w:noWrap w:val="0"/>
            <w:vAlign w:val="center"/>
          </w:tcPr>
          <w:p w14:paraId="11A71A00">
            <w:pPr>
              <w:widowControl/>
              <w:jc w:val="center"/>
              <w:rPr>
                <w:rFonts w:hint="eastAsia" w:ascii="宋体" w:hAnsi="宋体" w:eastAsia="宋体" w:cs="宋体"/>
                <w:kern w:val="0"/>
                <w:sz w:val="24"/>
                <w:szCs w:val="24"/>
              </w:rPr>
            </w:pPr>
          </w:p>
        </w:tc>
        <w:tc>
          <w:tcPr>
            <w:tcW w:w="945" w:type="dxa"/>
            <w:tcBorders>
              <w:top w:val="single" w:color="auto" w:sz="8" w:space="0"/>
              <w:left w:val="nil"/>
              <w:bottom w:val="single" w:color="auto" w:sz="8" w:space="0"/>
              <w:right w:val="single" w:color="auto" w:sz="8" w:space="0"/>
            </w:tcBorders>
            <w:noWrap w:val="0"/>
            <w:vAlign w:val="center"/>
          </w:tcPr>
          <w:p w14:paraId="49EFBA11">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11</w:t>
            </w:r>
          </w:p>
        </w:tc>
        <w:tc>
          <w:tcPr>
            <w:tcW w:w="1552" w:type="dxa"/>
            <w:tcBorders>
              <w:top w:val="single" w:color="auto" w:sz="8" w:space="0"/>
              <w:left w:val="nil"/>
              <w:bottom w:val="single" w:color="auto" w:sz="8" w:space="0"/>
              <w:right w:val="single" w:color="000000" w:sz="8" w:space="0"/>
            </w:tcBorders>
            <w:noWrap w:val="0"/>
            <w:vAlign w:val="center"/>
          </w:tcPr>
          <w:p w14:paraId="735F050B">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主存储</w:t>
            </w:r>
          </w:p>
        </w:tc>
        <w:tc>
          <w:tcPr>
            <w:tcW w:w="2615" w:type="dxa"/>
            <w:tcBorders>
              <w:top w:val="single" w:color="auto" w:sz="8" w:space="0"/>
              <w:left w:val="nil"/>
              <w:bottom w:val="single" w:color="auto" w:sz="8" w:space="0"/>
              <w:right w:val="single" w:color="000000" w:sz="8" w:space="0"/>
            </w:tcBorders>
            <w:noWrap w:val="0"/>
            <w:vAlign w:val="center"/>
          </w:tcPr>
          <w:p w14:paraId="379E57CF">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IBM V7000</w:t>
            </w:r>
          </w:p>
        </w:tc>
        <w:tc>
          <w:tcPr>
            <w:tcW w:w="1901" w:type="dxa"/>
            <w:tcBorders>
              <w:top w:val="single" w:color="auto" w:sz="8" w:space="0"/>
              <w:left w:val="nil"/>
              <w:bottom w:val="single" w:color="auto" w:sz="8" w:space="0"/>
              <w:right w:val="single" w:color="000000" w:sz="8" w:space="0"/>
            </w:tcBorders>
            <w:noWrap w:val="0"/>
            <w:vAlign w:val="center"/>
          </w:tcPr>
          <w:p w14:paraId="4B09D3CF">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78RGFNV</w:t>
            </w:r>
          </w:p>
        </w:tc>
      </w:tr>
      <w:tr w14:paraId="22D9F6D5">
        <w:tblPrEx>
          <w:tblCellMar>
            <w:top w:w="0" w:type="dxa"/>
            <w:left w:w="108" w:type="dxa"/>
            <w:bottom w:w="0" w:type="dxa"/>
            <w:right w:w="108" w:type="dxa"/>
          </w:tblCellMar>
        </w:tblPrEx>
        <w:trPr>
          <w:trHeight w:val="567" w:hRule="atLeast"/>
          <w:jc w:val="center"/>
        </w:trPr>
        <w:tc>
          <w:tcPr>
            <w:tcW w:w="1228" w:type="dxa"/>
            <w:vMerge w:val="continue"/>
            <w:tcBorders>
              <w:left w:val="single" w:color="auto" w:sz="8" w:space="0"/>
              <w:right w:val="single" w:color="auto" w:sz="8" w:space="0"/>
            </w:tcBorders>
            <w:noWrap w:val="0"/>
            <w:vAlign w:val="center"/>
          </w:tcPr>
          <w:p w14:paraId="79B8C26F">
            <w:pPr>
              <w:widowControl/>
              <w:jc w:val="center"/>
              <w:rPr>
                <w:rFonts w:hint="eastAsia" w:ascii="宋体" w:hAnsi="宋体" w:eastAsia="宋体" w:cs="宋体"/>
                <w:kern w:val="0"/>
                <w:sz w:val="24"/>
                <w:szCs w:val="24"/>
              </w:rPr>
            </w:pPr>
          </w:p>
        </w:tc>
        <w:tc>
          <w:tcPr>
            <w:tcW w:w="945" w:type="dxa"/>
            <w:tcBorders>
              <w:top w:val="single" w:color="auto" w:sz="8" w:space="0"/>
              <w:left w:val="nil"/>
              <w:bottom w:val="single" w:color="auto" w:sz="8" w:space="0"/>
              <w:right w:val="single" w:color="auto" w:sz="8" w:space="0"/>
            </w:tcBorders>
            <w:noWrap w:val="0"/>
            <w:vAlign w:val="center"/>
          </w:tcPr>
          <w:p w14:paraId="56FBEECC">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12</w:t>
            </w:r>
          </w:p>
        </w:tc>
        <w:tc>
          <w:tcPr>
            <w:tcW w:w="1552" w:type="dxa"/>
            <w:tcBorders>
              <w:top w:val="single" w:color="auto" w:sz="8" w:space="0"/>
              <w:left w:val="nil"/>
              <w:bottom w:val="single" w:color="auto" w:sz="8" w:space="0"/>
              <w:right w:val="single" w:color="000000" w:sz="8" w:space="0"/>
            </w:tcBorders>
            <w:noWrap w:val="0"/>
            <w:vAlign w:val="center"/>
          </w:tcPr>
          <w:p w14:paraId="7A0B4BB1">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主存储</w:t>
            </w:r>
          </w:p>
        </w:tc>
        <w:tc>
          <w:tcPr>
            <w:tcW w:w="2615" w:type="dxa"/>
            <w:tcBorders>
              <w:top w:val="single" w:color="auto" w:sz="8" w:space="0"/>
              <w:left w:val="nil"/>
              <w:bottom w:val="single" w:color="auto" w:sz="8" w:space="0"/>
              <w:right w:val="single" w:color="000000" w:sz="8" w:space="0"/>
            </w:tcBorders>
            <w:noWrap w:val="0"/>
            <w:vAlign w:val="center"/>
          </w:tcPr>
          <w:p w14:paraId="54B5723D">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IBM V7000</w:t>
            </w:r>
          </w:p>
        </w:tc>
        <w:tc>
          <w:tcPr>
            <w:tcW w:w="1901" w:type="dxa"/>
            <w:tcBorders>
              <w:top w:val="single" w:color="auto" w:sz="8" w:space="0"/>
              <w:left w:val="nil"/>
              <w:bottom w:val="single" w:color="auto" w:sz="8" w:space="0"/>
              <w:right w:val="single" w:color="000000" w:sz="8" w:space="0"/>
            </w:tcBorders>
            <w:noWrap w:val="0"/>
            <w:vAlign w:val="center"/>
          </w:tcPr>
          <w:p w14:paraId="2BBD14E4">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782579H</w:t>
            </w:r>
          </w:p>
        </w:tc>
      </w:tr>
      <w:tr w14:paraId="540F0E28">
        <w:tblPrEx>
          <w:tblCellMar>
            <w:top w:w="0" w:type="dxa"/>
            <w:left w:w="108" w:type="dxa"/>
            <w:bottom w:w="0" w:type="dxa"/>
            <w:right w:w="108" w:type="dxa"/>
          </w:tblCellMar>
        </w:tblPrEx>
        <w:trPr>
          <w:trHeight w:val="567" w:hRule="atLeast"/>
          <w:jc w:val="center"/>
        </w:trPr>
        <w:tc>
          <w:tcPr>
            <w:tcW w:w="1228" w:type="dxa"/>
            <w:vMerge w:val="continue"/>
            <w:tcBorders>
              <w:left w:val="single" w:color="auto" w:sz="8" w:space="0"/>
              <w:right w:val="single" w:color="auto" w:sz="8" w:space="0"/>
            </w:tcBorders>
            <w:noWrap w:val="0"/>
            <w:vAlign w:val="center"/>
          </w:tcPr>
          <w:p w14:paraId="7FAECE80">
            <w:pPr>
              <w:widowControl/>
              <w:jc w:val="center"/>
              <w:rPr>
                <w:rFonts w:hint="eastAsia" w:ascii="宋体" w:hAnsi="宋体" w:eastAsia="宋体" w:cs="宋体"/>
                <w:kern w:val="0"/>
                <w:sz w:val="24"/>
                <w:szCs w:val="24"/>
              </w:rPr>
            </w:pPr>
          </w:p>
        </w:tc>
        <w:tc>
          <w:tcPr>
            <w:tcW w:w="945" w:type="dxa"/>
            <w:tcBorders>
              <w:top w:val="single" w:color="auto" w:sz="8" w:space="0"/>
              <w:left w:val="nil"/>
              <w:bottom w:val="single" w:color="auto" w:sz="8" w:space="0"/>
              <w:right w:val="single" w:color="auto" w:sz="8" w:space="0"/>
            </w:tcBorders>
            <w:noWrap w:val="0"/>
            <w:vAlign w:val="center"/>
          </w:tcPr>
          <w:p w14:paraId="071F1293">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13</w:t>
            </w:r>
          </w:p>
        </w:tc>
        <w:tc>
          <w:tcPr>
            <w:tcW w:w="1552" w:type="dxa"/>
            <w:tcBorders>
              <w:top w:val="single" w:color="auto" w:sz="8" w:space="0"/>
              <w:left w:val="nil"/>
              <w:bottom w:val="single" w:color="auto" w:sz="8" w:space="0"/>
              <w:right w:val="single" w:color="000000" w:sz="8" w:space="0"/>
            </w:tcBorders>
            <w:noWrap w:val="0"/>
            <w:vAlign w:val="center"/>
          </w:tcPr>
          <w:p w14:paraId="3E176D6D">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主存储</w:t>
            </w:r>
          </w:p>
        </w:tc>
        <w:tc>
          <w:tcPr>
            <w:tcW w:w="2615" w:type="dxa"/>
            <w:tcBorders>
              <w:top w:val="single" w:color="auto" w:sz="8" w:space="0"/>
              <w:left w:val="nil"/>
              <w:bottom w:val="single" w:color="auto" w:sz="8" w:space="0"/>
              <w:right w:val="single" w:color="000000" w:sz="8" w:space="0"/>
            </w:tcBorders>
            <w:noWrap w:val="0"/>
            <w:vAlign w:val="center"/>
          </w:tcPr>
          <w:p w14:paraId="6B6D94F7">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IBM V7000</w:t>
            </w:r>
          </w:p>
        </w:tc>
        <w:tc>
          <w:tcPr>
            <w:tcW w:w="1901" w:type="dxa"/>
            <w:tcBorders>
              <w:top w:val="single" w:color="auto" w:sz="8" w:space="0"/>
              <w:left w:val="nil"/>
              <w:bottom w:val="single" w:color="auto" w:sz="8" w:space="0"/>
              <w:right w:val="single" w:color="000000" w:sz="8" w:space="0"/>
            </w:tcBorders>
            <w:noWrap w:val="0"/>
            <w:vAlign w:val="center"/>
          </w:tcPr>
          <w:p w14:paraId="0E077904">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78251KM</w:t>
            </w:r>
          </w:p>
        </w:tc>
      </w:tr>
      <w:tr w14:paraId="3A1E0A17">
        <w:tblPrEx>
          <w:tblCellMar>
            <w:top w:w="0" w:type="dxa"/>
            <w:left w:w="108" w:type="dxa"/>
            <w:bottom w:w="0" w:type="dxa"/>
            <w:right w:w="108" w:type="dxa"/>
          </w:tblCellMar>
        </w:tblPrEx>
        <w:trPr>
          <w:trHeight w:val="567" w:hRule="atLeast"/>
          <w:jc w:val="center"/>
        </w:trPr>
        <w:tc>
          <w:tcPr>
            <w:tcW w:w="1228" w:type="dxa"/>
            <w:vMerge w:val="continue"/>
            <w:tcBorders>
              <w:left w:val="single" w:color="auto" w:sz="8" w:space="0"/>
              <w:right w:val="single" w:color="auto" w:sz="8" w:space="0"/>
            </w:tcBorders>
            <w:noWrap w:val="0"/>
            <w:vAlign w:val="center"/>
          </w:tcPr>
          <w:p w14:paraId="0F33471A">
            <w:pPr>
              <w:widowControl/>
              <w:jc w:val="center"/>
              <w:rPr>
                <w:rFonts w:hint="eastAsia" w:ascii="宋体" w:hAnsi="宋体" w:eastAsia="宋体" w:cs="宋体"/>
                <w:kern w:val="0"/>
                <w:sz w:val="24"/>
                <w:szCs w:val="24"/>
              </w:rPr>
            </w:pPr>
          </w:p>
        </w:tc>
        <w:tc>
          <w:tcPr>
            <w:tcW w:w="945" w:type="dxa"/>
            <w:tcBorders>
              <w:top w:val="single" w:color="auto" w:sz="4" w:space="0"/>
              <w:left w:val="nil"/>
              <w:bottom w:val="single" w:color="auto" w:sz="8" w:space="0"/>
              <w:right w:val="single" w:color="auto" w:sz="8" w:space="0"/>
            </w:tcBorders>
            <w:noWrap w:val="0"/>
            <w:vAlign w:val="center"/>
          </w:tcPr>
          <w:p w14:paraId="6739BC28">
            <w:pPr>
              <w:widowControl/>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rPr>
              <w:t>1</w:t>
            </w:r>
            <w:r>
              <w:rPr>
                <w:rFonts w:hint="eastAsia" w:ascii="宋体" w:hAnsi="宋体" w:eastAsia="宋体" w:cs="宋体"/>
                <w:kern w:val="0"/>
                <w:sz w:val="24"/>
                <w:szCs w:val="24"/>
                <w:lang w:val="en-US" w:eastAsia="zh-CN"/>
              </w:rPr>
              <w:t>4</w:t>
            </w:r>
          </w:p>
        </w:tc>
        <w:tc>
          <w:tcPr>
            <w:tcW w:w="1552" w:type="dxa"/>
            <w:tcBorders>
              <w:top w:val="single" w:color="auto" w:sz="4" w:space="0"/>
              <w:left w:val="nil"/>
              <w:bottom w:val="single" w:color="auto" w:sz="8" w:space="0"/>
              <w:right w:val="single" w:color="000000" w:sz="8" w:space="0"/>
            </w:tcBorders>
            <w:noWrap w:val="0"/>
            <w:vAlign w:val="center"/>
          </w:tcPr>
          <w:p w14:paraId="306FF880">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存储网关</w:t>
            </w:r>
          </w:p>
        </w:tc>
        <w:tc>
          <w:tcPr>
            <w:tcW w:w="2615" w:type="dxa"/>
            <w:tcBorders>
              <w:top w:val="single" w:color="auto" w:sz="4" w:space="0"/>
              <w:left w:val="nil"/>
              <w:bottom w:val="single" w:color="auto" w:sz="8" w:space="0"/>
              <w:right w:val="single" w:color="000000" w:sz="8" w:space="0"/>
            </w:tcBorders>
            <w:noWrap w:val="0"/>
            <w:vAlign w:val="center"/>
          </w:tcPr>
          <w:p w14:paraId="4E3A50DC">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Emcvplex</w:t>
            </w:r>
          </w:p>
        </w:tc>
        <w:tc>
          <w:tcPr>
            <w:tcW w:w="1901" w:type="dxa"/>
            <w:tcBorders>
              <w:top w:val="single" w:color="auto" w:sz="4" w:space="0"/>
              <w:left w:val="nil"/>
              <w:bottom w:val="single" w:color="auto" w:sz="8" w:space="0"/>
              <w:right w:val="single" w:color="000000" w:sz="8" w:space="0"/>
            </w:tcBorders>
            <w:noWrap w:val="0"/>
            <w:vAlign w:val="center"/>
          </w:tcPr>
          <w:p w14:paraId="36F9635C">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CKM00172802547</w:t>
            </w:r>
          </w:p>
        </w:tc>
      </w:tr>
      <w:tr w14:paraId="4B7F2302">
        <w:tblPrEx>
          <w:tblCellMar>
            <w:top w:w="0" w:type="dxa"/>
            <w:left w:w="108" w:type="dxa"/>
            <w:bottom w:w="0" w:type="dxa"/>
            <w:right w:w="108" w:type="dxa"/>
          </w:tblCellMar>
        </w:tblPrEx>
        <w:trPr>
          <w:trHeight w:val="567" w:hRule="atLeast"/>
          <w:jc w:val="center"/>
        </w:trPr>
        <w:tc>
          <w:tcPr>
            <w:tcW w:w="1228" w:type="dxa"/>
            <w:vMerge w:val="continue"/>
            <w:tcBorders>
              <w:left w:val="single" w:color="auto" w:sz="8" w:space="0"/>
              <w:right w:val="single" w:color="auto" w:sz="8" w:space="0"/>
            </w:tcBorders>
            <w:noWrap w:val="0"/>
            <w:vAlign w:val="center"/>
          </w:tcPr>
          <w:p w14:paraId="5FFC172E">
            <w:pPr>
              <w:widowControl/>
              <w:jc w:val="center"/>
              <w:rPr>
                <w:rFonts w:hint="eastAsia" w:ascii="宋体" w:hAnsi="宋体" w:eastAsia="宋体" w:cs="宋体"/>
                <w:kern w:val="0"/>
                <w:sz w:val="24"/>
                <w:szCs w:val="24"/>
              </w:rPr>
            </w:pPr>
          </w:p>
        </w:tc>
        <w:tc>
          <w:tcPr>
            <w:tcW w:w="945" w:type="dxa"/>
            <w:tcBorders>
              <w:top w:val="single" w:color="auto" w:sz="8" w:space="0"/>
              <w:left w:val="nil"/>
              <w:bottom w:val="single" w:color="auto" w:sz="8" w:space="0"/>
              <w:right w:val="single" w:color="auto" w:sz="8" w:space="0"/>
            </w:tcBorders>
            <w:noWrap w:val="0"/>
            <w:vAlign w:val="center"/>
          </w:tcPr>
          <w:p w14:paraId="1C762C66">
            <w:pPr>
              <w:widowControl/>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rPr>
              <w:t>1</w:t>
            </w:r>
            <w:r>
              <w:rPr>
                <w:rFonts w:hint="eastAsia" w:ascii="宋体" w:hAnsi="宋体" w:eastAsia="宋体" w:cs="宋体"/>
                <w:kern w:val="0"/>
                <w:sz w:val="24"/>
                <w:szCs w:val="24"/>
                <w:lang w:val="en-US" w:eastAsia="zh-CN"/>
              </w:rPr>
              <w:t>5</w:t>
            </w:r>
          </w:p>
        </w:tc>
        <w:tc>
          <w:tcPr>
            <w:tcW w:w="1552" w:type="dxa"/>
            <w:tcBorders>
              <w:top w:val="single" w:color="auto" w:sz="8" w:space="0"/>
              <w:left w:val="nil"/>
              <w:bottom w:val="single" w:color="auto" w:sz="8" w:space="0"/>
              <w:right w:val="single" w:color="000000" w:sz="8" w:space="0"/>
            </w:tcBorders>
            <w:noWrap w:val="0"/>
            <w:vAlign w:val="center"/>
          </w:tcPr>
          <w:p w14:paraId="3F1D1466">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存储网关</w:t>
            </w:r>
          </w:p>
        </w:tc>
        <w:tc>
          <w:tcPr>
            <w:tcW w:w="2615" w:type="dxa"/>
            <w:tcBorders>
              <w:top w:val="single" w:color="auto" w:sz="8" w:space="0"/>
              <w:left w:val="nil"/>
              <w:bottom w:val="single" w:color="auto" w:sz="8" w:space="0"/>
              <w:right w:val="single" w:color="000000" w:sz="8" w:space="0"/>
            </w:tcBorders>
            <w:noWrap w:val="0"/>
            <w:vAlign w:val="center"/>
          </w:tcPr>
          <w:p w14:paraId="18926175">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Emcvplex</w:t>
            </w:r>
          </w:p>
        </w:tc>
        <w:tc>
          <w:tcPr>
            <w:tcW w:w="1901" w:type="dxa"/>
            <w:tcBorders>
              <w:top w:val="single" w:color="auto" w:sz="8" w:space="0"/>
              <w:left w:val="nil"/>
              <w:bottom w:val="single" w:color="auto" w:sz="8" w:space="0"/>
              <w:right w:val="single" w:color="000000" w:sz="8" w:space="0"/>
            </w:tcBorders>
            <w:noWrap w:val="0"/>
            <w:vAlign w:val="center"/>
          </w:tcPr>
          <w:p w14:paraId="3CB7DCAD">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CKM00181302557</w:t>
            </w:r>
          </w:p>
        </w:tc>
      </w:tr>
      <w:tr w14:paraId="72143620">
        <w:tblPrEx>
          <w:tblCellMar>
            <w:top w:w="0" w:type="dxa"/>
            <w:left w:w="108" w:type="dxa"/>
            <w:bottom w:w="0" w:type="dxa"/>
            <w:right w:w="108" w:type="dxa"/>
          </w:tblCellMar>
        </w:tblPrEx>
        <w:trPr>
          <w:trHeight w:val="567" w:hRule="atLeast"/>
          <w:jc w:val="center"/>
        </w:trPr>
        <w:tc>
          <w:tcPr>
            <w:tcW w:w="1228" w:type="dxa"/>
            <w:vMerge w:val="continue"/>
            <w:tcBorders>
              <w:left w:val="single" w:color="auto" w:sz="8" w:space="0"/>
              <w:right w:val="single" w:color="auto" w:sz="8" w:space="0"/>
            </w:tcBorders>
            <w:noWrap w:val="0"/>
            <w:vAlign w:val="center"/>
          </w:tcPr>
          <w:p w14:paraId="773A32BB">
            <w:pPr>
              <w:widowControl/>
              <w:jc w:val="center"/>
              <w:rPr>
                <w:rFonts w:hint="eastAsia" w:ascii="宋体" w:hAnsi="宋体" w:eastAsia="宋体" w:cs="宋体"/>
                <w:kern w:val="0"/>
                <w:sz w:val="24"/>
                <w:szCs w:val="24"/>
              </w:rPr>
            </w:pPr>
          </w:p>
        </w:tc>
        <w:tc>
          <w:tcPr>
            <w:tcW w:w="945" w:type="dxa"/>
            <w:tcBorders>
              <w:top w:val="single" w:color="auto" w:sz="8" w:space="0"/>
              <w:left w:val="nil"/>
              <w:bottom w:val="single" w:color="auto" w:sz="8" w:space="0"/>
              <w:right w:val="single" w:color="auto" w:sz="8" w:space="0"/>
            </w:tcBorders>
            <w:noWrap w:val="0"/>
            <w:vAlign w:val="center"/>
          </w:tcPr>
          <w:p w14:paraId="3C6E38A9">
            <w:pPr>
              <w:widowControl/>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lang w:val="en-US" w:eastAsia="zh-CN"/>
              </w:rPr>
              <w:t>16</w:t>
            </w:r>
          </w:p>
        </w:tc>
        <w:tc>
          <w:tcPr>
            <w:tcW w:w="1552" w:type="dxa"/>
            <w:tcBorders>
              <w:top w:val="single" w:color="auto" w:sz="8" w:space="0"/>
              <w:left w:val="nil"/>
              <w:bottom w:val="single" w:color="auto" w:sz="8" w:space="0"/>
              <w:right w:val="single" w:color="000000" w:sz="8" w:space="0"/>
            </w:tcBorders>
            <w:noWrap w:val="0"/>
            <w:vAlign w:val="center"/>
          </w:tcPr>
          <w:p w14:paraId="46756334">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光纤交换机</w:t>
            </w:r>
          </w:p>
        </w:tc>
        <w:tc>
          <w:tcPr>
            <w:tcW w:w="2615" w:type="dxa"/>
            <w:tcBorders>
              <w:top w:val="single" w:color="auto" w:sz="8" w:space="0"/>
              <w:left w:val="nil"/>
              <w:bottom w:val="single" w:color="auto" w:sz="8" w:space="0"/>
              <w:right w:val="single" w:color="000000" w:sz="8" w:space="0"/>
            </w:tcBorders>
            <w:noWrap w:val="0"/>
            <w:vAlign w:val="center"/>
          </w:tcPr>
          <w:p w14:paraId="2E34A46E">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IBM-B24</w:t>
            </w:r>
          </w:p>
        </w:tc>
        <w:tc>
          <w:tcPr>
            <w:tcW w:w="1901" w:type="dxa"/>
            <w:tcBorders>
              <w:top w:val="single" w:color="auto" w:sz="8" w:space="0"/>
              <w:left w:val="nil"/>
              <w:bottom w:val="single" w:color="auto" w:sz="8" w:space="0"/>
              <w:right w:val="single" w:color="000000" w:sz="8" w:space="0"/>
            </w:tcBorders>
            <w:noWrap w:val="0"/>
            <w:vAlign w:val="center"/>
          </w:tcPr>
          <w:p w14:paraId="307769CD">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10504NT　</w:t>
            </w:r>
          </w:p>
        </w:tc>
      </w:tr>
      <w:tr w14:paraId="171EA15D">
        <w:tblPrEx>
          <w:tblCellMar>
            <w:top w:w="0" w:type="dxa"/>
            <w:left w:w="108" w:type="dxa"/>
            <w:bottom w:w="0" w:type="dxa"/>
            <w:right w:w="108" w:type="dxa"/>
          </w:tblCellMar>
        </w:tblPrEx>
        <w:trPr>
          <w:trHeight w:val="567" w:hRule="atLeast"/>
          <w:jc w:val="center"/>
        </w:trPr>
        <w:tc>
          <w:tcPr>
            <w:tcW w:w="1228" w:type="dxa"/>
            <w:vMerge w:val="continue"/>
            <w:tcBorders>
              <w:left w:val="single" w:color="auto" w:sz="8" w:space="0"/>
              <w:right w:val="single" w:color="auto" w:sz="8" w:space="0"/>
            </w:tcBorders>
            <w:noWrap w:val="0"/>
            <w:vAlign w:val="center"/>
          </w:tcPr>
          <w:p w14:paraId="78A960BF">
            <w:pPr>
              <w:widowControl/>
              <w:jc w:val="center"/>
              <w:rPr>
                <w:rFonts w:hint="eastAsia" w:ascii="宋体" w:hAnsi="宋体" w:eastAsia="宋体" w:cs="宋体"/>
                <w:kern w:val="0"/>
                <w:sz w:val="24"/>
                <w:szCs w:val="24"/>
              </w:rPr>
            </w:pPr>
          </w:p>
        </w:tc>
        <w:tc>
          <w:tcPr>
            <w:tcW w:w="945" w:type="dxa"/>
            <w:tcBorders>
              <w:top w:val="nil"/>
              <w:left w:val="nil"/>
              <w:bottom w:val="single" w:color="auto" w:sz="4" w:space="0"/>
              <w:right w:val="single" w:color="auto" w:sz="8" w:space="0"/>
            </w:tcBorders>
            <w:noWrap w:val="0"/>
            <w:vAlign w:val="center"/>
          </w:tcPr>
          <w:p w14:paraId="08A64DB0">
            <w:pPr>
              <w:widowControl/>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rPr>
              <w:t>1</w:t>
            </w:r>
            <w:r>
              <w:rPr>
                <w:rFonts w:hint="eastAsia" w:ascii="宋体" w:hAnsi="宋体" w:eastAsia="宋体" w:cs="宋体"/>
                <w:kern w:val="0"/>
                <w:sz w:val="24"/>
                <w:szCs w:val="24"/>
                <w:lang w:val="en-US" w:eastAsia="zh-CN"/>
              </w:rPr>
              <w:t>7</w:t>
            </w:r>
          </w:p>
        </w:tc>
        <w:tc>
          <w:tcPr>
            <w:tcW w:w="1552" w:type="dxa"/>
            <w:tcBorders>
              <w:top w:val="single" w:color="auto" w:sz="8" w:space="0"/>
              <w:left w:val="nil"/>
              <w:bottom w:val="single" w:color="auto" w:sz="4" w:space="0"/>
              <w:right w:val="single" w:color="000000" w:sz="8" w:space="0"/>
            </w:tcBorders>
            <w:noWrap w:val="0"/>
            <w:vAlign w:val="center"/>
          </w:tcPr>
          <w:p w14:paraId="447A95CB">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光纤交换机</w:t>
            </w:r>
          </w:p>
        </w:tc>
        <w:tc>
          <w:tcPr>
            <w:tcW w:w="2615" w:type="dxa"/>
            <w:tcBorders>
              <w:top w:val="single" w:color="auto" w:sz="8" w:space="0"/>
              <w:left w:val="nil"/>
              <w:bottom w:val="single" w:color="auto" w:sz="4" w:space="0"/>
              <w:right w:val="single" w:color="000000" w:sz="8" w:space="0"/>
            </w:tcBorders>
            <w:noWrap w:val="0"/>
            <w:vAlign w:val="center"/>
          </w:tcPr>
          <w:p w14:paraId="2A7E5C8A">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IBM-B24</w:t>
            </w:r>
          </w:p>
        </w:tc>
        <w:tc>
          <w:tcPr>
            <w:tcW w:w="1901" w:type="dxa"/>
            <w:tcBorders>
              <w:top w:val="single" w:color="auto" w:sz="8" w:space="0"/>
              <w:left w:val="nil"/>
              <w:bottom w:val="single" w:color="auto" w:sz="4" w:space="0"/>
              <w:right w:val="single" w:color="000000" w:sz="8" w:space="0"/>
            </w:tcBorders>
            <w:noWrap w:val="0"/>
            <w:vAlign w:val="center"/>
          </w:tcPr>
          <w:p w14:paraId="2D489A9B">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10504NY</w:t>
            </w:r>
          </w:p>
        </w:tc>
      </w:tr>
      <w:tr w14:paraId="34241347">
        <w:tblPrEx>
          <w:tblCellMar>
            <w:top w:w="0" w:type="dxa"/>
            <w:left w:w="108" w:type="dxa"/>
            <w:bottom w:w="0" w:type="dxa"/>
            <w:right w:w="108" w:type="dxa"/>
          </w:tblCellMar>
        </w:tblPrEx>
        <w:trPr>
          <w:trHeight w:val="567" w:hRule="atLeast"/>
          <w:jc w:val="center"/>
        </w:trPr>
        <w:tc>
          <w:tcPr>
            <w:tcW w:w="1228" w:type="dxa"/>
            <w:vMerge w:val="continue"/>
            <w:tcBorders>
              <w:left w:val="single" w:color="auto" w:sz="8" w:space="0"/>
              <w:right w:val="single" w:color="auto" w:sz="8" w:space="0"/>
            </w:tcBorders>
            <w:noWrap w:val="0"/>
            <w:vAlign w:val="center"/>
          </w:tcPr>
          <w:p w14:paraId="29BC0319">
            <w:pPr>
              <w:widowControl/>
              <w:jc w:val="center"/>
              <w:rPr>
                <w:rFonts w:hint="eastAsia" w:ascii="宋体" w:hAnsi="宋体" w:eastAsia="宋体" w:cs="宋体"/>
                <w:kern w:val="0"/>
                <w:sz w:val="24"/>
                <w:szCs w:val="24"/>
              </w:rPr>
            </w:pPr>
          </w:p>
        </w:tc>
        <w:tc>
          <w:tcPr>
            <w:tcW w:w="945" w:type="dxa"/>
            <w:tcBorders>
              <w:top w:val="single" w:color="auto" w:sz="4" w:space="0"/>
              <w:left w:val="nil"/>
              <w:bottom w:val="single" w:color="auto" w:sz="8" w:space="0"/>
              <w:right w:val="single" w:color="auto" w:sz="8" w:space="0"/>
            </w:tcBorders>
            <w:noWrap w:val="0"/>
            <w:vAlign w:val="center"/>
          </w:tcPr>
          <w:p w14:paraId="521526F1">
            <w:pPr>
              <w:widowControl/>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rPr>
              <w:t>1</w:t>
            </w:r>
            <w:r>
              <w:rPr>
                <w:rFonts w:hint="eastAsia" w:ascii="宋体" w:hAnsi="宋体" w:eastAsia="宋体" w:cs="宋体"/>
                <w:kern w:val="0"/>
                <w:sz w:val="24"/>
                <w:szCs w:val="24"/>
                <w:lang w:val="en-US" w:eastAsia="zh-CN"/>
              </w:rPr>
              <w:t>8</w:t>
            </w:r>
          </w:p>
        </w:tc>
        <w:tc>
          <w:tcPr>
            <w:tcW w:w="1552" w:type="dxa"/>
            <w:tcBorders>
              <w:top w:val="single" w:color="auto" w:sz="4" w:space="0"/>
              <w:left w:val="nil"/>
              <w:bottom w:val="single" w:color="auto" w:sz="8" w:space="0"/>
              <w:right w:val="single" w:color="000000" w:sz="8" w:space="0"/>
            </w:tcBorders>
            <w:noWrap w:val="0"/>
            <w:vAlign w:val="center"/>
          </w:tcPr>
          <w:p w14:paraId="1BB82ED5">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光纤交换机</w:t>
            </w:r>
          </w:p>
        </w:tc>
        <w:tc>
          <w:tcPr>
            <w:tcW w:w="2615" w:type="dxa"/>
            <w:tcBorders>
              <w:top w:val="single" w:color="auto" w:sz="4" w:space="0"/>
              <w:left w:val="nil"/>
              <w:bottom w:val="single" w:color="auto" w:sz="8" w:space="0"/>
              <w:right w:val="single" w:color="000000" w:sz="8" w:space="0"/>
            </w:tcBorders>
            <w:noWrap w:val="0"/>
            <w:vAlign w:val="center"/>
          </w:tcPr>
          <w:p w14:paraId="1D174C68">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IBM-B24</w:t>
            </w:r>
          </w:p>
        </w:tc>
        <w:tc>
          <w:tcPr>
            <w:tcW w:w="1901" w:type="dxa"/>
            <w:tcBorders>
              <w:top w:val="single" w:color="auto" w:sz="4" w:space="0"/>
              <w:left w:val="nil"/>
              <w:bottom w:val="single" w:color="auto" w:sz="8" w:space="0"/>
              <w:right w:val="single" w:color="000000" w:sz="8" w:space="0"/>
            </w:tcBorders>
            <w:noWrap w:val="0"/>
            <w:vAlign w:val="center"/>
          </w:tcPr>
          <w:p w14:paraId="0126875D">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10511LZ</w:t>
            </w:r>
          </w:p>
        </w:tc>
      </w:tr>
      <w:tr w14:paraId="19D0C918">
        <w:tblPrEx>
          <w:tblCellMar>
            <w:top w:w="0" w:type="dxa"/>
            <w:left w:w="108" w:type="dxa"/>
            <w:bottom w:w="0" w:type="dxa"/>
            <w:right w:w="108" w:type="dxa"/>
          </w:tblCellMar>
        </w:tblPrEx>
        <w:trPr>
          <w:trHeight w:val="567" w:hRule="atLeast"/>
          <w:jc w:val="center"/>
        </w:trPr>
        <w:tc>
          <w:tcPr>
            <w:tcW w:w="1228" w:type="dxa"/>
            <w:vMerge w:val="continue"/>
            <w:tcBorders>
              <w:left w:val="single" w:color="auto" w:sz="8" w:space="0"/>
              <w:right w:val="single" w:color="auto" w:sz="8" w:space="0"/>
            </w:tcBorders>
            <w:noWrap w:val="0"/>
            <w:vAlign w:val="center"/>
          </w:tcPr>
          <w:p w14:paraId="1AB84D5F">
            <w:pPr>
              <w:widowControl/>
              <w:jc w:val="center"/>
              <w:rPr>
                <w:rFonts w:hint="eastAsia" w:ascii="宋体" w:hAnsi="宋体" w:eastAsia="宋体" w:cs="宋体"/>
                <w:kern w:val="0"/>
                <w:sz w:val="24"/>
                <w:szCs w:val="24"/>
              </w:rPr>
            </w:pPr>
          </w:p>
        </w:tc>
        <w:tc>
          <w:tcPr>
            <w:tcW w:w="945" w:type="dxa"/>
            <w:tcBorders>
              <w:top w:val="single" w:color="auto" w:sz="8" w:space="0"/>
              <w:left w:val="nil"/>
              <w:bottom w:val="single" w:color="auto" w:sz="4" w:space="0"/>
              <w:right w:val="single" w:color="auto" w:sz="8" w:space="0"/>
            </w:tcBorders>
            <w:noWrap w:val="0"/>
            <w:vAlign w:val="center"/>
          </w:tcPr>
          <w:p w14:paraId="707A7A27">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19</w:t>
            </w:r>
          </w:p>
        </w:tc>
        <w:tc>
          <w:tcPr>
            <w:tcW w:w="1552" w:type="dxa"/>
            <w:tcBorders>
              <w:top w:val="single" w:color="auto" w:sz="8" w:space="0"/>
              <w:left w:val="nil"/>
              <w:bottom w:val="single" w:color="auto" w:sz="4" w:space="0"/>
              <w:right w:val="single" w:color="000000" w:sz="8" w:space="0"/>
            </w:tcBorders>
            <w:noWrap w:val="0"/>
            <w:vAlign w:val="center"/>
          </w:tcPr>
          <w:p w14:paraId="08D93E52">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光纤交换机</w:t>
            </w:r>
          </w:p>
        </w:tc>
        <w:tc>
          <w:tcPr>
            <w:tcW w:w="2615" w:type="dxa"/>
            <w:tcBorders>
              <w:top w:val="single" w:color="auto" w:sz="8" w:space="0"/>
              <w:left w:val="nil"/>
              <w:bottom w:val="single" w:color="auto" w:sz="4" w:space="0"/>
              <w:right w:val="single" w:color="000000" w:sz="8" w:space="0"/>
            </w:tcBorders>
            <w:noWrap w:val="0"/>
            <w:vAlign w:val="center"/>
          </w:tcPr>
          <w:p w14:paraId="0BAE467A">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IBM-B24</w:t>
            </w:r>
          </w:p>
        </w:tc>
        <w:tc>
          <w:tcPr>
            <w:tcW w:w="1901" w:type="dxa"/>
            <w:tcBorders>
              <w:top w:val="single" w:color="auto" w:sz="8" w:space="0"/>
              <w:left w:val="nil"/>
              <w:bottom w:val="single" w:color="auto" w:sz="4" w:space="0"/>
              <w:right w:val="single" w:color="000000" w:sz="8" w:space="0"/>
            </w:tcBorders>
            <w:noWrap w:val="0"/>
            <w:vAlign w:val="center"/>
          </w:tcPr>
          <w:p w14:paraId="460F2D59">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10511LY</w:t>
            </w:r>
          </w:p>
        </w:tc>
      </w:tr>
      <w:tr w14:paraId="0D0609E6">
        <w:tblPrEx>
          <w:tblCellMar>
            <w:top w:w="0" w:type="dxa"/>
            <w:left w:w="108" w:type="dxa"/>
            <w:bottom w:w="0" w:type="dxa"/>
            <w:right w:w="108" w:type="dxa"/>
          </w:tblCellMar>
        </w:tblPrEx>
        <w:trPr>
          <w:trHeight w:val="567" w:hRule="atLeast"/>
          <w:jc w:val="center"/>
        </w:trPr>
        <w:tc>
          <w:tcPr>
            <w:tcW w:w="1228" w:type="dxa"/>
            <w:vMerge w:val="continue"/>
            <w:tcBorders>
              <w:left w:val="single" w:color="auto" w:sz="8" w:space="0"/>
              <w:right w:val="single" w:color="auto" w:sz="8" w:space="0"/>
            </w:tcBorders>
            <w:noWrap w:val="0"/>
            <w:vAlign w:val="center"/>
          </w:tcPr>
          <w:p w14:paraId="54974074">
            <w:pPr>
              <w:widowControl/>
              <w:jc w:val="center"/>
              <w:rPr>
                <w:rFonts w:hint="eastAsia" w:ascii="宋体" w:hAnsi="宋体" w:eastAsia="宋体" w:cs="宋体"/>
                <w:kern w:val="0"/>
                <w:sz w:val="24"/>
                <w:szCs w:val="24"/>
              </w:rPr>
            </w:pPr>
          </w:p>
        </w:tc>
        <w:tc>
          <w:tcPr>
            <w:tcW w:w="945" w:type="dxa"/>
            <w:tcBorders>
              <w:top w:val="single" w:color="auto" w:sz="4" w:space="0"/>
              <w:left w:val="nil"/>
              <w:bottom w:val="single" w:color="auto" w:sz="4" w:space="0"/>
              <w:right w:val="single" w:color="auto" w:sz="8" w:space="0"/>
            </w:tcBorders>
            <w:noWrap w:val="0"/>
            <w:vAlign w:val="center"/>
          </w:tcPr>
          <w:p w14:paraId="4F678398">
            <w:pPr>
              <w:widowControl/>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rPr>
              <w:t>2</w:t>
            </w:r>
            <w:r>
              <w:rPr>
                <w:rFonts w:hint="eastAsia" w:ascii="宋体" w:hAnsi="宋体" w:eastAsia="宋体" w:cs="宋体"/>
                <w:kern w:val="0"/>
                <w:sz w:val="24"/>
                <w:szCs w:val="24"/>
                <w:lang w:val="en-US" w:eastAsia="zh-CN"/>
              </w:rPr>
              <w:t>0</w:t>
            </w:r>
          </w:p>
        </w:tc>
        <w:tc>
          <w:tcPr>
            <w:tcW w:w="1552" w:type="dxa"/>
            <w:tcBorders>
              <w:top w:val="single" w:color="auto" w:sz="4" w:space="0"/>
              <w:left w:val="nil"/>
              <w:bottom w:val="single" w:color="auto" w:sz="4" w:space="0"/>
              <w:right w:val="single" w:color="000000" w:sz="8" w:space="0"/>
            </w:tcBorders>
            <w:noWrap w:val="0"/>
            <w:vAlign w:val="center"/>
          </w:tcPr>
          <w:p w14:paraId="4886FEBA">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IBM TF3</w:t>
            </w:r>
          </w:p>
        </w:tc>
        <w:tc>
          <w:tcPr>
            <w:tcW w:w="2615" w:type="dxa"/>
            <w:tcBorders>
              <w:top w:val="single" w:color="auto" w:sz="4" w:space="0"/>
              <w:left w:val="nil"/>
              <w:bottom w:val="single" w:color="auto" w:sz="4" w:space="0"/>
              <w:right w:val="single" w:color="000000" w:sz="8" w:space="0"/>
            </w:tcBorders>
            <w:noWrap w:val="0"/>
            <w:vAlign w:val="center"/>
          </w:tcPr>
          <w:p w14:paraId="107D07FA">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7316-TF3</w:t>
            </w:r>
          </w:p>
        </w:tc>
        <w:tc>
          <w:tcPr>
            <w:tcW w:w="1901" w:type="dxa"/>
            <w:tcBorders>
              <w:top w:val="single" w:color="auto" w:sz="4" w:space="0"/>
              <w:left w:val="nil"/>
              <w:bottom w:val="single" w:color="auto" w:sz="4" w:space="0"/>
              <w:right w:val="single" w:color="000000" w:sz="8" w:space="0"/>
            </w:tcBorders>
            <w:noWrap w:val="0"/>
            <w:vAlign w:val="center"/>
          </w:tcPr>
          <w:p w14:paraId="5C94DCAB">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06272L</w:t>
            </w:r>
          </w:p>
        </w:tc>
      </w:tr>
      <w:tr w14:paraId="08D5C54F">
        <w:tblPrEx>
          <w:tblCellMar>
            <w:top w:w="0" w:type="dxa"/>
            <w:left w:w="108" w:type="dxa"/>
            <w:bottom w:w="0" w:type="dxa"/>
            <w:right w:w="108" w:type="dxa"/>
          </w:tblCellMar>
        </w:tblPrEx>
        <w:trPr>
          <w:trHeight w:val="599" w:hRule="atLeast"/>
          <w:jc w:val="center"/>
        </w:trPr>
        <w:tc>
          <w:tcPr>
            <w:tcW w:w="1228" w:type="dxa"/>
            <w:vMerge w:val="continue"/>
            <w:tcBorders>
              <w:left w:val="single" w:color="auto" w:sz="8" w:space="0"/>
              <w:right w:val="single" w:color="auto" w:sz="8" w:space="0"/>
            </w:tcBorders>
            <w:noWrap w:val="0"/>
            <w:vAlign w:val="center"/>
          </w:tcPr>
          <w:p w14:paraId="268C2F4E">
            <w:pPr>
              <w:widowControl/>
              <w:jc w:val="center"/>
              <w:rPr>
                <w:rFonts w:hint="eastAsia" w:ascii="宋体" w:hAnsi="宋体" w:eastAsia="宋体" w:cs="宋体"/>
                <w:kern w:val="0"/>
                <w:sz w:val="24"/>
                <w:szCs w:val="24"/>
              </w:rPr>
            </w:pPr>
          </w:p>
        </w:tc>
        <w:tc>
          <w:tcPr>
            <w:tcW w:w="945" w:type="dxa"/>
            <w:tcBorders>
              <w:top w:val="single" w:color="auto" w:sz="4" w:space="0"/>
              <w:left w:val="nil"/>
              <w:bottom w:val="single" w:color="auto" w:sz="4" w:space="0"/>
              <w:right w:val="single" w:color="auto" w:sz="8" w:space="0"/>
            </w:tcBorders>
            <w:noWrap w:val="0"/>
            <w:vAlign w:val="center"/>
          </w:tcPr>
          <w:p w14:paraId="0F564D0F">
            <w:pPr>
              <w:widowControl/>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rPr>
              <w:t>2</w:t>
            </w:r>
            <w:r>
              <w:rPr>
                <w:rFonts w:hint="eastAsia" w:ascii="宋体" w:hAnsi="宋体" w:eastAsia="宋体" w:cs="宋体"/>
                <w:kern w:val="0"/>
                <w:sz w:val="24"/>
                <w:szCs w:val="24"/>
                <w:lang w:val="en-US" w:eastAsia="zh-CN"/>
              </w:rPr>
              <w:t>1</w:t>
            </w:r>
          </w:p>
        </w:tc>
        <w:tc>
          <w:tcPr>
            <w:tcW w:w="1552" w:type="dxa"/>
            <w:tcBorders>
              <w:top w:val="single" w:color="auto" w:sz="4" w:space="0"/>
              <w:left w:val="nil"/>
              <w:bottom w:val="single" w:color="auto" w:sz="4" w:space="0"/>
              <w:right w:val="single" w:color="000000" w:sz="8" w:space="0"/>
            </w:tcBorders>
            <w:noWrap w:val="0"/>
            <w:vAlign w:val="center"/>
          </w:tcPr>
          <w:p w14:paraId="2DADA157">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IBM HMC</w:t>
            </w:r>
          </w:p>
        </w:tc>
        <w:tc>
          <w:tcPr>
            <w:tcW w:w="2615" w:type="dxa"/>
            <w:tcBorders>
              <w:top w:val="single" w:color="auto" w:sz="4" w:space="0"/>
              <w:left w:val="nil"/>
              <w:bottom w:val="single" w:color="auto" w:sz="4" w:space="0"/>
              <w:right w:val="single" w:color="000000" w:sz="8" w:space="0"/>
            </w:tcBorders>
            <w:noWrap w:val="0"/>
            <w:vAlign w:val="center"/>
          </w:tcPr>
          <w:p w14:paraId="552ACF61">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7042-CR5</w:t>
            </w:r>
          </w:p>
        </w:tc>
        <w:tc>
          <w:tcPr>
            <w:tcW w:w="1901" w:type="dxa"/>
            <w:tcBorders>
              <w:top w:val="single" w:color="auto" w:sz="4" w:space="0"/>
              <w:left w:val="nil"/>
              <w:bottom w:val="single" w:color="auto" w:sz="4" w:space="0"/>
              <w:right w:val="single" w:color="000000" w:sz="8" w:space="0"/>
            </w:tcBorders>
            <w:noWrap w:val="0"/>
            <w:vAlign w:val="center"/>
          </w:tcPr>
          <w:p w14:paraId="17755D5A">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7946PAL99E0003</w:t>
            </w:r>
          </w:p>
        </w:tc>
      </w:tr>
      <w:tr w14:paraId="6B173726">
        <w:tblPrEx>
          <w:tblCellMar>
            <w:top w:w="0" w:type="dxa"/>
            <w:left w:w="108" w:type="dxa"/>
            <w:bottom w:w="0" w:type="dxa"/>
            <w:right w:w="108" w:type="dxa"/>
          </w:tblCellMar>
        </w:tblPrEx>
        <w:trPr>
          <w:trHeight w:val="567" w:hRule="atLeast"/>
          <w:jc w:val="center"/>
        </w:trPr>
        <w:tc>
          <w:tcPr>
            <w:tcW w:w="1228" w:type="dxa"/>
            <w:vMerge w:val="continue"/>
            <w:tcBorders>
              <w:left w:val="single" w:color="auto" w:sz="8" w:space="0"/>
              <w:bottom w:val="single" w:color="auto" w:sz="4" w:space="0"/>
              <w:right w:val="single" w:color="auto" w:sz="8" w:space="0"/>
            </w:tcBorders>
            <w:noWrap w:val="0"/>
            <w:vAlign w:val="center"/>
          </w:tcPr>
          <w:p w14:paraId="216AA9D8">
            <w:pPr>
              <w:widowControl/>
              <w:jc w:val="center"/>
              <w:rPr>
                <w:rFonts w:hint="eastAsia" w:ascii="宋体" w:hAnsi="宋体" w:eastAsia="宋体" w:cs="宋体"/>
                <w:kern w:val="0"/>
                <w:sz w:val="24"/>
                <w:szCs w:val="24"/>
              </w:rPr>
            </w:pPr>
          </w:p>
        </w:tc>
        <w:tc>
          <w:tcPr>
            <w:tcW w:w="945" w:type="dxa"/>
            <w:tcBorders>
              <w:top w:val="single" w:color="auto" w:sz="4" w:space="0"/>
              <w:left w:val="nil"/>
              <w:bottom w:val="single" w:color="auto" w:sz="4" w:space="0"/>
              <w:right w:val="single" w:color="auto" w:sz="8" w:space="0"/>
            </w:tcBorders>
            <w:noWrap w:val="0"/>
            <w:vAlign w:val="center"/>
          </w:tcPr>
          <w:p w14:paraId="249DB46E">
            <w:pPr>
              <w:widowControl/>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rPr>
              <w:t>2</w:t>
            </w:r>
            <w:r>
              <w:rPr>
                <w:rFonts w:hint="eastAsia" w:ascii="宋体" w:hAnsi="宋体" w:eastAsia="宋体" w:cs="宋体"/>
                <w:kern w:val="0"/>
                <w:sz w:val="24"/>
                <w:szCs w:val="24"/>
                <w:lang w:val="en-US" w:eastAsia="zh-CN"/>
              </w:rPr>
              <w:t>2</w:t>
            </w:r>
          </w:p>
        </w:tc>
        <w:tc>
          <w:tcPr>
            <w:tcW w:w="1552" w:type="dxa"/>
            <w:tcBorders>
              <w:top w:val="single" w:color="auto" w:sz="4" w:space="0"/>
              <w:left w:val="nil"/>
              <w:bottom w:val="single" w:color="auto" w:sz="4" w:space="0"/>
              <w:right w:val="single" w:color="000000" w:sz="8" w:space="0"/>
            </w:tcBorders>
            <w:noWrap w:val="0"/>
            <w:vAlign w:val="center"/>
          </w:tcPr>
          <w:p w14:paraId="30716847">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IBM HMC</w:t>
            </w:r>
          </w:p>
        </w:tc>
        <w:tc>
          <w:tcPr>
            <w:tcW w:w="2615" w:type="dxa"/>
            <w:tcBorders>
              <w:top w:val="single" w:color="auto" w:sz="4" w:space="0"/>
              <w:left w:val="nil"/>
              <w:bottom w:val="single" w:color="auto" w:sz="8" w:space="0"/>
              <w:right w:val="single" w:color="000000" w:sz="8" w:space="0"/>
            </w:tcBorders>
            <w:noWrap w:val="0"/>
            <w:vAlign w:val="center"/>
          </w:tcPr>
          <w:p w14:paraId="3C003443">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7042-CR9</w:t>
            </w:r>
          </w:p>
        </w:tc>
        <w:tc>
          <w:tcPr>
            <w:tcW w:w="1901" w:type="dxa"/>
            <w:tcBorders>
              <w:top w:val="single" w:color="auto" w:sz="4" w:space="0"/>
              <w:left w:val="nil"/>
              <w:bottom w:val="single" w:color="auto" w:sz="8" w:space="0"/>
              <w:right w:val="single" w:color="000000" w:sz="8" w:space="0"/>
            </w:tcBorders>
            <w:noWrap w:val="0"/>
            <w:vAlign w:val="center"/>
          </w:tcPr>
          <w:p w14:paraId="758A77DD">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844ED9D</w:t>
            </w:r>
          </w:p>
        </w:tc>
      </w:tr>
      <w:tr w14:paraId="05FA479F">
        <w:tblPrEx>
          <w:tblCellMar>
            <w:top w:w="0" w:type="dxa"/>
            <w:left w:w="108" w:type="dxa"/>
            <w:bottom w:w="0" w:type="dxa"/>
            <w:right w:w="108" w:type="dxa"/>
          </w:tblCellMar>
        </w:tblPrEx>
        <w:trPr>
          <w:trHeight w:val="567" w:hRule="atLeast"/>
          <w:jc w:val="center"/>
        </w:trPr>
        <w:tc>
          <w:tcPr>
            <w:tcW w:w="1228" w:type="dxa"/>
            <w:vMerge w:val="restart"/>
            <w:tcBorders>
              <w:top w:val="single" w:color="auto" w:sz="4" w:space="0"/>
              <w:left w:val="single" w:color="auto" w:sz="4" w:space="0"/>
              <w:bottom w:val="single" w:color="auto" w:sz="4" w:space="0"/>
              <w:right w:val="single" w:color="auto" w:sz="8" w:space="0"/>
            </w:tcBorders>
            <w:noWrap w:val="0"/>
            <w:vAlign w:val="center"/>
          </w:tcPr>
          <w:p w14:paraId="1B9A85F0">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网络设备</w:t>
            </w:r>
          </w:p>
        </w:tc>
        <w:tc>
          <w:tcPr>
            <w:tcW w:w="945" w:type="dxa"/>
            <w:tcBorders>
              <w:top w:val="single" w:color="auto" w:sz="4" w:space="0"/>
              <w:left w:val="nil"/>
              <w:bottom w:val="single" w:color="auto" w:sz="4" w:space="0"/>
              <w:right w:val="single" w:color="auto" w:sz="8" w:space="0"/>
            </w:tcBorders>
            <w:noWrap w:val="0"/>
            <w:vAlign w:val="center"/>
          </w:tcPr>
          <w:p w14:paraId="3F50722C">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1</w:t>
            </w:r>
          </w:p>
        </w:tc>
        <w:tc>
          <w:tcPr>
            <w:tcW w:w="1552" w:type="dxa"/>
            <w:tcBorders>
              <w:top w:val="single" w:color="auto" w:sz="4" w:space="0"/>
              <w:left w:val="nil"/>
              <w:bottom w:val="single" w:color="auto" w:sz="4" w:space="0"/>
              <w:right w:val="single" w:color="auto" w:sz="4" w:space="0"/>
            </w:tcBorders>
            <w:noWrap w:val="0"/>
            <w:vAlign w:val="center"/>
          </w:tcPr>
          <w:p w14:paraId="5AA00A40">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核心交换机</w:t>
            </w:r>
          </w:p>
        </w:tc>
        <w:tc>
          <w:tcPr>
            <w:tcW w:w="2615" w:type="dxa"/>
            <w:tcBorders>
              <w:top w:val="single" w:color="auto" w:sz="8" w:space="0"/>
              <w:left w:val="single" w:color="auto" w:sz="4" w:space="0"/>
              <w:bottom w:val="single" w:color="auto" w:sz="8" w:space="0"/>
              <w:right w:val="single" w:color="000000" w:sz="8" w:space="0"/>
            </w:tcBorders>
            <w:noWrap w:val="0"/>
            <w:vAlign w:val="center"/>
          </w:tcPr>
          <w:p w14:paraId="1E611C78">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华为 S12700</w:t>
            </w:r>
          </w:p>
        </w:tc>
        <w:tc>
          <w:tcPr>
            <w:tcW w:w="1901" w:type="dxa"/>
            <w:tcBorders>
              <w:top w:val="single" w:color="auto" w:sz="8" w:space="0"/>
              <w:left w:val="nil"/>
              <w:bottom w:val="single" w:color="auto" w:sz="8" w:space="0"/>
              <w:right w:val="single" w:color="000000" w:sz="8" w:space="0"/>
            </w:tcBorders>
            <w:noWrap w:val="0"/>
            <w:vAlign w:val="center"/>
          </w:tcPr>
          <w:p w14:paraId="3090D061">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P02160013228</w:t>
            </w:r>
          </w:p>
        </w:tc>
      </w:tr>
      <w:tr w14:paraId="42FE277D">
        <w:tblPrEx>
          <w:tblCellMar>
            <w:top w:w="0" w:type="dxa"/>
            <w:left w:w="108" w:type="dxa"/>
            <w:bottom w:w="0" w:type="dxa"/>
            <w:right w:w="108" w:type="dxa"/>
          </w:tblCellMar>
        </w:tblPrEx>
        <w:trPr>
          <w:trHeight w:val="567" w:hRule="atLeast"/>
          <w:jc w:val="center"/>
        </w:trPr>
        <w:tc>
          <w:tcPr>
            <w:tcW w:w="1228" w:type="dxa"/>
            <w:vMerge w:val="continue"/>
            <w:tcBorders>
              <w:top w:val="single" w:color="auto" w:sz="4" w:space="0"/>
              <w:left w:val="single" w:color="auto" w:sz="4" w:space="0"/>
              <w:right w:val="single" w:color="auto" w:sz="8" w:space="0"/>
            </w:tcBorders>
            <w:noWrap w:val="0"/>
            <w:vAlign w:val="center"/>
          </w:tcPr>
          <w:p w14:paraId="743806B6">
            <w:pPr>
              <w:widowControl/>
              <w:jc w:val="center"/>
              <w:rPr>
                <w:rFonts w:hint="eastAsia" w:ascii="宋体" w:hAnsi="宋体" w:eastAsia="宋体" w:cs="宋体"/>
                <w:kern w:val="0"/>
                <w:sz w:val="24"/>
                <w:szCs w:val="24"/>
              </w:rPr>
            </w:pPr>
          </w:p>
        </w:tc>
        <w:tc>
          <w:tcPr>
            <w:tcW w:w="945" w:type="dxa"/>
            <w:tcBorders>
              <w:top w:val="single" w:color="auto" w:sz="4" w:space="0"/>
              <w:left w:val="nil"/>
              <w:bottom w:val="single" w:color="auto" w:sz="8" w:space="0"/>
              <w:right w:val="single" w:color="auto" w:sz="8" w:space="0"/>
            </w:tcBorders>
            <w:noWrap w:val="0"/>
            <w:vAlign w:val="center"/>
          </w:tcPr>
          <w:p w14:paraId="0CCC910B">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2</w:t>
            </w:r>
          </w:p>
        </w:tc>
        <w:tc>
          <w:tcPr>
            <w:tcW w:w="1552" w:type="dxa"/>
            <w:tcBorders>
              <w:top w:val="single" w:color="auto" w:sz="4" w:space="0"/>
              <w:left w:val="nil"/>
              <w:bottom w:val="single" w:color="auto" w:sz="8" w:space="0"/>
              <w:right w:val="single" w:color="000000" w:sz="8" w:space="0"/>
            </w:tcBorders>
            <w:noWrap w:val="0"/>
            <w:vAlign w:val="center"/>
          </w:tcPr>
          <w:p w14:paraId="29BC42FB">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核心交换机</w:t>
            </w:r>
          </w:p>
        </w:tc>
        <w:tc>
          <w:tcPr>
            <w:tcW w:w="2615" w:type="dxa"/>
            <w:tcBorders>
              <w:top w:val="single" w:color="auto" w:sz="8" w:space="0"/>
              <w:left w:val="nil"/>
              <w:bottom w:val="single" w:color="auto" w:sz="8" w:space="0"/>
              <w:right w:val="single" w:color="000000" w:sz="8" w:space="0"/>
            </w:tcBorders>
            <w:noWrap w:val="0"/>
            <w:vAlign w:val="center"/>
          </w:tcPr>
          <w:p w14:paraId="2E7C5423">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华为 S12700</w:t>
            </w:r>
          </w:p>
        </w:tc>
        <w:tc>
          <w:tcPr>
            <w:tcW w:w="1901" w:type="dxa"/>
            <w:tcBorders>
              <w:top w:val="single" w:color="auto" w:sz="8" w:space="0"/>
              <w:left w:val="nil"/>
              <w:bottom w:val="single" w:color="auto" w:sz="8" w:space="0"/>
              <w:right w:val="single" w:color="000000" w:sz="8" w:space="0"/>
            </w:tcBorders>
            <w:noWrap w:val="0"/>
            <w:vAlign w:val="center"/>
          </w:tcPr>
          <w:p w14:paraId="0D99ADA6">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2102114480P0JC000080</w:t>
            </w:r>
          </w:p>
        </w:tc>
      </w:tr>
      <w:tr w14:paraId="2D2B6019">
        <w:tblPrEx>
          <w:tblCellMar>
            <w:top w:w="0" w:type="dxa"/>
            <w:left w:w="108" w:type="dxa"/>
            <w:bottom w:w="0" w:type="dxa"/>
            <w:right w:w="108" w:type="dxa"/>
          </w:tblCellMar>
        </w:tblPrEx>
        <w:trPr>
          <w:trHeight w:val="567" w:hRule="atLeast"/>
          <w:jc w:val="center"/>
        </w:trPr>
        <w:tc>
          <w:tcPr>
            <w:tcW w:w="1228" w:type="dxa"/>
            <w:vMerge w:val="continue"/>
            <w:tcBorders>
              <w:left w:val="single" w:color="auto" w:sz="4" w:space="0"/>
              <w:right w:val="single" w:color="auto" w:sz="8" w:space="0"/>
            </w:tcBorders>
            <w:noWrap w:val="0"/>
            <w:vAlign w:val="center"/>
          </w:tcPr>
          <w:p w14:paraId="2FFD2344">
            <w:pPr>
              <w:widowControl/>
              <w:jc w:val="center"/>
              <w:rPr>
                <w:rFonts w:hint="eastAsia" w:ascii="宋体" w:hAnsi="宋体" w:eastAsia="宋体" w:cs="宋体"/>
                <w:kern w:val="0"/>
                <w:sz w:val="24"/>
                <w:szCs w:val="24"/>
              </w:rPr>
            </w:pPr>
          </w:p>
        </w:tc>
        <w:tc>
          <w:tcPr>
            <w:tcW w:w="945" w:type="dxa"/>
            <w:tcBorders>
              <w:top w:val="nil"/>
              <w:left w:val="nil"/>
              <w:bottom w:val="single" w:color="auto" w:sz="8" w:space="0"/>
              <w:right w:val="single" w:color="auto" w:sz="8" w:space="0"/>
            </w:tcBorders>
            <w:noWrap w:val="0"/>
            <w:vAlign w:val="center"/>
          </w:tcPr>
          <w:p w14:paraId="33961D0C">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3</w:t>
            </w:r>
          </w:p>
        </w:tc>
        <w:tc>
          <w:tcPr>
            <w:tcW w:w="1552" w:type="dxa"/>
            <w:tcBorders>
              <w:top w:val="single" w:color="auto" w:sz="8" w:space="0"/>
              <w:left w:val="nil"/>
              <w:bottom w:val="single" w:color="auto" w:sz="8" w:space="0"/>
              <w:right w:val="single" w:color="000000" w:sz="8" w:space="0"/>
            </w:tcBorders>
            <w:noWrap w:val="0"/>
            <w:vAlign w:val="center"/>
          </w:tcPr>
          <w:p w14:paraId="235C0F5B">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核心交换机</w:t>
            </w:r>
          </w:p>
        </w:tc>
        <w:tc>
          <w:tcPr>
            <w:tcW w:w="2615" w:type="dxa"/>
            <w:tcBorders>
              <w:top w:val="single" w:color="auto" w:sz="8" w:space="0"/>
              <w:left w:val="nil"/>
              <w:bottom w:val="single" w:color="auto" w:sz="8" w:space="0"/>
              <w:right w:val="single" w:color="000000" w:sz="8" w:space="0"/>
            </w:tcBorders>
            <w:noWrap w:val="0"/>
            <w:vAlign w:val="center"/>
          </w:tcPr>
          <w:p w14:paraId="1445A1F3">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华为 S12700</w:t>
            </w:r>
          </w:p>
        </w:tc>
        <w:tc>
          <w:tcPr>
            <w:tcW w:w="1901" w:type="dxa"/>
            <w:tcBorders>
              <w:top w:val="single" w:color="auto" w:sz="8" w:space="0"/>
              <w:left w:val="nil"/>
              <w:bottom w:val="single" w:color="auto" w:sz="8" w:space="0"/>
              <w:right w:val="single" w:color="000000" w:sz="8" w:space="0"/>
            </w:tcBorders>
            <w:noWrap w:val="0"/>
            <w:vAlign w:val="center"/>
          </w:tcPr>
          <w:p w14:paraId="379EA397">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2102114178P0JC000520</w:t>
            </w:r>
          </w:p>
        </w:tc>
      </w:tr>
      <w:tr w14:paraId="79D2039C">
        <w:tblPrEx>
          <w:tblCellMar>
            <w:top w:w="0" w:type="dxa"/>
            <w:left w:w="108" w:type="dxa"/>
            <w:bottom w:w="0" w:type="dxa"/>
            <w:right w:w="108" w:type="dxa"/>
          </w:tblCellMar>
        </w:tblPrEx>
        <w:trPr>
          <w:trHeight w:val="567" w:hRule="atLeast"/>
          <w:jc w:val="center"/>
        </w:trPr>
        <w:tc>
          <w:tcPr>
            <w:tcW w:w="1228" w:type="dxa"/>
            <w:vMerge w:val="continue"/>
            <w:tcBorders>
              <w:left w:val="single" w:color="auto" w:sz="4" w:space="0"/>
              <w:right w:val="single" w:color="auto" w:sz="8" w:space="0"/>
            </w:tcBorders>
            <w:noWrap w:val="0"/>
            <w:vAlign w:val="center"/>
          </w:tcPr>
          <w:p w14:paraId="30038554">
            <w:pPr>
              <w:widowControl/>
              <w:jc w:val="center"/>
              <w:rPr>
                <w:rFonts w:hint="eastAsia" w:ascii="宋体" w:hAnsi="宋体" w:eastAsia="宋体" w:cs="宋体"/>
                <w:kern w:val="0"/>
                <w:sz w:val="24"/>
                <w:szCs w:val="24"/>
              </w:rPr>
            </w:pPr>
          </w:p>
        </w:tc>
        <w:tc>
          <w:tcPr>
            <w:tcW w:w="945" w:type="dxa"/>
            <w:tcBorders>
              <w:top w:val="single" w:color="auto" w:sz="8" w:space="0"/>
              <w:left w:val="nil"/>
              <w:bottom w:val="single" w:color="auto" w:sz="8" w:space="0"/>
              <w:right w:val="single" w:color="auto" w:sz="8" w:space="0"/>
            </w:tcBorders>
            <w:noWrap w:val="0"/>
            <w:vAlign w:val="center"/>
          </w:tcPr>
          <w:p w14:paraId="589A333D">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4</w:t>
            </w:r>
          </w:p>
        </w:tc>
        <w:tc>
          <w:tcPr>
            <w:tcW w:w="1552" w:type="dxa"/>
            <w:tcBorders>
              <w:top w:val="single" w:color="auto" w:sz="8" w:space="0"/>
              <w:left w:val="nil"/>
              <w:bottom w:val="single" w:color="auto" w:sz="8" w:space="0"/>
              <w:right w:val="single" w:color="000000" w:sz="8" w:space="0"/>
            </w:tcBorders>
            <w:noWrap w:val="0"/>
            <w:vAlign w:val="center"/>
          </w:tcPr>
          <w:p w14:paraId="5AEACC67">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核心交换机</w:t>
            </w:r>
          </w:p>
        </w:tc>
        <w:tc>
          <w:tcPr>
            <w:tcW w:w="2615" w:type="dxa"/>
            <w:tcBorders>
              <w:top w:val="single" w:color="auto" w:sz="8" w:space="0"/>
              <w:left w:val="nil"/>
              <w:bottom w:val="single" w:color="auto" w:sz="8" w:space="0"/>
              <w:right w:val="single" w:color="000000" w:sz="8" w:space="0"/>
            </w:tcBorders>
            <w:noWrap w:val="0"/>
            <w:vAlign w:val="center"/>
          </w:tcPr>
          <w:p w14:paraId="1F37A1D7">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华为 S12700</w:t>
            </w:r>
          </w:p>
        </w:tc>
        <w:tc>
          <w:tcPr>
            <w:tcW w:w="1901" w:type="dxa"/>
            <w:tcBorders>
              <w:top w:val="single" w:color="auto" w:sz="8" w:space="0"/>
              <w:left w:val="nil"/>
              <w:bottom w:val="single" w:color="auto" w:sz="8" w:space="0"/>
              <w:right w:val="single" w:color="000000" w:sz="8" w:space="0"/>
            </w:tcBorders>
            <w:noWrap w:val="0"/>
            <w:vAlign w:val="center"/>
          </w:tcPr>
          <w:p w14:paraId="34F29FFA">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P02160012316</w:t>
            </w:r>
          </w:p>
        </w:tc>
      </w:tr>
      <w:tr w14:paraId="0E738DE9">
        <w:tblPrEx>
          <w:tblCellMar>
            <w:top w:w="0" w:type="dxa"/>
            <w:left w:w="108" w:type="dxa"/>
            <w:bottom w:w="0" w:type="dxa"/>
            <w:right w:w="108" w:type="dxa"/>
          </w:tblCellMar>
        </w:tblPrEx>
        <w:trPr>
          <w:trHeight w:val="567" w:hRule="atLeast"/>
          <w:jc w:val="center"/>
        </w:trPr>
        <w:tc>
          <w:tcPr>
            <w:tcW w:w="1228" w:type="dxa"/>
            <w:vMerge w:val="continue"/>
            <w:tcBorders>
              <w:left w:val="single" w:color="auto" w:sz="4" w:space="0"/>
              <w:right w:val="single" w:color="auto" w:sz="8" w:space="0"/>
            </w:tcBorders>
            <w:noWrap w:val="0"/>
            <w:vAlign w:val="center"/>
          </w:tcPr>
          <w:p w14:paraId="7EE4EAF2">
            <w:pPr>
              <w:widowControl/>
              <w:jc w:val="center"/>
              <w:rPr>
                <w:rFonts w:hint="eastAsia" w:ascii="宋体" w:hAnsi="宋体" w:eastAsia="宋体" w:cs="宋体"/>
                <w:kern w:val="0"/>
                <w:sz w:val="24"/>
                <w:szCs w:val="24"/>
              </w:rPr>
            </w:pPr>
          </w:p>
        </w:tc>
        <w:tc>
          <w:tcPr>
            <w:tcW w:w="945" w:type="dxa"/>
            <w:tcBorders>
              <w:top w:val="nil"/>
              <w:left w:val="nil"/>
              <w:bottom w:val="single" w:color="auto" w:sz="8" w:space="0"/>
              <w:right w:val="single" w:color="auto" w:sz="8" w:space="0"/>
            </w:tcBorders>
            <w:noWrap w:val="0"/>
            <w:vAlign w:val="center"/>
          </w:tcPr>
          <w:p w14:paraId="4C50BB32">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5</w:t>
            </w:r>
          </w:p>
        </w:tc>
        <w:tc>
          <w:tcPr>
            <w:tcW w:w="1552" w:type="dxa"/>
            <w:tcBorders>
              <w:top w:val="single" w:color="auto" w:sz="8" w:space="0"/>
              <w:left w:val="nil"/>
              <w:bottom w:val="single" w:color="auto" w:sz="8" w:space="0"/>
              <w:right w:val="single" w:color="000000" w:sz="8" w:space="0"/>
            </w:tcBorders>
            <w:noWrap w:val="0"/>
            <w:vAlign w:val="center"/>
          </w:tcPr>
          <w:p w14:paraId="32F23F9C">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交换机</w:t>
            </w:r>
          </w:p>
        </w:tc>
        <w:tc>
          <w:tcPr>
            <w:tcW w:w="2615" w:type="dxa"/>
            <w:tcBorders>
              <w:top w:val="single" w:color="auto" w:sz="8" w:space="0"/>
              <w:left w:val="nil"/>
              <w:bottom w:val="single" w:color="auto" w:sz="8" w:space="0"/>
              <w:right w:val="single" w:color="000000" w:sz="8" w:space="0"/>
            </w:tcBorders>
            <w:noWrap w:val="0"/>
            <w:vAlign w:val="center"/>
          </w:tcPr>
          <w:p w14:paraId="39C72F5C">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华为S5720</w:t>
            </w:r>
          </w:p>
        </w:tc>
        <w:tc>
          <w:tcPr>
            <w:tcW w:w="1901" w:type="dxa"/>
            <w:tcBorders>
              <w:top w:val="single" w:color="auto" w:sz="8" w:space="0"/>
              <w:left w:val="nil"/>
              <w:bottom w:val="single" w:color="auto" w:sz="8" w:space="0"/>
              <w:right w:val="single" w:color="000000" w:sz="8" w:space="0"/>
            </w:tcBorders>
            <w:noWrap w:val="0"/>
            <w:vAlign w:val="center"/>
          </w:tcPr>
          <w:p w14:paraId="667D24AD">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2102350B ECDMHB000041</w:t>
            </w:r>
          </w:p>
        </w:tc>
      </w:tr>
      <w:tr w14:paraId="73EA4F47">
        <w:tblPrEx>
          <w:tblCellMar>
            <w:top w:w="0" w:type="dxa"/>
            <w:left w:w="108" w:type="dxa"/>
            <w:bottom w:w="0" w:type="dxa"/>
            <w:right w:w="108" w:type="dxa"/>
          </w:tblCellMar>
        </w:tblPrEx>
        <w:trPr>
          <w:trHeight w:val="567" w:hRule="atLeast"/>
          <w:jc w:val="center"/>
        </w:trPr>
        <w:tc>
          <w:tcPr>
            <w:tcW w:w="1228" w:type="dxa"/>
            <w:vMerge w:val="continue"/>
            <w:tcBorders>
              <w:left w:val="single" w:color="auto" w:sz="4" w:space="0"/>
              <w:right w:val="single" w:color="auto" w:sz="8" w:space="0"/>
            </w:tcBorders>
            <w:noWrap w:val="0"/>
            <w:vAlign w:val="center"/>
          </w:tcPr>
          <w:p w14:paraId="6D2BA4C0">
            <w:pPr>
              <w:widowControl/>
              <w:jc w:val="center"/>
              <w:rPr>
                <w:rFonts w:hint="eastAsia" w:ascii="宋体" w:hAnsi="宋体" w:eastAsia="宋体" w:cs="宋体"/>
                <w:kern w:val="0"/>
                <w:sz w:val="24"/>
                <w:szCs w:val="24"/>
              </w:rPr>
            </w:pPr>
          </w:p>
        </w:tc>
        <w:tc>
          <w:tcPr>
            <w:tcW w:w="945" w:type="dxa"/>
            <w:tcBorders>
              <w:top w:val="nil"/>
              <w:left w:val="nil"/>
              <w:bottom w:val="single" w:color="auto" w:sz="8" w:space="0"/>
              <w:right w:val="single" w:color="auto" w:sz="8" w:space="0"/>
            </w:tcBorders>
            <w:noWrap w:val="0"/>
            <w:vAlign w:val="center"/>
          </w:tcPr>
          <w:p w14:paraId="15ECA578">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6</w:t>
            </w:r>
          </w:p>
        </w:tc>
        <w:tc>
          <w:tcPr>
            <w:tcW w:w="1552" w:type="dxa"/>
            <w:tcBorders>
              <w:top w:val="single" w:color="auto" w:sz="8" w:space="0"/>
              <w:left w:val="nil"/>
              <w:bottom w:val="single" w:color="auto" w:sz="8" w:space="0"/>
              <w:right w:val="single" w:color="000000" w:sz="8" w:space="0"/>
            </w:tcBorders>
            <w:noWrap w:val="0"/>
            <w:vAlign w:val="center"/>
          </w:tcPr>
          <w:p w14:paraId="0625F7BD">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交换机</w:t>
            </w:r>
          </w:p>
        </w:tc>
        <w:tc>
          <w:tcPr>
            <w:tcW w:w="2615" w:type="dxa"/>
            <w:tcBorders>
              <w:top w:val="single" w:color="auto" w:sz="8" w:space="0"/>
              <w:left w:val="nil"/>
              <w:bottom w:val="single" w:color="auto" w:sz="8" w:space="0"/>
              <w:right w:val="single" w:color="000000" w:sz="8" w:space="0"/>
            </w:tcBorders>
            <w:noWrap w:val="0"/>
            <w:vAlign w:val="center"/>
          </w:tcPr>
          <w:p w14:paraId="390488A5">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华为S5720</w:t>
            </w:r>
          </w:p>
        </w:tc>
        <w:tc>
          <w:tcPr>
            <w:tcW w:w="1901" w:type="dxa"/>
            <w:tcBorders>
              <w:top w:val="single" w:color="auto" w:sz="8" w:space="0"/>
              <w:left w:val="nil"/>
              <w:bottom w:val="single" w:color="auto" w:sz="8" w:space="0"/>
              <w:right w:val="single" w:color="000000" w:sz="8" w:space="0"/>
            </w:tcBorders>
            <w:noWrap w:val="0"/>
            <w:vAlign w:val="center"/>
          </w:tcPr>
          <w:p w14:paraId="1F36E3BB">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2102350BECDMHB000015</w:t>
            </w:r>
          </w:p>
        </w:tc>
      </w:tr>
      <w:tr w14:paraId="7BC507AB">
        <w:tblPrEx>
          <w:tblCellMar>
            <w:top w:w="0" w:type="dxa"/>
            <w:left w:w="108" w:type="dxa"/>
            <w:bottom w:w="0" w:type="dxa"/>
            <w:right w:w="108" w:type="dxa"/>
          </w:tblCellMar>
        </w:tblPrEx>
        <w:trPr>
          <w:trHeight w:val="567" w:hRule="atLeast"/>
          <w:jc w:val="center"/>
        </w:trPr>
        <w:tc>
          <w:tcPr>
            <w:tcW w:w="1228" w:type="dxa"/>
            <w:vMerge w:val="continue"/>
            <w:tcBorders>
              <w:left w:val="single" w:color="auto" w:sz="4" w:space="0"/>
              <w:right w:val="single" w:color="auto" w:sz="8" w:space="0"/>
            </w:tcBorders>
            <w:noWrap w:val="0"/>
            <w:vAlign w:val="center"/>
          </w:tcPr>
          <w:p w14:paraId="3F87A56A">
            <w:pPr>
              <w:widowControl/>
              <w:jc w:val="center"/>
              <w:rPr>
                <w:rFonts w:hint="eastAsia" w:ascii="宋体" w:hAnsi="宋体" w:eastAsia="宋体" w:cs="宋体"/>
                <w:kern w:val="0"/>
                <w:sz w:val="24"/>
                <w:szCs w:val="24"/>
              </w:rPr>
            </w:pPr>
          </w:p>
        </w:tc>
        <w:tc>
          <w:tcPr>
            <w:tcW w:w="945" w:type="dxa"/>
            <w:tcBorders>
              <w:top w:val="single" w:color="auto" w:sz="8" w:space="0"/>
              <w:left w:val="nil"/>
              <w:bottom w:val="single" w:color="auto" w:sz="8" w:space="0"/>
              <w:right w:val="single" w:color="auto" w:sz="8" w:space="0"/>
            </w:tcBorders>
            <w:noWrap w:val="0"/>
            <w:vAlign w:val="center"/>
          </w:tcPr>
          <w:p w14:paraId="776BD278">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7</w:t>
            </w:r>
          </w:p>
        </w:tc>
        <w:tc>
          <w:tcPr>
            <w:tcW w:w="1552" w:type="dxa"/>
            <w:tcBorders>
              <w:top w:val="single" w:color="auto" w:sz="8" w:space="0"/>
              <w:left w:val="nil"/>
              <w:bottom w:val="single" w:color="auto" w:sz="8" w:space="0"/>
              <w:right w:val="single" w:color="000000" w:sz="8" w:space="0"/>
            </w:tcBorders>
            <w:noWrap w:val="0"/>
            <w:vAlign w:val="center"/>
          </w:tcPr>
          <w:p w14:paraId="1DA7C248">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交换机</w:t>
            </w:r>
          </w:p>
        </w:tc>
        <w:tc>
          <w:tcPr>
            <w:tcW w:w="2615" w:type="dxa"/>
            <w:tcBorders>
              <w:top w:val="single" w:color="auto" w:sz="8" w:space="0"/>
              <w:left w:val="nil"/>
              <w:bottom w:val="single" w:color="auto" w:sz="8" w:space="0"/>
              <w:right w:val="single" w:color="000000" w:sz="8" w:space="0"/>
            </w:tcBorders>
            <w:noWrap w:val="0"/>
            <w:vAlign w:val="center"/>
          </w:tcPr>
          <w:p w14:paraId="72525B4A">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华为S5700-24TP</w:t>
            </w:r>
          </w:p>
        </w:tc>
        <w:tc>
          <w:tcPr>
            <w:tcW w:w="1901" w:type="dxa"/>
            <w:tcBorders>
              <w:top w:val="single" w:color="auto" w:sz="8" w:space="0"/>
              <w:left w:val="nil"/>
              <w:bottom w:val="single" w:color="auto" w:sz="8" w:space="0"/>
              <w:right w:val="single" w:color="000000" w:sz="8" w:space="0"/>
            </w:tcBorders>
            <w:noWrap w:val="0"/>
            <w:vAlign w:val="center"/>
          </w:tcPr>
          <w:p w14:paraId="4FDF2D9A">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210235236010EC000628</w:t>
            </w:r>
          </w:p>
        </w:tc>
      </w:tr>
      <w:tr w14:paraId="11F08AFF">
        <w:tblPrEx>
          <w:tblCellMar>
            <w:top w:w="0" w:type="dxa"/>
            <w:left w:w="108" w:type="dxa"/>
            <w:bottom w:w="0" w:type="dxa"/>
            <w:right w:w="108" w:type="dxa"/>
          </w:tblCellMar>
        </w:tblPrEx>
        <w:trPr>
          <w:trHeight w:val="567" w:hRule="atLeast"/>
          <w:jc w:val="center"/>
        </w:trPr>
        <w:tc>
          <w:tcPr>
            <w:tcW w:w="1228" w:type="dxa"/>
            <w:vMerge w:val="continue"/>
            <w:tcBorders>
              <w:left w:val="single" w:color="auto" w:sz="4" w:space="0"/>
              <w:right w:val="single" w:color="auto" w:sz="8" w:space="0"/>
            </w:tcBorders>
            <w:noWrap w:val="0"/>
            <w:vAlign w:val="center"/>
          </w:tcPr>
          <w:p w14:paraId="47F9A2AF">
            <w:pPr>
              <w:widowControl/>
              <w:jc w:val="center"/>
              <w:rPr>
                <w:rFonts w:hint="eastAsia" w:ascii="宋体" w:hAnsi="宋体" w:eastAsia="宋体" w:cs="宋体"/>
                <w:kern w:val="0"/>
                <w:sz w:val="24"/>
                <w:szCs w:val="24"/>
              </w:rPr>
            </w:pPr>
          </w:p>
        </w:tc>
        <w:tc>
          <w:tcPr>
            <w:tcW w:w="945" w:type="dxa"/>
            <w:tcBorders>
              <w:top w:val="nil"/>
              <w:left w:val="nil"/>
              <w:bottom w:val="single" w:color="auto" w:sz="8" w:space="0"/>
              <w:right w:val="single" w:color="auto" w:sz="8" w:space="0"/>
            </w:tcBorders>
            <w:noWrap w:val="0"/>
            <w:vAlign w:val="center"/>
          </w:tcPr>
          <w:p w14:paraId="7D5BBB8E">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8</w:t>
            </w:r>
          </w:p>
        </w:tc>
        <w:tc>
          <w:tcPr>
            <w:tcW w:w="1552" w:type="dxa"/>
            <w:tcBorders>
              <w:top w:val="single" w:color="auto" w:sz="8" w:space="0"/>
              <w:left w:val="nil"/>
              <w:bottom w:val="single" w:color="auto" w:sz="8" w:space="0"/>
              <w:right w:val="single" w:color="000000" w:sz="8" w:space="0"/>
            </w:tcBorders>
            <w:noWrap w:val="0"/>
            <w:vAlign w:val="center"/>
          </w:tcPr>
          <w:p w14:paraId="39D32390">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交换机</w:t>
            </w:r>
          </w:p>
        </w:tc>
        <w:tc>
          <w:tcPr>
            <w:tcW w:w="2615" w:type="dxa"/>
            <w:tcBorders>
              <w:top w:val="single" w:color="auto" w:sz="8" w:space="0"/>
              <w:left w:val="nil"/>
              <w:bottom w:val="single" w:color="auto" w:sz="8" w:space="0"/>
              <w:right w:val="single" w:color="000000" w:sz="8" w:space="0"/>
            </w:tcBorders>
            <w:noWrap w:val="0"/>
            <w:vAlign w:val="center"/>
          </w:tcPr>
          <w:p w14:paraId="4A6032B8">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华为S5700-24TP</w:t>
            </w:r>
          </w:p>
        </w:tc>
        <w:tc>
          <w:tcPr>
            <w:tcW w:w="1901" w:type="dxa"/>
            <w:tcBorders>
              <w:top w:val="single" w:color="auto" w:sz="8" w:space="0"/>
              <w:left w:val="nil"/>
              <w:bottom w:val="single" w:color="auto" w:sz="8" w:space="0"/>
              <w:right w:val="single" w:color="000000" w:sz="8" w:space="0"/>
            </w:tcBorders>
            <w:noWrap w:val="0"/>
            <w:vAlign w:val="center"/>
          </w:tcPr>
          <w:p w14:paraId="3C3157EA">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210235236010EC000719</w:t>
            </w:r>
          </w:p>
        </w:tc>
      </w:tr>
      <w:tr w14:paraId="6CA86E35">
        <w:tblPrEx>
          <w:tblCellMar>
            <w:top w:w="0" w:type="dxa"/>
            <w:left w:w="108" w:type="dxa"/>
            <w:bottom w:w="0" w:type="dxa"/>
            <w:right w:w="108" w:type="dxa"/>
          </w:tblCellMar>
        </w:tblPrEx>
        <w:trPr>
          <w:trHeight w:val="567" w:hRule="atLeast"/>
          <w:jc w:val="center"/>
        </w:trPr>
        <w:tc>
          <w:tcPr>
            <w:tcW w:w="1228" w:type="dxa"/>
            <w:vMerge w:val="continue"/>
            <w:tcBorders>
              <w:left w:val="single" w:color="auto" w:sz="4" w:space="0"/>
              <w:right w:val="single" w:color="auto" w:sz="8" w:space="0"/>
            </w:tcBorders>
            <w:noWrap w:val="0"/>
            <w:vAlign w:val="center"/>
          </w:tcPr>
          <w:p w14:paraId="2C85A749">
            <w:pPr>
              <w:widowControl/>
              <w:jc w:val="center"/>
              <w:rPr>
                <w:rFonts w:hint="eastAsia" w:ascii="宋体" w:hAnsi="宋体" w:eastAsia="宋体" w:cs="宋体"/>
                <w:kern w:val="0"/>
                <w:sz w:val="24"/>
                <w:szCs w:val="24"/>
              </w:rPr>
            </w:pPr>
          </w:p>
        </w:tc>
        <w:tc>
          <w:tcPr>
            <w:tcW w:w="945" w:type="dxa"/>
            <w:tcBorders>
              <w:top w:val="nil"/>
              <w:left w:val="nil"/>
              <w:bottom w:val="single" w:color="auto" w:sz="8" w:space="0"/>
              <w:right w:val="single" w:color="auto" w:sz="8" w:space="0"/>
            </w:tcBorders>
            <w:noWrap w:val="0"/>
            <w:vAlign w:val="center"/>
          </w:tcPr>
          <w:p w14:paraId="27E2BCE7">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9</w:t>
            </w:r>
          </w:p>
        </w:tc>
        <w:tc>
          <w:tcPr>
            <w:tcW w:w="1552" w:type="dxa"/>
            <w:tcBorders>
              <w:top w:val="single" w:color="auto" w:sz="8" w:space="0"/>
              <w:left w:val="nil"/>
              <w:bottom w:val="single" w:color="auto" w:sz="8" w:space="0"/>
              <w:right w:val="single" w:color="000000" w:sz="8" w:space="0"/>
            </w:tcBorders>
            <w:noWrap w:val="0"/>
            <w:vAlign w:val="center"/>
          </w:tcPr>
          <w:p w14:paraId="4A86CA7B">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交换机</w:t>
            </w:r>
          </w:p>
        </w:tc>
        <w:tc>
          <w:tcPr>
            <w:tcW w:w="2615" w:type="dxa"/>
            <w:tcBorders>
              <w:top w:val="single" w:color="auto" w:sz="8" w:space="0"/>
              <w:left w:val="nil"/>
              <w:bottom w:val="single" w:color="auto" w:sz="8" w:space="0"/>
              <w:right w:val="single" w:color="000000" w:sz="8" w:space="0"/>
            </w:tcBorders>
            <w:noWrap w:val="0"/>
            <w:vAlign w:val="center"/>
          </w:tcPr>
          <w:p w14:paraId="4E81B0B0">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华为S5700-52C-SI</w:t>
            </w:r>
          </w:p>
        </w:tc>
        <w:tc>
          <w:tcPr>
            <w:tcW w:w="1901" w:type="dxa"/>
            <w:tcBorders>
              <w:top w:val="single" w:color="auto" w:sz="8" w:space="0"/>
              <w:left w:val="nil"/>
              <w:bottom w:val="single" w:color="auto" w:sz="8" w:space="0"/>
              <w:right w:val="single" w:color="000000" w:sz="8" w:space="0"/>
            </w:tcBorders>
            <w:noWrap w:val="0"/>
            <w:vAlign w:val="center"/>
          </w:tcPr>
          <w:p w14:paraId="2D3889E2">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2102352356W0E9000101</w:t>
            </w:r>
          </w:p>
        </w:tc>
      </w:tr>
      <w:tr w14:paraId="516E02E4">
        <w:tblPrEx>
          <w:tblCellMar>
            <w:top w:w="0" w:type="dxa"/>
            <w:left w:w="108" w:type="dxa"/>
            <w:bottom w:w="0" w:type="dxa"/>
            <w:right w:w="108" w:type="dxa"/>
          </w:tblCellMar>
        </w:tblPrEx>
        <w:trPr>
          <w:trHeight w:val="567" w:hRule="atLeast"/>
          <w:jc w:val="center"/>
        </w:trPr>
        <w:tc>
          <w:tcPr>
            <w:tcW w:w="1228" w:type="dxa"/>
            <w:vMerge w:val="continue"/>
            <w:tcBorders>
              <w:left w:val="single" w:color="auto" w:sz="4" w:space="0"/>
              <w:right w:val="single" w:color="auto" w:sz="8" w:space="0"/>
            </w:tcBorders>
            <w:noWrap w:val="0"/>
            <w:vAlign w:val="center"/>
          </w:tcPr>
          <w:p w14:paraId="218DDD92">
            <w:pPr>
              <w:widowControl/>
              <w:jc w:val="center"/>
              <w:rPr>
                <w:rFonts w:hint="eastAsia" w:ascii="宋体" w:hAnsi="宋体" w:eastAsia="宋体" w:cs="宋体"/>
                <w:kern w:val="0"/>
                <w:sz w:val="24"/>
                <w:szCs w:val="24"/>
              </w:rPr>
            </w:pPr>
          </w:p>
        </w:tc>
        <w:tc>
          <w:tcPr>
            <w:tcW w:w="945" w:type="dxa"/>
            <w:tcBorders>
              <w:top w:val="nil"/>
              <w:left w:val="nil"/>
              <w:bottom w:val="single" w:color="auto" w:sz="8" w:space="0"/>
              <w:right w:val="single" w:color="auto" w:sz="8" w:space="0"/>
            </w:tcBorders>
            <w:noWrap w:val="0"/>
            <w:vAlign w:val="center"/>
          </w:tcPr>
          <w:p w14:paraId="275A6A56">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10</w:t>
            </w:r>
          </w:p>
        </w:tc>
        <w:tc>
          <w:tcPr>
            <w:tcW w:w="1552" w:type="dxa"/>
            <w:tcBorders>
              <w:top w:val="single" w:color="auto" w:sz="8" w:space="0"/>
              <w:left w:val="nil"/>
              <w:bottom w:val="single" w:color="auto" w:sz="8" w:space="0"/>
              <w:right w:val="single" w:color="000000" w:sz="8" w:space="0"/>
            </w:tcBorders>
            <w:noWrap w:val="0"/>
            <w:vAlign w:val="center"/>
          </w:tcPr>
          <w:p w14:paraId="4890A217">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交换机</w:t>
            </w:r>
          </w:p>
        </w:tc>
        <w:tc>
          <w:tcPr>
            <w:tcW w:w="2615" w:type="dxa"/>
            <w:tcBorders>
              <w:top w:val="single" w:color="auto" w:sz="8" w:space="0"/>
              <w:left w:val="nil"/>
              <w:bottom w:val="single" w:color="auto" w:sz="8" w:space="0"/>
              <w:right w:val="single" w:color="000000" w:sz="8" w:space="0"/>
            </w:tcBorders>
            <w:noWrap w:val="0"/>
            <w:vAlign w:val="center"/>
          </w:tcPr>
          <w:p w14:paraId="5BE2AFBD">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华为S5700-52C-SI</w:t>
            </w:r>
          </w:p>
        </w:tc>
        <w:tc>
          <w:tcPr>
            <w:tcW w:w="1901" w:type="dxa"/>
            <w:tcBorders>
              <w:top w:val="single" w:color="auto" w:sz="8" w:space="0"/>
              <w:left w:val="nil"/>
              <w:bottom w:val="single" w:color="auto" w:sz="8" w:space="0"/>
              <w:right w:val="single" w:color="000000" w:sz="8" w:space="0"/>
            </w:tcBorders>
            <w:noWrap w:val="0"/>
            <w:vAlign w:val="center"/>
          </w:tcPr>
          <w:p w14:paraId="58E8E579">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2102352356W0E9000020</w:t>
            </w:r>
          </w:p>
        </w:tc>
      </w:tr>
      <w:tr w14:paraId="3D3CCE6D">
        <w:tblPrEx>
          <w:tblCellMar>
            <w:top w:w="0" w:type="dxa"/>
            <w:left w:w="108" w:type="dxa"/>
            <w:bottom w:w="0" w:type="dxa"/>
            <w:right w:w="108" w:type="dxa"/>
          </w:tblCellMar>
        </w:tblPrEx>
        <w:trPr>
          <w:trHeight w:val="567" w:hRule="atLeast"/>
          <w:jc w:val="center"/>
        </w:trPr>
        <w:tc>
          <w:tcPr>
            <w:tcW w:w="1228" w:type="dxa"/>
            <w:vMerge w:val="continue"/>
            <w:tcBorders>
              <w:left w:val="single" w:color="auto" w:sz="4" w:space="0"/>
              <w:right w:val="single" w:color="auto" w:sz="8" w:space="0"/>
            </w:tcBorders>
            <w:noWrap w:val="0"/>
            <w:vAlign w:val="center"/>
          </w:tcPr>
          <w:p w14:paraId="2E30A023">
            <w:pPr>
              <w:widowControl/>
              <w:jc w:val="center"/>
              <w:rPr>
                <w:rFonts w:hint="eastAsia" w:ascii="宋体" w:hAnsi="宋体" w:eastAsia="宋体" w:cs="宋体"/>
                <w:kern w:val="0"/>
                <w:sz w:val="24"/>
                <w:szCs w:val="24"/>
              </w:rPr>
            </w:pPr>
          </w:p>
        </w:tc>
        <w:tc>
          <w:tcPr>
            <w:tcW w:w="945" w:type="dxa"/>
            <w:tcBorders>
              <w:top w:val="nil"/>
              <w:left w:val="nil"/>
              <w:bottom w:val="single" w:color="auto" w:sz="8" w:space="0"/>
              <w:right w:val="single" w:color="auto" w:sz="8" w:space="0"/>
            </w:tcBorders>
            <w:noWrap w:val="0"/>
            <w:vAlign w:val="center"/>
          </w:tcPr>
          <w:p w14:paraId="0A98C435">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11</w:t>
            </w:r>
          </w:p>
        </w:tc>
        <w:tc>
          <w:tcPr>
            <w:tcW w:w="1552" w:type="dxa"/>
            <w:tcBorders>
              <w:top w:val="single" w:color="auto" w:sz="8" w:space="0"/>
              <w:left w:val="nil"/>
              <w:bottom w:val="single" w:color="auto" w:sz="8" w:space="0"/>
              <w:right w:val="single" w:color="000000" w:sz="8" w:space="0"/>
            </w:tcBorders>
            <w:noWrap w:val="0"/>
            <w:vAlign w:val="center"/>
          </w:tcPr>
          <w:p w14:paraId="3A9EFD13">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交换机</w:t>
            </w:r>
          </w:p>
        </w:tc>
        <w:tc>
          <w:tcPr>
            <w:tcW w:w="2615" w:type="dxa"/>
            <w:tcBorders>
              <w:top w:val="single" w:color="auto" w:sz="8" w:space="0"/>
              <w:left w:val="nil"/>
              <w:bottom w:val="single" w:color="auto" w:sz="8" w:space="0"/>
              <w:right w:val="single" w:color="000000" w:sz="8" w:space="0"/>
            </w:tcBorders>
            <w:noWrap w:val="0"/>
            <w:vAlign w:val="center"/>
          </w:tcPr>
          <w:p w14:paraId="5F75D801">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华为S5700-52C-SI</w:t>
            </w:r>
          </w:p>
        </w:tc>
        <w:tc>
          <w:tcPr>
            <w:tcW w:w="1901" w:type="dxa"/>
            <w:tcBorders>
              <w:top w:val="single" w:color="auto" w:sz="8" w:space="0"/>
              <w:left w:val="nil"/>
              <w:bottom w:val="single" w:color="auto" w:sz="8" w:space="0"/>
              <w:right w:val="single" w:color="000000" w:sz="8" w:space="0"/>
            </w:tcBorders>
            <w:noWrap w:val="0"/>
            <w:vAlign w:val="center"/>
          </w:tcPr>
          <w:p w14:paraId="198A1487">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2102352356W0E9000006</w:t>
            </w:r>
          </w:p>
        </w:tc>
      </w:tr>
      <w:tr w14:paraId="77F96D05">
        <w:tblPrEx>
          <w:tblCellMar>
            <w:top w:w="0" w:type="dxa"/>
            <w:left w:w="108" w:type="dxa"/>
            <w:bottom w:w="0" w:type="dxa"/>
            <w:right w:w="108" w:type="dxa"/>
          </w:tblCellMar>
        </w:tblPrEx>
        <w:trPr>
          <w:trHeight w:val="567" w:hRule="atLeast"/>
          <w:jc w:val="center"/>
        </w:trPr>
        <w:tc>
          <w:tcPr>
            <w:tcW w:w="1228" w:type="dxa"/>
            <w:vMerge w:val="continue"/>
            <w:tcBorders>
              <w:left w:val="single" w:color="auto" w:sz="4" w:space="0"/>
              <w:right w:val="single" w:color="auto" w:sz="8" w:space="0"/>
            </w:tcBorders>
            <w:noWrap w:val="0"/>
            <w:vAlign w:val="center"/>
          </w:tcPr>
          <w:p w14:paraId="1684A3B3">
            <w:pPr>
              <w:widowControl/>
              <w:jc w:val="center"/>
              <w:rPr>
                <w:rFonts w:hint="eastAsia" w:ascii="宋体" w:hAnsi="宋体" w:eastAsia="宋体" w:cs="宋体"/>
                <w:kern w:val="0"/>
                <w:sz w:val="24"/>
                <w:szCs w:val="24"/>
              </w:rPr>
            </w:pPr>
          </w:p>
        </w:tc>
        <w:tc>
          <w:tcPr>
            <w:tcW w:w="945" w:type="dxa"/>
            <w:tcBorders>
              <w:top w:val="nil"/>
              <w:left w:val="nil"/>
              <w:bottom w:val="single" w:color="auto" w:sz="8" w:space="0"/>
              <w:right w:val="single" w:color="auto" w:sz="8" w:space="0"/>
            </w:tcBorders>
            <w:noWrap w:val="0"/>
            <w:vAlign w:val="center"/>
          </w:tcPr>
          <w:p w14:paraId="1F1E8006">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12</w:t>
            </w:r>
          </w:p>
        </w:tc>
        <w:tc>
          <w:tcPr>
            <w:tcW w:w="1552" w:type="dxa"/>
            <w:tcBorders>
              <w:top w:val="single" w:color="auto" w:sz="8" w:space="0"/>
              <w:left w:val="nil"/>
              <w:bottom w:val="single" w:color="auto" w:sz="8" w:space="0"/>
              <w:right w:val="single" w:color="000000" w:sz="8" w:space="0"/>
            </w:tcBorders>
            <w:noWrap w:val="0"/>
            <w:vAlign w:val="center"/>
          </w:tcPr>
          <w:p w14:paraId="1D2D6BF8">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路由器</w:t>
            </w:r>
          </w:p>
        </w:tc>
        <w:tc>
          <w:tcPr>
            <w:tcW w:w="2615" w:type="dxa"/>
            <w:tcBorders>
              <w:top w:val="single" w:color="auto" w:sz="8" w:space="0"/>
              <w:left w:val="nil"/>
              <w:bottom w:val="single" w:color="auto" w:sz="8" w:space="0"/>
              <w:right w:val="single" w:color="000000" w:sz="8" w:space="0"/>
            </w:tcBorders>
            <w:noWrap w:val="0"/>
            <w:vAlign w:val="center"/>
          </w:tcPr>
          <w:p w14:paraId="319D317C">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华为AR3260</w:t>
            </w:r>
          </w:p>
        </w:tc>
        <w:tc>
          <w:tcPr>
            <w:tcW w:w="1901" w:type="dxa"/>
            <w:tcBorders>
              <w:top w:val="single" w:color="auto" w:sz="8" w:space="0"/>
              <w:left w:val="nil"/>
              <w:bottom w:val="single" w:color="auto" w:sz="8" w:space="0"/>
              <w:right w:val="single" w:color="000000" w:sz="8" w:space="0"/>
            </w:tcBorders>
            <w:noWrap w:val="0"/>
            <w:vAlign w:val="center"/>
          </w:tcPr>
          <w:p w14:paraId="04DDE702">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2102113374P0G9000351</w:t>
            </w:r>
          </w:p>
        </w:tc>
      </w:tr>
      <w:tr w14:paraId="1EEF2549">
        <w:tblPrEx>
          <w:tblCellMar>
            <w:top w:w="0" w:type="dxa"/>
            <w:left w:w="108" w:type="dxa"/>
            <w:bottom w:w="0" w:type="dxa"/>
            <w:right w:w="108" w:type="dxa"/>
          </w:tblCellMar>
        </w:tblPrEx>
        <w:trPr>
          <w:trHeight w:val="567" w:hRule="atLeast"/>
          <w:jc w:val="center"/>
        </w:trPr>
        <w:tc>
          <w:tcPr>
            <w:tcW w:w="1228" w:type="dxa"/>
            <w:vMerge w:val="continue"/>
            <w:tcBorders>
              <w:left w:val="single" w:color="auto" w:sz="4" w:space="0"/>
              <w:right w:val="single" w:color="auto" w:sz="8" w:space="0"/>
            </w:tcBorders>
            <w:noWrap w:val="0"/>
            <w:vAlign w:val="center"/>
          </w:tcPr>
          <w:p w14:paraId="5DBF4696">
            <w:pPr>
              <w:widowControl/>
              <w:jc w:val="center"/>
              <w:rPr>
                <w:rFonts w:hint="eastAsia" w:ascii="宋体" w:hAnsi="宋体" w:eastAsia="宋体" w:cs="宋体"/>
                <w:kern w:val="0"/>
                <w:sz w:val="24"/>
                <w:szCs w:val="24"/>
              </w:rPr>
            </w:pPr>
          </w:p>
        </w:tc>
        <w:tc>
          <w:tcPr>
            <w:tcW w:w="945" w:type="dxa"/>
            <w:tcBorders>
              <w:top w:val="nil"/>
              <w:left w:val="nil"/>
              <w:bottom w:val="single" w:color="auto" w:sz="8" w:space="0"/>
              <w:right w:val="single" w:color="auto" w:sz="8" w:space="0"/>
            </w:tcBorders>
            <w:noWrap w:val="0"/>
            <w:vAlign w:val="center"/>
          </w:tcPr>
          <w:p w14:paraId="0D3C0048">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13</w:t>
            </w:r>
          </w:p>
        </w:tc>
        <w:tc>
          <w:tcPr>
            <w:tcW w:w="1552" w:type="dxa"/>
            <w:tcBorders>
              <w:top w:val="single" w:color="auto" w:sz="8" w:space="0"/>
              <w:left w:val="nil"/>
              <w:bottom w:val="single" w:color="auto" w:sz="8" w:space="0"/>
              <w:right w:val="single" w:color="000000" w:sz="8" w:space="0"/>
            </w:tcBorders>
            <w:noWrap w:val="0"/>
            <w:vAlign w:val="center"/>
          </w:tcPr>
          <w:p w14:paraId="332C0CF6">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交换机</w:t>
            </w:r>
          </w:p>
        </w:tc>
        <w:tc>
          <w:tcPr>
            <w:tcW w:w="2615" w:type="dxa"/>
            <w:tcBorders>
              <w:top w:val="single" w:color="auto" w:sz="8" w:space="0"/>
              <w:left w:val="nil"/>
              <w:bottom w:val="single" w:color="auto" w:sz="8" w:space="0"/>
              <w:right w:val="single" w:color="000000" w:sz="8" w:space="0"/>
            </w:tcBorders>
            <w:noWrap w:val="0"/>
            <w:vAlign w:val="center"/>
          </w:tcPr>
          <w:p w14:paraId="1144E4E9">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华三1526</w:t>
            </w:r>
          </w:p>
        </w:tc>
        <w:tc>
          <w:tcPr>
            <w:tcW w:w="1901" w:type="dxa"/>
            <w:tcBorders>
              <w:top w:val="single" w:color="auto" w:sz="8" w:space="0"/>
              <w:left w:val="nil"/>
              <w:bottom w:val="single" w:color="auto" w:sz="8" w:space="0"/>
              <w:right w:val="single" w:color="000000" w:sz="8" w:space="0"/>
            </w:tcBorders>
            <w:noWrap w:val="0"/>
            <w:vAlign w:val="center"/>
          </w:tcPr>
          <w:p w14:paraId="4C9CCCE9">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219801A0CG9</w:t>
            </w:r>
          </w:p>
        </w:tc>
      </w:tr>
      <w:tr w14:paraId="39A21F23">
        <w:tblPrEx>
          <w:tblCellMar>
            <w:top w:w="0" w:type="dxa"/>
            <w:left w:w="108" w:type="dxa"/>
            <w:bottom w:w="0" w:type="dxa"/>
            <w:right w:w="108" w:type="dxa"/>
          </w:tblCellMar>
        </w:tblPrEx>
        <w:trPr>
          <w:trHeight w:val="567" w:hRule="atLeast"/>
          <w:jc w:val="center"/>
        </w:trPr>
        <w:tc>
          <w:tcPr>
            <w:tcW w:w="1228" w:type="dxa"/>
            <w:vMerge w:val="continue"/>
            <w:tcBorders>
              <w:left w:val="single" w:color="auto" w:sz="4" w:space="0"/>
              <w:right w:val="single" w:color="auto" w:sz="8" w:space="0"/>
            </w:tcBorders>
            <w:noWrap w:val="0"/>
            <w:vAlign w:val="center"/>
          </w:tcPr>
          <w:p w14:paraId="292F58F2">
            <w:pPr>
              <w:widowControl/>
              <w:jc w:val="center"/>
              <w:rPr>
                <w:rFonts w:hint="eastAsia" w:ascii="宋体" w:hAnsi="宋体" w:eastAsia="宋体" w:cs="宋体"/>
                <w:kern w:val="0"/>
                <w:sz w:val="24"/>
                <w:szCs w:val="24"/>
              </w:rPr>
            </w:pPr>
          </w:p>
        </w:tc>
        <w:tc>
          <w:tcPr>
            <w:tcW w:w="945" w:type="dxa"/>
            <w:tcBorders>
              <w:top w:val="nil"/>
              <w:left w:val="nil"/>
              <w:bottom w:val="single" w:color="auto" w:sz="8" w:space="0"/>
              <w:right w:val="single" w:color="auto" w:sz="8" w:space="0"/>
            </w:tcBorders>
            <w:noWrap w:val="0"/>
            <w:vAlign w:val="center"/>
          </w:tcPr>
          <w:p w14:paraId="316BF991">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14</w:t>
            </w:r>
          </w:p>
        </w:tc>
        <w:tc>
          <w:tcPr>
            <w:tcW w:w="1552" w:type="dxa"/>
            <w:tcBorders>
              <w:top w:val="single" w:color="auto" w:sz="8" w:space="0"/>
              <w:left w:val="nil"/>
              <w:bottom w:val="single" w:color="auto" w:sz="8" w:space="0"/>
              <w:right w:val="single" w:color="000000" w:sz="8" w:space="0"/>
            </w:tcBorders>
            <w:noWrap w:val="0"/>
            <w:vAlign w:val="center"/>
          </w:tcPr>
          <w:p w14:paraId="39D5550D">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交换机</w:t>
            </w:r>
          </w:p>
        </w:tc>
        <w:tc>
          <w:tcPr>
            <w:tcW w:w="2615" w:type="dxa"/>
            <w:tcBorders>
              <w:top w:val="single" w:color="auto" w:sz="8" w:space="0"/>
              <w:left w:val="nil"/>
              <w:bottom w:val="single" w:color="auto" w:sz="8" w:space="0"/>
              <w:right w:val="single" w:color="000000" w:sz="8" w:space="0"/>
            </w:tcBorders>
            <w:noWrap w:val="0"/>
            <w:vAlign w:val="center"/>
          </w:tcPr>
          <w:p w14:paraId="5A1CC1F5">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华为Quidway S7703</w:t>
            </w:r>
          </w:p>
        </w:tc>
        <w:tc>
          <w:tcPr>
            <w:tcW w:w="1901" w:type="dxa"/>
            <w:tcBorders>
              <w:top w:val="single" w:color="auto" w:sz="8" w:space="0"/>
              <w:left w:val="nil"/>
              <w:bottom w:val="single" w:color="auto" w:sz="8" w:space="0"/>
              <w:right w:val="single" w:color="000000" w:sz="8" w:space="0"/>
            </w:tcBorders>
            <w:noWrap w:val="0"/>
            <w:vAlign w:val="center"/>
          </w:tcPr>
          <w:p w14:paraId="480F4137">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2102353353P0L900</w:t>
            </w:r>
          </w:p>
        </w:tc>
      </w:tr>
      <w:tr w14:paraId="200FA741">
        <w:tblPrEx>
          <w:tblCellMar>
            <w:top w:w="0" w:type="dxa"/>
            <w:left w:w="108" w:type="dxa"/>
            <w:bottom w:w="0" w:type="dxa"/>
            <w:right w:w="108" w:type="dxa"/>
          </w:tblCellMar>
        </w:tblPrEx>
        <w:trPr>
          <w:trHeight w:val="567" w:hRule="atLeast"/>
          <w:jc w:val="center"/>
        </w:trPr>
        <w:tc>
          <w:tcPr>
            <w:tcW w:w="1228" w:type="dxa"/>
            <w:vMerge w:val="continue"/>
            <w:tcBorders>
              <w:left w:val="single" w:color="auto" w:sz="4" w:space="0"/>
              <w:right w:val="single" w:color="auto" w:sz="8" w:space="0"/>
            </w:tcBorders>
            <w:noWrap w:val="0"/>
            <w:vAlign w:val="center"/>
          </w:tcPr>
          <w:p w14:paraId="10475983">
            <w:pPr>
              <w:widowControl/>
              <w:jc w:val="center"/>
              <w:rPr>
                <w:rFonts w:hint="eastAsia" w:ascii="宋体" w:hAnsi="宋体" w:eastAsia="宋体" w:cs="宋体"/>
                <w:kern w:val="0"/>
                <w:sz w:val="24"/>
                <w:szCs w:val="24"/>
              </w:rPr>
            </w:pPr>
          </w:p>
        </w:tc>
        <w:tc>
          <w:tcPr>
            <w:tcW w:w="945" w:type="dxa"/>
            <w:tcBorders>
              <w:top w:val="nil"/>
              <w:left w:val="nil"/>
              <w:bottom w:val="single" w:color="auto" w:sz="8" w:space="0"/>
              <w:right w:val="single" w:color="auto" w:sz="8" w:space="0"/>
            </w:tcBorders>
            <w:noWrap w:val="0"/>
            <w:vAlign w:val="center"/>
          </w:tcPr>
          <w:p w14:paraId="62A880D5">
            <w:pPr>
              <w:widowControl/>
              <w:jc w:val="center"/>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rPr>
              <w:t>1</w:t>
            </w:r>
            <w:r>
              <w:rPr>
                <w:rFonts w:hint="eastAsia" w:ascii="宋体" w:hAnsi="宋体" w:eastAsia="宋体" w:cs="宋体"/>
                <w:color w:val="auto"/>
                <w:kern w:val="0"/>
                <w:sz w:val="24"/>
                <w:szCs w:val="24"/>
                <w:lang w:val="en-US" w:eastAsia="zh-CN"/>
              </w:rPr>
              <w:t>5</w:t>
            </w:r>
          </w:p>
        </w:tc>
        <w:tc>
          <w:tcPr>
            <w:tcW w:w="1552" w:type="dxa"/>
            <w:tcBorders>
              <w:top w:val="single" w:color="auto" w:sz="8" w:space="0"/>
              <w:left w:val="nil"/>
              <w:bottom w:val="single" w:color="auto" w:sz="8" w:space="0"/>
              <w:right w:val="single" w:color="000000" w:sz="8" w:space="0"/>
            </w:tcBorders>
            <w:noWrap w:val="0"/>
            <w:vAlign w:val="center"/>
          </w:tcPr>
          <w:p w14:paraId="6355CD04">
            <w:pPr>
              <w:widowControl/>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交换机</w:t>
            </w:r>
          </w:p>
        </w:tc>
        <w:tc>
          <w:tcPr>
            <w:tcW w:w="2615" w:type="dxa"/>
            <w:tcBorders>
              <w:top w:val="single" w:color="auto" w:sz="8" w:space="0"/>
              <w:left w:val="nil"/>
              <w:bottom w:val="single" w:color="auto" w:sz="8" w:space="0"/>
              <w:right w:val="single" w:color="000000" w:sz="8" w:space="0"/>
            </w:tcBorders>
            <w:noWrap w:val="0"/>
            <w:vAlign w:val="center"/>
          </w:tcPr>
          <w:p w14:paraId="486213AC">
            <w:pPr>
              <w:widowControl/>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华三SR6608</w:t>
            </w:r>
          </w:p>
        </w:tc>
        <w:tc>
          <w:tcPr>
            <w:tcW w:w="1901" w:type="dxa"/>
            <w:tcBorders>
              <w:top w:val="single" w:color="auto" w:sz="8" w:space="0"/>
              <w:left w:val="nil"/>
              <w:bottom w:val="single" w:color="auto" w:sz="8" w:space="0"/>
              <w:right w:val="single" w:color="000000" w:sz="8" w:space="0"/>
            </w:tcBorders>
            <w:noWrap w:val="0"/>
            <w:vAlign w:val="center"/>
          </w:tcPr>
          <w:p w14:paraId="5440B21E">
            <w:pPr>
              <w:widowControl/>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210231A2SQB176000133</w:t>
            </w:r>
          </w:p>
        </w:tc>
      </w:tr>
      <w:tr w14:paraId="581FCF6D">
        <w:tblPrEx>
          <w:tblCellMar>
            <w:top w:w="0" w:type="dxa"/>
            <w:left w:w="108" w:type="dxa"/>
            <w:bottom w:w="0" w:type="dxa"/>
            <w:right w:w="108" w:type="dxa"/>
          </w:tblCellMar>
        </w:tblPrEx>
        <w:trPr>
          <w:trHeight w:val="567" w:hRule="atLeast"/>
          <w:jc w:val="center"/>
        </w:trPr>
        <w:tc>
          <w:tcPr>
            <w:tcW w:w="1228" w:type="dxa"/>
            <w:vMerge w:val="restart"/>
            <w:tcBorders>
              <w:top w:val="single" w:color="auto" w:sz="4" w:space="0"/>
              <w:left w:val="single" w:color="auto" w:sz="8" w:space="0"/>
              <w:right w:val="single" w:color="auto" w:sz="4" w:space="0"/>
            </w:tcBorders>
            <w:noWrap w:val="0"/>
            <w:vAlign w:val="center"/>
          </w:tcPr>
          <w:p w14:paraId="4531CC9B">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安全设备</w:t>
            </w:r>
          </w:p>
        </w:tc>
        <w:tc>
          <w:tcPr>
            <w:tcW w:w="945" w:type="dxa"/>
            <w:tcBorders>
              <w:top w:val="single" w:color="auto" w:sz="4" w:space="0"/>
              <w:left w:val="single" w:color="auto" w:sz="4" w:space="0"/>
              <w:bottom w:val="single" w:color="auto" w:sz="4" w:space="0"/>
              <w:right w:val="single" w:color="auto" w:sz="8" w:space="0"/>
            </w:tcBorders>
            <w:noWrap w:val="0"/>
            <w:vAlign w:val="center"/>
          </w:tcPr>
          <w:p w14:paraId="76C52B8C">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1</w:t>
            </w:r>
          </w:p>
        </w:tc>
        <w:tc>
          <w:tcPr>
            <w:tcW w:w="1552" w:type="dxa"/>
            <w:tcBorders>
              <w:top w:val="single" w:color="auto" w:sz="4" w:space="0"/>
              <w:left w:val="nil"/>
              <w:bottom w:val="single" w:color="auto" w:sz="4" w:space="0"/>
              <w:right w:val="single" w:color="auto" w:sz="4" w:space="0"/>
            </w:tcBorders>
            <w:noWrap w:val="0"/>
            <w:vAlign w:val="center"/>
          </w:tcPr>
          <w:p w14:paraId="432784F9">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防火墙</w:t>
            </w:r>
          </w:p>
        </w:tc>
        <w:tc>
          <w:tcPr>
            <w:tcW w:w="2615" w:type="dxa"/>
            <w:tcBorders>
              <w:top w:val="single" w:color="auto" w:sz="8" w:space="0"/>
              <w:left w:val="single" w:color="auto" w:sz="4" w:space="0"/>
              <w:bottom w:val="single" w:color="auto" w:sz="8" w:space="0"/>
              <w:right w:val="single" w:color="000000" w:sz="8" w:space="0"/>
            </w:tcBorders>
            <w:noWrap w:val="0"/>
            <w:vAlign w:val="center"/>
          </w:tcPr>
          <w:p w14:paraId="52D75620">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天融信NGFW4000-T</w:t>
            </w:r>
          </w:p>
        </w:tc>
        <w:tc>
          <w:tcPr>
            <w:tcW w:w="1901" w:type="dxa"/>
            <w:tcBorders>
              <w:top w:val="single" w:color="auto" w:sz="8" w:space="0"/>
              <w:left w:val="nil"/>
              <w:bottom w:val="single" w:color="auto" w:sz="8" w:space="0"/>
              <w:right w:val="single" w:color="000000" w:sz="8" w:space="0"/>
            </w:tcBorders>
            <w:noWrap w:val="0"/>
            <w:vAlign w:val="center"/>
          </w:tcPr>
          <w:p w14:paraId="798A1543">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A15040710166</w:t>
            </w:r>
          </w:p>
        </w:tc>
      </w:tr>
      <w:tr w14:paraId="261BD7C5">
        <w:tblPrEx>
          <w:tblCellMar>
            <w:top w:w="0" w:type="dxa"/>
            <w:left w:w="108" w:type="dxa"/>
            <w:bottom w:w="0" w:type="dxa"/>
            <w:right w:w="108" w:type="dxa"/>
          </w:tblCellMar>
        </w:tblPrEx>
        <w:trPr>
          <w:trHeight w:val="567" w:hRule="atLeast"/>
          <w:jc w:val="center"/>
        </w:trPr>
        <w:tc>
          <w:tcPr>
            <w:tcW w:w="1228" w:type="dxa"/>
            <w:vMerge w:val="continue"/>
            <w:tcBorders>
              <w:left w:val="single" w:color="auto" w:sz="8" w:space="0"/>
              <w:right w:val="single" w:color="auto" w:sz="8" w:space="0"/>
            </w:tcBorders>
            <w:noWrap w:val="0"/>
            <w:vAlign w:val="center"/>
          </w:tcPr>
          <w:p w14:paraId="20BE6948">
            <w:pPr>
              <w:widowControl/>
              <w:jc w:val="center"/>
              <w:rPr>
                <w:rFonts w:hint="eastAsia" w:ascii="宋体" w:hAnsi="宋体" w:eastAsia="宋体" w:cs="宋体"/>
                <w:kern w:val="0"/>
                <w:sz w:val="24"/>
                <w:szCs w:val="24"/>
              </w:rPr>
            </w:pPr>
          </w:p>
        </w:tc>
        <w:tc>
          <w:tcPr>
            <w:tcW w:w="945" w:type="dxa"/>
            <w:tcBorders>
              <w:top w:val="single" w:color="auto" w:sz="4" w:space="0"/>
              <w:left w:val="nil"/>
              <w:bottom w:val="single" w:color="auto" w:sz="8" w:space="0"/>
              <w:right w:val="single" w:color="auto" w:sz="8" w:space="0"/>
            </w:tcBorders>
            <w:noWrap w:val="0"/>
            <w:vAlign w:val="center"/>
          </w:tcPr>
          <w:p w14:paraId="4095BB9C">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2</w:t>
            </w:r>
          </w:p>
        </w:tc>
        <w:tc>
          <w:tcPr>
            <w:tcW w:w="1552" w:type="dxa"/>
            <w:tcBorders>
              <w:top w:val="single" w:color="auto" w:sz="4" w:space="0"/>
              <w:left w:val="nil"/>
              <w:bottom w:val="single" w:color="auto" w:sz="8" w:space="0"/>
              <w:right w:val="single" w:color="000000" w:sz="8" w:space="0"/>
            </w:tcBorders>
            <w:noWrap w:val="0"/>
            <w:vAlign w:val="center"/>
          </w:tcPr>
          <w:p w14:paraId="1F49A971">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防火墙</w:t>
            </w:r>
          </w:p>
        </w:tc>
        <w:tc>
          <w:tcPr>
            <w:tcW w:w="2615" w:type="dxa"/>
            <w:tcBorders>
              <w:top w:val="single" w:color="auto" w:sz="8" w:space="0"/>
              <w:left w:val="nil"/>
              <w:bottom w:val="single" w:color="auto" w:sz="8" w:space="0"/>
              <w:right w:val="single" w:color="000000" w:sz="8" w:space="0"/>
            </w:tcBorders>
            <w:noWrap w:val="0"/>
            <w:vAlign w:val="center"/>
          </w:tcPr>
          <w:p w14:paraId="0DD17F02">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天融信NGFW4000-T</w:t>
            </w:r>
          </w:p>
        </w:tc>
        <w:tc>
          <w:tcPr>
            <w:tcW w:w="1901" w:type="dxa"/>
            <w:tcBorders>
              <w:top w:val="single" w:color="auto" w:sz="8" w:space="0"/>
              <w:left w:val="nil"/>
              <w:bottom w:val="single" w:color="auto" w:sz="8" w:space="0"/>
              <w:right w:val="single" w:color="000000" w:sz="8" w:space="0"/>
            </w:tcBorders>
            <w:noWrap w:val="0"/>
            <w:vAlign w:val="center"/>
          </w:tcPr>
          <w:p w14:paraId="5986ABAA">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A15040710172</w:t>
            </w:r>
          </w:p>
        </w:tc>
      </w:tr>
      <w:tr w14:paraId="1390FAC7">
        <w:tblPrEx>
          <w:tblCellMar>
            <w:top w:w="0" w:type="dxa"/>
            <w:left w:w="108" w:type="dxa"/>
            <w:bottom w:w="0" w:type="dxa"/>
            <w:right w:w="108" w:type="dxa"/>
          </w:tblCellMar>
        </w:tblPrEx>
        <w:trPr>
          <w:trHeight w:val="567" w:hRule="atLeast"/>
          <w:jc w:val="center"/>
        </w:trPr>
        <w:tc>
          <w:tcPr>
            <w:tcW w:w="1228" w:type="dxa"/>
            <w:vMerge w:val="continue"/>
            <w:tcBorders>
              <w:left w:val="single" w:color="auto" w:sz="8" w:space="0"/>
              <w:right w:val="single" w:color="auto" w:sz="8" w:space="0"/>
            </w:tcBorders>
            <w:noWrap w:val="0"/>
            <w:vAlign w:val="center"/>
          </w:tcPr>
          <w:p w14:paraId="285931BA">
            <w:pPr>
              <w:widowControl/>
              <w:jc w:val="center"/>
              <w:rPr>
                <w:rFonts w:hint="eastAsia" w:ascii="宋体" w:hAnsi="宋体" w:eastAsia="宋体" w:cs="宋体"/>
                <w:kern w:val="0"/>
                <w:sz w:val="24"/>
                <w:szCs w:val="24"/>
              </w:rPr>
            </w:pPr>
          </w:p>
        </w:tc>
        <w:tc>
          <w:tcPr>
            <w:tcW w:w="945" w:type="dxa"/>
            <w:tcBorders>
              <w:top w:val="nil"/>
              <w:left w:val="nil"/>
              <w:bottom w:val="single" w:color="auto" w:sz="8" w:space="0"/>
              <w:right w:val="single" w:color="auto" w:sz="8" w:space="0"/>
            </w:tcBorders>
            <w:noWrap w:val="0"/>
            <w:vAlign w:val="center"/>
          </w:tcPr>
          <w:p w14:paraId="1B82C218">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3</w:t>
            </w:r>
          </w:p>
        </w:tc>
        <w:tc>
          <w:tcPr>
            <w:tcW w:w="1552" w:type="dxa"/>
            <w:tcBorders>
              <w:top w:val="single" w:color="auto" w:sz="8" w:space="0"/>
              <w:left w:val="nil"/>
              <w:bottom w:val="single" w:color="auto" w:sz="8" w:space="0"/>
              <w:right w:val="single" w:color="000000" w:sz="8" w:space="0"/>
            </w:tcBorders>
            <w:noWrap w:val="0"/>
            <w:vAlign w:val="center"/>
          </w:tcPr>
          <w:p w14:paraId="0697613D">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签名服务器</w:t>
            </w:r>
          </w:p>
        </w:tc>
        <w:tc>
          <w:tcPr>
            <w:tcW w:w="2615" w:type="dxa"/>
            <w:tcBorders>
              <w:top w:val="single" w:color="auto" w:sz="8" w:space="0"/>
              <w:left w:val="nil"/>
              <w:bottom w:val="single" w:color="auto" w:sz="8" w:space="0"/>
              <w:right w:val="single" w:color="000000" w:sz="8" w:space="0"/>
            </w:tcBorders>
            <w:noWrap w:val="0"/>
            <w:vAlign w:val="center"/>
          </w:tcPr>
          <w:p w14:paraId="61B7F8D7">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信安世纪NETSIGN3300</w:t>
            </w:r>
          </w:p>
        </w:tc>
        <w:tc>
          <w:tcPr>
            <w:tcW w:w="1901" w:type="dxa"/>
            <w:tcBorders>
              <w:top w:val="single" w:color="auto" w:sz="8" w:space="0"/>
              <w:left w:val="nil"/>
              <w:bottom w:val="single" w:color="auto" w:sz="8" w:space="0"/>
              <w:right w:val="single" w:color="000000" w:sz="8" w:space="0"/>
            </w:tcBorders>
            <w:noWrap w:val="0"/>
            <w:vAlign w:val="center"/>
          </w:tcPr>
          <w:p w14:paraId="43ECC9D4">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Q2014011627</w:t>
            </w:r>
          </w:p>
        </w:tc>
      </w:tr>
      <w:tr w14:paraId="67ED6145">
        <w:tblPrEx>
          <w:tblCellMar>
            <w:top w:w="0" w:type="dxa"/>
            <w:left w:w="108" w:type="dxa"/>
            <w:bottom w:w="0" w:type="dxa"/>
            <w:right w:w="108" w:type="dxa"/>
          </w:tblCellMar>
        </w:tblPrEx>
        <w:trPr>
          <w:trHeight w:val="567" w:hRule="atLeast"/>
          <w:jc w:val="center"/>
        </w:trPr>
        <w:tc>
          <w:tcPr>
            <w:tcW w:w="1228" w:type="dxa"/>
            <w:vMerge w:val="continue"/>
            <w:tcBorders>
              <w:left w:val="single" w:color="auto" w:sz="8" w:space="0"/>
              <w:right w:val="single" w:color="auto" w:sz="8" w:space="0"/>
            </w:tcBorders>
            <w:noWrap w:val="0"/>
            <w:vAlign w:val="center"/>
          </w:tcPr>
          <w:p w14:paraId="53E241D6">
            <w:pPr>
              <w:widowControl/>
              <w:jc w:val="center"/>
              <w:rPr>
                <w:rFonts w:hint="eastAsia" w:ascii="宋体" w:hAnsi="宋体" w:eastAsia="宋体" w:cs="宋体"/>
                <w:kern w:val="0"/>
                <w:sz w:val="24"/>
                <w:szCs w:val="24"/>
              </w:rPr>
            </w:pPr>
          </w:p>
        </w:tc>
        <w:tc>
          <w:tcPr>
            <w:tcW w:w="945" w:type="dxa"/>
            <w:tcBorders>
              <w:top w:val="nil"/>
              <w:left w:val="nil"/>
              <w:bottom w:val="single" w:color="auto" w:sz="8" w:space="0"/>
              <w:right w:val="single" w:color="auto" w:sz="8" w:space="0"/>
            </w:tcBorders>
            <w:noWrap w:val="0"/>
            <w:vAlign w:val="center"/>
          </w:tcPr>
          <w:p w14:paraId="543BF094">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4</w:t>
            </w:r>
          </w:p>
        </w:tc>
        <w:tc>
          <w:tcPr>
            <w:tcW w:w="1552" w:type="dxa"/>
            <w:tcBorders>
              <w:top w:val="single" w:color="auto" w:sz="8" w:space="0"/>
              <w:left w:val="nil"/>
              <w:bottom w:val="single" w:color="auto" w:sz="8" w:space="0"/>
              <w:right w:val="single" w:color="000000" w:sz="8" w:space="0"/>
            </w:tcBorders>
            <w:noWrap w:val="0"/>
            <w:vAlign w:val="center"/>
          </w:tcPr>
          <w:p w14:paraId="3F40FAF3">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签名服务器</w:t>
            </w:r>
          </w:p>
        </w:tc>
        <w:tc>
          <w:tcPr>
            <w:tcW w:w="2615" w:type="dxa"/>
            <w:tcBorders>
              <w:top w:val="single" w:color="auto" w:sz="8" w:space="0"/>
              <w:left w:val="nil"/>
              <w:bottom w:val="single" w:color="auto" w:sz="8" w:space="0"/>
              <w:right w:val="single" w:color="000000" w:sz="8" w:space="0"/>
            </w:tcBorders>
            <w:noWrap w:val="0"/>
            <w:vAlign w:val="center"/>
          </w:tcPr>
          <w:p w14:paraId="43D90F47">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信安世纪NETSIGN3300</w:t>
            </w:r>
          </w:p>
        </w:tc>
        <w:tc>
          <w:tcPr>
            <w:tcW w:w="1901" w:type="dxa"/>
            <w:tcBorders>
              <w:top w:val="single" w:color="auto" w:sz="8" w:space="0"/>
              <w:left w:val="nil"/>
              <w:bottom w:val="single" w:color="auto" w:sz="8" w:space="0"/>
              <w:right w:val="single" w:color="000000" w:sz="8" w:space="0"/>
            </w:tcBorders>
            <w:noWrap w:val="0"/>
            <w:vAlign w:val="center"/>
          </w:tcPr>
          <w:p w14:paraId="509D78C7">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Q2014011734</w:t>
            </w:r>
          </w:p>
        </w:tc>
      </w:tr>
      <w:tr w14:paraId="4382E193">
        <w:tblPrEx>
          <w:tblCellMar>
            <w:top w:w="0" w:type="dxa"/>
            <w:left w:w="108" w:type="dxa"/>
            <w:bottom w:w="0" w:type="dxa"/>
            <w:right w:w="108" w:type="dxa"/>
          </w:tblCellMar>
        </w:tblPrEx>
        <w:trPr>
          <w:trHeight w:val="567" w:hRule="atLeast"/>
          <w:jc w:val="center"/>
        </w:trPr>
        <w:tc>
          <w:tcPr>
            <w:tcW w:w="1228" w:type="dxa"/>
            <w:vMerge w:val="continue"/>
            <w:tcBorders>
              <w:left w:val="single" w:color="auto" w:sz="8" w:space="0"/>
              <w:right w:val="single" w:color="auto" w:sz="8" w:space="0"/>
            </w:tcBorders>
            <w:noWrap w:val="0"/>
            <w:vAlign w:val="center"/>
          </w:tcPr>
          <w:p w14:paraId="4890B2E6">
            <w:pPr>
              <w:widowControl/>
              <w:jc w:val="center"/>
              <w:rPr>
                <w:rFonts w:hint="eastAsia" w:ascii="宋体" w:hAnsi="宋体" w:eastAsia="宋体" w:cs="宋体"/>
                <w:kern w:val="0"/>
                <w:sz w:val="24"/>
                <w:szCs w:val="24"/>
              </w:rPr>
            </w:pPr>
          </w:p>
        </w:tc>
        <w:tc>
          <w:tcPr>
            <w:tcW w:w="945" w:type="dxa"/>
            <w:tcBorders>
              <w:top w:val="nil"/>
              <w:left w:val="nil"/>
              <w:bottom w:val="single" w:color="auto" w:sz="8" w:space="0"/>
              <w:right w:val="single" w:color="auto" w:sz="8" w:space="0"/>
            </w:tcBorders>
            <w:noWrap w:val="0"/>
            <w:vAlign w:val="center"/>
          </w:tcPr>
          <w:p w14:paraId="56DC489E">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5</w:t>
            </w:r>
          </w:p>
        </w:tc>
        <w:tc>
          <w:tcPr>
            <w:tcW w:w="1552" w:type="dxa"/>
            <w:tcBorders>
              <w:top w:val="single" w:color="auto" w:sz="8" w:space="0"/>
              <w:left w:val="nil"/>
              <w:bottom w:val="single" w:color="auto" w:sz="8" w:space="0"/>
              <w:right w:val="single" w:color="000000" w:sz="8" w:space="0"/>
            </w:tcBorders>
            <w:noWrap w:val="0"/>
            <w:vAlign w:val="center"/>
          </w:tcPr>
          <w:p w14:paraId="10BCD489">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防火墙</w:t>
            </w:r>
          </w:p>
        </w:tc>
        <w:tc>
          <w:tcPr>
            <w:tcW w:w="2615" w:type="dxa"/>
            <w:tcBorders>
              <w:top w:val="single" w:color="auto" w:sz="8" w:space="0"/>
              <w:left w:val="nil"/>
              <w:bottom w:val="single" w:color="auto" w:sz="8" w:space="0"/>
              <w:right w:val="single" w:color="000000" w:sz="8" w:space="0"/>
            </w:tcBorders>
            <w:noWrap w:val="0"/>
            <w:vAlign w:val="center"/>
          </w:tcPr>
          <w:p w14:paraId="75835AA4">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天融信NGFW4000-UF</w:t>
            </w:r>
          </w:p>
        </w:tc>
        <w:tc>
          <w:tcPr>
            <w:tcW w:w="1901" w:type="dxa"/>
            <w:tcBorders>
              <w:top w:val="single" w:color="auto" w:sz="8" w:space="0"/>
              <w:left w:val="nil"/>
              <w:bottom w:val="single" w:color="auto" w:sz="8" w:space="0"/>
              <w:right w:val="single" w:color="000000" w:sz="8" w:space="0"/>
            </w:tcBorders>
            <w:noWrap w:val="0"/>
            <w:vAlign w:val="center"/>
          </w:tcPr>
          <w:p w14:paraId="3154B838">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Q1711010769</w:t>
            </w:r>
          </w:p>
        </w:tc>
      </w:tr>
      <w:tr w14:paraId="2A034A73">
        <w:tblPrEx>
          <w:tblCellMar>
            <w:top w:w="0" w:type="dxa"/>
            <w:left w:w="108" w:type="dxa"/>
            <w:bottom w:w="0" w:type="dxa"/>
            <w:right w:w="108" w:type="dxa"/>
          </w:tblCellMar>
        </w:tblPrEx>
        <w:trPr>
          <w:trHeight w:val="567" w:hRule="atLeast"/>
          <w:jc w:val="center"/>
        </w:trPr>
        <w:tc>
          <w:tcPr>
            <w:tcW w:w="1228" w:type="dxa"/>
            <w:vMerge w:val="continue"/>
            <w:tcBorders>
              <w:left w:val="single" w:color="auto" w:sz="8" w:space="0"/>
              <w:right w:val="single" w:color="auto" w:sz="8" w:space="0"/>
            </w:tcBorders>
            <w:noWrap w:val="0"/>
            <w:vAlign w:val="center"/>
          </w:tcPr>
          <w:p w14:paraId="4376AFBD">
            <w:pPr>
              <w:widowControl/>
              <w:jc w:val="center"/>
              <w:rPr>
                <w:rFonts w:hint="eastAsia" w:ascii="宋体" w:hAnsi="宋体" w:eastAsia="宋体" w:cs="宋体"/>
                <w:kern w:val="0"/>
                <w:sz w:val="24"/>
                <w:szCs w:val="24"/>
              </w:rPr>
            </w:pPr>
          </w:p>
        </w:tc>
        <w:tc>
          <w:tcPr>
            <w:tcW w:w="945" w:type="dxa"/>
            <w:tcBorders>
              <w:top w:val="nil"/>
              <w:left w:val="nil"/>
              <w:bottom w:val="single" w:color="auto" w:sz="8" w:space="0"/>
              <w:right w:val="single" w:color="auto" w:sz="8" w:space="0"/>
            </w:tcBorders>
            <w:noWrap w:val="0"/>
            <w:vAlign w:val="center"/>
          </w:tcPr>
          <w:p w14:paraId="226040F9">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6</w:t>
            </w:r>
          </w:p>
        </w:tc>
        <w:tc>
          <w:tcPr>
            <w:tcW w:w="1552" w:type="dxa"/>
            <w:tcBorders>
              <w:top w:val="single" w:color="auto" w:sz="8" w:space="0"/>
              <w:left w:val="nil"/>
              <w:bottom w:val="single" w:color="auto" w:sz="8" w:space="0"/>
              <w:right w:val="single" w:color="000000" w:sz="8" w:space="0"/>
            </w:tcBorders>
            <w:noWrap w:val="0"/>
            <w:vAlign w:val="center"/>
          </w:tcPr>
          <w:p w14:paraId="2DB2C9C2">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防火墙</w:t>
            </w:r>
          </w:p>
        </w:tc>
        <w:tc>
          <w:tcPr>
            <w:tcW w:w="2615" w:type="dxa"/>
            <w:tcBorders>
              <w:top w:val="single" w:color="auto" w:sz="8" w:space="0"/>
              <w:left w:val="nil"/>
              <w:bottom w:val="single" w:color="auto" w:sz="8" w:space="0"/>
              <w:right w:val="single" w:color="000000" w:sz="8" w:space="0"/>
            </w:tcBorders>
            <w:noWrap w:val="0"/>
            <w:vAlign w:val="center"/>
          </w:tcPr>
          <w:p w14:paraId="7705FB7B">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天融信NGFW4000-UF</w:t>
            </w:r>
          </w:p>
        </w:tc>
        <w:tc>
          <w:tcPr>
            <w:tcW w:w="1901" w:type="dxa"/>
            <w:tcBorders>
              <w:top w:val="single" w:color="auto" w:sz="8" w:space="0"/>
              <w:left w:val="nil"/>
              <w:bottom w:val="single" w:color="auto" w:sz="8" w:space="0"/>
              <w:right w:val="single" w:color="000000" w:sz="8" w:space="0"/>
            </w:tcBorders>
            <w:noWrap w:val="0"/>
            <w:vAlign w:val="center"/>
          </w:tcPr>
          <w:p w14:paraId="35752655">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Q1711610770</w:t>
            </w:r>
          </w:p>
        </w:tc>
      </w:tr>
      <w:tr w14:paraId="237753C4">
        <w:tblPrEx>
          <w:tblCellMar>
            <w:top w:w="0" w:type="dxa"/>
            <w:left w:w="108" w:type="dxa"/>
            <w:bottom w:w="0" w:type="dxa"/>
            <w:right w:w="108" w:type="dxa"/>
          </w:tblCellMar>
        </w:tblPrEx>
        <w:trPr>
          <w:trHeight w:val="567" w:hRule="atLeast"/>
          <w:jc w:val="center"/>
        </w:trPr>
        <w:tc>
          <w:tcPr>
            <w:tcW w:w="1228" w:type="dxa"/>
            <w:vMerge w:val="continue"/>
            <w:tcBorders>
              <w:left w:val="single" w:color="auto" w:sz="8" w:space="0"/>
              <w:right w:val="single" w:color="auto" w:sz="8" w:space="0"/>
            </w:tcBorders>
            <w:noWrap w:val="0"/>
            <w:vAlign w:val="center"/>
          </w:tcPr>
          <w:p w14:paraId="6F710BE6">
            <w:pPr>
              <w:widowControl/>
              <w:jc w:val="center"/>
              <w:rPr>
                <w:rFonts w:hint="eastAsia" w:ascii="宋体" w:hAnsi="宋体" w:eastAsia="宋体" w:cs="宋体"/>
                <w:kern w:val="0"/>
                <w:sz w:val="24"/>
                <w:szCs w:val="24"/>
              </w:rPr>
            </w:pPr>
          </w:p>
        </w:tc>
        <w:tc>
          <w:tcPr>
            <w:tcW w:w="945" w:type="dxa"/>
            <w:tcBorders>
              <w:top w:val="single" w:color="auto" w:sz="8" w:space="0"/>
              <w:left w:val="nil"/>
              <w:bottom w:val="single" w:color="auto" w:sz="8" w:space="0"/>
              <w:right w:val="single" w:color="auto" w:sz="8" w:space="0"/>
            </w:tcBorders>
            <w:noWrap w:val="0"/>
            <w:vAlign w:val="center"/>
          </w:tcPr>
          <w:p w14:paraId="419CE179">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10</w:t>
            </w:r>
          </w:p>
        </w:tc>
        <w:tc>
          <w:tcPr>
            <w:tcW w:w="1552" w:type="dxa"/>
            <w:tcBorders>
              <w:top w:val="single" w:color="auto" w:sz="8" w:space="0"/>
              <w:left w:val="nil"/>
              <w:bottom w:val="single" w:color="auto" w:sz="8" w:space="0"/>
              <w:right w:val="single" w:color="000000" w:sz="8" w:space="0"/>
            </w:tcBorders>
            <w:noWrap w:val="0"/>
            <w:vAlign w:val="center"/>
          </w:tcPr>
          <w:p w14:paraId="0879278C">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防火墙</w:t>
            </w:r>
          </w:p>
        </w:tc>
        <w:tc>
          <w:tcPr>
            <w:tcW w:w="2615" w:type="dxa"/>
            <w:tcBorders>
              <w:top w:val="single" w:color="auto" w:sz="8" w:space="0"/>
              <w:left w:val="nil"/>
              <w:bottom w:val="single" w:color="auto" w:sz="8" w:space="0"/>
              <w:right w:val="single" w:color="000000" w:sz="8" w:space="0"/>
            </w:tcBorders>
            <w:noWrap w:val="0"/>
            <w:vAlign w:val="center"/>
          </w:tcPr>
          <w:p w14:paraId="44CD8009">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天融信NGFW4000-UF(NG-81242)</w:t>
            </w:r>
          </w:p>
        </w:tc>
        <w:tc>
          <w:tcPr>
            <w:tcW w:w="1901" w:type="dxa"/>
            <w:tcBorders>
              <w:top w:val="single" w:color="auto" w:sz="8" w:space="0"/>
              <w:left w:val="nil"/>
              <w:bottom w:val="single" w:color="auto" w:sz="8" w:space="0"/>
              <w:right w:val="single" w:color="000000" w:sz="8" w:space="0"/>
            </w:tcBorders>
            <w:noWrap w:val="0"/>
            <w:vAlign w:val="center"/>
          </w:tcPr>
          <w:p w14:paraId="51CBA395">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Q1712649114</w:t>
            </w:r>
          </w:p>
        </w:tc>
      </w:tr>
      <w:tr w14:paraId="57637676">
        <w:tblPrEx>
          <w:tblCellMar>
            <w:top w:w="0" w:type="dxa"/>
            <w:left w:w="108" w:type="dxa"/>
            <w:bottom w:w="0" w:type="dxa"/>
            <w:right w:w="108" w:type="dxa"/>
          </w:tblCellMar>
        </w:tblPrEx>
        <w:trPr>
          <w:trHeight w:val="567" w:hRule="atLeast"/>
          <w:jc w:val="center"/>
        </w:trPr>
        <w:tc>
          <w:tcPr>
            <w:tcW w:w="1228" w:type="dxa"/>
            <w:vMerge w:val="continue"/>
            <w:tcBorders>
              <w:left w:val="single" w:color="auto" w:sz="8" w:space="0"/>
              <w:right w:val="single" w:color="auto" w:sz="8" w:space="0"/>
            </w:tcBorders>
            <w:noWrap w:val="0"/>
            <w:vAlign w:val="center"/>
          </w:tcPr>
          <w:p w14:paraId="511ED101">
            <w:pPr>
              <w:widowControl/>
              <w:jc w:val="center"/>
              <w:rPr>
                <w:rFonts w:hint="eastAsia" w:ascii="宋体" w:hAnsi="宋体" w:eastAsia="宋体" w:cs="宋体"/>
                <w:kern w:val="0"/>
                <w:sz w:val="24"/>
                <w:szCs w:val="24"/>
              </w:rPr>
            </w:pPr>
          </w:p>
        </w:tc>
        <w:tc>
          <w:tcPr>
            <w:tcW w:w="945" w:type="dxa"/>
            <w:tcBorders>
              <w:top w:val="nil"/>
              <w:left w:val="nil"/>
              <w:bottom w:val="single" w:color="auto" w:sz="8" w:space="0"/>
              <w:right w:val="single" w:color="auto" w:sz="8" w:space="0"/>
            </w:tcBorders>
            <w:noWrap w:val="0"/>
            <w:vAlign w:val="center"/>
          </w:tcPr>
          <w:p w14:paraId="7D91233D">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11</w:t>
            </w:r>
          </w:p>
        </w:tc>
        <w:tc>
          <w:tcPr>
            <w:tcW w:w="1552" w:type="dxa"/>
            <w:tcBorders>
              <w:top w:val="single" w:color="auto" w:sz="8" w:space="0"/>
              <w:left w:val="nil"/>
              <w:bottom w:val="single" w:color="auto" w:sz="8" w:space="0"/>
              <w:right w:val="single" w:color="000000" w:sz="8" w:space="0"/>
            </w:tcBorders>
            <w:noWrap w:val="0"/>
            <w:vAlign w:val="center"/>
          </w:tcPr>
          <w:p w14:paraId="5293E9F8">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入网规范</w:t>
            </w:r>
          </w:p>
        </w:tc>
        <w:tc>
          <w:tcPr>
            <w:tcW w:w="2615" w:type="dxa"/>
            <w:tcBorders>
              <w:top w:val="single" w:color="auto" w:sz="8" w:space="0"/>
              <w:left w:val="nil"/>
              <w:bottom w:val="single" w:color="auto" w:sz="8" w:space="0"/>
              <w:right w:val="single" w:color="000000" w:sz="8" w:space="0"/>
            </w:tcBorders>
            <w:noWrap w:val="0"/>
            <w:vAlign w:val="center"/>
          </w:tcPr>
          <w:p w14:paraId="34EB1ADB">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盈高ASM6307</w:t>
            </w:r>
          </w:p>
        </w:tc>
        <w:tc>
          <w:tcPr>
            <w:tcW w:w="1901" w:type="dxa"/>
            <w:tcBorders>
              <w:top w:val="nil"/>
              <w:left w:val="nil"/>
              <w:bottom w:val="single" w:color="auto" w:sz="8" w:space="0"/>
              <w:right w:val="single" w:color="auto" w:sz="8" w:space="0"/>
            </w:tcBorders>
            <w:noWrap w:val="0"/>
            <w:vAlign w:val="center"/>
          </w:tcPr>
          <w:p w14:paraId="3F32924D">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600024-003511</w:t>
            </w:r>
          </w:p>
        </w:tc>
      </w:tr>
      <w:tr w14:paraId="5C1CB534">
        <w:tblPrEx>
          <w:tblCellMar>
            <w:top w:w="0" w:type="dxa"/>
            <w:left w:w="108" w:type="dxa"/>
            <w:bottom w:w="0" w:type="dxa"/>
            <w:right w:w="108" w:type="dxa"/>
          </w:tblCellMar>
        </w:tblPrEx>
        <w:trPr>
          <w:trHeight w:val="567" w:hRule="atLeast"/>
          <w:jc w:val="center"/>
        </w:trPr>
        <w:tc>
          <w:tcPr>
            <w:tcW w:w="1228" w:type="dxa"/>
            <w:vMerge w:val="continue"/>
            <w:tcBorders>
              <w:left w:val="single" w:color="auto" w:sz="8" w:space="0"/>
              <w:right w:val="single" w:color="auto" w:sz="8" w:space="0"/>
            </w:tcBorders>
            <w:noWrap w:val="0"/>
            <w:vAlign w:val="center"/>
          </w:tcPr>
          <w:p w14:paraId="1F966E5A">
            <w:pPr>
              <w:widowControl/>
              <w:jc w:val="center"/>
              <w:rPr>
                <w:rFonts w:hint="eastAsia" w:ascii="宋体" w:hAnsi="宋体" w:eastAsia="宋体" w:cs="宋体"/>
                <w:kern w:val="0"/>
                <w:sz w:val="24"/>
                <w:szCs w:val="24"/>
              </w:rPr>
            </w:pPr>
          </w:p>
        </w:tc>
        <w:tc>
          <w:tcPr>
            <w:tcW w:w="945" w:type="dxa"/>
            <w:tcBorders>
              <w:top w:val="nil"/>
              <w:left w:val="nil"/>
              <w:bottom w:val="single" w:color="auto" w:sz="8" w:space="0"/>
              <w:right w:val="single" w:color="auto" w:sz="8" w:space="0"/>
            </w:tcBorders>
            <w:noWrap w:val="0"/>
            <w:vAlign w:val="center"/>
          </w:tcPr>
          <w:p w14:paraId="134E9F80">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12</w:t>
            </w:r>
          </w:p>
        </w:tc>
        <w:tc>
          <w:tcPr>
            <w:tcW w:w="1552" w:type="dxa"/>
            <w:tcBorders>
              <w:top w:val="single" w:color="auto" w:sz="8" w:space="0"/>
              <w:left w:val="nil"/>
              <w:bottom w:val="single" w:color="auto" w:sz="8" w:space="0"/>
              <w:right w:val="single" w:color="000000" w:sz="8" w:space="0"/>
            </w:tcBorders>
            <w:noWrap w:val="0"/>
            <w:vAlign w:val="center"/>
          </w:tcPr>
          <w:p w14:paraId="2A28DF27">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防火墙</w:t>
            </w:r>
          </w:p>
        </w:tc>
        <w:tc>
          <w:tcPr>
            <w:tcW w:w="2615" w:type="dxa"/>
            <w:tcBorders>
              <w:top w:val="single" w:color="auto" w:sz="8" w:space="0"/>
              <w:left w:val="nil"/>
              <w:bottom w:val="single" w:color="auto" w:sz="8" w:space="0"/>
              <w:right w:val="single" w:color="000000" w:sz="8" w:space="0"/>
            </w:tcBorders>
            <w:noWrap w:val="0"/>
            <w:vAlign w:val="center"/>
          </w:tcPr>
          <w:p w14:paraId="7D82486D">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天融信NGFW4000</w:t>
            </w:r>
          </w:p>
        </w:tc>
        <w:tc>
          <w:tcPr>
            <w:tcW w:w="1901" w:type="dxa"/>
            <w:tcBorders>
              <w:top w:val="single" w:color="auto" w:sz="8" w:space="0"/>
              <w:left w:val="nil"/>
              <w:bottom w:val="single" w:color="auto" w:sz="8" w:space="0"/>
              <w:right w:val="single" w:color="000000" w:sz="8" w:space="0"/>
            </w:tcBorders>
            <w:noWrap w:val="0"/>
            <w:vAlign w:val="center"/>
          </w:tcPr>
          <w:p w14:paraId="01DA7AEC">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K1005012214</w:t>
            </w:r>
          </w:p>
        </w:tc>
      </w:tr>
      <w:tr w14:paraId="680E4446">
        <w:tblPrEx>
          <w:tblCellMar>
            <w:top w:w="0" w:type="dxa"/>
            <w:left w:w="108" w:type="dxa"/>
            <w:bottom w:w="0" w:type="dxa"/>
            <w:right w:w="108" w:type="dxa"/>
          </w:tblCellMar>
        </w:tblPrEx>
        <w:trPr>
          <w:trHeight w:val="567" w:hRule="atLeast"/>
          <w:jc w:val="center"/>
        </w:trPr>
        <w:tc>
          <w:tcPr>
            <w:tcW w:w="1228" w:type="dxa"/>
            <w:vMerge w:val="continue"/>
            <w:tcBorders>
              <w:left w:val="single" w:color="auto" w:sz="8" w:space="0"/>
              <w:right w:val="single" w:color="auto" w:sz="8" w:space="0"/>
            </w:tcBorders>
            <w:noWrap w:val="0"/>
            <w:vAlign w:val="center"/>
          </w:tcPr>
          <w:p w14:paraId="478A4CEA">
            <w:pPr>
              <w:widowControl/>
              <w:jc w:val="center"/>
              <w:rPr>
                <w:rFonts w:hint="eastAsia" w:ascii="宋体" w:hAnsi="宋体" w:eastAsia="宋体" w:cs="宋体"/>
                <w:kern w:val="0"/>
                <w:sz w:val="24"/>
                <w:szCs w:val="24"/>
              </w:rPr>
            </w:pPr>
          </w:p>
        </w:tc>
        <w:tc>
          <w:tcPr>
            <w:tcW w:w="945" w:type="dxa"/>
            <w:tcBorders>
              <w:top w:val="nil"/>
              <w:left w:val="nil"/>
              <w:bottom w:val="single" w:color="auto" w:sz="8" w:space="0"/>
              <w:right w:val="single" w:color="auto" w:sz="8" w:space="0"/>
            </w:tcBorders>
            <w:noWrap w:val="0"/>
            <w:vAlign w:val="center"/>
          </w:tcPr>
          <w:p w14:paraId="1A6A68E7">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13</w:t>
            </w:r>
          </w:p>
        </w:tc>
        <w:tc>
          <w:tcPr>
            <w:tcW w:w="1552" w:type="dxa"/>
            <w:tcBorders>
              <w:top w:val="single" w:color="auto" w:sz="8" w:space="0"/>
              <w:left w:val="nil"/>
              <w:bottom w:val="single" w:color="auto" w:sz="8" w:space="0"/>
              <w:right w:val="single" w:color="000000" w:sz="8" w:space="0"/>
            </w:tcBorders>
            <w:noWrap w:val="0"/>
            <w:vAlign w:val="center"/>
          </w:tcPr>
          <w:p w14:paraId="55AAA02E">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防火墙</w:t>
            </w:r>
          </w:p>
        </w:tc>
        <w:tc>
          <w:tcPr>
            <w:tcW w:w="2615" w:type="dxa"/>
            <w:tcBorders>
              <w:top w:val="single" w:color="auto" w:sz="8" w:space="0"/>
              <w:left w:val="nil"/>
              <w:bottom w:val="single" w:color="auto" w:sz="8" w:space="0"/>
              <w:right w:val="single" w:color="000000" w:sz="8" w:space="0"/>
            </w:tcBorders>
            <w:noWrap w:val="0"/>
            <w:vAlign w:val="center"/>
          </w:tcPr>
          <w:p w14:paraId="59A66C69">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HillStone</w:t>
            </w:r>
          </w:p>
          <w:p w14:paraId="54B1698A">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SG-6000 E3660</w:t>
            </w:r>
          </w:p>
        </w:tc>
        <w:tc>
          <w:tcPr>
            <w:tcW w:w="1901" w:type="dxa"/>
            <w:tcBorders>
              <w:top w:val="single" w:color="auto" w:sz="8" w:space="0"/>
              <w:left w:val="nil"/>
              <w:bottom w:val="single" w:color="auto" w:sz="8" w:space="0"/>
              <w:right w:val="single" w:color="000000" w:sz="8" w:space="0"/>
            </w:tcBorders>
            <w:noWrap w:val="0"/>
            <w:vAlign w:val="center"/>
          </w:tcPr>
          <w:p w14:paraId="67D5BB08">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2809043150001033</w:t>
            </w:r>
          </w:p>
        </w:tc>
      </w:tr>
      <w:tr w14:paraId="66068FEE">
        <w:tblPrEx>
          <w:tblCellMar>
            <w:top w:w="0" w:type="dxa"/>
            <w:left w:w="108" w:type="dxa"/>
            <w:bottom w:w="0" w:type="dxa"/>
            <w:right w:w="108" w:type="dxa"/>
          </w:tblCellMar>
        </w:tblPrEx>
        <w:trPr>
          <w:trHeight w:val="567" w:hRule="atLeast"/>
          <w:jc w:val="center"/>
        </w:trPr>
        <w:tc>
          <w:tcPr>
            <w:tcW w:w="1228" w:type="dxa"/>
            <w:vMerge w:val="continue"/>
            <w:tcBorders>
              <w:left w:val="single" w:color="auto" w:sz="8" w:space="0"/>
              <w:right w:val="single" w:color="auto" w:sz="8" w:space="0"/>
            </w:tcBorders>
            <w:noWrap w:val="0"/>
            <w:vAlign w:val="center"/>
          </w:tcPr>
          <w:p w14:paraId="4FCBD17E">
            <w:pPr>
              <w:widowControl/>
              <w:jc w:val="center"/>
              <w:rPr>
                <w:rFonts w:hint="eastAsia" w:ascii="宋体" w:hAnsi="宋体" w:eastAsia="宋体" w:cs="宋体"/>
                <w:kern w:val="0"/>
                <w:sz w:val="24"/>
                <w:szCs w:val="24"/>
              </w:rPr>
            </w:pPr>
          </w:p>
        </w:tc>
        <w:tc>
          <w:tcPr>
            <w:tcW w:w="945" w:type="dxa"/>
            <w:tcBorders>
              <w:top w:val="nil"/>
              <w:left w:val="nil"/>
              <w:bottom w:val="single" w:color="auto" w:sz="8" w:space="0"/>
              <w:right w:val="single" w:color="auto" w:sz="8" w:space="0"/>
            </w:tcBorders>
            <w:noWrap w:val="0"/>
            <w:vAlign w:val="center"/>
          </w:tcPr>
          <w:p w14:paraId="2676F343">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14</w:t>
            </w:r>
          </w:p>
        </w:tc>
        <w:tc>
          <w:tcPr>
            <w:tcW w:w="1552" w:type="dxa"/>
            <w:tcBorders>
              <w:top w:val="single" w:color="auto" w:sz="8" w:space="0"/>
              <w:left w:val="nil"/>
              <w:bottom w:val="single" w:color="auto" w:sz="8" w:space="0"/>
              <w:right w:val="single" w:color="000000" w:sz="8" w:space="0"/>
            </w:tcBorders>
            <w:noWrap w:val="0"/>
            <w:vAlign w:val="center"/>
          </w:tcPr>
          <w:p w14:paraId="034BE1C5">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防火墙</w:t>
            </w:r>
          </w:p>
        </w:tc>
        <w:tc>
          <w:tcPr>
            <w:tcW w:w="2615" w:type="dxa"/>
            <w:tcBorders>
              <w:top w:val="single" w:color="auto" w:sz="8" w:space="0"/>
              <w:left w:val="nil"/>
              <w:bottom w:val="single" w:color="auto" w:sz="8" w:space="0"/>
              <w:right w:val="single" w:color="000000" w:sz="8" w:space="0"/>
            </w:tcBorders>
            <w:noWrap w:val="0"/>
            <w:vAlign w:val="center"/>
          </w:tcPr>
          <w:p w14:paraId="6690B532">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天融信NGFW4000</w:t>
            </w:r>
          </w:p>
        </w:tc>
        <w:tc>
          <w:tcPr>
            <w:tcW w:w="1901" w:type="dxa"/>
            <w:tcBorders>
              <w:top w:val="single" w:color="auto" w:sz="8" w:space="0"/>
              <w:left w:val="nil"/>
              <w:bottom w:val="single" w:color="auto" w:sz="8" w:space="0"/>
              <w:right w:val="single" w:color="000000" w:sz="8" w:space="0"/>
            </w:tcBorders>
            <w:noWrap w:val="0"/>
            <w:vAlign w:val="center"/>
          </w:tcPr>
          <w:p w14:paraId="355BB6BD">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Q56871131866</w:t>
            </w:r>
          </w:p>
        </w:tc>
      </w:tr>
      <w:tr w14:paraId="56B87C6E">
        <w:tblPrEx>
          <w:tblCellMar>
            <w:top w:w="0" w:type="dxa"/>
            <w:left w:w="108" w:type="dxa"/>
            <w:bottom w:w="0" w:type="dxa"/>
            <w:right w:w="108" w:type="dxa"/>
          </w:tblCellMar>
        </w:tblPrEx>
        <w:trPr>
          <w:trHeight w:val="567" w:hRule="atLeast"/>
          <w:jc w:val="center"/>
        </w:trPr>
        <w:tc>
          <w:tcPr>
            <w:tcW w:w="1228" w:type="dxa"/>
            <w:vMerge w:val="continue"/>
            <w:tcBorders>
              <w:left w:val="single" w:color="auto" w:sz="8" w:space="0"/>
              <w:right w:val="single" w:color="auto" w:sz="8" w:space="0"/>
            </w:tcBorders>
            <w:noWrap w:val="0"/>
            <w:vAlign w:val="center"/>
          </w:tcPr>
          <w:p w14:paraId="4FEF3A1B">
            <w:pPr>
              <w:widowControl/>
              <w:jc w:val="center"/>
              <w:rPr>
                <w:rFonts w:hint="eastAsia" w:ascii="宋体" w:hAnsi="宋体" w:eastAsia="宋体" w:cs="宋体"/>
                <w:kern w:val="0"/>
                <w:sz w:val="24"/>
                <w:szCs w:val="24"/>
              </w:rPr>
            </w:pPr>
          </w:p>
        </w:tc>
        <w:tc>
          <w:tcPr>
            <w:tcW w:w="945" w:type="dxa"/>
            <w:tcBorders>
              <w:top w:val="nil"/>
              <w:left w:val="nil"/>
              <w:bottom w:val="single" w:color="auto" w:sz="8" w:space="0"/>
              <w:right w:val="single" w:color="auto" w:sz="8" w:space="0"/>
            </w:tcBorders>
            <w:noWrap w:val="0"/>
            <w:vAlign w:val="center"/>
          </w:tcPr>
          <w:p w14:paraId="18BE5531">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15</w:t>
            </w:r>
          </w:p>
        </w:tc>
        <w:tc>
          <w:tcPr>
            <w:tcW w:w="1552" w:type="dxa"/>
            <w:tcBorders>
              <w:top w:val="single" w:color="auto" w:sz="8" w:space="0"/>
              <w:left w:val="nil"/>
              <w:bottom w:val="single" w:color="auto" w:sz="8" w:space="0"/>
              <w:right w:val="single" w:color="000000" w:sz="8" w:space="0"/>
            </w:tcBorders>
            <w:noWrap w:val="0"/>
            <w:vAlign w:val="center"/>
          </w:tcPr>
          <w:p w14:paraId="45406473">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入侵防御</w:t>
            </w:r>
          </w:p>
        </w:tc>
        <w:tc>
          <w:tcPr>
            <w:tcW w:w="2615" w:type="dxa"/>
            <w:tcBorders>
              <w:top w:val="single" w:color="auto" w:sz="8" w:space="0"/>
              <w:left w:val="nil"/>
              <w:bottom w:val="single" w:color="auto" w:sz="8" w:space="0"/>
              <w:right w:val="single" w:color="000000" w:sz="8" w:space="0"/>
            </w:tcBorders>
            <w:noWrap w:val="0"/>
            <w:vAlign w:val="center"/>
          </w:tcPr>
          <w:p w14:paraId="46F6DFF9">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天融信TOPIDP3000</w:t>
            </w:r>
          </w:p>
        </w:tc>
        <w:tc>
          <w:tcPr>
            <w:tcW w:w="1901" w:type="dxa"/>
            <w:tcBorders>
              <w:top w:val="single" w:color="auto" w:sz="8" w:space="0"/>
              <w:left w:val="nil"/>
              <w:bottom w:val="single" w:color="auto" w:sz="8" w:space="0"/>
              <w:right w:val="single" w:color="000000" w:sz="8" w:space="0"/>
            </w:tcBorders>
            <w:noWrap w:val="0"/>
            <w:vAlign w:val="center"/>
          </w:tcPr>
          <w:p w14:paraId="7DAA147A">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Q1795018483</w:t>
            </w:r>
          </w:p>
        </w:tc>
      </w:tr>
      <w:tr w14:paraId="20AD75C8">
        <w:tblPrEx>
          <w:tblCellMar>
            <w:top w:w="0" w:type="dxa"/>
            <w:left w:w="108" w:type="dxa"/>
            <w:bottom w:w="0" w:type="dxa"/>
            <w:right w:w="108" w:type="dxa"/>
          </w:tblCellMar>
        </w:tblPrEx>
        <w:trPr>
          <w:trHeight w:val="567" w:hRule="atLeast"/>
          <w:jc w:val="center"/>
        </w:trPr>
        <w:tc>
          <w:tcPr>
            <w:tcW w:w="1228" w:type="dxa"/>
            <w:vMerge w:val="continue"/>
            <w:tcBorders>
              <w:left w:val="single" w:color="auto" w:sz="8" w:space="0"/>
              <w:right w:val="single" w:color="auto" w:sz="8" w:space="0"/>
            </w:tcBorders>
            <w:noWrap w:val="0"/>
            <w:vAlign w:val="center"/>
          </w:tcPr>
          <w:p w14:paraId="436364DE">
            <w:pPr>
              <w:widowControl/>
              <w:jc w:val="center"/>
              <w:rPr>
                <w:rFonts w:hint="eastAsia" w:ascii="宋体" w:hAnsi="宋体" w:eastAsia="宋体" w:cs="宋体"/>
                <w:kern w:val="0"/>
                <w:sz w:val="24"/>
                <w:szCs w:val="24"/>
              </w:rPr>
            </w:pPr>
          </w:p>
        </w:tc>
        <w:tc>
          <w:tcPr>
            <w:tcW w:w="945" w:type="dxa"/>
            <w:tcBorders>
              <w:top w:val="nil"/>
              <w:left w:val="nil"/>
              <w:bottom w:val="single" w:color="auto" w:sz="8" w:space="0"/>
              <w:right w:val="single" w:color="auto" w:sz="8" w:space="0"/>
            </w:tcBorders>
            <w:noWrap w:val="0"/>
            <w:vAlign w:val="center"/>
          </w:tcPr>
          <w:p w14:paraId="1A7C2BC9">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16</w:t>
            </w:r>
          </w:p>
        </w:tc>
        <w:tc>
          <w:tcPr>
            <w:tcW w:w="1552" w:type="dxa"/>
            <w:tcBorders>
              <w:top w:val="single" w:color="auto" w:sz="8" w:space="0"/>
              <w:left w:val="nil"/>
              <w:bottom w:val="single" w:color="auto" w:sz="8" w:space="0"/>
              <w:right w:val="single" w:color="000000" w:sz="8" w:space="0"/>
            </w:tcBorders>
            <w:noWrap w:val="0"/>
            <w:vAlign w:val="center"/>
          </w:tcPr>
          <w:p w14:paraId="7403AC77">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防火墙</w:t>
            </w:r>
          </w:p>
        </w:tc>
        <w:tc>
          <w:tcPr>
            <w:tcW w:w="2615" w:type="dxa"/>
            <w:tcBorders>
              <w:top w:val="single" w:color="auto" w:sz="8" w:space="0"/>
              <w:left w:val="nil"/>
              <w:bottom w:val="single" w:color="auto" w:sz="8" w:space="0"/>
              <w:right w:val="single" w:color="000000" w:sz="8" w:space="0"/>
            </w:tcBorders>
            <w:noWrap w:val="0"/>
            <w:vAlign w:val="center"/>
          </w:tcPr>
          <w:p w14:paraId="02BF54FB">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天融信NGFW4000</w:t>
            </w:r>
          </w:p>
        </w:tc>
        <w:tc>
          <w:tcPr>
            <w:tcW w:w="1901" w:type="dxa"/>
            <w:tcBorders>
              <w:top w:val="single" w:color="auto" w:sz="8" w:space="0"/>
              <w:left w:val="nil"/>
              <w:bottom w:val="single" w:color="auto" w:sz="8" w:space="0"/>
              <w:right w:val="single" w:color="000000" w:sz="8" w:space="0"/>
            </w:tcBorders>
            <w:noWrap w:val="0"/>
            <w:vAlign w:val="center"/>
          </w:tcPr>
          <w:p w14:paraId="61148264">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Q2112898092</w:t>
            </w:r>
          </w:p>
        </w:tc>
      </w:tr>
      <w:tr w14:paraId="77658B40">
        <w:tblPrEx>
          <w:tblCellMar>
            <w:top w:w="0" w:type="dxa"/>
            <w:left w:w="108" w:type="dxa"/>
            <w:bottom w:w="0" w:type="dxa"/>
            <w:right w:w="108" w:type="dxa"/>
          </w:tblCellMar>
        </w:tblPrEx>
        <w:trPr>
          <w:trHeight w:val="567" w:hRule="atLeast"/>
          <w:jc w:val="center"/>
        </w:trPr>
        <w:tc>
          <w:tcPr>
            <w:tcW w:w="1228" w:type="dxa"/>
            <w:vMerge w:val="continue"/>
            <w:tcBorders>
              <w:left w:val="single" w:color="auto" w:sz="8" w:space="0"/>
              <w:right w:val="single" w:color="auto" w:sz="8" w:space="0"/>
            </w:tcBorders>
            <w:noWrap w:val="0"/>
            <w:vAlign w:val="center"/>
          </w:tcPr>
          <w:p w14:paraId="15E5F8D1">
            <w:pPr>
              <w:widowControl/>
              <w:jc w:val="center"/>
              <w:rPr>
                <w:rFonts w:hint="eastAsia" w:ascii="宋体" w:hAnsi="宋体" w:eastAsia="宋体" w:cs="宋体"/>
                <w:kern w:val="0"/>
                <w:sz w:val="24"/>
                <w:szCs w:val="24"/>
              </w:rPr>
            </w:pPr>
          </w:p>
        </w:tc>
        <w:tc>
          <w:tcPr>
            <w:tcW w:w="945" w:type="dxa"/>
            <w:tcBorders>
              <w:top w:val="nil"/>
              <w:left w:val="nil"/>
              <w:bottom w:val="single" w:color="auto" w:sz="8" w:space="0"/>
              <w:right w:val="single" w:color="auto" w:sz="8" w:space="0"/>
            </w:tcBorders>
            <w:noWrap w:val="0"/>
            <w:vAlign w:val="center"/>
          </w:tcPr>
          <w:p w14:paraId="6154AB54">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17</w:t>
            </w:r>
          </w:p>
        </w:tc>
        <w:tc>
          <w:tcPr>
            <w:tcW w:w="1552" w:type="dxa"/>
            <w:tcBorders>
              <w:top w:val="single" w:color="auto" w:sz="8" w:space="0"/>
              <w:left w:val="nil"/>
              <w:bottom w:val="single" w:color="auto" w:sz="8" w:space="0"/>
              <w:right w:val="single" w:color="000000" w:sz="8" w:space="0"/>
            </w:tcBorders>
            <w:noWrap w:val="0"/>
            <w:vAlign w:val="center"/>
          </w:tcPr>
          <w:p w14:paraId="6515E904">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防火墙</w:t>
            </w:r>
          </w:p>
        </w:tc>
        <w:tc>
          <w:tcPr>
            <w:tcW w:w="2615" w:type="dxa"/>
            <w:tcBorders>
              <w:top w:val="single" w:color="auto" w:sz="8" w:space="0"/>
              <w:left w:val="nil"/>
              <w:bottom w:val="single" w:color="auto" w:sz="8" w:space="0"/>
              <w:right w:val="single" w:color="000000" w:sz="8" w:space="0"/>
            </w:tcBorders>
            <w:noWrap w:val="0"/>
            <w:vAlign w:val="center"/>
          </w:tcPr>
          <w:p w14:paraId="63D5EC01">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天融信NGFW4000</w:t>
            </w:r>
          </w:p>
        </w:tc>
        <w:tc>
          <w:tcPr>
            <w:tcW w:w="1901" w:type="dxa"/>
            <w:tcBorders>
              <w:top w:val="single" w:color="auto" w:sz="8" w:space="0"/>
              <w:left w:val="nil"/>
              <w:bottom w:val="single" w:color="auto" w:sz="8" w:space="0"/>
              <w:right w:val="single" w:color="000000" w:sz="8" w:space="0"/>
            </w:tcBorders>
            <w:noWrap w:val="0"/>
            <w:vAlign w:val="center"/>
          </w:tcPr>
          <w:p w14:paraId="33991824">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Q2108156138</w:t>
            </w:r>
          </w:p>
        </w:tc>
      </w:tr>
      <w:tr w14:paraId="0A5B11D8">
        <w:tblPrEx>
          <w:tblCellMar>
            <w:top w:w="0" w:type="dxa"/>
            <w:left w:w="108" w:type="dxa"/>
            <w:bottom w:w="0" w:type="dxa"/>
            <w:right w:w="108" w:type="dxa"/>
          </w:tblCellMar>
        </w:tblPrEx>
        <w:trPr>
          <w:trHeight w:val="567" w:hRule="atLeast"/>
          <w:jc w:val="center"/>
        </w:trPr>
        <w:tc>
          <w:tcPr>
            <w:tcW w:w="1228" w:type="dxa"/>
            <w:tcBorders>
              <w:left w:val="single" w:color="auto" w:sz="8" w:space="0"/>
              <w:right w:val="single" w:color="auto" w:sz="8" w:space="0"/>
            </w:tcBorders>
            <w:noWrap w:val="0"/>
            <w:vAlign w:val="center"/>
          </w:tcPr>
          <w:p w14:paraId="71D7A0A2">
            <w:pPr>
              <w:widowControl/>
              <w:jc w:val="center"/>
              <w:rPr>
                <w:rFonts w:hint="eastAsia" w:ascii="宋体" w:hAnsi="宋体" w:eastAsia="宋体" w:cs="宋体"/>
                <w:kern w:val="0"/>
                <w:sz w:val="24"/>
                <w:szCs w:val="24"/>
              </w:rPr>
            </w:pPr>
          </w:p>
        </w:tc>
        <w:tc>
          <w:tcPr>
            <w:tcW w:w="945" w:type="dxa"/>
            <w:tcBorders>
              <w:top w:val="nil"/>
              <w:left w:val="nil"/>
              <w:bottom w:val="single" w:color="auto" w:sz="8" w:space="0"/>
              <w:right w:val="single" w:color="auto" w:sz="8" w:space="0"/>
            </w:tcBorders>
            <w:shd w:val="clear" w:color="auto" w:fill="auto"/>
            <w:noWrap w:val="0"/>
            <w:vAlign w:val="center"/>
          </w:tcPr>
          <w:p w14:paraId="26F77715">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18</w:t>
            </w:r>
          </w:p>
        </w:tc>
        <w:tc>
          <w:tcPr>
            <w:tcW w:w="1552" w:type="dxa"/>
            <w:tcBorders>
              <w:top w:val="single" w:color="auto" w:sz="8" w:space="0"/>
              <w:left w:val="nil"/>
              <w:bottom w:val="single" w:color="auto" w:sz="8" w:space="0"/>
              <w:right w:val="single" w:color="000000" w:sz="8" w:space="0"/>
            </w:tcBorders>
            <w:shd w:val="clear" w:color="auto" w:fill="auto"/>
            <w:noWrap w:val="0"/>
            <w:vAlign w:val="center"/>
          </w:tcPr>
          <w:p w14:paraId="055B9395">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安恒信息</w:t>
            </w:r>
          </w:p>
        </w:tc>
        <w:tc>
          <w:tcPr>
            <w:tcW w:w="2615" w:type="dxa"/>
            <w:tcBorders>
              <w:top w:val="single" w:color="auto" w:sz="8" w:space="0"/>
              <w:left w:val="nil"/>
              <w:bottom w:val="single" w:color="auto" w:sz="8" w:space="0"/>
              <w:right w:val="single" w:color="000000" w:sz="8" w:space="0"/>
            </w:tcBorders>
            <w:shd w:val="clear" w:color="auto" w:fill="auto"/>
            <w:noWrap w:val="0"/>
            <w:vAlign w:val="center"/>
          </w:tcPr>
          <w:p w14:paraId="7511D0B5">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AiNTA流量分析系统（探针）</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DAS-ADL-SP600</w:t>
            </w:r>
          </w:p>
        </w:tc>
        <w:tc>
          <w:tcPr>
            <w:tcW w:w="1901" w:type="dxa"/>
            <w:tcBorders>
              <w:top w:val="single" w:color="auto" w:sz="8" w:space="0"/>
              <w:left w:val="nil"/>
              <w:bottom w:val="single" w:color="auto" w:sz="8" w:space="0"/>
              <w:right w:val="single" w:color="000000" w:sz="8" w:space="0"/>
            </w:tcBorders>
            <w:shd w:val="clear" w:color="auto" w:fill="auto"/>
            <w:noWrap w:val="0"/>
            <w:vAlign w:val="center"/>
          </w:tcPr>
          <w:p w14:paraId="5856511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2109X231021</w:t>
            </w:r>
          </w:p>
        </w:tc>
      </w:tr>
      <w:tr w14:paraId="2EB74316">
        <w:tblPrEx>
          <w:tblCellMar>
            <w:top w:w="0" w:type="dxa"/>
            <w:left w:w="108" w:type="dxa"/>
            <w:bottom w:w="0" w:type="dxa"/>
            <w:right w:w="108" w:type="dxa"/>
          </w:tblCellMar>
        </w:tblPrEx>
        <w:trPr>
          <w:trHeight w:val="567" w:hRule="atLeast"/>
          <w:jc w:val="center"/>
        </w:trPr>
        <w:tc>
          <w:tcPr>
            <w:tcW w:w="1228" w:type="dxa"/>
            <w:tcBorders>
              <w:left w:val="single" w:color="auto" w:sz="8" w:space="0"/>
              <w:right w:val="single" w:color="auto" w:sz="8" w:space="0"/>
            </w:tcBorders>
            <w:noWrap w:val="0"/>
            <w:vAlign w:val="center"/>
          </w:tcPr>
          <w:p w14:paraId="6F7E68E1">
            <w:pPr>
              <w:widowControl/>
              <w:jc w:val="center"/>
              <w:rPr>
                <w:rFonts w:hint="eastAsia" w:ascii="宋体" w:hAnsi="宋体" w:eastAsia="宋体" w:cs="宋体"/>
                <w:kern w:val="0"/>
                <w:sz w:val="24"/>
                <w:szCs w:val="24"/>
              </w:rPr>
            </w:pPr>
          </w:p>
        </w:tc>
        <w:tc>
          <w:tcPr>
            <w:tcW w:w="945" w:type="dxa"/>
            <w:tcBorders>
              <w:top w:val="nil"/>
              <w:left w:val="nil"/>
              <w:bottom w:val="single" w:color="auto" w:sz="8" w:space="0"/>
              <w:right w:val="single" w:color="auto" w:sz="8" w:space="0"/>
            </w:tcBorders>
            <w:shd w:val="clear" w:color="auto" w:fill="auto"/>
            <w:noWrap w:val="0"/>
            <w:vAlign w:val="center"/>
          </w:tcPr>
          <w:p w14:paraId="273E1F71">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19</w:t>
            </w:r>
          </w:p>
        </w:tc>
        <w:tc>
          <w:tcPr>
            <w:tcW w:w="1552" w:type="dxa"/>
            <w:tcBorders>
              <w:top w:val="single" w:color="auto" w:sz="8" w:space="0"/>
              <w:left w:val="nil"/>
              <w:bottom w:val="single" w:color="auto" w:sz="8" w:space="0"/>
              <w:right w:val="single" w:color="000000" w:sz="8" w:space="0"/>
            </w:tcBorders>
            <w:shd w:val="clear" w:color="auto" w:fill="auto"/>
            <w:noWrap w:val="0"/>
            <w:vAlign w:val="center"/>
          </w:tcPr>
          <w:p w14:paraId="4AFB2304">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安恒信息</w:t>
            </w:r>
          </w:p>
        </w:tc>
        <w:tc>
          <w:tcPr>
            <w:tcW w:w="2615" w:type="dxa"/>
            <w:tcBorders>
              <w:top w:val="single" w:color="auto" w:sz="8" w:space="0"/>
              <w:left w:val="nil"/>
              <w:bottom w:val="single" w:color="auto" w:sz="8" w:space="0"/>
              <w:right w:val="single" w:color="000000" w:sz="8" w:space="0"/>
            </w:tcBorders>
            <w:shd w:val="clear" w:color="auto" w:fill="auto"/>
            <w:noWrap w:val="0"/>
            <w:vAlign w:val="center"/>
          </w:tcPr>
          <w:p w14:paraId="04FECDEB">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2U Rack Server</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AiLPHA大数据智能安全平台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DAS-ADL-A780</w:t>
            </w:r>
          </w:p>
        </w:tc>
        <w:tc>
          <w:tcPr>
            <w:tcW w:w="1901" w:type="dxa"/>
            <w:tcBorders>
              <w:top w:val="single" w:color="auto" w:sz="8" w:space="0"/>
              <w:left w:val="nil"/>
              <w:bottom w:val="single" w:color="auto" w:sz="8" w:space="0"/>
              <w:right w:val="single" w:color="000000" w:sz="8" w:space="0"/>
            </w:tcBorders>
            <w:shd w:val="clear" w:color="auto" w:fill="auto"/>
            <w:noWrap w:val="0"/>
            <w:vAlign w:val="center"/>
          </w:tcPr>
          <w:p w14:paraId="6973178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9400069503060794</w:t>
            </w:r>
          </w:p>
        </w:tc>
      </w:tr>
      <w:tr w14:paraId="618D2F50">
        <w:tblPrEx>
          <w:tblCellMar>
            <w:top w:w="0" w:type="dxa"/>
            <w:left w:w="108" w:type="dxa"/>
            <w:bottom w:w="0" w:type="dxa"/>
            <w:right w:w="108" w:type="dxa"/>
          </w:tblCellMar>
        </w:tblPrEx>
        <w:trPr>
          <w:trHeight w:val="567" w:hRule="atLeast"/>
          <w:jc w:val="center"/>
        </w:trPr>
        <w:tc>
          <w:tcPr>
            <w:tcW w:w="1228" w:type="dxa"/>
            <w:tcBorders>
              <w:left w:val="single" w:color="auto" w:sz="8" w:space="0"/>
              <w:right w:val="single" w:color="auto" w:sz="8" w:space="0"/>
            </w:tcBorders>
            <w:noWrap w:val="0"/>
            <w:vAlign w:val="center"/>
          </w:tcPr>
          <w:p w14:paraId="31FC698E">
            <w:pPr>
              <w:widowControl/>
              <w:jc w:val="center"/>
              <w:rPr>
                <w:rFonts w:hint="eastAsia" w:ascii="宋体" w:hAnsi="宋体" w:eastAsia="宋体" w:cs="宋体"/>
                <w:kern w:val="0"/>
                <w:sz w:val="24"/>
                <w:szCs w:val="24"/>
              </w:rPr>
            </w:pPr>
          </w:p>
        </w:tc>
        <w:tc>
          <w:tcPr>
            <w:tcW w:w="945" w:type="dxa"/>
            <w:tcBorders>
              <w:top w:val="nil"/>
              <w:left w:val="nil"/>
              <w:bottom w:val="single" w:color="auto" w:sz="8" w:space="0"/>
              <w:right w:val="single" w:color="auto" w:sz="8" w:space="0"/>
            </w:tcBorders>
            <w:shd w:val="clear" w:color="auto" w:fill="auto"/>
            <w:noWrap w:val="0"/>
            <w:vAlign w:val="center"/>
          </w:tcPr>
          <w:p w14:paraId="602558A0">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20</w:t>
            </w:r>
          </w:p>
        </w:tc>
        <w:tc>
          <w:tcPr>
            <w:tcW w:w="1552" w:type="dxa"/>
            <w:tcBorders>
              <w:top w:val="single" w:color="auto" w:sz="8" w:space="0"/>
              <w:left w:val="nil"/>
              <w:bottom w:val="single" w:color="auto" w:sz="8" w:space="0"/>
              <w:right w:val="single" w:color="000000" w:sz="8" w:space="0"/>
            </w:tcBorders>
            <w:shd w:val="clear" w:color="auto" w:fill="auto"/>
            <w:noWrap w:val="0"/>
            <w:vAlign w:val="center"/>
          </w:tcPr>
          <w:p w14:paraId="0F1D029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天融信</w:t>
            </w:r>
          </w:p>
        </w:tc>
        <w:tc>
          <w:tcPr>
            <w:tcW w:w="2615" w:type="dxa"/>
            <w:tcBorders>
              <w:top w:val="single" w:color="auto" w:sz="8" w:space="0"/>
              <w:left w:val="nil"/>
              <w:bottom w:val="single" w:color="auto" w:sz="8" w:space="0"/>
              <w:right w:val="single" w:color="000000" w:sz="8" w:space="0"/>
            </w:tcBorders>
            <w:shd w:val="clear" w:color="auto" w:fill="auto"/>
            <w:noWrap w:val="0"/>
            <w:vAlign w:val="center"/>
          </w:tcPr>
          <w:p w14:paraId="5BE69B1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TopSentry 3000(ZX-A)(千兆)V3</w:t>
            </w:r>
          </w:p>
        </w:tc>
        <w:tc>
          <w:tcPr>
            <w:tcW w:w="1901" w:type="dxa"/>
            <w:tcBorders>
              <w:top w:val="single" w:color="auto" w:sz="8" w:space="0"/>
              <w:left w:val="nil"/>
              <w:bottom w:val="single" w:color="auto" w:sz="8" w:space="0"/>
              <w:right w:val="single" w:color="000000" w:sz="8" w:space="0"/>
            </w:tcBorders>
            <w:shd w:val="clear" w:color="auto" w:fill="auto"/>
            <w:noWrap w:val="0"/>
            <w:vAlign w:val="center"/>
          </w:tcPr>
          <w:p w14:paraId="3479175E">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Q2112897595</w:t>
            </w:r>
          </w:p>
        </w:tc>
      </w:tr>
      <w:tr w14:paraId="15C2DE29">
        <w:tblPrEx>
          <w:tblCellMar>
            <w:top w:w="0" w:type="dxa"/>
            <w:left w:w="108" w:type="dxa"/>
            <w:bottom w:w="0" w:type="dxa"/>
            <w:right w:w="108" w:type="dxa"/>
          </w:tblCellMar>
        </w:tblPrEx>
        <w:trPr>
          <w:trHeight w:val="567" w:hRule="atLeast"/>
          <w:jc w:val="center"/>
        </w:trPr>
        <w:tc>
          <w:tcPr>
            <w:tcW w:w="1228" w:type="dxa"/>
            <w:tcBorders>
              <w:left w:val="single" w:color="auto" w:sz="8" w:space="0"/>
              <w:right w:val="single" w:color="auto" w:sz="8" w:space="0"/>
            </w:tcBorders>
            <w:noWrap w:val="0"/>
            <w:vAlign w:val="center"/>
          </w:tcPr>
          <w:p w14:paraId="3EC8FD9F">
            <w:pPr>
              <w:widowControl/>
              <w:jc w:val="center"/>
              <w:rPr>
                <w:rFonts w:hint="eastAsia" w:ascii="宋体" w:hAnsi="宋体" w:eastAsia="宋体" w:cs="宋体"/>
                <w:kern w:val="0"/>
                <w:sz w:val="24"/>
                <w:szCs w:val="24"/>
              </w:rPr>
            </w:pPr>
          </w:p>
        </w:tc>
        <w:tc>
          <w:tcPr>
            <w:tcW w:w="945" w:type="dxa"/>
            <w:tcBorders>
              <w:top w:val="nil"/>
              <w:left w:val="nil"/>
              <w:bottom w:val="single" w:color="auto" w:sz="8" w:space="0"/>
              <w:right w:val="single" w:color="auto" w:sz="8" w:space="0"/>
            </w:tcBorders>
            <w:shd w:val="clear" w:color="auto" w:fill="auto"/>
            <w:noWrap w:val="0"/>
            <w:vAlign w:val="center"/>
          </w:tcPr>
          <w:p w14:paraId="005294B1">
            <w:pPr>
              <w:widowControl/>
              <w:jc w:val="center"/>
              <w:textAlignment w:val="center"/>
              <w:rPr>
                <w:rFonts w:hint="eastAsia" w:ascii="宋体" w:hAnsi="宋体" w:eastAsia="宋体" w:cs="宋体"/>
                <w:color w:val="000000"/>
                <w:kern w:val="0"/>
                <w:sz w:val="24"/>
                <w:szCs w:val="24"/>
                <w:u w:val="none"/>
                <w:lang w:val="en-US" w:eastAsia="zh-CN" w:bidi="ar"/>
              </w:rPr>
            </w:pPr>
            <w:r>
              <w:rPr>
                <w:rFonts w:hint="eastAsia" w:ascii="宋体" w:hAnsi="宋体" w:eastAsia="宋体" w:cs="宋体"/>
                <w:color w:val="000000"/>
                <w:kern w:val="0"/>
                <w:sz w:val="24"/>
                <w:szCs w:val="24"/>
                <w:u w:val="none"/>
                <w:lang w:val="en-US" w:eastAsia="zh-CN" w:bidi="ar"/>
              </w:rPr>
              <w:t>21</w:t>
            </w:r>
          </w:p>
        </w:tc>
        <w:tc>
          <w:tcPr>
            <w:tcW w:w="1552" w:type="dxa"/>
            <w:tcBorders>
              <w:top w:val="single" w:color="auto" w:sz="8" w:space="0"/>
              <w:left w:val="nil"/>
              <w:bottom w:val="single" w:color="auto" w:sz="8" w:space="0"/>
              <w:right w:val="single" w:color="000000" w:sz="8" w:space="0"/>
            </w:tcBorders>
            <w:shd w:val="clear" w:color="auto" w:fill="auto"/>
            <w:noWrap w:val="0"/>
            <w:vAlign w:val="center"/>
          </w:tcPr>
          <w:p w14:paraId="2FDC781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信安世纪</w:t>
            </w:r>
          </w:p>
        </w:tc>
        <w:tc>
          <w:tcPr>
            <w:tcW w:w="2615" w:type="dxa"/>
            <w:tcBorders>
              <w:top w:val="single" w:color="auto" w:sz="8" w:space="0"/>
              <w:left w:val="nil"/>
              <w:bottom w:val="single" w:color="auto" w:sz="8" w:space="0"/>
              <w:right w:val="single" w:color="000000" w:sz="8" w:space="0"/>
            </w:tcBorders>
            <w:shd w:val="clear" w:color="auto" w:fill="auto"/>
            <w:noWrap w:val="0"/>
            <w:vAlign w:val="center"/>
          </w:tcPr>
          <w:p w14:paraId="7F4ED72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NetOpti2200</w:t>
            </w:r>
          </w:p>
        </w:tc>
        <w:tc>
          <w:tcPr>
            <w:tcW w:w="1901" w:type="dxa"/>
            <w:tcBorders>
              <w:top w:val="single" w:color="auto" w:sz="8" w:space="0"/>
              <w:left w:val="nil"/>
              <w:bottom w:val="single" w:color="auto" w:sz="8" w:space="0"/>
              <w:right w:val="single" w:color="000000" w:sz="8" w:space="0"/>
            </w:tcBorders>
            <w:shd w:val="clear" w:color="auto" w:fill="auto"/>
            <w:noWrap w:val="0"/>
            <w:vAlign w:val="center"/>
          </w:tcPr>
          <w:p w14:paraId="2636D46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1343G6688</w:t>
            </w:r>
          </w:p>
        </w:tc>
      </w:tr>
      <w:tr w14:paraId="166C5744">
        <w:tblPrEx>
          <w:tblCellMar>
            <w:top w:w="0" w:type="dxa"/>
            <w:left w:w="108" w:type="dxa"/>
            <w:bottom w:w="0" w:type="dxa"/>
            <w:right w:w="108" w:type="dxa"/>
          </w:tblCellMar>
        </w:tblPrEx>
        <w:trPr>
          <w:trHeight w:val="567" w:hRule="atLeast"/>
          <w:jc w:val="center"/>
        </w:trPr>
        <w:tc>
          <w:tcPr>
            <w:tcW w:w="1228" w:type="dxa"/>
            <w:tcBorders>
              <w:left w:val="single" w:color="auto" w:sz="8" w:space="0"/>
              <w:right w:val="single" w:color="auto" w:sz="8" w:space="0"/>
            </w:tcBorders>
            <w:noWrap w:val="0"/>
            <w:vAlign w:val="center"/>
          </w:tcPr>
          <w:p w14:paraId="3D55FC73">
            <w:pPr>
              <w:widowControl/>
              <w:jc w:val="center"/>
              <w:rPr>
                <w:rFonts w:hint="eastAsia" w:ascii="宋体" w:hAnsi="宋体" w:eastAsia="宋体" w:cs="宋体"/>
                <w:kern w:val="0"/>
                <w:sz w:val="24"/>
                <w:szCs w:val="24"/>
              </w:rPr>
            </w:pPr>
          </w:p>
        </w:tc>
        <w:tc>
          <w:tcPr>
            <w:tcW w:w="945" w:type="dxa"/>
            <w:tcBorders>
              <w:top w:val="nil"/>
              <w:left w:val="nil"/>
              <w:bottom w:val="single" w:color="auto" w:sz="8" w:space="0"/>
              <w:right w:val="single" w:color="auto" w:sz="8" w:space="0"/>
            </w:tcBorders>
            <w:shd w:val="clear" w:color="auto" w:fill="auto"/>
            <w:noWrap w:val="0"/>
            <w:vAlign w:val="center"/>
          </w:tcPr>
          <w:p w14:paraId="3369D8BE">
            <w:pPr>
              <w:widowControl/>
              <w:jc w:val="center"/>
              <w:textAlignment w:val="center"/>
              <w:rPr>
                <w:rFonts w:hint="eastAsia" w:ascii="宋体" w:hAnsi="宋体" w:eastAsia="宋体" w:cs="宋体"/>
                <w:color w:val="000000"/>
                <w:kern w:val="0"/>
                <w:sz w:val="24"/>
                <w:szCs w:val="24"/>
                <w:u w:val="none"/>
                <w:lang w:val="en-US" w:eastAsia="zh-CN" w:bidi="ar"/>
              </w:rPr>
            </w:pPr>
            <w:r>
              <w:rPr>
                <w:rFonts w:hint="eastAsia" w:ascii="宋体" w:hAnsi="宋体" w:eastAsia="宋体" w:cs="宋体"/>
                <w:color w:val="000000"/>
                <w:kern w:val="0"/>
                <w:sz w:val="24"/>
                <w:szCs w:val="24"/>
                <w:u w:val="none"/>
                <w:lang w:val="en-US" w:eastAsia="zh-CN" w:bidi="ar"/>
              </w:rPr>
              <w:t>22</w:t>
            </w:r>
          </w:p>
        </w:tc>
        <w:tc>
          <w:tcPr>
            <w:tcW w:w="1552" w:type="dxa"/>
            <w:tcBorders>
              <w:top w:val="single" w:color="auto" w:sz="8" w:space="0"/>
              <w:left w:val="nil"/>
              <w:bottom w:val="single" w:color="auto" w:sz="8" w:space="0"/>
              <w:right w:val="single" w:color="000000" w:sz="8" w:space="0"/>
            </w:tcBorders>
            <w:shd w:val="clear" w:color="auto" w:fill="auto"/>
            <w:noWrap w:val="0"/>
            <w:vAlign w:val="center"/>
          </w:tcPr>
          <w:p w14:paraId="6361103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信安世纪</w:t>
            </w:r>
          </w:p>
        </w:tc>
        <w:tc>
          <w:tcPr>
            <w:tcW w:w="2615" w:type="dxa"/>
            <w:tcBorders>
              <w:top w:val="single" w:color="auto" w:sz="8" w:space="0"/>
              <w:left w:val="nil"/>
              <w:bottom w:val="single" w:color="auto" w:sz="8" w:space="0"/>
              <w:right w:val="single" w:color="000000" w:sz="8" w:space="0"/>
            </w:tcBorders>
            <w:shd w:val="clear" w:color="auto" w:fill="auto"/>
            <w:noWrap w:val="0"/>
            <w:vAlign w:val="center"/>
          </w:tcPr>
          <w:p w14:paraId="50063B3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NSAE-2800B-DA</w:t>
            </w:r>
          </w:p>
        </w:tc>
        <w:tc>
          <w:tcPr>
            <w:tcW w:w="1901" w:type="dxa"/>
            <w:tcBorders>
              <w:top w:val="single" w:color="auto" w:sz="8" w:space="0"/>
              <w:left w:val="nil"/>
              <w:bottom w:val="single" w:color="auto" w:sz="8" w:space="0"/>
              <w:right w:val="single" w:color="000000" w:sz="8" w:space="0"/>
            </w:tcBorders>
            <w:shd w:val="clear" w:color="auto" w:fill="auto"/>
            <w:noWrap w:val="0"/>
            <w:vAlign w:val="center"/>
          </w:tcPr>
          <w:p w14:paraId="45F0576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243E10028</w:t>
            </w:r>
          </w:p>
        </w:tc>
      </w:tr>
      <w:tr w14:paraId="390DF064">
        <w:tblPrEx>
          <w:tblCellMar>
            <w:top w:w="0" w:type="dxa"/>
            <w:left w:w="108" w:type="dxa"/>
            <w:bottom w:w="0" w:type="dxa"/>
            <w:right w:w="108" w:type="dxa"/>
          </w:tblCellMar>
        </w:tblPrEx>
        <w:trPr>
          <w:trHeight w:val="567" w:hRule="atLeast"/>
          <w:jc w:val="center"/>
        </w:trPr>
        <w:tc>
          <w:tcPr>
            <w:tcW w:w="1228" w:type="dxa"/>
            <w:tcBorders>
              <w:left w:val="single" w:color="auto" w:sz="8" w:space="0"/>
              <w:right w:val="single" w:color="auto" w:sz="8" w:space="0"/>
            </w:tcBorders>
            <w:noWrap w:val="0"/>
            <w:vAlign w:val="center"/>
          </w:tcPr>
          <w:p w14:paraId="08A67CD6">
            <w:pPr>
              <w:widowControl/>
              <w:jc w:val="center"/>
              <w:rPr>
                <w:rFonts w:hint="eastAsia" w:ascii="宋体" w:hAnsi="宋体" w:eastAsia="宋体" w:cs="宋体"/>
                <w:kern w:val="0"/>
                <w:sz w:val="24"/>
                <w:szCs w:val="24"/>
              </w:rPr>
            </w:pPr>
          </w:p>
        </w:tc>
        <w:tc>
          <w:tcPr>
            <w:tcW w:w="945" w:type="dxa"/>
            <w:tcBorders>
              <w:top w:val="nil"/>
              <w:left w:val="nil"/>
              <w:bottom w:val="single" w:color="auto" w:sz="8" w:space="0"/>
              <w:right w:val="single" w:color="auto" w:sz="8" w:space="0"/>
            </w:tcBorders>
            <w:shd w:val="clear" w:color="auto" w:fill="auto"/>
            <w:noWrap w:val="0"/>
            <w:vAlign w:val="center"/>
          </w:tcPr>
          <w:p w14:paraId="78DF7886">
            <w:pPr>
              <w:widowControl/>
              <w:jc w:val="center"/>
              <w:textAlignment w:val="center"/>
              <w:rPr>
                <w:rFonts w:hint="eastAsia" w:ascii="宋体" w:hAnsi="宋体" w:eastAsia="宋体" w:cs="宋体"/>
                <w:color w:val="000000"/>
                <w:kern w:val="0"/>
                <w:sz w:val="24"/>
                <w:szCs w:val="24"/>
                <w:u w:val="none"/>
                <w:lang w:val="en-US" w:eastAsia="zh-CN" w:bidi="ar"/>
              </w:rPr>
            </w:pPr>
            <w:r>
              <w:rPr>
                <w:rFonts w:hint="eastAsia" w:ascii="宋体" w:hAnsi="宋体" w:eastAsia="宋体" w:cs="宋体"/>
                <w:color w:val="000000"/>
                <w:kern w:val="0"/>
                <w:sz w:val="24"/>
                <w:szCs w:val="24"/>
                <w:u w:val="none"/>
                <w:lang w:val="en-US" w:eastAsia="zh-CN" w:bidi="ar"/>
              </w:rPr>
              <w:t>23</w:t>
            </w:r>
          </w:p>
        </w:tc>
        <w:tc>
          <w:tcPr>
            <w:tcW w:w="1552" w:type="dxa"/>
            <w:tcBorders>
              <w:top w:val="single" w:color="auto" w:sz="8" w:space="0"/>
              <w:left w:val="nil"/>
              <w:bottom w:val="single" w:color="auto" w:sz="8" w:space="0"/>
              <w:right w:val="single" w:color="000000" w:sz="8" w:space="0"/>
            </w:tcBorders>
            <w:shd w:val="clear" w:color="auto" w:fill="auto"/>
            <w:noWrap w:val="0"/>
            <w:vAlign w:val="center"/>
          </w:tcPr>
          <w:p w14:paraId="4FCA01A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信安世纪</w:t>
            </w:r>
          </w:p>
        </w:tc>
        <w:tc>
          <w:tcPr>
            <w:tcW w:w="2615" w:type="dxa"/>
            <w:tcBorders>
              <w:top w:val="single" w:color="auto" w:sz="8" w:space="0"/>
              <w:left w:val="nil"/>
              <w:bottom w:val="single" w:color="auto" w:sz="8" w:space="0"/>
              <w:right w:val="single" w:color="000000" w:sz="8" w:space="0"/>
            </w:tcBorders>
            <w:shd w:val="clear" w:color="auto" w:fill="auto"/>
            <w:noWrap w:val="0"/>
            <w:vAlign w:val="center"/>
          </w:tcPr>
          <w:p w14:paraId="7F0B941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SJJ1515</w:t>
            </w:r>
          </w:p>
        </w:tc>
        <w:tc>
          <w:tcPr>
            <w:tcW w:w="1901" w:type="dxa"/>
            <w:tcBorders>
              <w:top w:val="single" w:color="auto" w:sz="8" w:space="0"/>
              <w:left w:val="nil"/>
              <w:bottom w:val="single" w:color="auto" w:sz="8" w:space="0"/>
              <w:right w:val="single" w:color="000000" w:sz="8" w:space="0"/>
            </w:tcBorders>
            <w:shd w:val="clear" w:color="auto" w:fill="auto"/>
            <w:noWrap w:val="0"/>
            <w:vAlign w:val="center"/>
          </w:tcPr>
          <w:p w14:paraId="0F9D0E2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1719C1253</w:t>
            </w:r>
          </w:p>
        </w:tc>
      </w:tr>
      <w:tr w14:paraId="62F1C11E">
        <w:tblPrEx>
          <w:tblCellMar>
            <w:top w:w="0" w:type="dxa"/>
            <w:left w:w="108" w:type="dxa"/>
            <w:bottom w:w="0" w:type="dxa"/>
            <w:right w:w="108" w:type="dxa"/>
          </w:tblCellMar>
        </w:tblPrEx>
        <w:trPr>
          <w:trHeight w:val="567" w:hRule="atLeast"/>
          <w:jc w:val="center"/>
        </w:trPr>
        <w:tc>
          <w:tcPr>
            <w:tcW w:w="1228" w:type="dxa"/>
            <w:tcBorders>
              <w:left w:val="single" w:color="auto" w:sz="8" w:space="0"/>
              <w:right w:val="single" w:color="auto" w:sz="8" w:space="0"/>
            </w:tcBorders>
            <w:noWrap w:val="0"/>
            <w:vAlign w:val="center"/>
          </w:tcPr>
          <w:p w14:paraId="1A1C853F">
            <w:pPr>
              <w:widowControl/>
              <w:jc w:val="center"/>
              <w:rPr>
                <w:rFonts w:hint="eastAsia" w:ascii="宋体" w:hAnsi="宋体" w:eastAsia="宋体" w:cs="宋体"/>
                <w:kern w:val="0"/>
                <w:sz w:val="24"/>
                <w:szCs w:val="24"/>
              </w:rPr>
            </w:pPr>
          </w:p>
        </w:tc>
        <w:tc>
          <w:tcPr>
            <w:tcW w:w="945" w:type="dxa"/>
            <w:tcBorders>
              <w:top w:val="nil"/>
              <w:left w:val="nil"/>
              <w:bottom w:val="single" w:color="auto" w:sz="8" w:space="0"/>
              <w:right w:val="single" w:color="auto" w:sz="8" w:space="0"/>
            </w:tcBorders>
            <w:shd w:val="clear" w:color="auto" w:fill="auto"/>
            <w:noWrap w:val="0"/>
            <w:vAlign w:val="center"/>
          </w:tcPr>
          <w:p w14:paraId="51F3926D">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24</w:t>
            </w:r>
          </w:p>
        </w:tc>
        <w:tc>
          <w:tcPr>
            <w:tcW w:w="1552" w:type="dxa"/>
            <w:tcBorders>
              <w:top w:val="single" w:color="auto" w:sz="8" w:space="0"/>
              <w:left w:val="nil"/>
              <w:bottom w:val="single" w:color="auto" w:sz="8" w:space="0"/>
              <w:right w:val="single" w:color="000000" w:sz="8" w:space="0"/>
            </w:tcBorders>
            <w:shd w:val="clear" w:color="auto" w:fill="auto"/>
            <w:noWrap w:val="0"/>
            <w:vAlign w:val="center"/>
          </w:tcPr>
          <w:p w14:paraId="7455224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安恒信息</w:t>
            </w:r>
          </w:p>
        </w:tc>
        <w:tc>
          <w:tcPr>
            <w:tcW w:w="2615" w:type="dxa"/>
            <w:tcBorders>
              <w:top w:val="single" w:color="auto" w:sz="8" w:space="0"/>
              <w:left w:val="nil"/>
              <w:bottom w:val="single" w:color="auto" w:sz="8" w:space="0"/>
              <w:right w:val="single" w:color="000000" w:sz="8" w:space="0"/>
            </w:tcBorders>
            <w:shd w:val="clear" w:color="auto" w:fill="auto"/>
            <w:noWrap w:val="0"/>
            <w:vAlign w:val="center"/>
          </w:tcPr>
          <w:p w14:paraId="0CC5139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明御：全流量深度威胁检测平台</w:t>
            </w:r>
          </w:p>
        </w:tc>
        <w:tc>
          <w:tcPr>
            <w:tcW w:w="1901" w:type="dxa"/>
            <w:tcBorders>
              <w:top w:val="single" w:color="auto" w:sz="8" w:space="0"/>
              <w:left w:val="nil"/>
              <w:bottom w:val="single" w:color="auto" w:sz="8" w:space="0"/>
              <w:right w:val="single" w:color="000000" w:sz="8" w:space="0"/>
            </w:tcBorders>
            <w:shd w:val="clear" w:color="auto" w:fill="auto"/>
            <w:noWrap w:val="0"/>
            <w:vAlign w:val="center"/>
          </w:tcPr>
          <w:p w14:paraId="6A66C5B0">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1912X200752</w:t>
            </w:r>
          </w:p>
        </w:tc>
      </w:tr>
      <w:tr w14:paraId="33F710B6">
        <w:tblPrEx>
          <w:tblCellMar>
            <w:top w:w="0" w:type="dxa"/>
            <w:left w:w="108" w:type="dxa"/>
            <w:bottom w:w="0" w:type="dxa"/>
            <w:right w:w="108" w:type="dxa"/>
          </w:tblCellMar>
        </w:tblPrEx>
        <w:trPr>
          <w:trHeight w:val="567" w:hRule="atLeast"/>
          <w:jc w:val="center"/>
        </w:trPr>
        <w:tc>
          <w:tcPr>
            <w:tcW w:w="1228" w:type="dxa"/>
            <w:tcBorders>
              <w:left w:val="single" w:color="auto" w:sz="8" w:space="0"/>
              <w:right w:val="single" w:color="auto" w:sz="8" w:space="0"/>
            </w:tcBorders>
            <w:noWrap w:val="0"/>
            <w:vAlign w:val="center"/>
          </w:tcPr>
          <w:p w14:paraId="684E0510">
            <w:pPr>
              <w:widowControl/>
              <w:jc w:val="center"/>
              <w:rPr>
                <w:rFonts w:hint="eastAsia" w:ascii="宋体" w:hAnsi="宋体" w:eastAsia="宋体" w:cs="宋体"/>
                <w:kern w:val="0"/>
                <w:sz w:val="24"/>
                <w:szCs w:val="24"/>
              </w:rPr>
            </w:pPr>
          </w:p>
        </w:tc>
        <w:tc>
          <w:tcPr>
            <w:tcW w:w="945" w:type="dxa"/>
            <w:tcBorders>
              <w:top w:val="nil"/>
              <w:left w:val="nil"/>
              <w:bottom w:val="single" w:color="auto" w:sz="8" w:space="0"/>
              <w:right w:val="single" w:color="auto" w:sz="8" w:space="0"/>
            </w:tcBorders>
            <w:shd w:val="clear" w:color="auto" w:fill="auto"/>
            <w:noWrap w:val="0"/>
            <w:vAlign w:val="center"/>
          </w:tcPr>
          <w:p w14:paraId="5BF96B1E">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25</w:t>
            </w:r>
          </w:p>
        </w:tc>
        <w:tc>
          <w:tcPr>
            <w:tcW w:w="1552" w:type="dxa"/>
            <w:tcBorders>
              <w:top w:val="single" w:color="auto" w:sz="8" w:space="0"/>
              <w:left w:val="nil"/>
              <w:bottom w:val="single" w:color="auto" w:sz="8" w:space="0"/>
              <w:right w:val="single" w:color="000000" w:sz="8" w:space="0"/>
            </w:tcBorders>
            <w:shd w:val="clear" w:color="auto" w:fill="auto"/>
            <w:noWrap w:val="0"/>
            <w:vAlign w:val="center"/>
          </w:tcPr>
          <w:p w14:paraId="32DE8FC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金电网安</w:t>
            </w:r>
          </w:p>
        </w:tc>
        <w:tc>
          <w:tcPr>
            <w:tcW w:w="2615" w:type="dxa"/>
            <w:tcBorders>
              <w:top w:val="single" w:color="auto" w:sz="8" w:space="0"/>
              <w:left w:val="nil"/>
              <w:bottom w:val="single" w:color="auto" w:sz="8" w:space="0"/>
              <w:right w:val="single" w:color="000000" w:sz="8" w:space="0"/>
            </w:tcBorders>
            <w:shd w:val="clear" w:color="auto" w:fill="auto"/>
            <w:noWrap w:val="0"/>
            <w:vAlign w:val="center"/>
          </w:tcPr>
          <w:p w14:paraId="6B27075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MISP V1.0-S4000D</w:t>
            </w:r>
          </w:p>
        </w:tc>
        <w:tc>
          <w:tcPr>
            <w:tcW w:w="1901" w:type="dxa"/>
            <w:tcBorders>
              <w:top w:val="single" w:color="auto" w:sz="8" w:space="0"/>
              <w:left w:val="nil"/>
              <w:bottom w:val="single" w:color="auto" w:sz="8" w:space="0"/>
              <w:right w:val="single" w:color="000000" w:sz="8" w:space="0"/>
            </w:tcBorders>
            <w:shd w:val="clear" w:color="auto" w:fill="auto"/>
            <w:noWrap w:val="0"/>
            <w:vAlign w:val="center"/>
          </w:tcPr>
          <w:p w14:paraId="0B483756">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CGPBJEKC3621L1063</w:t>
            </w:r>
          </w:p>
        </w:tc>
      </w:tr>
      <w:tr w14:paraId="7F1A071D">
        <w:tblPrEx>
          <w:tblCellMar>
            <w:top w:w="0" w:type="dxa"/>
            <w:left w:w="108" w:type="dxa"/>
            <w:bottom w:w="0" w:type="dxa"/>
            <w:right w:w="108" w:type="dxa"/>
          </w:tblCellMar>
        </w:tblPrEx>
        <w:trPr>
          <w:trHeight w:val="567" w:hRule="atLeast"/>
          <w:jc w:val="center"/>
        </w:trPr>
        <w:tc>
          <w:tcPr>
            <w:tcW w:w="1228" w:type="dxa"/>
            <w:tcBorders>
              <w:top w:val="single" w:color="auto" w:sz="8" w:space="0"/>
              <w:left w:val="single" w:color="auto" w:sz="8" w:space="0"/>
              <w:bottom w:val="single" w:color="auto" w:sz="8" w:space="0"/>
              <w:right w:val="single" w:color="auto" w:sz="8" w:space="0"/>
            </w:tcBorders>
            <w:noWrap w:val="0"/>
            <w:vAlign w:val="center"/>
          </w:tcPr>
          <w:p w14:paraId="345D3716">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备份一体机</w:t>
            </w:r>
          </w:p>
        </w:tc>
        <w:tc>
          <w:tcPr>
            <w:tcW w:w="945" w:type="dxa"/>
            <w:tcBorders>
              <w:top w:val="single" w:color="auto" w:sz="8" w:space="0"/>
              <w:left w:val="single" w:color="auto" w:sz="8" w:space="0"/>
              <w:bottom w:val="single" w:color="auto" w:sz="8" w:space="0"/>
              <w:right w:val="single" w:color="auto" w:sz="8" w:space="0"/>
            </w:tcBorders>
            <w:noWrap w:val="0"/>
            <w:vAlign w:val="center"/>
          </w:tcPr>
          <w:p w14:paraId="4D248E3B">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1</w:t>
            </w:r>
          </w:p>
        </w:tc>
        <w:tc>
          <w:tcPr>
            <w:tcW w:w="1552" w:type="dxa"/>
            <w:tcBorders>
              <w:top w:val="single" w:color="auto" w:sz="8" w:space="0"/>
              <w:left w:val="single" w:color="auto" w:sz="8" w:space="0"/>
              <w:bottom w:val="single" w:color="auto" w:sz="8" w:space="0"/>
              <w:right w:val="single" w:color="auto" w:sz="8" w:space="0"/>
            </w:tcBorders>
            <w:noWrap w:val="0"/>
            <w:vAlign w:val="center"/>
          </w:tcPr>
          <w:p w14:paraId="73C19B20">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赛门铁克</w:t>
            </w:r>
          </w:p>
        </w:tc>
        <w:tc>
          <w:tcPr>
            <w:tcW w:w="2615" w:type="dxa"/>
            <w:tcBorders>
              <w:top w:val="single" w:color="auto" w:sz="8" w:space="0"/>
              <w:left w:val="single" w:color="auto" w:sz="8" w:space="0"/>
              <w:bottom w:val="single" w:color="auto" w:sz="8" w:space="0"/>
              <w:right w:val="single" w:color="auto" w:sz="8" w:space="0"/>
            </w:tcBorders>
            <w:noWrap w:val="0"/>
            <w:vAlign w:val="center"/>
          </w:tcPr>
          <w:p w14:paraId="5D43113A">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NBU5220</w:t>
            </w:r>
          </w:p>
        </w:tc>
        <w:tc>
          <w:tcPr>
            <w:tcW w:w="1901" w:type="dxa"/>
            <w:tcBorders>
              <w:top w:val="single" w:color="auto" w:sz="8" w:space="0"/>
              <w:left w:val="single" w:color="auto" w:sz="8" w:space="0"/>
              <w:bottom w:val="single" w:color="auto" w:sz="8" w:space="0"/>
              <w:right w:val="single" w:color="auto" w:sz="8" w:space="0"/>
            </w:tcBorders>
            <w:noWrap w:val="0"/>
            <w:vAlign w:val="center"/>
          </w:tcPr>
          <w:p w14:paraId="34834E60">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NB754TJ</w:t>
            </w:r>
          </w:p>
        </w:tc>
      </w:tr>
      <w:tr w14:paraId="173B5014">
        <w:tblPrEx>
          <w:tblCellMar>
            <w:top w:w="0" w:type="dxa"/>
            <w:left w:w="108" w:type="dxa"/>
            <w:bottom w:w="0" w:type="dxa"/>
            <w:right w:w="108" w:type="dxa"/>
          </w:tblCellMar>
        </w:tblPrEx>
        <w:trPr>
          <w:trHeight w:val="567" w:hRule="atLeast"/>
          <w:jc w:val="center"/>
        </w:trPr>
        <w:tc>
          <w:tcPr>
            <w:tcW w:w="1228" w:type="dxa"/>
            <w:vMerge w:val="restart"/>
            <w:tcBorders>
              <w:left w:val="single" w:color="auto" w:sz="8" w:space="0"/>
              <w:right w:val="single" w:color="auto" w:sz="8" w:space="0"/>
            </w:tcBorders>
            <w:noWrap w:val="0"/>
            <w:vAlign w:val="center"/>
          </w:tcPr>
          <w:p w14:paraId="19302902">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服务器部分</w:t>
            </w:r>
          </w:p>
        </w:tc>
        <w:tc>
          <w:tcPr>
            <w:tcW w:w="945" w:type="dxa"/>
            <w:tcBorders>
              <w:top w:val="single" w:color="auto" w:sz="8" w:space="0"/>
              <w:left w:val="nil"/>
              <w:bottom w:val="single" w:color="auto" w:sz="8" w:space="0"/>
              <w:right w:val="single" w:color="auto" w:sz="8" w:space="0"/>
            </w:tcBorders>
            <w:noWrap w:val="0"/>
            <w:vAlign w:val="center"/>
          </w:tcPr>
          <w:p w14:paraId="3EEA58D9">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w:t>
            </w:r>
          </w:p>
        </w:tc>
        <w:tc>
          <w:tcPr>
            <w:tcW w:w="1552" w:type="dxa"/>
            <w:tcBorders>
              <w:top w:val="single" w:color="auto" w:sz="8" w:space="0"/>
              <w:left w:val="nil"/>
              <w:bottom w:val="single" w:color="auto" w:sz="8" w:space="0"/>
              <w:right w:val="single" w:color="000000" w:sz="8" w:space="0"/>
            </w:tcBorders>
            <w:noWrap w:val="0"/>
            <w:vAlign w:val="center"/>
          </w:tcPr>
          <w:p w14:paraId="36DC331D">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IBM</w:t>
            </w:r>
          </w:p>
        </w:tc>
        <w:tc>
          <w:tcPr>
            <w:tcW w:w="2615" w:type="dxa"/>
            <w:tcBorders>
              <w:top w:val="single" w:color="auto" w:sz="8" w:space="0"/>
              <w:left w:val="nil"/>
              <w:bottom w:val="single" w:color="auto" w:sz="8" w:space="0"/>
              <w:right w:val="single" w:color="000000" w:sz="8" w:space="0"/>
            </w:tcBorders>
            <w:noWrap w:val="0"/>
            <w:vAlign w:val="center"/>
          </w:tcPr>
          <w:p w14:paraId="46E4FC71">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3850</w:t>
            </w:r>
          </w:p>
        </w:tc>
        <w:tc>
          <w:tcPr>
            <w:tcW w:w="1901" w:type="dxa"/>
            <w:tcBorders>
              <w:top w:val="single" w:color="auto" w:sz="8" w:space="0"/>
              <w:left w:val="nil"/>
              <w:bottom w:val="single" w:color="auto" w:sz="8" w:space="0"/>
              <w:right w:val="single" w:color="000000" w:sz="8" w:space="0"/>
            </w:tcBorders>
            <w:noWrap w:val="0"/>
            <w:vAlign w:val="center"/>
          </w:tcPr>
          <w:p w14:paraId="37F4B2A5">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06UOUM0</w:t>
            </w:r>
          </w:p>
        </w:tc>
      </w:tr>
      <w:tr w14:paraId="37B0349F">
        <w:tblPrEx>
          <w:tblCellMar>
            <w:top w:w="0" w:type="dxa"/>
            <w:left w:w="108" w:type="dxa"/>
            <w:bottom w:w="0" w:type="dxa"/>
            <w:right w:w="108" w:type="dxa"/>
          </w:tblCellMar>
        </w:tblPrEx>
        <w:trPr>
          <w:trHeight w:val="567" w:hRule="atLeast"/>
          <w:jc w:val="center"/>
        </w:trPr>
        <w:tc>
          <w:tcPr>
            <w:tcW w:w="1228" w:type="dxa"/>
            <w:vMerge w:val="continue"/>
            <w:tcBorders>
              <w:left w:val="single" w:color="auto" w:sz="8" w:space="0"/>
              <w:right w:val="single" w:color="auto" w:sz="8" w:space="0"/>
            </w:tcBorders>
            <w:noWrap w:val="0"/>
            <w:vAlign w:val="center"/>
          </w:tcPr>
          <w:p w14:paraId="68CA7F14">
            <w:pPr>
              <w:widowControl/>
              <w:jc w:val="center"/>
              <w:rPr>
                <w:rFonts w:hint="eastAsia" w:ascii="宋体" w:hAnsi="宋体" w:eastAsia="宋体" w:cs="宋体"/>
                <w:kern w:val="0"/>
                <w:sz w:val="24"/>
                <w:szCs w:val="24"/>
              </w:rPr>
            </w:pPr>
          </w:p>
        </w:tc>
        <w:tc>
          <w:tcPr>
            <w:tcW w:w="945" w:type="dxa"/>
            <w:tcBorders>
              <w:top w:val="nil"/>
              <w:left w:val="nil"/>
              <w:bottom w:val="single" w:color="auto" w:sz="8" w:space="0"/>
              <w:right w:val="single" w:color="auto" w:sz="8" w:space="0"/>
            </w:tcBorders>
            <w:noWrap w:val="0"/>
            <w:vAlign w:val="center"/>
          </w:tcPr>
          <w:p w14:paraId="189808B5">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w:t>
            </w:r>
          </w:p>
        </w:tc>
        <w:tc>
          <w:tcPr>
            <w:tcW w:w="1552" w:type="dxa"/>
            <w:tcBorders>
              <w:top w:val="single" w:color="auto" w:sz="8" w:space="0"/>
              <w:left w:val="nil"/>
              <w:bottom w:val="single" w:color="auto" w:sz="8" w:space="0"/>
              <w:right w:val="single" w:color="000000" w:sz="8" w:space="0"/>
            </w:tcBorders>
            <w:noWrap w:val="0"/>
            <w:vAlign w:val="center"/>
          </w:tcPr>
          <w:p w14:paraId="56718D26">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IBM</w:t>
            </w:r>
          </w:p>
        </w:tc>
        <w:tc>
          <w:tcPr>
            <w:tcW w:w="2615" w:type="dxa"/>
            <w:tcBorders>
              <w:top w:val="single" w:color="auto" w:sz="8" w:space="0"/>
              <w:left w:val="nil"/>
              <w:bottom w:val="single" w:color="auto" w:sz="8" w:space="0"/>
              <w:right w:val="single" w:color="000000" w:sz="8" w:space="0"/>
            </w:tcBorders>
            <w:noWrap w:val="0"/>
            <w:vAlign w:val="center"/>
          </w:tcPr>
          <w:p w14:paraId="3C5A2135">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3850</w:t>
            </w:r>
          </w:p>
        </w:tc>
        <w:tc>
          <w:tcPr>
            <w:tcW w:w="1901" w:type="dxa"/>
            <w:tcBorders>
              <w:top w:val="single" w:color="auto" w:sz="8" w:space="0"/>
              <w:left w:val="nil"/>
              <w:bottom w:val="single" w:color="auto" w:sz="8" w:space="0"/>
              <w:right w:val="single" w:color="000000" w:sz="8" w:space="0"/>
            </w:tcBorders>
            <w:noWrap w:val="0"/>
            <w:vAlign w:val="center"/>
          </w:tcPr>
          <w:p w14:paraId="6F61836C">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06YERM9</w:t>
            </w:r>
          </w:p>
        </w:tc>
      </w:tr>
      <w:tr w14:paraId="49857760">
        <w:tblPrEx>
          <w:tblCellMar>
            <w:top w:w="0" w:type="dxa"/>
            <w:left w:w="108" w:type="dxa"/>
            <w:bottom w:w="0" w:type="dxa"/>
            <w:right w:w="108" w:type="dxa"/>
          </w:tblCellMar>
        </w:tblPrEx>
        <w:trPr>
          <w:trHeight w:val="567" w:hRule="atLeast"/>
          <w:jc w:val="center"/>
        </w:trPr>
        <w:tc>
          <w:tcPr>
            <w:tcW w:w="1228" w:type="dxa"/>
            <w:vMerge w:val="continue"/>
            <w:tcBorders>
              <w:left w:val="single" w:color="auto" w:sz="8" w:space="0"/>
              <w:right w:val="single" w:color="auto" w:sz="8" w:space="0"/>
            </w:tcBorders>
            <w:noWrap w:val="0"/>
            <w:vAlign w:val="center"/>
          </w:tcPr>
          <w:p w14:paraId="4536FF02">
            <w:pPr>
              <w:widowControl/>
              <w:jc w:val="center"/>
              <w:rPr>
                <w:rFonts w:hint="eastAsia" w:ascii="宋体" w:hAnsi="宋体" w:eastAsia="宋体" w:cs="宋体"/>
                <w:kern w:val="0"/>
                <w:sz w:val="24"/>
                <w:szCs w:val="24"/>
              </w:rPr>
            </w:pPr>
          </w:p>
        </w:tc>
        <w:tc>
          <w:tcPr>
            <w:tcW w:w="945" w:type="dxa"/>
            <w:tcBorders>
              <w:top w:val="nil"/>
              <w:left w:val="nil"/>
              <w:bottom w:val="single" w:color="auto" w:sz="8" w:space="0"/>
              <w:right w:val="single" w:color="auto" w:sz="8" w:space="0"/>
            </w:tcBorders>
            <w:noWrap w:val="0"/>
            <w:vAlign w:val="center"/>
          </w:tcPr>
          <w:p w14:paraId="7831A142">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w:t>
            </w:r>
          </w:p>
        </w:tc>
        <w:tc>
          <w:tcPr>
            <w:tcW w:w="1552" w:type="dxa"/>
            <w:tcBorders>
              <w:top w:val="single" w:color="auto" w:sz="8" w:space="0"/>
              <w:left w:val="nil"/>
              <w:bottom w:val="single" w:color="auto" w:sz="8" w:space="0"/>
              <w:right w:val="single" w:color="000000" w:sz="8" w:space="0"/>
            </w:tcBorders>
            <w:noWrap w:val="0"/>
            <w:vAlign w:val="center"/>
          </w:tcPr>
          <w:p w14:paraId="6B4238DB">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Dell</w:t>
            </w:r>
          </w:p>
        </w:tc>
        <w:tc>
          <w:tcPr>
            <w:tcW w:w="2615" w:type="dxa"/>
            <w:tcBorders>
              <w:top w:val="single" w:color="auto" w:sz="8" w:space="0"/>
              <w:left w:val="nil"/>
              <w:bottom w:val="single" w:color="auto" w:sz="8" w:space="0"/>
              <w:right w:val="single" w:color="000000" w:sz="8" w:space="0"/>
            </w:tcBorders>
            <w:noWrap w:val="0"/>
            <w:vAlign w:val="center"/>
          </w:tcPr>
          <w:p w14:paraId="48C8DE2E">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R320</w:t>
            </w:r>
          </w:p>
        </w:tc>
        <w:tc>
          <w:tcPr>
            <w:tcW w:w="1901" w:type="dxa"/>
            <w:tcBorders>
              <w:top w:val="single" w:color="auto" w:sz="8" w:space="0"/>
              <w:left w:val="nil"/>
              <w:bottom w:val="single" w:color="auto" w:sz="8" w:space="0"/>
              <w:right w:val="single" w:color="000000" w:sz="8" w:space="0"/>
            </w:tcBorders>
            <w:noWrap w:val="0"/>
            <w:vAlign w:val="center"/>
          </w:tcPr>
          <w:p w14:paraId="1AD74209">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3M6Z83X</w:t>
            </w:r>
          </w:p>
        </w:tc>
      </w:tr>
      <w:tr w14:paraId="2079AC55">
        <w:tblPrEx>
          <w:tblCellMar>
            <w:top w:w="0" w:type="dxa"/>
            <w:left w:w="108" w:type="dxa"/>
            <w:bottom w:w="0" w:type="dxa"/>
            <w:right w:w="108" w:type="dxa"/>
          </w:tblCellMar>
        </w:tblPrEx>
        <w:trPr>
          <w:trHeight w:val="567" w:hRule="atLeast"/>
          <w:jc w:val="center"/>
        </w:trPr>
        <w:tc>
          <w:tcPr>
            <w:tcW w:w="1228" w:type="dxa"/>
            <w:vMerge w:val="continue"/>
            <w:tcBorders>
              <w:left w:val="single" w:color="auto" w:sz="8" w:space="0"/>
              <w:right w:val="single" w:color="auto" w:sz="8" w:space="0"/>
            </w:tcBorders>
            <w:noWrap w:val="0"/>
            <w:vAlign w:val="center"/>
          </w:tcPr>
          <w:p w14:paraId="547AA22E">
            <w:pPr>
              <w:widowControl/>
              <w:jc w:val="center"/>
              <w:rPr>
                <w:rFonts w:hint="eastAsia" w:ascii="宋体" w:hAnsi="宋体" w:eastAsia="宋体" w:cs="宋体"/>
                <w:kern w:val="0"/>
                <w:sz w:val="24"/>
                <w:szCs w:val="24"/>
              </w:rPr>
            </w:pPr>
          </w:p>
        </w:tc>
        <w:tc>
          <w:tcPr>
            <w:tcW w:w="945" w:type="dxa"/>
            <w:tcBorders>
              <w:top w:val="nil"/>
              <w:left w:val="nil"/>
              <w:bottom w:val="single" w:color="auto" w:sz="8" w:space="0"/>
              <w:right w:val="single" w:color="auto" w:sz="8" w:space="0"/>
            </w:tcBorders>
            <w:noWrap w:val="0"/>
            <w:vAlign w:val="center"/>
          </w:tcPr>
          <w:p w14:paraId="15302E59">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w:t>
            </w:r>
          </w:p>
        </w:tc>
        <w:tc>
          <w:tcPr>
            <w:tcW w:w="1552" w:type="dxa"/>
            <w:tcBorders>
              <w:top w:val="single" w:color="auto" w:sz="8" w:space="0"/>
              <w:left w:val="nil"/>
              <w:bottom w:val="single" w:color="auto" w:sz="8" w:space="0"/>
              <w:right w:val="single" w:color="000000" w:sz="8" w:space="0"/>
            </w:tcBorders>
            <w:noWrap w:val="0"/>
            <w:vAlign w:val="center"/>
          </w:tcPr>
          <w:p w14:paraId="49FC8733">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超融合节点01</w:t>
            </w:r>
          </w:p>
        </w:tc>
        <w:tc>
          <w:tcPr>
            <w:tcW w:w="2615" w:type="dxa"/>
            <w:tcBorders>
              <w:top w:val="single" w:color="auto" w:sz="8" w:space="0"/>
              <w:left w:val="nil"/>
              <w:bottom w:val="single" w:color="auto" w:sz="8" w:space="0"/>
              <w:right w:val="single" w:color="000000" w:sz="8" w:space="0"/>
            </w:tcBorders>
            <w:noWrap w:val="0"/>
            <w:vAlign w:val="center"/>
          </w:tcPr>
          <w:p w14:paraId="2FE461FC">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EMC SATADOM-MV 3SE</w:t>
            </w:r>
          </w:p>
        </w:tc>
        <w:tc>
          <w:tcPr>
            <w:tcW w:w="1901" w:type="dxa"/>
            <w:tcBorders>
              <w:top w:val="single" w:color="auto" w:sz="8" w:space="0"/>
              <w:left w:val="nil"/>
              <w:bottom w:val="single" w:color="auto" w:sz="8" w:space="0"/>
              <w:right w:val="single" w:color="000000" w:sz="8" w:space="0"/>
            </w:tcBorders>
            <w:noWrap w:val="0"/>
            <w:vAlign w:val="center"/>
          </w:tcPr>
          <w:p w14:paraId="10A348D0">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QCFND172870801</w:t>
            </w:r>
          </w:p>
        </w:tc>
      </w:tr>
      <w:tr w14:paraId="4ECB10E5">
        <w:tblPrEx>
          <w:tblCellMar>
            <w:top w:w="0" w:type="dxa"/>
            <w:left w:w="108" w:type="dxa"/>
            <w:bottom w:w="0" w:type="dxa"/>
            <w:right w:w="108" w:type="dxa"/>
          </w:tblCellMar>
        </w:tblPrEx>
        <w:trPr>
          <w:trHeight w:val="567" w:hRule="atLeast"/>
          <w:jc w:val="center"/>
        </w:trPr>
        <w:tc>
          <w:tcPr>
            <w:tcW w:w="1228" w:type="dxa"/>
            <w:vMerge w:val="continue"/>
            <w:tcBorders>
              <w:left w:val="single" w:color="auto" w:sz="8" w:space="0"/>
              <w:right w:val="single" w:color="auto" w:sz="8" w:space="0"/>
            </w:tcBorders>
            <w:noWrap w:val="0"/>
            <w:vAlign w:val="center"/>
          </w:tcPr>
          <w:p w14:paraId="3D830407">
            <w:pPr>
              <w:widowControl/>
              <w:jc w:val="center"/>
              <w:rPr>
                <w:rFonts w:hint="eastAsia" w:ascii="宋体" w:hAnsi="宋体" w:eastAsia="宋体" w:cs="宋体"/>
                <w:kern w:val="0"/>
                <w:sz w:val="24"/>
                <w:szCs w:val="24"/>
              </w:rPr>
            </w:pPr>
          </w:p>
        </w:tc>
        <w:tc>
          <w:tcPr>
            <w:tcW w:w="945" w:type="dxa"/>
            <w:tcBorders>
              <w:top w:val="single" w:color="auto" w:sz="8" w:space="0"/>
              <w:left w:val="nil"/>
              <w:bottom w:val="single" w:color="auto" w:sz="8" w:space="0"/>
              <w:right w:val="single" w:color="auto" w:sz="8" w:space="0"/>
            </w:tcBorders>
            <w:noWrap w:val="0"/>
            <w:vAlign w:val="center"/>
          </w:tcPr>
          <w:p w14:paraId="0B25038B">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w:t>
            </w:r>
          </w:p>
        </w:tc>
        <w:tc>
          <w:tcPr>
            <w:tcW w:w="1552" w:type="dxa"/>
            <w:tcBorders>
              <w:top w:val="single" w:color="auto" w:sz="8" w:space="0"/>
              <w:left w:val="nil"/>
              <w:bottom w:val="single" w:color="auto" w:sz="8" w:space="0"/>
              <w:right w:val="single" w:color="000000" w:sz="8" w:space="0"/>
            </w:tcBorders>
            <w:noWrap w:val="0"/>
            <w:vAlign w:val="center"/>
          </w:tcPr>
          <w:p w14:paraId="25513F21">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超融合节点02</w:t>
            </w:r>
          </w:p>
        </w:tc>
        <w:tc>
          <w:tcPr>
            <w:tcW w:w="2615" w:type="dxa"/>
            <w:tcBorders>
              <w:top w:val="single" w:color="auto" w:sz="8" w:space="0"/>
              <w:left w:val="nil"/>
              <w:bottom w:val="single" w:color="auto" w:sz="8" w:space="0"/>
              <w:right w:val="single" w:color="000000" w:sz="8" w:space="0"/>
            </w:tcBorders>
            <w:noWrap w:val="0"/>
            <w:vAlign w:val="center"/>
          </w:tcPr>
          <w:p w14:paraId="72EABAEA">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EMC SATADOM-MV 3SE</w:t>
            </w:r>
          </w:p>
        </w:tc>
        <w:tc>
          <w:tcPr>
            <w:tcW w:w="1901" w:type="dxa"/>
            <w:tcBorders>
              <w:top w:val="single" w:color="auto" w:sz="8" w:space="0"/>
              <w:left w:val="nil"/>
              <w:bottom w:val="single" w:color="auto" w:sz="8" w:space="0"/>
              <w:right w:val="single" w:color="000000" w:sz="8" w:space="0"/>
            </w:tcBorders>
            <w:noWrap w:val="0"/>
            <w:vAlign w:val="center"/>
          </w:tcPr>
          <w:p w14:paraId="062FBA30">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QCFND172870802</w:t>
            </w:r>
          </w:p>
        </w:tc>
      </w:tr>
      <w:tr w14:paraId="70C93254">
        <w:tblPrEx>
          <w:tblCellMar>
            <w:top w:w="0" w:type="dxa"/>
            <w:left w:w="108" w:type="dxa"/>
            <w:bottom w:w="0" w:type="dxa"/>
            <w:right w:w="108" w:type="dxa"/>
          </w:tblCellMar>
        </w:tblPrEx>
        <w:trPr>
          <w:trHeight w:val="567" w:hRule="atLeast"/>
          <w:jc w:val="center"/>
        </w:trPr>
        <w:tc>
          <w:tcPr>
            <w:tcW w:w="1228" w:type="dxa"/>
            <w:vMerge w:val="continue"/>
            <w:tcBorders>
              <w:left w:val="single" w:color="auto" w:sz="8" w:space="0"/>
              <w:right w:val="single" w:color="auto" w:sz="8" w:space="0"/>
            </w:tcBorders>
            <w:noWrap w:val="0"/>
            <w:vAlign w:val="center"/>
          </w:tcPr>
          <w:p w14:paraId="3BB94FE1">
            <w:pPr>
              <w:widowControl/>
              <w:jc w:val="center"/>
              <w:rPr>
                <w:rFonts w:hint="eastAsia" w:ascii="宋体" w:hAnsi="宋体" w:eastAsia="宋体" w:cs="宋体"/>
                <w:kern w:val="0"/>
                <w:sz w:val="24"/>
                <w:szCs w:val="24"/>
              </w:rPr>
            </w:pPr>
          </w:p>
        </w:tc>
        <w:tc>
          <w:tcPr>
            <w:tcW w:w="945" w:type="dxa"/>
            <w:tcBorders>
              <w:top w:val="single" w:color="auto" w:sz="8" w:space="0"/>
              <w:left w:val="nil"/>
              <w:bottom w:val="single" w:color="auto" w:sz="8" w:space="0"/>
              <w:right w:val="single" w:color="auto" w:sz="8" w:space="0"/>
            </w:tcBorders>
            <w:noWrap w:val="0"/>
            <w:vAlign w:val="center"/>
          </w:tcPr>
          <w:p w14:paraId="52020582">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6</w:t>
            </w:r>
          </w:p>
        </w:tc>
        <w:tc>
          <w:tcPr>
            <w:tcW w:w="1552" w:type="dxa"/>
            <w:tcBorders>
              <w:top w:val="single" w:color="auto" w:sz="8" w:space="0"/>
              <w:left w:val="nil"/>
              <w:bottom w:val="single" w:color="auto" w:sz="8" w:space="0"/>
              <w:right w:val="single" w:color="000000" w:sz="8" w:space="0"/>
            </w:tcBorders>
            <w:noWrap w:val="0"/>
            <w:vAlign w:val="center"/>
          </w:tcPr>
          <w:p w14:paraId="53092B5A">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超融合节点03</w:t>
            </w:r>
          </w:p>
        </w:tc>
        <w:tc>
          <w:tcPr>
            <w:tcW w:w="2615" w:type="dxa"/>
            <w:tcBorders>
              <w:top w:val="single" w:color="auto" w:sz="8" w:space="0"/>
              <w:left w:val="nil"/>
              <w:bottom w:val="single" w:color="auto" w:sz="8" w:space="0"/>
              <w:right w:val="single" w:color="000000" w:sz="8" w:space="0"/>
            </w:tcBorders>
            <w:noWrap w:val="0"/>
            <w:vAlign w:val="center"/>
          </w:tcPr>
          <w:p w14:paraId="6222023B">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EMC SATADOM-MV 3SE</w:t>
            </w:r>
          </w:p>
        </w:tc>
        <w:tc>
          <w:tcPr>
            <w:tcW w:w="1901" w:type="dxa"/>
            <w:tcBorders>
              <w:top w:val="single" w:color="auto" w:sz="8" w:space="0"/>
              <w:left w:val="nil"/>
              <w:bottom w:val="single" w:color="auto" w:sz="8" w:space="0"/>
              <w:right w:val="single" w:color="000000" w:sz="8" w:space="0"/>
            </w:tcBorders>
            <w:noWrap w:val="0"/>
            <w:vAlign w:val="center"/>
          </w:tcPr>
          <w:p w14:paraId="0CFE42EB">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QCFND172870803</w:t>
            </w:r>
          </w:p>
        </w:tc>
      </w:tr>
      <w:tr w14:paraId="3C16C8FB">
        <w:tblPrEx>
          <w:tblCellMar>
            <w:top w:w="0" w:type="dxa"/>
            <w:left w:w="108" w:type="dxa"/>
            <w:bottom w:w="0" w:type="dxa"/>
            <w:right w:w="108" w:type="dxa"/>
          </w:tblCellMar>
        </w:tblPrEx>
        <w:trPr>
          <w:trHeight w:val="567" w:hRule="atLeast"/>
          <w:jc w:val="center"/>
        </w:trPr>
        <w:tc>
          <w:tcPr>
            <w:tcW w:w="1228" w:type="dxa"/>
            <w:vMerge w:val="continue"/>
            <w:tcBorders>
              <w:left w:val="single" w:color="auto" w:sz="8" w:space="0"/>
              <w:right w:val="single" w:color="auto" w:sz="8" w:space="0"/>
            </w:tcBorders>
            <w:noWrap w:val="0"/>
            <w:vAlign w:val="center"/>
          </w:tcPr>
          <w:p w14:paraId="3EAE1CF0">
            <w:pPr>
              <w:widowControl/>
              <w:jc w:val="center"/>
              <w:rPr>
                <w:rFonts w:hint="eastAsia" w:ascii="宋体" w:hAnsi="宋体" w:eastAsia="宋体" w:cs="宋体"/>
                <w:kern w:val="0"/>
                <w:sz w:val="24"/>
                <w:szCs w:val="24"/>
              </w:rPr>
            </w:pPr>
          </w:p>
        </w:tc>
        <w:tc>
          <w:tcPr>
            <w:tcW w:w="945" w:type="dxa"/>
            <w:tcBorders>
              <w:top w:val="single" w:color="auto" w:sz="8" w:space="0"/>
              <w:left w:val="nil"/>
              <w:bottom w:val="single" w:color="auto" w:sz="8" w:space="0"/>
              <w:right w:val="single" w:color="auto" w:sz="8" w:space="0"/>
            </w:tcBorders>
            <w:noWrap w:val="0"/>
            <w:vAlign w:val="center"/>
          </w:tcPr>
          <w:p w14:paraId="2B4D414B">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7</w:t>
            </w:r>
          </w:p>
        </w:tc>
        <w:tc>
          <w:tcPr>
            <w:tcW w:w="1552" w:type="dxa"/>
            <w:tcBorders>
              <w:top w:val="single" w:color="auto" w:sz="8" w:space="0"/>
              <w:left w:val="nil"/>
              <w:bottom w:val="single" w:color="auto" w:sz="8" w:space="0"/>
              <w:right w:val="single" w:color="000000" w:sz="8" w:space="0"/>
            </w:tcBorders>
            <w:noWrap w:val="0"/>
            <w:vAlign w:val="center"/>
          </w:tcPr>
          <w:p w14:paraId="24BCCA27">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超融合节点04</w:t>
            </w:r>
          </w:p>
        </w:tc>
        <w:tc>
          <w:tcPr>
            <w:tcW w:w="2615" w:type="dxa"/>
            <w:tcBorders>
              <w:top w:val="single" w:color="auto" w:sz="8" w:space="0"/>
              <w:left w:val="nil"/>
              <w:bottom w:val="single" w:color="auto" w:sz="8" w:space="0"/>
              <w:right w:val="single" w:color="000000" w:sz="8" w:space="0"/>
            </w:tcBorders>
            <w:noWrap w:val="0"/>
            <w:vAlign w:val="center"/>
          </w:tcPr>
          <w:p w14:paraId="01B84741">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EMC SATADOM-MV 3SE</w:t>
            </w:r>
          </w:p>
        </w:tc>
        <w:tc>
          <w:tcPr>
            <w:tcW w:w="1901" w:type="dxa"/>
            <w:tcBorders>
              <w:top w:val="single" w:color="auto" w:sz="8" w:space="0"/>
              <w:left w:val="nil"/>
              <w:bottom w:val="single" w:color="auto" w:sz="8" w:space="0"/>
              <w:right w:val="single" w:color="000000" w:sz="8" w:space="0"/>
            </w:tcBorders>
            <w:noWrap w:val="0"/>
            <w:vAlign w:val="center"/>
          </w:tcPr>
          <w:p w14:paraId="216B3EC0">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QCFND172870804</w:t>
            </w:r>
          </w:p>
        </w:tc>
      </w:tr>
      <w:tr w14:paraId="4A2240E7">
        <w:tblPrEx>
          <w:tblCellMar>
            <w:top w:w="0" w:type="dxa"/>
            <w:left w:w="108" w:type="dxa"/>
            <w:bottom w:w="0" w:type="dxa"/>
            <w:right w:w="108" w:type="dxa"/>
          </w:tblCellMar>
        </w:tblPrEx>
        <w:trPr>
          <w:trHeight w:val="567" w:hRule="atLeast"/>
          <w:jc w:val="center"/>
        </w:trPr>
        <w:tc>
          <w:tcPr>
            <w:tcW w:w="1228" w:type="dxa"/>
            <w:vMerge w:val="continue"/>
            <w:tcBorders>
              <w:left w:val="single" w:color="auto" w:sz="8" w:space="0"/>
              <w:right w:val="single" w:color="auto" w:sz="8" w:space="0"/>
            </w:tcBorders>
            <w:noWrap w:val="0"/>
            <w:vAlign w:val="center"/>
          </w:tcPr>
          <w:p w14:paraId="35A5AA4E">
            <w:pPr>
              <w:widowControl/>
              <w:jc w:val="center"/>
              <w:rPr>
                <w:rFonts w:hint="eastAsia" w:ascii="宋体" w:hAnsi="宋体" w:eastAsia="宋体" w:cs="宋体"/>
                <w:kern w:val="0"/>
                <w:sz w:val="24"/>
                <w:szCs w:val="24"/>
              </w:rPr>
            </w:pPr>
          </w:p>
        </w:tc>
        <w:tc>
          <w:tcPr>
            <w:tcW w:w="945" w:type="dxa"/>
            <w:tcBorders>
              <w:top w:val="single" w:color="auto" w:sz="8" w:space="0"/>
              <w:left w:val="nil"/>
              <w:bottom w:val="single" w:color="auto" w:sz="8" w:space="0"/>
              <w:right w:val="single" w:color="auto" w:sz="8" w:space="0"/>
            </w:tcBorders>
            <w:noWrap w:val="0"/>
            <w:vAlign w:val="center"/>
          </w:tcPr>
          <w:p w14:paraId="03A477CF">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8</w:t>
            </w:r>
          </w:p>
        </w:tc>
        <w:tc>
          <w:tcPr>
            <w:tcW w:w="1552" w:type="dxa"/>
            <w:tcBorders>
              <w:top w:val="single" w:color="auto" w:sz="8" w:space="0"/>
              <w:left w:val="nil"/>
              <w:bottom w:val="single" w:color="auto" w:sz="8" w:space="0"/>
              <w:right w:val="single" w:color="000000" w:sz="8" w:space="0"/>
            </w:tcBorders>
            <w:noWrap w:val="0"/>
            <w:vAlign w:val="center"/>
          </w:tcPr>
          <w:p w14:paraId="516318B8">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联想</w:t>
            </w:r>
          </w:p>
        </w:tc>
        <w:tc>
          <w:tcPr>
            <w:tcW w:w="2615" w:type="dxa"/>
            <w:tcBorders>
              <w:top w:val="single" w:color="auto" w:sz="8" w:space="0"/>
              <w:left w:val="nil"/>
              <w:bottom w:val="single" w:color="auto" w:sz="8" w:space="0"/>
              <w:right w:val="single" w:color="000000" w:sz="8" w:space="0"/>
            </w:tcBorders>
            <w:noWrap w:val="0"/>
            <w:vAlign w:val="center"/>
          </w:tcPr>
          <w:p w14:paraId="643AE562">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SR550</w:t>
            </w:r>
          </w:p>
        </w:tc>
        <w:tc>
          <w:tcPr>
            <w:tcW w:w="1901" w:type="dxa"/>
            <w:tcBorders>
              <w:top w:val="single" w:color="auto" w:sz="8" w:space="0"/>
              <w:left w:val="nil"/>
              <w:bottom w:val="single" w:color="auto" w:sz="8" w:space="0"/>
              <w:right w:val="single" w:color="000000" w:sz="8" w:space="0"/>
            </w:tcBorders>
            <w:noWrap w:val="0"/>
            <w:vAlign w:val="center"/>
          </w:tcPr>
          <w:p w14:paraId="0345DA6C">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J302531WL</w:t>
            </w:r>
          </w:p>
        </w:tc>
      </w:tr>
      <w:tr w14:paraId="4FF22D4E">
        <w:tblPrEx>
          <w:tblCellMar>
            <w:top w:w="0" w:type="dxa"/>
            <w:left w:w="108" w:type="dxa"/>
            <w:bottom w:w="0" w:type="dxa"/>
            <w:right w:w="108" w:type="dxa"/>
          </w:tblCellMar>
        </w:tblPrEx>
        <w:trPr>
          <w:trHeight w:val="567" w:hRule="atLeast"/>
          <w:jc w:val="center"/>
        </w:trPr>
        <w:tc>
          <w:tcPr>
            <w:tcW w:w="1228" w:type="dxa"/>
            <w:vMerge w:val="continue"/>
            <w:tcBorders>
              <w:left w:val="single" w:color="auto" w:sz="8" w:space="0"/>
              <w:right w:val="single" w:color="auto" w:sz="8" w:space="0"/>
            </w:tcBorders>
            <w:noWrap w:val="0"/>
            <w:vAlign w:val="center"/>
          </w:tcPr>
          <w:p w14:paraId="0865E3CB">
            <w:pPr>
              <w:widowControl/>
              <w:jc w:val="center"/>
              <w:rPr>
                <w:rFonts w:hint="eastAsia" w:ascii="宋体" w:hAnsi="宋体" w:eastAsia="宋体" w:cs="宋体"/>
                <w:kern w:val="0"/>
                <w:sz w:val="24"/>
                <w:szCs w:val="24"/>
              </w:rPr>
            </w:pPr>
          </w:p>
        </w:tc>
        <w:tc>
          <w:tcPr>
            <w:tcW w:w="945" w:type="dxa"/>
            <w:tcBorders>
              <w:top w:val="single" w:color="auto" w:sz="8" w:space="0"/>
              <w:left w:val="nil"/>
              <w:bottom w:val="single" w:color="auto" w:sz="8" w:space="0"/>
              <w:right w:val="single" w:color="auto" w:sz="8" w:space="0"/>
            </w:tcBorders>
            <w:noWrap w:val="0"/>
            <w:vAlign w:val="center"/>
          </w:tcPr>
          <w:p w14:paraId="55473E84">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9</w:t>
            </w:r>
          </w:p>
        </w:tc>
        <w:tc>
          <w:tcPr>
            <w:tcW w:w="1552" w:type="dxa"/>
            <w:tcBorders>
              <w:top w:val="single" w:color="auto" w:sz="8" w:space="0"/>
              <w:left w:val="nil"/>
              <w:bottom w:val="single" w:color="auto" w:sz="8" w:space="0"/>
              <w:right w:val="single" w:color="000000" w:sz="8" w:space="0"/>
            </w:tcBorders>
            <w:noWrap w:val="0"/>
            <w:vAlign w:val="center"/>
          </w:tcPr>
          <w:p w14:paraId="5A38C385">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华为</w:t>
            </w:r>
          </w:p>
        </w:tc>
        <w:tc>
          <w:tcPr>
            <w:tcW w:w="2615" w:type="dxa"/>
            <w:tcBorders>
              <w:top w:val="single" w:color="auto" w:sz="8" w:space="0"/>
              <w:left w:val="nil"/>
              <w:bottom w:val="single" w:color="auto" w:sz="8" w:space="0"/>
              <w:right w:val="single" w:color="000000" w:sz="8" w:space="0"/>
            </w:tcBorders>
            <w:noWrap w:val="0"/>
            <w:vAlign w:val="center"/>
          </w:tcPr>
          <w:p w14:paraId="1417684F">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E9000</w:t>
            </w:r>
            <w:r>
              <w:rPr>
                <w:rFonts w:hint="eastAsia" w:ascii="宋体" w:hAnsi="宋体" w:eastAsia="宋体" w:cs="宋体"/>
                <w:kern w:val="0"/>
                <w:sz w:val="24"/>
                <w:szCs w:val="24"/>
              </w:rPr>
              <w:br w:type="textWrapping"/>
            </w:r>
            <w:r>
              <w:rPr>
                <w:rFonts w:hint="eastAsia" w:ascii="宋体" w:hAnsi="宋体" w:eastAsia="宋体" w:cs="宋体"/>
                <w:kern w:val="0"/>
                <w:sz w:val="24"/>
                <w:szCs w:val="24"/>
              </w:rPr>
              <w:t>8刀用6刀</w:t>
            </w:r>
          </w:p>
        </w:tc>
        <w:tc>
          <w:tcPr>
            <w:tcW w:w="1901" w:type="dxa"/>
            <w:tcBorders>
              <w:top w:val="single" w:color="auto" w:sz="8" w:space="0"/>
              <w:left w:val="nil"/>
              <w:bottom w:val="single" w:color="auto" w:sz="8" w:space="0"/>
              <w:right w:val="single" w:color="000000" w:sz="8" w:space="0"/>
            </w:tcBorders>
            <w:noWrap w:val="0"/>
            <w:vAlign w:val="center"/>
          </w:tcPr>
          <w:p w14:paraId="4E02A530">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HF983068</w:t>
            </w:r>
          </w:p>
        </w:tc>
      </w:tr>
      <w:tr w14:paraId="3BA04AA9">
        <w:tblPrEx>
          <w:tblCellMar>
            <w:top w:w="0" w:type="dxa"/>
            <w:left w:w="108" w:type="dxa"/>
            <w:bottom w:w="0" w:type="dxa"/>
            <w:right w:w="108" w:type="dxa"/>
          </w:tblCellMar>
        </w:tblPrEx>
        <w:trPr>
          <w:trHeight w:val="567" w:hRule="atLeast"/>
          <w:jc w:val="center"/>
        </w:trPr>
        <w:tc>
          <w:tcPr>
            <w:tcW w:w="1228" w:type="dxa"/>
            <w:vMerge w:val="continue"/>
            <w:tcBorders>
              <w:left w:val="single" w:color="auto" w:sz="8" w:space="0"/>
              <w:right w:val="single" w:color="auto" w:sz="8" w:space="0"/>
            </w:tcBorders>
            <w:noWrap w:val="0"/>
            <w:vAlign w:val="center"/>
          </w:tcPr>
          <w:p w14:paraId="77A7E749">
            <w:pPr>
              <w:widowControl/>
              <w:jc w:val="center"/>
              <w:rPr>
                <w:rFonts w:hint="eastAsia" w:ascii="宋体" w:hAnsi="宋体" w:eastAsia="宋体" w:cs="宋体"/>
                <w:kern w:val="0"/>
                <w:sz w:val="24"/>
                <w:szCs w:val="24"/>
              </w:rPr>
            </w:pPr>
          </w:p>
        </w:tc>
        <w:tc>
          <w:tcPr>
            <w:tcW w:w="945" w:type="dxa"/>
            <w:tcBorders>
              <w:top w:val="single" w:color="auto" w:sz="8" w:space="0"/>
              <w:left w:val="nil"/>
              <w:bottom w:val="single" w:color="auto" w:sz="8" w:space="0"/>
              <w:right w:val="single" w:color="auto" w:sz="8" w:space="0"/>
            </w:tcBorders>
            <w:noWrap w:val="0"/>
            <w:vAlign w:val="center"/>
          </w:tcPr>
          <w:p w14:paraId="288E8B82">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10</w:t>
            </w:r>
          </w:p>
        </w:tc>
        <w:tc>
          <w:tcPr>
            <w:tcW w:w="1552" w:type="dxa"/>
            <w:tcBorders>
              <w:top w:val="single" w:color="auto" w:sz="8" w:space="0"/>
              <w:left w:val="nil"/>
              <w:bottom w:val="single" w:color="auto" w:sz="8" w:space="0"/>
              <w:right w:val="single" w:color="000000" w:sz="8" w:space="0"/>
            </w:tcBorders>
            <w:noWrap w:val="0"/>
            <w:vAlign w:val="center"/>
          </w:tcPr>
          <w:p w14:paraId="45DEB73B">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Macro</w:t>
            </w:r>
            <w:r>
              <w:rPr>
                <w:rFonts w:hint="eastAsia" w:ascii="宋体" w:hAnsi="宋体" w:eastAsia="宋体" w:cs="宋体"/>
                <w:kern w:val="0"/>
                <w:sz w:val="24"/>
                <w:szCs w:val="24"/>
              </w:rPr>
              <w:br w:type="textWrapping"/>
            </w:r>
            <w:r>
              <w:rPr>
                <w:rFonts w:hint="eastAsia" w:ascii="宋体" w:hAnsi="宋体" w:eastAsia="宋体" w:cs="宋体"/>
                <w:kern w:val="0"/>
                <w:sz w:val="24"/>
                <w:szCs w:val="24"/>
              </w:rPr>
              <w:t>Union</w:t>
            </w:r>
          </w:p>
        </w:tc>
        <w:tc>
          <w:tcPr>
            <w:tcW w:w="2615" w:type="dxa"/>
            <w:tcBorders>
              <w:top w:val="single" w:color="auto" w:sz="8" w:space="0"/>
              <w:left w:val="nil"/>
              <w:bottom w:val="single" w:color="auto" w:sz="8" w:space="0"/>
              <w:right w:val="single" w:color="000000" w:sz="8" w:space="0"/>
            </w:tcBorders>
            <w:noWrap w:val="0"/>
            <w:vAlign w:val="center"/>
          </w:tcPr>
          <w:p w14:paraId="268CB469">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动环服务器</w:t>
            </w:r>
          </w:p>
        </w:tc>
        <w:tc>
          <w:tcPr>
            <w:tcW w:w="1901" w:type="dxa"/>
            <w:tcBorders>
              <w:top w:val="single" w:color="auto" w:sz="8" w:space="0"/>
              <w:left w:val="nil"/>
              <w:bottom w:val="single" w:color="auto" w:sz="8" w:space="0"/>
              <w:right w:val="single" w:color="000000" w:sz="8" w:space="0"/>
            </w:tcBorders>
            <w:shd w:val="clear" w:color="auto" w:fill="auto"/>
            <w:noWrap w:val="0"/>
            <w:vAlign w:val="center"/>
          </w:tcPr>
          <w:p w14:paraId="383DFC48">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MU11216041901</w:t>
            </w:r>
          </w:p>
        </w:tc>
      </w:tr>
      <w:tr w14:paraId="198B8B8E">
        <w:tblPrEx>
          <w:tblCellMar>
            <w:top w:w="0" w:type="dxa"/>
            <w:left w:w="108" w:type="dxa"/>
            <w:bottom w:w="0" w:type="dxa"/>
            <w:right w:w="108" w:type="dxa"/>
          </w:tblCellMar>
        </w:tblPrEx>
        <w:trPr>
          <w:trHeight w:val="567" w:hRule="atLeast"/>
          <w:jc w:val="center"/>
        </w:trPr>
        <w:tc>
          <w:tcPr>
            <w:tcW w:w="1228" w:type="dxa"/>
            <w:tcBorders>
              <w:left w:val="single" w:color="auto" w:sz="8" w:space="0"/>
              <w:right w:val="single" w:color="auto" w:sz="8" w:space="0"/>
            </w:tcBorders>
            <w:noWrap w:val="0"/>
            <w:vAlign w:val="center"/>
          </w:tcPr>
          <w:p w14:paraId="643830A2">
            <w:pPr>
              <w:widowControl/>
              <w:jc w:val="center"/>
              <w:rPr>
                <w:rFonts w:hint="eastAsia" w:ascii="宋体" w:hAnsi="宋体" w:eastAsia="宋体" w:cs="宋体"/>
                <w:kern w:val="0"/>
                <w:sz w:val="24"/>
                <w:szCs w:val="24"/>
              </w:rPr>
            </w:pPr>
          </w:p>
        </w:tc>
        <w:tc>
          <w:tcPr>
            <w:tcW w:w="945" w:type="dxa"/>
            <w:tcBorders>
              <w:top w:val="single" w:color="auto" w:sz="8" w:space="0"/>
              <w:left w:val="nil"/>
              <w:bottom w:val="single" w:color="auto" w:sz="8" w:space="0"/>
              <w:right w:val="single" w:color="auto" w:sz="8" w:space="0"/>
            </w:tcBorders>
            <w:shd w:val="clear" w:color="auto" w:fill="auto"/>
            <w:noWrap w:val="0"/>
            <w:vAlign w:val="center"/>
          </w:tcPr>
          <w:p w14:paraId="60273179">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11</w:t>
            </w:r>
          </w:p>
        </w:tc>
        <w:tc>
          <w:tcPr>
            <w:tcW w:w="1552" w:type="dxa"/>
            <w:tcBorders>
              <w:top w:val="single" w:color="auto" w:sz="8" w:space="0"/>
              <w:left w:val="nil"/>
              <w:bottom w:val="single" w:color="auto" w:sz="8" w:space="0"/>
              <w:right w:val="single" w:color="000000" w:sz="8" w:space="0"/>
            </w:tcBorders>
            <w:shd w:val="clear" w:color="auto" w:fill="auto"/>
            <w:noWrap w:val="0"/>
            <w:vAlign w:val="center"/>
          </w:tcPr>
          <w:p w14:paraId="08505C14">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联想</w:t>
            </w:r>
          </w:p>
        </w:tc>
        <w:tc>
          <w:tcPr>
            <w:tcW w:w="2615" w:type="dxa"/>
            <w:tcBorders>
              <w:top w:val="single" w:color="auto" w:sz="8" w:space="0"/>
              <w:left w:val="nil"/>
              <w:bottom w:val="single" w:color="auto" w:sz="8" w:space="0"/>
              <w:right w:val="single" w:color="000000" w:sz="8" w:space="0"/>
            </w:tcBorders>
            <w:shd w:val="clear" w:color="auto" w:fill="auto"/>
            <w:noWrap w:val="0"/>
            <w:vAlign w:val="center"/>
          </w:tcPr>
          <w:p w14:paraId="72E43E4E">
            <w:pPr>
              <w:keepNext w:val="0"/>
              <w:keepLines w:val="0"/>
              <w:widowControl/>
              <w:suppressLineNumbers w:val="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SR658H V2-738</w:t>
            </w:r>
          </w:p>
        </w:tc>
        <w:tc>
          <w:tcPr>
            <w:tcW w:w="1901" w:type="dxa"/>
            <w:tcBorders>
              <w:top w:val="single" w:color="auto" w:sz="8" w:space="0"/>
              <w:left w:val="nil"/>
              <w:bottom w:val="single" w:color="auto" w:sz="8" w:space="0"/>
              <w:right w:val="single" w:color="000000" w:sz="8" w:space="0"/>
            </w:tcBorders>
            <w:shd w:val="clear" w:color="auto" w:fill="auto"/>
            <w:noWrap w:val="0"/>
            <w:vAlign w:val="center"/>
          </w:tcPr>
          <w:p w14:paraId="512EE49B">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KT01B1TS</w:t>
            </w:r>
          </w:p>
        </w:tc>
      </w:tr>
    </w:tbl>
    <w:p w14:paraId="233CDD64">
      <w:pPr>
        <w:spacing w:line="360" w:lineRule="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     2.软件部分清单</w:t>
      </w:r>
    </w:p>
    <w:tbl>
      <w:tblPr>
        <w:tblStyle w:val="11"/>
        <w:tblW w:w="8264" w:type="dxa"/>
        <w:jc w:val="center"/>
        <w:tblLayout w:type="fixed"/>
        <w:tblCellMar>
          <w:top w:w="0" w:type="dxa"/>
          <w:left w:w="108" w:type="dxa"/>
          <w:bottom w:w="0" w:type="dxa"/>
          <w:right w:w="108" w:type="dxa"/>
        </w:tblCellMar>
      </w:tblPr>
      <w:tblGrid>
        <w:gridCol w:w="1228"/>
        <w:gridCol w:w="945"/>
        <w:gridCol w:w="2928"/>
        <w:gridCol w:w="1848"/>
        <w:gridCol w:w="1315"/>
      </w:tblGrid>
      <w:tr w14:paraId="5707E67A">
        <w:tblPrEx>
          <w:tblCellMar>
            <w:top w:w="0" w:type="dxa"/>
            <w:left w:w="108" w:type="dxa"/>
            <w:bottom w:w="0" w:type="dxa"/>
            <w:right w:w="108" w:type="dxa"/>
          </w:tblCellMar>
        </w:tblPrEx>
        <w:trPr>
          <w:trHeight w:val="567" w:hRule="atLeast"/>
          <w:jc w:val="center"/>
        </w:trPr>
        <w:tc>
          <w:tcPr>
            <w:tcW w:w="1228" w:type="dxa"/>
            <w:tcBorders>
              <w:top w:val="single" w:color="auto" w:sz="4" w:space="0"/>
              <w:left w:val="single" w:color="auto" w:sz="4" w:space="0"/>
              <w:bottom w:val="single" w:color="auto" w:sz="4" w:space="0"/>
              <w:right w:val="single" w:color="auto" w:sz="8" w:space="0"/>
            </w:tcBorders>
            <w:noWrap w:val="0"/>
            <w:vAlign w:val="center"/>
          </w:tcPr>
          <w:p w14:paraId="32AA3BA0">
            <w:pPr>
              <w:widowControl/>
              <w:jc w:val="center"/>
              <w:rPr>
                <w:rFonts w:hint="eastAsia" w:ascii="宋体" w:hAnsi="宋体" w:eastAsia="宋体" w:cs="宋体"/>
                <w:b/>
                <w:bCs/>
                <w:kern w:val="0"/>
                <w:sz w:val="24"/>
                <w:szCs w:val="24"/>
              </w:rPr>
            </w:pPr>
            <w:r>
              <w:rPr>
                <w:rFonts w:hint="eastAsia" w:ascii="宋体" w:hAnsi="宋体" w:eastAsia="宋体" w:cs="宋体"/>
                <w:b/>
                <w:bCs/>
                <w:kern w:val="0"/>
                <w:sz w:val="24"/>
                <w:szCs w:val="24"/>
              </w:rPr>
              <w:t>软件类别</w:t>
            </w:r>
          </w:p>
        </w:tc>
        <w:tc>
          <w:tcPr>
            <w:tcW w:w="945" w:type="dxa"/>
            <w:tcBorders>
              <w:top w:val="single" w:color="auto" w:sz="4" w:space="0"/>
              <w:left w:val="nil"/>
              <w:bottom w:val="single" w:color="auto" w:sz="4" w:space="0"/>
              <w:right w:val="single" w:color="auto" w:sz="4" w:space="0"/>
            </w:tcBorders>
            <w:noWrap w:val="0"/>
            <w:vAlign w:val="center"/>
          </w:tcPr>
          <w:p w14:paraId="34C65F26">
            <w:pPr>
              <w:widowControl/>
              <w:jc w:val="center"/>
              <w:rPr>
                <w:rFonts w:hint="eastAsia" w:ascii="宋体" w:hAnsi="宋体" w:eastAsia="宋体" w:cs="宋体"/>
                <w:b/>
                <w:bCs/>
                <w:kern w:val="0"/>
                <w:sz w:val="24"/>
                <w:szCs w:val="24"/>
              </w:rPr>
            </w:pPr>
            <w:r>
              <w:rPr>
                <w:rFonts w:hint="eastAsia" w:ascii="宋体" w:hAnsi="宋体" w:eastAsia="宋体" w:cs="宋体"/>
                <w:b/>
                <w:bCs/>
                <w:kern w:val="0"/>
                <w:sz w:val="24"/>
                <w:szCs w:val="24"/>
              </w:rPr>
              <w:t>序号</w:t>
            </w:r>
          </w:p>
        </w:tc>
        <w:tc>
          <w:tcPr>
            <w:tcW w:w="2928" w:type="dxa"/>
            <w:tcBorders>
              <w:top w:val="single" w:color="auto" w:sz="8" w:space="0"/>
              <w:left w:val="single" w:color="auto" w:sz="4" w:space="0"/>
              <w:bottom w:val="single" w:color="auto" w:sz="8" w:space="0"/>
              <w:right w:val="single" w:color="000000" w:sz="8" w:space="0"/>
            </w:tcBorders>
            <w:noWrap w:val="0"/>
            <w:vAlign w:val="center"/>
          </w:tcPr>
          <w:p w14:paraId="0DCF3ACF">
            <w:pPr>
              <w:widowControl/>
              <w:jc w:val="center"/>
              <w:rPr>
                <w:rFonts w:hint="eastAsia" w:ascii="宋体" w:hAnsi="宋体" w:eastAsia="宋体" w:cs="宋体"/>
                <w:b/>
                <w:bCs/>
                <w:kern w:val="0"/>
                <w:sz w:val="24"/>
                <w:szCs w:val="24"/>
              </w:rPr>
            </w:pPr>
            <w:r>
              <w:rPr>
                <w:rFonts w:hint="eastAsia" w:ascii="宋体" w:hAnsi="宋体" w:eastAsia="宋体" w:cs="宋体"/>
                <w:b/>
                <w:bCs/>
                <w:kern w:val="0"/>
                <w:sz w:val="24"/>
                <w:szCs w:val="24"/>
              </w:rPr>
              <w:t>软件名称</w:t>
            </w:r>
          </w:p>
        </w:tc>
        <w:tc>
          <w:tcPr>
            <w:tcW w:w="1848" w:type="dxa"/>
            <w:tcBorders>
              <w:top w:val="single" w:color="auto" w:sz="8" w:space="0"/>
              <w:left w:val="nil"/>
              <w:bottom w:val="single" w:color="auto" w:sz="8" w:space="0"/>
              <w:right w:val="single" w:color="000000" w:sz="8" w:space="0"/>
            </w:tcBorders>
            <w:noWrap w:val="0"/>
            <w:vAlign w:val="center"/>
          </w:tcPr>
          <w:p w14:paraId="39ABDFB8">
            <w:pPr>
              <w:widowControl/>
              <w:jc w:val="center"/>
              <w:rPr>
                <w:rFonts w:hint="eastAsia" w:ascii="宋体" w:hAnsi="宋体" w:eastAsia="宋体" w:cs="宋体"/>
                <w:b/>
                <w:bCs/>
                <w:kern w:val="0"/>
                <w:sz w:val="24"/>
                <w:szCs w:val="24"/>
              </w:rPr>
            </w:pPr>
            <w:r>
              <w:rPr>
                <w:rFonts w:hint="eastAsia" w:ascii="宋体" w:hAnsi="宋体" w:eastAsia="宋体" w:cs="宋体"/>
                <w:b/>
                <w:bCs/>
                <w:kern w:val="0"/>
                <w:sz w:val="24"/>
                <w:szCs w:val="24"/>
              </w:rPr>
              <w:t>版本号</w:t>
            </w:r>
          </w:p>
        </w:tc>
        <w:tc>
          <w:tcPr>
            <w:tcW w:w="1315" w:type="dxa"/>
            <w:tcBorders>
              <w:top w:val="single" w:color="auto" w:sz="8" w:space="0"/>
              <w:left w:val="nil"/>
              <w:bottom w:val="single" w:color="auto" w:sz="8" w:space="0"/>
              <w:right w:val="single" w:color="000000" w:sz="8" w:space="0"/>
            </w:tcBorders>
            <w:noWrap w:val="0"/>
            <w:vAlign w:val="center"/>
          </w:tcPr>
          <w:p w14:paraId="34DA1B52">
            <w:pPr>
              <w:widowControl/>
              <w:jc w:val="center"/>
              <w:rPr>
                <w:rFonts w:hint="eastAsia" w:ascii="宋体" w:hAnsi="宋体" w:eastAsia="宋体" w:cs="宋体"/>
                <w:b/>
                <w:bCs/>
                <w:kern w:val="0"/>
                <w:sz w:val="24"/>
                <w:szCs w:val="24"/>
              </w:rPr>
            </w:pPr>
            <w:r>
              <w:rPr>
                <w:rFonts w:hint="eastAsia" w:ascii="宋体" w:hAnsi="宋体" w:eastAsia="宋体" w:cs="宋体"/>
                <w:b/>
                <w:bCs/>
                <w:kern w:val="0"/>
                <w:sz w:val="24"/>
                <w:szCs w:val="24"/>
              </w:rPr>
              <w:t>数量</w:t>
            </w:r>
          </w:p>
        </w:tc>
      </w:tr>
      <w:tr w14:paraId="5A9F9B14">
        <w:tblPrEx>
          <w:tblCellMar>
            <w:top w:w="0" w:type="dxa"/>
            <w:left w:w="108" w:type="dxa"/>
            <w:bottom w:w="0" w:type="dxa"/>
            <w:right w:w="108" w:type="dxa"/>
          </w:tblCellMar>
        </w:tblPrEx>
        <w:trPr>
          <w:trHeight w:val="567" w:hRule="atLeast"/>
          <w:jc w:val="center"/>
        </w:trPr>
        <w:tc>
          <w:tcPr>
            <w:tcW w:w="1228" w:type="dxa"/>
            <w:vMerge w:val="restart"/>
            <w:tcBorders>
              <w:top w:val="single" w:color="auto" w:sz="4" w:space="0"/>
              <w:left w:val="single" w:color="auto" w:sz="8" w:space="0"/>
              <w:bottom w:val="single" w:color="000000" w:sz="8" w:space="0"/>
              <w:right w:val="single" w:color="auto" w:sz="8" w:space="0"/>
            </w:tcBorders>
            <w:noWrap w:val="0"/>
            <w:vAlign w:val="center"/>
          </w:tcPr>
          <w:p w14:paraId="7854CF9C">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同城异地容灾备份</w:t>
            </w:r>
          </w:p>
        </w:tc>
        <w:tc>
          <w:tcPr>
            <w:tcW w:w="945" w:type="dxa"/>
            <w:tcBorders>
              <w:top w:val="single" w:color="auto" w:sz="4" w:space="0"/>
              <w:left w:val="nil"/>
              <w:bottom w:val="single" w:color="auto" w:sz="8" w:space="0"/>
              <w:right w:val="single" w:color="000000" w:sz="8" w:space="0"/>
            </w:tcBorders>
            <w:noWrap w:val="0"/>
            <w:vAlign w:val="center"/>
          </w:tcPr>
          <w:p w14:paraId="56234DB4">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1</w:t>
            </w:r>
          </w:p>
        </w:tc>
        <w:tc>
          <w:tcPr>
            <w:tcW w:w="2928" w:type="dxa"/>
            <w:tcBorders>
              <w:top w:val="single" w:color="auto" w:sz="8" w:space="0"/>
              <w:left w:val="nil"/>
              <w:bottom w:val="single" w:color="auto" w:sz="8" w:space="0"/>
              <w:right w:val="single" w:color="000000" w:sz="8" w:space="0"/>
            </w:tcBorders>
            <w:noWrap w:val="0"/>
            <w:vAlign w:val="center"/>
          </w:tcPr>
          <w:p w14:paraId="626265F8">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Oracle dataguard</w:t>
            </w:r>
          </w:p>
        </w:tc>
        <w:tc>
          <w:tcPr>
            <w:tcW w:w="1848" w:type="dxa"/>
            <w:tcBorders>
              <w:top w:val="single" w:color="auto" w:sz="8" w:space="0"/>
              <w:left w:val="nil"/>
              <w:bottom w:val="single" w:color="auto" w:sz="8" w:space="0"/>
              <w:right w:val="single" w:color="000000" w:sz="8" w:space="0"/>
            </w:tcBorders>
            <w:noWrap w:val="0"/>
            <w:vAlign w:val="center"/>
          </w:tcPr>
          <w:p w14:paraId="718A935E">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11g</w:t>
            </w:r>
          </w:p>
        </w:tc>
        <w:tc>
          <w:tcPr>
            <w:tcW w:w="1315" w:type="dxa"/>
            <w:tcBorders>
              <w:top w:val="single" w:color="auto" w:sz="8" w:space="0"/>
              <w:left w:val="nil"/>
              <w:bottom w:val="single" w:color="auto" w:sz="8" w:space="0"/>
              <w:right w:val="single" w:color="000000" w:sz="8" w:space="0"/>
            </w:tcBorders>
            <w:noWrap w:val="0"/>
            <w:vAlign w:val="center"/>
          </w:tcPr>
          <w:p w14:paraId="475A2507">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2</w:t>
            </w:r>
          </w:p>
        </w:tc>
      </w:tr>
      <w:tr w14:paraId="300281D0">
        <w:tblPrEx>
          <w:tblCellMar>
            <w:top w:w="0" w:type="dxa"/>
            <w:left w:w="108" w:type="dxa"/>
            <w:bottom w:w="0" w:type="dxa"/>
            <w:right w:w="108" w:type="dxa"/>
          </w:tblCellMar>
        </w:tblPrEx>
        <w:trPr>
          <w:trHeight w:val="567" w:hRule="atLeast"/>
          <w:jc w:val="center"/>
        </w:trPr>
        <w:tc>
          <w:tcPr>
            <w:tcW w:w="1228" w:type="dxa"/>
            <w:vMerge w:val="continue"/>
            <w:tcBorders>
              <w:top w:val="nil"/>
              <w:left w:val="single" w:color="auto" w:sz="8" w:space="0"/>
              <w:bottom w:val="single" w:color="000000" w:sz="8" w:space="0"/>
              <w:right w:val="single" w:color="auto" w:sz="8" w:space="0"/>
            </w:tcBorders>
            <w:noWrap w:val="0"/>
            <w:vAlign w:val="center"/>
          </w:tcPr>
          <w:p w14:paraId="5A1ED5DD">
            <w:pPr>
              <w:widowControl/>
              <w:jc w:val="center"/>
              <w:rPr>
                <w:rFonts w:hint="eastAsia" w:ascii="宋体" w:hAnsi="宋体" w:eastAsia="宋体" w:cs="宋体"/>
                <w:kern w:val="0"/>
                <w:sz w:val="24"/>
                <w:szCs w:val="24"/>
              </w:rPr>
            </w:pPr>
          </w:p>
        </w:tc>
        <w:tc>
          <w:tcPr>
            <w:tcW w:w="945" w:type="dxa"/>
            <w:tcBorders>
              <w:top w:val="single" w:color="auto" w:sz="8" w:space="0"/>
              <w:left w:val="nil"/>
              <w:bottom w:val="single" w:color="auto" w:sz="8" w:space="0"/>
              <w:right w:val="single" w:color="000000" w:sz="8" w:space="0"/>
            </w:tcBorders>
            <w:noWrap w:val="0"/>
            <w:vAlign w:val="center"/>
          </w:tcPr>
          <w:p w14:paraId="4D2EFC88">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2</w:t>
            </w:r>
          </w:p>
        </w:tc>
        <w:tc>
          <w:tcPr>
            <w:tcW w:w="2928" w:type="dxa"/>
            <w:tcBorders>
              <w:top w:val="single" w:color="auto" w:sz="8" w:space="0"/>
              <w:left w:val="nil"/>
              <w:bottom w:val="single" w:color="auto" w:sz="8" w:space="0"/>
              <w:right w:val="single" w:color="000000" w:sz="8" w:space="0"/>
            </w:tcBorders>
            <w:noWrap w:val="0"/>
            <w:vAlign w:val="center"/>
          </w:tcPr>
          <w:p w14:paraId="4C598527">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Oracle GoldenGate</w:t>
            </w:r>
          </w:p>
        </w:tc>
        <w:tc>
          <w:tcPr>
            <w:tcW w:w="1848" w:type="dxa"/>
            <w:tcBorders>
              <w:top w:val="single" w:color="auto" w:sz="8" w:space="0"/>
              <w:left w:val="nil"/>
              <w:bottom w:val="single" w:color="auto" w:sz="8" w:space="0"/>
              <w:right w:val="single" w:color="000000" w:sz="8" w:space="0"/>
            </w:tcBorders>
            <w:noWrap w:val="0"/>
            <w:vAlign w:val="center"/>
          </w:tcPr>
          <w:p w14:paraId="01A339F7">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7.5</w:t>
            </w:r>
          </w:p>
        </w:tc>
        <w:tc>
          <w:tcPr>
            <w:tcW w:w="1315" w:type="dxa"/>
            <w:tcBorders>
              <w:top w:val="single" w:color="auto" w:sz="8" w:space="0"/>
              <w:left w:val="nil"/>
              <w:bottom w:val="single" w:color="auto" w:sz="8" w:space="0"/>
              <w:right w:val="single" w:color="000000" w:sz="8" w:space="0"/>
            </w:tcBorders>
            <w:noWrap w:val="0"/>
            <w:vAlign w:val="center"/>
          </w:tcPr>
          <w:p w14:paraId="7773AB7D">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2</w:t>
            </w:r>
          </w:p>
        </w:tc>
      </w:tr>
      <w:tr w14:paraId="623DCDB0">
        <w:tblPrEx>
          <w:tblCellMar>
            <w:top w:w="0" w:type="dxa"/>
            <w:left w:w="108" w:type="dxa"/>
            <w:bottom w:w="0" w:type="dxa"/>
            <w:right w:w="108" w:type="dxa"/>
          </w:tblCellMar>
        </w:tblPrEx>
        <w:trPr>
          <w:trHeight w:val="567" w:hRule="atLeast"/>
          <w:jc w:val="center"/>
        </w:trPr>
        <w:tc>
          <w:tcPr>
            <w:tcW w:w="1228" w:type="dxa"/>
            <w:vMerge w:val="continue"/>
            <w:tcBorders>
              <w:top w:val="nil"/>
              <w:left w:val="single" w:color="auto" w:sz="8" w:space="0"/>
              <w:bottom w:val="single" w:color="000000" w:sz="8" w:space="0"/>
              <w:right w:val="single" w:color="auto" w:sz="8" w:space="0"/>
            </w:tcBorders>
            <w:noWrap w:val="0"/>
            <w:vAlign w:val="center"/>
          </w:tcPr>
          <w:p w14:paraId="5D7540D2">
            <w:pPr>
              <w:widowControl/>
              <w:jc w:val="center"/>
              <w:rPr>
                <w:rFonts w:hint="eastAsia" w:ascii="宋体" w:hAnsi="宋体" w:eastAsia="宋体" w:cs="宋体"/>
                <w:kern w:val="0"/>
                <w:sz w:val="24"/>
                <w:szCs w:val="24"/>
              </w:rPr>
            </w:pPr>
          </w:p>
        </w:tc>
        <w:tc>
          <w:tcPr>
            <w:tcW w:w="945" w:type="dxa"/>
            <w:tcBorders>
              <w:top w:val="single" w:color="auto" w:sz="8" w:space="0"/>
              <w:left w:val="nil"/>
              <w:bottom w:val="single" w:color="auto" w:sz="8" w:space="0"/>
              <w:right w:val="single" w:color="000000" w:sz="8" w:space="0"/>
            </w:tcBorders>
            <w:noWrap w:val="0"/>
            <w:vAlign w:val="center"/>
          </w:tcPr>
          <w:p w14:paraId="5CBAAE5A">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3</w:t>
            </w:r>
          </w:p>
        </w:tc>
        <w:tc>
          <w:tcPr>
            <w:tcW w:w="2928" w:type="dxa"/>
            <w:tcBorders>
              <w:top w:val="single" w:color="auto" w:sz="8" w:space="0"/>
              <w:left w:val="nil"/>
              <w:bottom w:val="single" w:color="auto" w:sz="8" w:space="0"/>
              <w:right w:val="single" w:color="000000" w:sz="8" w:space="0"/>
            </w:tcBorders>
            <w:noWrap w:val="0"/>
            <w:vAlign w:val="center"/>
          </w:tcPr>
          <w:p w14:paraId="74F65421">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SYMC NETBACKUP Opsenter</w:t>
            </w:r>
          </w:p>
        </w:tc>
        <w:tc>
          <w:tcPr>
            <w:tcW w:w="1848" w:type="dxa"/>
            <w:tcBorders>
              <w:top w:val="single" w:color="auto" w:sz="8" w:space="0"/>
              <w:left w:val="nil"/>
              <w:bottom w:val="single" w:color="auto" w:sz="8" w:space="0"/>
              <w:right w:val="single" w:color="000000" w:sz="8" w:space="0"/>
            </w:tcBorders>
            <w:noWrap w:val="0"/>
            <w:vAlign w:val="center"/>
          </w:tcPr>
          <w:p w14:paraId="0AF35584">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7.5</w:t>
            </w:r>
          </w:p>
        </w:tc>
        <w:tc>
          <w:tcPr>
            <w:tcW w:w="1315" w:type="dxa"/>
            <w:tcBorders>
              <w:top w:val="single" w:color="auto" w:sz="8" w:space="0"/>
              <w:left w:val="nil"/>
              <w:bottom w:val="single" w:color="auto" w:sz="8" w:space="0"/>
              <w:right w:val="single" w:color="000000" w:sz="8" w:space="0"/>
            </w:tcBorders>
            <w:noWrap w:val="0"/>
            <w:vAlign w:val="center"/>
          </w:tcPr>
          <w:p w14:paraId="49724AAA">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1</w:t>
            </w:r>
          </w:p>
        </w:tc>
      </w:tr>
      <w:tr w14:paraId="5EC1B330">
        <w:tblPrEx>
          <w:tblCellMar>
            <w:top w:w="0" w:type="dxa"/>
            <w:left w:w="108" w:type="dxa"/>
            <w:bottom w:w="0" w:type="dxa"/>
            <w:right w:w="108" w:type="dxa"/>
          </w:tblCellMar>
        </w:tblPrEx>
        <w:trPr>
          <w:trHeight w:val="567" w:hRule="atLeast"/>
          <w:jc w:val="center"/>
        </w:trPr>
        <w:tc>
          <w:tcPr>
            <w:tcW w:w="1228" w:type="dxa"/>
            <w:vMerge w:val="restart"/>
            <w:tcBorders>
              <w:top w:val="nil"/>
              <w:left w:val="single" w:color="auto" w:sz="8" w:space="0"/>
              <w:right w:val="single" w:color="auto" w:sz="8" w:space="0"/>
            </w:tcBorders>
            <w:noWrap w:val="0"/>
            <w:vAlign w:val="center"/>
          </w:tcPr>
          <w:p w14:paraId="418221F8">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数据库</w:t>
            </w:r>
          </w:p>
        </w:tc>
        <w:tc>
          <w:tcPr>
            <w:tcW w:w="945" w:type="dxa"/>
            <w:tcBorders>
              <w:top w:val="single" w:color="auto" w:sz="8" w:space="0"/>
              <w:left w:val="nil"/>
              <w:bottom w:val="single" w:color="auto" w:sz="8" w:space="0"/>
              <w:right w:val="single" w:color="000000" w:sz="8" w:space="0"/>
            </w:tcBorders>
            <w:noWrap w:val="0"/>
            <w:vAlign w:val="center"/>
          </w:tcPr>
          <w:p w14:paraId="0CD203EA">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1</w:t>
            </w:r>
          </w:p>
        </w:tc>
        <w:tc>
          <w:tcPr>
            <w:tcW w:w="2928" w:type="dxa"/>
            <w:tcBorders>
              <w:top w:val="single" w:color="auto" w:sz="8" w:space="0"/>
              <w:left w:val="nil"/>
              <w:bottom w:val="single" w:color="auto" w:sz="8" w:space="0"/>
              <w:right w:val="single" w:color="000000" w:sz="8" w:space="0"/>
            </w:tcBorders>
            <w:noWrap w:val="0"/>
            <w:vAlign w:val="center"/>
          </w:tcPr>
          <w:p w14:paraId="69C969A0">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Oracle database</w:t>
            </w:r>
          </w:p>
        </w:tc>
        <w:tc>
          <w:tcPr>
            <w:tcW w:w="1848" w:type="dxa"/>
            <w:tcBorders>
              <w:top w:val="single" w:color="auto" w:sz="8" w:space="0"/>
              <w:left w:val="nil"/>
              <w:bottom w:val="single" w:color="auto" w:sz="8" w:space="0"/>
              <w:right w:val="single" w:color="000000" w:sz="8" w:space="0"/>
            </w:tcBorders>
            <w:noWrap w:val="0"/>
            <w:vAlign w:val="center"/>
          </w:tcPr>
          <w:p w14:paraId="4F1C9A26">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10g</w:t>
            </w:r>
          </w:p>
        </w:tc>
        <w:tc>
          <w:tcPr>
            <w:tcW w:w="1315" w:type="dxa"/>
            <w:tcBorders>
              <w:top w:val="single" w:color="auto" w:sz="8" w:space="0"/>
              <w:left w:val="nil"/>
              <w:bottom w:val="single" w:color="auto" w:sz="8" w:space="0"/>
              <w:right w:val="single" w:color="000000" w:sz="8" w:space="0"/>
            </w:tcBorders>
            <w:noWrap w:val="0"/>
            <w:vAlign w:val="center"/>
          </w:tcPr>
          <w:p w14:paraId="64909E96">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2</w:t>
            </w:r>
          </w:p>
        </w:tc>
      </w:tr>
      <w:tr w14:paraId="083344F2">
        <w:tblPrEx>
          <w:tblCellMar>
            <w:top w:w="0" w:type="dxa"/>
            <w:left w:w="108" w:type="dxa"/>
            <w:bottom w:w="0" w:type="dxa"/>
            <w:right w:w="108" w:type="dxa"/>
          </w:tblCellMar>
        </w:tblPrEx>
        <w:trPr>
          <w:trHeight w:val="567" w:hRule="atLeast"/>
          <w:jc w:val="center"/>
        </w:trPr>
        <w:tc>
          <w:tcPr>
            <w:tcW w:w="1228" w:type="dxa"/>
            <w:vMerge w:val="continue"/>
            <w:tcBorders>
              <w:left w:val="single" w:color="auto" w:sz="8" w:space="0"/>
              <w:right w:val="single" w:color="auto" w:sz="8" w:space="0"/>
            </w:tcBorders>
            <w:noWrap w:val="0"/>
            <w:vAlign w:val="center"/>
          </w:tcPr>
          <w:p w14:paraId="41315610">
            <w:pPr>
              <w:widowControl/>
              <w:jc w:val="center"/>
              <w:rPr>
                <w:rFonts w:hint="eastAsia" w:ascii="宋体" w:hAnsi="宋体" w:eastAsia="宋体" w:cs="宋体"/>
                <w:kern w:val="0"/>
                <w:sz w:val="24"/>
                <w:szCs w:val="24"/>
              </w:rPr>
            </w:pPr>
          </w:p>
        </w:tc>
        <w:tc>
          <w:tcPr>
            <w:tcW w:w="945" w:type="dxa"/>
            <w:tcBorders>
              <w:top w:val="single" w:color="auto" w:sz="8" w:space="0"/>
              <w:left w:val="nil"/>
              <w:bottom w:val="single" w:color="auto" w:sz="8" w:space="0"/>
              <w:right w:val="single" w:color="000000" w:sz="8" w:space="0"/>
            </w:tcBorders>
            <w:noWrap w:val="0"/>
            <w:vAlign w:val="center"/>
          </w:tcPr>
          <w:p w14:paraId="72765E60">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2</w:t>
            </w:r>
          </w:p>
        </w:tc>
        <w:tc>
          <w:tcPr>
            <w:tcW w:w="2928" w:type="dxa"/>
            <w:tcBorders>
              <w:top w:val="single" w:color="auto" w:sz="8" w:space="0"/>
              <w:left w:val="nil"/>
              <w:bottom w:val="single" w:color="auto" w:sz="8" w:space="0"/>
              <w:right w:val="single" w:color="000000" w:sz="8" w:space="0"/>
            </w:tcBorders>
            <w:noWrap w:val="0"/>
            <w:vAlign w:val="center"/>
          </w:tcPr>
          <w:p w14:paraId="30166DDC">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Oracle database</w:t>
            </w:r>
          </w:p>
        </w:tc>
        <w:tc>
          <w:tcPr>
            <w:tcW w:w="1848" w:type="dxa"/>
            <w:tcBorders>
              <w:top w:val="single" w:color="auto" w:sz="8" w:space="0"/>
              <w:left w:val="nil"/>
              <w:bottom w:val="single" w:color="auto" w:sz="8" w:space="0"/>
              <w:right w:val="single" w:color="000000" w:sz="8" w:space="0"/>
            </w:tcBorders>
            <w:noWrap w:val="0"/>
            <w:vAlign w:val="center"/>
          </w:tcPr>
          <w:p w14:paraId="5D070AAE">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11g</w:t>
            </w:r>
          </w:p>
        </w:tc>
        <w:tc>
          <w:tcPr>
            <w:tcW w:w="1315" w:type="dxa"/>
            <w:tcBorders>
              <w:top w:val="single" w:color="auto" w:sz="8" w:space="0"/>
              <w:left w:val="nil"/>
              <w:bottom w:val="single" w:color="auto" w:sz="8" w:space="0"/>
              <w:right w:val="single" w:color="000000" w:sz="8" w:space="0"/>
            </w:tcBorders>
            <w:noWrap w:val="0"/>
            <w:vAlign w:val="center"/>
          </w:tcPr>
          <w:p w14:paraId="13DF8414">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3</w:t>
            </w:r>
          </w:p>
        </w:tc>
      </w:tr>
      <w:tr w14:paraId="609DF09F">
        <w:tblPrEx>
          <w:tblCellMar>
            <w:top w:w="0" w:type="dxa"/>
            <w:left w:w="108" w:type="dxa"/>
            <w:bottom w:w="0" w:type="dxa"/>
            <w:right w:w="108" w:type="dxa"/>
          </w:tblCellMar>
        </w:tblPrEx>
        <w:trPr>
          <w:trHeight w:val="567" w:hRule="atLeast"/>
          <w:jc w:val="center"/>
        </w:trPr>
        <w:tc>
          <w:tcPr>
            <w:tcW w:w="1228" w:type="dxa"/>
            <w:vMerge w:val="continue"/>
            <w:tcBorders>
              <w:left w:val="single" w:color="auto" w:sz="8" w:space="0"/>
              <w:right w:val="single" w:color="auto" w:sz="8" w:space="0"/>
            </w:tcBorders>
            <w:noWrap w:val="0"/>
            <w:vAlign w:val="center"/>
          </w:tcPr>
          <w:p w14:paraId="11D2FCED">
            <w:pPr>
              <w:widowControl/>
              <w:jc w:val="center"/>
              <w:rPr>
                <w:rFonts w:hint="eastAsia" w:ascii="宋体" w:hAnsi="宋体" w:eastAsia="宋体" w:cs="宋体"/>
                <w:kern w:val="0"/>
                <w:sz w:val="24"/>
                <w:szCs w:val="24"/>
              </w:rPr>
            </w:pPr>
          </w:p>
        </w:tc>
        <w:tc>
          <w:tcPr>
            <w:tcW w:w="945" w:type="dxa"/>
            <w:tcBorders>
              <w:top w:val="single" w:color="auto" w:sz="8" w:space="0"/>
              <w:left w:val="nil"/>
              <w:bottom w:val="single" w:color="auto" w:sz="8" w:space="0"/>
              <w:right w:val="single" w:color="000000" w:sz="8" w:space="0"/>
            </w:tcBorders>
            <w:noWrap w:val="0"/>
            <w:vAlign w:val="center"/>
          </w:tcPr>
          <w:p w14:paraId="7D50098B">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3</w:t>
            </w:r>
          </w:p>
        </w:tc>
        <w:tc>
          <w:tcPr>
            <w:tcW w:w="2928" w:type="dxa"/>
            <w:tcBorders>
              <w:top w:val="single" w:color="auto" w:sz="8" w:space="0"/>
              <w:left w:val="nil"/>
              <w:bottom w:val="single" w:color="auto" w:sz="8" w:space="0"/>
              <w:right w:val="single" w:color="000000" w:sz="8" w:space="0"/>
            </w:tcBorders>
            <w:noWrap w:val="0"/>
            <w:vAlign w:val="center"/>
          </w:tcPr>
          <w:p w14:paraId="5124676A">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Oracle database</w:t>
            </w:r>
          </w:p>
        </w:tc>
        <w:tc>
          <w:tcPr>
            <w:tcW w:w="1848" w:type="dxa"/>
            <w:tcBorders>
              <w:top w:val="single" w:color="auto" w:sz="8" w:space="0"/>
              <w:left w:val="nil"/>
              <w:bottom w:val="single" w:color="auto" w:sz="8" w:space="0"/>
              <w:right w:val="single" w:color="000000" w:sz="8" w:space="0"/>
            </w:tcBorders>
            <w:noWrap w:val="0"/>
            <w:vAlign w:val="center"/>
          </w:tcPr>
          <w:p w14:paraId="4579FE45">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19c</w:t>
            </w:r>
          </w:p>
        </w:tc>
        <w:tc>
          <w:tcPr>
            <w:tcW w:w="1315" w:type="dxa"/>
            <w:tcBorders>
              <w:top w:val="single" w:color="auto" w:sz="8" w:space="0"/>
              <w:left w:val="nil"/>
              <w:bottom w:val="single" w:color="auto" w:sz="8" w:space="0"/>
              <w:right w:val="single" w:color="000000" w:sz="8" w:space="0"/>
            </w:tcBorders>
            <w:noWrap w:val="0"/>
            <w:vAlign w:val="center"/>
          </w:tcPr>
          <w:p w14:paraId="60ED1749">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1</w:t>
            </w:r>
          </w:p>
        </w:tc>
      </w:tr>
      <w:tr w14:paraId="3D72C909">
        <w:tblPrEx>
          <w:tblCellMar>
            <w:top w:w="0" w:type="dxa"/>
            <w:left w:w="108" w:type="dxa"/>
            <w:bottom w:w="0" w:type="dxa"/>
            <w:right w:w="108" w:type="dxa"/>
          </w:tblCellMar>
        </w:tblPrEx>
        <w:trPr>
          <w:trHeight w:val="567" w:hRule="atLeast"/>
          <w:jc w:val="center"/>
        </w:trPr>
        <w:tc>
          <w:tcPr>
            <w:tcW w:w="1228" w:type="dxa"/>
            <w:vMerge w:val="restart"/>
            <w:tcBorders>
              <w:top w:val="single" w:color="auto" w:sz="4" w:space="0"/>
              <w:left w:val="single" w:color="auto" w:sz="8" w:space="0"/>
              <w:bottom w:val="single" w:color="000000" w:sz="8" w:space="0"/>
              <w:right w:val="single" w:color="auto" w:sz="8" w:space="0"/>
            </w:tcBorders>
            <w:noWrap w:val="0"/>
            <w:vAlign w:val="center"/>
          </w:tcPr>
          <w:p w14:paraId="5A00E98B">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中间件</w:t>
            </w:r>
          </w:p>
        </w:tc>
        <w:tc>
          <w:tcPr>
            <w:tcW w:w="945" w:type="dxa"/>
            <w:tcBorders>
              <w:top w:val="single" w:color="auto" w:sz="8" w:space="0"/>
              <w:left w:val="nil"/>
              <w:bottom w:val="single" w:color="auto" w:sz="8" w:space="0"/>
              <w:right w:val="single" w:color="000000" w:sz="8" w:space="0"/>
            </w:tcBorders>
            <w:noWrap w:val="0"/>
            <w:vAlign w:val="center"/>
          </w:tcPr>
          <w:p w14:paraId="3E8612BF">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1</w:t>
            </w:r>
          </w:p>
        </w:tc>
        <w:tc>
          <w:tcPr>
            <w:tcW w:w="2928" w:type="dxa"/>
            <w:tcBorders>
              <w:top w:val="single" w:color="auto" w:sz="8" w:space="0"/>
              <w:left w:val="nil"/>
              <w:bottom w:val="single" w:color="auto" w:sz="8" w:space="0"/>
              <w:right w:val="single" w:color="000000" w:sz="8" w:space="0"/>
            </w:tcBorders>
            <w:noWrap w:val="0"/>
            <w:vAlign w:val="center"/>
          </w:tcPr>
          <w:p w14:paraId="7E9B5200">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weblogic</w:t>
            </w:r>
          </w:p>
        </w:tc>
        <w:tc>
          <w:tcPr>
            <w:tcW w:w="1848" w:type="dxa"/>
            <w:tcBorders>
              <w:top w:val="single" w:color="auto" w:sz="8" w:space="0"/>
              <w:left w:val="nil"/>
              <w:bottom w:val="single" w:color="auto" w:sz="8" w:space="0"/>
              <w:right w:val="single" w:color="000000" w:sz="8" w:space="0"/>
            </w:tcBorders>
            <w:noWrap w:val="0"/>
            <w:vAlign w:val="center"/>
          </w:tcPr>
          <w:p w14:paraId="2BCA8408">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rPr>
              <w:t>11</w:t>
            </w:r>
            <w:r>
              <w:rPr>
                <w:rFonts w:hint="eastAsia" w:ascii="宋体" w:hAnsi="宋体" w:eastAsia="宋体" w:cs="宋体"/>
                <w:kern w:val="0"/>
                <w:sz w:val="24"/>
                <w:szCs w:val="24"/>
                <w:lang w:val="en-US" w:eastAsia="zh-CN"/>
              </w:rPr>
              <w:t>g</w:t>
            </w:r>
          </w:p>
        </w:tc>
        <w:tc>
          <w:tcPr>
            <w:tcW w:w="1315" w:type="dxa"/>
            <w:tcBorders>
              <w:top w:val="single" w:color="auto" w:sz="8" w:space="0"/>
              <w:left w:val="nil"/>
              <w:bottom w:val="single" w:color="auto" w:sz="8" w:space="0"/>
              <w:right w:val="single" w:color="000000" w:sz="8" w:space="0"/>
            </w:tcBorders>
            <w:noWrap w:val="0"/>
            <w:vAlign w:val="center"/>
          </w:tcPr>
          <w:p w14:paraId="0B335AF2">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3</w:t>
            </w:r>
          </w:p>
        </w:tc>
      </w:tr>
      <w:tr w14:paraId="12E4064E">
        <w:tblPrEx>
          <w:tblCellMar>
            <w:top w:w="0" w:type="dxa"/>
            <w:left w:w="108" w:type="dxa"/>
            <w:bottom w:w="0" w:type="dxa"/>
            <w:right w:w="108" w:type="dxa"/>
          </w:tblCellMar>
        </w:tblPrEx>
        <w:trPr>
          <w:trHeight w:val="567" w:hRule="atLeast"/>
          <w:jc w:val="center"/>
        </w:trPr>
        <w:tc>
          <w:tcPr>
            <w:tcW w:w="1228" w:type="dxa"/>
            <w:vMerge w:val="continue"/>
            <w:tcBorders>
              <w:top w:val="nil"/>
              <w:left w:val="single" w:color="auto" w:sz="8" w:space="0"/>
              <w:bottom w:val="single" w:color="000000" w:sz="8" w:space="0"/>
              <w:right w:val="single" w:color="auto" w:sz="8" w:space="0"/>
            </w:tcBorders>
            <w:noWrap w:val="0"/>
            <w:vAlign w:val="center"/>
          </w:tcPr>
          <w:p w14:paraId="5E273681">
            <w:pPr>
              <w:widowControl/>
              <w:jc w:val="center"/>
              <w:rPr>
                <w:rFonts w:hint="eastAsia" w:ascii="宋体" w:hAnsi="宋体" w:eastAsia="宋体" w:cs="宋体"/>
                <w:kern w:val="0"/>
                <w:sz w:val="24"/>
                <w:szCs w:val="24"/>
              </w:rPr>
            </w:pPr>
          </w:p>
        </w:tc>
        <w:tc>
          <w:tcPr>
            <w:tcW w:w="945" w:type="dxa"/>
            <w:tcBorders>
              <w:top w:val="single" w:color="auto" w:sz="8" w:space="0"/>
              <w:left w:val="nil"/>
              <w:bottom w:val="single" w:color="auto" w:sz="8" w:space="0"/>
              <w:right w:val="single" w:color="000000" w:sz="8" w:space="0"/>
            </w:tcBorders>
            <w:noWrap w:val="0"/>
            <w:vAlign w:val="center"/>
          </w:tcPr>
          <w:p w14:paraId="4C46A60A">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2</w:t>
            </w:r>
          </w:p>
        </w:tc>
        <w:tc>
          <w:tcPr>
            <w:tcW w:w="2928" w:type="dxa"/>
            <w:tcBorders>
              <w:top w:val="single" w:color="auto" w:sz="8" w:space="0"/>
              <w:left w:val="nil"/>
              <w:bottom w:val="single" w:color="auto" w:sz="8" w:space="0"/>
              <w:right w:val="single" w:color="000000" w:sz="8" w:space="0"/>
            </w:tcBorders>
            <w:noWrap w:val="0"/>
            <w:vAlign w:val="center"/>
          </w:tcPr>
          <w:p w14:paraId="32D1A824">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weblogic</w:t>
            </w:r>
          </w:p>
        </w:tc>
        <w:tc>
          <w:tcPr>
            <w:tcW w:w="1848" w:type="dxa"/>
            <w:tcBorders>
              <w:top w:val="single" w:color="auto" w:sz="8" w:space="0"/>
              <w:left w:val="nil"/>
              <w:bottom w:val="single" w:color="auto" w:sz="8" w:space="0"/>
              <w:right w:val="single" w:color="000000" w:sz="8" w:space="0"/>
            </w:tcBorders>
            <w:noWrap w:val="0"/>
            <w:vAlign w:val="center"/>
          </w:tcPr>
          <w:p w14:paraId="1361CD46">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10.3</w:t>
            </w:r>
          </w:p>
        </w:tc>
        <w:tc>
          <w:tcPr>
            <w:tcW w:w="1315" w:type="dxa"/>
            <w:tcBorders>
              <w:top w:val="single" w:color="auto" w:sz="8" w:space="0"/>
              <w:left w:val="nil"/>
              <w:bottom w:val="single" w:color="auto" w:sz="8" w:space="0"/>
              <w:right w:val="single" w:color="000000" w:sz="8" w:space="0"/>
            </w:tcBorders>
            <w:noWrap w:val="0"/>
            <w:vAlign w:val="center"/>
          </w:tcPr>
          <w:p w14:paraId="0C034953">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1</w:t>
            </w:r>
          </w:p>
        </w:tc>
      </w:tr>
    </w:tbl>
    <w:p w14:paraId="514C0059">
      <w:pPr>
        <w:keepNext w:val="0"/>
        <w:keepLines w:val="0"/>
        <w:pageBreakBefore w:val="0"/>
        <w:widowControl w:val="0"/>
        <w:kinsoku/>
        <w:wordWrap/>
        <w:overflowPunct/>
        <w:topLinePunct w:val="0"/>
        <w:autoSpaceDE/>
        <w:autoSpaceDN/>
        <w:bidi w:val="0"/>
        <w:spacing w:line="360" w:lineRule="auto"/>
        <w:ind w:firstLine="480" w:firstLineChars="200"/>
        <w:textAlignment w:val="auto"/>
        <w:outlineLvl w:val="0"/>
        <w:rPr>
          <w:rFonts w:hint="eastAsia" w:ascii="宋体" w:hAnsi="宋体" w:eastAsia="宋体" w:cs="宋体"/>
          <w:color w:val="000000"/>
          <w:sz w:val="24"/>
          <w:szCs w:val="24"/>
        </w:rPr>
      </w:pPr>
      <w:r>
        <w:rPr>
          <w:rFonts w:hint="eastAsia" w:ascii="宋体" w:hAnsi="宋体" w:eastAsia="宋体" w:cs="宋体"/>
          <w:color w:val="000000"/>
          <w:sz w:val="24"/>
          <w:szCs w:val="24"/>
        </w:rPr>
        <w:t>（二）维保服务具体要求</w:t>
      </w:r>
    </w:p>
    <w:p w14:paraId="1D9E177E">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1.维保服务内容要求：</w:t>
      </w:r>
    </w:p>
    <w:p w14:paraId="371155AF">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（1）成交后，成交供应商提供技术支持和服务、定期巡检、紧急故障响应和排除、故障部件免费更换、系统升级和性能优化、漏洞检测和补丁服务、数据备份及灾难恢复、服务报告和建议、保密及质量承诺等。</w:t>
      </w:r>
    </w:p>
    <w:p w14:paraId="122BCA33">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color w:val="000000"/>
          <w:sz w:val="24"/>
          <w:szCs w:val="24"/>
        </w:rPr>
        <w:t>（2）采购人因其它设备更换、维修而需要对本维护服务项目所涉及的软硬件进行配置调整时，成交供应商应免费提供对维护服务项目中所涉及的软硬件进行相应的软件安装、数据迁移等技术服务。</w:t>
      </w:r>
      <w:r>
        <w:rPr>
          <w:rFonts w:hint="eastAsia" w:ascii="宋体" w:hAnsi="宋体" w:eastAsia="宋体" w:cs="宋体"/>
          <w:sz w:val="24"/>
          <w:szCs w:val="24"/>
        </w:rPr>
        <w:t>若未按期提供维护或到达现场，用户可以拒付或降低支付服务费用。</w:t>
      </w:r>
    </w:p>
    <w:p w14:paraId="775AACB4">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3）成交供应商应在维保服务前对本项目所有硬件部分及软件部分进行检查，发现问题进行免费更换部件、排除故障；在维护期限内，免费更换硬件部分中的故障硬件。更换的部件必须使用原厂部件，不再另行收取备件、维护等任何费用。</w:t>
      </w:r>
    </w:p>
    <w:p w14:paraId="265D9259">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（4）成交供应商在维保期限内应根据采购人需要，对操作系统、数据库系统等软件部分中的软件进行免费的升级、修补、调优，确保上述系统的稳定高效安全运行。</w:t>
      </w:r>
      <w:r>
        <w:rPr>
          <w:rFonts w:hint="eastAsia" w:ascii="宋体" w:hAnsi="宋体" w:eastAsia="宋体" w:cs="宋体"/>
          <w:color w:val="000000"/>
          <w:sz w:val="24"/>
          <w:szCs w:val="24"/>
          <w:lang w:val="en-US" w:eastAsia="zh-CN"/>
        </w:rPr>
        <w:t>数据库</w:t>
      </w:r>
      <w:r>
        <w:rPr>
          <w:rFonts w:hint="eastAsia" w:ascii="宋体" w:hAnsi="宋体" w:eastAsia="宋体" w:cs="宋体"/>
          <w:color w:val="000000"/>
          <w:sz w:val="24"/>
          <w:szCs w:val="24"/>
        </w:rPr>
        <w:t>软件维护，安装、优化</w:t>
      </w:r>
      <w:r>
        <w:rPr>
          <w:rFonts w:hint="eastAsia" w:ascii="宋体" w:hAnsi="宋体" w:eastAsia="宋体" w:cs="宋体"/>
          <w:color w:val="000000"/>
          <w:sz w:val="24"/>
          <w:szCs w:val="24"/>
          <w:lang w:val="en-US" w:eastAsia="zh-CN"/>
        </w:rPr>
        <w:t>oracle</w:t>
      </w:r>
      <w:r>
        <w:rPr>
          <w:rFonts w:hint="eastAsia" w:ascii="宋体" w:hAnsi="宋体" w:eastAsia="宋体" w:cs="宋体"/>
          <w:color w:val="000000"/>
          <w:sz w:val="24"/>
          <w:szCs w:val="24"/>
        </w:rPr>
        <w:t>设置，配合软件厂商完成业务软件的安装，定期进行相关系统的优化配置。</w:t>
      </w:r>
    </w:p>
    <w:p w14:paraId="13D771FB">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（5）定期检测备份的有效性，发现问题及时进行恢复。能够根据采购人的要求进行日常备份及调整备份策略。</w:t>
      </w:r>
      <w:r>
        <w:rPr>
          <w:rFonts w:hint="eastAsia" w:ascii="宋体" w:hAnsi="宋体" w:eastAsia="宋体" w:cs="宋体"/>
          <w:color w:val="000000"/>
          <w:sz w:val="24"/>
          <w:szCs w:val="24"/>
          <w:lang w:val="en-US" w:eastAsia="zh-CN"/>
        </w:rPr>
        <w:t>每年</w:t>
      </w:r>
      <w:r>
        <w:rPr>
          <w:rFonts w:hint="eastAsia" w:ascii="宋体" w:hAnsi="宋体" w:eastAsia="宋体" w:cs="宋体"/>
          <w:color w:val="000000"/>
          <w:sz w:val="24"/>
          <w:szCs w:val="24"/>
        </w:rPr>
        <w:t>不少于</w:t>
      </w:r>
      <w:r>
        <w:rPr>
          <w:rFonts w:hint="eastAsia" w:ascii="宋体" w:hAnsi="宋体" w:eastAsia="宋体" w:cs="宋体"/>
          <w:color w:val="000000"/>
          <w:sz w:val="24"/>
          <w:szCs w:val="24"/>
          <w:lang w:val="en-US" w:eastAsia="zh-CN"/>
        </w:rPr>
        <w:t>一</w:t>
      </w:r>
      <w:r>
        <w:rPr>
          <w:rFonts w:hint="eastAsia" w:ascii="宋体" w:hAnsi="宋体" w:eastAsia="宋体" w:cs="宋体"/>
          <w:color w:val="000000"/>
          <w:sz w:val="24"/>
          <w:szCs w:val="24"/>
        </w:rPr>
        <w:t>次指导各备份节点进行灾难备份及恢复演习。如由于成交供应商技术原因造成的数据损坏或丢失，应赔偿因此给采购人造成的所有损失。</w:t>
      </w:r>
    </w:p>
    <w:p w14:paraId="0A1329EA">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w:t>
      </w:r>
      <w:r>
        <w:rPr>
          <w:rFonts w:hint="eastAsia" w:ascii="宋体" w:hAnsi="宋体" w:eastAsia="宋体" w:cs="宋体"/>
          <w:color w:val="000000"/>
          <w:sz w:val="24"/>
          <w:szCs w:val="24"/>
          <w:lang w:val="en-US" w:eastAsia="zh-CN"/>
        </w:rPr>
        <w:t>6</w:t>
      </w:r>
      <w:r>
        <w:rPr>
          <w:rFonts w:hint="eastAsia" w:ascii="宋体" w:hAnsi="宋体" w:eastAsia="宋体" w:cs="宋体"/>
          <w:color w:val="000000"/>
          <w:sz w:val="24"/>
          <w:szCs w:val="24"/>
        </w:rPr>
        <w:t>）保证维护期限内所使用的故障诊断软件、管理软件等相关系统是通过合法途径取得，成交供应商承担使用这些软件所带来的版权、许可证等所有法律责任，一旦与第三方发生法律纠纷均与采购人无关。</w:t>
      </w:r>
    </w:p>
    <w:p w14:paraId="43B9CC4D">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w:t>
      </w:r>
      <w:r>
        <w:rPr>
          <w:rFonts w:hint="eastAsia" w:ascii="宋体" w:hAnsi="宋体" w:eastAsia="宋体" w:cs="宋体"/>
          <w:color w:val="000000"/>
          <w:sz w:val="24"/>
          <w:szCs w:val="24"/>
          <w:lang w:val="en-US" w:eastAsia="zh-CN"/>
        </w:rPr>
        <w:t>7</w:t>
      </w:r>
      <w:r>
        <w:rPr>
          <w:rFonts w:hint="eastAsia" w:ascii="宋体" w:hAnsi="宋体" w:eastAsia="宋体" w:cs="宋体"/>
          <w:color w:val="000000"/>
          <w:sz w:val="24"/>
          <w:szCs w:val="24"/>
        </w:rPr>
        <w:t>）网络（安全）维护要求：在现有设备范围内，成交供应商应对网络进行定期的维护管理和配置优化，确保整个网络运转的高效、稳定和安全，减少和避免网络瓶颈，杜绝网络安全事故，并且能根据需要，及时调整网络分支拓扑结构和内网地址、VLAN等，提供网络运转的合理化建议和方案；帮助调整网络配置，将防火墙等安全设备按照新的部署重新配置，提供网络安全，保证信息安全体保体系的开展和建设。</w:t>
      </w:r>
    </w:p>
    <w:p w14:paraId="6E786558">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kern w:val="0"/>
          <w:sz w:val="24"/>
          <w:szCs w:val="24"/>
        </w:rPr>
        <w:t>（</w:t>
      </w:r>
      <w:r>
        <w:rPr>
          <w:rFonts w:hint="eastAsia" w:ascii="宋体" w:hAnsi="宋体" w:eastAsia="宋体" w:cs="宋体"/>
          <w:color w:val="000000"/>
          <w:kern w:val="0"/>
          <w:sz w:val="24"/>
          <w:szCs w:val="24"/>
          <w:lang w:val="en-US" w:eastAsia="zh-CN"/>
        </w:rPr>
        <w:t>8</w:t>
      </w:r>
      <w:r>
        <w:rPr>
          <w:rFonts w:hint="eastAsia" w:ascii="宋体" w:hAnsi="宋体" w:eastAsia="宋体" w:cs="宋体"/>
          <w:color w:val="000000"/>
          <w:kern w:val="0"/>
          <w:sz w:val="24"/>
          <w:szCs w:val="24"/>
        </w:rPr>
        <w:t>）当系统出现故障，维保人员应及时解决，待</w:t>
      </w:r>
      <w:r>
        <w:rPr>
          <w:rFonts w:hint="eastAsia" w:ascii="宋体" w:hAnsi="宋体" w:eastAsia="宋体" w:cs="宋体"/>
          <w:color w:val="000000"/>
          <w:sz w:val="24"/>
          <w:szCs w:val="24"/>
        </w:rPr>
        <w:t>系统恢复正常后，维保人员将对系统进行持续跟踪并提供故障分析报告，详细说明故障原因、处理过程、解决办法、预防措施等关键内容，由双方备案。一般故障说明在一个工作日内提供，重大故障说明在三个工作日内提供。</w:t>
      </w:r>
    </w:p>
    <w:p w14:paraId="1CD494CE">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9</w:t>
      </w:r>
      <w:r>
        <w:rPr>
          <w:rFonts w:hint="eastAsia" w:ascii="宋体" w:hAnsi="宋体" w:eastAsia="宋体" w:cs="宋体"/>
          <w:sz w:val="24"/>
          <w:szCs w:val="24"/>
          <w:lang w:eastAsia="zh-CN"/>
        </w:rPr>
        <w:t>）</w:t>
      </w:r>
      <w:r>
        <w:rPr>
          <w:rFonts w:hint="eastAsia" w:ascii="宋体" w:hAnsi="宋体" w:eastAsia="宋体" w:cs="宋体"/>
          <w:sz w:val="24"/>
          <w:szCs w:val="24"/>
        </w:rPr>
        <w:t>维保服务商应定期根据IBM AIX操作系统的运行情况，及时免费进行设备控件升级，调整优化操作系统参数，定期清理各文件系统，确保操作系统平台运行稳定高效，根据用户和系统运转的需要，免费升级到操作系统的更新版本。</w:t>
      </w:r>
    </w:p>
    <w:p w14:paraId="729AD905">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w:t>
      </w:r>
      <w:r>
        <w:rPr>
          <w:rFonts w:hint="eastAsia" w:ascii="宋体" w:hAnsi="宋体" w:eastAsia="宋体" w:cs="宋体"/>
          <w:color w:val="000000"/>
          <w:sz w:val="24"/>
          <w:szCs w:val="24"/>
          <w:lang w:val="en-US" w:eastAsia="zh-CN"/>
        </w:rPr>
        <w:t>10</w:t>
      </w:r>
      <w:r>
        <w:rPr>
          <w:rFonts w:hint="eastAsia" w:ascii="宋体" w:hAnsi="宋体" w:eastAsia="宋体" w:cs="宋体"/>
          <w:color w:val="000000"/>
          <w:sz w:val="24"/>
          <w:szCs w:val="24"/>
        </w:rPr>
        <w:t>）服务承诺</w:t>
      </w:r>
    </w:p>
    <w:p w14:paraId="76D1F371">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投标人须在响应文件中提交《数据保密承诺和服务质量承诺书》，具体格式内容见采购文件《合同草案条款》合同附件4。</w:t>
      </w:r>
    </w:p>
    <w:p w14:paraId="386A339D">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2．</w:t>
      </w:r>
      <w:r>
        <w:rPr>
          <w:rFonts w:hint="eastAsia" w:ascii="宋体" w:hAnsi="宋体" w:eastAsia="宋体" w:cs="宋体"/>
          <w:color w:val="000000"/>
          <w:sz w:val="24"/>
          <w:szCs w:val="24"/>
          <w:lang w:val="en-US" w:eastAsia="zh-CN"/>
        </w:rPr>
        <w:t>核心数据</w:t>
      </w:r>
      <w:r>
        <w:rPr>
          <w:rFonts w:hint="eastAsia" w:ascii="宋体" w:hAnsi="宋体" w:eastAsia="宋体" w:cs="宋体"/>
          <w:color w:val="000000"/>
          <w:sz w:val="24"/>
          <w:szCs w:val="24"/>
        </w:rPr>
        <w:t>服务要求</w:t>
      </w:r>
    </w:p>
    <w:p w14:paraId="761CB519">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2.1、Oracle数据库系统维保服务及定期巡检服务。</w:t>
      </w:r>
    </w:p>
    <w:p w14:paraId="36768BCE">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（1）按照Oracle数据库管理维护标准做好采购方Oracle数据库的安装、配置、性能优化、备份、恢复、数据迁移等工作，并按照Oracle公司规范要求出具相关文档提交采购方。</w:t>
      </w:r>
    </w:p>
    <w:p w14:paraId="13764010">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2）因意外因素致使Oracle数据库无法正常工作，由投标方工程师及时检查并提出最优解决方案，以最小代价进行数据库恢复，最大限度降低故障对采购方带来的负面影响，记录故障恢复过程。故障排除后需派专人跟踪数据库运行情况，确保无误。</w:t>
      </w:r>
    </w:p>
    <w:p w14:paraId="1E5C92D3">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（3）建立数据库故障应急响应机制。充分了解数据库应用结构基础，建立数据库突发事件应急机制，以尽可能短的时间和代价保证应用的连续性。</w:t>
      </w:r>
    </w:p>
    <w:p w14:paraId="5C9F2973">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（4）当问题完全解决后，提交完整的问题解决文档，形成今后数据库系统维护参考。</w:t>
      </w:r>
    </w:p>
    <w:p w14:paraId="30D87E97">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（5）根据采购方要求，配合主机系统供应维护商，存储系统供应维护商和应用系统设计开发维护商，网络设备供应维护商等系统协建单位做好信息系统的运行、维护工作。</w:t>
      </w:r>
    </w:p>
    <w:p w14:paraId="64BC8CA0">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（6）根据采购方要求，做好数据库运行、维护、管理范围内的其它工作。</w:t>
      </w:r>
    </w:p>
    <w:p w14:paraId="191521E3">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7）与应用系统开发商等采购方指定单位积极配合，及时响应，并配合进行数据库系统调整（包括数据表空间的监控和调整），承担及时的维护与优化服务工作（包括为应用系统优化提供参考意见），根据采购方要求定期刷新应用系统测试数据库。</w:t>
      </w:r>
    </w:p>
    <w:p w14:paraId="132934E9">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（8）负责采购方容灾系统数据库的运行与维护，并参照生产系统数据库提供相应的服务支持，根据采购方要求配合其他协建单位定期参加信息系统容灾演练。</w:t>
      </w:r>
    </w:p>
    <w:p w14:paraId="6BCF28A5">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（9）负责备份系统数据库的建设、运维工作，提供数据库恢复测试方案，并按照采购方要求进行数据库恢复测试。</w:t>
      </w:r>
    </w:p>
    <w:p w14:paraId="657D1DBA">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（10）服务期内每月为采购方进行一次全面巡检并提交巡检报告。</w:t>
      </w:r>
    </w:p>
    <w:p w14:paraId="10EF02D5">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2.2、Oracle Goldengate 容灾系统软件维保服务及定期巡检服务。</w:t>
      </w:r>
    </w:p>
    <w:p w14:paraId="3819146D">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（1）容灾数据库系统紧急故障处理服务</w:t>
      </w:r>
    </w:p>
    <w:p w14:paraId="31400CC5">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当发生容灾数据库突发性故障时，如数据库宕机、数据坏块、备份恢复、数据库 BUG 等严重影响正常生产运行的数据库故障，可以首先采用电话、财政专网等方式远程登录提供服务支持，当电话或远程登录服务不能在半小时内解决问题时，投标方必须派出工程师并在4个小时内到达采购方现场。要求现场或远程服务人员对AIX， Linux等相关操作系统和DB的使用操作命令熟练掌握；要求从响应（接到电话）开始（如是硬件故障则从硬件恢复时间开始算起）在数据库恢复后将向招标方提供故障分析报告，对招标方相关人员进行恢复培训。要求投标方服务人员对主机，存储，网络等硬件要熟悉了解，在发生故障时能及时准确的定位问题所在。</w:t>
      </w:r>
    </w:p>
    <w:p w14:paraId="6C8FE61B">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（2）容灾系统定期例行巡检服务</w:t>
      </w:r>
    </w:p>
    <w:p w14:paraId="29F5CF88">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针对Oracle Goldengate容灾系统的稳定运行及高可用性，检查并提供分析与建议。</w:t>
      </w:r>
    </w:p>
    <w:p w14:paraId="48BFFAF4">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提供OGG容灾的维护工作，必须保证容灾的正常同步，保证数据库的一致性。保证数据同步链路不发生中断，数据同步链路发生中断后要在</w:t>
      </w:r>
      <w:r>
        <w:rPr>
          <w:rFonts w:hint="eastAsia" w:ascii="宋体" w:hAnsi="宋体" w:eastAsia="宋体" w:cs="宋体"/>
          <w:color w:val="000000"/>
          <w:sz w:val="24"/>
          <w:szCs w:val="24"/>
          <w:lang w:val="en-US" w:eastAsia="zh-CN"/>
        </w:rPr>
        <w:t>6</w:t>
      </w:r>
      <w:r>
        <w:rPr>
          <w:rFonts w:hint="eastAsia" w:ascii="宋体" w:hAnsi="宋体" w:eastAsia="宋体" w:cs="宋体"/>
          <w:color w:val="000000"/>
          <w:sz w:val="24"/>
          <w:szCs w:val="24"/>
        </w:rPr>
        <w:t>小时之内</w:t>
      </w:r>
      <w:r>
        <w:rPr>
          <w:rFonts w:hint="eastAsia" w:ascii="宋体" w:hAnsi="宋体" w:eastAsia="宋体" w:cs="宋体"/>
          <w:color w:val="000000"/>
          <w:sz w:val="24"/>
          <w:szCs w:val="24"/>
          <w:lang w:val="en-US" w:eastAsia="zh-CN"/>
        </w:rPr>
        <w:t>开始，24小内</w:t>
      </w:r>
      <w:r>
        <w:rPr>
          <w:rFonts w:hint="eastAsia" w:ascii="宋体" w:hAnsi="宋体" w:eastAsia="宋体" w:cs="宋体"/>
          <w:color w:val="000000"/>
          <w:sz w:val="24"/>
          <w:szCs w:val="24"/>
        </w:rPr>
        <w:t>恢复</w:t>
      </w:r>
      <w:r>
        <w:rPr>
          <w:rFonts w:hint="eastAsia" w:ascii="宋体" w:hAnsi="宋体" w:eastAsia="宋体" w:cs="宋体"/>
          <w:color w:val="000000"/>
          <w:sz w:val="24"/>
          <w:szCs w:val="24"/>
          <w:lang w:val="en-US" w:eastAsia="zh-CN"/>
        </w:rPr>
        <w:t>完成</w:t>
      </w:r>
      <w:r>
        <w:rPr>
          <w:rFonts w:hint="eastAsia" w:ascii="宋体" w:hAnsi="宋体" w:eastAsia="宋体" w:cs="宋体"/>
          <w:color w:val="000000"/>
          <w:sz w:val="24"/>
          <w:szCs w:val="24"/>
        </w:rPr>
        <w:t>。</w:t>
      </w:r>
    </w:p>
    <w:p w14:paraId="5C9D3857">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针对容灾Oracle在相关硬件及软件环境中的配置提出建议，提供性能及配置检查报告。应包含但不仅限于以下内容：数据库安装、数据库同步软件的安装、排错，检查容灾系统和生产数据库判断是否需要应用最新的补丁集，检查数据库备份的完整性，灾容数据库补丁的安装、升级服务与实施。</w:t>
      </w:r>
    </w:p>
    <w:p w14:paraId="7E86CFD8">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定期进行现场巡检服务要求至少每1月提供一次(12次/年)。工程师到现场后要生成巡检报告，在巡检过程中发现问题或者隐患，要能够分析问题原因并提出书面整改意见。特殊情况随时响应。</w:t>
      </w:r>
    </w:p>
    <w:p w14:paraId="378A653A">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服务期内投标方须制定出现重大故障时的应急备份切换方案及措施，确保用户方的关键业务系统在最短时间内恢复。</w:t>
      </w:r>
    </w:p>
    <w:p w14:paraId="0B9BC99C">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2.3、数据库性能监测及优化</w:t>
      </w:r>
    </w:p>
    <w:p w14:paraId="34DA81F1">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每月对生产数据库进行现场采集，由投标方专业数据库分析人员对数据进行分析，提供相关的数据</w:t>
      </w:r>
      <w:r>
        <w:rPr>
          <w:rFonts w:hint="eastAsia" w:ascii="宋体" w:hAnsi="宋体" w:eastAsia="宋体" w:cs="宋体"/>
          <w:color w:val="000000"/>
          <w:sz w:val="24"/>
          <w:szCs w:val="24"/>
          <w:lang w:val="en-US" w:eastAsia="zh-CN"/>
        </w:rPr>
        <w:t>性能</w:t>
      </w:r>
      <w:r>
        <w:rPr>
          <w:rFonts w:hint="eastAsia" w:ascii="宋体" w:hAnsi="宋体" w:eastAsia="宋体" w:cs="宋体"/>
          <w:color w:val="000000"/>
          <w:sz w:val="24"/>
          <w:szCs w:val="24"/>
        </w:rPr>
        <w:t>报告，然后根据具体的报告数据进行数据库性能分析、优化、调整，应用程序优 化调整及操作系统性能优化调整。</w:t>
      </w:r>
    </w:p>
    <w:p w14:paraId="6E6DC185">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2.4、Symantec NBU备份软件本地服务系统故障处理及巡检服务</w:t>
      </w:r>
    </w:p>
    <w:p w14:paraId="3CCFEFE1">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针对徐州市财政局一体备份系统要求，当备份系统发现故障时，如数据库无法备份，备份服务器无法启动、使用</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当电话或远程登录服务不能在半小时内解决问题时，维保服务商必须派出工程师并在4个小时内到达</w:t>
      </w:r>
      <w:r>
        <w:rPr>
          <w:rFonts w:hint="eastAsia" w:ascii="宋体" w:hAnsi="宋体" w:eastAsia="宋体" w:cs="宋体"/>
          <w:color w:val="000000"/>
          <w:sz w:val="24"/>
          <w:szCs w:val="24"/>
          <w:lang w:val="en-US" w:eastAsia="zh-CN"/>
        </w:rPr>
        <w:t>采购</w:t>
      </w:r>
      <w:r>
        <w:rPr>
          <w:rFonts w:hint="eastAsia" w:ascii="宋体" w:hAnsi="宋体" w:eastAsia="宋体" w:cs="宋体"/>
          <w:color w:val="000000"/>
          <w:sz w:val="24"/>
          <w:szCs w:val="24"/>
        </w:rPr>
        <w:t>方现场</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以最小的代价进行恢复，以最大限度降低故障对采购方的业务环境带来的负面影响， 同时记录故障的恢复过程。要求现场或远程服务人员对AIX、Linux、Windows等操作系统和Oracle的使用操作命令熟练掌握；并对集中式数据备份架构有很深入的了解。</w:t>
      </w:r>
    </w:p>
    <w:p w14:paraId="7F3680D7">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2.5、Symantec NBU备份软件恢复演练</w:t>
      </w:r>
    </w:p>
    <w:p w14:paraId="3CA88DDC">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针对徐州市财政局备份的各业务数据，分别定期进行异机环境的恢复演练，确保数据备份和恢复的有效性和可恢复性。</w:t>
      </w:r>
      <w:r>
        <w:rPr>
          <w:rFonts w:hint="eastAsia" w:ascii="宋体" w:hAnsi="宋体" w:eastAsia="宋体" w:cs="宋体"/>
          <w:color w:val="000000"/>
          <w:sz w:val="24"/>
          <w:szCs w:val="24"/>
          <w:lang w:val="en-US" w:eastAsia="zh-CN"/>
        </w:rPr>
        <w:t>维保期内至少</w:t>
      </w:r>
      <w:r>
        <w:rPr>
          <w:rFonts w:hint="eastAsia" w:ascii="宋体" w:hAnsi="宋体" w:eastAsia="宋体" w:cs="宋体"/>
          <w:color w:val="000000"/>
          <w:sz w:val="24"/>
          <w:szCs w:val="24"/>
        </w:rPr>
        <w:t>为采购方进行一次现场备份恢复演练。要求现场或远程服务人员对AIX、Linux，windows等操作系统和Oracle的使用操作命令熟练掌握，能够独立搭建在各个操作系统平台的恢复演练环境。</w:t>
      </w:r>
    </w:p>
    <w:p w14:paraId="7CB7A702">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rPr>
        <w:t>2.</w:t>
      </w:r>
      <w:r>
        <w:rPr>
          <w:rFonts w:hint="eastAsia" w:ascii="宋体" w:hAnsi="宋体" w:eastAsia="宋体" w:cs="宋体"/>
          <w:color w:val="000000"/>
          <w:sz w:val="24"/>
          <w:szCs w:val="24"/>
          <w:lang w:val="en-US" w:eastAsia="zh-CN"/>
        </w:rPr>
        <w:t>6</w:t>
      </w:r>
      <w:r>
        <w:rPr>
          <w:rFonts w:hint="eastAsia" w:ascii="宋体" w:hAnsi="宋体" w:eastAsia="宋体" w:cs="宋体"/>
          <w:color w:val="000000"/>
          <w:sz w:val="24"/>
          <w:szCs w:val="24"/>
        </w:rPr>
        <w:t>、</w:t>
      </w:r>
      <w:r>
        <w:rPr>
          <w:rFonts w:hint="eastAsia" w:ascii="宋体" w:hAnsi="宋体" w:eastAsia="宋体" w:cs="宋体"/>
          <w:color w:val="000000"/>
          <w:sz w:val="24"/>
          <w:szCs w:val="24"/>
          <w:lang w:val="en-US" w:eastAsia="zh-CN"/>
        </w:rPr>
        <w:t>vplex存储双活灾备维保服务</w:t>
      </w:r>
    </w:p>
    <w:p w14:paraId="283DBA05">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针对徐州市财政局的vplex双活业务，确保</w:t>
      </w:r>
      <w:r>
        <w:rPr>
          <w:rFonts w:hint="eastAsia" w:ascii="宋体" w:hAnsi="宋体" w:eastAsia="宋体" w:cs="宋体"/>
          <w:color w:val="000000"/>
          <w:sz w:val="24"/>
          <w:szCs w:val="24"/>
        </w:rPr>
        <w:t xml:space="preserve"> VPLEX 存储双活链路</w:t>
      </w:r>
      <w:r>
        <w:rPr>
          <w:rFonts w:hint="eastAsia" w:ascii="宋体" w:hAnsi="宋体" w:eastAsia="宋体" w:cs="宋体"/>
          <w:color w:val="000000"/>
          <w:sz w:val="24"/>
          <w:szCs w:val="24"/>
          <w:lang w:val="en-US" w:eastAsia="zh-CN"/>
        </w:rPr>
        <w:t>正常</w:t>
      </w:r>
      <w:r>
        <w:rPr>
          <w:rFonts w:hint="eastAsia" w:ascii="宋体" w:hAnsi="宋体" w:eastAsia="宋体" w:cs="宋体"/>
          <w:color w:val="000000"/>
          <w:sz w:val="24"/>
          <w:szCs w:val="24"/>
        </w:rPr>
        <w:t>，</w:t>
      </w:r>
      <w:r>
        <w:rPr>
          <w:rFonts w:hint="eastAsia" w:ascii="宋体" w:hAnsi="宋体" w:eastAsia="宋体" w:cs="宋体"/>
          <w:color w:val="000000"/>
          <w:sz w:val="24"/>
          <w:szCs w:val="24"/>
          <w:lang w:val="en-US" w:eastAsia="zh-CN"/>
        </w:rPr>
        <w:t>在同步情况</w:t>
      </w:r>
      <w:r>
        <w:rPr>
          <w:rFonts w:hint="eastAsia" w:ascii="宋体" w:hAnsi="宋体" w:eastAsia="宋体" w:cs="宋体"/>
          <w:color w:val="000000"/>
          <w:sz w:val="24"/>
          <w:szCs w:val="24"/>
        </w:rPr>
        <w:t>下存储高可用与数据一致性，分布式卷同步状态无延迟</w:t>
      </w:r>
      <w:r>
        <w:rPr>
          <w:rFonts w:hint="eastAsia" w:ascii="宋体" w:hAnsi="宋体" w:eastAsia="宋体" w:cs="宋体"/>
          <w:color w:val="000000"/>
          <w:sz w:val="24"/>
          <w:szCs w:val="24"/>
          <w:lang w:val="en-US" w:eastAsia="zh-CN"/>
        </w:rPr>
        <w:t>和</w:t>
      </w:r>
      <w:r>
        <w:rPr>
          <w:rFonts w:hint="eastAsia" w:ascii="宋体" w:hAnsi="宋体" w:eastAsia="宋体" w:cs="宋体"/>
          <w:color w:val="000000"/>
          <w:sz w:val="24"/>
          <w:szCs w:val="24"/>
        </w:rPr>
        <w:t>断连、心跳链路连通</w:t>
      </w:r>
      <w:r>
        <w:rPr>
          <w:rFonts w:hint="eastAsia" w:ascii="宋体" w:hAnsi="宋体" w:eastAsia="宋体" w:cs="宋体"/>
          <w:color w:val="000000"/>
          <w:sz w:val="24"/>
          <w:szCs w:val="24"/>
          <w:lang w:val="en-US" w:eastAsia="zh-CN"/>
        </w:rPr>
        <w:t>性的监控。</w:t>
      </w:r>
      <w:r>
        <w:rPr>
          <w:rFonts w:hint="eastAsia" w:ascii="宋体" w:hAnsi="宋体" w:eastAsia="宋体" w:cs="宋体"/>
          <w:color w:val="000000"/>
          <w:sz w:val="24"/>
          <w:szCs w:val="24"/>
        </w:rPr>
        <w:t>​</w:t>
      </w:r>
    </w:p>
    <w:p w14:paraId="3D67D0C3">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对vplex</w:t>
      </w:r>
      <w:r>
        <w:rPr>
          <w:rFonts w:hint="eastAsia" w:ascii="宋体" w:hAnsi="宋体" w:eastAsia="宋体" w:cs="宋体"/>
          <w:color w:val="000000"/>
          <w:sz w:val="24"/>
          <w:szCs w:val="24"/>
        </w:rPr>
        <w:t>软件版本日志、存储卷容量使用率</w:t>
      </w:r>
      <w:r>
        <w:rPr>
          <w:rFonts w:hint="eastAsia" w:ascii="宋体" w:hAnsi="宋体" w:eastAsia="宋体" w:cs="宋体"/>
          <w:color w:val="000000"/>
          <w:sz w:val="24"/>
          <w:szCs w:val="24"/>
          <w:lang w:eastAsia="zh-CN"/>
        </w:rPr>
        <w:t>，配置变更</w:t>
      </w:r>
      <w:r>
        <w:rPr>
          <w:rFonts w:hint="eastAsia" w:ascii="宋体" w:hAnsi="宋体" w:eastAsia="宋体" w:cs="宋体"/>
          <w:color w:val="000000"/>
          <w:sz w:val="24"/>
          <w:szCs w:val="24"/>
          <w:lang w:val="en-US" w:eastAsia="zh-CN"/>
        </w:rPr>
        <w:t>等进行</w:t>
      </w:r>
      <w:r>
        <w:rPr>
          <w:rFonts w:hint="eastAsia" w:ascii="宋体" w:hAnsi="宋体" w:eastAsia="宋体" w:cs="宋体"/>
          <w:color w:val="000000"/>
          <w:sz w:val="24"/>
          <w:szCs w:val="24"/>
          <w:lang w:eastAsia="zh-CN"/>
        </w:rPr>
        <w:t>实时记录，包括卷扩容、一致性组调整、链路参数修改等，</w:t>
      </w:r>
      <w:r>
        <w:rPr>
          <w:rFonts w:hint="eastAsia" w:ascii="宋体" w:hAnsi="宋体" w:eastAsia="宋体" w:cs="宋体"/>
          <w:color w:val="000000"/>
          <w:sz w:val="24"/>
          <w:szCs w:val="24"/>
          <w:lang w:val="en-US" w:eastAsia="zh-CN"/>
        </w:rPr>
        <w:t>每年在数据库恢复演练时也同时要进行一次vplex双活模拟链路断开演练，确保双活的稳定运行和数据同步。</w:t>
      </w:r>
    </w:p>
    <w:p w14:paraId="0FF18C66">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rPr>
        <w:t>.维保服务备品备件要求：</w:t>
      </w:r>
    </w:p>
    <w:p w14:paraId="33E7912C">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b w:val="0"/>
          <w:bCs w:val="0"/>
          <w:color w:val="000000"/>
          <w:sz w:val="24"/>
          <w:szCs w:val="24"/>
        </w:rPr>
      </w:pPr>
      <w:r>
        <w:rPr>
          <w:rFonts w:hint="eastAsia" w:ascii="宋体" w:hAnsi="宋体" w:eastAsia="宋体" w:cs="宋体"/>
          <w:color w:val="000000"/>
          <w:sz w:val="24"/>
          <w:szCs w:val="24"/>
        </w:rPr>
        <w:t>（1）投标人须在江苏设有符合采购</w:t>
      </w:r>
      <w:r>
        <w:rPr>
          <w:rFonts w:hint="eastAsia" w:ascii="宋体" w:hAnsi="宋体" w:eastAsia="宋体" w:cs="宋体"/>
          <w:color w:val="000000"/>
          <w:sz w:val="24"/>
          <w:szCs w:val="24"/>
          <w:lang w:val="en-US" w:eastAsia="zh-CN"/>
        </w:rPr>
        <w:t>人</w:t>
      </w:r>
      <w:r>
        <w:rPr>
          <w:rFonts w:hint="eastAsia" w:ascii="宋体" w:hAnsi="宋体" w:eastAsia="宋体" w:cs="宋体"/>
          <w:color w:val="000000"/>
          <w:sz w:val="24"/>
          <w:szCs w:val="24"/>
        </w:rPr>
        <w:t>设备维保的备品备件库（提供相关证明材料），并书面承诺（加盖公章）。备品备件库应包含小型机，服务器，存储，网络等主要设备的CPU、内存、硬盘、电源、光纤卡等易损部件。</w:t>
      </w:r>
      <w:r>
        <w:rPr>
          <w:rFonts w:hint="eastAsia" w:ascii="宋体" w:hAnsi="宋体" w:eastAsia="宋体" w:cs="宋体"/>
          <w:b w:val="0"/>
          <w:bCs w:val="0"/>
          <w:color w:val="000000"/>
          <w:sz w:val="24"/>
          <w:szCs w:val="24"/>
          <w:lang w:val="en-US" w:eastAsia="zh-CN"/>
        </w:rPr>
        <w:t>成交</w:t>
      </w:r>
      <w:r>
        <w:rPr>
          <w:rFonts w:hint="eastAsia" w:ascii="宋体" w:hAnsi="宋体" w:eastAsia="宋体" w:cs="宋体"/>
          <w:b w:val="0"/>
          <w:bCs w:val="0"/>
          <w:color w:val="000000"/>
          <w:sz w:val="24"/>
          <w:szCs w:val="24"/>
        </w:rPr>
        <w:t>后，采购</w:t>
      </w:r>
      <w:r>
        <w:rPr>
          <w:rFonts w:hint="eastAsia" w:ascii="宋体" w:hAnsi="宋体" w:eastAsia="宋体" w:cs="宋体"/>
          <w:b w:val="0"/>
          <w:bCs w:val="0"/>
          <w:color w:val="000000"/>
          <w:sz w:val="24"/>
          <w:szCs w:val="24"/>
          <w:lang w:val="en-US" w:eastAsia="zh-CN"/>
        </w:rPr>
        <w:t>人</w:t>
      </w:r>
      <w:r>
        <w:rPr>
          <w:rFonts w:hint="eastAsia" w:ascii="宋体" w:hAnsi="宋体" w:eastAsia="宋体" w:cs="宋体"/>
          <w:b w:val="0"/>
          <w:bCs w:val="0"/>
          <w:color w:val="000000"/>
          <w:sz w:val="24"/>
          <w:szCs w:val="24"/>
        </w:rPr>
        <w:t>将随时进行走访查验，若发现</w:t>
      </w:r>
      <w:r>
        <w:rPr>
          <w:rFonts w:hint="eastAsia" w:ascii="宋体" w:hAnsi="宋体" w:eastAsia="宋体" w:cs="宋体"/>
          <w:b w:val="0"/>
          <w:bCs w:val="0"/>
          <w:color w:val="000000"/>
          <w:sz w:val="24"/>
          <w:szCs w:val="24"/>
          <w:lang w:val="en-US" w:eastAsia="zh-CN"/>
        </w:rPr>
        <w:t>成交供应商</w:t>
      </w:r>
      <w:r>
        <w:rPr>
          <w:rFonts w:hint="eastAsia" w:ascii="宋体" w:hAnsi="宋体" w:eastAsia="宋体" w:cs="宋体"/>
          <w:b w:val="0"/>
          <w:bCs w:val="0"/>
          <w:color w:val="000000"/>
          <w:sz w:val="24"/>
          <w:szCs w:val="24"/>
        </w:rPr>
        <w:t>不能达到该要求，采购</w:t>
      </w:r>
      <w:r>
        <w:rPr>
          <w:rFonts w:hint="eastAsia" w:ascii="宋体" w:hAnsi="宋体" w:eastAsia="宋体" w:cs="宋体"/>
          <w:b w:val="0"/>
          <w:bCs w:val="0"/>
          <w:color w:val="000000"/>
          <w:sz w:val="24"/>
          <w:szCs w:val="24"/>
          <w:lang w:val="en-US" w:eastAsia="zh-CN"/>
        </w:rPr>
        <w:t>人</w:t>
      </w:r>
      <w:r>
        <w:rPr>
          <w:rFonts w:hint="eastAsia" w:ascii="宋体" w:hAnsi="宋体" w:eastAsia="宋体" w:cs="宋体"/>
          <w:b w:val="0"/>
          <w:bCs w:val="0"/>
          <w:color w:val="000000"/>
          <w:sz w:val="24"/>
          <w:szCs w:val="24"/>
        </w:rPr>
        <w:t>有权申请取消</w:t>
      </w:r>
      <w:r>
        <w:rPr>
          <w:rFonts w:hint="eastAsia" w:ascii="宋体" w:hAnsi="宋体" w:eastAsia="宋体" w:cs="宋体"/>
          <w:b w:val="0"/>
          <w:bCs w:val="0"/>
          <w:color w:val="000000"/>
          <w:sz w:val="24"/>
          <w:szCs w:val="24"/>
          <w:lang w:val="en-US" w:eastAsia="zh-CN"/>
        </w:rPr>
        <w:t>成交供应商成交</w:t>
      </w:r>
      <w:r>
        <w:rPr>
          <w:rFonts w:hint="eastAsia" w:ascii="宋体" w:hAnsi="宋体" w:eastAsia="宋体" w:cs="宋体"/>
          <w:b w:val="0"/>
          <w:bCs w:val="0"/>
          <w:color w:val="000000"/>
          <w:sz w:val="24"/>
          <w:szCs w:val="24"/>
        </w:rPr>
        <w:t>资格。</w:t>
      </w:r>
    </w:p>
    <w:p w14:paraId="1A278901">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（2）为了保证核心业务的运行，成交供应商须无条件响应采购人在现场放置小型机整机备机</w:t>
      </w:r>
      <w:r>
        <w:rPr>
          <w:rFonts w:hint="eastAsia" w:ascii="宋体" w:hAnsi="宋体" w:eastAsia="宋体" w:cs="宋体"/>
          <w:color w:val="000000"/>
          <w:sz w:val="24"/>
          <w:szCs w:val="24"/>
          <w:lang w:val="en-US" w:eastAsia="zh-CN"/>
        </w:rPr>
        <w:t>的要求，以满足定期数据库异机还原和灾备的要求，必要情况下还要提供</w:t>
      </w:r>
      <w:r>
        <w:rPr>
          <w:rFonts w:hint="eastAsia" w:ascii="宋体" w:hAnsi="宋体" w:eastAsia="宋体" w:cs="宋体"/>
          <w:color w:val="000000"/>
          <w:sz w:val="24"/>
          <w:szCs w:val="24"/>
        </w:rPr>
        <w:t>服务器、存储、容灾备份及核心网络设备。</w:t>
      </w:r>
    </w:p>
    <w:p w14:paraId="5D25A728">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（3）本项目所有维护设备必须使用原厂备品备件。</w:t>
      </w:r>
    </w:p>
    <w:p w14:paraId="4B02C1F9">
      <w:pPr>
        <w:keepNext w:val="0"/>
        <w:keepLines w:val="0"/>
        <w:pageBreakBefore w:val="0"/>
        <w:widowControl w:val="0"/>
        <w:kinsoku/>
        <w:wordWrap/>
        <w:overflowPunct/>
        <w:topLinePunct w:val="0"/>
        <w:autoSpaceDE/>
        <w:autoSpaceDN/>
        <w:bidi w:val="0"/>
        <w:spacing w:line="360" w:lineRule="auto"/>
        <w:ind w:firstLine="482" w:firstLineChars="200"/>
        <w:textAlignment w:val="auto"/>
        <w:rPr>
          <w:rFonts w:hint="eastAsia" w:ascii="宋体" w:hAnsi="宋体" w:eastAsia="宋体" w:cs="宋体"/>
          <w:color w:val="000000"/>
          <w:sz w:val="24"/>
          <w:szCs w:val="24"/>
        </w:rPr>
      </w:pPr>
      <w:r>
        <w:rPr>
          <w:rFonts w:hint="eastAsia" w:ascii="宋体" w:hAnsi="宋体" w:eastAsia="宋体" w:cs="宋体"/>
          <w:b/>
          <w:color w:val="000000"/>
          <w:sz w:val="24"/>
          <w:szCs w:val="24"/>
        </w:rPr>
        <w:t>说明：本</w:t>
      </w:r>
      <w:r>
        <w:rPr>
          <w:rFonts w:hint="eastAsia" w:ascii="宋体" w:hAnsi="宋体" w:eastAsia="宋体" w:cs="宋体"/>
          <w:b/>
          <w:color w:val="000000"/>
          <w:sz w:val="24"/>
          <w:szCs w:val="24"/>
          <w:lang w:val="en-US" w:eastAsia="zh-CN"/>
        </w:rPr>
        <w:t>项</w:t>
      </w:r>
      <w:r>
        <w:rPr>
          <w:rFonts w:hint="eastAsia" w:ascii="宋体" w:hAnsi="宋体" w:eastAsia="宋体" w:cs="宋体"/>
          <w:b/>
          <w:color w:val="000000"/>
          <w:sz w:val="24"/>
          <w:szCs w:val="24"/>
        </w:rPr>
        <w:t>“（</w:t>
      </w:r>
      <w:r>
        <w:rPr>
          <w:rFonts w:hint="eastAsia" w:ascii="宋体" w:hAnsi="宋体" w:eastAsia="宋体" w:cs="宋体"/>
          <w:b/>
          <w:color w:val="000000"/>
          <w:sz w:val="24"/>
          <w:szCs w:val="24"/>
          <w:lang w:val="en-US" w:eastAsia="zh-CN"/>
        </w:rPr>
        <w:t>2</w:t>
      </w:r>
      <w:r>
        <w:rPr>
          <w:rFonts w:hint="eastAsia" w:ascii="宋体" w:hAnsi="宋体" w:eastAsia="宋体" w:cs="宋体"/>
          <w:b/>
          <w:color w:val="000000"/>
          <w:sz w:val="24"/>
          <w:szCs w:val="24"/>
        </w:rPr>
        <w:t>）”要求为</w:t>
      </w:r>
      <w:r>
        <w:rPr>
          <w:rFonts w:hint="eastAsia" w:ascii="宋体" w:hAnsi="宋体" w:eastAsia="宋体" w:cs="宋体"/>
          <w:b/>
          <w:color w:val="000000"/>
          <w:kern w:val="0"/>
          <w:sz w:val="24"/>
          <w:szCs w:val="24"/>
        </w:rPr>
        <w:t>实质性要求，如不提供</w:t>
      </w:r>
      <w:r>
        <w:rPr>
          <w:rFonts w:hint="eastAsia" w:ascii="宋体" w:hAnsi="宋体" w:eastAsia="宋体" w:cs="宋体"/>
          <w:b/>
          <w:color w:val="000000"/>
          <w:kern w:val="0"/>
          <w:sz w:val="24"/>
          <w:szCs w:val="24"/>
          <w:lang w:val="en-US" w:eastAsia="zh-CN"/>
        </w:rPr>
        <w:t>小型机备机</w:t>
      </w:r>
      <w:r>
        <w:rPr>
          <w:rFonts w:hint="eastAsia" w:ascii="宋体" w:hAnsi="宋体" w:eastAsia="宋体" w:cs="宋体"/>
          <w:b/>
          <w:color w:val="000000"/>
          <w:kern w:val="0"/>
          <w:sz w:val="24"/>
          <w:szCs w:val="24"/>
        </w:rPr>
        <w:t>，在符合性审查时按照投标无效处理。</w:t>
      </w:r>
    </w:p>
    <w:p w14:paraId="3BC2EE8F">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.维保服务巡检和预防性维护要求：</w:t>
      </w:r>
    </w:p>
    <w:p w14:paraId="6637B872">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必须提供不少于每月1次的上门系统巡检和预防性维护（包括设备的全面检查、故障部件的免费更换、现场故障排除、建立设备档案、提供巡检报告等），及时发现设备系统隐患，做到防患于未然。</w:t>
      </w:r>
    </w:p>
    <w:p w14:paraId="2B7656CB">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5</w:t>
      </w:r>
      <w:r>
        <w:rPr>
          <w:rFonts w:hint="eastAsia" w:ascii="宋体" w:hAnsi="宋体" w:eastAsia="宋体" w:cs="宋体"/>
          <w:color w:val="000000"/>
          <w:sz w:val="24"/>
          <w:szCs w:val="24"/>
        </w:rPr>
        <w:t>.维保服务响应时间要求：</w:t>
      </w:r>
    </w:p>
    <w:p w14:paraId="1E3EA930">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提供7×24小时维护服务，包括电话支持、远程支持、现场支持等技术支持和服务。对于采购人故障申告的服务电话在10分钟内响应；需要技术工程师到达现场的，不超过2小时，并且在到达现场后的12小时内予以解决技术问题和更新故障软硬件。</w:t>
      </w:r>
    </w:p>
    <w:p w14:paraId="7C48F65C">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2）当发生紧急故障、系统调整、软件上线或者升级等需要技术配合的情况时，能够根据采购人规定的时间和技术要求提供现场服务。并提供应对采购人各种故障的应急预案，如不能在承诺时间内解决技术问题和更新故障软硬件的，应提供备机服务。</w:t>
      </w:r>
    </w:p>
    <w:p w14:paraId="765873D8">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（3）如未能在承诺时间内解决故障、恢复系统运行或者未按要求提供原厂配件的，采购人有权请第三方进行处理，发生的所有费用由</w:t>
      </w:r>
      <w:r>
        <w:rPr>
          <w:rFonts w:hint="eastAsia" w:ascii="宋体" w:hAnsi="宋体" w:eastAsia="宋体" w:cs="宋体"/>
          <w:b/>
          <w:bCs/>
          <w:color w:val="000000"/>
          <w:sz w:val="24"/>
          <w:szCs w:val="24"/>
          <w:lang w:val="en-US" w:eastAsia="zh-CN"/>
        </w:rPr>
        <w:t>成交供应商</w:t>
      </w:r>
      <w:r>
        <w:rPr>
          <w:rFonts w:hint="eastAsia" w:ascii="宋体" w:hAnsi="宋体" w:eastAsia="宋体" w:cs="宋体"/>
          <w:color w:val="000000"/>
          <w:sz w:val="24"/>
          <w:szCs w:val="24"/>
        </w:rPr>
        <w:t>支付。</w:t>
      </w:r>
    </w:p>
    <w:p w14:paraId="2FE755A4">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（4）因成交供应商自身原因造成采购人软硬件损坏、故障未能按期排除或未能完全排除的，成交供应商应赔偿采购人的全部损失及因此给造成的其他损失。</w:t>
      </w:r>
    </w:p>
    <w:p w14:paraId="6B4530EA">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6</w:t>
      </w:r>
      <w:r>
        <w:rPr>
          <w:rFonts w:hint="eastAsia" w:ascii="宋体" w:hAnsi="宋体" w:eastAsia="宋体" w:cs="宋体"/>
          <w:color w:val="000000"/>
          <w:sz w:val="24"/>
          <w:szCs w:val="24"/>
        </w:rPr>
        <w:t>.</w:t>
      </w:r>
      <w:r>
        <w:rPr>
          <w:rFonts w:hint="eastAsia" w:ascii="宋体" w:hAnsi="宋体" w:eastAsia="宋体" w:cs="宋体"/>
          <w:color w:val="000000"/>
          <w:sz w:val="24"/>
          <w:szCs w:val="24"/>
          <w:lang w:val="en-US" w:eastAsia="zh-CN"/>
        </w:rPr>
        <w:t>现场勘查</w:t>
      </w:r>
    </w:p>
    <w:p w14:paraId="20D3FE4A">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投标人需在对现有环境进行勘查，根据现场勘查情况制定符合上述要求的实施方案，投标人需在投标文件中提供经用户现场确认的“现场勘查回执”，否则视为无效投标。</w:t>
      </w:r>
    </w:p>
    <w:p w14:paraId="0CD3A3D8">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现场勘查回执</w:t>
      </w:r>
    </w:p>
    <w:p w14:paraId="6B20D792">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兹证明 （投标单位）已派_________（电话：______________ ）到现场踏勘。投标单位已了解</w:t>
      </w:r>
      <w:r>
        <w:rPr>
          <w:rFonts w:hint="eastAsia" w:ascii="宋体" w:hAnsi="宋体" w:eastAsia="宋体" w:cs="宋体"/>
          <w:color w:val="000000"/>
          <w:sz w:val="24"/>
          <w:szCs w:val="24"/>
          <w:lang w:eastAsia="zh-CN"/>
        </w:rPr>
        <w:t>财政机房核心软硬件系统维保</w:t>
      </w:r>
      <w:r>
        <w:rPr>
          <w:rFonts w:hint="eastAsia" w:ascii="宋体" w:hAnsi="宋体" w:eastAsia="宋体" w:cs="宋体"/>
          <w:color w:val="000000"/>
          <w:sz w:val="24"/>
          <w:szCs w:val="24"/>
        </w:rPr>
        <w:t>项目现场情况，主要内容包括但不限于：</w:t>
      </w:r>
    </w:p>
    <w:p w14:paraId="1DD24675">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网络拓扑结构；</w:t>
      </w:r>
    </w:p>
    <w:p w14:paraId="21BC500C">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小型机</w:t>
      </w:r>
      <w:r>
        <w:rPr>
          <w:rFonts w:hint="eastAsia" w:ascii="宋体" w:hAnsi="宋体" w:eastAsia="宋体" w:cs="宋体"/>
          <w:color w:val="000000"/>
          <w:sz w:val="24"/>
          <w:szCs w:val="24"/>
        </w:rPr>
        <w:t>服务器及存储连接配置情况；</w:t>
      </w:r>
    </w:p>
    <w:p w14:paraId="335093CA">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数据</w:t>
      </w:r>
      <w:r>
        <w:rPr>
          <w:rFonts w:hint="eastAsia" w:ascii="宋体" w:hAnsi="宋体" w:eastAsia="宋体" w:cs="宋体"/>
          <w:color w:val="000000"/>
          <w:sz w:val="24"/>
          <w:szCs w:val="24"/>
          <w:lang w:val="en-US" w:eastAsia="zh-CN"/>
        </w:rPr>
        <w:t>库和</w:t>
      </w:r>
      <w:r>
        <w:rPr>
          <w:rFonts w:hint="eastAsia" w:ascii="宋体" w:hAnsi="宋体" w:eastAsia="宋体" w:cs="宋体"/>
          <w:color w:val="000000"/>
          <w:sz w:val="24"/>
          <w:szCs w:val="24"/>
        </w:rPr>
        <w:t>备份情况；</w:t>
      </w:r>
    </w:p>
    <w:p w14:paraId="4105D1A6">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系统应用情况；</w:t>
      </w:r>
    </w:p>
    <w:p w14:paraId="1CFFBC8F">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机房环境。</w:t>
      </w:r>
    </w:p>
    <w:p w14:paraId="0C81EACD">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rPr>
        <w:t>招标人：</w:t>
      </w:r>
      <w:r>
        <w:rPr>
          <w:rFonts w:hint="eastAsia" w:ascii="宋体" w:hAnsi="宋体" w:eastAsia="宋体" w:cs="宋体"/>
          <w:color w:val="000000"/>
          <w:sz w:val="24"/>
          <w:szCs w:val="24"/>
          <w:lang w:val="en-US" w:eastAsia="zh-CN"/>
        </w:rPr>
        <w:t>徐州市财政效能中心              投标</w:t>
      </w:r>
      <w:r>
        <w:rPr>
          <w:rFonts w:hint="eastAsia" w:ascii="宋体" w:hAnsi="宋体" w:eastAsia="宋体" w:cs="宋体"/>
          <w:color w:val="000000"/>
          <w:sz w:val="24"/>
          <w:szCs w:val="24"/>
        </w:rPr>
        <w:t>人：</w:t>
      </w:r>
    </w:p>
    <w:p w14:paraId="6D3C9D85">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负责人：                                勘查人：</w:t>
      </w:r>
    </w:p>
    <w:p w14:paraId="1D192165">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color w:val="000000"/>
          <w:sz w:val="24"/>
          <w:szCs w:val="24"/>
        </w:rPr>
        <w:t xml:space="preserve">年 </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 xml:space="preserve">月 </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日</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 xml:space="preserve">年 </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 xml:space="preserve">月 </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日</w:t>
      </w:r>
    </w:p>
    <w:p w14:paraId="54DCFAC7">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cs="宋体"/>
          <w:color w:val="000000"/>
          <w:sz w:val="24"/>
          <w:szCs w:val="24"/>
          <w:lang w:val="en-US" w:eastAsia="zh-CN"/>
        </w:rPr>
        <w:t>7</w:t>
      </w:r>
      <w:r>
        <w:rPr>
          <w:rFonts w:hint="eastAsia" w:ascii="宋体" w:hAnsi="宋体" w:eastAsia="宋体" w:cs="宋体"/>
          <w:color w:val="000000"/>
          <w:sz w:val="24"/>
          <w:szCs w:val="24"/>
        </w:rPr>
        <w:t>.违约责任</w:t>
      </w:r>
    </w:p>
    <w:p w14:paraId="3C2DB23F">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服务如不达标，按以下规定进行违约处罚：</w:t>
      </w:r>
    </w:p>
    <w:p w14:paraId="5AA10AC4">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维保设备承载的核心系统因维保不到位发生第1次严重故障，扣除年度服务金额的5%，出现第2次严重故障扣除年度服务金额的10%，出现第3次严重故障，有权中止合同执行，并由中标人承担相应的经济及法律责任。</w:t>
      </w:r>
    </w:p>
    <w:p w14:paraId="17A56CA6">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成交供应商必须将对上述条款的承诺应答及相关技术方案、证明材料、资格证书等作为标书应答的一部分。</w:t>
      </w:r>
    </w:p>
    <w:p w14:paraId="0D5D8AA0">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（三）投标文件要求</w:t>
      </w:r>
    </w:p>
    <w:p w14:paraId="65846E3D">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1.响应文件中提供《维保服务方案》文件。</w:t>
      </w:r>
    </w:p>
    <w:p w14:paraId="692885AD">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2.按照以上“（二）维保服务具体要求”，《维保服务方案》包括：</w:t>
      </w:r>
    </w:p>
    <w:p w14:paraId="2EC1AA7E">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（1）维保服务具体方案；</w:t>
      </w:r>
    </w:p>
    <w:p w14:paraId="0B6DEE83">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（2）维保服务备品备件方案；</w:t>
      </w:r>
    </w:p>
    <w:p w14:paraId="5B9562A8">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（3）维保服务巡检和预防性维护方案；</w:t>
      </w:r>
    </w:p>
    <w:p w14:paraId="27B6B881">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000000"/>
          <w:sz w:val="24"/>
          <w:szCs w:val="24"/>
          <w:lang w:eastAsia="zh-CN"/>
        </w:rPr>
      </w:pPr>
      <w:r>
        <w:rPr>
          <w:rFonts w:hint="eastAsia" w:ascii="宋体" w:hAnsi="宋体" w:eastAsia="宋体" w:cs="宋体"/>
          <w:color w:val="000000"/>
          <w:sz w:val="24"/>
          <w:szCs w:val="24"/>
        </w:rPr>
        <w:t>（4）维保服务响应时间方案。</w:t>
      </w:r>
    </w:p>
    <w:p w14:paraId="4C50FE09">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四、维保服务人员要求</w:t>
      </w:r>
    </w:p>
    <w:p w14:paraId="23B0ABFC">
      <w:pPr>
        <w:keepNext w:val="0"/>
        <w:keepLines w:val="0"/>
        <w:pageBreakBefore w:val="0"/>
        <w:widowControl w:val="0"/>
        <w:kinsoku/>
        <w:wordWrap/>
        <w:overflowPunct/>
        <w:topLinePunct w:val="0"/>
        <w:autoSpaceDE/>
        <w:autoSpaceDN/>
        <w:bidi w:val="0"/>
        <w:spacing w:line="360" w:lineRule="auto"/>
        <w:ind w:firstLine="480" w:firstLineChars="200"/>
        <w:textAlignment w:val="auto"/>
        <w:outlineLvl w:val="0"/>
        <w:rPr>
          <w:rFonts w:hint="eastAsia" w:ascii="宋体" w:hAnsi="宋体" w:eastAsia="宋体" w:cs="宋体"/>
          <w:color w:val="000000"/>
          <w:sz w:val="24"/>
          <w:szCs w:val="24"/>
        </w:rPr>
      </w:pPr>
      <w:r>
        <w:rPr>
          <w:rFonts w:hint="eastAsia" w:ascii="宋体" w:hAnsi="宋体" w:eastAsia="宋体" w:cs="宋体"/>
          <w:color w:val="000000"/>
          <w:sz w:val="24"/>
          <w:szCs w:val="24"/>
        </w:rPr>
        <w:t>（一）人员配备要求</w:t>
      </w:r>
    </w:p>
    <w:p w14:paraId="78E0C09E">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1.本地服务人员要求</w:t>
      </w:r>
    </w:p>
    <w:p w14:paraId="16C62D79">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成交供应商须在采购人本地安排至少1名技术人员协助采购人进行日常设备检测、维护管理、故障处置等。采购人认为成交供应商提供的技术人员不能满足工作需要的，有权要求成交供应商无条件更换。</w:t>
      </w:r>
    </w:p>
    <w:p w14:paraId="0E8166B5">
      <w:pPr>
        <w:keepNext w:val="0"/>
        <w:keepLines w:val="0"/>
        <w:pageBreakBefore w:val="0"/>
        <w:widowControl w:val="0"/>
        <w:kinsoku/>
        <w:wordWrap/>
        <w:overflowPunct/>
        <w:topLinePunct w:val="0"/>
        <w:autoSpaceDE/>
        <w:autoSpaceDN/>
        <w:bidi w:val="0"/>
        <w:spacing w:line="360" w:lineRule="auto"/>
        <w:ind w:firstLine="482" w:firstLineChars="200"/>
        <w:textAlignment w:val="auto"/>
        <w:rPr>
          <w:rFonts w:hint="eastAsia" w:ascii="宋体" w:hAnsi="宋体" w:eastAsia="宋体" w:cs="宋体"/>
          <w:b/>
          <w:color w:val="000000"/>
          <w:sz w:val="24"/>
          <w:szCs w:val="24"/>
        </w:rPr>
      </w:pPr>
      <w:r>
        <w:rPr>
          <w:rFonts w:hint="eastAsia" w:ascii="宋体" w:hAnsi="宋体" w:eastAsia="宋体" w:cs="宋体"/>
          <w:b/>
          <w:color w:val="000000"/>
          <w:sz w:val="24"/>
          <w:szCs w:val="24"/>
        </w:rPr>
        <w:t>说明：</w:t>
      </w:r>
    </w:p>
    <w:p w14:paraId="4112E4AC">
      <w:pPr>
        <w:keepNext w:val="0"/>
        <w:keepLines w:val="0"/>
        <w:pageBreakBefore w:val="0"/>
        <w:widowControl w:val="0"/>
        <w:kinsoku/>
        <w:wordWrap/>
        <w:overflowPunct/>
        <w:topLinePunct w:val="0"/>
        <w:autoSpaceDE/>
        <w:autoSpaceDN/>
        <w:bidi w:val="0"/>
        <w:spacing w:line="360" w:lineRule="auto"/>
        <w:ind w:firstLine="482" w:firstLineChars="200"/>
        <w:textAlignment w:val="auto"/>
        <w:rPr>
          <w:rFonts w:hint="eastAsia" w:ascii="宋体" w:hAnsi="宋体" w:eastAsia="宋体" w:cs="宋体"/>
          <w:color w:val="000000"/>
          <w:sz w:val="24"/>
          <w:szCs w:val="24"/>
        </w:rPr>
      </w:pPr>
      <w:r>
        <w:rPr>
          <w:rFonts w:hint="eastAsia" w:ascii="宋体" w:hAnsi="宋体" w:eastAsia="宋体" w:cs="宋体"/>
          <w:b/>
          <w:color w:val="000000"/>
          <w:sz w:val="24"/>
          <w:szCs w:val="24"/>
        </w:rPr>
        <w:t>本“1.本地服务人员要求”要求为</w:t>
      </w:r>
      <w:r>
        <w:rPr>
          <w:rFonts w:hint="eastAsia" w:ascii="宋体" w:hAnsi="宋体" w:eastAsia="宋体" w:cs="宋体"/>
          <w:b/>
          <w:color w:val="000000"/>
          <w:kern w:val="0"/>
          <w:sz w:val="24"/>
          <w:szCs w:val="24"/>
        </w:rPr>
        <w:t>实质性要求，如不提供，在符合性审查时按照投标无效处理。</w:t>
      </w:r>
    </w:p>
    <w:p w14:paraId="7993A1CA">
      <w:pPr>
        <w:keepNext w:val="0"/>
        <w:keepLines w:val="0"/>
        <w:pageBreakBefore w:val="0"/>
        <w:widowControl w:val="0"/>
        <w:kinsoku/>
        <w:wordWrap/>
        <w:overflowPunct/>
        <w:topLinePunct w:val="0"/>
        <w:autoSpaceDE/>
        <w:autoSpaceDN/>
        <w:bidi w:val="0"/>
        <w:spacing w:line="360" w:lineRule="auto"/>
        <w:ind w:firstLine="480" w:firstLineChars="200"/>
        <w:textAlignment w:val="auto"/>
        <w:outlineLvl w:val="0"/>
        <w:rPr>
          <w:rFonts w:hint="eastAsia" w:ascii="宋体" w:hAnsi="宋体" w:eastAsia="宋体" w:cs="宋体"/>
          <w:color w:val="000000"/>
          <w:sz w:val="24"/>
          <w:szCs w:val="24"/>
        </w:rPr>
      </w:pPr>
      <w:r>
        <w:rPr>
          <w:rFonts w:hint="eastAsia" w:ascii="宋体" w:hAnsi="宋体" w:eastAsia="宋体" w:cs="宋体"/>
          <w:color w:val="000000"/>
          <w:sz w:val="24"/>
          <w:szCs w:val="24"/>
        </w:rPr>
        <w:t>2.其他维保人员</w:t>
      </w:r>
    </w:p>
    <w:p w14:paraId="43A2C874">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至少具备</w:t>
      </w:r>
      <w:r>
        <w:rPr>
          <w:rFonts w:hint="eastAsia" w:ascii="宋体" w:hAnsi="宋体" w:eastAsia="宋体" w:cs="宋体"/>
          <w:color w:val="000000"/>
          <w:kern w:val="0"/>
          <w:sz w:val="24"/>
          <w:szCs w:val="24"/>
        </w:rPr>
        <w:t>IBM CATE认证工程师、</w:t>
      </w:r>
      <w:r>
        <w:rPr>
          <w:rFonts w:hint="eastAsia" w:ascii="宋体" w:hAnsi="宋体" w:eastAsia="宋体" w:cs="宋体"/>
          <w:color w:val="000000"/>
          <w:sz w:val="24"/>
          <w:szCs w:val="24"/>
        </w:rPr>
        <w:t>VCP</w:t>
      </w:r>
      <w:r>
        <w:rPr>
          <w:rFonts w:hint="eastAsia" w:ascii="宋体" w:hAnsi="宋体" w:eastAsia="宋体" w:cs="宋体"/>
          <w:color w:val="000000"/>
          <w:kern w:val="0"/>
          <w:sz w:val="24"/>
          <w:szCs w:val="24"/>
        </w:rPr>
        <w:t>认证工程师、OCM认证工程师、</w:t>
      </w:r>
      <w:r>
        <w:rPr>
          <w:rFonts w:hint="eastAsia" w:ascii="宋体" w:hAnsi="宋体" w:eastAsia="宋体" w:cs="宋体"/>
          <w:color w:val="000000"/>
          <w:kern w:val="0"/>
          <w:sz w:val="24"/>
          <w:szCs w:val="24"/>
          <w:lang w:val="en-US" w:eastAsia="zh-CN"/>
        </w:rPr>
        <w:t>HCIP或HCIE</w:t>
      </w:r>
      <w:r>
        <w:rPr>
          <w:rFonts w:hint="eastAsia" w:ascii="宋体" w:hAnsi="宋体" w:eastAsia="宋体" w:cs="宋体"/>
          <w:color w:val="000000"/>
          <w:kern w:val="0"/>
          <w:sz w:val="24"/>
          <w:szCs w:val="24"/>
        </w:rPr>
        <w:t>认证工程师、</w:t>
      </w:r>
      <w:r>
        <w:rPr>
          <w:rFonts w:hint="eastAsia" w:ascii="宋体" w:hAnsi="宋体" w:eastAsia="宋体" w:cs="宋体"/>
          <w:color w:val="000000"/>
          <w:sz w:val="24"/>
          <w:szCs w:val="24"/>
        </w:rPr>
        <w:t>Veritas</w:t>
      </w:r>
      <w:r>
        <w:rPr>
          <w:rFonts w:hint="eastAsia" w:ascii="宋体" w:hAnsi="宋体" w:eastAsia="宋体" w:cs="宋体"/>
          <w:color w:val="000000"/>
          <w:kern w:val="0"/>
          <w:sz w:val="24"/>
          <w:szCs w:val="24"/>
        </w:rPr>
        <w:t>认证工程师</w:t>
      </w:r>
      <w:r>
        <w:rPr>
          <w:rFonts w:hint="eastAsia" w:ascii="宋体" w:hAnsi="宋体" w:eastAsia="宋体" w:cs="宋体"/>
          <w:color w:val="000000"/>
          <w:kern w:val="0"/>
          <w:sz w:val="24"/>
          <w:szCs w:val="24"/>
          <w:lang w:eastAsia="zh-CN"/>
        </w:rPr>
        <w:t>、</w:t>
      </w:r>
      <w:r>
        <w:rPr>
          <w:rFonts w:hint="eastAsia" w:ascii="宋体" w:hAnsi="宋体" w:eastAsia="宋体" w:cs="宋体"/>
          <w:color w:val="000000"/>
          <w:kern w:val="0"/>
          <w:sz w:val="24"/>
          <w:szCs w:val="24"/>
          <w:lang w:val="en-US" w:eastAsia="zh-CN"/>
        </w:rPr>
        <w:t>数据库OCP工程师</w:t>
      </w:r>
      <w:r>
        <w:rPr>
          <w:rFonts w:hint="eastAsia" w:ascii="宋体" w:hAnsi="宋体" w:eastAsia="宋体" w:cs="宋体"/>
          <w:color w:val="000000"/>
          <w:kern w:val="0"/>
          <w:sz w:val="24"/>
          <w:szCs w:val="24"/>
        </w:rPr>
        <w:t>各1名，</w:t>
      </w:r>
      <w:r>
        <w:rPr>
          <w:rFonts w:hint="eastAsia" w:ascii="宋体" w:hAnsi="宋体" w:eastAsia="宋体" w:cs="宋体"/>
          <w:color w:val="000000"/>
          <w:kern w:val="0"/>
          <w:sz w:val="24"/>
          <w:szCs w:val="24"/>
          <w:lang w:val="en-US" w:eastAsia="zh-CN"/>
        </w:rPr>
        <w:t>响应</w:t>
      </w:r>
      <w:r>
        <w:rPr>
          <w:rFonts w:hint="eastAsia" w:ascii="宋体" w:hAnsi="宋体" w:eastAsia="宋体" w:cs="宋体"/>
          <w:color w:val="000000"/>
          <w:kern w:val="0"/>
          <w:sz w:val="24"/>
          <w:szCs w:val="24"/>
        </w:rPr>
        <w:t>文件中提供证书原件的扫描件及投标人为该人员缴纳的本项目开标前连续</w:t>
      </w:r>
      <w:r>
        <w:rPr>
          <w:rFonts w:hint="eastAsia" w:ascii="宋体" w:hAnsi="宋体" w:cs="宋体"/>
          <w:color w:val="000000"/>
          <w:kern w:val="0"/>
          <w:sz w:val="24"/>
          <w:szCs w:val="24"/>
          <w:highlight w:val="none"/>
          <w:lang w:val="en-US" w:eastAsia="zh-CN"/>
        </w:rPr>
        <w:t>3</w:t>
      </w:r>
      <w:r>
        <w:rPr>
          <w:rFonts w:hint="eastAsia" w:ascii="宋体" w:hAnsi="宋体" w:eastAsia="宋体" w:cs="宋体"/>
          <w:color w:val="000000"/>
          <w:kern w:val="0"/>
          <w:sz w:val="24"/>
          <w:szCs w:val="24"/>
        </w:rPr>
        <w:t>个月的社会保障资金的相关材料原件的扫描件。</w:t>
      </w:r>
    </w:p>
    <w:p w14:paraId="41A67A2E">
      <w:pPr>
        <w:keepNext w:val="0"/>
        <w:keepLines w:val="0"/>
        <w:pageBreakBefore w:val="0"/>
        <w:widowControl w:val="0"/>
        <w:kinsoku/>
        <w:wordWrap/>
        <w:overflowPunct/>
        <w:topLinePunct w:val="0"/>
        <w:autoSpaceDE/>
        <w:autoSpaceDN/>
        <w:bidi w:val="0"/>
        <w:spacing w:line="360" w:lineRule="auto"/>
        <w:ind w:firstLine="480" w:firstLineChars="200"/>
        <w:textAlignment w:val="auto"/>
        <w:outlineLvl w:val="0"/>
        <w:rPr>
          <w:rFonts w:hint="eastAsia" w:ascii="宋体" w:hAnsi="宋体" w:eastAsia="宋体" w:cs="宋体"/>
          <w:color w:val="000000"/>
          <w:sz w:val="24"/>
          <w:szCs w:val="24"/>
        </w:rPr>
      </w:pPr>
      <w:r>
        <w:rPr>
          <w:rFonts w:hint="eastAsia" w:ascii="宋体" w:hAnsi="宋体" w:eastAsia="宋体" w:cs="宋体"/>
          <w:color w:val="000000"/>
          <w:sz w:val="24"/>
          <w:szCs w:val="24"/>
        </w:rPr>
        <w:t>（二）响应文件要求</w:t>
      </w:r>
    </w:p>
    <w:p w14:paraId="7E2AE5F3">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1.响应文件中提供《维保服务人员方案》文件。</w:t>
      </w:r>
    </w:p>
    <w:p w14:paraId="2A0D1475">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2.按照以上“（一）人员配备要求”，《维保服务方案》包括：</w:t>
      </w:r>
    </w:p>
    <w:p w14:paraId="27A2FA27">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（1）本地服务人员方案；</w:t>
      </w:r>
    </w:p>
    <w:p w14:paraId="7EAB1C8E">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（2）其他维保人员方案。</w:t>
      </w:r>
    </w:p>
    <w:p w14:paraId="0D63D97E">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五、维保服务技术培训要求</w:t>
      </w:r>
    </w:p>
    <w:p w14:paraId="33A95A35">
      <w:pPr>
        <w:keepNext w:val="0"/>
        <w:keepLines w:val="0"/>
        <w:pageBreakBefore w:val="0"/>
        <w:widowControl w:val="0"/>
        <w:kinsoku/>
        <w:wordWrap/>
        <w:overflowPunct/>
        <w:topLinePunct w:val="0"/>
        <w:autoSpaceDE/>
        <w:autoSpaceDN/>
        <w:bidi w:val="0"/>
        <w:spacing w:line="360" w:lineRule="auto"/>
        <w:ind w:firstLine="480" w:firstLineChars="200"/>
        <w:textAlignment w:val="auto"/>
        <w:outlineLvl w:val="0"/>
        <w:rPr>
          <w:rFonts w:hint="eastAsia" w:ascii="宋体" w:hAnsi="宋体" w:eastAsia="宋体" w:cs="宋体"/>
          <w:color w:val="000000"/>
          <w:sz w:val="24"/>
          <w:szCs w:val="24"/>
        </w:rPr>
      </w:pPr>
      <w:r>
        <w:rPr>
          <w:rFonts w:hint="eastAsia" w:ascii="宋体" w:hAnsi="宋体" w:eastAsia="宋体" w:cs="宋体"/>
          <w:color w:val="000000"/>
          <w:sz w:val="24"/>
          <w:szCs w:val="24"/>
        </w:rPr>
        <w:t>（一）维保服务技术培训具体要求</w:t>
      </w:r>
    </w:p>
    <w:p w14:paraId="14E6D987">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1.成交供应商的所有培训均为免费提供，采购人不再支付任何费用。</w:t>
      </w:r>
    </w:p>
    <w:p w14:paraId="5B02CF4F">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2.在维护期限内提供现场的技术培训，包括小型机、服务器、存储、网络、Oracle数据库、容灾备份的日常操作、简单的维护和错误处理等。在中标人提供的现场服务中，就服务过程中的问题，要与采购人进行沟通，在解决问题的同时，提高采购人技术人员的技术能力。</w:t>
      </w:r>
    </w:p>
    <w:p w14:paraId="636DD0D9">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rPr>
        <w:t>3.成交供应商须邀请具有相当资质和实际工作经验</w:t>
      </w:r>
      <w:r>
        <w:rPr>
          <w:rFonts w:hint="eastAsia" w:ascii="宋体" w:hAnsi="宋体" w:eastAsia="宋体" w:cs="宋体"/>
          <w:color w:val="000000"/>
          <w:sz w:val="24"/>
          <w:szCs w:val="24"/>
          <w:highlight w:val="none"/>
        </w:rPr>
        <w:t>的教师进行培训，并提出相关培训计划及承诺（包括培训名额、培训课程内容、培训时间安排、地点等）。</w:t>
      </w:r>
    </w:p>
    <w:p w14:paraId="55F9C56A">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b/>
          <w:color w:val="000000"/>
          <w:kern w:val="0"/>
          <w:sz w:val="24"/>
          <w:szCs w:val="24"/>
          <w:highlight w:val="none"/>
        </w:rPr>
      </w:pPr>
      <w:r>
        <w:rPr>
          <w:rFonts w:hint="eastAsia" w:ascii="宋体" w:hAnsi="宋体" w:eastAsia="宋体" w:cs="宋体"/>
          <w:color w:val="000000"/>
          <w:sz w:val="24"/>
          <w:szCs w:val="24"/>
          <w:highlight w:val="none"/>
        </w:rPr>
        <w:t>4.投标人须在投标文件中提交《培训服务承诺函》，具体格式内容见采购文件《合同草案条款》合同附件</w:t>
      </w:r>
      <w:r>
        <w:rPr>
          <w:rFonts w:hint="eastAsia" w:ascii="宋体" w:hAnsi="宋体" w:eastAsia="宋体" w:cs="宋体"/>
          <w:color w:val="000000"/>
          <w:sz w:val="24"/>
          <w:szCs w:val="24"/>
          <w:highlight w:val="none"/>
          <w:lang w:eastAsia="zh-CN"/>
        </w:rPr>
        <w:t>。</w:t>
      </w:r>
      <w:r>
        <w:rPr>
          <w:rFonts w:hint="eastAsia" w:ascii="宋体" w:hAnsi="宋体" w:eastAsia="宋体" w:cs="宋体"/>
          <w:b/>
          <w:color w:val="000000"/>
          <w:sz w:val="24"/>
          <w:szCs w:val="24"/>
          <w:highlight w:val="none"/>
        </w:rPr>
        <w:t>本要求为</w:t>
      </w:r>
      <w:r>
        <w:rPr>
          <w:rFonts w:hint="eastAsia" w:ascii="宋体" w:hAnsi="宋体" w:eastAsia="宋体" w:cs="宋体"/>
          <w:b/>
          <w:color w:val="000000"/>
          <w:kern w:val="0"/>
          <w:sz w:val="24"/>
          <w:szCs w:val="24"/>
          <w:highlight w:val="none"/>
        </w:rPr>
        <w:t>实质性要求，如不提供，在符合性审查时按照投标无效处理。</w:t>
      </w:r>
    </w:p>
    <w:p w14:paraId="6F802C27">
      <w:pPr>
        <w:keepNext w:val="0"/>
        <w:keepLines w:val="0"/>
        <w:pageBreakBefore w:val="0"/>
        <w:widowControl w:val="0"/>
        <w:kinsoku/>
        <w:wordWrap/>
        <w:overflowPunct/>
        <w:topLinePunct w:val="0"/>
        <w:autoSpaceDE/>
        <w:autoSpaceDN/>
        <w:bidi w:val="0"/>
        <w:spacing w:line="360" w:lineRule="auto"/>
        <w:ind w:firstLine="480" w:firstLineChars="200"/>
        <w:textAlignment w:val="auto"/>
        <w:outlineLvl w:val="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（二）投标文件要求</w:t>
      </w:r>
    </w:p>
    <w:p w14:paraId="4FA31961">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1.响应文件中提供《维保服务技术培训方案》文件。</w:t>
      </w:r>
    </w:p>
    <w:p w14:paraId="5708AEE9">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2.《维保服务技术培训方案》对照以上“（一）维保服务技术培训具体要求”编制。</w:t>
      </w:r>
    </w:p>
    <w:p w14:paraId="58571BC2">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六、验收标准（验收要求、验收标准和程序）要求</w:t>
      </w:r>
    </w:p>
    <w:p w14:paraId="2FA08F01">
      <w:pPr>
        <w:keepNext w:val="0"/>
        <w:keepLines w:val="0"/>
        <w:pageBreakBefore w:val="0"/>
        <w:widowControl w:val="0"/>
        <w:tabs>
          <w:tab w:val="left" w:pos="0"/>
        </w:tabs>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合同期满后采购人组织专家进行验收，</w:t>
      </w:r>
      <w:r>
        <w:rPr>
          <w:rFonts w:hint="eastAsia" w:ascii="宋体" w:hAnsi="宋体" w:eastAsia="宋体" w:cs="宋体"/>
          <w:color w:val="000000"/>
          <w:sz w:val="24"/>
          <w:szCs w:val="24"/>
          <w:highlight w:val="none"/>
        </w:rPr>
        <w:t>以合同乙方的</w:t>
      </w:r>
      <w:r>
        <w:rPr>
          <w:rFonts w:hint="eastAsia" w:ascii="宋体" w:hAnsi="宋体" w:eastAsia="宋体" w:cs="宋体"/>
          <w:color w:val="000000"/>
          <w:sz w:val="24"/>
          <w:szCs w:val="24"/>
          <w:highlight w:val="none"/>
          <w:lang w:val="en-US" w:eastAsia="zh-CN"/>
        </w:rPr>
        <w:t>响应</w:t>
      </w:r>
      <w:r>
        <w:rPr>
          <w:rFonts w:hint="eastAsia" w:ascii="宋体" w:hAnsi="宋体" w:eastAsia="宋体" w:cs="宋体"/>
          <w:color w:val="000000"/>
          <w:sz w:val="24"/>
          <w:szCs w:val="24"/>
          <w:highlight w:val="none"/>
        </w:rPr>
        <w:t>文件和供应商的澄清、说明或者更正为验收标准；合同乙方的响应文件和供应商的澄清、说明或者更正不明确的，以《</w:t>
      </w:r>
      <w:r>
        <w:rPr>
          <w:rFonts w:hint="eastAsia" w:ascii="宋体" w:hAnsi="宋体" w:eastAsia="宋体" w:cs="宋体"/>
          <w:color w:val="000000"/>
          <w:sz w:val="24"/>
          <w:szCs w:val="24"/>
          <w:highlight w:val="none"/>
          <w:lang w:val="en-US" w:eastAsia="zh-CN"/>
        </w:rPr>
        <w:t>采购</w:t>
      </w:r>
      <w:r>
        <w:rPr>
          <w:rFonts w:hint="eastAsia" w:ascii="宋体" w:hAnsi="宋体" w:eastAsia="宋体" w:cs="宋体"/>
          <w:color w:val="000000"/>
          <w:sz w:val="24"/>
          <w:szCs w:val="24"/>
          <w:highlight w:val="none"/>
        </w:rPr>
        <w:t>文件》相关要求为验收标准；供应商的</w:t>
      </w:r>
      <w:r>
        <w:rPr>
          <w:rFonts w:hint="eastAsia" w:ascii="宋体" w:hAnsi="宋体" w:eastAsia="宋体" w:cs="宋体"/>
          <w:color w:val="000000"/>
          <w:sz w:val="24"/>
          <w:szCs w:val="24"/>
          <w:highlight w:val="none"/>
          <w:lang w:val="en-US" w:eastAsia="zh-CN"/>
        </w:rPr>
        <w:t>响应</w:t>
      </w:r>
      <w:r>
        <w:rPr>
          <w:rFonts w:hint="eastAsia" w:ascii="宋体" w:hAnsi="宋体" w:eastAsia="宋体" w:cs="宋体"/>
          <w:color w:val="000000"/>
          <w:sz w:val="24"/>
          <w:szCs w:val="24"/>
          <w:highlight w:val="none"/>
        </w:rPr>
        <w:t>文件和供应商的澄清、说明或者更正和《采购文件》相关要求都不明确的，按国家相关标准；以上都不明确的，以通常标准为准。</w:t>
      </w:r>
    </w:p>
    <w:p w14:paraId="483A1E77">
      <w:pPr>
        <w:pStyle w:val="6"/>
        <w:keepNext w:val="0"/>
        <w:keepLines w:val="0"/>
        <w:pageBreakBefore w:val="0"/>
        <w:widowControl w:val="0"/>
        <w:kinsoku/>
        <w:wordWrap/>
        <w:overflowPunct/>
        <w:topLinePunct w:val="0"/>
        <w:autoSpaceDE/>
        <w:autoSpaceDN/>
        <w:bidi w:val="0"/>
        <w:spacing w:line="440" w:lineRule="exact"/>
        <w:ind w:left="0" w:leftChars="0" w:firstLine="482" w:firstLineChars="200"/>
        <w:textAlignment w:val="auto"/>
        <w:rPr>
          <w:rFonts w:hint="eastAsia" w:ascii="宋体" w:hAnsi="宋体" w:eastAsia="宋体" w:cs="宋体"/>
          <w:b/>
          <w:bCs/>
          <w:color w:val="000000"/>
          <w:kern w:val="2"/>
          <w:sz w:val="24"/>
          <w:szCs w:val="24"/>
          <w:highlight w:val="none"/>
          <w:lang w:val="en-US" w:eastAsia="zh-CN" w:bidi="ar-SA"/>
        </w:rPr>
      </w:pPr>
      <w:r>
        <w:rPr>
          <w:rFonts w:hint="eastAsia" w:ascii="宋体" w:hAnsi="宋体" w:eastAsia="宋体" w:cs="宋体"/>
          <w:b/>
          <w:bCs/>
          <w:color w:val="000000"/>
          <w:kern w:val="2"/>
          <w:sz w:val="24"/>
          <w:szCs w:val="24"/>
          <w:highlight w:val="none"/>
          <w:lang w:val="en-US" w:eastAsia="zh-CN" w:bidi="ar-SA"/>
        </w:rPr>
        <w:t>七、采购文件中《合同草案条款》中“支付”为不允许偏离的实质性要求和条件，如有偏离，在符合性审查时按照投标无效处理。</w:t>
      </w:r>
    </w:p>
    <w:p w14:paraId="4D7A63A3">
      <w:pPr>
        <w:keepNext w:val="0"/>
        <w:keepLines w:val="0"/>
        <w:pageBreakBefore w:val="0"/>
        <w:widowControl w:val="0"/>
        <w:kinsoku/>
        <w:wordWrap/>
        <w:overflowPunct/>
        <w:topLinePunct w:val="0"/>
        <w:autoSpaceDE/>
        <w:autoSpaceDN/>
        <w:bidi w:val="0"/>
        <w:spacing w:line="440" w:lineRule="exact"/>
        <w:ind w:firstLine="482" w:firstLineChars="200"/>
        <w:textAlignment w:val="auto"/>
        <w:rPr>
          <w:rFonts w:hint="eastAsia" w:ascii="宋体" w:hAnsi="宋体" w:eastAsia="宋体" w:cs="宋体"/>
          <w:b/>
          <w:bCs/>
          <w:color w:val="000000"/>
          <w:sz w:val="24"/>
          <w:szCs w:val="24"/>
          <w:highlight w:val="none"/>
        </w:rPr>
      </w:pPr>
      <w:r>
        <w:rPr>
          <w:rFonts w:hint="eastAsia" w:ascii="宋体" w:hAnsi="宋体" w:eastAsia="宋体" w:cs="宋体"/>
          <w:b/>
          <w:bCs/>
          <w:color w:val="000000"/>
          <w:kern w:val="0"/>
          <w:sz w:val="24"/>
          <w:szCs w:val="24"/>
          <w:highlight w:val="none"/>
        </w:rPr>
        <w:t>八、</w:t>
      </w:r>
      <w:r>
        <w:rPr>
          <w:rFonts w:hint="eastAsia" w:ascii="宋体" w:hAnsi="宋体" w:eastAsia="宋体" w:cs="宋体"/>
          <w:b/>
          <w:bCs/>
          <w:color w:val="000000"/>
          <w:sz w:val="24"/>
          <w:szCs w:val="24"/>
          <w:highlight w:val="none"/>
        </w:rPr>
        <w:t>其他要求：见招标文件第五章《拟签订的合同文本》。</w:t>
      </w:r>
    </w:p>
    <w:p w14:paraId="3536787C">
      <w:pPr>
        <w:spacing w:line="360" w:lineRule="auto"/>
        <w:rPr>
          <w:rFonts w:hint="eastAsia" w:ascii="宋体" w:hAnsi="宋体" w:eastAsia="宋体" w:cs="宋体"/>
          <w:b/>
          <w:bCs/>
          <w:sz w:val="24"/>
          <w:szCs w:val="24"/>
          <w:highlight w:val="none"/>
        </w:rPr>
      </w:pPr>
    </w:p>
    <w:p w14:paraId="22857574">
      <w:pPr>
        <w:spacing w:line="360" w:lineRule="auto"/>
        <w:rPr>
          <w:rFonts w:hint="eastAsia" w:ascii="宋体" w:hAnsi="宋体" w:eastAsia="宋体" w:cs="宋体"/>
          <w:sz w:val="24"/>
          <w:szCs w:val="24"/>
          <w:highlight w:val="none"/>
        </w:rPr>
      </w:pPr>
    </w:p>
    <w:p w14:paraId="38F8958F">
      <w:pPr>
        <w:spacing w:line="360" w:lineRule="auto"/>
        <w:rPr>
          <w:rFonts w:hint="eastAsia" w:ascii="宋体" w:hAnsi="宋体" w:eastAsia="宋体" w:cs="宋体"/>
          <w:sz w:val="24"/>
          <w:szCs w:val="24"/>
          <w:highlight w:val="none"/>
        </w:rPr>
      </w:pPr>
    </w:p>
    <w:p w14:paraId="2034CD72">
      <w:pPr>
        <w:keepNext w:val="0"/>
        <w:keepLines w:val="0"/>
        <w:pageBreakBefore w:val="0"/>
        <w:widowControl w:val="0"/>
        <w:spacing w:line="312" w:lineRule="auto"/>
        <w:ind w:right="0"/>
        <w:jc w:val="both"/>
        <w:outlineLvl w:val="1"/>
        <w:rPr>
          <w:rFonts w:hint="eastAsia" w:ascii="宋体" w:hAnsi="宋体" w:eastAsia="宋体" w:cs="宋体"/>
          <w:b/>
          <w:bCs/>
          <w:color w:val="000000"/>
          <w:sz w:val="28"/>
          <w:szCs w:val="28"/>
          <w:highlight w:val="none"/>
          <w:lang w:val="en-US" w:eastAsia="zh-CN"/>
        </w:rPr>
      </w:pPr>
    </w:p>
    <w:p w14:paraId="68FC79E6">
      <w:pPr>
        <w:keepNext w:val="0"/>
        <w:keepLines w:val="0"/>
        <w:pageBreakBefore w:val="0"/>
        <w:widowControl w:val="0"/>
        <w:spacing w:line="312" w:lineRule="auto"/>
        <w:ind w:right="0"/>
        <w:jc w:val="center"/>
        <w:outlineLvl w:val="1"/>
        <w:rPr>
          <w:rFonts w:hint="eastAsia" w:ascii="宋体" w:hAnsi="宋体" w:eastAsia="宋体" w:cs="宋体"/>
          <w:b/>
          <w:bCs/>
          <w:color w:val="000000"/>
          <w:sz w:val="28"/>
          <w:szCs w:val="28"/>
          <w:highlight w:val="none"/>
          <w:lang w:val="en-US" w:eastAsia="zh-CN"/>
        </w:rPr>
      </w:pPr>
      <w:r>
        <w:rPr>
          <w:rFonts w:hint="eastAsia" w:ascii="宋体" w:hAnsi="宋体" w:eastAsia="宋体" w:cs="宋体"/>
          <w:b/>
          <w:bCs/>
          <w:color w:val="000000"/>
          <w:sz w:val="28"/>
          <w:szCs w:val="28"/>
          <w:highlight w:val="none"/>
          <w:lang w:val="en-US" w:eastAsia="zh-CN"/>
        </w:rPr>
        <w:t>采购包3：徐州市非税系统运维服务</w:t>
      </w:r>
    </w:p>
    <w:p w14:paraId="2FE418E7">
      <w:pPr>
        <w:spacing w:line="360" w:lineRule="exact"/>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一、项目概况</w:t>
      </w:r>
    </w:p>
    <w:p w14:paraId="202BD76D">
      <w:pPr>
        <w:spacing w:line="360" w:lineRule="exact"/>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本运维项目旨在对正在使用的徐州市非税系统进行运行监控和日常维护，及时解决系统用户日常使用中遇到的问题，及时排除系统故障，更好地服务于徐州市财政局及市本级各执收单位和各缴费人，确保相关业务正常开展，保证系统运行稳定、数据准确、安全。</w:t>
      </w:r>
      <w:r>
        <w:rPr>
          <w:rFonts w:hint="eastAsia" w:ascii="宋体" w:hAnsi="宋体" w:eastAsia="宋体" w:cs="宋体"/>
          <w:color w:val="000000" w:themeColor="text1"/>
          <w:sz w:val="24"/>
          <w:szCs w:val="24"/>
          <w:highlight w:val="none"/>
          <w14:textFill>
            <w14:solidFill>
              <w14:schemeClr w14:val="tx1"/>
            </w14:solidFill>
          </w14:textFill>
        </w:rPr>
        <w:t>本项目不接受超过</w:t>
      </w:r>
      <w:r>
        <w:rPr>
          <w:rFonts w:hint="eastAsia" w:ascii="宋体" w:hAnsi="宋体" w:cs="宋体"/>
          <w:color w:val="000000" w:themeColor="text1"/>
          <w:sz w:val="24"/>
          <w:szCs w:val="24"/>
          <w:highlight w:val="none"/>
          <w:lang w:val="en-US" w:eastAsia="zh-CN"/>
          <w14:textFill>
            <w14:solidFill>
              <w14:schemeClr w14:val="tx1"/>
            </w14:solidFill>
          </w14:textFill>
        </w:rPr>
        <w:t>38.95</w:t>
      </w:r>
      <w:r>
        <w:rPr>
          <w:rFonts w:hint="eastAsia" w:ascii="宋体" w:hAnsi="宋体" w:eastAsia="宋体" w:cs="宋体"/>
          <w:color w:val="000000" w:themeColor="text1"/>
          <w:sz w:val="24"/>
          <w:szCs w:val="24"/>
          <w:highlight w:val="none"/>
          <w14:textFill>
            <w14:solidFill>
              <w14:schemeClr w14:val="tx1"/>
            </w14:solidFill>
          </w14:textFill>
        </w:rPr>
        <w:t>万元的报价。</w:t>
      </w:r>
    </w:p>
    <w:p w14:paraId="68E0D888">
      <w:pPr>
        <w:spacing w:line="360" w:lineRule="exact"/>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二、服务需求</w:t>
      </w:r>
    </w:p>
    <w:p w14:paraId="6EEB13D6">
      <w:pPr>
        <w:spacing w:line="360" w:lineRule="exact"/>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1.运维的主要内容</w:t>
      </w:r>
    </w:p>
    <w:p w14:paraId="0A831782">
      <w:pPr>
        <w:spacing w:line="360" w:lineRule="exact"/>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运维服务项目范围服务内容主要包括软件的调试、系统日常维护服务、技术培训服务务、系统功能优化服务、咨询服务等。提供高质量推广实施服务和运维保障服务，保障徐州市非税系统正常运行。</w:t>
      </w:r>
    </w:p>
    <w:p w14:paraId="30915073">
      <w:pPr>
        <w:spacing w:line="360" w:lineRule="exact"/>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2.信息系统运维内容</w:t>
      </w:r>
    </w:p>
    <w:p w14:paraId="3A586A8F">
      <w:pPr>
        <w:spacing w:line="360" w:lineRule="exact"/>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技术支撑团队通过现场服务的方式为采购人提供技术保障支撑，要求具有从事同类业务系统开发建设或运行维护经验，熟悉同类业务系统开发建设或运行维护升级、配置、性能、流程，并能及时对所有系统故障进行判断和排除；通过电话、上门服务等多种支持方式，提供技术支撑，服务时间：7*24 小时。</w:t>
      </w:r>
    </w:p>
    <w:p w14:paraId="38A86F7C">
      <w:pPr>
        <w:spacing w:line="360" w:lineRule="exact"/>
        <w:ind w:firstLine="482" w:firstLineChars="200"/>
        <w:rPr>
          <w:rFonts w:hint="eastAsia" w:ascii="宋体" w:hAnsi="宋体" w:eastAsia="宋体" w:cs="宋体"/>
          <w:sz w:val="24"/>
          <w:szCs w:val="24"/>
          <w:highlight w:val="none"/>
          <w:lang w:eastAsia="zh-CN"/>
        </w:rPr>
      </w:pPr>
      <w:r>
        <w:rPr>
          <w:rFonts w:hint="eastAsia" w:ascii="宋体" w:hAnsi="宋体" w:eastAsia="宋体" w:cs="宋体"/>
          <w:b/>
          <w:sz w:val="24"/>
          <w:szCs w:val="24"/>
          <w:highlight w:val="none"/>
          <w:lang w:eastAsia="zh-CN"/>
        </w:rPr>
        <w:t>说明：本项“2.信息系统运维内容”中的“服务时间：7*24 小时”为实质性要求，需供应商提供服务时间承诺函并加盖公章。如不提供，在符合性审查时按照投标无效处理。</w:t>
      </w:r>
    </w:p>
    <w:p w14:paraId="64CA60F4">
      <w:pPr>
        <w:spacing w:line="3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highlight w:val="none"/>
          <w:lang w:eastAsia="zh-CN"/>
        </w:rPr>
        <w:t>运维要求：服务时间内须确保电话等各类通讯方式畅通，并具备通话记录查询功能；对于业务咨询和数据查询类客户服务，应在2小时内完成处理、反馈和记录工作；对于</w:t>
      </w:r>
      <w:r>
        <w:rPr>
          <w:rFonts w:hint="eastAsia" w:ascii="宋体" w:hAnsi="宋体" w:eastAsia="宋体" w:cs="宋体"/>
          <w:sz w:val="24"/>
          <w:szCs w:val="24"/>
          <w:lang w:eastAsia="zh-CN"/>
        </w:rPr>
        <w:t>需财政工作人员处理的问题，应及时记录、汇报并做好反馈；运维服务须做到耐心、热情、细致，并按日提供工作日志；具体运维内容如下：</w:t>
      </w:r>
    </w:p>
    <w:p w14:paraId="60CC6BE2">
      <w:pPr>
        <w:spacing w:line="3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日常技术支持。主要包含接听财政和使用单位及缴费人的电话，解答关于系统操作、缴费流程和票据开具的具体问题；跟踪系统运行，现场故障处理，问题定期反馈。发现系统漏洞进行冻结，防止错误积累和蔓延，排除应用故障，增强系统的安全稳定性。</w:t>
      </w:r>
    </w:p>
    <w:p w14:paraId="3B82621C">
      <w:pPr>
        <w:spacing w:line="3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（2）问题处理。故障排除及故障处理，负责对系统各模块及接口问题进行收集整理、跟踪、排查、诊断和处理等。</w:t>
      </w:r>
    </w:p>
    <w:p w14:paraId="067371BE">
      <w:pPr>
        <w:spacing w:line="3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3）日常巡检。定期进行日常巡检工作。检查系统的内存使用情况、队列是否有排队情况、数据库是否有长时间锁表的情况、连接池是否有泄漏情况、应用部署是否有异常情况，以及系统的宕机等，保证系统的正常运行。</w:t>
      </w:r>
    </w:p>
    <w:p w14:paraId="284317BD">
      <w:pPr>
        <w:spacing w:line="3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4）系统检修与优化。要求每个季度必须进行一次，内容包括：业务系统基础数据变动更新；系统数据库优化；定期进行系统巡检，检查系统的内存使用情况、队列是否有排队情况、数据库是否有长时间锁表的情况、应用部署是否有异常情况等，保证系统的正常运行。</w:t>
      </w:r>
    </w:p>
    <w:p w14:paraId="1C4C4722">
      <w:pPr>
        <w:spacing w:line="3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5）报表服务。新增报表：在现有报表功能不能满足用户需求的情况下，按照采购人所提的新需求，配置新的报表供用户查询；报表样式调整：根据采购人需求对现有的报表进行调整；报表数据核对：针对每一张报表确保数据无误。</w:t>
      </w:r>
    </w:p>
    <w:p w14:paraId="3792C4DC">
      <w:pPr>
        <w:spacing w:line="3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（6）系统年度切换以及跨年度衔接工作。做好非税管理系统新老年度切换，以及系统运行保障工作。</w:t>
      </w:r>
    </w:p>
    <w:p w14:paraId="0A4D3DB2">
      <w:pPr>
        <w:spacing w:line="3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（7）培训服务。对非税系统的所有相关操作人员提供全面的系统培训，包括系统业务操作培训、系统管理培训等。</w:t>
      </w:r>
    </w:p>
    <w:p w14:paraId="1AE35ED3">
      <w:pPr>
        <w:spacing w:line="3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3.服务评价要求</w:t>
      </w:r>
    </w:p>
    <w:p w14:paraId="2413FD95">
      <w:pPr>
        <w:spacing w:line="360" w:lineRule="exact"/>
        <w:ind w:firstLine="480" w:firstLineChars="200"/>
        <w:rPr>
          <w:rFonts w:hint="eastAsia" w:ascii="宋体" w:hAnsi="宋体" w:eastAsia="宋体" w:cs="宋体"/>
          <w:sz w:val="24"/>
          <w:szCs w:val="24"/>
          <w:lang w:eastAsia="zh-CN"/>
        </w:rPr>
      </w:pPr>
      <w:r>
        <w:rPr>
          <w:rFonts w:hint="eastAsia" w:ascii="宋体" w:hAnsi="宋体" w:cs="宋体"/>
          <w:sz w:val="24"/>
          <w:szCs w:val="24"/>
          <w:lang w:eastAsia="zh-CN"/>
        </w:rPr>
        <w:t>（</w:t>
      </w:r>
      <w:r>
        <w:rPr>
          <w:rFonts w:hint="eastAsia" w:ascii="宋体" w:hAnsi="宋体" w:cs="宋体"/>
          <w:sz w:val="24"/>
          <w:szCs w:val="24"/>
          <w:lang w:val="en-US" w:eastAsia="zh-CN"/>
        </w:rPr>
        <w:t>1</w:t>
      </w:r>
      <w:r>
        <w:rPr>
          <w:rFonts w:hint="eastAsia" w:ascii="宋体" w:hAnsi="宋体" w:cs="宋体"/>
          <w:sz w:val="24"/>
          <w:szCs w:val="24"/>
          <w:lang w:eastAsia="zh-CN"/>
        </w:rPr>
        <w:t>）</w:t>
      </w:r>
      <w:r>
        <w:rPr>
          <w:rFonts w:hint="eastAsia" w:ascii="宋体" w:hAnsi="宋体" w:eastAsia="宋体" w:cs="宋体"/>
          <w:sz w:val="24"/>
          <w:szCs w:val="24"/>
          <w:lang w:eastAsia="zh-CN"/>
        </w:rPr>
        <w:t>快速响应与问题解决</w:t>
      </w:r>
    </w:p>
    <w:p w14:paraId="73743F33">
      <w:pPr>
        <w:spacing w:line="3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提供现场技术支持：根据工作需要确保至少1名长期驻场人员，提供即时的技术支持，运维人员直接在现场诊断和解决技术问题，减少故障恢复时间。及时解决非税收入执收单位及缴费人有关非税收入收缴和票据管理的相关问题，提升相关用户满意度。</w:t>
      </w:r>
    </w:p>
    <w:p w14:paraId="3FE23385">
      <w:pPr>
        <w:spacing w:line="3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开展紧急情况处理：在突发事件中，运维人员能够迅速介入，确保系统正常运行。尤其要迅速响应窗口类业务或关键时间节点对办理时限的要求，在系统升级更新前后确保业务不中断等。</w:t>
      </w:r>
    </w:p>
    <w:p w14:paraId="24607C5A">
      <w:pPr>
        <w:spacing w:line="360" w:lineRule="exact"/>
        <w:ind w:firstLine="480" w:firstLineChars="200"/>
        <w:rPr>
          <w:rFonts w:hint="eastAsia" w:ascii="宋体" w:hAnsi="宋体" w:eastAsia="宋体" w:cs="宋体"/>
          <w:sz w:val="24"/>
          <w:szCs w:val="24"/>
          <w:lang w:eastAsia="zh-CN"/>
        </w:rPr>
      </w:pPr>
      <w:r>
        <w:rPr>
          <w:rFonts w:hint="eastAsia" w:ascii="宋体" w:hAnsi="宋体" w:cs="宋体"/>
          <w:sz w:val="24"/>
          <w:szCs w:val="24"/>
          <w:lang w:eastAsia="zh-CN"/>
        </w:rPr>
        <w:t>（</w:t>
      </w:r>
      <w:r>
        <w:rPr>
          <w:rFonts w:hint="eastAsia" w:ascii="宋体" w:hAnsi="宋体" w:cs="宋体"/>
          <w:sz w:val="24"/>
          <w:szCs w:val="24"/>
          <w:lang w:val="en-US" w:eastAsia="zh-CN"/>
        </w:rPr>
        <w:t>2</w:t>
      </w:r>
      <w:r>
        <w:rPr>
          <w:rFonts w:hint="eastAsia" w:ascii="宋体" w:hAnsi="宋体" w:cs="宋体"/>
          <w:sz w:val="24"/>
          <w:szCs w:val="24"/>
          <w:lang w:eastAsia="zh-CN"/>
        </w:rPr>
        <w:t>）</w:t>
      </w:r>
      <w:r>
        <w:rPr>
          <w:rFonts w:hint="eastAsia" w:ascii="宋体" w:hAnsi="宋体" w:eastAsia="宋体" w:cs="宋体"/>
          <w:sz w:val="24"/>
          <w:szCs w:val="24"/>
          <w:lang w:eastAsia="zh-CN"/>
        </w:rPr>
        <w:t>业务连续性和稳定性</w:t>
      </w:r>
    </w:p>
    <w:p w14:paraId="6ACD5607">
      <w:pPr>
        <w:spacing w:line="3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开展预防性维护：定期进行应用服务、服务器资源检查维护，预防潜在故障，保障业务的连续性运行。</w:t>
      </w:r>
    </w:p>
    <w:p w14:paraId="3AEA1195">
      <w:pPr>
        <w:spacing w:line="3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进行系统监控：现场监控系统状态，及时发现并解决问题，防止业务堆积。如确保每月银行对账数据准确、不同系统间数据推送及时、与省公共支付平台保持数据对接顺畅，确保业务流、信息流、资金流及时匹配。</w:t>
      </w:r>
    </w:p>
    <w:p w14:paraId="6B5597B9">
      <w:pPr>
        <w:spacing w:line="360" w:lineRule="exact"/>
        <w:ind w:firstLine="480" w:firstLineChars="200"/>
        <w:rPr>
          <w:rFonts w:hint="eastAsia" w:ascii="宋体" w:hAnsi="宋体" w:eastAsia="宋体" w:cs="宋体"/>
          <w:sz w:val="24"/>
          <w:szCs w:val="24"/>
          <w:lang w:eastAsia="zh-CN"/>
        </w:rPr>
      </w:pPr>
      <w:r>
        <w:rPr>
          <w:rFonts w:hint="eastAsia" w:ascii="宋体" w:hAnsi="宋体" w:cs="宋体"/>
          <w:sz w:val="24"/>
          <w:szCs w:val="24"/>
          <w:lang w:eastAsia="zh-CN"/>
        </w:rPr>
        <w:t>（</w:t>
      </w:r>
      <w:r>
        <w:rPr>
          <w:rFonts w:hint="eastAsia" w:ascii="宋体" w:hAnsi="宋体" w:cs="宋体"/>
          <w:sz w:val="24"/>
          <w:szCs w:val="24"/>
          <w:lang w:val="en-US" w:eastAsia="zh-CN"/>
        </w:rPr>
        <w:t>3</w:t>
      </w:r>
      <w:r>
        <w:rPr>
          <w:rFonts w:hint="eastAsia" w:ascii="宋体" w:hAnsi="宋体" w:cs="宋体"/>
          <w:sz w:val="24"/>
          <w:szCs w:val="24"/>
          <w:lang w:eastAsia="zh-CN"/>
        </w:rPr>
        <w:t>）</w:t>
      </w:r>
      <w:r>
        <w:rPr>
          <w:rFonts w:hint="eastAsia" w:ascii="宋体" w:hAnsi="宋体" w:eastAsia="宋体" w:cs="宋体"/>
          <w:sz w:val="24"/>
          <w:szCs w:val="24"/>
          <w:lang w:eastAsia="zh-CN"/>
        </w:rPr>
        <w:t>专业知识指导</w:t>
      </w:r>
    </w:p>
    <w:p w14:paraId="647596C3">
      <w:pPr>
        <w:spacing w:line="3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提供技术指导：根据业务发展需要，配合财政部门对执收单位开展系统操作培训并提供全面的技术指导。</w:t>
      </w:r>
    </w:p>
    <w:p w14:paraId="1AD839FB">
      <w:pPr>
        <w:spacing w:line="360" w:lineRule="exact"/>
        <w:ind w:firstLine="480" w:firstLineChars="200"/>
        <w:rPr>
          <w:rFonts w:hint="eastAsia" w:ascii="宋体" w:hAnsi="宋体" w:eastAsia="宋体" w:cs="宋体"/>
          <w:sz w:val="24"/>
          <w:szCs w:val="24"/>
          <w:lang w:eastAsia="zh-CN"/>
        </w:rPr>
      </w:pPr>
      <w:r>
        <w:rPr>
          <w:rFonts w:hint="eastAsia" w:ascii="宋体" w:hAnsi="宋体" w:cs="宋体"/>
          <w:sz w:val="24"/>
          <w:szCs w:val="24"/>
          <w:lang w:eastAsia="zh-CN"/>
        </w:rPr>
        <w:t>（</w:t>
      </w:r>
      <w:r>
        <w:rPr>
          <w:rFonts w:hint="eastAsia" w:ascii="宋体" w:hAnsi="宋体" w:cs="宋体"/>
          <w:sz w:val="24"/>
          <w:szCs w:val="24"/>
          <w:lang w:val="en-US" w:eastAsia="zh-CN"/>
        </w:rPr>
        <w:t>4</w:t>
      </w:r>
      <w:r>
        <w:rPr>
          <w:rFonts w:hint="eastAsia" w:ascii="宋体" w:hAnsi="宋体" w:cs="宋体"/>
          <w:sz w:val="24"/>
          <w:szCs w:val="24"/>
          <w:lang w:eastAsia="zh-CN"/>
        </w:rPr>
        <w:t>）</w:t>
      </w:r>
      <w:r>
        <w:rPr>
          <w:rFonts w:hint="eastAsia" w:ascii="宋体" w:hAnsi="宋体" w:eastAsia="宋体" w:cs="宋体"/>
          <w:sz w:val="24"/>
          <w:szCs w:val="24"/>
          <w:lang w:eastAsia="zh-CN"/>
        </w:rPr>
        <w:t>数据安全</w:t>
      </w:r>
    </w:p>
    <w:p w14:paraId="78B2FE7E">
      <w:pPr>
        <w:spacing w:line="3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确保数据安全：可直接接入财政内网，确保财政非税收入数据的安全性。</w:t>
      </w:r>
    </w:p>
    <w:p w14:paraId="77E8F0DC">
      <w:pPr>
        <w:spacing w:line="360" w:lineRule="exact"/>
        <w:ind w:firstLine="480" w:firstLineChars="200"/>
        <w:rPr>
          <w:rFonts w:hint="eastAsia" w:ascii="宋体" w:hAnsi="宋体" w:eastAsia="宋体" w:cs="宋体"/>
          <w:sz w:val="24"/>
          <w:szCs w:val="24"/>
          <w:lang w:eastAsia="zh-CN"/>
        </w:rPr>
      </w:pPr>
      <w:r>
        <w:rPr>
          <w:rFonts w:hint="eastAsia" w:ascii="宋体" w:hAnsi="宋体" w:cs="宋体"/>
          <w:sz w:val="24"/>
          <w:szCs w:val="24"/>
          <w:lang w:eastAsia="zh-CN"/>
        </w:rPr>
        <w:t>（</w:t>
      </w:r>
      <w:r>
        <w:rPr>
          <w:rFonts w:hint="eastAsia" w:ascii="宋体" w:hAnsi="宋体" w:cs="宋体"/>
          <w:sz w:val="24"/>
          <w:szCs w:val="24"/>
          <w:lang w:val="en-US" w:eastAsia="zh-CN"/>
        </w:rPr>
        <w:t>5）</w:t>
      </w:r>
      <w:r>
        <w:rPr>
          <w:rFonts w:hint="eastAsia" w:ascii="宋体" w:hAnsi="宋体" w:eastAsia="宋体" w:cs="宋体"/>
          <w:sz w:val="24"/>
          <w:szCs w:val="24"/>
          <w:lang w:eastAsia="zh-CN"/>
        </w:rPr>
        <w:t>运维制度与规范</w:t>
      </w:r>
    </w:p>
    <w:p w14:paraId="686AE4AE">
      <w:pPr>
        <w:spacing w:line="3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对提供服务的公司人员和工作进行规范化和标准化管理，涵盖运维人员管理、操作规程、日志记录、运维报告、故障级别定义及故障升级规范、保密制度、运维流程和运维记录单据等等。</w:t>
      </w:r>
    </w:p>
    <w:p w14:paraId="07C1D734">
      <w:pPr>
        <w:spacing w:line="3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4.人员及实施要求</w:t>
      </w:r>
    </w:p>
    <w:p w14:paraId="5AFC2CA2">
      <w:pPr>
        <w:spacing w:line="3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根据工作需要确保至少3名长期驻场人员，提供即时的技术支持，运维人员直接在现场诊断和解决技术问题，减少故障恢复时间。及时解决非税收入执收单位及缴费人有关非税收入收缴和票据管理的相关问题，提升相关用户满意度。</w:t>
      </w:r>
    </w:p>
    <w:p w14:paraId="1FB01E2A">
      <w:pPr>
        <w:spacing w:line="360" w:lineRule="exact"/>
        <w:ind w:firstLine="482" w:firstLineChars="200"/>
        <w:rPr>
          <w:rFonts w:hint="eastAsia" w:ascii="宋体" w:hAnsi="宋体" w:eastAsia="宋体" w:cs="宋体"/>
          <w:b/>
          <w:bCs/>
          <w:sz w:val="24"/>
          <w:szCs w:val="24"/>
          <w:lang w:eastAsia="zh-CN"/>
        </w:rPr>
      </w:pPr>
      <w:r>
        <w:rPr>
          <w:rFonts w:hint="eastAsia" w:ascii="宋体" w:hAnsi="宋体" w:eastAsia="宋体" w:cs="宋体"/>
          <w:b/>
          <w:sz w:val="24"/>
          <w:szCs w:val="24"/>
          <w:lang w:eastAsia="zh-CN"/>
        </w:rPr>
        <w:t>说明：本项“4.人员及实施要求”为实质性要求，需供应商提供驻场人员承</w:t>
      </w:r>
      <w:r>
        <w:rPr>
          <w:rFonts w:hint="eastAsia" w:ascii="宋体" w:hAnsi="宋体" w:eastAsia="宋体" w:cs="宋体"/>
          <w:b/>
          <w:bCs/>
          <w:sz w:val="24"/>
          <w:szCs w:val="24"/>
          <w:lang w:eastAsia="zh-CN"/>
        </w:rPr>
        <w:t>诺函并加盖公章。如不提供，在符合性审查时按照投标无效处理。</w:t>
      </w:r>
    </w:p>
    <w:p w14:paraId="3E5D484C">
      <w:pPr>
        <w:spacing w:line="360" w:lineRule="exact"/>
        <w:ind w:firstLine="482" w:firstLineChars="200"/>
        <w:rPr>
          <w:rFonts w:hint="default" w:ascii="宋体" w:hAnsi="宋体" w:eastAsia="宋体" w:cs="宋体"/>
          <w:b/>
          <w:bCs/>
          <w:sz w:val="24"/>
          <w:szCs w:val="24"/>
          <w:lang w:val="en-US" w:eastAsia="zh-CN"/>
        </w:rPr>
      </w:pPr>
      <w:r>
        <w:rPr>
          <w:rFonts w:hint="eastAsia" w:ascii="宋体" w:hAnsi="宋体" w:eastAsia="宋体" w:cs="宋体"/>
          <w:b/>
          <w:bCs/>
          <w:sz w:val="24"/>
          <w:szCs w:val="24"/>
          <w:lang w:val="en-US" w:eastAsia="zh-CN"/>
        </w:rPr>
        <w:t>三、其他要求：见招标文件第五章《拟签订的合同文本》。</w:t>
      </w:r>
    </w:p>
    <w:p w14:paraId="444E6642">
      <w:pPr>
        <w:keepNext w:val="0"/>
        <w:keepLines w:val="0"/>
        <w:pageBreakBefore w:val="0"/>
        <w:widowControl w:val="0"/>
        <w:spacing w:line="312" w:lineRule="auto"/>
        <w:ind w:right="0"/>
        <w:jc w:val="center"/>
        <w:outlineLvl w:val="1"/>
        <w:rPr>
          <w:rFonts w:hint="eastAsia" w:ascii="宋体" w:hAnsi="宋体" w:eastAsia="宋体" w:cs="宋体"/>
          <w:b/>
          <w:bCs/>
          <w:color w:val="000000"/>
          <w:sz w:val="28"/>
          <w:szCs w:val="28"/>
          <w:highlight w:val="none"/>
          <w:lang w:val="en-US" w:eastAsia="zh-CN"/>
        </w:rPr>
      </w:pPr>
    </w:p>
    <w:p w14:paraId="04AA9F62">
      <w:pPr>
        <w:keepNext w:val="0"/>
        <w:keepLines w:val="0"/>
        <w:pageBreakBefore w:val="0"/>
        <w:widowControl w:val="0"/>
        <w:spacing w:line="312" w:lineRule="auto"/>
        <w:ind w:right="0"/>
        <w:jc w:val="center"/>
        <w:outlineLvl w:val="1"/>
        <w:rPr>
          <w:rFonts w:hint="eastAsia" w:asciiTheme="minorEastAsia" w:hAnsiTheme="minorEastAsia" w:eastAsiaTheme="minorEastAsia" w:cstheme="minorEastAsia"/>
          <w:b w:val="0"/>
          <w:bCs w:val="0"/>
          <w:strike/>
          <w:dstrike w:val="0"/>
          <w:sz w:val="24"/>
          <w:szCs w:val="24"/>
        </w:rPr>
      </w:pPr>
      <w:r>
        <w:rPr>
          <w:rFonts w:hint="eastAsia" w:ascii="宋体" w:hAnsi="宋体" w:eastAsia="宋体" w:cs="宋体"/>
          <w:b/>
          <w:bCs/>
          <w:color w:val="000000"/>
          <w:sz w:val="28"/>
          <w:szCs w:val="28"/>
          <w:highlight w:val="none"/>
          <w:lang w:val="en-US" w:eastAsia="zh-CN"/>
        </w:rPr>
        <w:t>采购包4：</w:t>
      </w:r>
      <w:r>
        <w:rPr>
          <w:rFonts w:hint="eastAsia" w:ascii="宋体" w:hAnsi="宋体" w:cs="宋体"/>
          <w:b/>
          <w:bCs/>
          <w:color w:val="000000"/>
          <w:sz w:val="28"/>
          <w:szCs w:val="28"/>
          <w:highlight w:val="none"/>
          <w:lang w:val="en-US" w:eastAsia="zh-CN"/>
        </w:rPr>
        <w:t>苏采云系统运维服务</w:t>
      </w:r>
    </w:p>
    <w:p w14:paraId="498761BD">
      <w:pPr>
        <w:pageBreakBefore w:val="0"/>
        <w:widowControl w:val="0"/>
        <w:kinsoku/>
        <w:wordWrap/>
        <w:overflowPunct/>
        <w:topLinePunct w:val="0"/>
        <w:autoSpaceDE w:val="0"/>
        <w:autoSpaceDN w:val="0"/>
        <w:bidi w:val="0"/>
        <w:adjustRightInd w:val="0"/>
        <w:spacing w:line="520" w:lineRule="exact"/>
        <w:ind w:firstLine="482" w:firstLineChars="200"/>
        <w:jc w:val="left"/>
        <w:textAlignment w:val="auto"/>
        <w:rPr>
          <w:rFonts w:hint="eastAsia" w:asciiTheme="minorEastAsia" w:hAnsiTheme="minorEastAsia" w:eastAsiaTheme="minorEastAsia" w:cstheme="minorEastAsia"/>
          <w:color w:val="000000"/>
          <w:szCs w:val="24"/>
        </w:rPr>
      </w:pPr>
      <w:r>
        <w:rPr>
          <w:rFonts w:hint="eastAsia" w:asciiTheme="minorEastAsia" w:hAnsiTheme="minorEastAsia" w:eastAsiaTheme="minorEastAsia" w:cstheme="minorEastAsia"/>
          <w:b/>
          <w:bCs/>
          <w:color w:val="FF0000"/>
          <w:sz w:val="24"/>
          <w:szCs w:val="24"/>
        </w:rPr>
        <w:t>本项目需求中标注★号的款项为实质性要求和条件，由采购人根据实际情况设置，供应商必须逐条明确作出满足实质性要求和条件的响应，否则按照无效响应处理。</w:t>
      </w:r>
    </w:p>
    <w:p w14:paraId="736B93A3">
      <w:pPr>
        <w:pageBreakBefore w:val="0"/>
        <w:widowControl w:val="0"/>
        <w:kinsoku/>
        <w:wordWrap/>
        <w:overflowPunct/>
        <w:topLinePunct w:val="0"/>
        <w:bidi w:val="0"/>
        <w:spacing w:line="520" w:lineRule="exact"/>
        <w:ind w:firstLine="482" w:firstLineChars="200"/>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一、项目概况</w:t>
      </w:r>
    </w:p>
    <w:p w14:paraId="72E0A6CA">
      <w:pPr>
        <w:pageBreakBefore w:val="0"/>
        <w:widowControl w:val="0"/>
        <w:kinsoku/>
        <w:wordWrap/>
        <w:overflowPunct/>
        <w:topLinePunct w:val="0"/>
        <w:bidi w:val="0"/>
        <w:spacing w:line="520" w:lineRule="exact"/>
        <w:ind w:firstLine="480" w:firstLineChars="200"/>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根据省财政厅推进苏采云平台建设部署要求，2021年8月份起苏采云平台已经进入全省全面部署阶段。按照省财政厅统筹建设原则，省财政厅负责系统的顶层设计规划和相关功能开发，地市财政负责本区域系统实施部署运维服务工作。</w:t>
      </w:r>
    </w:p>
    <w:p w14:paraId="0F159693">
      <w:pPr>
        <w:pageBreakBefore w:val="0"/>
        <w:widowControl w:val="0"/>
        <w:kinsoku/>
        <w:wordWrap/>
        <w:overflowPunct/>
        <w:topLinePunct w:val="0"/>
        <w:bidi w:val="0"/>
        <w:spacing w:line="520" w:lineRule="exact"/>
        <w:ind w:firstLine="480" w:firstLineChars="200"/>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2021年4月14日，省财政厅下发了《关于进一步加强政府采购预算编制和执行管理的通知》（苏财购〔2021〕36号），结合“一体化系统”建设在全省推广应用“苏采云”。根据苏财购〔2023〕35号《关于启用江苏省政府采购框架协议电子采购平台的通知》文件要求：自2023年3月15日起，框架协议电子采购平台在全省正式启，使用“苏采云”系统的市、县，均应当通过此平台开展框架协议采购活动。</w:t>
      </w:r>
    </w:p>
    <w:p w14:paraId="366F6901">
      <w:pPr>
        <w:pageBreakBefore w:val="0"/>
        <w:widowControl w:val="0"/>
        <w:kinsoku/>
        <w:wordWrap/>
        <w:overflowPunct/>
        <w:topLinePunct w:val="0"/>
        <w:bidi w:val="0"/>
        <w:spacing w:line="520" w:lineRule="exact"/>
        <w:ind w:firstLine="480" w:firstLineChars="200"/>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2023年10月9日，省财政厅联合江苏省政务服务管理办公室下发了《关于在全省推广应用“苏采云”政府集中采购交易系统的通知》（苏财购〔2023〕130号），文件要求：2023年年底前全省政府集中采购业务全部纳入“苏采云”系统。</w:t>
      </w:r>
    </w:p>
    <w:p w14:paraId="70FF83C3">
      <w:pPr>
        <w:pageBreakBefore w:val="0"/>
        <w:widowControl w:val="0"/>
        <w:kinsoku/>
        <w:wordWrap/>
        <w:overflowPunct/>
        <w:topLinePunct w:val="0"/>
        <w:bidi w:val="0"/>
        <w:spacing w:line="520" w:lineRule="exact"/>
        <w:ind w:firstLine="480" w:firstLineChars="200"/>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2027年需持续保障苏采云平台运维服务和根据省厅统一规划升级“苏采云”平台应用。</w:t>
      </w:r>
    </w:p>
    <w:p w14:paraId="595DA5E4">
      <w:pPr>
        <w:keepNext w:val="0"/>
        <w:keepLines w:val="0"/>
        <w:pageBreakBefore w:val="0"/>
        <w:widowControl w:val="0"/>
        <w:kinsoku/>
        <w:wordWrap/>
        <w:overflowPunct/>
        <w:topLinePunct w:val="0"/>
        <w:autoSpaceDE/>
        <w:autoSpaceDN/>
        <w:bidi w:val="0"/>
        <w:adjustRightInd/>
        <w:snapToGrid/>
        <w:spacing w:line="520" w:lineRule="exact"/>
        <w:ind w:firstLine="482" w:firstLineChars="200"/>
        <w:jc w:val="left"/>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二、苏采云运维服务工作</w:t>
      </w:r>
    </w:p>
    <w:p w14:paraId="2D2F3504">
      <w:pPr>
        <w:pStyle w:val="16"/>
        <w:pageBreakBefore w:val="0"/>
        <w:widowControl w:val="0"/>
        <w:numPr>
          <w:ilvl w:val="0"/>
          <w:numId w:val="0"/>
        </w:numPr>
        <w:kinsoku/>
        <w:wordWrap/>
        <w:overflowPunct/>
        <w:topLinePunct w:val="0"/>
        <w:bidi w:val="0"/>
        <w:spacing w:before="0" w:after="0" w:line="520" w:lineRule="exact"/>
        <w:ind w:firstLine="482" w:firstLineChars="200"/>
        <w:textAlignment w:val="auto"/>
        <w:outlineLvl w:val="2"/>
        <w:rPr>
          <w:rFonts w:hint="eastAsia" w:asciiTheme="minorEastAsia" w:hAnsiTheme="minorEastAsia" w:eastAsiaTheme="minorEastAsia" w:cstheme="minorEastAsia"/>
          <w:sz w:val="24"/>
          <w:szCs w:val="24"/>
          <w:lang w:val="zh-CN"/>
        </w:rPr>
      </w:pPr>
      <w:r>
        <w:rPr>
          <w:rFonts w:hint="eastAsia" w:asciiTheme="minorEastAsia" w:hAnsiTheme="minorEastAsia" w:eastAsiaTheme="minorEastAsia" w:cstheme="minorEastAsia"/>
          <w:sz w:val="24"/>
          <w:szCs w:val="24"/>
          <w:lang w:val="zh-CN"/>
        </w:rPr>
        <w:t>1、“苏采云”年度运维服务工作</w:t>
      </w:r>
    </w:p>
    <w:p w14:paraId="237A191B">
      <w:pPr>
        <w:pageBreakBefore w:val="0"/>
        <w:widowControl w:val="0"/>
        <w:kinsoku/>
        <w:wordWrap/>
        <w:overflowPunct/>
        <w:topLinePunct w:val="0"/>
        <w:bidi w:val="0"/>
        <w:spacing w:line="520" w:lineRule="exact"/>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苏采云”平台日常运维保障（包括解答财政监管部门、采购人、代理机构、供应商用户使用过程中出现的咨询、指导用户操作、问题排查、协助数据整理校对、网络异常、服务器异常、省网公告异常协调、数据对接异常协调处理等），详细如下：</w:t>
      </w:r>
    </w:p>
    <w:p w14:paraId="1093DA5A">
      <w:pPr>
        <w:pageBreakBefore w:val="0"/>
        <w:widowControl w:val="0"/>
        <w:kinsoku/>
        <w:wordWrap/>
        <w:overflowPunct/>
        <w:topLinePunct w:val="0"/>
        <w:bidi w:val="0"/>
        <w:spacing w:line="520" w:lineRule="exact"/>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xml:space="preserve">（1）7种采购方式的项目业务流转过程中出现的问题处理包括：项目管理流程问题、开评标过程中指导。 </w:t>
      </w:r>
    </w:p>
    <w:p w14:paraId="720887AB">
      <w:pPr>
        <w:pageBreakBefore w:val="0"/>
        <w:widowControl w:val="0"/>
        <w:kinsoku/>
        <w:wordWrap/>
        <w:overflowPunct/>
        <w:topLinePunct w:val="0"/>
        <w:bidi w:val="0"/>
        <w:spacing w:line="520" w:lineRule="exact"/>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（2）系统控件指导：账号和密码登录咨询、浏览器版本登录指导、系统控件安装指导。</w:t>
      </w:r>
    </w:p>
    <w:p w14:paraId="12DA76EB">
      <w:pPr>
        <w:pageBreakBefore w:val="0"/>
        <w:widowControl w:val="0"/>
        <w:kinsoku/>
        <w:wordWrap/>
        <w:overflowPunct/>
        <w:topLinePunct w:val="0"/>
        <w:bidi w:val="0"/>
        <w:spacing w:line="520" w:lineRule="exact"/>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（3）系统填写规范咨询、业务流程调整。</w:t>
      </w:r>
    </w:p>
    <w:p w14:paraId="5909E192">
      <w:pPr>
        <w:pageBreakBefore w:val="0"/>
        <w:widowControl w:val="0"/>
        <w:kinsoku/>
        <w:wordWrap/>
        <w:overflowPunct/>
        <w:topLinePunct w:val="0"/>
        <w:bidi w:val="0"/>
        <w:spacing w:line="520" w:lineRule="exact"/>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（4）协助解决因用户计算机、网络环境、操作系统导致系统无法正常使用的问题。</w:t>
      </w:r>
    </w:p>
    <w:p w14:paraId="2EC34CA3">
      <w:pPr>
        <w:pageBreakBefore w:val="0"/>
        <w:widowControl w:val="0"/>
        <w:kinsoku/>
        <w:wordWrap/>
        <w:overflowPunct/>
        <w:topLinePunct w:val="0"/>
        <w:bidi w:val="0"/>
        <w:spacing w:line="520" w:lineRule="exact"/>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（5）供应商：供应商注册咨询、投标流程咨询、投标文件下载\导入问题、制作投标文件、投标文件解密。</w:t>
      </w:r>
    </w:p>
    <w:p w14:paraId="428D6BF4">
      <w:pPr>
        <w:pageBreakBefore w:val="0"/>
        <w:widowControl w:val="0"/>
        <w:kinsoku/>
        <w:wordWrap/>
        <w:overflowPunct/>
        <w:topLinePunct w:val="0"/>
        <w:bidi w:val="0"/>
        <w:spacing w:line="520" w:lineRule="exact"/>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（6）评审专家：资格审查、符合审查、综合评审打分、折扣报价确认操作指导。</w:t>
      </w:r>
    </w:p>
    <w:p w14:paraId="7098E7C3">
      <w:pPr>
        <w:pageBreakBefore w:val="0"/>
        <w:widowControl w:val="0"/>
        <w:kinsoku/>
        <w:wordWrap/>
        <w:overflowPunct/>
        <w:topLinePunct w:val="0"/>
        <w:bidi w:val="0"/>
        <w:spacing w:line="520" w:lineRule="exact"/>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（7）系统接口保障：采购公告接口、专家库接口、中征平台接口、财政一体化接口等运维保障，相关问题排查解决。</w:t>
      </w:r>
    </w:p>
    <w:p w14:paraId="2B1F0C57">
      <w:pPr>
        <w:pageBreakBefore w:val="0"/>
        <w:widowControl w:val="0"/>
        <w:kinsoku/>
        <w:wordWrap/>
        <w:overflowPunct/>
        <w:topLinePunct w:val="0"/>
        <w:bidi w:val="0"/>
        <w:spacing w:line="520" w:lineRule="exact"/>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8）CA及控件运维：涵盖各采购主体业务使用过程中的CA问题处理，各采购环节涉及的Word编辑器日常控件加载显示问题处理，各采购环节涉及的需签章内容PDF显示及电子签章问题处理以及处理由于帆软导致的系统问题。</w:t>
      </w:r>
    </w:p>
    <w:p w14:paraId="3B2FD0A0">
      <w:pPr>
        <w:pageBreakBefore w:val="0"/>
        <w:widowControl w:val="0"/>
        <w:kinsoku/>
        <w:wordWrap/>
        <w:overflowPunct/>
        <w:topLinePunct w:val="0"/>
        <w:bidi w:val="0"/>
        <w:spacing w:line="520" w:lineRule="exact"/>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（9）系统培训：对采购人、代理机构、财政监管部门等相关人员进行系统运行管理、日常维护、使用操作等方面的培训。</w:t>
      </w:r>
    </w:p>
    <w:p w14:paraId="0B6C4AD2">
      <w:pPr>
        <w:pageBreakBefore w:val="0"/>
        <w:widowControl w:val="0"/>
        <w:kinsoku/>
        <w:wordWrap/>
        <w:overflowPunct/>
        <w:topLinePunct w:val="0"/>
        <w:bidi w:val="0"/>
        <w:spacing w:line="520" w:lineRule="exact"/>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10）为了保证系统更好的适应业务需要，支持工程师在解决问题的过程中要记录各类用户针对系统提出的新需求和修改建议。同时从技术的角度协助地方用户进行需求分析，筛选出其中能够提高系统易用性或业务适应性的需求提出解决方案。</w:t>
      </w:r>
    </w:p>
    <w:p w14:paraId="269F420B">
      <w:pPr>
        <w:pageBreakBefore w:val="0"/>
        <w:widowControl w:val="0"/>
        <w:kinsoku/>
        <w:wordWrap/>
        <w:overflowPunct/>
        <w:topLinePunct w:val="0"/>
        <w:bidi w:val="0"/>
        <w:spacing w:line="520" w:lineRule="exact"/>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11）为了保证系统能够更好的与其他财政业务进行衔接，工程师在系统维护过程中协助地市用户挖掘系统与其他财政系统的业务接口，并从技术角度分析系统与其他业务系统进行衔接的可行性，设计数据接口解决方案。</w:t>
      </w:r>
    </w:p>
    <w:p w14:paraId="38F0D581">
      <w:pPr>
        <w:pageBreakBefore w:val="0"/>
        <w:widowControl w:val="0"/>
        <w:kinsoku/>
        <w:wordWrap/>
        <w:overflowPunct/>
        <w:topLinePunct w:val="0"/>
        <w:bidi w:val="0"/>
        <w:spacing w:line="520" w:lineRule="exact"/>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（12）重大项目或紧急情况下，提供现场技术支持服务。</w:t>
      </w:r>
    </w:p>
    <w:p w14:paraId="1C2AB845">
      <w:pPr>
        <w:pStyle w:val="16"/>
        <w:keepNext/>
        <w:keepLines/>
        <w:pageBreakBefore w:val="0"/>
        <w:widowControl w:val="0"/>
        <w:numPr>
          <w:ilvl w:val="0"/>
          <w:numId w:val="0"/>
        </w:numPr>
        <w:kinsoku/>
        <w:wordWrap/>
        <w:overflowPunct/>
        <w:topLinePunct w:val="0"/>
        <w:autoSpaceDE/>
        <w:autoSpaceDN/>
        <w:bidi w:val="0"/>
        <w:adjustRightInd/>
        <w:snapToGrid/>
        <w:spacing w:before="0" w:after="0" w:line="520" w:lineRule="exact"/>
        <w:ind w:firstLine="482" w:firstLineChars="200"/>
        <w:textAlignment w:val="auto"/>
        <w:outlineLvl w:val="2"/>
        <w:rPr>
          <w:rFonts w:hint="eastAsia" w:asciiTheme="minorEastAsia" w:hAnsiTheme="minorEastAsia" w:eastAsiaTheme="minorEastAsia" w:cstheme="minorEastAsia"/>
          <w:sz w:val="24"/>
          <w:szCs w:val="24"/>
          <w:lang w:val="zh-CN"/>
        </w:rPr>
      </w:pPr>
      <w:bookmarkStart w:id="1" w:name="_Toc173764537"/>
      <w:r>
        <w:rPr>
          <w:rFonts w:hint="eastAsia" w:asciiTheme="minorEastAsia" w:hAnsiTheme="minorEastAsia" w:eastAsiaTheme="minorEastAsia" w:cstheme="minorEastAsia"/>
          <w:sz w:val="24"/>
          <w:szCs w:val="24"/>
          <w:lang w:val="zh-CN"/>
        </w:rPr>
        <w:t>2、智能服务平台保障</w:t>
      </w:r>
      <w:bookmarkEnd w:id="1"/>
    </w:p>
    <w:p w14:paraId="273E032F">
      <w:pPr>
        <w:pageBreakBefore w:val="0"/>
        <w:widowControl w:val="0"/>
        <w:kinsoku/>
        <w:wordWrap/>
        <w:overflowPunct/>
        <w:topLinePunct w:val="0"/>
        <w:bidi w:val="0"/>
        <w:spacing w:line="520" w:lineRule="exact"/>
        <w:ind w:firstLine="480" w:firstLineChars="200"/>
        <w:textAlignment w:val="auto"/>
        <w:rPr>
          <w:rFonts w:hint="eastAsia"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苏采云智能客服平台为采购人、代理机构、供应商、评审专家、监管部门均提供一对一专属服务通道以及便捷的自助服务窗口，通过统一在线服务入口、智能分发、多渠道智能协同服务进一步优化运维服务能力，提升问题处理效率，提高用户满意度。</w:t>
      </w:r>
    </w:p>
    <w:p w14:paraId="5F4344A5">
      <w:pPr>
        <w:pageBreakBefore w:val="0"/>
        <w:widowControl w:val="0"/>
        <w:kinsoku/>
        <w:wordWrap/>
        <w:overflowPunct/>
        <w:topLinePunct w:val="0"/>
        <w:bidi w:val="0"/>
        <w:spacing w:line="520" w:lineRule="exact"/>
        <w:ind w:firstLine="480" w:firstLineChars="200"/>
        <w:textAlignment w:val="auto"/>
        <w:rPr>
          <w:rFonts w:hint="eastAsia"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（1）智能问答服务：用户输入咨询内容后，系统可根据输入内容的语境、语义，推送与之匹配度最高的相关问题的解决方案，实现7*24小时全天候服务。</w:t>
      </w:r>
    </w:p>
    <w:p w14:paraId="343C632D">
      <w:pPr>
        <w:pageBreakBefore w:val="0"/>
        <w:widowControl w:val="0"/>
        <w:kinsoku/>
        <w:wordWrap/>
        <w:overflowPunct/>
        <w:topLinePunct w:val="0"/>
        <w:bidi w:val="0"/>
        <w:spacing w:line="520" w:lineRule="exact"/>
        <w:ind w:firstLine="480" w:firstLineChars="200"/>
        <w:textAlignment w:val="auto"/>
        <w:rPr>
          <w:rFonts w:hint="eastAsia"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（2）人工客服服务：用户可申请人工客服服务，后台客服接受用户请求并提供相应服务，可实现跨地区问题转接，有效避免用户重复咨询，提高咨询效率。</w:t>
      </w:r>
    </w:p>
    <w:p w14:paraId="0C231963">
      <w:pPr>
        <w:pageBreakBefore w:val="0"/>
        <w:widowControl w:val="0"/>
        <w:kinsoku/>
        <w:wordWrap/>
        <w:overflowPunct/>
        <w:topLinePunct w:val="0"/>
        <w:bidi w:val="0"/>
        <w:spacing w:line="520" w:lineRule="exact"/>
        <w:ind w:firstLine="480" w:firstLineChars="200"/>
        <w:textAlignment w:val="auto"/>
        <w:rPr>
          <w:rFonts w:hint="eastAsia"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（3）自助服务：提供客服热线查询以及系统公告、常见问题、操作手册在线查看等，方便用户快速查看并了解相关信息。</w:t>
      </w:r>
    </w:p>
    <w:p w14:paraId="754B0B0C">
      <w:pPr>
        <w:pageBreakBefore w:val="0"/>
        <w:widowControl w:val="0"/>
        <w:kinsoku/>
        <w:wordWrap/>
        <w:overflowPunct/>
        <w:topLinePunct w:val="0"/>
        <w:bidi w:val="0"/>
        <w:spacing w:line="520" w:lineRule="exact"/>
        <w:ind w:firstLine="480" w:firstLineChars="200"/>
        <w:textAlignment w:val="auto"/>
        <w:rPr>
          <w:rFonts w:hint="eastAsia"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（4）服务评价：用户咨询结束后，可以对智能客服提供的解决方案进行评价，也可以对人工客服提供的服务进行星级评分。</w:t>
      </w:r>
    </w:p>
    <w:p w14:paraId="170680C0">
      <w:pPr>
        <w:pageBreakBefore w:val="0"/>
        <w:widowControl w:val="0"/>
        <w:kinsoku/>
        <w:wordWrap/>
        <w:overflowPunct/>
        <w:topLinePunct w:val="0"/>
        <w:bidi w:val="0"/>
        <w:spacing w:line="520" w:lineRule="exact"/>
        <w:ind w:firstLine="480" w:firstLineChars="200"/>
        <w:textAlignment w:val="auto"/>
        <w:rPr>
          <w:rFonts w:hint="eastAsia"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（5）预约回访：若因人工客服接入超时未响应，用户可进行在线留言，预约人工客服进行回访并解决相关问题。</w:t>
      </w:r>
    </w:p>
    <w:p w14:paraId="0EE80227">
      <w:pPr>
        <w:pStyle w:val="16"/>
        <w:keepNext/>
        <w:keepLines/>
        <w:pageBreakBefore w:val="0"/>
        <w:widowControl w:val="0"/>
        <w:numPr>
          <w:ilvl w:val="0"/>
          <w:numId w:val="0"/>
        </w:numPr>
        <w:kinsoku/>
        <w:wordWrap/>
        <w:overflowPunct/>
        <w:topLinePunct w:val="0"/>
        <w:autoSpaceDE/>
        <w:autoSpaceDN/>
        <w:bidi w:val="0"/>
        <w:adjustRightInd/>
        <w:snapToGrid/>
        <w:spacing w:before="0" w:after="0" w:line="520" w:lineRule="exact"/>
        <w:ind w:firstLine="482" w:firstLineChars="200"/>
        <w:textAlignment w:val="auto"/>
        <w:outlineLvl w:val="2"/>
        <w:rPr>
          <w:rFonts w:hint="eastAsia" w:asciiTheme="minorEastAsia" w:hAnsiTheme="minorEastAsia" w:eastAsiaTheme="minorEastAsia" w:cstheme="minorEastAsia"/>
          <w:sz w:val="24"/>
          <w:szCs w:val="24"/>
          <w:lang w:val="zh-CN"/>
        </w:rPr>
      </w:pPr>
      <w:r>
        <w:rPr>
          <w:rFonts w:hint="eastAsia" w:asciiTheme="minorEastAsia" w:hAnsiTheme="minorEastAsia" w:eastAsiaTheme="minorEastAsia" w:cstheme="minorEastAsia"/>
          <w:sz w:val="24"/>
          <w:szCs w:val="24"/>
          <w:lang w:val="zh-CN"/>
        </w:rPr>
        <w:t xml:space="preserve">3、“苏采云”运营保障服务 </w:t>
      </w:r>
    </w:p>
    <w:p w14:paraId="5EB4CCC9">
      <w:pPr>
        <w:pageBreakBefore w:val="0"/>
        <w:widowControl w:val="0"/>
        <w:kinsoku/>
        <w:wordWrap/>
        <w:overflowPunct/>
        <w:topLinePunct w:val="0"/>
        <w:bidi w:val="0"/>
        <w:spacing w:line="520" w:lineRule="exact"/>
        <w:ind w:firstLine="480" w:firstLineChars="200"/>
        <w:jc w:val="left"/>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系统运营服务内容：</w:t>
      </w:r>
    </w:p>
    <w:p w14:paraId="51575B98">
      <w:pPr>
        <w:pageBreakBefore w:val="0"/>
        <w:widowControl w:val="0"/>
        <w:kinsoku/>
        <w:wordWrap/>
        <w:overflowPunct/>
        <w:topLinePunct w:val="0"/>
        <w:bidi w:val="0"/>
        <w:spacing w:line="520" w:lineRule="exact"/>
        <w:ind w:firstLine="480" w:firstLineChars="200"/>
        <w:jc w:val="left"/>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（1）对财政监管部门、采购人、代理机构、评审专家、供应商等五大采购主体均提供的服务：</w:t>
      </w:r>
    </w:p>
    <w:p w14:paraId="58391976">
      <w:pPr>
        <w:pageBreakBefore w:val="0"/>
        <w:widowControl w:val="0"/>
        <w:kinsoku/>
        <w:wordWrap/>
        <w:overflowPunct/>
        <w:topLinePunct w:val="0"/>
        <w:bidi w:val="0"/>
        <w:spacing w:line="520" w:lineRule="exact"/>
        <w:ind w:firstLine="480" w:firstLineChars="200"/>
        <w:jc w:val="left"/>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①业务咨询类：例如账号和密码登录咨询、CA和签章办理咨询、政策要求咨询、系统填写规范咨询、项目管理流程咨询等。</w:t>
      </w:r>
    </w:p>
    <w:p w14:paraId="017290F6">
      <w:pPr>
        <w:pageBreakBefore w:val="0"/>
        <w:widowControl w:val="0"/>
        <w:kinsoku/>
        <w:wordWrap/>
        <w:overflowPunct/>
        <w:topLinePunct w:val="0"/>
        <w:bidi w:val="0"/>
        <w:spacing w:line="520" w:lineRule="exact"/>
        <w:ind w:firstLine="480" w:firstLineChars="200"/>
        <w:jc w:val="left"/>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②操作指导类：例如浏览器版本登录指导、系统控件安装指导、开评标过程指导、因用户本地计算机、网络环境、操作系统导致系统无法正常使用的解决方案指导等。</w:t>
      </w:r>
    </w:p>
    <w:p w14:paraId="2388C7F8">
      <w:pPr>
        <w:pageBreakBefore w:val="0"/>
        <w:widowControl w:val="0"/>
        <w:kinsoku/>
        <w:wordWrap/>
        <w:overflowPunct/>
        <w:topLinePunct w:val="0"/>
        <w:bidi w:val="0"/>
        <w:spacing w:line="520" w:lineRule="exact"/>
        <w:ind w:firstLine="480" w:firstLineChars="200"/>
        <w:jc w:val="left"/>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③业务培训和操作培训类：结合本地实际业务，编写适用于本地的操作手册和操作视频，根据每年的升级内容进行相应的更新和调整。根据财政监管部门的工作安排，提供针对采购人或代理机构的规模型集中培训。同时，根据财政监管部门需求，可配合开展其他针对性主题的培训（例如：当年系统升级内容、当年政策性调整内容等）。</w:t>
      </w:r>
    </w:p>
    <w:p w14:paraId="64D3CF81">
      <w:pPr>
        <w:pageBreakBefore w:val="0"/>
        <w:widowControl w:val="0"/>
        <w:kinsoku/>
        <w:wordWrap/>
        <w:overflowPunct/>
        <w:topLinePunct w:val="0"/>
        <w:bidi w:val="0"/>
        <w:spacing w:line="520" w:lineRule="exact"/>
        <w:ind w:firstLine="480" w:firstLineChars="200"/>
        <w:jc w:val="left"/>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④功能配置类：根据用户个性化业务需求、流程规则要求，初始化、调整系统本地功能配置（例如：业务流程、文件模板、权限配置、规则配置等）及因本地化调整涉及的相关测试，提升响应速度和处理能力。</w:t>
      </w:r>
    </w:p>
    <w:p w14:paraId="10E9C2B4">
      <w:pPr>
        <w:pageBreakBefore w:val="0"/>
        <w:widowControl w:val="0"/>
        <w:kinsoku/>
        <w:wordWrap/>
        <w:overflowPunct/>
        <w:topLinePunct w:val="0"/>
        <w:bidi w:val="0"/>
        <w:spacing w:line="520" w:lineRule="exact"/>
        <w:ind w:firstLine="480" w:firstLineChars="200"/>
        <w:jc w:val="left"/>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⑤不见面交易所涉及的音视频服务流量：开展不见面交易（例如：开标大厅语音播报、评标时视频会议、在线评审等业务场景）过程中，使用音视频服务时产生的网络数据传输。说明：该项服务目前由</w:t>
      </w:r>
      <w:r>
        <w:rPr>
          <w:rFonts w:hint="eastAsia" w:asciiTheme="minorEastAsia" w:hAnsiTheme="minorEastAsia" w:eastAsiaTheme="minorEastAsia" w:cstheme="minorEastAsia"/>
          <w:color w:val="000000"/>
          <w:sz w:val="24"/>
          <w:szCs w:val="24"/>
          <w:lang w:eastAsia="zh-CN"/>
        </w:rPr>
        <w:t>供应商</w:t>
      </w:r>
      <w:r>
        <w:rPr>
          <w:rFonts w:hint="eastAsia" w:asciiTheme="minorEastAsia" w:hAnsiTheme="minorEastAsia" w:eastAsiaTheme="minorEastAsia" w:cstheme="minorEastAsia"/>
          <w:color w:val="000000"/>
          <w:sz w:val="24"/>
          <w:szCs w:val="24"/>
        </w:rPr>
        <w:t>免费提供。本合同范围内，</w:t>
      </w:r>
      <w:r>
        <w:rPr>
          <w:rFonts w:hint="eastAsia" w:asciiTheme="minorEastAsia" w:hAnsiTheme="minorEastAsia" w:eastAsiaTheme="minorEastAsia" w:cstheme="minorEastAsia"/>
          <w:color w:val="000000"/>
          <w:sz w:val="24"/>
          <w:szCs w:val="24"/>
          <w:lang w:eastAsia="zh-CN"/>
        </w:rPr>
        <w:t>供应商</w:t>
      </w:r>
      <w:r>
        <w:rPr>
          <w:rFonts w:hint="eastAsia" w:asciiTheme="minorEastAsia" w:hAnsiTheme="minorEastAsia" w:eastAsiaTheme="minorEastAsia" w:cstheme="minorEastAsia"/>
          <w:color w:val="000000"/>
          <w:sz w:val="24"/>
          <w:szCs w:val="24"/>
        </w:rPr>
        <w:t>未向</w:t>
      </w:r>
      <w:r>
        <w:rPr>
          <w:rFonts w:hint="eastAsia" w:asciiTheme="minorEastAsia" w:hAnsiTheme="minorEastAsia" w:eastAsiaTheme="minorEastAsia" w:cstheme="minorEastAsia"/>
          <w:color w:val="000000"/>
          <w:sz w:val="24"/>
          <w:szCs w:val="24"/>
          <w:lang w:eastAsia="zh-CN"/>
        </w:rPr>
        <w:t>采购人</w:t>
      </w:r>
      <w:r>
        <w:rPr>
          <w:rFonts w:hint="eastAsia" w:asciiTheme="minorEastAsia" w:hAnsiTheme="minorEastAsia" w:eastAsiaTheme="minorEastAsia" w:cstheme="minorEastAsia"/>
          <w:color w:val="000000"/>
          <w:sz w:val="24"/>
          <w:szCs w:val="24"/>
        </w:rPr>
        <w:t>收取任何费用。</w:t>
      </w:r>
    </w:p>
    <w:p w14:paraId="33ACC138">
      <w:pPr>
        <w:pageBreakBefore w:val="0"/>
        <w:widowControl w:val="0"/>
        <w:kinsoku/>
        <w:wordWrap/>
        <w:overflowPunct/>
        <w:topLinePunct w:val="0"/>
        <w:bidi w:val="0"/>
        <w:spacing w:line="520" w:lineRule="exact"/>
        <w:ind w:firstLine="480" w:firstLineChars="200"/>
        <w:jc w:val="left"/>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2）对财政监管部门：重点提供数据整理校对、数据汇总统计等，协助其通过系统开展采购流程监管、违规行为预警等工作；同时，根据政府采购政策调整及业务需求变化，配合进行本地个性化需求梳理、上报等，确保系统与最新政策要求和业务场景适配。业务涉及采购计划、采购委托、代理机构、采购人、采购合同、CA签章、采购公告、评审专家库、场地预约、电子化开评标、框架协议、审批业务、质疑投诉、监管规则、文件模板等。</w:t>
      </w:r>
    </w:p>
    <w:p w14:paraId="298FF884">
      <w:pPr>
        <w:pageBreakBefore w:val="0"/>
        <w:widowControl w:val="0"/>
        <w:kinsoku/>
        <w:wordWrap/>
        <w:overflowPunct/>
        <w:topLinePunct w:val="0"/>
        <w:bidi w:val="0"/>
        <w:spacing w:line="520" w:lineRule="exact"/>
        <w:ind w:firstLine="480" w:firstLineChars="200"/>
        <w:jc w:val="left"/>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（3）对采购人：重点提供采购项目全过程电子化的操作支持（例如：采购计划填报、采购意向发布、采购文件确认、中标结果确认、电子合同签订等）。</w:t>
      </w:r>
    </w:p>
    <w:p w14:paraId="38D7F214">
      <w:pPr>
        <w:pageBreakBefore w:val="0"/>
        <w:widowControl w:val="0"/>
        <w:kinsoku/>
        <w:wordWrap/>
        <w:overflowPunct/>
        <w:topLinePunct w:val="0"/>
        <w:bidi w:val="0"/>
        <w:spacing w:line="520" w:lineRule="exact"/>
        <w:ind w:firstLine="480" w:firstLineChars="200"/>
        <w:jc w:val="left"/>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（4）对代理机构：重点提供入驻平台和信息维护支持、采购项目全过程电子化的操作支持（例如：项目创建、专家抽取、评审组织、采购全流程电子化管理、开评标电子化管理、档案电子化管理等）。</w:t>
      </w:r>
    </w:p>
    <w:p w14:paraId="615B87AE">
      <w:pPr>
        <w:pageBreakBefore w:val="0"/>
        <w:widowControl w:val="0"/>
        <w:kinsoku/>
        <w:wordWrap/>
        <w:overflowPunct/>
        <w:topLinePunct w:val="0"/>
        <w:bidi w:val="0"/>
        <w:spacing w:line="520" w:lineRule="exact"/>
        <w:ind w:firstLine="480" w:firstLineChars="200"/>
        <w:jc w:val="left"/>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（5）对评审专家：重点提供在线评审操作支持以及远程异地评审支持（例如：综合评审打分、折扣报价确认等操作指导）。</w:t>
      </w:r>
    </w:p>
    <w:p w14:paraId="50D94685">
      <w:pPr>
        <w:pageBreakBefore w:val="0"/>
        <w:widowControl w:val="0"/>
        <w:kinsoku/>
        <w:wordWrap/>
        <w:overflowPunct/>
        <w:topLinePunct w:val="0"/>
        <w:bidi w:val="0"/>
        <w:spacing w:line="520" w:lineRule="exact"/>
        <w:ind w:firstLine="480" w:firstLineChars="200"/>
        <w:jc w:val="left"/>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6）对供应商：重点提供入驻平台和信息维护支持、投标参与支持（例如：线上参与投标、采购文件下载、投标/响应文件在线制作、投标/响应文件在线加密递交、投标/响应文件在线解密、评标过程中的二次报价、电子合同签订等）以及融资服务信息对接支持等。</w:t>
      </w:r>
    </w:p>
    <w:p w14:paraId="25F4185A">
      <w:pPr>
        <w:pageBreakBefore w:val="0"/>
        <w:widowControl w:val="0"/>
        <w:kinsoku/>
        <w:wordWrap/>
        <w:overflowPunct/>
        <w:topLinePunct w:val="0"/>
        <w:bidi w:val="0"/>
        <w:spacing w:line="520" w:lineRule="exact"/>
        <w:ind w:firstLine="482" w:firstLineChars="200"/>
        <w:jc w:val="left"/>
        <w:textAlignment w:val="auto"/>
        <w:rPr>
          <w:rFonts w:hint="eastAsia" w:asciiTheme="minorEastAsia" w:hAnsiTheme="minorEastAsia" w:eastAsiaTheme="minorEastAsia" w:cstheme="minorEastAsia"/>
          <w:b/>
          <w:bCs/>
          <w:color w:val="000000"/>
          <w:sz w:val="24"/>
          <w:szCs w:val="24"/>
          <w:lang w:val="en-US" w:eastAsia="zh-CN"/>
        </w:rPr>
      </w:pPr>
      <w:r>
        <w:rPr>
          <w:rFonts w:hint="eastAsia" w:asciiTheme="minorEastAsia" w:hAnsiTheme="minorEastAsia" w:eastAsiaTheme="minorEastAsia" w:cstheme="minorEastAsia"/>
          <w:b/>
          <w:bCs/>
          <w:color w:val="000000"/>
          <w:sz w:val="24"/>
          <w:szCs w:val="24"/>
          <w:lang w:val="en-US" w:eastAsia="zh-CN"/>
        </w:rPr>
        <w:t>4、安全运维需求</w:t>
      </w:r>
    </w:p>
    <w:p w14:paraId="2B1E2728">
      <w:pPr>
        <w:pageBreakBefore w:val="0"/>
        <w:widowControl w:val="0"/>
        <w:kinsoku/>
        <w:wordWrap/>
        <w:overflowPunct/>
        <w:topLinePunct w:val="0"/>
        <w:bidi w:val="0"/>
        <w:snapToGrid w:val="0"/>
        <w:spacing w:line="520" w:lineRule="exact"/>
        <w:ind w:firstLine="480" w:firstLineChars="200"/>
        <w:contextualSpacing/>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lang w:val="en-US" w:eastAsia="zh-CN"/>
        </w:rPr>
        <w:t>供应商</w:t>
      </w:r>
      <w:r>
        <w:rPr>
          <w:rFonts w:hint="eastAsia" w:asciiTheme="minorEastAsia" w:hAnsiTheme="minorEastAsia" w:eastAsiaTheme="minorEastAsia" w:cstheme="minorEastAsia"/>
          <w:sz w:val="24"/>
        </w:rPr>
        <w:t>必须规范日常的安全操作，符合财政部总体安全策略，通过实施必要的安全运行维护措施，配合</w:t>
      </w:r>
      <w:r>
        <w:rPr>
          <w:rFonts w:hint="eastAsia" w:asciiTheme="minorEastAsia" w:hAnsiTheme="minorEastAsia" w:eastAsiaTheme="minorEastAsia" w:cstheme="minorEastAsia"/>
          <w:sz w:val="24"/>
          <w:lang w:eastAsia="zh-CN"/>
        </w:rPr>
        <w:t>采购人</w:t>
      </w:r>
      <w:r>
        <w:rPr>
          <w:rFonts w:hint="eastAsia" w:asciiTheme="minorEastAsia" w:hAnsiTheme="minorEastAsia" w:eastAsiaTheme="minorEastAsia" w:cstheme="minorEastAsia"/>
          <w:sz w:val="24"/>
        </w:rPr>
        <w:t>定期开展网络安全自查，自查内容至少包括系统日常运行情况、系统漏洞等。配合</w:t>
      </w:r>
      <w:r>
        <w:rPr>
          <w:rFonts w:hint="eastAsia" w:asciiTheme="minorEastAsia" w:hAnsiTheme="minorEastAsia" w:eastAsiaTheme="minorEastAsia" w:cstheme="minorEastAsia"/>
          <w:sz w:val="24"/>
          <w:lang w:eastAsia="zh-CN"/>
        </w:rPr>
        <w:t>采购人</w:t>
      </w:r>
      <w:r>
        <w:rPr>
          <w:rFonts w:hint="eastAsia" w:asciiTheme="minorEastAsia" w:hAnsiTheme="minorEastAsia" w:eastAsiaTheme="minorEastAsia" w:cstheme="minorEastAsia"/>
          <w:sz w:val="24"/>
        </w:rPr>
        <w:t>定期进行安全审计，审计内容至少包括系统账号、权限、操作行为和安全技术措施有效性等，及时发现和处理信息系统运行过程中的安全隐患，减少或避免网络安全事件的发生。</w:t>
      </w:r>
      <w:r>
        <w:rPr>
          <w:rFonts w:hint="eastAsia" w:asciiTheme="minorEastAsia" w:hAnsiTheme="minorEastAsia" w:eastAsiaTheme="minorEastAsia" w:cstheme="minorEastAsia"/>
          <w:sz w:val="24"/>
          <w:lang w:eastAsia="zh-CN"/>
        </w:rPr>
        <w:t>供应商</w:t>
      </w:r>
      <w:r>
        <w:rPr>
          <w:rFonts w:hint="eastAsia" w:asciiTheme="minorEastAsia" w:hAnsiTheme="minorEastAsia" w:eastAsiaTheme="minorEastAsia" w:cstheme="minorEastAsia"/>
          <w:sz w:val="24"/>
        </w:rPr>
        <w:t>禁止将系统管理员权限授予其他人员</w:t>
      </w:r>
      <w:r>
        <w:rPr>
          <w:rFonts w:hint="eastAsia" w:asciiTheme="minorEastAsia" w:hAnsiTheme="minorEastAsia" w:eastAsiaTheme="minorEastAsia" w:cstheme="minorEastAsia"/>
          <w:sz w:val="24"/>
          <w:lang w:eastAsia="zh-CN"/>
        </w:rPr>
        <w:t>，</w:t>
      </w:r>
      <w:r>
        <w:rPr>
          <w:rFonts w:hint="eastAsia" w:asciiTheme="minorEastAsia" w:hAnsiTheme="minorEastAsia" w:eastAsiaTheme="minorEastAsia" w:cstheme="minorEastAsia"/>
          <w:sz w:val="24"/>
        </w:rPr>
        <w:t>禁止绕过运维安全审计系统对基础软件进行远程维护</w:t>
      </w:r>
      <w:r>
        <w:rPr>
          <w:rFonts w:hint="eastAsia" w:asciiTheme="minorEastAsia" w:hAnsiTheme="minorEastAsia" w:eastAsiaTheme="minorEastAsia" w:cstheme="minorEastAsia"/>
          <w:sz w:val="24"/>
          <w:lang w:eastAsia="zh-CN"/>
        </w:rPr>
        <w:t>，</w:t>
      </w:r>
      <w:r>
        <w:rPr>
          <w:rFonts w:hint="eastAsia" w:asciiTheme="minorEastAsia" w:hAnsiTheme="minorEastAsia" w:eastAsiaTheme="minorEastAsia" w:cstheme="minorEastAsia"/>
          <w:sz w:val="24"/>
        </w:rPr>
        <w:t>因实施运维人员配置错误、操作错误，造成的损失，</w:t>
      </w:r>
      <w:r>
        <w:rPr>
          <w:rFonts w:hint="eastAsia" w:asciiTheme="minorEastAsia" w:hAnsiTheme="minorEastAsia" w:eastAsiaTheme="minorEastAsia" w:cstheme="minorEastAsia"/>
          <w:sz w:val="24"/>
          <w:lang w:eastAsia="zh-CN"/>
        </w:rPr>
        <w:t>依法</w:t>
      </w:r>
      <w:r>
        <w:rPr>
          <w:rFonts w:hint="eastAsia" w:asciiTheme="minorEastAsia" w:hAnsiTheme="minorEastAsia" w:eastAsiaTheme="minorEastAsia" w:cstheme="minorEastAsia"/>
          <w:sz w:val="24"/>
        </w:rPr>
        <w:t>追究</w:t>
      </w:r>
      <w:r>
        <w:rPr>
          <w:rFonts w:hint="eastAsia" w:asciiTheme="minorEastAsia" w:hAnsiTheme="minorEastAsia" w:eastAsiaTheme="minorEastAsia" w:cstheme="minorEastAsia"/>
          <w:sz w:val="24"/>
          <w:lang w:eastAsia="zh-CN"/>
        </w:rPr>
        <w:t>供应商</w:t>
      </w:r>
      <w:r>
        <w:rPr>
          <w:rFonts w:hint="eastAsia" w:asciiTheme="minorEastAsia" w:hAnsiTheme="minorEastAsia" w:eastAsiaTheme="minorEastAsia" w:cstheme="minorEastAsia"/>
          <w:sz w:val="24"/>
        </w:rPr>
        <w:t>责任。</w:t>
      </w:r>
    </w:p>
    <w:p w14:paraId="55C1D56D">
      <w:pPr>
        <w:pageBreakBefore w:val="0"/>
        <w:widowControl w:val="0"/>
        <w:kinsoku/>
        <w:wordWrap/>
        <w:overflowPunct/>
        <w:topLinePunct w:val="0"/>
        <w:bidi w:val="0"/>
        <w:snapToGrid w:val="0"/>
        <w:spacing w:line="520" w:lineRule="exact"/>
        <w:ind w:firstLine="480" w:firstLineChars="200"/>
        <w:contextualSpacing/>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w:t>
      </w:r>
      <w:r>
        <w:rPr>
          <w:rFonts w:hint="eastAsia" w:asciiTheme="minorEastAsia" w:hAnsiTheme="minorEastAsia" w:eastAsiaTheme="minorEastAsia" w:cstheme="minorEastAsia"/>
          <w:sz w:val="24"/>
          <w:lang w:eastAsia="zh-CN"/>
        </w:rPr>
        <w:t>供应商的</w:t>
      </w:r>
      <w:r>
        <w:rPr>
          <w:rFonts w:hint="eastAsia" w:asciiTheme="minorEastAsia" w:hAnsiTheme="minorEastAsia" w:eastAsiaTheme="minorEastAsia" w:cstheme="minorEastAsia"/>
          <w:sz w:val="24"/>
        </w:rPr>
        <w:t>技术团队要相对独立，有专门网络安全负责人。</w:t>
      </w:r>
    </w:p>
    <w:p w14:paraId="48C2E545">
      <w:pPr>
        <w:pageBreakBefore w:val="0"/>
        <w:widowControl w:val="0"/>
        <w:kinsoku/>
        <w:wordWrap/>
        <w:overflowPunct/>
        <w:topLinePunct w:val="0"/>
        <w:bidi w:val="0"/>
        <w:snapToGrid w:val="0"/>
        <w:spacing w:line="520" w:lineRule="exact"/>
        <w:ind w:firstLine="480" w:firstLineChars="200"/>
        <w:contextualSpacing/>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2.</w:t>
      </w:r>
      <w:r>
        <w:rPr>
          <w:rFonts w:hint="eastAsia" w:asciiTheme="minorEastAsia" w:hAnsiTheme="minorEastAsia" w:eastAsiaTheme="minorEastAsia" w:cstheme="minorEastAsia"/>
          <w:sz w:val="24"/>
          <w:lang w:eastAsia="zh-CN"/>
        </w:rPr>
        <w:t>供应商</w:t>
      </w:r>
      <w:r>
        <w:rPr>
          <w:rFonts w:hint="eastAsia" w:asciiTheme="minorEastAsia" w:hAnsiTheme="minorEastAsia" w:eastAsiaTheme="minorEastAsia" w:cstheme="minorEastAsia"/>
          <w:sz w:val="24"/>
        </w:rPr>
        <w:t>运维操作要保持网络相对独立，要保证“专机专用”，不允许“一机多网”同时混用。</w:t>
      </w:r>
    </w:p>
    <w:p w14:paraId="5903109C">
      <w:pPr>
        <w:pageBreakBefore w:val="0"/>
        <w:widowControl w:val="0"/>
        <w:kinsoku/>
        <w:wordWrap/>
        <w:overflowPunct/>
        <w:topLinePunct w:val="0"/>
        <w:bidi w:val="0"/>
        <w:snapToGrid w:val="0"/>
        <w:spacing w:line="520" w:lineRule="exact"/>
        <w:ind w:firstLine="480" w:firstLineChars="200"/>
        <w:contextualSpacing/>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3.</w:t>
      </w:r>
      <w:r>
        <w:rPr>
          <w:rFonts w:hint="eastAsia" w:asciiTheme="minorEastAsia" w:hAnsiTheme="minorEastAsia" w:eastAsiaTheme="minorEastAsia" w:cstheme="minorEastAsia"/>
          <w:sz w:val="24"/>
          <w:lang w:eastAsia="zh-CN"/>
        </w:rPr>
        <w:t>供应商</w:t>
      </w:r>
      <w:r>
        <w:rPr>
          <w:rFonts w:hint="eastAsia" w:asciiTheme="minorEastAsia" w:hAnsiTheme="minorEastAsia" w:eastAsiaTheme="minorEastAsia" w:cstheme="minorEastAsia"/>
          <w:sz w:val="24"/>
        </w:rPr>
        <w:t>不得转包、分包合同任务；确需分包的，应报经</w:t>
      </w:r>
      <w:r>
        <w:rPr>
          <w:rFonts w:hint="eastAsia" w:asciiTheme="minorEastAsia" w:hAnsiTheme="minorEastAsia" w:eastAsiaTheme="minorEastAsia" w:cstheme="minorEastAsia"/>
          <w:sz w:val="24"/>
          <w:lang w:eastAsia="zh-CN"/>
        </w:rPr>
        <w:t>采购人</w:t>
      </w:r>
      <w:r>
        <w:rPr>
          <w:rFonts w:hint="eastAsia" w:asciiTheme="minorEastAsia" w:hAnsiTheme="minorEastAsia" w:eastAsiaTheme="minorEastAsia" w:cstheme="minorEastAsia"/>
          <w:sz w:val="24"/>
        </w:rPr>
        <w:t>同意，并明确相应的网络安全责任和义务，同时明确不得将合同任务主体和关键部分分包。</w:t>
      </w:r>
    </w:p>
    <w:p w14:paraId="3C1E6E91">
      <w:pPr>
        <w:pageBreakBefore w:val="0"/>
        <w:widowControl w:val="0"/>
        <w:kinsoku/>
        <w:wordWrap/>
        <w:overflowPunct/>
        <w:topLinePunct w:val="0"/>
        <w:bidi w:val="0"/>
        <w:snapToGrid w:val="0"/>
        <w:spacing w:line="520" w:lineRule="exact"/>
        <w:ind w:firstLine="480" w:firstLineChars="200"/>
        <w:contextualSpacing/>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4.</w:t>
      </w:r>
      <w:r>
        <w:rPr>
          <w:rFonts w:hint="eastAsia" w:asciiTheme="minorEastAsia" w:hAnsiTheme="minorEastAsia" w:eastAsiaTheme="minorEastAsia" w:cstheme="minorEastAsia"/>
          <w:sz w:val="24"/>
          <w:lang w:eastAsia="zh-CN"/>
        </w:rPr>
        <w:t>在</w:t>
      </w:r>
      <w:r>
        <w:rPr>
          <w:rFonts w:hint="eastAsia" w:asciiTheme="minorEastAsia" w:hAnsiTheme="minorEastAsia" w:eastAsiaTheme="minorEastAsia" w:cstheme="minorEastAsia"/>
          <w:sz w:val="24"/>
        </w:rPr>
        <w:t>实施及运维中产生的系统数据、系统运行数据及收集的个人信息等数据资产归</w:t>
      </w:r>
      <w:r>
        <w:rPr>
          <w:rFonts w:hint="eastAsia" w:asciiTheme="minorEastAsia" w:hAnsiTheme="minorEastAsia" w:eastAsiaTheme="minorEastAsia" w:cstheme="minorEastAsia"/>
          <w:sz w:val="24"/>
          <w:lang w:eastAsia="zh-CN"/>
        </w:rPr>
        <w:t>采购人</w:t>
      </w:r>
      <w:r>
        <w:rPr>
          <w:rFonts w:hint="eastAsia" w:asciiTheme="minorEastAsia" w:hAnsiTheme="minorEastAsia" w:eastAsiaTheme="minorEastAsia" w:cstheme="minorEastAsia"/>
          <w:sz w:val="24"/>
        </w:rPr>
        <w:t>所有。</w:t>
      </w:r>
    </w:p>
    <w:p w14:paraId="16A2E89D">
      <w:pPr>
        <w:pageBreakBefore w:val="0"/>
        <w:widowControl w:val="0"/>
        <w:kinsoku/>
        <w:wordWrap/>
        <w:overflowPunct/>
        <w:topLinePunct w:val="0"/>
        <w:bidi w:val="0"/>
        <w:snapToGrid w:val="0"/>
        <w:spacing w:line="520" w:lineRule="exact"/>
        <w:ind w:firstLine="480" w:firstLineChars="200"/>
        <w:contextualSpacing/>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5.实施及运维中，</w:t>
      </w:r>
      <w:r>
        <w:rPr>
          <w:rFonts w:hint="eastAsia" w:asciiTheme="minorEastAsia" w:hAnsiTheme="minorEastAsia" w:eastAsiaTheme="minorEastAsia" w:cstheme="minorEastAsia"/>
          <w:sz w:val="24"/>
          <w:lang w:eastAsia="zh-CN"/>
        </w:rPr>
        <w:t>供应商</w:t>
      </w:r>
      <w:r>
        <w:rPr>
          <w:rFonts w:hint="eastAsia" w:asciiTheme="minorEastAsia" w:hAnsiTheme="minorEastAsia" w:eastAsiaTheme="minorEastAsia" w:cstheme="minorEastAsia"/>
          <w:sz w:val="24"/>
        </w:rPr>
        <w:t>如需收集、使用、存储、处理数据必须以申请的方式征求</w:t>
      </w:r>
      <w:r>
        <w:rPr>
          <w:rFonts w:hint="eastAsia" w:asciiTheme="minorEastAsia" w:hAnsiTheme="minorEastAsia" w:eastAsiaTheme="minorEastAsia" w:cstheme="minorEastAsia"/>
          <w:sz w:val="24"/>
          <w:lang w:eastAsia="zh-CN"/>
        </w:rPr>
        <w:t>采购人</w:t>
      </w:r>
      <w:r>
        <w:rPr>
          <w:rFonts w:hint="eastAsia" w:asciiTheme="minorEastAsia" w:hAnsiTheme="minorEastAsia" w:eastAsiaTheme="minorEastAsia" w:cstheme="minorEastAsia"/>
          <w:sz w:val="24"/>
        </w:rPr>
        <w:t>同意后方可进行。</w:t>
      </w:r>
    </w:p>
    <w:p w14:paraId="5132A577">
      <w:pPr>
        <w:pageBreakBefore w:val="0"/>
        <w:widowControl w:val="0"/>
        <w:kinsoku/>
        <w:wordWrap/>
        <w:overflowPunct/>
        <w:topLinePunct w:val="0"/>
        <w:bidi w:val="0"/>
        <w:snapToGrid w:val="0"/>
        <w:spacing w:line="520" w:lineRule="exact"/>
        <w:ind w:firstLine="480" w:firstLineChars="200"/>
        <w:contextualSpacing/>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6.</w:t>
      </w:r>
      <w:r>
        <w:rPr>
          <w:rFonts w:hint="eastAsia" w:asciiTheme="minorEastAsia" w:hAnsiTheme="minorEastAsia" w:eastAsiaTheme="minorEastAsia" w:cstheme="minorEastAsia"/>
          <w:sz w:val="24"/>
          <w:lang w:eastAsia="zh-CN"/>
        </w:rPr>
        <w:t>供应商</w:t>
      </w:r>
      <w:r>
        <w:rPr>
          <w:rFonts w:hint="eastAsia" w:asciiTheme="minorEastAsia" w:hAnsiTheme="minorEastAsia" w:eastAsiaTheme="minorEastAsia" w:cstheme="minorEastAsia"/>
          <w:sz w:val="24"/>
        </w:rPr>
        <w:t>要在</w:t>
      </w:r>
      <w:r>
        <w:rPr>
          <w:rFonts w:hint="eastAsia" w:asciiTheme="minorEastAsia" w:hAnsiTheme="minorEastAsia" w:eastAsiaTheme="minorEastAsia" w:cstheme="minorEastAsia"/>
          <w:sz w:val="24"/>
          <w:lang w:eastAsia="zh-CN"/>
        </w:rPr>
        <w:t>采购人</w:t>
      </w:r>
      <w:r>
        <w:rPr>
          <w:rFonts w:hint="eastAsia" w:asciiTheme="minorEastAsia" w:hAnsiTheme="minorEastAsia" w:eastAsiaTheme="minorEastAsia" w:cstheme="minorEastAsia"/>
          <w:sz w:val="24"/>
        </w:rPr>
        <w:t>的授权范围内对数据的访问、利用和支配，并接受</w:t>
      </w:r>
      <w:r>
        <w:rPr>
          <w:rFonts w:hint="eastAsia" w:asciiTheme="minorEastAsia" w:hAnsiTheme="minorEastAsia" w:eastAsiaTheme="minorEastAsia" w:cstheme="minorEastAsia"/>
          <w:sz w:val="24"/>
          <w:lang w:eastAsia="zh-CN"/>
        </w:rPr>
        <w:t>采购人</w:t>
      </w:r>
      <w:r>
        <w:rPr>
          <w:rFonts w:hint="eastAsia" w:asciiTheme="minorEastAsia" w:hAnsiTheme="minorEastAsia" w:eastAsiaTheme="minorEastAsia" w:cstheme="minorEastAsia"/>
          <w:sz w:val="24"/>
        </w:rPr>
        <w:t>所采取的的安全技术上管控措施。</w:t>
      </w:r>
    </w:p>
    <w:p w14:paraId="44907480">
      <w:pPr>
        <w:pageBreakBefore w:val="0"/>
        <w:widowControl w:val="0"/>
        <w:kinsoku/>
        <w:wordWrap/>
        <w:overflowPunct/>
        <w:topLinePunct w:val="0"/>
        <w:bidi w:val="0"/>
        <w:snapToGrid w:val="0"/>
        <w:spacing w:line="520" w:lineRule="exact"/>
        <w:ind w:firstLine="480" w:firstLineChars="200"/>
        <w:contextualSpacing/>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7</w:t>
      </w:r>
      <w:r>
        <w:rPr>
          <w:rFonts w:hint="eastAsia" w:asciiTheme="minorEastAsia" w:hAnsiTheme="minorEastAsia" w:eastAsiaTheme="minorEastAsia" w:cstheme="minorEastAsia"/>
          <w:sz w:val="24"/>
          <w:lang w:eastAsia="zh-CN"/>
        </w:rPr>
        <w:t>供应商</w:t>
      </w:r>
      <w:r>
        <w:rPr>
          <w:rFonts w:hint="eastAsia" w:asciiTheme="minorEastAsia" w:hAnsiTheme="minorEastAsia" w:eastAsiaTheme="minorEastAsia" w:cstheme="minorEastAsia"/>
          <w:sz w:val="24"/>
        </w:rPr>
        <w:t>必须按要求将政务数据与其他数据分开存储、处理。</w:t>
      </w:r>
    </w:p>
    <w:p w14:paraId="63C8DC12">
      <w:pPr>
        <w:pageBreakBefore w:val="0"/>
        <w:widowControl w:val="0"/>
        <w:kinsoku/>
        <w:wordWrap/>
        <w:overflowPunct/>
        <w:topLinePunct w:val="0"/>
        <w:bidi w:val="0"/>
        <w:snapToGrid w:val="0"/>
        <w:spacing w:line="520" w:lineRule="exact"/>
        <w:ind w:firstLine="480" w:firstLineChars="200"/>
        <w:contextualSpacing/>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8.未经</w:t>
      </w:r>
      <w:r>
        <w:rPr>
          <w:rFonts w:hint="eastAsia" w:asciiTheme="minorEastAsia" w:hAnsiTheme="minorEastAsia" w:eastAsiaTheme="minorEastAsia" w:cstheme="minorEastAsia"/>
          <w:sz w:val="24"/>
          <w:lang w:eastAsia="zh-CN"/>
        </w:rPr>
        <w:t>采购人</w:t>
      </w:r>
      <w:r>
        <w:rPr>
          <w:rFonts w:hint="eastAsia" w:asciiTheme="minorEastAsia" w:hAnsiTheme="minorEastAsia" w:eastAsiaTheme="minorEastAsia" w:cstheme="minorEastAsia"/>
          <w:sz w:val="24"/>
        </w:rPr>
        <w:t>同意，</w:t>
      </w:r>
      <w:r>
        <w:rPr>
          <w:rFonts w:hint="eastAsia" w:asciiTheme="minorEastAsia" w:hAnsiTheme="minorEastAsia" w:eastAsiaTheme="minorEastAsia" w:cstheme="minorEastAsia"/>
          <w:sz w:val="24"/>
          <w:lang w:eastAsia="zh-CN"/>
        </w:rPr>
        <w:t>供应商</w:t>
      </w:r>
      <w:r>
        <w:rPr>
          <w:rFonts w:hint="eastAsia" w:asciiTheme="minorEastAsia" w:hAnsiTheme="minorEastAsia" w:eastAsiaTheme="minorEastAsia" w:cstheme="minorEastAsia"/>
          <w:sz w:val="24"/>
        </w:rPr>
        <w:t>不得变更数据用途、用法，不得访问、修改、公开、披露、利用、转让、销毁、私自留存或向第三方提供。</w:t>
      </w:r>
    </w:p>
    <w:p w14:paraId="04EF38D4">
      <w:pPr>
        <w:pageBreakBefore w:val="0"/>
        <w:widowControl w:val="0"/>
        <w:kinsoku/>
        <w:wordWrap/>
        <w:overflowPunct/>
        <w:topLinePunct w:val="0"/>
        <w:bidi w:val="0"/>
        <w:snapToGrid w:val="0"/>
        <w:spacing w:line="520" w:lineRule="exact"/>
        <w:ind w:firstLine="480" w:firstLineChars="200"/>
        <w:contextualSpacing/>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9.合同终止时，</w:t>
      </w:r>
      <w:r>
        <w:rPr>
          <w:rFonts w:hint="eastAsia" w:asciiTheme="minorEastAsia" w:hAnsiTheme="minorEastAsia" w:eastAsiaTheme="minorEastAsia" w:cstheme="minorEastAsia"/>
          <w:sz w:val="24"/>
          <w:lang w:eastAsia="zh-CN"/>
        </w:rPr>
        <w:t>供应商</w:t>
      </w:r>
      <w:r>
        <w:rPr>
          <w:rFonts w:hint="eastAsia" w:asciiTheme="minorEastAsia" w:hAnsiTheme="minorEastAsia" w:eastAsiaTheme="minorEastAsia" w:cstheme="minorEastAsia"/>
          <w:sz w:val="24"/>
        </w:rPr>
        <w:t>要按照</w:t>
      </w:r>
      <w:r>
        <w:rPr>
          <w:rFonts w:hint="eastAsia" w:asciiTheme="minorEastAsia" w:hAnsiTheme="minorEastAsia" w:eastAsiaTheme="minorEastAsia" w:cstheme="minorEastAsia"/>
          <w:sz w:val="24"/>
          <w:lang w:eastAsia="zh-CN"/>
        </w:rPr>
        <w:t>采购人</w:t>
      </w:r>
      <w:r>
        <w:rPr>
          <w:rFonts w:hint="eastAsia" w:asciiTheme="minorEastAsia" w:hAnsiTheme="minorEastAsia" w:eastAsiaTheme="minorEastAsia" w:cstheme="minorEastAsia"/>
          <w:sz w:val="24"/>
        </w:rPr>
        <w:t>的要求及时处理数据。</w:t>
      </w:r>
    </w:p>
    <w:p w14:paraId="1AAC9DC5">
      <w:pPr>
        <w:pageBreakBefore w:val="0"/>
        <w:widowControl w:val="0"/>
        <w:kinsoku/>
        <w:wordWrap/>
        <w:overflowPunct/>
        <w:topLinePunct w:val="0"/>
        <w:bidi w:val="0"/>
        <w:snapToGrid w:val="0"/>
        <w:spacing w:line="520" w:lineRule="exact"/>
        <w:ind w:firstLine="480" w:firstLineChars="200"/>
        <w:contextualSpacing/>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10.</w:t>
      </w:r>
      <w:r>
        <w:rPr>
          <w:rFonts w:hint="eastAsia" w:asciiTheme="minorEastAsia" w:hAnsiTheme="minorEastAsia" w:eastAsiaTheme="minorEastAsia" w:cstheme="minorEastAsia"/>
          <w:sz w:val="24"/>
          <w:lang w:eastAsia="zh-CN"/>
        </w:rPr>
        <w:t>供应商</w:t>
      </w:r>
      <w:r>
        <w:rPr>
          <w:rFonts w:hint="eastAsia" w:asciiTheme="minorEastAsia" w:hAnsiTheme="minorEastAsia" w:eastAsiaTheme="minorEastAsia" w:cstheme="minorEastAsia"/>
          <w:sz w:val="24"/>
        </w:rPr>
        <w:t>应当按照《数据安全法》《个人信息保护法》等法律法规及相关政策规定的要求，加强个人信息保护。</w:t>
      </w:r>
    </w:p>
    <w:p w14:paraId="3B7C31D1">
      <w:pPr>
        <w:pageBreakBefore w:val="0"/>
        <w:widowControl w:val="0"/>
        <w:kinsoku/>
        <w:wordWrap/>
        <w:overflowPunct/>
        <w:topLinePunct w:val="0"/>
        <w:bidi w:val="0"/>
        <w:snapToGrid w:val="0"/>
        <w:spacing w:line="520" w:lineRule="exact"/>
        <w:ind w:firstLine="480" w:firstLineChars="200"/>
        <w:contextualSpacing/>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11.</w:t>
      </w:r>
      <w:r>
        <w:rPr>
          <w:rFonts w:hint="eastAsia" w:asciiTheme="minorEastAsia" w:hAnsiTheme="minorEastAsia" w:eastAsiaTheme="minorEastAsia" w:cstheme="minorEastAsia"/>
          <w:sz w:val="24"/>
          <w:lang w:eastAsia="zh-CN"/>
        </w:rPr>
        <w:t>供应商</w:t>
      </w:r>
      <w:r>
        <w:rPr>
          <w:rFonts w:hint="eastAsia" w:asciiTheme="minorEastAsia" w:hAnsiTheme="minorEastAsia" w:eastAsiaTheme="minorEastAsia" w:cstheme="minorEastAsia"/>
          <w:sz w:val="24"/>
        </w:rPr>
        <w:t>如需为了运维采购相关产品和服务，必须征求</w:t>
      </w:r>
      <w:r>
        <w:rPr>
          <w:rFonts w:hint="eastAsia" w:asciiTheme="minorEastAsia" w:hAnsiTheme="minorEastAsia" w:eastAsiaTheme="minorEastAsia" w:cstheme="minorEastAsia"/>
          <w:sz w:val="24"/>
          <w:lang w:eastAsia="zh-CN"/>
        </w:rPr>
        <w:t>采购人</w:t>
      </w:r>
      <w:r>
        <w:rPr>
          <w:rFonts w:hint="eastAsia" w:asciiTheme="minorEastAsia" w:hAnsiTheme="minorEastAsia" w:eastAsiaTheme="minorEastAsia" w:cstheme="minorEastAsia"/>
          <w:sz w:val="24"/>
        </w:rPr>
        <w:t>同意。</w:t>
      </w:r>
    </w:p>
    <w:p w14:paraId="08929AE0">
      <w:pPr>
        <w:pageBreakBefore w:val="0"/>
        <w:widowControl w:val="0"/>
        <w:kinsoku/>
        <w:wordWrap/>
        <w:overflowPunct/>
        <w:topLinePunct w:val="0"/>
        <w:bidi w:val="0"/>
        <w:snapToGrid w:val="0"/>
        <w:spacing w:line="520" w:lineRule="exact"/>
        <w:ind w:firstLine="480" w:firstLineChars="200"/>
        <w:contextualSpacing/>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12.</w:t>
      </w:r>
      <w:r>
        <w:rPr>
          <w:rFonts w:hint="eastAsia" w:asciiTheme="minorEastAsia" w:hAnsiTheme="minorEastAsia" w:eastAsiaTheme="minorEastAsia" w:cstheme="minorEastAsia"/>
          <w:sz w:val="24"/>
          <w:lang w:eastAsia="zh-CN"/>
        </w:rPr>
        <w:t>供应商</w:t>
      </w:r>
      <w:r>
        <w:rPr>
          <w:rFonts w:hint="eastAsia" w:asciiTheme="minorEastAsia" w:hAnsiTheme="minorEastAsia" w:eastAsiaTheme="minorEastAsia" w:cstheme="minorEastAsia"/>
          <w:sz w:val="24"/>
        </w:rPr>
        <w:t>要建立健全网络和数据安全保护机制，发现重大问题按规定及时向委托单位和相关部门报告。</w:t>
      </w:r>
    </w:p>
    <w:p w14:paraId="7D2EC51E">
      <w:pPr>
        <w:pageBreakBefore w:val="0"/>
        <w:widowControl w:val="0"/>
        <w:kinsoku/>
        <w:wordWrap/>
        <w:overflowPunct/>
        <w:topLinePunct w:val="0"/>
        <w:bidi w:val="0"/>
        <w:snapToGrid w:val="0"/>
        <w:spacing w:line="520" w:lineRule="exact"/>
        <w:ind w:firstLine="480" w:firstLineChars="200"/>
        <w:contextualSpacing/>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13.</w:t>
      </w:r>
      <w:r>
        <w:rPr>
          <w:rFonts w:hint="eastAsia" w:asciiTheme="minorEastAsia" w:hAnsiTheme="minorEastAsia" w:eastAsiaTheme="minorEastAsia" w:cstheme="minorEastAsia"/>
          <w:sz w:val="24"/>
          <w:lang w:eastAsia="zh-CN"/>
        </w:rPr>
        <w:t>供应商</w:t>
      </w:r>
      <w:r>
        <w:rPr>
          <w:rFonts w:hint="eastAsia" w:asciiTheme="minorEastAsia" w:hAnsiTheme="minorEastAsia" w:eastAsiaTheme="minorEastAsia" w:cstheme="minorEastAsia"/>
          <w:sz w:val="24"/>
        </w:rPr>
        <w:t>发生业务转型、合并重组、投资并购等重大事项，或者管理技术团队人员发生重大变化，应提前向委托单位报告。</w:t>
      </w:r>
    </w:p>
    <w:p w14:paraId="000762D6">
      <w:pPr>
        <w:pageBreakBefore w:val="0"/>
        <w:widowControl w:val="0"/>
        <w:kinsoku/>
        <w:wordWrap/>
        <w:overflowPunct/>
        <w:topLinePunct w:val="0"/>
        <w:bidi w:val="0"/>
        <w:snapToGrid w:val="0"/>
        <w:spacing w:line="520" w:lineRule="exact"/>
        <w:ind w:firstLine="480" w:firstLineChars="200"/>
        <w:contextualSpacing/>
        <w:textAlignment w:val="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rPr>
        <w:t>14.</w:t>
      </w:r>
      <w:r>
        <w:rPr>
          <w:rFonts w:hint="eastAsia" w:asciiTheme="minorEastAsia" w:hAnsiTheme="minorEastAsia" w:eastAsiaTheme="minorEastAsia" w:cstheme="minorEastAsia"/>
          <w:sz w:val="24"/>
          <w:lang w:eastAsia="zh-CN"/>
        </w:rPr>
        <w:t>供应商</w:t>
      </w:r>
      <w:r>
        <w:rPr>
          <w:rFonts w:hint="eastAsia" w:asciiTheme="minorEastAsia" w:hAnsiTheme="minorEastAsia" w:eastAsiaTheme="minorEastAsia" w:cstheme="minorEastAsia"/>
          <w:sz w:val="24"/>
        </w:rPr>
        <w:t>应积极配合相关部门开展网络安全检查、</w:t>
      </w:r>
      <w:r>
        <w:rPr>
          <w:rFonts w:hint="eastAsia" w:asciiTheme="minorEastAsia" w:hAnsiTheme="minorEastAsia" w:eastAsiaTheme="minorEastAsia" w:cstheme="minorEastAsia"/>
          <w:sz w:val="24"/>
          <w:highlight w:val="none"/>
        </w:rPr>
        <w:t>测评、审计等监督管理工作，以及拒绝或不配合监管的追责措施。</w:t>
      </w:r>
    </w:p>
    <w:p w14:paraId="7762B786">
      <w:pPr>
        <w:pageBreakBefore w:val="0"/>
        <w:widowControl w:val="0"/>
        <w:kinsoku/>
        <w:wordWrap/>
        <w:overflowPunct/>
        <w:topLinePunct w:val="0"/>
        <w:bidi w:val="0"/>
        <w:snapToGrid w:val="0"/>
        <w:spacing w:line="520" w:lineRule="exact"/>
        <w:ind w:firstLine="480" w:firstLineChars="200"/>
        <w:contextualSpacing/>
        <w:textAlignment w:val="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 xml:space="preserve">15. </w:t>
      </w:r>
      <w:r>
        <w:rPr>
          <w:rFonts w:hint="eastAsia" w:asciiTheme="minorEastAsia" w:hAnsiTheme="minorEastAsia" w:eastAsiaTheme="minorEastAsia" w:cstheme="minorEastAsia"/>
          <w:sz w:val="24"/>
          <w:highlight w:val="none"/>
          <w:lang w:eastAsia="zh-CN"/>
        </w:rPr>
        <w:t>供应商</w:t>
      </w:r>
      <w:r>
        <w:rPr>
          <w:rFonts w:hint="eastAsia" w:asciiTheme="minorEastAsia" w:hAnsiTheme="minorEastAsia" w:eastAsiaTheme="minorEastAsia" w:cstheme="minorEastAsia"/>
          <w:sz w:val="24"/>
          <w:highlight w:val="none"/>
        </w:rPr>
        <w:t>应如实完整提供外包网络安全管理情况，如隐匿、瞒报要追究供应商的安全责任。</w:t>
      </w:r>
    </w:p>
    <w:p w14:paraId="4832F3D5">
      <w:pPr>
        <w:pageBreakBefore w:val="0"/>
        <w:widowControl w:val="0"/>
        <w:kinsoku/>
        <w:wordWrap/>
        <w:overflowPunct/>
        <w:topLinePunct w:val="0"/>
        <w:bidi w:val="0"/>
        <w:snapToGrid w:val="0"/>
        <w:spacing w:line="520" w:lineRule="exact"/>
        <w:ind w:firstLine="480" w:firstLineChars="200"/>
        <w:contextualSpacing/>
        <w:textAlignment w:val="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 xml:space="preserve">16. </w:t>
      </w:r>
      <w:r>
        <w:rPr>
          <w:rFonts w:hint="eastAsia" w:asciiTheme="minorEastAsia" w:hAnsiTheme="minorEastAsia" w:eastAsiaTheme="minorEastAsia" w:cstheme="minorEastAsia"/>
          <w:sz w:val="24"/>
          <w:highlight w:val="none"/>
          <w:lang w:eastAsia="zh-CN"/>
        </w:rPr>
        <w:t>供应商</w:t>
      </w:r>
      <w:r>
        <w:rPr>
          <w:rFonts w:hint="eastAsia" w:asciiTheme="minorEastAsia" w:hAnsiTheme="minorEastAsia" w:eastAsiaTheme="minorEastAsia" w:cstheme="minorEastAsia"/>
          <w:sz w:val="24"/>
          <w:highlight w:val="none"/>
        </w:rPr>
        <w:t>如违反网络安全相关条款，按照《网络安全法》、《数据安全法》相关罚责进行处罚。</w:t>
      </w:r>
    </w:p>
    <w:p w14:paraId="1732D14C">
      <w:pPr>
        <w:pageBreakBefore w:val="0"/>
        <w:widowControl w:val="0"/>
        <w:kinsoku/>
        <w:wordWrap/>
        <w:overflowPunct/>
        <w:topLinePunct w:val="0"/>
        <w:bidi w:val="0"/>
        <w:spacing w:line="520" w:lineRule="exact"/>
        <w:ind w:firstLine="482" w:firstLineChars="200"/>
        <w:textAlignment w:val="auto"/>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三、服务期限与项目进度安排</w:t>
      </w:r>
    </w:p>
    <w:p w14:paraId="34024835">
      <w:pPr>
        <w:pageBreakBefore w:val="0"/>
        <w:widowControl w:val="0"/>
        <w:kinsoku/>
        <w:wordWrap/>
        <w:overflowPunct/>
        <w:topLinePunct w:val="0"/>
        <w:bidi w:val="0"/>
        <w:spacing w:line="520" w:lineRule="exact"/>
        <w:ind w:firstLine="480" w:firstLineChars="20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Cs/>
          <w:sz w:val="24"/>
          <w:szCs w:val="24"/>
          <w:highlight w:val="none"/>
        </w:rPr>
        <w:t>★服务期限：</w:t>
      </w:r>
      <w:r>
        <w:rPr>
          <w:rFonts w:hint="eastAsia" w:asciiTheme="minorEastAsia" w:hAnsiTheme="minorEastAsia" w:eastAsiaTheme="minorEastAsia" w:cstheme="minorEastAsia"/>
          <w:sz w:val="24"/>
          <w:szCs w:val="24"/>
          <w:highlight w:val="none"/>
        </w:rPr>
        <w:t>2027年1月1日至2027年12月31日</w:t>
      </w:r>
      <w:r>
        <w:rPr>
          <w:rFonts w:hint="eastAsia" w:asciiTheme="minorEastAsia" w:hAnsiTheme="minorEastAsia" w:eastAsiaTheme="minorEastAsia" w:cstheme="minorEastAsia"/>
          <w:sz w:val="24"/>
          <w:szCs w:val="28"/>
          <w:highlight w:val="none"/>
        </w:rPr>
        <w:t>。</w:t>
      </w:r>
    </w:p>
    <w:p w14:paraId="01F9DA8C">
      <w:pPr>
        <w:pageBreakBefore w:val="0"/>
        <w:widowControl w:val="0"/>
        <w:kinsoku/>
        <w:wordWrap/>
        <w:overflowPunct/>
        <w:topLinePunct w:val="0"/>
        <w:bidi w:val="0"/>
        <w:spacing w:line="520" w:lineRule="exact"/>
        <w:ind w:firstLine="482" w:firstLineChars="200"/>
        <w:textAlignment w:val="auto"/>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四、付款方式与履约保证金</w:t>
      </w:r>
    </w:p>
    <w:p w14:paraId="3E48B73C">
      <w:pPr>
        <w:pageBreakBefore w:val="0"/>
        <w:widowControl w:val="0"/>
        <w:kinsoku/>
        <w:wordWrap/>
        <w:overflowPunct/>
        <w:topLinePunct w:val="0"/>
        <w:bidi w:val="0"/>
        <w:spacing w:line="520" w:lineRule="exact"/>
        <w:ind w:firstLine="480" w:firstLineChars="20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1、付款方式</w:t>
      </w:r>
    </w:p>
    <w:p w14:paraId="7B4214BD">
      <w:pPr>
        <w:pageBreakBefore w:val="0"/>
        <w:widowControl w:val="0"/>
        <w:kinsoku/>
        <w:wordWrap/>
        <w:overflowPunct/>
        <w:topLinePunct w:val="0"/>
        <w:bidi w:val="0"/>
        <w:spacing w:line="520" w:lineRule="exact"/>
        <w:ind w:firstLine="480" w:firstLineChars="20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Cs/>
          <w:sz w:val="24"/>
          <w:szCs w:val="24"/>
          <w:highlight w:val="none"/>
        </w:rPr>
        <w:t>★</w:t>
      </w:r>
      <w:r>
        <w:rPr>
          <w:rFonts w:hint="eastAsia" w:asciiTheme="minorEastAsia" w:hAnsiTheme="minorEastAsia" w:eastAsiaTheme="minorEastAsia" w:cstheme="minorEastAsia"/>
          <w:sz w:val="24"/>
          <w:szCs w:val="24"/>
          <w:highlight w:val="none"/>
        </w:rPr>
        <w:t>合同签订生效后，两个月内支付合同总金额的50%</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服务周期</w:t>
      </w:r>
      <w:r>
        <w:rPr>
          <w:rFonts w:hint="eastAsia" w:asciiTheme="minorEastAsia" w:hAnsiTheme="minorEastAsia" w:eastAsiaTheme="minorEastAsia" w:cstheme="minorEastAsia"/>
          <w:sz w:val="24"/>
          <w:szCs w:val="24"/>
          <w:highlight w:val="none"/>
          <w:lang w:val="en-US" w:eastAsia="zh-CN"/>
        </w:rPr>
        <w:t>临近结束</w:t>
      </w:r>
      <w:r>
        <w:rPr>
          <w:rFonts w:hint="eastAsia" w:asciiTheme="minorEastAsia" w:hAnsiTheme="minorEastAsia" w:eastAsiaTheme="minorEastAsia" w:cstheme="minorEastAsia"/>
          <w:sz w:val="24"/>
          <w:szCs w:val="24"/>
          <w:highlight w:val="none"/>
        </w:rPr>
        <w:t>运维服务验收合格后一次性支付尾款。</w:t>
      </w:r>
    </w:p>
    <w:p w14:paraId="623BD41E">
      <w:pPr>
        <w:pStyle w:val="8"/>
        <w:keepNext w:val="0"/>
        <w:keepLines w:val="0"/>
        <w:pageBreakBefore w:val="0"/>
        <w:widowControl/>
        <w:kinsoku/>
        <w:wordWrap/>
        <w:overflowPunct/>
        <w:topLinePunct w:val="0"/>
        <w:autoSpaceDE/>
        <w:autoSpaceDN/>
        <w:bidi w:val="0"/>
        <w:adjustRightInd/>
        <w:snapToGrid/>
        <w:spacing w:after="0" w:line="520" w:lineRule="exact"/>
        <w:ind w:firstLine="480" w:firstLineChars="20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2、本采购包不需履约保证金。</w:t>
      </w:r>
    </w:p>
    <w:p w14:paraId="1E2E5819">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五、响应报价要求</w:t>
      </w:r>
    </w:p>
    <w:p w14:paraId="5B4E46AF">
      <w:pPr>
        <w:pageBreakBefore w:val="0"/>
        <w:widowControl w:val="0"/>
        <w:kinsoku/>
        <w:wordWrap/>
        <w:overflowPunct/>
        <w:topLinePunct w:val="0"/>
        <w:bidi w:val="0"/>
        <w:spacing w:line="520" w:lineRule="exact"/>
        <w:ind w:firstLine="480" w:firstLineChars="20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1.报价币种为人民币，项目报价不得超过预算价。</w:t>
      </w:r>
    </w:p>
    <w:p w14:paraId="6417D31B">
      <w:pPr>
        <w:pageBreakBefore w:val="0"/>
        <w:widowControl w:val="0"/>
        <w:kinsoku/>
        <w:wordWrap/>
        <w:overflowPunct/>
        <w:topLinePunct w:val="0"/>
        <w:bidi w:val="0"/>
        <w:spacing w:line="520" w:lineRule="exact"/>
        <w:ind w:firstLine="480" w:firstLineChars="200"/>
        <w:textAlignment w:val="auto"/>
        <w:rPr>
          <w:rFonts w:hint="eastAsia" w:asciiTheme="minorEastAsia" w:hAnsiTheme="minorEastAsia" w:eastAsiaTheme="minorEastAsia" w:cstheme="minorEastAsia"/>
          <w:b/>
          <w:sz w:val="24"/>
          <w:szCs w:val="24"/>
          <w:highlight w:val="none"/>
          <w:lang w:val="en-US" w:eastAsia="zh-CN"/>
        </w:rPr>
      </w:pPr>
      <w:r>
        <w:rPr>
          <w:rFonts w:hint="eastAsia" w:asciiTheme="minorEastAsia" w:hAnsiTheme="minorEastAsia" w:eastAsiaTheme="minorEastAsia" w:cstheme="minorEastAsia"/>
          <w:sz w:val="24"/>
          <w:szCs w:val="24"/>
          <w:highlight w:val="none"/>
        </w:rPr>
        <w:t>2.</w:t>
      </w:r>
      <w:r>
        <w:rPr>
          <w:rFonts w:hint="eastAsia" w:asciiTheme="minorEastAsia" w:hAnsiTheme="minorEastAsia" w:eastAsiaTheme="minorEastAsia" w:cstheme="minorEastAsia"/>
          <w:sz w:val="24"/>
          <w:szCs w:val="24"/>
          <w:highlight w:val="none"/>
          <w:lang w:val="en-US" w:eastAsia="zh-CN"/>
        </w:rPr>
        <w:t>本项目</w:t>
      </w:r>
      <w:r>
        <w:rPr>
          <w:rFonts w:hint="eastAsia" w:ascii="宋体" w:hAnsi="宋体" w:eastAsia="宋体" w:cs="宋体"/>
          <w:color w:val="000000"/>
          <w:sz w:val="24"/>
          <w:highlight w:val="none"/>
        </w:rPr>
        <w:t>不接受</w:t>
      </w:r>
      <w:r>
        <w:rPr>
          <w:rFonts w:hint="eastAsia" w:ascii="宋体" w:hAnsi="宋体" w:eastAsia="宋体" w:cs="宋体"/>
          <w:color w:val="000000"/>
          <w:sz w:val="24"/>
          <w:highlight w:val="none"/>
          <w:lang w:val="en-US" w:eastAsia="zh-CN"/>
        </w:rPr>
        <w:t>超过</w:t>
      </w:r>
      <w:r>
        <w:rPr>
          <w:rFonts w:hint="eastAsia" w:ascii="宋体" w:hAnsi="宋体" w:eastAsia="宋体" w:cs="宋体"/>
          <w:i w:val="0"/>
          <w:iCs w:val="0"/>
          <w:caps w:val="0"/>
          <w:color w:val="000000"/>
          <w:spacing w:val="0"/>
          <w:sz w:val="24"/>
          <w:szCs w:val="24"/>
          <w:highlight w:val="none"/>
          <w:lang w:val="en-US" w:eastAsia="zh-CN"/>
        </w:rPr>
        <w:t>2</w:t>
      </w:r>
      <w:r>
        <w:rPr>
          <w:rFonts w:hint="eastAsia" w:ascii="宋体" w:hAnsi="宋体" w:cs="宋体"/>
          <w:i w:val="0"/>
          <w:iCs w:val="0"/>
          <w:caps w:val="0"/>
          <w:color w:val="000000"/>
          <w:spacing w:val="0"/>
          <w:sz w:val="24"/>
          <w:szCs w:val="24"/>
          <w:highlight w:val="none"/>
          <w:lang w:val="en-US" w:eastAsia="zh-CN"/>
        </w:rPr>
        <w:t>8</w:t>
      </w:r>
      <w:r>
        <w:rPr>
          <w:rFonts w:hint="eastAsia" w:ascii="宋体" w:hAnsi="宋体" w:eastAsia="宋体" w:cs="宋体"/>
          <w:i w:val="0"/>
          <w:iCs w:val="0"/>
          <w:caps w:val="0"/>
          <w:color w:val="000000"/>
          <w:spacing w:val="0"/>
          <w:sz w:val="24"/>
          <w:szCs w:val="24"/>
          <w:highlight w:val="none"/>
          <w:lang w:val="en-US" w:eastAsia="zh-CN"/>
        </w:rPr>
        <w:t>.8万元</w:t>
      </w:r>
      <w:r>
        <w:rPr>
          <w:rFonts w:hint="eastAsia" w:ascii="宋体" w:hAnsi="宋体" w:eastAsia="宋体" w:cs="宋体"/>
          <w:color w:val="000000"/>
          <w:sz w:val="24"/>
          <w:highlight w:val="none"/>
          <w:lang w:val="en-US" w:eastAsia="zh-CN"/>
        </w:rPr>
        <w:t>（</w:t>
      </w:r>
      <w:r>
        <w:rPr>
          <w:rFonts w:hint="eastAsia" w:ascii="宋体" w:hAnsi="宋体" w:eastAsia="宋体" w:cs="宋体"/>
          <w:color w:val="000000"/>
          <w:sz w:val="24"/>
          <w:highlight w:val="none"/>
        </w:rPr>
        <w:t>最高限价）的投标报价</w:t>
      </w:r>
      <w:r>
        <w:rPr>
          <w:rFonts w:hint="eastAsia" w:ascii="宋体" w:hAnsi="宋体" w:cs="宋体"/>
          <w:color w:val="000000"/>
          <w:sz w:val="24"/>
          <w:highlight w:val="none"/>
          <w:lang w:eastAsia="zh-CN"/>
        </w:rPr>
        <w:t>。</w:t>
      </w:r>
    </w:p>
    <w:p w14:paraId="3309ADDD">
      <w:pPr>
        <w:pageBreakBefore w:val="0"/>
        <w:widowControl w:val="0"/>
        <w:kinsoku/>
        <w:wordWrap/>
        <w:overflowPunct/>
        <w:topLinePunct w:val="0"/>
        <w:bidi w:val="0"/>
        <w:spacing w:line="520" w:lineRule="exact"/>
        <w:ind w:firstLine="482" w:firstLineChars="200"/>
        <w:textAlignment w:val="auto"/>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lang w:val="en-US" w:eastAsia="zh-CN"/>
        </w:rPr>
        <w:t>五、其他要求：见招标文件第五章《拟签订的合同文本》。</w:t>
      </w:r>
    </w:p>
    <w:p w14:paraId="324B2BB8">
      <w:pPr>
        <w:pStyle w:val="10"/>
        <w:ind w:left="0" w:leftChars="0" w:firstLine="0" w:firstLineChars="0"/>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auto"/>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CC6473"/>
    <w:rsid w:val="15113EE2"/>
    <w:rsid w:val="4E1501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2">
    <w:name w:val="Default Paragraph Font"/>
    <w:semiHidden/>
    <w:uiPriority w:val="0"/>
  </w:style>
  <w:style w:type="table" w:default="1" w:styleId="11">
    <w:name w:val="Normal Table"/>
    <w:semiHidden/>
    <w:uiPriority w:val="0"/>
    <w:tblPr>
      <w:tblCellMar>
        <w:top w:w="0" w:type="dxa"/>
        <w:left w:w="108" w:type="dxa"/>
        <w:bottom w:w="0" w:type="dxa"/>
        <w:right w:w="108" w:type="dxa"/>
      </w:tblCellMar>
    </w:tblPr>
  </w:style>
  <w:style w:type="paragraph" w:customStyle="1" w:styleId="2">
    <w:name w:val="列表段落1"/>
    <w:basedOn w:val="3"/>
    <w:next w:val="1"/>
    <w:qFormat/>
    <w:uiPriority w:val="99"/>
    <w:pPr>
      <w:ind w:firstLine="420"/>
    </w:pPr>
  </w:style>
  <w:style w:type="paragraph" w:customStyle="1" w:styleId="3">
    <w:name w:val="正文1"/>
    <w:basedOn w:val="4"/>
    <w:next w:val="5"/>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4">
    <w:name w:val="正文11"/>
    <w:next w:val="1"/>
    <w:qFormat/>
    <w:uiPriority w:val="0"/>
    <w:pPr>
      <w:jc w:val="both"/>
    </w:pPr>
    <w:rPr>
      <w:rFonts w:hint="default" w:ascii="Times New Roman" w:hAnsi="Times New Roman" w:eastAsia="宋体" w:cs="Times New Roman"/>
      <w:lang w:val="en-US" w:eastAsia="zh-CN" w:bidi="ar-SA"/>
    </w:rPr>
  </w:style>
  <w:style w:type="paragraph" w:customStyle="1" w:styleId="5">
    <w:name w:val="正文文本1"/>
    <w:basedOn w:val="1"/>
    <w:next w:val="3"/>
    <w:qFormat/>
    <w:uiPriority w:val="0"/>
    <w:pPr>
      <w:spacing w:after="120"/>
    </w:pPr>
    <w:rPr>
      <w:rFonts w:ascii="Calibri" w:hAnsi="Calibri"/>
    </w:rPr>
  </w:style>
  <w:style w:type="paragraph" w:styleId="6">
    <w:name w:val="Body Text Indent"/>
    <w:basedOn w:val="1"/>
    <w:next w:val="7"/>
    <w:qFormat/>
    <w:uiPriority w:val="0"/>
    <w:pPr>
      <w:ind w:firstLine="200" w:firstLineChars="200"/>
    </w:pPr>
    <w:rPr>
      <w:rFonts w:eastAsia="仿宋_GB2312"/>
      <w:sz w:val="32"/>
    </w:rPr>
  </w:style>
  <w:style w:type="paragraph" w:styleId="7">
    <w:name w:val="envelope return"/>
    <w:basedOn w:val="1"/>
    <w:qFormat/>
    <w:uiPriority w:val="0"/>
    <w:rPr>
      <w:rFonts w:ascii="Arial" w:hAnsi="Arial"/>
    </w:rPr>
  </w:style>
  <w:style w:type="paragraph" w:styleId="8">
    <w:name w:val="toc 1"/>
    <w:basedOn w:val="1"/>
    <w:next w:val="1"/>
    <w:unhideWhenUsed/>
    <w:qFormat/>
    <w:uiPriority w:val="39"/>
    <w:pPr>
      <w:spacing w:after="57"/>
      <w:ind w:left="0" w:right="0" w:firstLine="0"/>
    </w:pPr>
  </w:style>
  <w:style w:type="paragraph" w:styleId="9">
    <w:name w:val="Normal (Web)"/>
    <w:basedOn w:val="1"/>
    <w:qFormat/>
    <w:uiPriority w:val="0"/>
    <w:rPr>
      <w:sz w:val="24"/>
    </w:rPr>
  </w:style>
  <w:style w:type="paragraph" w:styleId="10">
    <w:name w:val="Body Text First Indent 2"/>
    <w:basedOn w:val="6"/>
    <w:qFormat/>
    <w:uiPriority w:val="0"/>
    <w:pPr>
      <w:ind w:firstLine="420"/>
    </w:pPr>
    <w:rPr>
      <w:rFonts w:eastAsia="宋体"/>
    </w:rPr>
  </w:style>
  <w:style w:type="paragraph" w:customStyle="1" w:styleId="13">
    <w:name w:val="目录 112"/>
    <w:basedOn w:val="1"/>
    <w:next w:val="1"/>
    <w:unhideWhenUsed/>
    <w:qFormat/>
    <w:uiPriority w:val="39"/>
    <w:pPr>
      <w:spacing w:after="57"/>
    </w:pPr>
  </w:style>
  <w:style w:type="paragraph" w:customStyle="1" w:styleId="14">
    <w:name w:val="普通(网站)11"/>
    <w:basedOn w:val="1"/>
    <w:qFormat/>
    <w:uiPriority w:val="0"/>
    <w:pPr>
      <w:spacing w:beforeAutospacing="1" w:afterAutospacing="1"/>
      <w:jc w:val="left"/>
    </w:pPr>
    <w:rPr>
      <w:sz w:val="24"/>
    </w:rPr>
  </w:style>
  <w:style w:type="table" w:customStyle="1" w:styleId="15">
    <w:name w:val="网格型12"/>
    <w:qFormat/>
    <w:uiPriority w:val="59"/>
  </w:style>
  <w:style w:type="paragraph" w:customStyle="1" w:styleId="16">
    <w:name w:val="标题 41"/>
    <w:basedOn w:val="17"/>
    <w:next w:val="1"/>
    <w:qFormat/>
    <w:uiPriority w:val="9"/>
    <w:pPr>
      <w:keepNext/>
      <w:keepLines/>
      <w:spacing w:before="280" w:after="290" w:line="376" w:lineRule="auto"/>
      <w:outlineLvl w:val="3"/>
    </w:pPr>
    <w:rPr>
      <w:rFonts w:ascii="Cambria" w:hAnsi="Cambria"/>
      <w:b/>
      <w:bCs/>
      <w:sz w:val="28"/>
      <w:szCs w:val="28"/>
    </w:rPr>
  </w:style>
  <w:style w:type="paragraph" w:customStyle="1" w:styleId="17">
    <w:name w:val="正文12"/>
    <w:next w:val="18"/>
    <w:qFormat/>
    <w:uiPriority w:val="0"/>
    <w:pPr>
      <w:widowControl w:val="0"/>
      <w:spacing w:line="360" w:lineRule="auto"/>
      <w:ind w:firstLine="723"/>
      <w:jc w:val="both"/>
    </w:pPr>
    <w:rPr>
      <w:rFonts w:hint="default" w:ascii="Times New Roman" w:hAnsi="Times New Roman" w:eastAsia="宋体" w:cs="Times New Roman"/>
      <w:sz w:val="24"/>
      <w:szCs w:val="24"/>
      <w:lang w:val="en-US" w:eastAsia="zh-CN" w:bidi="ar-SA"/>
    </w:rPr>
  </w:style>
  <w:style w:type="paragraph" w:customStyle="1" w:styleId="18">
    <w:name w:val="文本块11"/>
    <w:basedOn w:val="17"/>
    <w:unhideWhenUsed/>
    <w:qFormat/>
    <w:uiPriority w:val="6"/>
    <w:pPr>
      <w:spacing w:after="120"/>
      <w:ind w:left="1440" w:right="144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29</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2026-07-31T07:26:23Z</dcterms:created>
  <dc:creator>lenovo</dc:creator>
  <cp:lastModifiedBy>c</cp:lastModifiedBy>
  <dcterms:modified xsi:type="dcterms:W3CDTF">2026-07-31T07:47:41Z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eyJoZGlkIjoiNWYzMzQwNTY4ZDc1OWYxYTFiMzg4MzRhNWY0ZWUyN2YiLCJ1c2VySWQiOiIzMTYyODU4NjQifQ==</vt:lpwstr>
  </property>
  <property fmtid="{D5CDD505-2E9C-101B-9397-08002B2CF9AE}" pid="4" name="ICV">
    <vt:lpwstr>02F5B45D30854DAC8A43AFA591FED6B7_12</vt:lpwstr>
  </property>
</Properties>
</file>