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JSZC-320303-ZYAH-G2026-0004</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七</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JSZC-320303-ZYAH-G2026-0004。</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w:t>
      </w:r>
      <w:r>
        <w:rPr>
          <w:rFonts w:hint="eastAsia" w:ascii="宋体" w:hAnsi="宋体" w:eastAsia="宋体" w:cs="宋体"/>
          <w:color w:val="000000"/>
          <w:sz w:val="24"/>
          <w:szCs w:val="24"/>
          <w:highlight w:val="none"/>
        </w:rPr>
        <w:t xml:space="preserve">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8</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21</w:t>
      </w:r>
      <w:r>
        <w:rPr>
          <w:rFonts w:hint="eastAsia" w:ascii="宋体" w:hAnsi="宋体" w:eastAsia="宋体" w:cs="宋体"/>
          <w:b/>
          <w:color w:val="000000"/>
          <w:sz w:val="24"/>
          <w:szCs w:val="24"/>
          <w:highlight w:val="none"/>
        </w:rPr>
        <w:t xml:space="preserve"> 日</w:t>
      </w:r>
      <w:r>
        <w:rPr>
          <w:rFonts w:hint="eastAsia" w:ascii="宋体" w:hAnsi="宋体" w:eastAsia="宋体" w:cs="宋体"/>
          <w:b/>
          <w:color w:val="000000"/>
          <w:sz w:val="24"/>
          <w:szCs w:val="24"/>
          <w:highlight w:val="none"/>
        </w:rPr>
        <w:t xml:space="preserve">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8</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21</w:t>
      </w:r>
      <w:r>
        <w:rPr>
          <w:rFonts w:hint="eastAsia" w:ascii="宋体" w:hAnsi="宋体" w:eastAsia="宋体" w:cs="宋体"/>
          <w:b/>
          <w:color w:val="000000"/>
          <w:sz w:val="24"/>
          <w:szCs w:val="24"/>
          <w:highlight w:val="none"/>
        </w:rPr>
        <w:t xml:space="preserve"> 日</w:t>
      </w:r>
      <w:r>
        <w:rPr>
          <w:rFonts w:hint="eastAsia" w:ascii="宋体" w:hAnsi="宋体" w:eastAsia="宋体" w:cs="宋体"/>
          <w:b/>
          <w:color w:val="000000"/>
          <w:sz w:val="24"/>
          <w:szCs w:val="24"/>
          <w:highlight w:val="none"/>
        </w:rPr>
        <w:t xml:space="preserve">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14:textFill>
            <w14:solidFill>
              <w14:schemeClr w14:val="tx1"/>
            </w14:solidFill>
          </w14:textFill>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ff0000"/>
          <w:sz w:val="24"/>
          <w:szCs w:val="24"/>
        </w:rPr>
      </w:pPr>
      <w:r>
        <w:rPr>
          <w:rFonts w:hint="eastAsia" w:ascii="宋体" w:hAnsi="宋体" w:eastAsia="宋体" w:cs="宋体"/>
          <w:b/>
          <w:bCs/>
          <w:color w:val="ff0000"/>
          <w:sz w:val="24"/>
          <w:szCs w:val="24"/>
          <w:lang w:val="en-US" w:eastAsia="zh-CN" w:bidi="ar-SA"/>
        </w:rPr>
        <w:t xml:space="preserve">本项目核心产品为水平直压式垃圾压缩机。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09"/>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2.</w:t>
            </w:r>
            <w:r>
              <w:rPr>
                <w:rFonts w:hint="default" w:ascii="宋体" w:hAnsi="宋体" w:eastAsia="宋体" w:cs="宋体"/>
                <w:b w:val="0"/>
                <w:bCs w:val="0"/>
                <w:color w:val="000000" w:themeColor="text1"/>
                <w:sz w:val="24"/>
                <w:highlight w:val="none"/>
                <w14:textFill>
                  <w14:solidFill>
                    <w14:schemeClr w14:val="tx1"/>
                  </w14:solidFill>
                </w14:textFill>
              </w:rPr>
              <w:t xml:space="preserve">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rPr>
              <w:t xml:space="preserve">存在环保设备</w:t>
            </w:r>
            <w:r>
              <w:rPr>
                <w:rFonts w:hint="default" w:ascii="宋体" w:hAnsi="宋体" w:eastAsia="宋体" w:cs="宋体"/>
                <w:b w:val="0"/>
                <w:bCs w:val="0"/>
                <w:color w:val="000000" w:themeColor="text1"/>
                <w:sz w:val="24"/>
                <w14:textFill>
                  <w14:solidFill>
                    <w14:schemeClr w14:val="tx1"/>
                  </w14:solidFill>
                </w14:textFill>
              </w:rPr>
              <w:t xml:space="preserve">生产/销售虚假宣传、检测报告造假行政处罚记录的</w:t>
            </w:r>
            <w:r>
              <w:rPr>
                <w:rFonts w:hint="eastAsia" w:ascii="宋体" w:hAnsi="宋体" w:eastAsia="宋体" w:cs="宋体"/>
                <w:b w:val="0"/>
                <w:bCs w:val="0"/>
                <w:color w:val="000000" w:themeColor="text1"/>
                <w:sz w:val="24"/>
                <w:lang w:eastAsia="zh-CN"/>
                <w14:textFill>
                  <w14:solidFill>
                    <w14:schemeClr w14:val="tx1"/>
                  </w14:solidFill>
                </w14:textFill>
              </w:rPr>
              <w:t xml:space="preserve">投标人</w:t>
            </w:r>
            <w:r>
              <w:rPr>
                <w:rFonts w:hint="default" w:ascii="宋体" w:hAnsi="宋体" w:eastAsia="宋体" w:cs="宋体"/>
                <w:b w:val="0"/>
                <w:bCs w:val="0"/>
                <w:color w:val="000000" w:themeColor="text1"/>
                <w:sz w:val="24"/>
                <w14:textFill>
                  <w14:solidFill>
                    <w14:schemeClr w14:val="tx1"/>
                  </w14:solidFill>
                </w14:textFill>
              </w:rPr>
              <w:t xml:space="preserve">，不得参加本采购项目的采购活动。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2、所投产品的环境标志产品认证证书原件的扫描件（如有）。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（2）环境标志产品认证证书是否符合要求，采购人评标时查询中国政府采购网（www.ccgp.gov.cn）相关内容后确定。</w:t>
            </w:r>
            <w:r/>
          </w:p>
          <w:p>
            <w:pPr>
              <w:ind w:left="0" w:right="0" w:firstLine="0"/>
              <w:jc w:val="both"/>
              <w:spacing w:before="0" w:after="0"/>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3、所投产品的节能产品认证证书原件的扫描件（如有）。</w:t>
            </w:r>
            <w:r>
              <w:rPr>
                <w:b/>
                <w:bCs/>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3、相关承诺</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highlight w:val="none"/>
              </w:rPr>
              <w:t xml:space="preserve">要求见招标文件第六章《采购需求》</w:t>
            </w:r>
            <w:r>
              <w:rPr>
                <w:rFonts w:hint="eastAsia" w:ascii="宋体" w:hAnsi="宋体" w:eastAsia="宋体" w:cs="宋体"/>
                <w:b w:val="0"/>
                <w:bCs w:val="0"/>
                <w:color w:val="000000"/>
                <w:sz w:val="24"/>
                <w:szCs w:val="24"/>
                <w:highlight w:val="none"/>
                <w:lang w:eastAsia="zh-CN"/>
              </w:rPr>
              <w:t xml:space="preserve">，</w:t>
            </w:r>
            <w:bookmarkStart w:id="5" w:name="_GoBack"/>
            <w:r/>
            <w:bookmarkEnd w:id="5"/>
            <w:r>
              <w:rPr>
                <w:rFonts w:hint="eastAsia" w:ascii="宋体" w:hAnsi="宋体" w:eastAsia="宋体" w:cs="宋体"/>
                <w:b w:val="0"/>
                <w:bCs w:val="0"/>
                <w:color w:val="000000"/>
                <w:sz w:val="24"/>
                <w:szCs w:val="24"/>
                <w:highlight w:val="none"/>
                <w:lang w:eastAsia="zh-CN"/>
              </w:rPr>
              <w:t xml:space="preserve">格式自拟）</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（要求见第四章《评标标准》中《评分细则》</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第六章《采购需求》）；</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交货和提供服务的时间：见本文件第五章《拟签订的合同文本》及本文件第六章《采购需求》。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8</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21</w:t>
            </w:r>
            <w:r>
              <w:rPr>
                <w:rFonts w:hint="eastAsia" w:ascii="宋体" w:hAnsi="宋体" w:eastAsia="宋体" w:cs="宋体"/>
                <w:b/>
                <w:color w:val="000000"/>
                <w:sz w:val="24"/>
                <w:szCs w:val="24"/>
                <w:highlight w:val="none"/>
              </w:rPr>
              <w:t xml:space="preserve">日 </w:t>
            </w:r>
            <w:r>
              <w:rPr>
                <w:rFonts w:hint="eastAsia" w:ascii="宋体" w:hAnsi="宋体" w:eastAsia="宋体" w:cs="宋体"/>
                <w:b/>
                <w:bCs/>
                <w:color w:val="000000"/>
                <w:sz w:val="24"/>
                <w:szCs w:val="24"/>
                <w:highlight w:val="none"/>
              </w:rPr>
              <w:t xml:space="preserve">9：30前。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w:t>
            </w:r>
            <w:r>
              <w:rPr>
                <w:rFonts w:hint="eastAsia" w:ascii="宋体" w:hAnsi="宋体" w:eastAsia="宋体" w:cs="宋体"/>
                <w:b w:val="0"/>
                <w:bCs w:val="0"/>
                <w:color w:val="000000"/>
                <w:sz w:val="24"/>
              </w:rPr>
              <w:t xml:space="preserve">录并向社会公众公布后5分钟内，投标人通过“苏采云”系统（使用“CA数字证书”）确认开标过程。在以上时间内投标人没有确认的，视同该投标人认可开标结果。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lang w:eastAsia="zh-CN"/>
              </w:rPr>
              <w:t xml:space="preserve">2026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21</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t xml:space="preserve">09：30（标准时间）</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采用综合评分法的，按评审后得分由高到低顺序排列。得分相同的，按投标报价由低到高顺序排列。得分且投标报价相同的，按总体方案得分顺序排列。中标候选人应当不超过3个，并标明排序。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宋体" w:hAnsi="宋体" w:eastAsia="宋体" w:cs="宋体"/>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宋体" w:hAnsi="宋体" w:eastAsia="宋体" w:cs="宋体"/>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95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93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2"/>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含水平直压</w:t>
            </w:r>
            <w:r>
              <w:rPr>
                <w:rFonts w:hint="eastAsia" w:ascii="宋体" w:hAnsi="宋体" w:eastAsia="宋体" w:cs="宋体"/>
                <w:color w:val="auto"/>
                <w:szCs w:val="21"/>
                <w:highlight w:val="none"/>
                <w:lang w:eastAsia="zh-CN" w:bidi="ar"/>
              </w:rPr>
              <w:t xml:space="preserve">（水平式）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w:t>
            </w:r>
            <w:r/>
          </w:p>
          <w:p>
            <w:pPr>
              <w:numPr>
                <w:ilvl w:val="0"/>
                <w:numId w:val="0"/>
              </w:num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含竖直直压</w:t>
            </w:r>
            <w:r>
              <w:rPr>
                <w:rFonts w:hint="eastAsia" w:ascii="宋体" w:hAnsi="宋体" w:eastAsia="宋体" w:cs="宋体"/>
                <w:color w:val="auto"/>
                <w:szCs w:val="21"/>
                <w:highlight w:val="none"/>
                <w:lang w:eastAsia="zh-CN" w:bidi="ar"/>
              </w:rPr>
              <w:t xml:space="preserve">（竖直式）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注：上述两类业绩不重复计分。投标文件中须提供合同原件扫描件、项目履约结算发票或阶段性结算发票原件扫描件，两项材料齐全方可计分；如合同内容无法直接体现设备名称，须</w:t>
            </w:r>
            <w:r>
              <w:rPr>
                <w:rFonts w:hint="eastAsia" w:ascii="宋体" w:hAnsi="宋体" w:eastAsia="宋体" w:cs="宋体"/>
                <w:b w:val="0"/>
                <w:bCs w:val="0"/>
                <w:color w:val="auto"/>
                <w:sz w:val="21"/>
                <w:szCs w:val="21"/>
                <w:highlight w:val="none"/>
                <w:lang w:val="en-US" w:eastAsia="zh-CN"/>
              </w:rPr>
              <w:t xml:space="preserve">另行提供有效证明材料。</w:t>
            </w:r>
            <w:r>
              <w:rPr>
                <w:rFonts w:hint="eastAsia" w:ascii="宋体" w:hAnsi="宋体" w:eastAsia="宋体" w:cs="宋体"/>
                <w:b w:val="0"/>
                <w:bCs w:val="0"/>
                <w:color w:val="auto"/>
                <w:sz w:val="21"/>
                <w:szCs w:val="21"/>
                <w:highlight w:val="none"/>
                <w:lang w:eastAsia="zh-CN"/>
              </w:rPr>
              <w:t xml:space="preserve">材料不全或不符合要求的，该项业绩不予得分。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62分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依据投标文件中偏离表、技术建议书对招标文件《第六章采购需求》中“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2</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针对本项目实施方案进行评价，至少包含①人员安排；②项目整体实施流程；③供货的保障措施；④进度计划安排等方面，从上述内容全面性、针对性、可行性进行综合评分：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投标人对本项目所投设备的选型、工艺、质量和系统集成情况等方面内容进行综合评价，至少包含①</w:t>
            </w:r>
            <w:r>
              <w:rPr>
                <w:rFonts w:hint="eastAsia" w:ascii="宋体" w:hAnsi="宋体" w:eastAsia="宋体" w:cs="宋体"/>
                <w:color w:val="000000"/>
                <w:sz w:val="21"/>
                <w:szCs w:val="21"/>
              </w:rPr>
              <w:t xml:space="preserve">产品</w:t>
            </w:r>
            <w:r>
              <w:rPr>
                <w:rFonts w:hint="eastAsia" w:ascii="宋体" w:hAnsi="宋体" w:eastAsia="宋体" w:cs="宋体"/>
                <w:color w:val="000000"/>
                <w:sz w:val="21"/>
                <w:szCs w:val="21"/>
                <w:lang w:eastAsia="zh-CN"/>
              </w:rPr>
              <w:t xml:space="preserve">选型、工艺介绍；</w:t>
            </w:r>
            <w:r>
              <w:rPr>
                <w:rFonts w:hint="eastAsia" w:ascii="宋体" w:hAnsi="宋体" w:eastAsia="宋体" w:cs="宋体"/>
                <w:b w:val="0"/>
                <w:bCs w:val="0"/>
                <w:color w:val="000000"/>
                <w:sz w:val="21"/>
                <w:szCs w:val="21"/>
                <w:lang w:val="en-US" w:eastAsia="zh-CN"/>
              </w:rPr>
              <w:t xml:space="preserve">②</w:t>
            </w:r>
            <w:r>
              <w:rPr>
                <w:rFonts w:hint="eastAsia" w:ascii="宋体" w:hAnsi="宋体" w:eastAsia="宋体" w:cs="宋体"/>
                <w:color w:val="000000"/>
                <w:sz w:val="21"/>
                <w:szCs w:val="21"/>
                <w:lang w:eastAsia="zh-CN"/>
              </w:rPr>
              <w:t xml:space="preserve">产品质量与稳定性保障措施；</w:t>
            </w:r>
            <w:r>
              <w:rPr>
                <w:rFonts w:hint="eastAsia" w:ascii="宋体" w:hAnsi="宋体" w:eastAsia="宋体" w:cs="宋体"/>
                <w:b w:val="0"/>
                <w:bCs w:val="0"/>
                <w:color w:val="000000"/>
                <w:sz w:val="21"/>
                <w:szCs w:val="21"/>
                <w:lang w:val="en-US" w:eastAsia="zh-CN"/>
              </w:rPr>
              <w:t xml:space="preserve">③系统集成与数据对接方案等方面内容</w:t>
            </w:r>
            <w:r>
              <w:rPr>
                <w:rFonts w:hint="eastAsia" w:ascii="宋体" w:hAnsi="宋体" w:eastAsia="宋体" w:cs="宋体"/>
                <w:color w:val="000000"/>
                <w:sz w:val="21"/>
                <w:szCs w:val="21"/>
              </w:rPr>
              <w:t xml:space="preserve">，从</w:t>
            </w:r>
            <w:r>
              <w:rPr>
                <w:rFonts w:hint="eastAsia" w:ascii="宋体" w:hAnsi="宋体" w:eastAsia="宋体" w:cs="宋体"/>
                <w:color w:val="000000"/>
                <w:sz w:val="21"/>
                <w:szCs w:val="21"/>
                <w:lang w:eastAsia="zh-CN"/>
              </w:rPr>
              <w:t xml:space="preserve">上述</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供货及安装调试方案（8分）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人提供的供货及安装调试方案进行评价，至少包含①供货周期、运输方式、交货地点保障措施；②设备安装流程、技术标准；③调试步骤及验收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针对本项目重难点分析及应对措施进行评价，至少包含①设备自动化程度；②设备二次污染；③设备的防蓬堵、桥塞措施等方面内容，从上述内容全面性、针对性进行综合评分：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未提供的不得分。本项最高得6分，最低不得分。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对投标文件中售后服务方案进行评价，至少包含①售后服务方式、响应时间、服务承诺；②应急保障措施（含备品备件储备）等方面内容，从上述内容全面性、针对性、可行性进行综合评分：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可行性（2分)：切实可行得2分；较切实可行得1分；可行性欠缺得0分。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对投标文件中技术培训方案进行评价，至少包含：①培训计划与方式；②培训内容等方面。从上述内容全面性、针对性进行综合评分：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JSZC-320303-ZYAH-G2026-0004</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93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（2）</w:t>
      </w: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（3）</w:t>
      </w: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（4）</w:t>
      </w: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（5）</w:t>
      </w: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 </w:t>
      </w:r>
      <w:r/>
    </w:p>
    <w:p>
      <w:pPr>
        <w:ind w:firstLine="60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w:t>
      </w:r>
      <w:r>
        <w:rPr>
          <w:rFonts w:hint="eastAsia" w:ascii="宋体" w:hAnsi="宋体" w:eastAsia="宋体" w:cs="宋体"/>
          <w:color w:val="000000"/>
          <w:sz w:val="24"/>
          <w:szCs w:val="24"/>
          <w:highlight w:val="white"/>
        </w:rPr>
        <w:t xml:space="preserve">技术建议书</w:t>
      </w:r>
      <w:r>
        <w:rPr>
          <w:rFonts w:hint="eastAsia" w:ascii="宋体" w:hAnsi="宋体" w:eastAsia="宋体" w:cs="宋体"/>
          <w:color w:val="000000"/>
          <w:sz w:val="24"/>
          <w:szCs w:val="24"/>
          <w:highlight w:val="white"/>
        </w:rPr>
        <w:t xml:space="preserve">》。)</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4"/>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2457054"/>
      <w:r/>
      <w:bookmarkEnd w:id="3"/>
      <w:r/>
      <w:bookmarkStart w:id="4" w:name="_Toc324452802"/>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Height w:val="5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vMerge w:val="restart"/>
            <w:textDirection w:val="lrTb"/>
            <w:noWrap w:val="false"/>
          </w:tcPr>
          <w:p>
            <w:pPr>
              <w:rPr>
                <w:rFonts w:hint="default" w:ascii="宋体" w:hAnsi="宋体" w:eastAsia="宋体" w:cs="宋体"/>
                <w:szCs w:val="21"/>
                <w:lang w:val="zh-CN"/>
              </w:rPr>
            </w:pPr>
            <w:r>
              <w:rPr>
                <w:rFonts w:hint="default"/>
                <w:b/>
                <w:bCs/>
                <w:color w:val="auto"/>
                <w:lang w:val="zh-CN"/>
              </w:rPr>
              <w:t xml:space="preserve">本项目采用水平压缩双推料机工艺。</w:t>
            </w:r>
            <w:r/>
          </w:p>
        </w:tc>
      </w:tr>
      <w:tr>
        <w:trPr>
          <w:jc w:val="center"/>
          <w:trHeight w:val="49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vMerge w:val="continue"/>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5"/>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宋体" w:hAnsi="宋体" w:eastAsia="宋体" w:cs="宋体"/>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p>
    <w:p>
      <w:pPr>
        <w:ind w:firstLine="480"/>
        <w:spacing w:line="360" w:lineRule="auto"/>
        <w:rPr>
          <w:rFonts w:hint="eastAsia" w:ascii="宋体" w:hAnsi="宋体" w:eastAsia="宋体" w:cs="宋体"/>
          <w:b/>
          <w:bCs/>
          <w:color w:val="ff0000"/>
          <w:sz w:val="22"/>
          <w:szCs w:val="22"/>
          <w:lang w:eastAsia="zh-CN"/>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val="0"/>
          <w:bCs w:val="0"/>
          <w:sz w:val="22"/>
          <w:szCs w:val="22"/>
        </w:rPr>
        <w:t xml:space="preserve">投标人在投标技术文件中应对设备进行详细的技术描述，</w:t>
      </w:r>
      <w:r>
        <w:rPr>
          <w:rFonts w:hint="eastAsia" w:ascii="宋体" w:hAnsi="宋体" w:eastAsia="宋体" w:cs="宋体"/>
          <w:b w:val="0"/>
          <w:bCs w:val="0"/>
          <w:sz w:val="22"/>
          <w:szCs w:val="22"/>
          <w:lang w:eastAsia="zh-CN"/>
        </w:rPr>
        <w:t xml:space="preserve">提供技术建议书。并</w:t>
      </w:r>
      <w:r>
        <w:rPr>
          <w:rFonts w:hint="eastAsia" w:ascii="宋体" w:hAnsi="宋体" w:eastAsia="宋体" w:cs="宋体"/>
          <w:b w:val="0"/>
          <w:bCs w:val="0"/>
          <w:sz w:val="22"/>
          <w:szCs w:val="22"/>
        </w:rPr>
        <w:t xml:space="preserve">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8"/>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8"/>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8"/>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8"/>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8"/>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8"/>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8"/>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8"/>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8"/>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2914"/>
        <w:gridCol w:w="3969"/>
      </w:tblGrid>
      <w:tr>
        <w:trPr>
          <w:jc w:val="center"/>
        </w:trPr>
        <w:tc>
          <w:tcPr>
            <w:tcW w:w="767"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2"/>
        </w:numPr>
        <w:ind w:left="900" w:hanging="420"/>
        <w:tabs>
          <w:tab w:val="left" w:pos="420" w:leader="none"/>
        </w:tabs>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本项目采用双</w:t>
      </w:r>
      <w:r>
        <w:rPr>
          <w:rFonts w:hint="eastAsia" w:ascii="宋体" w:hAnsi="宋体" w:eastAsia="宋体" w:cs="宋体"/>
          <w:b/>
          <w:bCs/>
          <w:color w:val="auto"/>
          <w:sz w:val="24"/>
          <w:highlight w:val="none"/>
        </w:rPr>
        <w:t xml:space="preserve">推料机</w:t>
      </w:r>
      <w:r>
        <w:rPr>
          <w:rFonts w:hint="eastAsia" w:ascii="宋体" w:hAnsi="宋体" w:eastAsia="宋体" w:cs="宋体"/>
          <w:b/>
          <w:bCs/>
          <w:color w:val="auto"/>
          <w:sz w:val="24"/>
          <w:highlight w:val="none"/>
          <w:lang w:val="en-US" w:eastAsia="zh-CN"/>
        </w:rPr>
        <w:t xml:space="preserve">工艺，即</w:t>
      </w:r>
      <w:r>
        <w:rPr>
          <w:rFonts w:hint="eastAsia" w:ascii="宋体" w:hAnsi="宋体" w:eastAsia="宋体" w:cs="宋体"/>
          <w:b/>
          <w:bCs/>
          <w:color w:val="auto"/>
          <w:sz w:val="24"/>
          <w:highlight w:val="none"/>
        </w:rPr>
        <w:t xml:space="preserve">一套压缩机对称布置2套推料机，以彻底解决压机堵料的问题。</w:t>
      </w:r>
      <w:r>
        <w:rPr>
          <w:rFonts w:hint="eastAsia" w:ascii="宋体" w:hAnsi="宋体" w:eastAsia="宋体" w:cs="宋体"/>
          <w:b/>
          <w:bCs/>
          <w:color w:val="auto"/>
          <w:sz w:val="24"/>
          <w:highlight w:val="none"/>
          <w:lang w:eastAsia="zh-CN"/>
        </w:rPr>
        <w:t xml:space="preserve">（供应商须在</w:t>
      </w:r>
      <w:r>
        <w:rPr>
          <w:rFonts w:hint="eastAsia" w:ascii="宋体" w:hAnsi="宋体" w:eastAsia="宋体" w:cs="宋体"/>
          <w:b/>
          <w:bCs/>
          <w:color w:val="auto"/>
          <w:sz w:val="24"/>
          <w:highlight w:val="none"/>
          <w:lang w:val="en-US" w:eastAsia="zh-CN"/>
        </w:rPr>
        <w:t xml:space="preserve">投标文件中对此作出承诺，承诺设备安装调试完成后能够实现水平双推料作业功能</w:t>
      </w:r>
      <w:r>
        <w:rPr>
          <w:rFonts w:hint="eastAsia" w:ascii="宋体" w:hAnsi="宋体" w:eastAsia="宋体" w:cs="宋体"/>
          <w:b/>
          <w:bCs/>
          <w:color w:val="auto"/>
          <w:sz w:val="24"/>
          <w:highlight w:val="none"/>
          <w:lang w:eastAsia="zh-CN"/>
        </w:rPr>
        <w:t xml:space="preserve">）</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2"/>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93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5"/>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5"/>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6.竖直直压式垃圾压缩系统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6.1.</w:t>
      </w:r>
      <w:r>
        <w:rPr>
          <w:rFonts w:hint="eastAsia" w:ascii="宋体" w:hAnsi="宋体" w:eastAsia="宋体" w:cs="宋体"/>
          <w:b/>
          <w:bCs/>
          <w:sz w:val="24"/>
          <w:szCs w:val="26"/>
        </w:rPr>
        <w:t xml:space="preserve">竖直直压式压缩机</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竖直直压式压缩机是竖式装箱压缩转运工艺设计配套的专用设备，用于对垃圾实施压缩作业。能在多个工位之间移动并实施压缩。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6.1.2.</w:t>
      </w:r>
      <w:r>
        <w:rPr>
          <w:rFonts w:hint="eastAsia" w:ascii="宋体" w:hAnsi="宋体" w:eastAsia="宋体" w:cs="宋体"/>
          <w:b/>
          <w:bCs/>
          <w:sz w:val="24"/>
          <w:szCs w:val="26"/>
        </w:rPr>
        <w:t xml:space="preserve">性能要求</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行走机构：实现竖直直压式压缩机在各个工位之间的移动。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压缩头：实现垃圾的压缩动作。</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移动平台：行走机构、压缩头、液压系统、电控系统的安装平台。</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液压系统：包含实现压缩功能的油缸、电机、阀组、管路等。</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竖直直压式压缩机顶部平台周边设计栏杆，保证检修、日常维护安全。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竖直直压式压缩机系统有自动回位功能，防止压头在静止时下滑丢失信号。</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竖直直压式压缩机系统有高精度回正功能，防止压头在压垃圾时偏摆丢失信号。</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6.2.</w:t>
      </w:r>
      <w:r>
        <w:rPr>
          <w:rFonts w:hint="eastAsia" w:ascii="宋体" w:hAnsi="宋体" w:eastAsia="宋体" w:cs="宋体"/>
          <w:b/>
          <w:bCs/>
          <w:sz w:val="24"/>
          <w:szCs w:val="26"/>
        </w:rPr>
        <w:t xml:space="preserve">卸料溜槽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6.2.2.</w:t>
      </w:r>
      <w:r>
        <w:rPr>
          <w:rFonts w:hint="eastAsia" w:ascii="宋体" w:hAnsi="宋体" w:eastAsia="宋体" w:cs="宋体"/>
          <w:b/>
          <w:bCs/>
          <w:sz w:val="24"/>
          <w:szCs w:val="26"/>
        </w:rPr>
        <w:t xml:space="preserve">性能要求</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待箱时，转动料斗翻转至卸料口不影响操作的位置，作于安全防护，方便转动料斗维护和站内保洁。</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转动料斗与站内土建结构、附属件等形成封闭区域，确保卸料过程中，垃圾、污水等不会散落到其他区域。</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转动料斗的四壁不留滞、存储垃圾。</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sz w:val="24"/>
        </w:rPr>
      </w:pPr>
      <w:r>
        <w:rPr>
          <w:rFonts w:hint="eastAsia" w:ascii="宋体" w:hAnsi="宋体" w:eastAsia="宋体" w:cs="宋体"/>
          <w:sz w:val="24"/>
        </w:rPr>
        <w:t xml:space="preserve">注：表中带</w:t>
      </w:r>
      <w:r>
        <w:rPr>
          <w:rFonts w:hint="eastAsia" w:ascii="宋体" w:hAnsi="宋体" w:eastAsia="宋体" w:cs="宋体"/>
          <w:szCs w:val="21"/>
        </w:rPr>
        <w:t xml:space="preserve">“</w:t>
      </w:r>
      <w:r>
        <w:rPr>
          <w:rFonts w:hint="eastAsia" w:ascii="宋体" w:hAnsi="宋体" w:eastAsia="宋体" w:cs="宋体"/>
          <w:sz w:val="24"/>
        </w:rPr>
        <w:t xml:space="preserve">▲</w:t>
      </w:r>
      <w:r>
        <w:rPr>
          <w:rFonts w:hint="eastAsia" w:ascii="宋体" w:hAnsi="宋体" w:eastAsia="宋体" w:cs="宋体"/>
          <w:szCs w:val="21"/>
        </w:rPr>
        <w:t xml:space="preserve">”</w:t>
      </w:r>
      <w:r>
        <w:rPr>
          <w:rFonts w:hint="eastAsia" w:ascii="宋体" w:hAnsi="宋体" w:eastAsia="宋体" w:cs="宋体"/>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6.3.</w:t>
      </w:r>
      <w:r>
        <w:rPr>
          <w:rFonts w:hint="eastAsia" w:ascii="宋体" w:hAnsi="宋体" w:eastAsia="宋体" w:cs="宋体"/>
          <w:b/>
          <w:bCs/>
          <w:sz w:val="24"/>
          <w:szCs w:val="26"/>
        </w:rPr>
        <w:t xml:space="preserve">竖直直压式压缩机液压系统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用于为竖直直压式压缩机提供液压动力。</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6.3.2.</w:t>
      </w:r>
      <w:r>
        <w:rPr>
          <w:rFonts w:hint="eastAsia" w:ascii="宋体" w:hAnsi="宋体" w:eastAsia="宋体" w:cs="宋体"/>
          <w:b/>
          <w:bCs/>
          <w:sz w:val="24"/>
          <w:szCs w:val="26"/>
        </w:rPr>
        <w:t xml:space="preserve">性能要求</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应具有独立液压站。</w:t>
      </w:r>
      <w:r/>
    </w:p>
    <w:p>
      <w:pPr>
        <w:numPr>
          <w:ilvl w:val="0"/>
          <w:numId w:val="22"/>
        </w:numPr>
        <w:ind w:left="900" w:hanging="420"/>
        <w:rPr>
          <w:rFonts w:hint="default" w:ascii="宋体" w:hAnsi="宋体" w:eastAsia="宋体" w:cs="宋体"/>
          <w:sz w:val="24"/>
        </w:rPr>
      </w:pPr>
      <w:r>
        <w:rPr>
          <w:rFonts w:hint="eastAsia" w:ascii="宋体" w:hAnsi="宋体" w:eastAsia="宋体" w:cs="宋体"/>
          <w:sz w:val="24"/>
        </w:rPr>
        <w:t xml:space="preserve">液压系统采用伺服驱动技术。</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应采用水或风冷方式解决运转过程中的发热问题，同时应具有油料加热器。</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油泵采用低噪音叶片泵或者内啮合齿轮泵</w:t>
      </w:r>
      <w:r>
        <w:rPr>
          <w:rFonts w:hint="eastAsia" w:ascii="宋体" w:hAnsi="宋体" w:eastAsia="宋体" w:cs="宋体"/>
          <w:b/>
          <w:bCs/>
          <w:sz w:val="24"/>
          <w:szCs w:val="20"/>
        </w:rPr>
        <w:t xml:space="preserve">。</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采用温度传感器来采集液压站油箱的液压油温度，模拟量输出并带实时数字显示</w:t>
      </w:r>
      <w:r>
        <w:rPr>
          <w:rFonts w:hint="eastAsia" w:ascii="宋体" w:hAnsi="宋体" w:eastAsia="宋体" w:cs="宋体"/>
          <w:sz w:val="24"/>
        </w:rPr>
        <w:t xml:space="preserve">。</w:t>
      </w:r>
      <w:r/>
    </w:p>
    <w:p>
      <w:pPr>
        <w:numPr>
          <w:ilvl w:val="0"/>
          <w:numId w:val="22"/>
        </w:numPr>
        <w:ind w:left="900" w:hanging="420"/>
        <w:rPr>
          <w:rFonts w:hint="default" w:ascii="宋体" w:hAnsi="宋体" w:eastAsia="宋体" w:cs="宋体"/>
          <w:sz w:val="24"/>
        </w:rPr>
      </w:pPr>
      <w:r>
        <w:rPr>
          <w:rFonts w:hint="eastAsia" w:ascii="宋体" w:hAnsi="宋体" w:eastAsia="宋体" w:cs="宋体"/>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6.4.</w:t>
      </w:r>
      <w:r>
        <w:rPr>
          <w:rFonts w:hint="eastAsia" w:ascii="宋体" w:hAnsi="宋体" w:eastAsia="宋体" w:cs="宋体"/>
          <w:b/>
          <w:bCs/>
          <w:sz w:val="24"/>
          <w:szCs w:val="26"/>
        </w:rPr>
        <w:t xml:space="preserve">电气控制系统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6.4.2.</w:t>
      </w:r>
      <w:r>
        <w:rPr>
          <w:rFonts w:hint="eastAsia" w:ascii="宋体" w:hAnsi="宋体" w:eastAsia="宋体" w:cs="宋体"/>
          <w:b/>
          <w:bCs/>
          <w:sz w:val="24"/>
          <w:szCs w:val="26"/>
        </w:rPr>
        <w:t xml:space="preserve">技术参数及性能要求</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采用PLC控制，能与中控室通讯，实现集中控制。</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系统采用手动、自动、维修三种以上的控制模式。</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现场设置操作箱，操作界面应采用触摸屏加按钮形式，触摸屏尺寸不小于9寸。</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现场控制箱应能同时显示设备操作画面与卸料槽的视频画面。</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系统具有远程诊断功能，可通过4G网络将设备接入互联网，可远程协助检测故障及维修。</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各个传感器的状态应能通过触摸屏实时显示，并可实时检测其状态。</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应在现场控制箱、卸料口、中控室设置紧急停机操控功能。</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现场传感器、控制元件等应能适应垃圾转运站及安装位置的工况，能确保垃圾转运站所有设备的正常运行，具有抗干扰能力。</w:t>
      </w:r>
      <w:r/>
    </w:p>
    <w:p>
      <w:pPr>
        <w:numPr>
          <w:ilvl w:val="1"/>
          <w:numId w:val="0"/>
        </w:numPr>
        <w:rPr>
          <w:rFonts w:hint="eastAsia" w:ascii="宋体" w:hAnsi="宋体" w:eastAsia="宋体" w:cs="宋体"/>
          <w:b/>
          <w:color w:val="auto"/>
          <w:sz w:val="24"/>
        </w:rPr>
        <w:outlineLvl w:val="1"/>
      </w:pPr>
      <w:r>
        <w:rPr>
          <w:rFonts w:hint="eastAsia" w:ascii="宋体" w:hAnsi="宋体" w:eastAsia="宋体" w:cs="宋体"/>
          <w:b/>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sz w:val="24"/>
          <w:lang w:val="zh-CN"/>
        </w:rPr>
        <w:t xml:space="preserve">用于厨余垃圾集装箱的水平与竖直状态转换</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9"/>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val="0"/>
          <w:bCs w:val="0"/>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1"/>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ff0000"/>
          <w:sz w:val="24"/>
          <w:highlight w:val="none"/>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投标文件中</w:t>
      </w:r>
      <w:r>
        <w:rPr>
          <w:rFonts w:hint="eastAsia" w:ascii="宋体" w:hAnsi="宋体" w:eastAsia="宋体" w:cs="宋体"/>
          <w:b/>
          <w:bCs/>
          <w:color w:val="auto"/>
          <w:sz w:val="24"/>
          <w:highlight w:val="none"/>
        </w:rPr>
        <w:t xml:space="preserve">提供带CMA标志的拉载试验检测报告，其中耐久试验循环次数不低于</w:t>
      </w:r>
      <w:r>
        <w:rPr>
          <w:rFonts w:hint="eastAsia" w:ascii="宋体" w:hAnsi="宋体" w:eastAsia="宋体" w:cs="宋体"/>
          <w:b/>
          <w:bCs/>
          <w:color w:val="auto"/>
          <w:sz w:val="24"/>
          <w:highlight w:val="none"/>
          <w:lang w:val="en-US" w:eastAsia="zh-CN"/>
        </w:rPr>
        <w:t xml:space="preserve">3000</w:t>
      </w:r>
      <w:r>
        <w:rPr>
          <w:rFonts w:hint="eastAsia" w:ascii="宋体" w:hAnsi="宋体" w:eastAsia="宋体" w:cs="宋体"/>
          <w:b/>
          <w:bCs/>
          <w:color w:val="auto"/>
          <w:sz w:val="24"/>
          <w:highlight w:val="none"/>
        </w:rPr>
        <w:t xml:space="preserve">次</w:t>
      </w:r>
      <w:r>
        <w:rPr>
          <w:rFonts w:hint="eastAsia" w:ascii="宋体" w:hAnsi="宋体" w:eastAsia="宋体" w:cs="宋体"/>
          <w:color w:val="auto"/>
          <w:sz w:val="24"/>
          <w:highlight w:val="none"/>
        </w:rPr>
        <w:t xml:space="preserve">。</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b/>
          <w:bCs/>
          <w:color w:val="auto"/>
        </w:rPr>
      </w:pPr>
      <w:r>
        <w:rPr>
          <w:rFonts w:hint="eastAsia" w:ascii="Times New Roman" w:hAnsi="Times New Roman" w:eastAsia="宋体" w:cs="Times New Roman"/>
          <w:b/>
          <w:bCs/>
          <w:color w:val="auto"/>
          <w:sz w:val="24"/>
          <w:szCs w:val="32"/>
          <w:lang w:val="en-US" w:eastAsia="zh-CN"/>
        </w:rPr>
        <w:t xml:space="preserve">注：除第（10）条外，其他带</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1"/>
          <w:szCs w:val="21"/>
          <w:lang w:val="en-US" w:eastAsia="zh-CN"/>
        </w:rPr>
        <w:t xml:space="preserve">”</w:t>
      </w:r>
      <w:r>
        <w:rPr>
          <w:rFonts w:hint="eastAsia" w:ascii="Times New Roman" w:hAnsi="Times New Roman" w:eastAsia="宋体" w:cs="Times New Roman"/>
          <w:b/>
          <w:bCs/>
          <w:color w:val="auto"/>
          <w:sz w:val="24"/>
          <w:szCs w:val="32"/>
        </w:rPr>
        <w:t xml:space="preserve">参数需提供道路机动车辆生产企业及产品信息查询系统</w:t>
      </w:r>
      <w:r>
        <w:rPr>
          <w:rFonts w:hint="eastAsia" w:ascii="Times New Roman" w:hAnsi="Times New Roman" w:eastAsia="宋体" w:cs="Times New Roman"/>
          <w:b/>
          <w:bCs/>
          <w:color w:val="auto"/>
          <w:sz w:val="24"/>
          <w:szCs w:val="32"/>
          <w:lang w:val="en-US" w:eastAsia="zh-CN"/>
        </w:rPr>
        <w:t xml:space="preserve">截图</w:t>
      </w:r>
      <w:r>
        <w:rPr>
          <w:rFonts w:hint="eastAsia" w:ascii="Times New Roman" w:hAnsi="Times New Roman" w:eastAsia="宋体" w:cs="Times New Roman"/>
          <w:b/>
          <w:bCs/>
          <w:color w:val="auto"/>
          <w:sz w:val="24"/>
          <w:szCs w:val="32"/>
          <w:lang w:eastAsia="zh-CN"/>
        </w:rPr>
        <w:t xml:space="preserve">，（</w:t>
      </w:r>
      <w:r>
        <w:rPr>
          <w:rFonts w:hint="eastAsia" w:ascii="Times New Roman" w:hAnsi="Times New Roman" w:eastAsia="宋体" w:cs="Times New Roman"/>
          <w:b/>
          <w:bCs/>
          <w:color w:val="auto"/>
          <w:sz w:val="24"/>
          <w:szCs w:val="32"/>
          <w:lang w:val="en-US" w:eastAsia="zh-CN"/>
        </w:rPr>
        <w:t xml:space="preserve">查询</w:t>
      </w:r>
      <w:r>
        <w:rPr>
          <w:rFonts w:hint="eastAsia" w:ascii="Times New Roman" w:hAnsi="Times New Roman" w:eastAsia="宋体" w:cs="Times New Roman"/>
          <w:b/>
          <w:bCs/>
          <w:color w:val="auto"/>
          <w:sz w:val="24"/>
          <w:szCs w:val="32"/>
        </w:rPr>
        <w:t xml:space="preserve">网址：</w:t>
      </w:r>
      <w:r>
        <w:rPr>
          <w:rFonts w:hint="eastAsia" w:ascii="Times New Roman" w:hAnsi="Times New Roman" w:eastAsia="宋体" w:cs="Times New Roman"/>
          <w:b/>
          <w:bCs/>
          <w:color w:val="auto"/>
          <w:sz w:val="24"/>
          <w:szCs w:val="32"/>
          <w:lang w:eastAsia="zh-CN"/>
        </w:rPr>
        <w:t xml:space="preserve">https://service.miit-eidc.org.cn/miitxxgk/gonggao_xxgk/index_ggcp.html），</w:t>
      </w:r>
      <w:r>
        <w:rPr>
          <w:rFonts w:hint="eastAsia" w:ascii="Times New Roman" w:hAnsi="Times New Roman" w:eastAsia="宋体" w:cs="Times New Roman"/>
          <w:b/>
          <w:bCs/>
          <w:color w:val="auto"/>
          <w:sz w:val="24"/>
          <w:szCs w:val="32"/>
        </w:rPr>
        <w:t xml:space="preserve">加盖投标人电子签章</w:t>
      </w:r>
      <w:r>
        <w:rPr>
          <w:rFonts w:hint="eastAsia" w:ascii="Times New Roman" w:hAnsi="Times New Roman" w:eastAsia="宋体" w:cs="Times New Roman"/>
          <w:b/>
          <w:bCs/>
          <w:color w:val="auto"/>
          <w:sz w:val="24"/>
          <w:szCs w:val="32"/>
          <w:lang w:val="en-US" w:eastAsia="zh-CN"/>
        </w:rPr>
        <w:t xml:space="preserve">作为佐证材料</w:t>
      </w:r>
      <w:r>
        <w:rPr>
          <w:rFonts w:hint="eastAsia" w:ascii="Times New Roman" w:hAnsi="Times New Roman" w:eastAsia="宋体" w:cs="Times New Roman"/>
          <w:b/>
          <w:bCs/>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93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93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1"/>
              </w:numPr>
              <w:ind w:firstLine="420"/>
              <w:jc w:val="both"/>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2"/>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5"/>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9"/>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93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93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1"/>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numPr>
          <w:ilvl w:val="1"/>
          <w:numId w:val="0"/>
        </w:numPr>
        <w:ind w:firstLine="482"/>
        <w:rPr>
          <w:rFonts w:hint="eastAsia" w:ascii="宋体" w:hAnsi="宋体" w:eastAsia="宋体" w:cs="宋体"/>
          <w:b/>
          <w:color w:val="000000"/>
          <w:sz w:val="24"/>
        </w:rPr>
        <w:outlineLvl w:val="1"/>
      </w:pPr>
      <w:r>
        <w:rPr>
          <w:rFonts w:hint="eastAsia" w:ascii="宋体" w:hAnsi="宋体" w:eastAsia="宋体" w:cs="宋体"/>
          <w:b/>
          <w:color w:val="000000"/>
          <w:sz w:val="24"/>
        </w:rPr>
        <w:t xml:space="preserve">投标人负责整个系统的单机和联机调试，并应向上位中央控系统开放通讯协议，上位中央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b/>
          <w:bCs/>
          <w:sz w:val="24"/>
        </w:rPr>
        <w:t xml:space="preserve">投标人的投标文件中须有技术建议书，技术建议书至少包含以下内容</w:t>
      </w:r>
      <w:r>
        <w:rPr>
          <w:rFonts w:hint="eastAsia" w:ascii="宋体" w:hAnsi="宋体" w:eastAsia="宋体" w:cs="宋体"/>
          <w:sz w:val="24"/>
        </w:rPr>
        <w:t xml:space="preserve">：</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8"/>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8"/>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本工程按系统分别考核。工况稳定、生产连续稳定运行，达到设计生产能力的负荷达70%以上，由投标人向采购人提出性能验收，经采购人评定通过后，视为生产性能考核通过。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70"/>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须全程配合土建施工方及采购人要求，完成设备设计/安装/调试/试运行及交付使用。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b/>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w:t>
      </w:r>
      <w:r>
        <w:rPr>
          <w:rFonts w:hint="eastAsia" w:ascii="宋体" w:hAnsi="宋体" w:eastAsia="宋体" w:cs="宋体"/>
          <w:color w:val="000000" w:themeColor="text1"/>
          <w:sz w:val="24"/>
          <w:szCs w:val="24"/>
          <w14:textFill>
            <w14:solidFill>
              <w14:schemeClr w14:val="tx1"/>
            </w14:solidFill>
          </w14:textFill>
        </w:rPr>
        <w:t xml:space="preserve">告。</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7、一旦我方中标，我方拟派出项目负责人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姓名</w:t>
      </w:r>
      <w:r>
        <w:rPr>
          <w:rFonts w:hint="eastAsia" w:ascii="宋体" w:hAnsi="宋体" w:eastAsia="宋体" w:cs="宋体"/>
          <w:color w:val="000000" w:themeColor="text1"/>
          <w:sz w:val="24"/>
          <w:szCs w:val="24"/>
          <w:lang w:val="en-US" w:eastAsia="zh-CN"/>
          <w14:textFill>
            <w14:solidFill>
              <w14:schemeClr w14:val="tx1"/>
            </w14:solidFill>
          </w14:textFill>
        </w:rPr>
        <w:t xml:space="preserve">，全面保证按合同协议书中规定的工期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日历天内完成所有设备供货、安装、调试。</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93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93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437"/>
        <w:gridCol w:w="1029"/>
        <w:gridCol w:w="1370"/>
      </w:tblGrid>
      <w:tr>
        <w:trPr>
          <w:trHeight w:val="794"/>
        </w:trPr>
        <w:tc>
          <w:tcPr>
            <w:tcMar>
              <w:left w:w="108" w:type="dxa"/>
              <w:top w:w="0" w:type="dxa"/>
              <w:right w:w="108" w:type="dxa"/>
              <w:bottom w:w="0" w:type="dxa"/>
            </w:tcMar>
            <w:tcW w:w="514" w:type="dxa"/>
            <w:vAlign w:val="center"/>
            <w:textDirection w:val="lrTb"/>
            <w:noWrap w:val="false"/>
          </w:tcPr>
          <w:p>
            <w:pPr>
              <w:rPr>
                <w:rFonts w:hint="eastAsia"/>
              </w:rPr>
            </w:pPr>
            <w:r>
              <w:rPr>
                <w:rFonts w:hint="eastAsia"/>
              </w:rPr>
              <w:t xml:space="preserve">序号</w:t>
            </w:r>
            <w:r/>
          </w:p>
        </w:tc>
        <w:tc>
          <w:tcPr>
            <w:gridSpan w:val="2"/>
            <w:tcMar>
              <w:left w:w="108" w:type="dxa"/>
              <w:top w:w="0" w:type="dxa"/>
              <w:right w:w="108" w:type="dxa"/>
              <w:bottom w:w="0" w:type="dxa"/>
            </w:tcMar>
            <w:tcW w:w="3166" w:type="dxa"/>
            <w:vAlign w:val="center"/>
            <w:textDirection w:val="lrTb"/>
            <w:noWrap w:val="false"/>
          </w:tcPr>
          <w:p>
            <w:pPr>
              <w:rPr>
                <w:rFonts w:hint="eastAsia"/>
              </w:rPr>
            </w:pPr>
            <w:r>
              <w:rPr>
                <w:rFonts w:hint="eastAsia"/>
              </w:rPr>
              <w:t xml:space="preserve">偏离内容</w:t>
            </w:r>
            <w:r/>
          </w:p>
        </w:tc>
        <w:tc>
          <w:tcPr>
            <w:tcMar>
              <w:left w:w="108" w:type="dxa"/>
              <w:top w:w="0" w:type="dxa"/>
              <w:right w:w="108" w:type="dxa"/>
              <w:bottom w:w="0" w:type="dxa"/>
            </w:tcMar>
            <w:tcW w:w="2437" w:type="dxa"/>
            <w:vAlign w:val="center"/>
            <w:textDirection w:val="lrTb"/>
            <w:noWrap w:val="false"/>
          </w:tcPr>
          <w:p>
            <w:pPr>
              <w:rPr>
                <w:rFonts w:hint="eastAsia"/>
              </w:rPr>
            </w:pPr>
            <w:r>
              <w:rPr>
                <w:rFonts w:hint="eastAsia"/>
              </w:rPr>
              <w:t xml:space="preserve">招标文件的要求</w:t>
            </w:r>
            <w:r/>
          </w:p>
        </w:tc>
        <w:tc>
          <w:tcPr>
            <w:tcMar>
              <w:left w:w="108" w:type="dxa"/>
              <w:top w:w="0" w:type="dxa"/>
              <w:right w:w="108" w:type="dxa"/>
              <w:bottom w:w="0" w:type="dxa"/>
            </w:tcMar>
            <w:tcW w:w="1029" w:type="dxa"/>
            <w:vAlign w:val="center"/>
            <w:textDirection w:val="lrTb"/>
            <w:noWrap w:val="false"/>
          </w:tcPr>
          <w:p>
            <w:pPr>
              <w:rPr>
                <w:rFonts w:hint="eastAsia"/>
              </w:rPr>
            </w:pPr>
            <w:r>
              <w:rPr>
                <w:rFonts w:hint="eastAsia"/>
              </w:rPr>
              <w:t xml:space="preserve">投标文件中的内容</w:t>
            </w:r>
            <w:r/>
          </w:p>
        </w:tc>
        <w:tc>
          <w:tcPr>
            <w:tcMar>
              <w:left w:w="108" w:type="dxa"/>
              <w:top w:w="0" w:type="dxa"/>
              <w:right w:w="108" w:type="dxa"/>
              <w:bottom w:w="0" w:type="dxa"/>
            </w:tcMar>
            <w:tcW w:w="1370" w:type="dxa"/>
            <w:vAlign w:val="center"/>
            <w:textDirection w:val="lrTb"/>
            <w:noWrap w:val="false"/>
          </w:tcPr>
          <w:p>
            <w:pPr>
              <w:rPr>
                <w:rFonts w:hint="eastAsia"/>
              </w:rPr>
            </w:pPr>
            <w:r>
              <w:rPr>
                <w:rFonts w:hint="eastAsia"/>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≥600kN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1.1.3压缩机的压缩腔容积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≥7m³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1.2.3卸料槽钢板厚度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≥37×2kW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2.3推料机的最大推力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3.3箱体移位装置平移距离</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≥3000 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4.3其他垃圾集装箱有效容积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6.1.3压缩机的压头自重</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≤8000kg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6.1.3压缩机的压头有效行程</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≥3500mm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6.1.3压缩机的主电机功率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6.2.3卸料溜槽</w:t>
            </w:r>
            <w:r>
              <w:rPr>
                <w:rFonts w:hint="eastAsia"/>
              </w:rPr>
              <w:t xml:space="preserve">操作方式</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液压自动开启</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zh-CN"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驱动方式</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zh-CN"/>
              </w:rPr>
            </w:pPr>
            <w:r>
              <w:rPr>
                <w:rFonts w:hint="eastAsia"/>
                <w:lang w:val="en-US" w:eastAsia="zh-CN"/>
              </w:rPr>
              <w:t xml:space="preserve">伺服液压驱动</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额定翻转能力</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en-US" w:eastAsia="zh-CN"/>
              </w:rPr>
            </w:pPr>
            <w:r>
              <w:rPr>
                <w:rFonts w:hint="eastAsia"/>
                <w:lang w:val="zh-CN" w:eastAsia="zh-CN"/>
              </w:rPr>
              <w:t xml:space="preserve">≥</w:t>
            </w:r>
            <w:r>
              <w:rPr>
                <w:rFonts w:hint="default"/>
                <w:lang w:val="en-US" w:eastAsia="zh-CN"/>
              </w:rPr>
              <w:t xml:space="preserve">20</w:t>
            </w:r>
            <w:r>
              <w:rPr>
                <w:rFonts w:hint="eastAsia"/>
                <w:lang w:val="en-US" w:eastAsia="zh-CN"/>
              </w:rPr>
              <w:t xml:space="preserve">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7.4.3箱体变位机液压系统的电机功率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8.3厨余垃圾集装箱的有效容积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9.2垃圾转运车（燃油车）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1.额定功率：≥250 kW </w:t>
            </w:r>
            <w:r/>
          </w:p>
          <w:p>
            <w:pPr>
              <w:rPr>
                <w:rFonts w:hint="eastAsia"/>
                <w:lang w:val="en-US" w:eastAsia="zh-CN"/>
              </w:rPr>
            </w:pPr>
            <w:r>
              <w:rPr>
                <w:rFonts w:hint="eastAsia"/>
                <w:lang w:val="en-US" w:eastAsia="zh-CN"/>
              </w:rPr>
              <w:t xml:space="preserve">2.外形尺寸（不含箱体）：总长≤10000mm；总宽≤2550mm；总高≤3200mm</w:t>
            </w:r>
            <w:r/>
          </w:p>
          <w:p>
            <w:pPr>
              <w:rPr>
                <w:rFonts w:hint="eastAsia"/>
                <w:lang w:val="en-US" w:eastAsia="zh-CN"/>
              </w:rPr>
            </w:pPr>
            <w:r>
              <w:rPr>
                <w:rFonts w:hint="eastAsia"/>
                <w:lang w:val="en-US" w:eastAsia="zh-CN"/>
              </w:rPr>
              <w:t xml:space="preserve">3.额定载质量：≥18000kg</w:t>
            </w:r>
            <w:r/>
          </w:p>
          <w:p>
            <w:pPr>
              <w:rPr>
                <w:rFonts w:hint="eastAsia"/>
                <w:lang w:val="en-US" w:eastAsia="zh-CN"/>
              </w:rPr>
            </w:pPr>
            <w:r>
              <w:rPr>
                <w:rFonts w:hint="eastAsia"/>
                <w:lang w:val="en-US" w:eastAsia="zh-CN"/>
              </w:rPr>
              <w:t xml:space="preserve">（注：</w:t>
            </w:r>
            <w:r>
              <w:rPr>
                <w:rFonts w:hint="eastAsia"/>
              </w:rPr>
              <w:t xml:space="preserve">需提供道路机动车辆生产企业及产品信息查询系统</w:t>
            </w:r>
            <w:r>
              <w:rPr>
                <w:rFonts w:hint="eastAsia"/>
                <w:lang w:val="en-US" w:eastAsia="zh-CN"/>
              </w:rPr>
              <w:t xml:space="preserve">截图）</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default"/>
                <w:lang w:val="en-US" w:eastAsia="zh-CN"/>
              </w:rPr>
            </w:pPr>
            <w:r>
              <w:rPr>
                <w:rFonts w:hint="eastAsia"/>
                <w:lang w:val="en-US" w:eastAsia="zh-CN"/>
              </w:rPr>
              <w:t xml:space="preserve">9.2垃圾转运车（燃油车）-</w:t>
            </w:r>
            <w:r>
              <w:rPr>
                <w:rFonts w:hint="eastAsia"/>
              </w:rPr>
              <w:t xml:space="preserve">拉臂钩车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为了保证拉臂钩车的运行安全，提高整车的可靠性，拉臂钩采用后滚轮支撑方式或后桥板弹簧支撑方式。▲投标文件中提供带CMA标志的拉载试验检测报告，其中耐久试验循环次数不低于3000次。</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
          <w:bCs/>
          <w:sz w:val="28"/>
          <w:szCs w:val="28"/>
          <w:u w:val="single"/>
        </w:rPr>
        <w:t xml:space="preserve">水平直压式垃圾压缩机</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b/>
          <w:bCs/>
          <w:sz w:val="28"/>
          <w:szCs w:val="28"/>
          <w:u w:val="single"/>
        </w:rPr>
        <w:t xml:space="preserve"> 推料机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b/>
          <w:bCs/>
          <w:sz w:val="28"/>
          <w:szCs w:val="28"/>
          <w:u w:val="single"/>
        </w:rPr>
        <w:t xml:space="preserve"> 其他垃圾集装箱</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b/>
          <w:bCs/>
          <w:sz w:val="28"/>
          <w:szCs w:val="28"/>
          <w:u w:val="single"/>
        </w:rPr>
        <w:t xml:space="preserve"> 竖直直压式压缩机</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b/>
          <w:bCs/>
          <w:sz w:val="28"/>
          <w:szCs w:val="28"/>
        </w:rPr>
        <w:t xml:space="preserve">箱体变位机</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Times New Roman" w:hAnsi="Times New Roman" w:eastAsia="宋体" w:cs="Times New Roman"/>
        </w:rPr>
      </w:pPr>
      <w:r>
        <w:rPr>
          <w:rFonts w:hint="eastAsia" w:ascii="宋体" w:hAnsi="宋体" w:eastAsia="宋体" w:cs="宋体"/>
          <w:sz w:val="28"/>
          <w:szCs w:val="28"/>
        </w:rPr>
        <w:t xml:space="preserve">6.（</w:t>
      </w:r>
      <w:r>
        <w:rPr>
          <w:rFonts w:hint="eastAsia" w:ascii="宋体" w:hAnsi="宋体" w:eastAsia="宋体" w:cs="宋体"/>
          <w:b/>
          <w:bCs/>
          <w:sz w:val="28"/>
          <w:szCs w:val="28"/>
          <w:u w:val="single"/>
        </w:rPr>
        <w:t xml:space="preserve">厨余垃圾集装箱</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firstLine="560"/>
        <w:spacing w:after="120"/>
        <w:rPr>
          <w:rFonts w:hint="default"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b/>
          <w:bCs/>
          <w:sz w:val="28"/>
          <w:szCs w:val="28"/>
          <w:u w:val="single"/>
        </w:rPr>
        <w:t xml:space="preserve">垃圾转运车</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18"/>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8"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JSZC-320303-ZYAH-G2026-0004</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eastAsia="zh-CN"/>
        </w:rPr>
        <w:t xml:space="preserve">九、</w:t>
      </w:r>
      <w:r>
        <w:rPr>
          <w:rFonts w:hint="eastAsia" w:ascii="宋体" w:hAnsi="宋体" w:eastAsia="宋体" w:cs="宋体"/>
          <w:b/>
          <w:bCs/>
          <w:color w:val="000000"/>
          <w:sz w:val="32"/>
          <w:szCs w:val="32"/>
        </w:rPr>
        <w:t xml:space="preserve">具备履行合同所必需的设备和专业技术能力的书面声明</w:t>
      </w:r>
      <w:r/>
    </w:p>
    <w:p>
      <w:pPr>
        <w:ind w:firstLine="0"/>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项目名称： </w:t>
      </w:r>
      <w:r/>
    </w:p>
    <w:p>
      <w:pPr>
        <w:ind w:firstLine="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p>
    <w:p>
      <w:pPr>
        <w:ind w:firstLine="360"/>
        <w:jc w:val="left"/>
        <w:spacing w:line="360" w:lineRule="auto"/>
        <w:widowControl w:val="off"/>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r>
      <w:r/>
    </w:p>
    <w:p>
      <w:pPr>
        <w:ind w:firstLine="0"/>
        <w:spacing w:line="360" w:lineRule="auto"/>
        <w:rPr>
          <w:rFonts w:ascii="宋体" w:hAnsi="宋体" w:eastAsia="宋体" w:cs="宋体"/>
          <w:sz w:val="24"/>
        </w:rPr>
      </w:pPr>
      <w:r>
        <w:rPr>
          <w:rFonts w:hint="eastAsia" w:ascii="宋体" w:hAnsi="宋体" w:eastAsia="宋体" w:cs="宋体"/>
          <w:sz w:val="24"/>
        </w:rPr>
        <w:t xml:space="preserve">本单位郑重声明：本单位具备履行合同（项目名称：</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，项目编号：JSZC-320303-ZYAH-G2026-0004）所必需的设备和专业技术能力，具体为：</w:t>
      </w:r>
      <w:r/>
    </w:p>
    <w:p>
      <w:pPr>
        <w:ind w:firstLine="0"/>
        <w:spacing w:line="360" w:lineRule="auto"/>
        <w:rPr>
          <w:rFonts w:ascii="宋体" w:hAnsi="宋体" w:eastAsia="宋体" w:cs="宋体"/>
          <w:sz w:val="24"/>
        </w:rPr>
      </w:pPr>
      <w:r>
        <w:rPr>
          <w:rFonts w:hint="eastAsia" w:ascii="宋体" w:hAnsi="宋体" w:eastAsia="宋体" w:cs="宋体"/>
          <w:sz w:val="24"/>
        </w:rPr>
        <w:t xml:space="preserve">设备：</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专业技术能力：</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特此声明。</w:t>
      </w:r>
      <w:r/>
    </w:p>
    <w:p>
      <w:pPr>
        <w:ind w:firstLine="0"/>
        <w:spacing w:line="360" w:lineRule="auto"/>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0"/>
        <w:spacing w:line="360" w:lineRule="auto"/>
        <w:rPr>
          <w:rFonts w:ascii="宋体" w:hAnsi="宋体" w:eastAsia="宋体" w:cs="宋体"/>
          <w:sz w:val="24"/>
        </w:rPr>
      </w:pPr>
      <w:r>
        <w:rPr>
          <w:rFonts w:ascii="宋体" w:hAnsi="宋体" w:eastAsia="宋体" w:cs="宋体"/>
          <w:sz w:val="24"/>
        </w:rPr>
      </w:r>
      <w:r/>
    </w:p>
    <w:p>
      <w:pPr>
        <w:ind w:left="0" w:firstLine="0"/>
        <w:spacing w:line="360" w:lineRule="auto"/>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0"/>
        <w:spacing w:line="360" w:lineRule="auto"/>
        <w:rPr>
          <w:rFonts w:ascii="宋体" w:hAnsi="宋体" w:eastAsia="宋体" w:cs="宋体"/>
          <w:sz w:val="24"/>
        </w:rPr>
      </w:pPr>
      <w:r>
        <w:rPr>
          <w:rFonts w:hint="eastAsia" w:ascii="宋体" w:hAnsi="宋体" w:eastAsia="宋体" w:cs="宋体"/>
          <w:sz w:val="24"/>
        </w:rPr>
        <w:t xml:space="preserve">                         </w:t>
      </w:r>
      <w:r/>
    </w:p>
    <w:p>
      <w:pPr>
        <w:ind w:firstLine="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十一</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Times New Roman">
    <w:panose1 w:val="02020603050405020304"/>
  </w:font>
  <w:font w:name="宋体">
    <w:panose1 w:val="02010600030101010101"/>
  </w:font>
  <w:font w:name="仿宋_GB2312">
    <w:panose1 w:val="0201060906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5">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2">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8">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9">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4">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9">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8"/>
  </w:num>
  <w:num w:numId="2">
    <w:abstractNumId w:val="9"/>
  </w:num>
  <w:num w:numId="3">
    <w:abstractNumId w:val="20"/>
  </w:num>
  <w:num w:numId="4">
    <w:abstractNumId w:val="57"/>
  </w:num>
  <w:num w:numId="5">
    <w:abstractNumId w:val="17"/>
  </w:num>
  <w:num w:numId="6">
    <w:abstractNumId w:val="13"/>
  </w:num>
  <w:num w:numId="7">
    <w:abstractNumId w:val="31"/>
  </w:num>
  <w:num w:numId="8">
    <w:abstractNumId w:val="42"/>
  </w:num>
  <w:num w:numId="9">
    <w:abstractNumId w:val="64"/>
  </w:num>
  <w:num w:numId="10">
    <w:abstractNumId w:val="29"/>
  </w:num>
  <w:num w:numId="11">
    <w:abstractNumId w:val="5"/>
  </w:num>
  <w:num w:numId="12">
    <w:abstractNumId w:val="43"/>
  </w:num>
  <w:num w:numId="13">
    <w:abstractNumId w:val="58"/>
  </w:num>
  <w:num w:numId="14">
    <w:abstractNumId w:val="19"/>
  </w:num>
  <w:num w:numId="15">
    <w:abstractNumId w:val="54"/>
  </w:num>
  <w:num w:numId="16">
    <w:abstractNumId w:val="26"/>
  </w:num>
  <w:num w:numId="17">
    <w:abstractNumId w:val="41"/>
  </w:num>
  <w:num w:numId="18">
    <w:abstractNumId w:val="23"/>
  </w:num>
  <w:num w:numId="19">
    <w:abstractNumId w:val="22"/>
  </w:num>
  <w:num w:numId="20">
    <w:abstractNumId w:val="7"/>
  </w:num>
  <w:num w:numId="21">
    <w:abstractNumId w:val="52"/>
  </w:num>
  <w:num w:numId="22">
    <w:abstractNumId w:val="61"/>
  </w:num>
  <w:num w:numId="23">
    <w:abstractNumId w:val="34"/>
  </w:num>
  <w:num w:numId="24">
    <w:abstractNumId w:val="51"/>
  </w:num>
  <w:num w:numId="25">
    <w:abstractNumId w:val="10"/>
  </w:num>
  <w:num w:numId="26">
    <w:abstractNumId w:val="68"/>
  </w:num>
  <w:num w:numId="27">
    <w:abstractNumId w:val="66"/>
  </w:num>
  <w:num w:numId="28">
    <w:abstractNumId w:val="16"/>
  </w:num>
  <w:num w:numId="29">
    <w:abstractNumId w:val="62"/>
  </w:num>
  <w:num w:numId="30">
    <w:abstractNumId w:val="6"/>
  </w:num>
  <w:num w:numId="31">
    <w:abstractNumId w:val="48"/>
  </w:num>
  <w:num w:numId="32">
    <w:abstractNumId w:val="2"/>
  </w:num>
  <w:num w:numId="33">
    <w:abstractNumId w:val="56"/>
  </w:num>
  <w:num w:numId="34">
    <w:abstractNumId w:val="69"/>
  </w:num>
  <w:num w:numId="35">
    <w:abstractNumId w:val="0"/>
  </w:num>
  <w:num w:numId="36">
    <w:abstractNumId w:val="40"/>
  </w:num>
  <w:num w:numId="37">
    <w:abstractNumId w:val="55"/>
  </w:num>
  <w:num w:numId="38">
    <w:abstractNumId w:val="27"/>
  </w:num>
  <w:num w:numId="39">
    <w:abstractNumId w:val="24"/>
  </w:num>
  <w:num w:numId="40">
    <w:abstractNumId w:val="44"/>
  </w:num>
  <w:num w:numId="41">
    <w:abstractNumId w:val="67"/>
  </w:num>
  <w:num w:numId="42">
    <w:abstractNumId w:val="15"/>
  </w:num>
  <w:num w:numId="43">
    <w:abstractNumId w:val="4"/>
  </w:num>
  <w:num w:numId="44">
    <w:abstractNumId w:val="14"/>
  </w:num>
  <w:num w:numId="45">
    <w:abstractNumId w:val="59"/>
  </w:num>
  <w:num w:numId="46">
    <w:abstractNumId w:val="1"/>
  </w:num>
  <w:num w:numId="47">
    <w:abstractNumId w:val="37"/>
  </w:num>
  <w:num w:numId="48">
    <w:abstractNumId w:val="3"/>
  </w:num>
  <w:num w:numId="49">
    <w:abstractNumId w:val="60"/>
  </w:num>
  <w:num w:numId="50">
    <w:abstractNumId w:val="65"/>
  </w:num>
  <w:num w:numId="51">
    <w:abstractNumId w:val="53"/>
  </w:num>
  <w:num w:numId="52">
    <w:abstractNumId w:val="45"/>
  </w:num>
  <w:num w:numId="53">
    <w:abstractNumId w:val="63"/>
  </w:num>
  <w:num w:numId="54">
    <w:abstractNumId w:val="32"/>
  </w:num>
  <w:num w:numId="55">
    <w:abstractNumId w:val="33"/>
  </w:num>
  <w:num w:numId="56">
    <w:abstractNumId w:val="21"/>
  </w:num>
  <w:num w:numId="57">
    <w:abstractNumId w:val="46"/>
  </w:num>
  <w:num w:numId="58">
    <w:abstractNumId w:val="38"/>
  </w:num>
  <w:num w:numId="59">
    <w:abstractNumId w:val="25"/>
  </w:num>
  <w:num w:numId="60">
    <w:abstractNumId w:val="39"/>
  </w:num>
  <w:num w:numId="61">
    <w:abstractNumId w:val="12"/>
  </w:num>
  <w:num w:numId="62">
    <w:abstractNumId w:val="50"/>
  </w:num>
  <w:num w:numId="63">
    <w:abstractNumId w:val="35"/>
  </w:num>
  <w:num w:numId="64">
    <w:abstractNumId w:val="47"/>
  </w:num>
  <w:num w:numId="65">
    <w:abstractNumId w:val="30"/>
  </w:num>
  <w:num w:numId="66">
    <w:abstractNumId w:val="18"/>
  </w:num>
  <w:num w:numId="67">
    <w:abstractNumId w:val="36"/>
  </w:num>
  <w:num w:numId="68">
    <w:abstractNumId w:val="11"/>
  </w:num>
  <w:num w:numId="69">
    <w:abstractNumId w:val="49"/>
  </w:num>
  <w:num w:numId="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29">
    <w:name w:val="Heading 1"/>
    <w:basedOn w:val="928"/>
    <w:next w:val="928"/>
    <w:link w:val="961"/>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962"/>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96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964"/>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965"/>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66"/>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68"/>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69"/>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0"/>
    <w:semiHidden/>
    <w:qFormat/>
  </w:style>
  <w:style w:type="table" w:styleId="939" w:default="1">
    <w:name w:val="Normal Table"/>
    <w:uiPriority w:val="0"/>
    <w:semiHidden/>
    <w:qFormat/>
    <w:tblPr>
      <w:tblCellMar>
        <w:left w:w="108" w:type="dxa"/>
        <w:top w:w="0" w:type="dxa"/>
        <w:right w:w="108" w:type="dxa"/>
        <w:bottom w:w="0" w:type="dxa"/>
      </w:tblCellMar>
    </w:tblPr>
  </w:style>
  <w:style w:type="paragraph" w:styleId="940">
    <w:name w:val="toc 7"/>
    <w:basedOn w:val="928"/>
    <w:next w:val="928"/>
    <w:uiPriority w:val="39"/>
    <w:unhideWhenUsed/>
    <w:qFormat/>
    <w:pPr>
      <w:ind w:left="1701" w:right="0" w:firstLine="0"/>
      <w:spacing w:after="57"/>
    </w:pPr>
  </w:style>
  <w:style w:type="paragraph" w:styleId="941">
    <w:name w:val="Caption"/>
    <w:basedOn w:val="928"/>
    <w:next w:val="9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2">
    <w:name w:val="toc 5"/>
    <w:basedOn w:val="928"/>
    <w:next w:val="928"/>
    <w:uiPriority w:val="39"/>
    <w:unhideWhenUsed/>
    <w:qFormat/>
    <w:pPr>
      <w:ind w:left="1134" w:right="0" w:firstLine="0"/>
      <w:spacing w:after="57"/>
    </w:pPr>
  </w:style>
  <w:style w:type="paragraph" w:styleId="943">
    <w:name w:val="toc 3"/>
    <w:basedOn w:val="928"/>
    <w:next w:val="928"/>
    <w:uiPriority w:val="39"/>
    <w:unhideWhenUsed/>
    <w:qFormat/>
    <w:pPr>
      <w:ind w:left="567" w:right="0" w:firstLine="0"/>
      <w:spacing w:after="57"/>
    </w:pPr>
  </w:style>
  <w:style w:type="paragraph" w:styleId="944">
    <w:name w:val="toc 8"/>
    <w:basedOn w:val="928"/>
    <w:next w:val="928"/>
    <w:uiPriority w:val="39"/>
    <w:unhideWhenUsed/>
    <w:qFormat/>
    <w:pPr>
      <w:ind w:left="1984" w:right="0" w:firstLine="0"/>
      <w:spacing w:after="57"/>
    </w:pPr>
  </w:style>
  <w:style w:type="paragraph" w:styleId="945">
    <w:name w:val="endnote text"/>
    <w:basedOn w:val="928"/>
    <w:link w:val="1107"/>
    <w:uiPriority w:val="99"/>
    <w:semiHidden/>
    <w:unhideWhenUsed/>
    <w:qFormat/>
    <w:pPr>
      <w:spacing w:after="0" w:line="240" w:lineRule="auto"/>
    </w:pPr>
    <w:rPr>
      <w:sz w:val="20"/>
    </w:rPr>
  </w:style>
  <w:style w:type="paragraph" w:styleId="946">
    <w:name w:val="Footer"/>
    <w:basedOn w:val="928"/>
    <w:link w:val="980"/>
    <w:uiPriority w:val="99"/>
    <w:unhideWhenUsed/>
    <w:qFormat/>
    <w:pPr>
      <w:spacing w:after="0" w:line="240" w:lineRule="auto"/>
      <w:tabs>
        <w:tab w:val="center" w:pos="7143" w:leader="none"/>
        <w:tab w:val="right" w:pos="14287" w:leader="none"/>
      </w:tabs>
    </w:pPr>
  </w:style>
  <w:style w:type="paragraph" w:styleId="947">
    <w:name w:val="Header"/>
    <w:basedOn w:val="928"/>
    <w:link w:val="978"/>
    <w:uiPriority w:val="99"/>
    <w:unhideWhenUsed/>
    <w:qFormat/>
    <w:pPr>
      <w:spacing w:after="0" w:line="240" w:lineRule="auto"/>
      <w:tabs>
        <w:tab w:val="center" w:pos="7143" w:leader="none"/>
        <w:tab w:val="right" w:pos="14287" w:leader="none"/>
      </w:tabs>
    </w:pPr>
  </w:style>
  <w:style w:type="paragraph" w:styleId="948">
    <w:name w:val="toc 1"/>
    <w:basedOn w:val="928"/>
    <w:next w:val="928"/>
    <w:uiPriority w:val="39"/>
    <w:unhideWhenUsed/>
    <w:qFormat/>
    <w:pPr>
      <w:ind w:left="0" w:right="0" w:firstLine="0"/>
      <w:spacing w:after="57"/>
    </w:pPr>
  </w:style>
  <w:style w:type="paragraph" w:styleId="949">
    <w:name w:val="toc 4"/>
    <w:basedOn w:val="928"/>
    <w:next w:val="928"/>
    <w:uiPriority w:val="39"/>
    <w:unhideWhenUsed/>
    <w:qFormat/>
    <w:pPr>
      <w:ind w:left="850" w:right="0" w:firstLine="0"/>
      <w:spacing w:after="57"/>
    </w:pPr>
  </w:style>
  <w:style w:type="paragraph" w:styleId="950">
    <w:name w:val="Subtitle"/>
    <w:basedOn w:val="928"/>
    <w:next w:val="928"/>
    <w:link w:val="973"/>
    <w:uiPriority w:val="11"/>
    <w:qFormat/>
    <w:pPr>
      <w:spacing w:before="200" w:after="200"/>
    </w:pPr>
    <w:rPr>
      <w:sz w:val="24"/>
      <w:szCs w:val="24"/>
    </w:rPr>
  </w:style>
  <w:style w:type="paragraph" w:styleId="951">
    <w:name w:val="footnote text"/>
    <w:basedOn w:val="928"/>
    <w:link w:val="1106"/>
    <w:uiPriority w:val="99"/>
    <w:semiHidden/>
    <w:unhideWhenUsed/>
    <w:qFormat/>
    <w:pPr>
      <w:spacing w:after="40" w:line="240" w:lineRule="auto"/>
    </w:pPr>
    <w:rPr>
      <w:sz w:val="18"/>
    </w:rPr>
  </w:style>
  <w:style w:type="paragraph" w:styleId="952">
    <w:name w:val="toc 6"/>
    <w:basedOn w:val="928"/>
    <w:next w:val="928"/>
    <w:uiPriority w:val="39"/>
    <w:unhideWhenUsed/>
    <w:qFormat/>
    <w:pPr>
      <w:ind w:left="1417" w:right="0" w:firstLine="0"/>
      <w:spacing w:after="57"/>
    </w:pPr>
  </w:style>
  <w:style w:type="paragraph" w:styleId="953">
    <w:name w:val="table of figures"/>
    <w:basedOn w:val="928"/>
    <w:next w:val="928"/>
    <w:uiPriority w:val="99"/>
    <w:unhideWhenUsed/>
    <w:qFormat/>
    <w:pPr>
      <w:spacing w:after="0" w:afterAutospacing="0"/>
    </w:pPr>
  </w:style>
  <w:style w:type="paragraph" w:styleId="954">
    <w:name w:val="toc 2"/>
    <w:basedOn w:val="928"/>
    <w:next w:val="928"/>
    <w:uiPriority w:val="39"/>
    <w:unhideWhenUsed/>
    <w:qFormat/>
    <w:pPr>
      <w:ind w:left="283" w:right="0" w:firstLine="0"/>
      <w:spacing w:after="57"/>
    </w:pPr>
  </w:style>
  <w:style w:type="paragraph" w:styleId="955">
    <w:name w:val="toc 9"/>
    <w:basedOn w:val="928"/>
    <w:next w:val="928"/>
    <w:uiPriority w:val="39"/>
    <w:unhideWhenUsed/>
    <w:qFormat/>
    <w:pPr>
      <w:ind w:left="2268" w:right="0" w:firstLine="0"/>
      <w:spacing w:after="57"/>
    </w:pPr>
  </w:style>
  <w:style w:type="paragraph" w:styleId="956">
    <w:name w:val="Title"/>
    <w:basedOn w:val="928"/>
    <w:next w:val="928"/>
    <w:link w:val="972"/>
    <w:uiPriority w:val="10"/>
    <w:qFormat/>
    <w:pPr>
      <w:contextualSpacing/>
      <w:spacing w:before="300" w:after="200"/>
    </w:pPr>
    <w:rPr>
      <w:sz w:val="48"/>
      <w:szCs w:val="48"/>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basedOn w:val="938"/>
    <w:uiPriority w:val="99"/>
    <w:semiHidden/>
    <w:unhideWhenUsed/>
    <w:qFormat/>
    <w:rPr>
      <w:vertAlign w:val="superscript"/>
    </w:rPr>
  </w:style>
  <w:style w:type="character" w:styleId="959">
    <w:name w:val="Hyperlink"/>
    <w:uiPriority w:val="99"/>
    <w:unhideWhenUsed/>
    <w:qFormat/>
    <w:rPr>
      <w:color w:val="0026e5" w:themeColor="hyperlink"/>
      <w:u w:val="single"/>
      <w14:textFill>
        <w14:solidFill>
          <w14:schemeClr w14:val="hlink"/>
        </w14:solidFill>
      </w14:textFill>
    </w:rPr>
  </w:style>
  <w:style w:type="character" w:styleId="960">
    <w:name w:val="footnote reference"/>
    <w:basedOn w:val="938"/>
    <w:uiPriority w:val="99"/>
    <w:unhideWhenUsed/>
    <w:qFormat/>
    <w:rPr>
      <w:vertAlign w:val="superscript"/>
    </w:rPr>
  </w:style>
  <w:style w:type="character" w:styleId="961" w:customStyle="1">
    <w:name w:val="Heading 1 Char"/>
    <w:basedOn w:val="938"/>
    <w:link w:val="929"/>
    <w:uiPriority w:val="9"/>
    <w:qFormat/>
    <w:rPr>
      <w:rFonts w:ascii="Arial" w:hAnsi="Arial" w:eastAsia="Arial" w:cs="Arial"/>
      <w:sz w:val="40"/>
      <w:szCs w:val="40"/>
    </w:rPr>
  </w:style>
  <w:style w:type="character" w:styleId="962" w:customStyle="1">
    <w:name w:val="Heading 2 Char"/>
    <w:basedOn w:val="938"/>
    <w:link w:val="930"/>
    <w:uiPriority w:val="9"/>
    <w:qFormat/>
    <w:rPr>
      <w:rFonts w:ascii="Arial" w:hAnsi="Arial" w:eastAsia="Arial" w:cs="Arial"/>
      <w:sz w:val="34"/>
    </w:rPr>
  </w:style>
  <w:style w:type="character" w:styleId="963" w:customStyle="1">
    <w:name w:val="Heading 3 Char"/>
    <w:basedOn w:val="938"/>
    <w:link w:val="931"/>
    <w:uiPriority w:val="9"/>
    <w:qFormat/>
    <w:rPr>
      <w:rFonts w:ascii="Arial" w:hAnsi="Arial" w:eastAsia="Arial" w:cs="Arial"/>
      <w:sz w:val="30"/>
      <w:szCs w:val="30"/>
    </w:rPr>
  </w:style>
  <w:style w:type="character" w:styleId="964" w:customStyle="1">
    <w:name w:val="Heading 4 Char"/>
    <w:basedOn w:val="938"/>
    <w:link w:val="932"/>
    <w:uiPriority w:val="9"/>
    <w:qFormat/>
    <w:rPr>
      <w:rFonts w:ascii="Arial" w:hAnsi="Arial" w:eastAsia="Arial" w:cs="Arial"/>
      <w:b/>
      <w:bCs/>
      <w:sz w:val="26"/>
      <w:szCs w:val="26"/>
    </w:rPr>
  </w:style>
  <w:style w:type="character" w:styleId="965" w:customStyle="1">
    <w:name w:val="Heading 5 Char"/>
    <w:basedOn w:val="938"/>
    <w:link w:val="933"/>
    <w:uiPriority w:val="9"/>
    <w:qFormat/>
    <w:rPr>
      <w:rFonts w:ascii="Arial" w:hAnsi="Arial" w:eastAsia="Arial" w:cs="Arial"/>
      <w:b/>
      <w:bCs/>
      <w:sz w:val="24"/>
      <w:szCs w:val="24"/>
    </w:rPr>
  </w:style>
  <w:style w:type="character" w:styleId="966" w:customStyle="1">
    <w:name w:val="Heading 6 Char"/>
    <w:basedOn w:val="938"/>
    <w:link w:val="934"/>
    <w:uiPriority w:val="9"/>
    <w:qFormat/>
    <w:rPr>
      <w:rFonts w:ascii="Arial" w:hAnsi="Arial" w:eastAsia="Arial" w:cs="Arial"/>
      <w:b/>
      <w:bCs/>
      <w:sz w:val="22"/>
      <w:szCs w:val="22"/>
    </w:rPr>
  </w:style>
  <w:style w:type="character" w:styleId="967" w:customStyle="1">
    <w:name w:val="Heading 7 Char"/>
    <w:basedOn w:val="938"/>
    <w:link w:val="935"/>
    <w:uiPriority w:val="9"/>
    <w:qFormat/>
    <w:rPr>
      <w:rFonts w:ascii="Arial" w:hAnsi="Arial" w:eastAsia="Arial" w:cs="Arial"/>
      <w:b/>
      <w:bCs/>
      <w:i/>
      <w:iCs/>
      <w:sz w:val="22"/>
      <w:szCs w:val="22"/>
    </w:rPr>
  </w:style>
  <w:style w:type="character" w:styleId="968" w:customStyle="1">
    <w:name w:val="Heading 8 Char"/>
    <w:basedOn w:val="938"/>
    <w:link w:val="936"/>
    <w:uiPriority w:val="9"/>
    <w:qFormat/>
    <w:rPr>
      <w:rFonts w:ascii="Arial" w:hAnsi="Arial" w:eastAsia="Arial" w:cs="Arial"/>
      <w:i/>
      <w:iCs/>
      <w:sz w:val="22"/>
      <w:szCs w:val="22"/>
    </w:rPr>
  </w:style>
  <w:style w:type="character" w:styleId="969" w:customStyle="1">
    <w:name w:val="Heading 9 Char"/>
    <w:basedOn w:val="938"/>
    <w:link w:val="937"/>
    <w:uiPriority w:val="9"/>
    <w:qFormat/>
    <w:rPr>
      <w:rFonts w:ascii="Arial" w:hAnsi="Arial" w:eastAsia="Arial" w:cs="Arial"/>
      <w:i/>
      <w:iCs/>
      <w:sz w:val="21"/>
      <w:szCs w:val="21"/>
    </w:rPr>
  </w:style>
  <w:style w:type="paragraph" w:styleId="970">
    <w:name w:val="List Paragraph"/>
    <w:basedOn w:val="928"/>
    <w:uiPriority w:val="34"/>
    <w:qFormat/>
    <w:pPr>
      <w:contextualSpacing/>
      <w:ind w:left="720"/>
    </w:pPr>
  </w:style>
  <w:style w:type="paragraph" w:styleId="971">
    <w:name w:val="No Spacing"/>
    <w:uiPriority w:val="1"/>
    <w:qFormat/>
    <w:pPr>
      <w:spacing w:before="0" w:after="0" w:line="240" w:lineRule="auto"/>
    </w:pPr>
    <w:rPr>
      <w:rFonts w:hint="default" w:asciiTheme="minorHAnsi" w:hAnsiTheme="minorHAnsi" w:eastAsiaTheme="minorEastAsia" w:cstheme="minorBidi"/>
    </w:rPr>
  </w:style>
  <w:style w:type="character" w:styleId="972" w:customStyle="1">
    <w:name w:val="Title Char"/>
    <w:basedOn w:val="938"/>
    <w:link w:val="956"/>
    <w:uiPriority w:val="10"/>
    <w:qFormat/>
    <w:rPr>
      <w:sz w:val="48"/>
      <w:szCs w:val="48"/>
    </w:rPr>
  </w:style>
  <w:style w:type="character" w:styleId="973" w:customStyle="1">
    <w:name w:val="Subtitle Char"/>
    <w:basedOn w:val="938"/>
    <w:link w:val="950"/>
    <w:uiPriority w:val="11"/>
    <w:qFormat/>
    <w:rPr>
      <w:sz w:val="24"/>
      <w:szCs w:val="24"/>
    </w:rPr>
  </w:style>
  <w:style w:type="paragraph" w:styleId="974">
    <w:name w:val="Quote"/>
    <w:basedOn w:val="928"/>
    <w:next w:val="928"/>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28"/>
    <w:next w:val="928"/>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basedOn w:val="938"/>
    <w:link w:val="947"/>
    <w:uiPriority w:val="99"/>
    <w:qFormat/>
  </w:style>
  <w:style w:type="character" w:styleId="979" w:customStyle="1">
    <w:name w:val="Footer Char"/>
    <w:basedOn w:val="938"/>
    <w:link w:val="946"/>
    <w:uiPriority w:val="99"/>
    <w:qFormat/>
  </w:style>
  <w:style w:type="character" w:styleId="980" w:customStyle="1">
    <w:name w:val="Caption Char"/>
    <w:link w:val="946"/>
    <w:uiPriority w:val="99"/>
    <w:qFormat/>
  </w:style>
  <w:style w:type="table" w:styleId="981" w:customStyle="1">
    <w:name w:val="Table Grid Light"/>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0" w:customStyle="1">
    <w:name w:val="Grid Table 2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1"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basedOn w:val="9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0" w:customStyle="1">
    <w:name w:val="Grid Table 4 - Accent 2"/>
    <w:basedOn w:val="9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1" w:customStyle="1">
    <w:name w:val="Grid Table 4 - Accent 3"/>
    <w:basedOn w:val="9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2" w:customStyle="1">
    <w:name w:val="Grid Table 4 - Accent 4"/>
    <w:basedOn w:val="9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3" w:customStyle="1">
    <w:name w:val="Grid Table 4 - Accent 5"/>
    <w:basedOn w:val="9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4" w:customStyle="1">
    <w:name w:val="Grid Table 4 - Accent 6"/>
    <w:basedOn w:val="9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5"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7" w:customStyle="1">
    <w:name w:val="Grid Table 5 Dark - Accent 2"/>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8" w:customStyle="1">
    <w:name w:val="Grid Table 5 Dark - Accent 3"/>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9" w:customStyle="1">
    <w:name w:val="Grid Table 5 Dark- Accent 4"/>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0" w:customStyle="1">
    <w:name w:val="Grid Table 5 Dark - Accent 5"/>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1" w:customStyle="1">
    <w:name w:val="Grid Table 5 Dark - Accent 6"/>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2"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basedOn w:val="9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4" w:customStyle="1">
    <w:name w:val="Grid Table 6 Colorful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5" w:customStyle="1">
    <w:name w:val="Grid Table 6 Colorful - Accent 3"/>
    <w:basedOn w:val="9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6" w:customStyle="1">
    <w:name w:val="Grid Table 6 Colorful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7" w:customStyle="1">
    <w:name w:val="Grid Table 6 Colorful - Accent 5"/>
    <w:basedOn w:val="9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8" w:customStyle="1">
    <w:name w:val="Grid Table 6 Colorful - Accent 6"/>
    <w:basedOn w:val="9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9"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basedOn w:val="9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9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9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9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9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9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basedOn w:val="9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basedOn w:val="9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basedOn w:val="9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basedOn w:val="9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basedOn w:val="9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basedOn w:val="9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3"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basedOn w:val="9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5" w:customStyle="1">
    <w:name w:val="List Table 2 - Accent 2"/>
    <w:basedOn w:val="9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6" w:customStyle="1">
    <w:name w:val="List Table 2 - Accent 3"/>
    <w:basedOn w:val="9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7" w:customStyle="1">
    <w:name w:val="List Table 2 - Accent 4"/>
    <w:basedOn w:val="9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8" w:customStyle="1">
    <w:name w:val="List Table 2 - Accent 5"/>
    <w:basedOn w:val="9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9" w:customStyle="1">
    <w:name w:val="List Table 2 - Accent 6"/>
    <w:basedOn w:val="9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0"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basedOn w:val="9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2" w:customStyle="1">
    <w:name w:val="List Table 3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9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9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9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7"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basedOn w:val="9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9" w:customStyle="1">
    <w:name w:val="List Table 4 - Accent 2"/>
    <w:basedOn w:val="9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0" w:customStyle="1">
    <w:name w:val="List Table 4 - Accent 3"/>
    <w:basedOn w:val="9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1" w:customStyle="1">
    <w:name w:val="List Table 4 - Accent 4"/>
    <w:basedOn w:val="9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2" w:customStyle="1">
    <w:name w:val="List Table 4 - Accent 5"/>
    <w:basedOn w:val="9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3" w:customStyle="1">
    <w:name w:val="List Table 4 - Accent 6"/>
    <w:basedOn w:val="9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4"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basedOn w:val="9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basedOn w:val="9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basedOn w:val="9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basedOn w:val="9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basedOn w:val="9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basedOn w:val="9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basedOn w:val="9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3" w:customStyle="1">
    <w:name w:val="List Table 6 Colorful - Accent 2"/>
    <w:basedOn w:val="9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4" w:customStyle="1">
    <w:name w:val="List Table 6 Colorful - Accent 3"/>
    <w:basedOn w:val="9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5" w:customStyle="1">
    <w:name w:val="List Table 6 Colorful - Accent 4"/>
    <w:basedOn w:val="9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6" w:customStyle="1">
    <w:name w:val="List Table 6 Colorful - Accent 5"/>
    <w:basedOn w:val="9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7" w:customStyle="1">
    <w:name w:val="List Table 6 Colorful - Accent 6"/>
    <w:basedOn w:val="9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8"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basedOn w:val="9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basedOn w:val="9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basedOn w:val="9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basedOn w:val="9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basedOn w:val="9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basedOn w:val="9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5" w:customStyle="1">
    <w:name w:val="Lined - Accent"/>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7" w:customStyle="1">
    <w:name w:val="Lined - Accent 2"/>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8" w:customStyle="1">
    <w:name w:val="Lined - Accent 3"/>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9" w:customStyle="1">
    <w:name w:val="Lined - Accent 4"/>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0" w:customStyle="1">
    <w:name w:val="Lined - Accent 5"/>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1" w:customStyle="1">
    <w:name w:val="Lined - Accent 6"/>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2" w:customStyle="1">
    <w:name w:val="Bordered &amp; Lined - Accent"/>
    <w:basedOn w:val="9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basedOn w:val="9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4" w:customStyle="1">
    <w:name w:val="Bordered &amp; Lined - Accent 2"/>
    <w:basedOn w:val="9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5" w:customStyle="1">
    <w:name w:val="Bordered &amp; Lined - Accent 3"/>
    <w:basedOn w:val="9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6" w:customStyle="1">
    <w:name w:val="Bordered &amp; Lined - Accent 4"/>
    <w:basedOn w:val="9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7" w:customStyle="1">
    <w:name w:val="Bordered &amp; Lined - Accent 5"/>
    <w:basedOn w:val="9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8" w:customStyle="1">
    <w:name w:val="Bordered &amp; Lined - Accent 6"/>
    <w:basedOn w:val="9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9" w:customStyle="1">
    <w:name w:val="Bordered"/>
    <w:basedOn w:val="9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1" w:customStyle="1">
    <w:name w:val="Bordered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2" w:customStyle="1">
    <w:name w:val="Bordered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3" w:customStyle="1">
    <w:name w:val="Bordered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4" w:customStyle="1">
    <w:name w:val="Bordered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5" w:customStyle="1">
    <w:name w:val="Bordered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6" w:customStyle="1">
    <w:name w:val="Footnote Text Char"/>
    <w:link w:val="951"/>
    <w:uiPriority w:val="99"/>
    <w:qFormat/>
    <w:rPr>
      <w:sz w:val="18"/>
    </w:rPr>
  </w:style>
  <w:style w:type="character" w:styleId="1107" w:customStyle="1">
    <w:name w:val="Endnote Text Char"/>
    <w:link w:val="945"/>
    <w:uiPriority w:val="99"/>
    <w:qFormat/>
    <w:rPr>
      <w:sz w:val="20"/>
    </w:rPr>
  </w:style>
  <w:style w:type="paragraph" w:styleId="1108" w:customStyle="1">
    <w:name w:val="TOC Heading"/>
    <w:uiPriority w:val="39"/>
    <w:unhideWhenUsed/>
    <w:qFormat/>
    <w:rPr>
      <w:rFonts w:hint="default" w:asciiTheme="minorHAnsi" w:hAnsiTheme="minorHAnsi" w:eastAsiaTheme="minorEastAsia" w:cstheme="minorBidi"/>
    </w:rPr>
  </w:style>
  <w:style w:type="table" w:styleId="1109" w:customStyle="1">
    <w:name w:val="网格型1"/>
    <w:uiPriority w:val="39"/>
    <w:qFormat/>
    <w:tblPr/>
  </w:style>
  <w:style w:type="table" w:styleId="1110" w:customStyle="1">
    <w:name w:val="普通表格1"/>
    <w:uiPriority w:val="99"/>
    <w:unhideWhenUsed/>
    <w:qFormat/>
    <w:tbl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14</cp:revision>
  <dcterms:created xsi:type="dcterms:W3CDTF">2026-06-01T02:32:00Z</dcterms:created>
  <dcterms:modified xsi:type="dcterms:W3CDTF">2026-07-30T01:17:40Z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F866C48010624DD689A115389CE1F7AA_13</vt:lpwstr>
  </property>
  <property fmtid="{D5CDD505-2E9C-101B-9397-08002B2CF9AE}" pid="4" name="KSOTemplateDocerSaveRecord">
    <vt:lpwstr>eyJoZGlkIjoiYWYwY2YzZDgxNmJmNTg4OWJmMjAyOGQ0OWYzMTg2N2EiLCJ1c2VySWQiOiIxMDUyMDcyMTg0In0=</vt:lpwstr>
  </property>
</Properties>
</file>