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803254">
      <w:pPr>
        <w:pStyle w:val="57"/>
        <w:jc w:val="center"/>
        <w:rPr>
          <w:rFonts w:hint="eastAsia" w:ascii="仿宋" w:hAnsi="仿宋" w:eastAsia="仿宋" w:cs="仿宋"/>
          <w:b/>
          <w:color w:val="000000" w:themeColor="text1"/>
          <w:sz w:val="72"/>
          <w:szCs w:val="72"/>
          <w:highlight w:val="none"/>
          <w:shd w:val="clear" w:color="auto" w:fill="FFFFFF"/>
          <w14:textFill>
            <w14:solidFill>
              <w14:schemeClr w14:val="tx1"/>
            </w14:solidFill>
          </w14:textFill>
        </w:rPr>
      </w:pPr>
      <w:bookmarkStart w:id="0" w:name="_Toc26972"/>
      <w:bookmarkStart w:id="1" w:name="_Toc9547"/>
    </w:p>
    <w:p w14:paraId="3960AB50">
      <w:pPr>
        <w:pStyle w:val="57"/>
        <w:jc w:val="center"/>
        <w:rPr>
          <w:rFonts w:hint="eastAsia" w:ascii="仿宋" w:hAnsi="仿宋" w:eastAsia="仿宋" w:cs="仿宋"/>
          <w:b/>
          <w:color w:val="000000" w:themeColor="text1"/>
          <w:sz w:val="72"/>
          <w:szCs w:val="72"/>
          <w:highlight w:val="none"/>
          <w:shd w:val="clear" w:color="auto" w:fill="FFFFFF"/>
          <w14:textFill>
            <w14:solidFill>
              <w14:schemeClr w14:val="tx1"/>
            </w14:solidFill>
          </w14:textFill>
        </w:rPr>
      </w:pPr>
    </w:p>
    <w:p w14:paraId="73888E01">
      <w:pPr>
        <w:pStyle w:val="57"/>
        <w:jc w:val="center"/>
        <w:rPr>
          <w:rFonts w:hint="eastAsia" w:ascii="仿宋" w:hAnsi="仿宋" w:eastAsia="仿宋" w:cs="仿宋"/>
          <w:highlight w:val="none"/>
        </w:rPr>
      </w:pPr>
      <w:r>
        <w:rPr>
          <w:rFonts w:hint="eastAsia" w:ascii="仿宋" w:hAnsi="仿宋" w:eastAsia="仿宋" w:cs="仿宋"/>
          <w:b/>
          <w:color w:val="000000" w:themeColor="text1"/>
          <w:sz w:val="72"/>
          <w:szCs w:val="72"/>
          <w:highlight w:val="none"/>
          <w:shd w:val="clear" w:color="auto" w:fill="FFFFFF"/>
          <w14:textFill>
            <w14:solidFill>
              <w14:schemeClr w14:val="tx1"/>
            </w14:solidFill>
          </w14:textFill>
        </w:rPr>
        <w:t>竞争性磋商文件</w:t>
      </w:r>
      <w:bookmarkEnd w:id="0"/>
      <w:bookmarkEnd w:id="1"/>
    </w:p>
    <w:p w14:paraId="40E575EF">
      <w:pPr>
        <w:pStyle w:val="51"/>
        <w:rPr>
          <w:rFonts w:hint="eastAsia" w:ascii="仿宋" w:hAnsi="仿宋" w:eastAsia="仿宋" w:cs="仿宋"/>
          <w:highlight w:val="none"/>
        </w:rPr>
      </w:pPr>
    </w:p>
    <w:p w14:paraId="7A4B66FB">
      <w:pPr>
        <w:pStyle w:val="57"/>
        <w:rPr>
          <w:rFonts w:hint="eastAsia" w:ascii="仿宋" w:hAnsi="仿宋" w:eastAsia="仿宋" w:cs="仿宋"/>
          <w:highlight w:val="none"/>
        </w:rPr>
      </w:pPr>
    </w:p>
    <w:p w14:paraId="48A73055">
      <w:pPr>
        <w:pStyle w:val="73"/>
        <w:rPr>
          <w:rFonts w:hint="eastAsia" w:ascii="仿宋" w:hAnsi="仿宋" w:eastAsia="仿宋" w:cs="仿宋"/>
          <w:highlight w:val="none"/>
        </w:rPr>
      </w:pPr>
    </w:p>
    <w:p w14:paraId="1B82E37B">
      <w:pPr>
        <w:pStyle w:val="51"/>
        <w:rPr>
          <w:rFonts w:hint="eastAsia" w:ascii="仿宋" w:hAnsi="仿宋" w:eastAsia="仿宋" w:cs="仿宋"/>
          <w:highlight w:val="none"/>
        </w:rPr>
      </w:pPr>
    </w:p>
    <w:p w14:paraId="780B86AF">
      <w:pPr>
        <w:pStyle w:val="57"/>
        <w:rPr>
          <w:rFonts w:hint="eastAsia" w:ascii="仿宋" w:hAnsi="仿宋" w:eastAsia="仿宋" w:cs="仿宋"/>
          <w:highlight w:val="none"/>
        </w:rPr>
      </w:pPr>
    </w:p>
    <w:p w14:paraId="37381ED8">
      <w:pPr>
        <w:pStyle w:val="73"/>
        <w:rPr>
          <w:rFonts w:hint="eastAsia" w:ascii="仿宋" w:hAnsi="仿宋" w:eastAsia="仿宋" w:cs="仿宋"/>
          <w:highlight w:val="none"/>
        </w:rPr>
      </w:pPr>
    </w:p>
    <w:p w14:paraId="744E89C3">
      <w:pPr>
        <w:pStyle w:val="51"/>
        <w:rPr>
          <w:rFonts w:hint="eastAsia" w:ascii="仿宋" w:hAnsi="仿宋" w:eastAsia="仿宋" w:cs="仿宋"/>
          <w:highlight w:val="none"/>
        </w:rPr>
      </w:pPr>
    </w:p>
    <w:p w14:paraId="2BD940B3">
      <w:pPr>
        <w:pStyle w:val="57"/>
        <w:rPr>
          <w:rFonts w:hint="eastAsia" w:ascii="仿宋" w:hAnsi="仿宋" w:eastAsia="仿宋" w:cs="仿宋"/>
          <w:highlight w:val="none"/>
        </w:rPr>
      </w:pPr>
    </w:p>
    <w:p w14:paraId="67E578C4">
      <w:pPr>
        <w:pStyle w:val="49"/>
        <w:pageBreakBefore w:val="0"/>
        <w:spacing w:line="360" w:lineRule="auto"/>
        <w:jc w:val="left"/>
        <w:rPr>
          <w:rFonts w:hint="eastAsia" w:ascii="仿宋" w:hAnsi="仿宋" w:eastAsia="仿宋" w:cs="仿宋"/>
          <w:b/>
          <w:bCs/>
          <w:color w:val="000000" w:themeColor="text1"/>
          <w:sz w:val="30"/>
          <w:szCs w:val="30"/>
          <w:highlight w:val="none"/>
          <w14:textFill>
            <w14:solidFill>
              <w14:schemeClr w14:val="tx1"/>
            </w14:solidFill>
          </w14:textFill>
        </w:rPr>
      </w:pPr>
    </w:p>
    <w:p w14:paraId="52427EA7">
      <w:pPr>
        <w:pStyle w:val="49"/>
        <w:pageBreakBefore w:val="0"/>
        <w:spacing w:line="360" w:lineRule="auto"/>
        <w:ind w:firstLine="301"/>
        <w:jc w:val="left"/>
        <w:rPr>
          <w:rFonts w:hint="eastAsia" w:ascii="仿宋" w:hAnsi="仿宋" w:eastAsia="仿宋" w:cs="仿宋"/>
          <w:b/>
          <w:bCs/>
          <w:color w:val="000000" w:themeColor="text1"/>
          <w:sz w:val="30"/>
          <w:szCs w:val="30"/>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t>项目编号：JSZC-320381-JSSC-C2026-0002</w:t>
      </w:r>
    </w:p>
    <w:p w14:paraId="3974BE74">
      <w:pPr>
        <w:pStyle w:val="49"/>
        <w:pageBreakBefore w:val="0"/>
        <w:spacing w:line="360" w:lineRule="auto"/>
        <w:ind w:left="1806" w:hanging="1506"/>
        <w:jc w:val="left"/>
        <w:rPr>
          <w:rFonts w:hint="default" w:ascii="仿宋" w:hAnsi="仿宋" w:eastAsia="仿宋" w:cs="仿宋"/>
          <w:b/>
          <w:bCs/>
          <w:color w:val="000000" w:themeColor="text1"/>
          <w:sz w:val="30"/>
          <w:szCs w:val="30"/>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项目名称：</w:t>
      </w:r>
      <w:r>
        <w:rPr>
          <w:rFonts w:hint="eastAsia" w:ascii="仿宋" w:hAnsi="仿宋" w:eastAsia="仿宋" w:cs="仿宋"/>
          <w:b/>
          <w:bCs/>
          <w:color w:val="000000" w:themeColor="text1"/>
          <w:sz w:val="30"/>
          <w:szCs w:val="30"/>
          <w:highlight w:val="none"/>
          <w:lang w:eastAsia="zh-CN"/>
          <w14:textFill>
            <w14:solidFill>
              <w14:schemeClr w14:val="tx1"/>
            </w14:solidFill>
          </w14:textFill>
        </w:rPr>
        <w:t>2026年城市污水处理提质增效工程</w:t>
      </w:r>
    </w:p>
    <w:p w14:paraId="0355D5E2">
      <w:pPr>
        <w:pStyle w:val="49"/>
        <w:pageBreakBefore w:val="0"/>
        <w:spacing w:line="360" w:lineRule="auto"/>
        <w:ind w:firstLine="301"/>
        <w:jc w:val="left"/>
        <w:outlineLvl w:val="0"/>
        <w:rPr>
          <w:rFonts w:hint="eastAsia" w:ascii="仿宋" w:hAnsi="仿宋" w:eastAsia="仿宋" w:cs="仿宋"/>
          <w:b/>
          <w:bCs/>
          <w:color w:val="000000" w:themeColor="text1"/>
          <w:sz w:val="30"/>
          <w:szCs w:val="30"/>
          <w:highlight w:val="none"/>
          <w:lang w:eastAsia="zh-CN"/>
          <w14:textFill>
            <w14:solidFill>
              <w14:schemeClr w14:val="tx1"/>
            </w14:solidFill>
          </w14:textFill>
        </w:rPr>
      </w:pPr>
      <w:bookmarkStart w:id="2" w:name="_Toc14550"/>
      <w:bookmarkStart w:id="3" w:name="_Toc13701"/>
      <w:r>
        <w:rPr>
          <w:rFonts w:hint="eastAsia" w:ascii="仿宋" w:hAnsi="仿宋" w:eastAsia="仿宋" w:cs="仿宋"/>
          <w:b/>
          <w:bCs/>
          <w:color w:val="000000" w:themeColor="text1"/>
          <w:sz w:val="30"/>
          <w:szCs w:val="30"/>
          <w:highlight w:val="none"/>
          <w14:textFill>
            <w14:solidFill>
              <w14:schemeClr w14:val="tx1"/>
            </w14:solidFill>
          </w14:textFill>
        </w:rPr>
        <w:t>采购单位：</w:t>
      </w:r>
      <w:bookmarkEnd w:id="2"/>
      <w:r>
        <w:rPr>
          <w:rFonts w:hint="eastAsia" w:ascii="仿宋" w:hAnsi="仿宋" w:eastAsia="仿宋" w:cs="仿宋"/>
          <w:b/>
          <w:bCs/>
          <w:color w:val="000000" w:themeColor="text1"/>
          <w:sz w:val="30"/>
          <w:szCs w:val="30"/>
          <w:highlight w:val="none"/>
          <w:lang w:eastAsia="zh-CN"/>
          <w14:textFill>
            <w14:solidFill>
              <w14:schemeClr w14:val="tx1"/>
            </w14:solidFill>
          </w14:textFill>
        </w:rPr>
        <w:t>新沂市住房和城乡建设局</w:t>
      </w:r>
      <w:bookmarkEnd w:id="3"/>
    </w:p>
    <w:p w14:paraId="207110FE">
      <w:pPr>
        <w:pStyle w:val="58"/>
        <w:rPr>
          <w:rFonts w:hint="eastAsia" w:ascii="仿宋" w:hAnsi="仿宋" w:eastAsia="仿宋" w:cs="仿宋"/>
          <w:b/>
          <w:bCs/>
          <w:color w:val="000000" w:themeColor="text1"/>
          <w:sz w:val="30"/>
          <w:szCs w:val="30"/>
          <w:highlight w:val="none"/>
          <w:lang w:eastAsia="zh-CN"/>
          <w14:textFill>
            <w14:solidFill>
              <w14:schemeClr w14:val="tx1"/>
            </w14:solidFill>
          </w14:textFill>
        </w:rPr>
      </w:pPr>
    </w:p>
    <w:p w14:paraId="40FFD4EC">
      <w:pPr>
        <w:pStyle w:val="68"/>
        <w:rPr>
          <w:rFonts w:hint="eastAsia" w:ascii="仿宋" w:hAnsi="仿宋" w:eastAsia="仿宋" w:cs="仿宋"/>
          <w:b/>
          <w:bCs/>
          <w:color w:val="000000" w:themeColor="text1"/>
          <w:sz w:val="30"/>
          <w:szCs w:val="30"/>
          <w:highlight w:val="none"/>
          <w:lang w:eastAsia="zh-CN"/>
          <w14:textFill>
            <w14:solidFill>
              <w14:schemeClr w14:val="tx1"/>
            </w14:solidFill>
          </w14:textFill>
        </w:rPr>
      </w:pPr>
    </w:p>
    <w:p w14:paraId="17DCCE77">
      <w:pPr>
        <w:pStyle w:val="70"/>
        <w:rPr>
          <w:rFonts w:hint="eastAsia"/>
          <w:highlight w:val="none"/>
          <w:lang w:eastAsia="zh-CN"/>
        </w:rPr>
      </w:pPr>
    </w:p>
    <w:p w14:paraId="6CC2AC4E">
      <w:pPr>
        <w:pStyle w:val="58"/>
        <w:rPr>
          <w:rFonts w:hint="eastAsia" w:ascii="仿宋" w:hAnsi="仿宋" w:eastAsia="仿宋" w:cs="仿宋"/>
          <w:b/>
          <w:bCs/>
          <w:color w:val="000000" w:themeColor="text1"/>
          <w:sz w:val="30"/>
          <w:szCs w:val="30"/>
          <w:highlight w:val="none"/>
          <w:lang w:eastAsia="zh-CN"/>
          <w14:textFill>
            <w14:solidFill>
              <w14:schemeClr w14:val="tx1"/>
            </w14:solidFill>
          </w14:textFill>
        </w:rPr>
      </w:pPr>
    </w:p>
    <w:p w14:paraId="15D5E795">
      <w:pPr>
        <w:pStyle w:val="68"/>
        <w:rPr>
          <w:rFonts w:hint="eastAsia" w:ascii="仿宋" w:hAnsi="仿宋" w:eastAsia="仿宋" w:cs="仿宋"/>
          <w:b/>
          <w:bCs/>
          <w:color w:val="000000" w:themeColor="text1"/>
          <w:sz w:val="30"/>
          <w:szCs w:val="30"/>
          <w:highlight w:val="none"/>
          <w:lang w:eastAsia="zh-CN"/>
          <w14:textFill>
            <w14:solidFill>
              <w14:schemeClr w14:val="tx1"/>
            </w14:solidFill>
          </w14:textFill>
        </w:rPr>
      </w:pPr>
    </w:p>
    <w:p w14:paraId="5F767842">
      <w:pPr>
        <w:pStyle w:val="70"/>
        <w:rPr>
          <w:rFonts w:hint="eastAsia"/>
          <w:highlight w:val="none"/>
        </w:rPr>
      </w:pPr>
    </w:p>
    <w:p w14:paraId="04792203">
      <w:pPr>
        <w:pStyle w:val="49"/>
        <w:pageBreakBefore w:val="0"/>
        <w:spacing w:line="360" w:lineRule="auto"/>
        <w:ind w:firstLine="301"/>
        <w:jc w:val="center"/>
        <w:outlineLvl w:val="0"/>
        <w:rPr>
          <w:rFonts w:hint="eastAsia" w:ascii="仿宋" w:hAnsi="仿宋" w:eastAsia="仿宋" w:cs="仿宋"/>
          <w:b/>
          <w:bCs/>
          <w:color w:val="000000" w:themeColor="text1"/>
          <w:sz w:val="30"/>
          <w:szCs w:val="30"/>
          <w:highlight w:val="none"/>
          <w:lang w:eastAsia="zh-CN"/>
          <w14:textFill>
            <w14:solidFill>
              <w14:schemeClr w14:val="tx1"/>
            </w14:solidFill>
          </w14:textFill>
        </w:rPr>
      </w:pPr>
      <w:bookmarkStart w:id="4" w:name="_Toc23039"/>
      <w:bookmarkStart w:id="5" w:name="_Toc11101"/>
      <w:r>
        <w:rPr>
          <w:rFonts w:hint="eastAsia" w:ascii="仿宋" w:hAnsi="仿宋" w:eastAsia="仿宋" w:cs="仿宋"/>
          <w:b/>
          <w:bCs/>
          <w:color w:val="000000" w:themeColor="text1"/>
          <w:sz w:val="30"/>
          <w:szCs w:val="30"/>
          <w:highlight w:val="none"/>
          <w14:textFill>
            <w14:solidFill>
              <w14:schemeClr w14:val="tx1"/>
            </w14:solidFill>
          </w14:textFill>
        </w:rPr>
        <w:t>代理机构：</w:t>
      </w:r>
      <w:bookmarkEnd w:id="4"/>
      <w:bookmarkEnd w:id="5"/>
      <w:r>
        <w:rPr>
          <w:rFonts w:hint="eastAsia" w:ascii="仿宋" w:hAnsi="仿宋" w:eastAsia="仿宋" w:cs="仿宋"/>
          <w:b/>
          <w:bCs/>
          <w:color w:val="000000" w:themeColor="text1"/>
          <w:sz w:val="30"/>
          <w:szCs w:val="30"/>
          <w:highlight w:val="none"/>
          <w:lang w:eastAsia="zh-CN"/>
          <w14:textFill>
            <w14:solidFill>
              <w14:schemeClr w14:val="tx1"/>
            </w14:solidFill>
          </w14:textFill>
        </w:rPr>
        <w:t>江苏盛彩工程咨询管理有限公司</w:t>
      </w:r>
    </w:p>
    <w:p w14:paraId="0E9A6097">
      <w:pPr>
        <w:pStyle w:val="49"/>
        <w:pageBreakBefore w:val="0"/>
        <w:spacing w:line="360" w:lineRule="auto"/>
        <w:ind w:firstLine="301"/>
        <w:jc w:val="center"/>
        <w:rPr>
          <w:rFonts w:hint="default" w:ascii="仿宋" w:hAnsi="仿宋" w:eastAsia="仿宋" w:cs="仿宋"/>
          <w:color w:val="000000" w:themeColor="text1"/>
          <w:sz w:val="36"/>
          <w:szCs w:val="36"/>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2026年7月</w:t>
      </w:r>
    </w:p>
    <w:p w14:paraId="2EF49D00">
      <w:pPr>
        <w:rPr>
          <w:rFonts w:hint="eastAsia" w:ascii="仿宋" w:hAnsi="仿宋" w:eastAsia="仿宋" w:cs="仿宋"/>
          <w:highlight w:val="none"/>
        </w:rPr>
      </w:pPr>
    </w:p>
    <w:p w14:paraId="3719F244">
      <w:pPr>
        <w:pStyle w:val="325"/>
        <w:keepNext w:val="0"/>
        <w:keepLines w:val="0"/>
        <w:pageBreakBefore w:val="0"/>
        <w:widowControl/>
        <w:tabs>
          <w:tab w:val="right" w:leader="dot" w:pos="8844"/>
        </w:tabs>
        <w:spacing w:line="360" w:lineRule="auto"/>
        <w:rPr>
          <w:rFonts w:hint="eastAsia" w:ascii="仿宋" w:hAnsi="仿宋" w:eastAsia="仿宋" w:cs="仿宋"/>
          <w:color w:val="000000" w:themeColor="text1"/>
          <w:highlight w:val="none"/>
          <w14:textFill>
            <w14:solidFill>
              <w14:schemeClr w14:val="tx1"/>
            </w14:solidFill>
          </w14:textFill>
        </w:rPr>
      </w:pPr>
    </w:p>
    <w:p w14:paraId="74E9FA00">
      <w:pPr>
        <w:pStyle w:val="76"/>
        <w:pageBreakBefore w:val="0"/>
        <w:spacing w:line="360" w:lineRule="auto"/>
        <w:outlineLvl w:val="9"/>
        <w:rPr>
          <w:rFonts w:hint="eastAsia" w:ascii="仿宋" w:hAnsi="仿宋" w:eastAsia="仿宋" w:cs="仿宋"/>
          <w:color w:val="000000" w:themeColor="text1"/>
          <w:sz w:val="30"/>
          <w:szCs w:val="30"/>
          <w:highlight w:val="none"/>
          <w14:textFill>
            <w14:solidFill>
              <w14:schemeClr w14:val="tx1"/>
            </w14:solidFill>
          </w14:textFill>
        </w:rPr>
        <w:sectPr>
          <w:pgSz w:w="11906" w:h="16838"/>
          <w:pgMar w:top="1701" w:right="1474" w:bottom="1701" w:left="1588" w:header="851" w:footer="1418" w:gutter="0"/>
          <w:pgNumType w:start="1"/>
          <w:cols w:space="720" w:num="1"/>
          <w:docGrid w:linePitch="360" w:charSpace="0"/>
        </w:sectPr>
      </w:pPr>
      <w:bookmarkStart w:id="6" w:name="_Toc24307"/>
      <w:bookmarkStart w:id="7" w:name="_Toc7019"/>
      <w:bookmarkStart w:id="8" w:name="_Toc28664"/>
    </w:p>
    <w:p w14:paraId="1850AFA7">
      <w:pPr>
        <w:pStyle w:val="49"/>
        <w:spacing w:line="360" w:lineRule="auto"/>
        <w:jc w:val="center"/>
        <w:rPr>
          <w:rFonts w:hint="eastAsia" w:ascii="仿宋" w:hAnsi="仿宋" w:eastAsia="仿宋" w:cs="仿宋"/>
          <w:color w:val="000000" w:themeColor="text1"/>
          <w:sz w:val="24"/>
          <w:highlight w:val="white"/>
          <w14:textFill>
            <w14:solidFill>
              <w14:schemeClr w14:val="tx1"/>
            </w14:solidFill>
          </w14:textFill>
        </w:rPr>
      </w:pPr>
      <w:bookmarkStart w:id="9" w:name="_Toc1046"/>
      <w:bookmarkStart w:id="10" w:name="_Toc27132"/>
      <w:bookmarkStart w:id="11" w:name="_Toc4305"/>
      <w:bookmarkStart w:id="12" w:name="_Toc24281"/>
      <w:bookmarkStart w:id="13" w:name="_Toc12112"/>
      <w:bookmarkStart w:id="14" w:name="_Toc2168"/>
      <w:bookmarkStart w:id="15" w:name="_Toc24143"/>
      <w:bookmarkStart w:id="16" w:name="_Toc3776"/>
      <w:r>
        <w:rPr>
          <w:rFonts w:hint="eastAsia" w:ascii="仿宋" w:hAnsi="仿宋" w:eastAsia="仿宋" w:cs="仿宋"/>
          <w:b/>
          <w:color w:val="000000" w:themeColor="text1"/>
          <w:sz w:val="44"/>
          <w:szCs w:val="44"/>
          <w:highlight w:val="white"/>
          <w14:textFill>
            <w14:solidFill>
              <w14:schemeClr w14:val="tx1"/>
            </w14:solidFill>
          </w14:textFill>
        </w:rPr>
        <w:t>竞争性磋商文件</w:t>
      </w:r>
    </w:p>
    <w:p w14:paraId="65B8010D">
      <w:pPr>
        <w:pStyle w:val="49"/>
        <w:keepNext w:val="0"/>
        <w:keepLines w:val="0"/>
        <w:pageBreakBefore w:val="0"/>
        <w:widowControl w:val="0"/>
        <w:spacing w:line="360" w:lineRule="auto"/>
        <w:ind w:firstLine="1928"/>
        <w:jc w:val="both"/>
        <w:rPr>
          <w:rFonts w:hint="eastAsia" w:ascii="仿宋" w:hAnsi="仿宋" w:eastAsia="仿宋" w:cs="仿宋"/>
          <w:b/>
          <w:bCs/>
          <w:color w:val="000000" w:themeColor="text1"/>
          <w:sz w:val="24"/>
          <w:szCs w:val="24"/>
          <w:highlight w:val="white"/>
          <w14:textFill>
            <w14:solidFill>
              <w14:schemeClr w14:val="tx1"/>
            </w14:solidFill>
          </w14:textFill>
        </w:rPr>
      </w:pPr>
      <w:r>
        <w:rPr>
          <w:rFonts w:hint="eastAsia" w:ascii="仿宋" w:hAnsi="仿宋" w:eastAsia="仿宋" w:cs="仿宋"/>
          <w:b/>
          <w:bCs/>
          <w:color w:val="000000" w:themeColor="text1"/>
          <w:sz w:val="24"/>
          <w:szCs w:val="24"/>
          <w:highlight w:val="white"/>
          <w:lang w:eastAsia="zh-CN"/>
          <w14:textFill>
            <w14:solidFill>
              <w14:schemeClr w14:val="tx1"/>
            </w14:solidFill>
          </w14:textFill>
        </w:rPr>
        <w:t>项目编号：JSZC-320381-JSSC-C2026-0002</w:t>
      </w:r>
    </w:p>
    <w:p w14:paraId="57612ACE">
      <w:pPr>
        <w:pStyle w:val="49"/>
        <w:keepNext w:val="0"/>
        <w:keepLines w:val="0"/>
        <w:pageBreakBefore w:val="0"/>
        <w:widowControl w:val="0"/>
        <w:tabs>
          <w:tab w:val="left" w:pos="3240"/>
        </w:tabs>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u w:val="single"/>
          <w14:textFill>
            <w14:solidFill>
              <w14:schemeClr w14:val="tx1"/>
            </w14:solidFill>
          </w14:textFill>
        </w:rPr>
        <w:t xml:space="preserve">                     </w:t>
      </w:r>
      <w:r>
        <w:rPr>
          <w:rFonts w:hint="eastAsia" w:ascii="仿宋" w:hAnsi="仿宋" w:eastAsia="仿宋" w:cs="仿宋"/>
          <w:color w:val="000000" w:themeColor="text1"/>
          <w:sz w:val="24"/>
          <w:szCs w:val="24"/>
          <w:highlight w:val="white"/>
          <w14:textFill>
            <w14:solidFill>
              <w14:schemeClr w14:val="tx1"/>
            </w14:solidFill>
          </w14:textFill>
        </w:rPr>
        <w:t>（供应商）</w:t>
      </w:r>
      <w:r>
        <w:rPr>
          <w:rFonts w:hint="eastAsia" w:ascii="宋体" w:hAnsi="宋体" w:eastAsia="宋体" w:cs="宋体"/>
          <w:color w:val="000000" w:themeColor="text1"/>
          <w:sz w:val="24"/>
          <w:szCs w:val="24"/>
          <w:highlight w:val="white"/>
          <w14:textFill>
            <w14:solidFill>
              <w14:schemeClr w14:val="tx1"/>
            </w14:solidFill>
          </w14:textFill>
        </w:rPr>
        <w:t>：</w:t>
      </w:r>
    </w:p>
    <w:p w14:paraId="7743B443">
      <w:pPr>
        <w:pStyle w:val="49"/>
        <w:keepNext w:val="0"/>
        <w:keepLines w:val="0"/>
        <w:pageBreakBefore w:val="0"/>
        <w:widowControl w:val="0"/>
        <w:spacing w:line="360" w:lineRule="auto"/>
        <w:ind w:firstLine="497"/>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江苏盛彩工程咨询管理有限公司</w:t>
      </w:r>
      <w:r>
        <w:rPr>
          <w:rFonts w:hint="eastAsia" w:ascii="仿宋" w:hAnsi="仿宋" w:eastAsia="仿宋" w:cs="仿宋"/>
          <w:color w:val="000000" w:themeColor="text1"/>
          <w:sz w:val="24"/>
          <w:szCs w:val="24"/>
          <w:highlight w:val="white"/>
          <w14:textFill>
            <w14:solidFill>
              <w14:schemeClr w14:val="tx1"/>
            </w14:solidFill>
          </w14:textFill>
        </w:rPr>
        <w:t>对</w:t>
      </w:r>
      <w:r>
        <w:rPr>
          <w:rFonts w:hint="eastAsia" w:ascii="仿宋" w:hAnsi="仿宋" w:eastAsia="仿宋" w:cs="仿宋"/>
          <w:color w:val="000000" w:themeColor="text1"/>
          <w:sz w:val="24"/>
          <w:szCs w:val="24"/>
          <w:highlight w:val="white"/>
          <w:u w:val="single"/>
          <w:lang w:eastAsia="zh-CN"/>
          <w14:textFill>
            <w14:solidFill>
              <w14:schemeClr w14:val="tx1"/>
            </w14:solidFill>
          </w14:textFill>
        </w:rPr>
        <w:t>2026年城市污水处理提质增效工程</w:t>
      </w:r>
      <w:r>
        <w:rPr>
          <w:rFonts w:hint="eastAsia" w:ascii="仿宋" w:hAnsi="仿宋" w:eastAsia="仿宋" w:cs="仿宋"/>
          <w:color w:val="000000" w:themeColor="text1"/>
          <w:sz w:val="24"/>
          <w:szCs w:val="24"/>
          <w:highlight w:val="white"/>
          <w14:textFill>
            <w14:solidFill>
              <w14:schemeClr w14:val="tx1"/>
            </w14:solidFill>
          </w14:textFill>
        </w:rPr>
        <w:t>采取竞争性磋商采购方式进行采购，竞争性磋商文件（以下简称《磋商文件》）内容如下：</w:t>
      </w:r>
    </w:p>
    <w:p w14:paraId="121870F5">
      <w:pPr>
        <w:pStyle w:val="76"/>
        <w:pageBreakBefore w:val="0"/>
        <w:spacing w:line="360" w:lineRule="auto"/>
        <w:outlineLvl w:val="0"/>
        <w:rPr>
          <w:rFonts w:hint="default"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第一章 </w:t>
      </w:r>
      <w:bookmarkEnd w:id="6"/>
      <w:bookmarkEnd w:id="7"/>
      <w:bookmarkEnd w:id="8"/>
      <w:bookmarkEnd w:id="9"/>
      <w:bookmarkEnd w:id="10"/>
      <w:bookmarkEnd w:id="11"/>
      <w:bookmarkEnd w:id="12"/>
      <w:bookmarkEnd w:id="13"/>
      <w:bookmarkEnd w:id="14"/>
      <w:bookmarkEnd w:id="15"/>
      <w:bookmarkEnd w:id="16"/>
      <w:r>
        <w:rPr>
          <w:rFonts w:hint="eastAsia" w:ascii="仿宋" w:hAnsi="仿宋" w:eastAsia="仿宋" w:cs="仿宋"/>
          <w:color w:val="000000" w:themeColor="text1"/>
          <w:sz w:val="30"/>
          <w:szCs w:val="30"/>
          <w:highlight w:val="none"/>
          <w:lang w:val="en-US" w:eastAsia="zh-CN"/>
          <w14:textFill>
            <w14:solidFill>
              <w14:schemeClr w14:val="tx1"/>
            </w14:solidFill>
          </w14:textFill>
        </w:rPr>
        <w:t>项目说明</w:t>
      </w:r>
    </w:p>
    <w:p w14:paraId="5D9A1F66">
      <w:pPr>
        <w:pStyle w:val="53"/>
        <w:keepNext w:val="0"/>
        <w:keepLines w:val="0"/>
        <w:pageBreakBefore w:val="0"/>
        <w:spacing w:line="360" w:lineRule="auto"/>
        <w:jc w:val="left"/>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一、采购人</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新沂市住房和城乡建设局</w:t>
      </w:r>
    </w:p>
    <w:p w14:paraId="2B555825">
      <w:pPr>
        <w:pStyle w:val="53"/>
        <w:keepNext w:val="0"/>
        <w:keepLines w:val="0"/>
        <w:pageBreakBefore w:val="0"/>
        <w:spacing w:line="360" w:lineRule="auto"/>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二、项目编号：JSZC-320381-JSSC-C2026-0002</w:t>
      </w:r>
    </w:p>
    <w:p w14:paraId="3293783E">
      <w:pPr>
        <w:pStyle w:val="53"/>
        <w:keepNext w:val="0"/>
        <w:keepLines w:val="0"/>
        <w:pageBreakBefore w:val="0"/>
        <w:spacing w:line="360" w:lineRule="auto"/>
        <w:jc w:val="left"/>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三、</w:t>
      </w:r>
      <w:r>
        <w:rPr>
          <w:rFonts w:hint="eastAsia" w:ascii="仿宋" w:hAnsi="仿宋" w:eastAsia="仿宋" w:cs="仿宋"/>
          <w:color w:val="000000" w:themeColor="text1"/>
          <w:sz w:val="24"/>
          <w:highlight w:val="none"/>
          <w14:textFill>
            <w14:solidFill>
              <w14:schemeClr w14:val="tx1"/>
            </w14:solidFill>
          </w14:textFill>
        </w:rPr>
        <w:t>项目名称：</w:t>
      </w:r>
      <w:r>
        <w:rPr>
          <w:rFonts w:hint="eastAsia" w:ascii="仿宋" w:hAnsi="仿宋" w:eastAsia="仿宋" w:cs="仿宋"/>
          <w:color w:val="000000" w:themeColor="text1"/>
          <w:sz w:val="24"/>
          <w:highlight w:val="none"/>
          <w:lang w:eastAsia="zh-CN"/>
          <w14:textFill>
            <w14:solidFill>
              <w14:schemeClr w14:val="tx1"/>
            </w14:solidFill>
          </w14:textFill>
        </w:rPr>
        <w:t>2026年城市污水处理提质增效工程</w:t>
      </w:r>
    </w:p>
    <w:p w14:paraId="72526DFF">
      <w:pPr>
        <w:pStyle w:val="53"/>
        <w:keepNext w:val="0"/>
        <w:keepLines w:val="0"/>
        <w:pageBreakBefore w:val="0"/>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四、</w:t>
      </w:r>
      <w:r>
        <w:rPr>
          <w:rFonts w:hint="eastAsia" w:ascii="仿宋" w:hAnsi="仿宋" w:eastAsia="仿宋" w:cs="仿宋"/>
          <w:color w:val="000000" w:themeColor="text1"/>
          <w:sz w:val="24"/>
          <w:highlight w:val="none"/>
          <w14:textFill>
            <w14:solidFill>
              <w14:schemeClr w14:val="tx1"/>
            </w14:solidFill>
          </w14:textFill>
        </w:rPr>
        <w:t>采购邀请：通过发布公告的方式邀请符合相应资格条件的供应商参与竞争性磋商采购活动。</w:t>
      </w:r>
    </w:p>
    <w:p w14:paraId="21CB8320">
      <w:pPr>
        <w:pStyle w:val="53"/>
        <w:keepNext w:val="0"/>
        <w:keepLines w:val="0"/>
        <w:pageBreakBefore w:val="0"/>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五、采购方式：本项目采用竞争性磋商采购方式。</w:t>
      </w:r>
    </w:p>
    <w:p w14:paraId="3AD581CD">
      <w:pPr>
        <w:pStyle w:val="53"/>
        <w:keepNext w:val="0"/>
        <w:keepLines w:val="0"/>
        <w:pageBreakBefore w:val="0"/>
        <w:spacing w:line="360" w:lineRule="auto"/>
        <w:jc w:val="left"/>
        <w:outlineLvl w:val="1"/>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六、供应商资格条件：</w:t>
      </w:r>
    </w:p>
    <w:p w14:paraId="40674089">
      <w:pPr>
        <w:pStyle w:val="53"/>
        <w:keepNext w:val="0"/>
        <w:keepLines w:val="0"/>
        <w:pageBreakBefore w:val="0"/>
        <w:spacing w:line="360" w:lineRule="auto"/>
        <w:outlineLvl w:val="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一</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满足</w:t>
      </w:r>
      <w:r>
        <w:rPr>
          <w:rFonts w:hint="eastAsia" w:ascii="仿宋" w:hAnsi="仿宋" w:eastAsia="仿宋" w:cs="仿宋"/>
          <w:color w:val="000000" w:themeColor="text1"/>
          <w:sz w:val="24"/>
          <w:highlight w:val="none"/>
          <w14:textFill>
            <w14:solidFill>
              <w14:schemeClr w14:val="tx1"/>
            </w14:solidFill>
          </w14:textFill>
        </w:rPr>
        <w:t>《中华人民共和国政府采购法》第二十二条规定；</w:t>
      </w:r>
    </w:p>
    <w:p w14:paraId="624182E2">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1.具有独立承担民事责任的能力，提供供应商合法有效的法人的营业执照(或事业单位法人证书)或其他组织应提供合法证明文件的原件彩色扫描件(加盖电子签章)；</w:t>
      </w:r>
    </w:p>
    <w:p w14:paraId="15CEC378">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2.财务状况报告；至少提供：即提供供应商的本项目开标时间前6个月内任何1月（不含开标当月）资产负债表原件的扫描件1份；供应商的本项目开标时间前6个月内任何1月（不含开标当月）利润表月报表原件的扫描件1份或提供供应商上年度财务报告原件的扫描件或供应商的本项目开标时间前6个月内银行出具的资信证明原件的扫描件(加盖电子签章)；</w:t>
      </w:r>
    </w:p>
    <w:p w14:paraId="121FBFC4">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3.供应商在本项目开标时间前6个月内任何1月（不含开标当月）的依法缴纳税收和社会保障资金的相关材料扫描件；依法免税或不需要缴纳社会保障资金的供应商应提供相应其依法免税或不需要缴纳社会保障资金的证明文件扫描件(加盖电子签章)；</w:t>
      </w:r>
    </w:p>
    <w:p w14:paraId="598879D8">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4.具备履行合同所必需的设备和专业技术能力的证明材料提供具备履行合同所必需的设备和专业技术能力的书面声明（加盖电子签章，格式见《磋商文件》附件）；</w:t>
      </w:r>
    </w:p>
    <w:p w14:paraId="0E3C7E3F">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highlight w:val="none"/>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5.供应商参加政府采购活动前3年内在经营活动中没有重大违法记录的书面声明（加盖电子签章，格式见《磋商文件》附件）；</w:t>
      </w:r>
    </w:p>
    <w:p w14:paraId="236A8D7F">
      <w:pPr>
        <w:pStyle w:val="53"/>
        <w:keepNext w:val="0"/>
        <w:keepLines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二</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落实政府采购政策需满足的资格要求：</w:t>
      </w:r>
      <w:r>
        <w:rPr>
          <w:rFonts w:hint="eastAsia" w:ascii="仿宋" w:hAnsi="仿宋" w:eastAsia="仿宋" w:cs="仿宋"/>
          <w:color w:val="000000" w:themeColor="text1"/>
          <w:sz w:val="24"/>
          <w:highlight w:val="none"/>
          <w:lang w:val="en-US" w:eastAsia="zh-CN"/>
          <w14:textFill>
            <w14:solidFill>
              <w14:schemeClr w14:val="tx1"/>
            </w14:solidFill>
          </w14:textFill>
        </w:rPr>
        <w:t>此项目属于专门面向中小微企业采购的项目，供应商应为中小企业、监狱企业、残疾人福利单位。</w:t>
      </w:r>
    </w:p>
    <w:p w14:paraId="701CE048">
      <w:pPr>
        <w:pStyle w:val="53"/>
        <w:keepNext w:val="0"/>
        <w:keepLines w:val="0"/>
        <w:pageBreakBefore w:val="0"/>
        <w:spacing w:line="360" w:lineRule="auto"/>
        <w:outlineLvl w:val="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三</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本项目的特定资格要求：</w:t>
      </w:r>
    </w:p>
    <w:p w14:paraId="16AE2B7F">
      <w:pPr>
        <w:pStyle w:val="53"/>
        <w:pageBreakBefore w:val="0"/>
        <w:spacing w:line="360" w:lineRule="auto"/>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供应商</w:t>
      </w:r>
      <w:r>
        <w:rPr>
          <w:rFonts w:hint="eastAsia" w:ascii="仿宋" w:hAnsi="仿宋" w:eastAsia="仿宋" w:cs="仿宋"/>
          <w:sz w:val="24"/>
          <w:highlight w:val="none"/>
          <w:lang w:val="en-US" w:eastAsia="zh-CN"/>
        </w:rPr>
        <w:t>须具备</w:t>
      </w:r>
      <w:r>
        <w:rPr>
          <w:rFonts w:hint="eastAsia" w:ascii="仿宋" w:hAnsi="仿宋" w:eastAsia="仿宋" w:cs="仿宋"/>
          <w:sz w:val="24"/>
          <w:highlight w:val="none"/>
          <w:u w:val="single"/>
          <w:lang w:val="en-US" w:eastAsia="zh-CN"/>
        </w:rPr>
        <w:t>市政公用工程施工总承包叁级</w:t>
      </w:r>
      <w:r>
        <w:rPr>
          <w:rFonts w:hint="eastAsia" w:ascii="仿宋" w:hAnsi="仿宋" w:eastAsia="仿宋" w:cs="仿宋"/>
          <w:sz w:val="24"/>
          <w:highlight w:val="none"/>
        </w:rPr>
        <w:t>（含）以</w:t>
      </w:r>
      <w:r>
        <w:rPr>
          <w:rFonts w:hint="eastAsia" w:ascii="仿宋" w:hAnsi="仿宋" w:eastAsia="仿宋" w:cs="仿宋"/>
          <w:sz w:val="24"/>
          <w:highlight w:val="none"/>
          <w:lang w:val="en-US" w:eastAsia="zh-CN"/>
        </w:rPr>
        <w:t>上资质</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提供原件彩色扫描件</w:t>
      </w:r>
      <w:r>
        <w:rPr>
          <w:rFonts w:hint="eastAsia" w:ascii="仿宋" w:hAnsi="仿宋" w:eastAsia="仿宋" w:cs="仿宋"/>
          <w:sz w:val="24"/>
          <w:szCs w:val="24"/>
          <w:highlight w:val="none"/>
        </w:rPr>
        <w:t>加盖电子签章</w:t>
      </w:r>
      <w:r>
        <w:rPr>
          <w:rFonts w:hint="eastAsia" w:ascii="仿宋" w:hAnsi="仿宋" w:eastAsia="仿宋" w:cs="仿宋"/>
          <w:sz w:val="24"/>
          <w:highlight w:val="none"/>
          <w:lang w:eastAsia="zh-CN"/>
        </w:rPr>
        <w:t>）；</w:t>
      </w:r>
    </w:p>
    <w:p w14:paraId="3766B412">
      <w:pPr>
        <w:pStyle w:val="53"/>
        <w:pageBreakBefore w:val="0"/>
        <w:spacing w:line="360" w:lineRule="auto"/>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供应商</w:t>
      </w:r>
      <w:r>
        <w:rPr>
          <w:rFonts w:hint="eastAsia" w:ascii="仿宋" w:hAnsi="仿宋" w:eastAsia="仿宋" w:cs="仿宋"/>
          <w:sz w:val="24"/>
          <w:highlight w:val="none"/>
          <w:lang w:val="en-US" w:eastAsia="zh-CN"/>
        </w:rPr>
        <w:t>须具备</w:t>
      </w:r>
      <w:r>
        <w:rPr>
          <w:rFonts w:hint="eastAsia" w:ascii="仿宋" w:hAnsi="仿宋" w:eastAsia="仿宋" w:cs="仿宋"/>
          <w:bCs/>
          <w:color w:val="000000" w:themeColor="text1"/>
          <w:sz w:val="24"/>
          <w:szCs w:val="24"/>
          <w:highlight w:val="none"/>
          <w14:textFill>
            <w14:solidFill>
              <w14:schemeClr w14:val="tx1"/>
            </w14:solidFill>
          </w14:textFill>
        </w:rPr>
        <w:t>有效的《安全生产许可证》</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提供原件彩色扫描件</w:t>
      </w:r>
      <w:r>
        <w:rPr>
          <w:rFonts w:hint="eastAsia" w:ascii="仿宋" w:hAnsi="仿宋" w:eastAsia="仿宋" w:cs="仿宋"/>
          <w:sz w:val="24"/>
          <w:szCs w:val="24"/>
          <w:highlight w:val="none"/>
        </w:rPr>
        <w:t>加盖电子签章</w:t>
      </w:r>
      <w:r>
        <w:rPr>
          <w:rFonts w:hint="eastAsia" w:ascii="仿宋" w:hAnsi="仿宋" w:eastAsia="仿宋" w:cs="仿宋"/>
          <w:sz w:val="24"/>
          <w:highlight w:val="none"/>
          <w:lang w:eastAsia="zh-CN"/>
        </w:rPr>
        <w:t>）</w:t>
      </w:r>
      <w:r>
        <w:rPr>
          <w:rFonts w:hint="eastAsia" w:ascii="仿宋" w:hAnsi="仿宋" w:eastAsia="仿宋" w:cs="仿宋"/>
          <w:bCs/>
          <w:color w:val="000000" w:themeColor="text1"/>
          <w:sz w:val="24"/>
          <w:szCs w:val="24"/>
          <w:highlight w:val="none"/>
          <w:lang w:eastAsia="zh-CN"/>
          <w14:textFill>
            <w14:solidFill>
              <w14:schemeClr w14:val="tx1"/>
            </w14:solidFill>
          </w14:textFill>
        </w:rPr>
        <w:t>；</w:t>
      </w:r>
    </w:p>
    <w:p w14:paraId="2C4C80C9">
      <w:pPr>
        <w:pStyle w:val="53"/>
        <w:pageBreakBefore w:val="0"/>
        <w:spacing w:line="360" w:lineRule="auto"/>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供应商拟派项目负责人（注册建造师）具备</w:t>
      </w:r>
      <w:r>
        <w:rPr>
          <w:rFonts w:hint="eastAsia" w:ascii="仿宋" w:hAnsi="仿宋" w:eastAsia="仿宋" w:cs="仿宋"/>
          <w:sz w:val="24"/>
          <w:highlight w:val="none"/>
          <w:u w:val="single"/>
          <w:lang w:val="en-US" w:eastAsia="zh-CN"/>
        </w:rPr>
        <w:t>市政公用</w:t>
      </w:r>
      <w:r>
        <w:rPr>
          <w:rFonts w:hint="eastAsia" w:ascii="仿宋" w:hAnsi="仿宋" w:eastAsia="仿宋" w:cs="仿宋"/>
          <w:sz w:val="24"/>
          <w:highlight w:val="none"/>
          <w:u w:val="single"/>
        </w:rPr>
        <w:t>工程专业</w:t>
      </w:r>
      <w:r>
        <w:rPr>
          <w:rFonts w:hint="eastAsia" w:ascii="仿宋" w:hAnsi="仿宋" w:eastAsia="仿宋" w:cs="仿宋"/>
          <w:sz w:val="24"/>
          <w:highlight w:val="none"/>
          <w:u w:val="single"/>
          <w:lang w:val="en-US" w:eastAsia="zh-CN"/>
        </w:rPr>
        <w:t>贰</w:t>
      </w:r>
      <w:r>
        <w:rPr>
          <w:rFonts w:hint="eastAsia" w:ascii="仿宋" w:hAnsi="仿宋" w:eastAsia="仿宋" w:cs="仿宋"/>
          <w:sz w:val="24"/>
          <w:highlight w:val="none"/>
          <w:u w:val="single"/>
        </w:rPr>
        <w:t>级</w:t>
      </w:r>
      <w:r>
        <w:rPr>
          <w:rFonts w:hint="eastAsia" w:ascii="仿宋" w:hAnsi="仿宋" w:eastAsia="仿宋" w:cs="仿宋"/>
          <w:sz w:val="24"/>
          <w:highlight w:val="none"/>
        </w:rPr>
        <w:t>（含）以上</w:t>
      </w:r>
      <w:r>
        <w:rPr>
          <w:rFonts w:hint="eastAsia" w:ascii="仿宋" w:hAnsi="仿宋" w:eastAsia="仿宋" w:cs="仿宋"/>
          <w:sz w:val="24"/>
          <w:highlight w:val="none"/>
          <w:lang w:val="en-US" w:eastAsia="zh-CN"/>
        </w:rPr>
        <w:t>建造师</w:t>
      </w:r>
      <w:r>
        <w:rPr>
          <w:rFonts w:hint="eastAsia" w:ascii="仿宋" w:hAnsi="仿宋" w:eastAsia="仿宋" w:cs="仿宋"/>
          <w:sz w:val="24"/>
          <w:highlight w:val="none"/>
        </w:rPr>
        <w:t>资格</w:t>
      </w:r>
      <w:r>
        <w:rPr>
          <w:rFonts w:hint="eastAsia" w:ascii="仿宋" w:hAnsi="仿宋" w:eastAsia="仿宋" w:cs="仿宋"/>
          <w:sz w:val="24"/>
          <w:highlight w:val="none"/>
          <w:lang w:eastAsia="zh-CN"/>
        </w:rPr>
        <w:t>，</w:t>
      </w:r>
      <w:r>
        <w:rPr>
          <w:rFonts w:hint="eastAsia" w:ascii="仿宋" w:hAnsi="仿宋" w:eastAsia="仿宋" w:cs="仿宋"/>
          <w:sz w:val="24"/>
          <w:highlight w:val="none"/>
        </w:rPr>
        <w:t>并取得《建筑施工企业项目负责人安全生产考核合格证书》</w:t>
      </w:r>
      <w:r>
        <w:rPr>
          <w:rFonts w:hint="eastAsia" w:ascii="仿宋" w:hAnsi="仿宋" w:eastAsia="仿宋" w:cs="仿宋"/>
          <w:sz w:val="24"/>
          <w:highlight w:val="none"/>
          <w:lang w:val="en-US" w:eastAsia="zh-CN"/>
        </w:rPr>
        <w:t>（B证）且无在建工程(</w:t>
      </w:r>
      <w:r>
        <w:rPr>
          <w:rFonts w:hint="eastAsia" w:ascii="仿宋" w:hAnsi="仿宋" w:eastAsia="仿宋" w:cs="仿宋"/>
          <w:sz w:val="24"/>
          <w:highlight w:val="none"/>
        </w:rPr>
        <w:t>提供无在建证明材料</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格式自拟</w:t>
      </w:r>
      <w:r>
        <w:rPr>
          <w:rFonts w:hint="eastAsia" w:ascii="仿宋" w:hAnsi="仿宋" w:eastAsia="仿宋" w:cs="仿宋"/>
          <w:sz w:val="24"/>
          <w:highlight w:val="none"/>
          <w:lang w:eastAsia="zh-CN"/>
        </w:rPr>
        <w:t>）</w:t>
      </w:r>
      <w:r>
        <w:rPr>
          <w:rFonts w:hint="eastAsia" w:ascii="仿宋" w:hAnsi="仿宋" w:eastAsia="仿宋" w:cs="仿宋"/>
          <w:sz w:val="24"/>
          <w:highlight w:val="none"/>
        </w:rPr>
        <w:t>，其余提供原件</w:t>
      </w:r>
      <w:r>
        <w:rPr>
          <w:rFonts w:hint="eastAsia" w:ascii="仿宋" w:hAnsi="仿宋" w:eastAsia="仿宋" w:cs="仿宋"/>
          <w:sz w:val="24"/>
          <w:highlight w:val="none"/>
          <w:lang w:val="en-US" w:eastAsia="zh-CN"/>
        </w:rPr>
        <w:t>彩色</w:t>
      </w:r>
      <w:r>
        <w:rPr>
          <w:rFonts w:hint="eastAsia" w:ascii="仿宋" w:hAnsi="仿宋" w:eastAsia="仿宋" w:cs="仿宋"/>
          <w:sz w:val="24"/>
          <w:highlight w:val="none"/>
        </w:rPr>
        <w:t>扫描件加盖电子签章</w:t>
      </w:r>
      <w:r>
        <w:rPr>
          <w:rFonts w:hint="eastAsia" w:ascii="仿宋" w:hAnsi="仿宋" w:eastAsia="仿宋" w:cs="仿宋"/>
          <w:sz w:val="24"/>
          <w:highlight w:val="none"/>
          <w:lang w:val="en-US" w:eastAsia="zh-CN"/>
        </w:rPr>
        <w:t>）。</w:t>
      </w:r>
    </w:p>
    <w:p w14:paraId="49F7BE15">
      <w:pPr>
        <w:keepNext w:val="0"/>
        <w:keepLines w:val="0"/>
        <w:pageBreakBefore w:val="0"/>
        <w:widowControl/>
        <w:spacing w:line="360" w:lineRule="auto"/>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说明：</w:t>
      </w:r>
    </w:p>
    <w:p w14:paraId="0FE74A19">
      <w:pPr>
        <w:keepNext w:val="0"/>
        <w:keepLines w:val="0"/>
        <w:pageBreakBefore w:val="0"/>
        <w:widowControl/>
        <w:spacing w:line="360" w:lineRule="auto"/>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1.本项目不接受联合体参与采购活动，成交后不得转包或分包。</w:t>
      </w:r>
    </w:p>
    <w:p w14:paraId="465CEAFD">
      <w:pPr>
        <w:keepNext w:val="0"/>
        <w:keepLines w:val="0"/>
        <w:pageBreakBefore w:val="0"/>
        <w:widowControl/>
        <w:spacing w:line="360" w:lineRule="auto"/>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2.单位负责人为同一人或者存在直接控股、管理关系的不同供应商，不得参加同一合同项下的政府采购活动。</w:t>
      </w:r>
    </w:p>
    <w:p w14:paraId="112B5DD9">
      <w:pPr>
        <w:keepNext w:val="0"/>
        <w:keepLines w:val="0"/>
        <w:pageBreakBefore w:val="0"/>
        <w:widowControl/>
        <w:spacing w:line="360" w:lineRule="auto"/>
        <w:ind w:firstLine="480"/>
        <w:jc w:val="left"/>
        <w:rPr>
          <w:rFonts w:hint="eastAsia"/>
          <w:lang w:val="en-US" w:eastAsia="zh-CN"/>
        </w:rPr>
      </w:pPr>
      <w:r>
        <w:rPr>
          <w:rFonts w:hint="eastAsia" w:ascii="仿宋" w:hAnsi="仿宋" w:eastAsia="仿宋" w:cs="仿宋"/>
          <w:sz w:val="24"/>
          <w:szCs w:val="24"/>
          <w:lang w:val="en-US" w:eastAsia="zh-CN"/>
        </w:rPr>
        <w:t>3.为本采购项目提供整体设计、规范编制或者项目管理、监理、检测等服务的供应商，不得再参加本采购项目的采购活动。</w:t>
      </w:r>
    </w:p>
    <w:p w14:paraId="794EB5F4">
      <w:pPr>
        <w:pStyle w:val="53"/>
        <w:keepNext w:val="0"/>
        <w:keepLines w:val="0"/>
        <w:pageBreakBefore w:val="0"/>
        <w:spacing w:line="360" w:lineRule="auto"/>
        <w:ind w:firstLine="480"/>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七、采购预算：见《磋商文件》附件2、《采购需求》。</w:t>
      </w:r>
    </w:p>
    <w:p w14:paraId="15E12091">
      <w:pPr>
        <w:pStyle w:val="53"/>
        <w:keepNext w:val="0"/>
        <w:keepLines w:val="0"/>
        <w:pageBreakBefore w:val="0"/>
        <w:spacing w:line="360" w:lineRule="auto"/>
        <w:ind w:firstLine="480"/>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八、采购需求：见《磋商文件》附件2、《采购需求》。</w:t>
      </w:r>
    </w:p>
    <w:p w14:paraId="2FBC7D87">
      <w:pPr>
        <w:pStyle w:val="53"/>
        <w:keepNext w:val="0"/>
        <w:keepLines w:val="0"/>
        <w:pageBreakBefore w:val="0"/>
        <w:spacing w:line="360" w:lineRule="auto"/>
        <w:ind w:firstLine="480"/>
        <w:rPr>
          <w:rFonts w:hint="eastAsia"/>
        </w:rPr>
      </w:pPr>
      <w:r>
        <w:rPr>
          <w:rFonts w:hint="eastAsia" w:ascii="仿宋" w:hAnsi="仿宋" w:eastAsia="仿宋" w:cs="仿宋"/>
          <w:b/>
          <w:bCs/>
          <w:color w:val="000000" w:themeColor="text1"/>
          <w:sz w:val="24"/>
          <w:highlight w:val="none"/>
          <w14:textFill>
            <w14:solidFill>
              <w14:schemeClr w14:val="tx1"/>
            </w14:solidFill>
          </w14:textFill>
        </w:rPr>
        <w:t>九、拟签订的合同文本：见《磋商文件》附件</w:t>
      </w:r>
      <w:r>
        <w:rPr>
          <w:rFonts w:hint="eastAsia" w:ascii="仿宋" w:hAnsi="仿宋" w:eastAsia="仿宋" w:cs="仿宋"/>
          <w:b/>
          <w:bCs/>
          <w:color w:val="000000" w:themeColor="text1"/>
          <w:sz w:val="24"/>
          <w:highlight w:val="none"/>
          <w:lang w:val="en-US" w:eastAsia="zh-CN"/>
          <w14:textFill>
            <w14:solidFill>
              <w14:schemeClr w14:val="tx1"/>
            </w14:solidFill>
          </w14:textFill>
        </w:rPr>
        <w:t>13</w:t>
      </w:r>
      <w:r>
        <w:rPr>
          <w:rFonts w:hint="eastAsia" w:ascii="仿宋" w:hAnsi="仿宋" w:eastAsia="仿宋" w:cs="仿宋"/>
          <w:b/>
          <w:bCs/>
          <w:color w:val="000000" w:themeColor="text1"/>
          <w:sz w:val="24"/>
          <w:highlight w:val="none"/>
          <w14:textFill>
            <w14:solidFill>
              <w14:schemeClr w14:val="tx1"/>
            </w14:solidFill>
          </w14:textFill>
        </w:rPr>
        <w:t>、《拟签订的合同文本》。</w:t>
      </w:r>
    </w:p>
    <w:p w14:paraId="2D7BD7AD">
      <w:pPr>
        <w:pStyle w:val="53"/>
        <w:keepNext w:val="0"/>
        <w:keepLines w:val="0"/>
        <w:pageBreakBefore w:val="0"/>
        <w:spacing w:line="360" w:lineRule="auto"/>
        <w:ind w:firstLine="480"/>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十</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报价要求：</w:t>
      </w:r>
      <w:r>
        <w:rPr>
          <w:rFonts w:hint="eastAsia" w:ascii="仿宋" w:hAnsi="仿宋" w:eastAsia="仿宋" w:cs="仿宋"/>
          <w:b/>
          <w:bCs/>
          <w:color w:val="000000" w:themeColor="text1"/>
          <w:sz w:val="24"/>
          <w:highlight w:val="none"/>
          <w14:textFill>
            <w14:solidFill>
              <w14:schemeClr w14:val="tx1"/>
            </w14:solidFill>
          </w14:textFill>
        </w:rPr>
        <w:t>见《磋商文件》附件2、《采购需求》。</w:t>
      </w:r>
    </w:p>
    <w:p w14:paraId="2723A16B">
      <w:pPr>
        <w:pStyle w:val="53"/>
        <w:keepNext w:val="0"/>
        <w:keepLines w:val="0"/>
        <w:pageBreakBefore w:val="0"/>
        <w:spacing w:line="360" w:lineRule="auto"/>
        <w:ind w:firstLine="480"/>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十一</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磋商保证金交纳数额和形式：不需交纳。</w:t>
      </w:r>
    </w:p>
    <w:p w14:paraId="3B6AAFEC">
      <w:pPr>
        <w:pStyle w:val="51"/>
        <w:spacing w:line="360" w:lineRule="auto"/>
        <w:ind w:firstLine="480"/>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十二</w:t>
      </w:r>
      <w:r>
        <w:rPr>
          <w:rFonts w:hint="eastAsia" w:ascii="仿宋" w:hAnsi="仿宋" w:eastAsia="仿宋" w:cs="仿宋"/>
          <w:b/>
          <w:bCs/>
          <w:sz w:val="24"/>
          <w:highlight w:val="none"/>
        </w:rPr>
        <w:t>、竞争性磋商文件的获取</w:t>
      </w:r>
    </w:p>
    <w:p w14:paraId="5D1B45ED">
      <w:pPr>
        <w:pStyle w:val="51"/>
        <w:spacing w:line="460" w:lineRule="exact"/>
        <w:ind w:firstLine="480"/>
        <w:rPr>
          <w:rFonts w:hint="eastAsia" w:ascii="仿宋" w:hAnsi="仿宋" w:eastAsia="仿宋" w:cs="仿宋"/>
          <w:b w:val="0"/>
          <w:bCs/>
          <w:sz w:val="24"/>
          <w:highlight w:val="none"/>
        </w:rPr>
      </w:pPr>
      <w:r>
        <w:rPr>
          <w:rFonts w:hint="eastAsia" w:ascii="仿宋" w:hAnsi="仿宋" w:eastAsia="仿宋" w:cs="仿宋"/>
          <w:b w:val="0"/>
          <w:bCs/>
          <w:sz w:val="24"/>
          <w:highlight w:val="none"/>
        </w:rPr>
        <w:t>获取方式：</w:t>
      </w:r>
    </w:p>
    <w:p w14:paraId="23C3855B">
      <w:pPr>
        <w:pStyle w:val="51"/>
        <w:spacing w:line="460" w:lineRule="exact"/>
        <w:ind w:firstLine="480"/>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本项目采用网上注册登记方式。    </w:t>
      </w:r>
    </w:p>
    <w:p w14:paraId="3E02CAB9">
      <w:pPr>
        <w:pStyle w:val="51"/>
        <w:spacing w:line="460" w:lineRule="exact"/>
        <w:ind w:firstLine="480"/>
        <w:rPr>
          <w:rFonts w:hint="eastAsia" w:ascii="仿宋" w:hAnsi="仿宋" w:eastAsia="仿宋" w:cs="仿宋"/>
          <w:b w:val="0"/>
          <w:bCs/>
          <w:sz w:val="24"/>
          <w:highlight w:val="none"/>
        </w:rPr>
      </w:pPr>
      <w:r>
        <w:rPr>
          <w:rFonts w:hint="eastAsia" w:ascii="仿宋" w:hAnsi="仿宋" w:eastAsia="仿宋" w:cs="仿宋"/>
          <w:b w:val="0"/>
          <w:bCs/>
          <w:sz w:val="24"/>
          <w:highlight w:val="none"/>
        </w:rPr>
        <w:t>1</w:t>
      </w:r>
      <w:r>
        <w:rPr>
          <w:rFonts w:hint="eastAsia" w:ascii="仿宋" w:hAnsi="仿宋" w:eastAsia="仿宋" w:cs="仿宋"/>
          <w:b w:val="0"/>
          <w:bCs/>
          <w:sz w:val="24"/>
          <w:highlight w:val="none"/>
          <w:lang w:eastAsia="zh-CN"/>
        </w:rPr>
        <w:t>、</w:t>
      </w:r>
      <w:r>
        <w:rPr>
          <w:rFonts w:hint="eastAsia" w:ascii="仿宋" w:hAnsi="仿宋" w:eastAsia="仿宋" w:cs="仿宋"/>
          <w:b w:val="0"/>
          <w:bCs/>
          <w:sz w:val="24"/>
          <w:highlight w:val="none"/>
        </w:rPr>
        <w:t>潜在</w:t>
      </w:r>
      <w:r>
        <w:rPr>
          <w:rFonts w:hint="eastAsia" w:ascii="仿宋" w:hAnsi="仿宋" w:eastAsia="仿宋" w:cs="仿宋"/>
          <w:b w:val="0"/>
          <w:bCs/>
          <w:sz w:val="24"/>
          <w:highlight w:val="none"/>
          <w:lang w:eastAsia="zh-CN"/>
        </w:rPr>
        <w:t>供应商</w:t>
      </w:r>
      <w:r>
        <w:rPr>
          <w:rFonts w:hint="eastAsia" w:ascii="仿宋" w:hAnsi="仿宋" w:eastAsia="仿宋" w:cs="仿宋"/>
          <w:b w:val="0"/>
          <w:bCs/>
          <w:sz w:val="24"/>
          <w:highlight w:val="none"/>
        </w:rPr>
        <w:t>访问电子招标投标交易平台的网络地址和方法：</w:t>
      </w:r>
    </w:p>
    <w:p w14:paraId="0B872891">
      <w:pPr>
        <w:pStyle w:val="51"/>
        <w:widowControl/>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b w:val="0"/>
          <w:bCs/>
          <w:color w:val="000000"/>
          <w:sz w:val="24"/>
          <w:highlight w:val="none"/>
        </w:rPr>
      </w:pPr>
      <w:r>
        <w:rPr>
          <w:rFonts w:hint="eastAsia" w:ascii="仿宋" w:hAnsi="仿宋" w:eastAsia="仿宋" w:cs="仿宋"/>
          <w:b w:val="0"/>
          <w:bCs/>
          <w:sz w:val="24"/>
          <w:highlight w:val="none"/>
        </w:rPr>
        <w:t>“苏采云”系统用户注册--获取“CA数字证书”--CA绑定与登录--网上报名--下载采购文件（后缀名为“.kedt”）--将后缀名为“.kedt”的采购文件导入政府采购客户端工具--制</w:t>
      </w:r>
      <w:r>
        <w:rPr>
          <w:rFonts w:hint="eastAsia" w:ascii="仿宋" w:hAnsi="仿宋" w:eastAsia="仿宋" w:cs="仿宋"/>
          <w:b w:val="0"/>
          <w:bCs/>
          <w:color w:val="000000"/>
          <w:sz w:val="24"/>
          <w:highlight w:val="none"/>
        </w:rPr>
        <w:t>作</w:t>
      </w:r>
      <w:r>
        <w:rPr>
          <w:rFonts w:hint="eastAsia" w:ascii="仿宋" w:hAnsi="仿宋" w:eastAsia="仿宋" w:cs="仿宋"/>
          <w:b w:val="0"/>
          <w:bCs/>
          <w:color w:val="000000"/>
          <w:sz w:val="24"/>
          <w:highlight w:val="none"/>
          <w:lang w:eastAsia="zh-CN"/>
        </w:rPr>
        <w:t>响应文件</w:t>
      </w:r>
      <w:r>
        <w:rPr>
          <w:rFonts w:hint="eastAsia" w:ascii="仿宋" w:hAnsi="仿宋" w:eastAsia="仿宋" w:cs="仿宋"/>
          <w:b w:val="0"/>
          <w:bCs/>
          <w:color w:val="000000"/>
          <w:sz w:val="24"/>
          <w:highlight w:val="none"/>
        </w:rPr>
        <w:t>--导出加密的</w:t>
      </w:r>
      <w:r>
        <w:rPr>
          <w:rFonts w:hint="eastAsia" w:ascii="仿宋" w:hAnsi="仿宋" w:eastAsia="仿宋" w:cs="仿宋"/>
          <w:b w:val="0"/>
          <w:bCs/>
          <w:color w:val="000000"/>
          <w:sz w:val="24"/>
          <w:highlight w:val="none"/>
          <w:lang w:eastAsia="zh-CN"/>
        </w:rPr>
        <w:t>响应文件</w:t>
      </w:r>
      <w:r>
        <w:rPr>
          <w:rFonts w:hint="eastAsia" w:ascii="仿宋" w:hAnsi="仿宋" w:eastAsia="仿宋" w:cs="仿宋"/>
          <w:b w:val="0"/>
          <w:bCs/>
          <w:color w:val="000000"/>
          <w:sz w:val="24"/>
          <w:highlight w:val="none"/>
        </w:rPr>
        <w:t>（后缀名为zip）--通过“苏采云”系统上传</w:t>
      </w:r>
      <w:r>
        <w:rPr>
          <w:rFonts w:hint="eastAsia" w:ascii="仿宋" w:hAnsi="仿宋" w:eastAsia="仿宋" w:cs="仿宋"/>
          <w:b w:val="0"/>
          <w:bCs/>
          <w:color w:val="000000"/>
          <w:sz w:val="24"/>
          <w:highlight w:val="none"/>
          <w:lang w:eastAsia="zh-CN"/>
        </w:rPr>
        <w:t>响应文件</w:t>
      </w:r>
      <w:r>
        <w:rPr>
          <w:rFonts w:hint="eastAsia" w:ascii="仿宋" w:hAnsi="仿宋" w:eastAsia="仿宋" w:cs="仿宋"/>
          <w:b w:val="0"/>
          <w:bCs/>
          <w:color w:val="000000"/>
          <w:sz w:val="24"/>
          <w:highlight w:val="none"/>
        </w:rPr>
        <w:t>。具体见《江苏省政府采购管理交易系统（苏采云）供应商操作手册》。</w:t>
      </w:r>
    </w:p>
    <w:p w14:paraId="211BA792">
      <w:pPr>
        <w:pStyle w:val="51"/>
        <w:widowControl/>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2</w:t>
      </w:r>
      <w:r>
        <w:rPr>
          <w:rFonts w:hint="eastAsia" w:ascii="仿宋" w:hAnsi="仿宋" w:eastAsia="仿宋" w:cs="仿宋"/>
          <w:b w:val="0"/>
          <w:bCs/>
          <w:color w:val="000000"/>
          <w:sz w:val="24"/>
          <w:highlight w:val="none"/>
          <w:lang w:eastAsia="zh-CN"/>
        </w:rPr>
        <w:t>、</w:t>
      </w:r>
      <w:r>
        <w:rPr>
          <w:rFonts w:hint="eastAsia" w:ascii="仿宋" w:hAnsi="仿宋" w:eastAsia="仿宋" w:cs="仿宋"/>
          <w:b w:val="0"/>
          <w:bCs/>
          <w:color w:val="000000"/>
          <w:sz w:val="24"/>
          <w:highlight w:val="none"/>
        </w:rPr>
        <w:t>潜在</w:t>
      </w:r>
      <w:r>
        <w:rPr>
          <w:rFonts w:hint="eastAsia" w:ascii="仿宋" w:hAnsi="仿宋" w:eastAsia="仿宋" w:cs="仿宋"/>
          <w:b w:val="0"/>
          <w:bCs/>
          <w:color w:val="000000"/>
          <w:sz w:val="24"/>
          <w:highlight w:val="none"/>
          <w:lang w:eastAsia="zh-CN"/>
        </w:rPr>
        <w:t>供应商</w:t>
      </w:r>
      <w:r>
        <w:rPr>
          <w:rFonts w:hint="eastAsia" w:ascii="仿宋" w:hAnsi="仿宋" w:eastAsia="仿宋" w:cs="仿宋"/>
          <w:b w:val="0"/>
          <w:bCs/>
          <w:color w:val="000000"/>
          <w:sz w:val="24"/>
          <w:highlight w:val="none"/>
        </w:rPr>
        <w:t>访问“苏采云”系统的网络地址和方法：</w:t>
      </w:r>
    </w:p>
    <w:p w14:paraId="651E4665">
      <w:pPr>
        <w:pStyle w:val="51"/>
        <w:widowControl/>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“苏采云”系统的网址：http://jszfcg.jsczt.cn/；或进入徐州政府采购网（网址：http://czj.xz.gov.cn/Home/HomeIndex）--业务工作--用户登录，点击“苏采云”进入系统。</w:t>
      </w:r>
    </w:p>
    <w:p w14:paraId="4C3E5EC4">
      <w:pPr>
        <w:pStyle w:val="51"/>
        <w:widowControl/>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3</w:t>
      </w:r>
      <w:r>
        <w:rPr>
          <w:rFonts w:hint="eastAsia" w:ascii="仿宋" w:hAnsi="仿宋" w:eastAsia="仿宋" w:cs="仿宋"/>
          <w:b w:val="0"/>
          <w:bCs/>
          <w:color w:val="000000"/>
          <w:sz w:val="24"/>
          <w:highlight w:val="none"/>
          <w:lang w:eastAsia="zh-CN"/>
        </w:rPr>
        <w:t>、</w:t>
      </w:r>
      <w:r>
        <w:rPr>
          <w:rFonts w:hint="eastAsia" w:ascii="仿宋" w:hAnsi="仿宋" w:eastAsia="仿宋" w:cs="仿宋"/>
          <w:b w:val="0"/>
          <w:bCs/>
          <w:color w:val="000000"/>
          <w:sz w:val="24"/>
          <w:highlight w:val="none"/>
        </w:rPr>
        <w:t>“CA数字证书”的获取：</w:t>
      </w:r>
    </w:p>
    <w:p w14:paraId="1FA65FBC">
      <w:pPr>
        <w:pStyle w:val="51"/>
        <w:widowControl/>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47498D8C">
      <w:pPr>
        <w:pStyle w:val="51"/>
        <w:widowControl/>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4</w:t>
      </w:r>
      <w:r>
        <w:rPr>
          <w:rFonts w:hint="eastAsia" w:ascii="仿宋" w:hAnsi="仿宋" w:eastAsia="仿宋" w:cs="仿宋"/>
          <w:b w:val="0"/>
          <w:bCs/>
          <w:color w:val="000000"/>
          <w:sz w:val="24"/>
          <w:highlight w:val="none"/>
          <w:lang w:eastAsia="zh-CN"/>
        </w:rPr>
        <w:t>、</w:t>
      </w:r>
      <w:r>
        <w:rPr>
          <w:rFonts w:hint="eastAsia" w:ascii="仿宋" w:hAnsi="仿宋" w:eastAsia="仿宋" w:cs="仿宋"/>
          <w:b w:val="0"/>
          <w:bCs/>
          <w:color w:val="000000"/>
          <w:sz w:val="24"/>
          <w:highlight w:val="none"/>
        </w:rPr>
        <w:t>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72C207E6">
      <w:pPr>
        <w:pStyle w:val="51"/>
        <w:widowControl/>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5</w:t>
      </w:r>
      <w:r>
        <w:rPr>
          <w:rFonts w:hint="eastAsia" w:ascii="仿宋" w:hAnsi="仿宋" w:eastAsia="仿宋" w:cs="仿宋"/>
          <w:b w:val="0"/>
          <w:bCs/>
          <w:color w:val="000000"/>
          <w:sz w:val="24"/>
          <w:highlight w:val="none"/>
          <w:lang w:eastAsia="zh-CN"/>
        </w:rPr>
        <w:t>、</w:t>
      </w:r>
      <w:r>
        <w:rPr>
          <w:rFonts w:hint="eastAsia" w:ascii="仿宋" w:hAnsi="仿宋" w:eastAsia="仿宋" w:cs="仿宋"/>
          <w:b w:val="0"/>
          <w:bCs/>
          <w:color w:val="000000"/>
          <w:sz w:val="24"/>
          <w:highlight w:val="none"/>
        </w:rPr>
        <w:t>招标代理机构（采购代理机构）将数据电文形式的磋商文件加载至“苏采云”系统，供潜在</w:t>
      </w:r>
      <w:r>
        <w:rPr>
          <w:rFonts w:hint="eastAsia" w:ascii="仿宋" w:hAnsi="仿宋" w:eastAsia="仿宋" w:cs="仿宋"/>
          <w:b w:val="0"/>
          <w:bCs/>
          <w:color w:val="000000"/>
          <w:sz w:val="24"/>
          <w:highlight w:val="none"/>
          <w:lang w:eastAsia="zh-CN"/>
        </w:rPr>
        <w:t>供应商</w:t>
      </w:r>
      <w:r>
        <w:rPr>
          <w:rFonts w:hint="eastAsia" w:ascii="仿宋" w:hAnsi="仿宋" w:eastAsia="仿宋" w:cs="仿宋"/>
          <w:b w:val="0"/>
          <w:bCs/>
          <w:color w:val="000000"/>
          <w:sz w:val="24"/>
          <w:highlight w:val="none"/>
        </w:rPr>
        <w:t>下载或者查阅。</w:t>
      </w:r>
    </w:p>
    <w:p w14:paraId="6270E814">
      <w:pPr>
        <w:pStyle w:val="51"/>
        <w:widowControl/>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color w:val="000000"/>
          <w:sz w:val="24"/>
          <w:highlight w:val="none"/>
        </w:rPr>
      </w:pPr>
      <w:r>
        <w:rPr>
          <w:rFonts w:hint="eastAsia" w:ascii="仿宋" w:hAnsi="仿宋" w:eastAsia="仿宋" w:cs="仿宋"/>
          <w:b w:val="0"/>
          <w:bCs/>
          <w:color w:val="000000"/>
          <w:sz w:val="24"/>
          <w:highlight w:val="none"/>
        </w:rPr>
        <w:t>6</w:t>
      </w:r>
      <w:r>
        <w:rPr>
          <w:rFonts w:hint="eastAsia" w:ascii="仿宋" w:hAnsi="仿宋" w:eastAsia="仿宋" w:cs="仿宋"/>
          <w:b w:val="0"/>
          <w:bCs/>
          <w:color w:val="000000"/>
          <w:sz w:val="24"/>
          <w:highlight w:val="none"/>
          <w:lang w:eastAsia="zh-CN"/>
        </w:rPr>
        <w:t>、</w:t>
      </w:r>
      <w:r>
        <w:rPr>
          <w:rFonts w:hint="eastAsia" w:ascii="仿宋" w:hAnsi="仿宋" w:eastAsia="仿宋" w:cs="仿宋"/>
          <w:b w:val="0"/>
          <w:bCs/>
          <w:color w:val="000000"/>
          <w:sz w:val="24"/>
          <w:highlight w:val="none"/>
        </w:rPr>
        <w:t>苏采云系统全程使用谷歌浏览器。</w:t>
      </w:r>
    </w:p>
    <w:p w14:paraId="287241E1">
      <w:pPr>
        <w:pStyle w:val="47"/>
      </w:pPr>
    </w:p>
    <w:p w14:paraId="4173FBAF">
      <w:pPr>
        <w:pStyle w:val="74"/>
        <w:rPr>
          <w:rFonts w:hint="eastAsia"/>
          <w:lang w:val="en-US" w:eastAsia="zh-CN"/>
        </w:rPr>
      </w:pPr>
    </w:p>
    <w:p w14:paraId="11E40E37">
      <w:pPr>
        <w:pStyle w:val="53"/>
        <w:keepNext w:val="0"/>
        <w:keepLines w:val="0"/>
        <w:pageBreakBefore w:val="0"/>
        <w:spacing w:line="360" w:lineRule="auto"/>
        <w:ind w:firstLine="480"/>
        <w:rPr>
          <w:rFonts w:hint="eastAsia" w:ascii="仿宋" w:hAnsi="仿宋" w:eastAsia="仿宋" w:cs="仿宋"/>
          <w:b/>
          <w:bCs/>
          <w:color w:val="000000" w:themeColor="text1"/>
          <w:sz w:val="24"/>
          <w:highlight w:val="none"/>
          <w14:textFill>
            <w14:solidFill>
              <w14:schemeClr w14:val="tx1"/>
            </w14:solidFill>
          </w14:textFill>
        </w:rPr>
      </w:pPr>
    </w:p>
    <w:p w14:paraId="2C8267A8">
      <w:pPr>
        <w:pStyle w:val="76"/>
        <w:pageBreakBefore w:val="0"/>
        <w:spacing w:line="360" w:lineRule="auto"/>
        <w:jc w:val="center"/>
        <w:outlineLvl w:val="0"/>
        <w:rPr>
          <w:rFonts w:hint="eastAsia" w:ascii="仿宋" w:hAnsi="仿宋" w:eastAsia="仿宋" w:cs="仿宋"/>
          <w:color w:val="000000" w:themeColor="text1"/>
          <w:highlight w:val="none"/>
          <w14:textFill>
            <w14:solidFill>
              <w14:schemeClr w14:val="tx1"/>
            </w14:solidFill>
          </w14:textFill>
        </w:rPr>
      </w:pPr>
      <w:bookmarkStart w:id="17" w:name="_Toc13830"/>
      <w:bookmarkStart w:id="18" w:name="_Toc22967"/>
      <w:bookmarkStart w:id="19" w:name="_Toc14217"/>
      <w:bookmarkStart w:id="20" w:name="_Toc24827"/>
      <w:bookmarkStart w:id="21" w:name="_Toc18728"/>
      <w:bookmarkStart w:id="22" w:name="_Toc4427"/>
      <w:bookmarkStart w:id="23" w:name="_Toc25225"/>
      <w:bookmarkStart w:id="24" w:name="_Toc23110"/>
      <w:bookmarkStart w:id="25" w:name="_Toc23839"/>
      <w:bookmarkStart w:id="26" w:name="_Toc26050"/>
      <w:bookmarkStart w:id="27" w:name="_Toc22062"/>
      <w:bookmarkStart w:id="28" w:name="_Toc14940"/>
      <w:bookmarkStart w:id="29" w:name="_Toc26337"/>
      <w:bookmarkStart w:id="30" w:name="_Toc16522"/>
      <w:bookmarkStart w:id="31" w:name="_Toc16945"/>
      <w:bookmarkStart w:id="32" w:name="_Toc23994"/>
      <w:bookmarkStart w:id="33" w:name="_Toc14736"/>
      <w:bookmarkStart w:id="34" w:name="_Toc3708"/>
      <w:r>
        <w:rPr>
          <w:rFonts w:hint="eastAsia" w:ascii="仿宋" w:hAnsi="仿宋" w:eastAsia="仿宋" w:cs="仿宋"/>
          <w:color w:val="000000" w:themeColor="text1"/>
          <w:sz w:val="30"/>
          <w:szCs w:val="30"/>
          <w:highlight w:val="none"/>
          <w14:textFill>
            <w14:solidFill>
              <w14:schemeClr w14:val="tx1"/>
            </w14:solidFill>
          </w14:textFill>
        </w:rPr>
        <w:t>第二章 招标代理服务费</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14:paraId="16C1739E">
      <w:pPr>
        <w:pStyle w:val="47"/>
        <w:pageBreakBefore w:val="0"/>
        <w:spacing w:line="360" w:lineRule="auto"/>
        <w:ind w:left="0" w:firstLine="482"/>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采购人承担本项目招标代理服务费，收取标准参照徐州市政府采购协会印发的《徐州市政府采购业务代理服务费行业指导价格标准》）标准的40%计取。</w:t>
      </w:r>
    </w:p>
    <w:p w14:paraId="595A587C">
      <w:pPr>
        <w:keepNext/>
        <w:keepLines/>
        <w:pageBreakBefore w:val="0"/>
        <w:widowControl w:val="0"/>
        <w:spacing w:before="260" w:after="260" w:line="360" w:lineRule="auto"/>
        <w:jc w:val="center"/>
        <w:outlineLvl w:val="1"/>
        <w:rPr>
          <w:rFonts w:hint="eastAsia" w:ascii="仿宋" w:hAnsi="仿宋" w:eastAsia="仿宋" w:cs="仿宋"/>
          <w:b/>
          <w:bCs/>
          <w:color w:val="000000" w:themeColor="text1"/>
          <w:sz w:val="24"/>
          <w:szCs w:val="32"/>
          <w:highlight w:val="none"/>
          <w:lang w:val="en-US" w:eastAsia="zh-CN" w:bidi="ar-SA"/>
          <w14:textFill>
            <w14:solidFill>
              <w14:schemeClr w14:val="tx1"/>
            </w14:solidFill>
          </w14:textFill>
        </w:rPr>
      </w:pPr>
      <w:bookmarkStart w:id="35" w:name="_Toc13394"/>
      <w:bookmarkStart w:id="36" w:name="_Toc17653"/>
      <w:bookmarkStart w:id="37" w:name="_Toc26407"/>
      <w:bookmarkStart w:id="38" w:name="_Toc32431"/>
      <w:bookmarkStart w:id="39" w:name="_Toc4006"/>
      <w:r>
        <w:rPr>
          <w:rFonts w:hint="eastAsia" w:ascii="仿宋" w:hAnsi="仿宋" w:eastAsia="仿宋" w:cs="仿宋"/>
          <w:b/>
          <w:bCs/>
          <w:color w:val="000000"/>
          <w:sz w:val="24"/>
          <w:szCs w:val="24"/>
          <w:highlight w:val="none"/>
          <w:lang w:val="en-US" w:eastAsia="zh-CN" w:bidi="ar-SA"/>
        </w:rPr>
        <w:t>代理服务收费标准</w:t>
      </w:r>
    </w:p>
    <w:tbl>
      <w:tblPr>
        <w:tblStyle w:val="38"/>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87"/>
        <w:gridCol w:w="2713"/>
      </w:tblGrid>
      <w:tr w14:paraId="11AB1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tblCellSpacing w:w="0" w:type="dxa"/>
          <w:jc w:val="center"/>
        </w:trPr>
        <w:tc>
          <w:tcPr>
            <w:tcW w:w="5887"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3B55D1C2">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中标或成交金额</w:t>
            </w:r>
          </w:p>
        </w:tc>
        <w:tc>
          <w:tcPr>
            <w:tcW w:w="2713"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7C70B629">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费率</w:t>
            </w:r>
          </w:p>
        </w:tc>
      </w:tr>
      <w:tr w14:paraId="049B4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9" w:hRule="atLeast"/>
          <w:tblCellSpacing w:w="0" w:type="dxa"/>
          <w:jc w:val="center"/>
        </w:trPr>
        <w:tc>
          <w:tcPr>
            <w:tcW w:w="5887" w:type="dxa"/>
            <w:tcBorders>
              <w:top w:val="nil"/>
              <w:left w:val="single" w:color="000000" w:sz="8" w:space="0"/>
              <w:bottom w:val="single" w:color="000000" w:sz="8" w:space="0"/>
              <w:right w:val="single" w:color="000000" w:sz="8" w:space="0"/>
            </w:tcBorders>
            <w:shd w:val="clear" w:color="auto" w:fill="auto"/>
            <w:noWrap w:val="0"/>
            <w:vAlign w:val="center"/>
          </w:tcPr>
          <w:p w14:paraId="2B3F9722">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最低收费金额(每个委托项目)</w:t>
            </w:r>
          </w:p>
        </w:tc>
        <w:tc>
          <w:tcPr>
            <w:tcW w:w="2713" w:type="dxa"/>
            <w:tcBorders>
              <w:top w:val="nil"/>
              <w:left w:val="single" w:color="000000" w:sz="8" w:space="0"/>
              <w:bottom w:val="single" w:color="000000" w:sz="8" w:space="0"/>
              <w:right w:val="single" w:color="000000" w:sz="8" w:space="0"/>
            </w:tcBorders>
            <w:shd w:val="clear" w:color="auto" w:fill="auto"/>
            <w:noWrap w:val="0"/>
            <w:vAlign w:val="center"/>
          </w:tcPr>
          <w:p w14:paraId="630400CB">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5000元</w:t>
            </w:r>
          </w:p>
        </w:tc>
      </w:tr>
      <w:tr w14:paraId="727FF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4" w:hRule="atLeast"/>
          <w:tblCellSpacing w:w="0" w:type="dxa"/>
          <w:jc w:val="center"/>
        </w:trPr>
        <w:tc>
          <w:tcPr>
            <w:tcW w:w="5887" w:type="dxa"/>
            <w:tcBorders>
              <w:top w:val="nil"/>
              <w:left w:val="single" w:color="000000" w:sz="8" w:space="0"/>
              <w:bottom w:val="single" w:color="000000" w:sz="8" w:space="0"/>
              <w:right w:val="single" w:color="000000" w:sz="8" w:space="0"/>
            </w:tcBorders>
            <w:shd w:val="clear" w:color="auto" w:fill="auto"/>
            <w:noWrap w:val="0"/>
            <w:vAlign w:val="center"/>
          </w:tcPr>
          <w:p w14:paraId="50B72372">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50万元以上（含50万元）</w:t>
            </w:r>
          </w:p>
        </w:tc>
        <w:tc>
          <w:tcPr>
            <w:tcW w:w="2713" w:type="dxa"/>
            <w:tcBorders>
              <w:top w:val="nil"/>
              <w:left w:val="single" w:color="000000" w:sz="8" w:space="0"/>
              <w:bottom w:val="single" w:color="000000" w:sz="8" w:space="0"/>
              <w:right w:val="single" w:color="000000" w:sz="8" w:space="0"/>
            </w:tcBorders>
            <w:shd w:val="clear" w:color="auto" w:fill="auto"/>
            <w:noWrap w:val="0"/>
            <w:vAlign w:val="center"/>
          </w:tcPr>
          <w:p w14:paraId="3A82B233">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1.60%</w:t>
            </w:r>
          </w:p>
        </w:tc>
      </w:tr>
      <w:tr w14:paraId="01BD1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 w:hRule="atLeast"/>
          <w:tblCellSpacing w:w="0" w:type="dxa"/>
          <w:jc w:val="center"/>
        </w:trPr>
        <w:tc>
          <w:tcPr>
            <w:tcW w:w="5887" w:type="dxa"/>
            <w:tcBorders>
              <w:top w:val="nil"/>
              <w:left w:val="single" w:color="000000" w:sz="8" w:space="0"/>
              <w:bottom w:val="single" w:color="000000" w:sz="8" w:space="0"/>
              <w:right w:val="single" w:color="000000" w:sz="8" w:space="0"/>
            </w:tcBorders>
            <w:shd w:val="clear" w:color="auto" w:fill="auto"/>
            <w:noWrap w:val="0"/>
            <w:vAlign w:val="center"/>
          </w:tcPr>
          <w:p w14:paraId="5D916999">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50-400万元以上（含400万元）</w:t>
            </w:r>
          </w:p>
        </w:tc>
        <w:tc>
          <w:tcPr>
            <w:tcW w:w="2713" w:type="dxa"/>
            <w:tcBorders>
              <w:top w:val="nil"/>
              <w:left w:val="single" w:color="000000" w:sz="8" w:space="0"/>
              <w:bottom w:val="single" w:color="000000" w:sz="8" w:space="0"/>
              <w:right w:val="single" w:color="000000" w:sz="8" w:space="0"/>
            </w:tcBorders>
            <w:shd w:val="clear" w:color="auto" w:fill="auto"/>
            <w:noWrap w:val="0"/>
            <w:vAlign w:val="center"/>
          </w:tcPr>
          <w:p w14:paraId="063B2C33">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1.50%</w:t>
            </w:r>
          </w:p>
        </w:tc>
      </w:tr>
      <w:tr w14:paraId="6B7A9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blCellSpacing w:w="0" w:type="dxa"/>
          <w:jc w:val="center"/>
        </w:trPr>
        <w:tc>
          <w:tcPr>
            <w:tcW w:w="5887" w:type="dxa"/>
            <w:tcBorders>
              <w:top w:val="nil"/>
              <w:left w:val="single" w:color="000000" w:sz="8" w:space="0"/>
              <w:bottom w:val="single" w:color="000000" w:sz="8" w:space="0"/>
              <w:right w:val="single" w:color="000000" w:sz="8" w:space="0"/>
            </w:tcBorders>
            <w:shd w:val="clear" w:color="auto" w:fill="auto"/>
            <w:noWrap w:val="0"/>
            <w:vAlign w:val="center"/>
          </w:tcPr>
          <w:p w14:paraId="1803B64D">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400-1000万元以上（含1000万元）</w:t>
            </w:r>
          </w:p>
        </w:tc>
        <w:tc>
          <w:tcPr>
            <w:tcW w:w="2713" w:type="dxa"/>
            <w:tcBorders>
              <w:top w:val="nil"/>
              <w:left w:val="single" w:color="000000" w:sz="8" w:space="0"/>
              <w:bottom w:val="single" w:color="000000" w:sz="8" w:space="0"/>
              <w:right w:val="single" w:color="000000" w:sz="8" w:space="0"/>
            </w:tcBorders>
            <w:shd w:val="clear" w:color="auto" w:fill="auto"/>
            <w:noWrap w:val="0"/>
            <w:vAlign w:val="center"/>
          </w:tcPr>
          <w:p w14:paraId="33854BF4">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1.10%</w:t>
            </w:r>
          </w:p>
        </w:tc>
      </w:tr>
      <w:tr w14:paraId="5C3A9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blCellSpacing w:w="0" w:type="dxa"/>
          <w:jc w:val="center"/>
        </w:trPr>
        <w:tc>
          <w:tcPr>
            <w:tcW w:w="5887" w:type="dxa"/>
            <w:tcBorders>
              <w:top w:val="nil"/>
              <w:left w:val="single" w:color="000000" w:sz="8" w:space="0"/>
              <w:bottom w:val="single" w:color="000000" w:sz="8" w:space="0"/>
              <w:right w:val="single" w:color="000000" w:sz="8" w:space="0"/>
            </w:tcBorders>
            <w:shd w:val="clear" w:color="auto" w:fill="auto"/>
            <w:noWrap w:val="0"/>
            <w:vAlign w:val="center"/>
          </w:tcPr>
          <w:p w14:paraId="2023369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1000-5000万元以上（含5000万元）</w:t>
            </w:r>
          </w:p>
        </w:tc>
        <w:tc>
          <w:tcPr>
            <w:tcW w:w="2713" w:type="dxa"/>
            <w:tcBorders>
              <w:top w:val="nil"/>
              <w:left w:val="single" w:color="000000" w:sz="8" w:space="0"/>
              <w:bottom w:val="single" w:color="000000" w:sz="8" w:space="0"/>
              <w:right w:val="single" w:color="000000" w:sz="8" w:space="0"/>
            </w:tcBorders>
            <w:shd w:val="clear" w:color="auto" w:fill="auto"/>
            <w:noWrap w:val="0"/>
            <w:vAlign w:val="center"/>
          </w:tcPr>
          <w:p w14:paraId="787929C5">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0.80%</w:t>
            </w:r>
          </w:p>
        </w:tc>
      </w:tr>
      <w:tr w14:paraId="702E9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 w:hRule="atLeast"/>
          <w:tblCellSpacing w:w="0" w:type="dxa"/>
          <w:jc w:val="center"/>
        </w:trPr>
        <w:tc>
          <w:tcPr>
            <w:tcW w:w="5887" w:type="dxa"/>
            <w:tcBorders>
              <w:top w:val="nil"/>
              <w:left w:val="single" w:color="000000" w:sz="8" w:space="0"/>
              <w:bottom w:val="single" w:color="000000" w:sz="8" w:space="0"/>
              <w:right w:val="single" w:color="000000" w:sz="8" w:space="0"/>
            </w:tcBorders>
            <w:shd w:val="clear" w:color="auto" w:fill="auto"/>
            <w:noWrap w:val="0"/>
            <w:vAlign w:val="center"/>
          </w:tcPr>
          <w:p w14:paraId="418D0EA3">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5000-1亿元以上（含1亿元）</w:t>
            </w:r>
          </w:p>
        </w:tc>
        <w:tc>
          <w:tcPr>
            <w:tcW w:w="2713" w:type="dxa"/>
            <w:tcBorders>
              <w:top w:val="nil"/>
              <w:left w:val="single" w:color="000000" w:sz="8" w:space="0"/>
              <w:bottom w:val="single" w:color="000000" w:sz="8" w:space="0"/>
              <w:right w:val="single" w:color="000000" w:sz="8" w:space="0"/>
            </w:tcBorders>
            <w:shd w:val="clear" w:color="auto" w:fill="auto"/>
            <w:noWrap w:val="0"/>
            <w:vAlign w:val="center"/>
          </w:tcPr>
          <w:p w14:paraId="4E3CF3E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0.25%</w:t>
            </w:r>
          </w:p>
        </w:tc>
      </w:tr>
      <w:tr w14:paraId="5AD93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blCellSpacing w:w="0" w:type="dxa"/>
          <w:jc w:val="center"/>
        </w:trPr>
        <w:tc>
          <w:tcPr>
            <w:tcW w:w="5887" w:type="dxa"/>
            <w:tcBorders>
              <w:top w:val="nil"/>
              <w:left w:val="single" w:color="000000" w:sz="8" w:space="0"/>
              <w:bottom w:val="single" w:color="000000" w:sz="8" w:space="0"/>
              <w:right w:val="single" w:color="000000" w:sz="8" w:space="0"/>
            </w:tcBorders>
            <w:shd w:val="clear" w:color="auto" w:fill="auto"/>
            <w:noWrap w:val="0"/>
            <w:vAlign w:val="center"/>
          </w:tcPr>
          <w:p w14:paraId="29724C72">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1-10亿以上（含10亿元）</w:t>
            </w:r>
          </w:p>
        </w:tc>
        <w:tc>
          <w:tcPr>
            <w:tcW w:w="2713" w:type="dxa"/>
            <w:tcBorders>
              <w:top w:val="nil"/>
              <w:left w:val="single" w:color="000000" w:sz="8" w:space="0"/>
              <w:bottom w:val="single" w:color="000000" w:sz="8" w:space="0"/>
              <w:right w:val="single" w:color="000000" w:sz="8" w:space="0"/>
            </w:tcBorders>
            <w:shd w:val="clear" w:color="auto" w:fill="auto"/>
            <w:noWrap w:val="0"/>
            <w:vAlign w:val="center"/>
          </w:tcPr>
          <w:p w14:paraId="69754EB8">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0.05%</w:t>
            </w:r>
          </w:p>
        </w:tc>
      </w:tr>
      <w:tr w14:paraId="7D510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blCellSpacing w:w="0" w:type="dxa"/>
          <w:jc w:val="center"/>
        </w:trPr>
        <w:tc>
          <w:tcPr>
            <w:tcW w:w="5887" w:type="dxa"/>
            <w:tcBorders>
              <w:top w:val="nil"/>
              <w:left w:val="single" w:color="000000" w:sz="8" w:space="0"/>
              <w:bottom w:val="single" w:color="000000" w:sz="8" w:space="0"/>
              <w:right w:val="single" w:color="000000" w:sz="8" w:space="0"/>
            </w:tcBorders>
            <w:shd w:val="clear" w:color="auto" w:fill="auto"/>
            <w:noWrap w:val="0"/>
            <w:vAlign w:val="center"/>
          </w:tcPr>
          <w:p w14:paraId="20509362">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10-50亿元以上（含50亿元）</w:t>
            </w:r>
          </w:p>
        </w:tc>
        <w:tc>
          <w:tcPr>
            <w:tcW w:w="2713" w:type="dxa"/>
            <w:tcBorders>
              <w:top w:val="nil"/>
              <w:left w:val="single" w:color="000000" w:sz="8" w:space="0"/>
              <w:bottom w:val="single" w:color="000000" w:sz="8" w:space="0"/>
              <w:right w:val="single" w:color="000000" w:sz="8" w:space="0"/>
            </w:tcBorders>
            <w:shd w:val="clear" w:color="auto" w:fill="auto"/>
            <w:noWrap w:val="0"/>
            <w:vAlign w:val="center"/>
          </w:tcPr>
          <w:p w14:paraId="28288059">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0.01%</w:t>
            </w:r>
          </w:p>
        </w:tc>
      </w:tr>
      <w:tr w14:paraId="609FF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blCellSpacing w:w="0" w:type="dxa"/>
          <w:jc w:val="center"/>
        </w:trPr>
        <w:tc>
          <w:tcPr>
            <w:tcW w:w="5887" w:type="dxa"/>
            <w:tcBorders>
              <w:top w:val="nil"/>
              <w:left w:val="single" w:color="000000" w:sz="8" w:space="0"/>
              <w:bottom w:val="single" w:color="000000" w:sz="8" w:space="0"/>
              <w:right w:val="single" w:color="000000" w:sz="8" w:space="0"/>
            </w:tcBorders>
            <w:shd w:val="clear" w:color="auto" w:fill="auto"/>
            <w:noWrap w:val="0"/>
            <w:vAlign w:val="center"/>
          </w:tcPr>
          <w:p w14:paraId="2BC2E9BD">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50亿元以上</w:t>
            </w:r>
          </w:p>
        </w:tc>
        <w:tc>
          <w:tcPr>
            <w:tcW w:w="2713" w:type="dxa"/>
            <w:tcBorders>
              <w:top w:val="nil"/>
              <w:left w:val="single" w:color="000000" w:sz="8" w:space="0"/>
              <w:bottom w:val="single" w:color="000000" w:sz="8" w:space="0"/>
              <w:right w:val="single" w:color="000000" w:sz="8" w:space="0"/>
            </w:tcBorders>
            <w:shd w:val="clear" w:color="auto" w:fill="auto"/>
            <w:noWrap w:val="0"/>
            <w:vAlign w:val="center"/>
          </w:tcPr>
          <w:p w14:paraId="58741669">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0.01%</w:t>
            </w:r>
          </w:p>
        </w:tc>
      </w:tr>
    </w:tbl>
    <w:p w14:paraId="1D654F81">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仿宋" w:hAnsi="仿宋" w:eastAsia="仿宋" w:cs="仿宋"/>
          <w:color w:val="000000"/>
          <w:sz w:val="22"/>
          <w:szCs w:val="22"/>
          <w:highlight w:val="none"/>
          <w:lang w:val="en-US" w:eastAsia="zh-CN" w:bidi="ar-SA"/>
        </w:rPr>
      </w:pPr>
    </w:p>
    <w:p w14:paraId="22F481DE">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说明：</w:t>
      </w:r>
    </w:p>
    <w:p w14:paraId="0CA8DAE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1.按上表计算的收费为代理服务全过程的收费金额。各社会代理机构不另外收取采购文件制作售卖费用。</w:t>
      </w:r>
    </w:p>
    <w:p w14:paraId="370EC9B0">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outlineLvl w:val="1"/>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2.代理服务费按差额定率累进法计算。</w:t>
      </w:r>
    </w:p>
    <w:p w14:paraId="4F0D2505">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3.代理服务费基准金额（按差额定率累进法计算的）=中标金额（按差额定率累进法计算的）*费率（%）。</w:t>
      </w:r>
    </w:p>
    <w:p w14:paraId="76F2BBA1">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4.代理服务费应收取金额=代理服务费基准金额（按差额定率累进法计算的）的合计数*40%。</w:t>
      </w:r>
    </w:p>
    <w:p w14:paraId="21C7E81E">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5.定点类等无金额或事先不能计算出价格总额的项目，按中标（成交）金额100万元计算服务费。</w:t>
      </w:r>
    </w:p>
    <w:p w14:paraId="6E4FAC9E">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outlineLvl w:val="1"/>
        <w:rPr>
          <w:rFonts w:hint="eastAsia" w:ascii="仿宋" w:hAnsi="仿宋" w:eastAsia="仿宋" w:cs="仿宋"/>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6.有分包（分标段）的按一个项目计算。</w:t>
      </w:r>
    </w:p>
    <w:p w14:paraId="5F5378A8">
      <w:pPr>
        <w:pStyle w:val="66"/>
        <w:pageBreakBefore w:val="0"/>
        <w:spacing w:line="360" w:lineRule="auto"/>
        <w:rPr>
          <w:rFonts w:hint="eastAsia" w:ascii="仿宋" w:hAnsi="仿宋" w:eastAsia="仿宋" w:cs="仿宋"/>
          <w:color w:val="000000" w:themeColor="text1"/>
          <w:highlight w:val="none"/>
          <w:lang w:val="en-US" w:eastAsia="zh-CN"/>
          <w14:textFill>
            <w14:solidFill>
              <w14:schemeClr w14:val="tx1"/>
            </w14:solidFill>
          </w14:textFill>
        </w:rPr>
      </w:pPr>
    </w:p>
    <w:p w14:paraId="50C512A0">
      <w:pPr>
        <w:pStyle w:val="66"/>
        <w:pageBreakBefore w:val="0"/>
        <w:spacing w:line="360" w:lineRule="auto"/>
        <w:rPr>
          <w:rFonts w:hint="eastAsia" w:ascii="仿宋" w:hAnsi="仿宋" w:eastAsia="仿宋" w:cs="仿宋"/>
          <w:color w:val="000000" w:themeColor="text1"/>
          <w:highlight w:val="none"/>
          <w14:textFill>
            <w14:solidFill>
              <w14:schemeClr w14:val="tx1"/>
            </w14:solidFill>
          </w14:textFill>
        </w:rPr>
      </w:pPr>
    </w:p>
    <w:p w14:paraId="19A706DC">
      <w:pPr>
        <w:pStyle w:val="76"/>
        <w:pageBreakBefore w:val="0"/>
        <w:spacing w:line="360" w:lineRule="auto"/>
        <w:jc w:val="center"/>
        <w:outlineLvl w:val="0"/>
        <w:rPr>
          <w:rFonts w:hint="eastAsia" w:ascii="仿宋" w:hAnsi="仿宋" w:eastAsia="仿宋" w:cs="仿宋"/>
          <w:color w:val="000000" w:themeColor="text1"/>
          <w:sz w:val="30"/>
          <w:szCs w:val="30"/>
          <w:highlight w:val="none"/>
          <w14:textFill>
            <w14:solidFill>
              <w14:schemeClr w14:val="tx1"/>
            </w14:solidFill>
          </w14:textFill>
        </w:rPr>
      </w:pPr>
      <w:bookmarkStart w:id="40" w:name="_Toc21922"/>
      <w:bookmarkStart w:id="41" w:name="_Toc29401"/>
      <w:bookmarkStart w:id="42" w:name="_Toc18456"/>
      <w:bookmarkStart w:id="43" w:name="_Toc28130"/>
      <w:bookmarkStart w:id="44" w:name="_Toc5546"/>
      <w:bookmarkStart w:id="45" w:name="_Toc27036"/>
      <w:r>
        <w:rPr>
          <w:rFonts w:hint="eastAsia" w:ascii="仿宋" w:hAnsi="仿宋" w:eastAsia="仿宋" w:cs="仿宋"/>
          <w:color w:val="000000" w:themeColor="text1"/>
          <w:sz w:val="30"/>
          <w:szCs w:val="30"/>
          <w:highlight w:val="none"/>
          <w14:textFill>
            <w14:solidFill>
              <w14:schemeClr w14:val="tx1"/>
            </w14:solidFill>
          </w14:textFill>
        </w:rPr>
        <w:t>第三章 响应文件</w:t>
      </w:r>
      <w:bookmarkEnd w:id="35"/>
      <w:bookmarkEnd w:id="36"/>
      <w:bookmarkEnd w:id="37"/>
      <w:bookmarkEnd w:id="38"/>
      <w:bookmarkEnd w:id="39"/>
      <w:bookmarkEnd w:id="40"/>
      <w:bookmarkEnd w:id="41"/>
      <w:bookmarkEnd w:id="42"/>
      <w:bookmarkEnd w:id="43"/>
      <w:bookmarkEnd w:id="44"/>
      <w:bookmarkEnd w:id="45"/>
    </w:p>
    <w:p w14:paraId="5910F616">
      <w:pPr>
        <w:pStyle w:val="49"/>
        <w:pageBreakBefore w:val="0"/>
        <w:spacing w:line="360" w:lineRule="auto"/>
        <w:ind w:firstLine="482"/>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一、提交响应文件要求</w:t>
      </w:r>
      <w:r>
        <w:rPr>
          <w:rFonts w:hint="eastAsia" w:ascii="仿宋" w:hAnsi="仿宋" w:eastAsia="仿宋" w:cs="仿宋"/>
          <w:b/>
          <w:color w:val="000000" w:themeColor="text1"/>
          <w:sz w:val="24"/>
          <w:highlight w:val="none"/>
          <w14:textFill>
            <w14:solidFill>
              <w14:schemeClr w14:val="tx1"/>
            </w14:solidFill>
          </w14:textFill>
        </w:rPr>
        <w:t>：</w:t>
      </w:r>
    </w:p>
    <w:p w14:paraId="4D2CAA3A">
      <w:pPr>
        <w:pStyle w:val="51"/>
        <w:spacing w:line="460" w:lineRule="exact"/>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（一）本项目通过“苏采云”系统进行电子采购，即供应商响应文件从政府采购客户端工具制作并通过“苏采云”系统提交。</w:t>
      </w:r>
    </w:p>
    <w:p w14:paraId="36B21D4E">
      <w:pPr>
        <w:pStyle w:val="51"/>
        <w:spacing w:line="460" w:lineRule="exact"/>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供应商应当通过“苏采云”系统提交数据电文形式的响应文件（即电子投标）。未进行线上响应文件提交并解密(因“苏采云”系统导致解密失败的除外)的供应商，响应无效。</w:t>
      </w:r>
    </w:p>
    <w:p w14:paraId="619F13AB">
      <w:pPr>
        <w:pStyle w:val="51"/>
        <w:spacing w:line="460" w:lineRule="exact"/>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“CA数字证书”的获取：供应商需办理CA锁，“苏采云”系统目前仅支持“苏采云”系统下的</w:t>
      </w:r>
      <w:r>
        <w:rPr>
          <w:rFonts w:hint="eastAsia" w:ascii="仿宋" w:hAnsi="仿宋" w:eastAsia="仿宋" w:cs="仿宋"/>
          <w:b w:val="0"/>
          <w:bCs/>
          <w:color w:val="000000"/>
          <w:sz w:val="24"/>
          <w:highlight w:val="none"/>
          <w:lang w:val="en-US" w:eastAsia="zh-CN"/>
        </w:rPr>
        <w:t>政务</w:t>
      </w:r>
      <w:r>
        <w:rPr>
          <w:rFonts w:hint="eastAsia" w:ascii="仿宋" w:hAnsi="仿宋" w:eastAsia="仿宋" w:cs="仿宋"/>
          <w:b w:val="0"/>
          <w:bCs/>
          <w:color w:val="000000"/>
          <w:sz w:val="24"/>
          <w:highlight w:val="none"/>
        </w:rPr>
        <w:t>CA，省内各地区办理的“苏采云”系统下的</w:t>
      </w:r>
      <w:r>
        <w:rPr>
          <w:rFonts w:hint="eastAsia" w:ascii="仿宋" w:hAnsi="仿宋" w:eastAsia="仿宋" w:cs="仿宋"/>
          <w:b w:val="0"/>
          <w:bCs/>
          <w:color w:val="000000"/>
          <w:sz w:val="24"/>
          <w:highlight w:val="none"/>
          <w:lang w:val="en-US" w:eastAsia="zh-CN"/>
        </w:rPr>
        <w:t>政务</w:t>
      </w:r>
      <w:r>
        <w:rPr>
          <w:rFonts w:hint="eastAsia" w:ascii="仿宋" w:hAnsi="仿宋" w:eastAsia="仿宋" w:cs="仿宋"/>
          <w:b w:val="0"/>
          <w:bCs/>
          <w:color w:val="000000"/>
          <w:sz w:val="24"/>
          <w:highlight w:val="none"/>
        </w:rPr>
        <w:t>CA全省通用。“CA数字证书”的办理方法详见“徐州政府采购网-业务工作-快速服务-下载专区”《“苏采云”系统政务CA办理材料、操作手册及控件下载》。</w:t>
      </w:r>
    </w:p>
    <w:p w14:paraId="676B77EC">
      <w:pPr>
        <w:pStyle w:val="51"/>
        <w:spacing w:line="460" w:lineRule="exact"/>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p>
    <w:p w14:paraId="41A66E41">
      <w:pPr>
        <w:pStyle w:val="51"/>
        <w:spacing w:line="460" w:lineRule="exact"/>
        <w:ind w:firstLine="480"/>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“苏采云”系统使用要求：</w:t>
      </w:r>
    </w:p>
    <w:p w14:paraId="253AA81B">
      <w:pPr>
        <w:pStyle w:val="51"/>
        <w:spacing w:line="460" w:lineRule="exact"/>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1、使用谷歌浏览器参与不见面开标及磋商环节。</w:t>
      </w:r>
    </w:p>
    <w:p w14:paraId="3FC05258">
      <w:pPr>
        <w:pStyle w:val="51"/>
        <w:spacing w:line="460" w:lineRule="exact"/>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2、电脑需提前准备好麦克风、音响，摄像头，提前检查保证能够正常使用。</w:t>
      </w:r>
    </w:p>
    <w:p w14:paraId="3F97A535">
      <w:pPr>
        <w:pStyle w:val="51"/>
        <w:spacing w:line="460" w:lineRule="exact"/>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3、操作系统至少win7以上，建议使用win10操作系统。</w:t>
      </w:r>
    </w:p>
    <w:p w14:paraId="634AAD24">
      <w:pPr>
        <w:pStyle w:val="51"/>
        <w:spacing w:line="460" w:lineRule="exact"/>
        <w:ind w:firstLine="480"/>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（二）首次响应文件提交的截止时间：</w:t>
      </w:r>
      <w:r>
        <w:rPr>
          <w:rFonts w:hint="eastAsia" w:ascii="仿宋" w:hAnsi="仿宋" w:eastAsia="仿宋" w:cs="仿宋"/>
          <w:b/>
          <w:bCs w:val="0"/>
          <w:color w:val="000000"/>
          <w:sz w:val="24"/>
          <w:highlight w:val="none"/>
          <w:lang w:eastAsia="zh-CN"/>
        </w:rPr>
        <w:t>2026年7月29日09:30</w:t>
      </w:r>
      <w:r>
        <w:rPr>
          <w:rFonts w:hint="eastAsia" w:ascii="仿宋" w:hAnsi="仿宋" w:eastAsia="仿宋" w:cs="仿宋"/>
          <w:b/>
          <w:bCs w:val="0"/>
          <w:color w:val="000000"/>
          <w:sz w:val="24"/>
          <w:highlight w:val="none"/>
        </w:rPr>
        <w:t>，</w:t>
      </w:r>
      <w:r>
        <w:rPr>
          <w:rFonts w:hint="eastAsia" w:ascii="仿宋" w:hAnsi="仿宋" w:eastAsia="仿宋" w:cs="仿宋"/>
          <w:b w:val="0"/>
          <w:bCs/>
          <w:color w:val="000000"/>
          <w:sz w:val="24"/>
          <w:highlight w:val="none"/>
        </w:rPr>
        <w:t>在截止时间后提交的首次响应文件为无效文件，将被拒收。</w:t>
      </w:r>
    </w:p>
    <w:p w14:paraId="2396D9E2">
      <w:pPr>
        <w:pStyle w:val="51"/>
        <w:spacing w:line="460" w:lineRule="exact"/>
        <w:ind w:firstLine="480"/>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（三）首次响应文件提交时间、地点：</w:t>
      </w:r>
      <w:r>
        <w:rPr>
          <w:rFonts w:hint="eastAsia" w:ascii="仿宋" w:hAnsi="仿宋" w:eastAsia="仿宋" w:cs="仿宋"/>
          <w:b/>
          <w:bCs w:val="0"/>
          <w:color w:val="000000"/>
          <w:sz w:val="24"/>
          <w:highlight w:val="none"/>
          <w:lang w:val="en-US" w:eastAsia="zh-CN"/>
        </w:rPr>
        <w:t xml:space="preserve"> </w:t>
      </w:r>
    </w:p>
    <w:p w14:paraId="7C516820">
      <w:pPr>
        <w:pStyle w:val="51"/>
        <w:spacing w:line="460" w:lineRule="exact"/>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1、提交时间</w:t>
      </w:r>
    </w:p>
    <w:p w14:paraId="27B9259F">
      <w:pPr>
        <w:pStyle w:val="51"/>
        <w:spacing w:line="460" w:lineRule="exact"/>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首次响应文件提交的截止时间</w:t>
      </w:r>
      <w:r>
        <w:rPr>
          <w:rFonts w:hint="eastAsia" w:ascii="仿宋" w:hAnsi="仿宋" w:eastAsia="仿宋" w:cs="仿宋"/>
          <w:b/>
          <w:bCs w:val="0"/>
          <w:color w:val="000000"/>
          <w:sz w:val="24"/>
          <w:highlight w:val="none"/>
        </w:rPr>
        <w:t>（</w:t>
      </w:r>
      <w:r>
        <w:rPr>
          <w:rFonts w:hint="eastAsia" w:ascii="仿宋" w:hAnsi="仿宋" w:eastAsia="仿宋" w:cs="仿宋"/>
          <w:b/>
          <w:bCs w:val="0"/>
          <w:color w:val="000000"/>
          <w:sz w:val="24"/>
          <w:highlight w:val="none"/>
          <w:lang w:eastAsia="zh-CN"/>
        </w:rPr>
        <w:t>2026年7月29日09:30</w:t>
      </w:r>
      <w:r>
        <w:rPr>
          <w:rFonts w:hint="eastAsia" w:ascii="仿宋" w:hAnsi="仿宋" w:eastAsia="仿宋" w:cs="仿宋"/>
          <w:b/>
          <w:bCs w:val="0"/>
          <w:color w:val="000000"/>
          <w:sz w:val="24"/>
          <w:highlight w:val="none"/>
        </w:rPr>
        <w:t>）前。</w:t>
      </w:r>
    </w:p>
    <w:p w14:paraId="7C0C5446">
      <w:pPr>
        <w:pStyle w:val="51"/>
        <w:spacing w:line="460" w:lineRule="exact"/>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2、提交地点：“苏采云”系统（网址：http://jszfcg.jsczt.cn/）“开标大厅”或进入徐州政府采购网（网址：http://czj.xz.gov.cn/Home/HomeIndex）-业务工作-用户登录，点击“苏采云”进入系统“开标大厅”。 </w:t>
      </w:r>
    </w:p>
    <w:p w14:paraId="7C16E8C7">
      <w:pPr>
        <w:pStyle w:val="51"/>
        <w:spacing w:line="460" w:lineRule="exact"/>
        <w:ind w:firstLine="480"/>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（四）首次响应文件开启时间：</w:t>
      </w:r>
      <w:r>
        <w:rPr>
          <w:rFonts w:hint="eastAsia" w:ascii="仿宋" w:hAnsi="仿宋" w:eastAsia="仿宋" w:cs="仿宋"/>
          <w:b/>
          <w:bCs w:val="0"/>
          <w:color w:val="000000"/>
          <w:sz w:val="24"/>
          <w:highlight w:val="none"/>
          <w:lang w:eastAsia="zh-CN"/>
        </w:rPr>
        <w:t>2026年7月29日09:30</w:t>
      </w:r>
      <w:r>
        <w:rPr>
          <w:rFonts w:hint="eastAsia" w:ascii="仿宋" w:hAnsi="仿宋" w:eastAsia="仿宋" w:cs="仿宋"/>
          <w:b/>
          <w:bCs w:val="0"/>
          <w:color w:val="000000"/>
          <w:sz w:val="24"/>
          <w:highlight w:val="none"/>
        </w:rPr>
        <w:t>。</w:t>
      </w:r>
    </w:p>
    <w:p w14:paraId="54381085">
      <w:pPr>
        <w:pStyle w:val="51"/>
        <w:spacing w:line="460" w:lineRule="exact"/>
        <w:ind w:firstLine="480"/>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（五）首次响应文件开启地点：</w:t>
      </w:r>
    </w:p>
    <w:p w14:paraId="0AB96866">
      <w:pPr>
        <w:pStyle w:val="51"/>
        <w:spacing w:line="460" w:lineRule="exact"/>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“苏采云”系统（网址：http://jszfcg.jsczt.cn/）“开标大厅”或进入徐州政府采购网（网址：http://czj.xz.gov.cn/Home/HomeIndex）-业务工作-用户登录，点击“苏采云”进入系统“开标大厅”。</w:t>
      </w:r>
    </w:p>
    <w:p w14:paraId="6D193168">
      <w:pPr>
        <w:pStyle w:val="51"/>
        <w:spacing w:line="460" w:lineRule="exact"/>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32437F2B">
      <w:pPr>
        <w:pStyle w:val="51"/>
        <w:spacing w:line="460" w:lineRule="exact"/>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（七）不接受不按要求加盖公章（电子签章）的首次响应文件。电子签章相关要求见“苏采云”系统。</w:t>
      </w:r>
    </w:p>
    <w:p w14:paraId="6C422FA3">
      <w:pPr>
        <w:pStyle w:val="51"/>
        <w:spacing w:line="460" w:lineRule="exact"/>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（八）首次响应文件解密：到达开启时间，“苏采云”系统自动提取所有响应文件，供应商按采购文件规定方式按时在线解密。本项目采购文件规定的供应商按时在线解密方式：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bCs w:val="0"/>
          <w:color w:val="000000"/>
          <w:sz w:val="24"/>
          <w:highlight w:val="none"/>
        </w:rPr>
        <w:t>开启时间后30分钟内，</w:t>
      </w:r>
      <w:r>
        <w:rPr>
          <w:rFonts w:hint="eastAsia" w:ascii="仿宋" w:hAnsi="仿宋" w:eastAsia="仿宋" w:cs="仿宋"/>
          <w:b w:val="0"/>
          <w:bCs/>
          <w:color w:val="000000"/>
          <w:sz w:val="24"/>
          <w:highlight w:val="none"/>
        </w:rPr>
        <w:t>通过“苏采云”系统（使用“CA数字证书”）解密。</w:t>
      </w:r>
    </w:p>
    <w:p w14:paraId="2FBBE200">
      <w:pPr>
        <w:pStyle w:val="51"/>
        <w:spacing w:line="460" w:lineRule="exact"/>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（九）采购文件（后缀名为“.kedt”）、供应商操作手册及政府采购客户端工具可通过“苏采云”系统（网址：</w:t>
      </w:r>
      <w:r>
        <w:rPr>
          <w:rFonts w:hint="eastAsia" w:ascii="仿宋" w:hAnsi="仿宋" w:eastAsia="仿宋" w:cs="仿宋"/>
          <w:b w:val="0"/>
          <w:bCs/>
          <w:color w:val="000000"/>
          <w:sz w:val="24"/>
          <w:highlight w:val="none"/>
        </w:rPr>
        <w:fldChar w:fldCharType="begin"/>
      </w:r>
      <w:r>
        <w:rPr>
          <w:rFonts w:hint="eastAsia" w:ascii="仿宋" w:hAnsi="仿宋" w:eastAsia="仿宋" w:cs="仿宋"/>
          <w:b w:val="0"/>
          <w:bCs/>
          <w:color w:val="000000"/>
          <w:sz w:val="24"/>
          <w:highlight w:val="none"/>
        </w:rPr>
        <w:instrText xml:space="preserve"> HYPERLINK "http://jszfcg.jsczt.cn/" \o "http://jszfcg.jsczt.cn/" </w:instrText>
      </w:r>
      <w:r>
        <w:rPr>
          <w:rFonts w:hint="eastAsia" w:ascii="仿宋" w:hAnsi="仿宋" w:eastAsia="仿宋" w:cs="仿宋"/>
          <w:b w:val="0"/>
          <w:bCs/>
          <w:color w:val="000000"/>
          <w:sz w:val="24"/>
          <w:highlight w:val="none"/>
        </w:rPr>
        <w:fldChar w:fldCharType="separate"/>
      </w:r>
      <w:r>
        <w:rPr>
          <w:rFonts w:hint="eastAsia" w:ascii="仿宋" w:hAnsi="仿宋" w:eastAsia="仿宋" w:cs="仿宋"/>
          <w:b w:val="0"/>
          <w:bCs/>
          <w:color w:val="000000"/>
          <w:sz w:val="24"/>
          <w:highlight w:val="none"/>
        </w:rPr>
        <w:t>http://jszfcg.jsczt.cn/</w:t>
      </w:r>
      <w:r>
        <w:rPr>
          <w:rFonts w:hint="eastAsia" w:ascii="仿宋" w:hAnsi="仿宋" w:eastAsia="仿宋" w:cs="仿宋"/>
          <w:b w:val="0"/>
          <w:bCs/>
          <w:color w:val="000000"/>
          <w:sz w:val="24"/>
          <w:highlight w:val="none"/>
        </w:rPr>
        <w:fldChar w:fldCharType="end"/>
      </w:r>
      <w:r>
        <w:rPr>
          <w:rFonts w:hint="eastAsia" w:ascii="仿宋" w:hAnsi="仿宋" w:eastAsia="仿宋" w:cs="仿宋"/>
          <w:b w:val="0"/>
          <w:bCs/>
          <w:color w:val="000000"/>
          <w:sz w:val="24"/>
          <w:highlight w:val="none"/>
        </w:rPr>
        <w:t>）--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17D2EBF8">
      <w:pPr>
        <w:pStyle w:val="51"/>
        <w:spacing w:line="460" w:lineRule="exact"/>
        <w:ind w:firstLine="480"/>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（十）相关说明: 供应商在“苏采云”系统中提交首次响应文件的时间即为数据电文（响应文件，下同）的发送时间和接收时间。</w:t>
      </w:r>
    </w:p>
    <w:p w14:paraId="7C38EB3F">
      <w:pPr>
        <w:pStyle w:val="47"/>
        <w:rPr>
          <w:rFonts w:hint="eastAsia"/>
        </w:rPr>
      </w:pPr>
    </w:p>
    <w:p w14:paraId="0E878C1C">
      <w:pPr>
        <w:pStyle w:val="49"/>
        <w:pageBreakBefore w:val="0"/>
        <w:spacing w:line="360" w:lineRule="auto"/>
        <w:ind w:firstLine="482"/>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二、响应文件编制要求</w:t>
      </w:r>
      <w:r>
        <w:rPr>
          <w:rFonts w:hint="eastAsia" w:ascii="仿宋" w:hAnsi="仿宋" w:eastAsia="仿宋" w:cs="仿宋"/>
          <w:b/>
          <w:color w:val="000000" w:themeColor="text1"/>
          <w:sz w:val="24"/>
          <w:highlight w:val="none"/>
          <w14:textFill>
            <w14:solidFill>
              <w14:schemeClr w14:val="tx1"/>
            </w14:solidFill>
          </w14:textFill>
        </w:rPr>
        <w:t>：</w:t>
      </w:r>
    </w:p>
    <w:p w14:paraId="43F8A999">
      <w:pPr>
        <w:pStyle w:val="49"/>
        <w:pageBreakBefore w:val="0"/>
        <w:widowControl w:val="0"/>
        <w:spacing w:line="240" w:lineRule="auto"/>
        <w:ind w:firstLine="0"/>
        <w:rPr>
          <w:rFonts w:hint="eastAsia" w:ascii="仿宋" w:hAnsi="仿宋" w:eastAsia="仿宋" w:cs="仿宋"/>
          <w:color w:val="000000" w:themeColor="text1"/>
          <w:sz w:val="24"/>
          <w:highlight w:val="yellow"/>
          <w14:textFill>
            <w14:solidFill>
              <w14:schemeClr w14:val="tx1"/>
            </w14:solidFill>
          </w14:textFill>
        </w:rPr>
      </w:pPr>
    </w:p>
    <w:p w14:paraId="0A6CF1FC">
      <w:pPr>
        <w:pageBreakBefore w:val="0"/>
        <w:pBdr>
          <w:top w:val="none" w:color="000000" w:sz="0" w:space="0"/>
          <w:left w:val="none" w:color="000000" w:sz="0" w:space="0"/>
          <w:bottom w:val="none" w:color="000000" w:sz="0" w:space="0"/>
          <w:right w:val="none" w:color="000000" w:sz="0" w:space="0"/>
        </w:pBdr>
        <w:spacing w:after="0" w:line="360" w:lineRule="auto"/>
        <w:ind w:firstLine="48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请按照以下要求（包括但不限于以下要求）制作：</w:t>
      </w:r>
    </w:p>
    <w:p w14:paraId="660019F6">
      <w:pPr>
        <w:keepNext w:val="0"/>
        <w:keepLines w:val="0"/>
        <w:pageBreakBefore w:val="0"/>
        <w:widowControl/>
        <w:numPr>
          <w:ilvl w:val="0"/>
          <w:numId w:val="1"/>
        </w:numPr>
        <w:pBdr>
          <w:top w:val="none" w:color="000000" w:sz="0" w:space="0"/>
          <w:left w:val="none" w:color="000000" w:sz="0" w:space="0"/>
          <w:bottom w:val="none" w:color="000000" w:sz="0" w:space="0"/>
          <w:right w:val="none" w:color="000000" w:sz="0" w:space="0"/>
        </w:pBdr>
        <w:spacing w:after="0" w:line="360" w:lineRule="auto"/>
        <w:ind w:firstLine="482"/>
        <w:outlineLvl w:val="2"/>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基本目录</w:t>
      </w:r>
    </w:p>
    <w:p w14:paraId="272393DD">
      <w:pPr>
        <w:pStyle w:val="7"/>
        <w:keepNext/>
        <w:keepLines/>
        <w:pageBreakBefore w:val="0"/>
        <w:widowControl/>
        <w:numPr>
          <w:ilvl w:val="0"/>
          <w:numId w:val="2"/>
        </w:numPr>
        <w:spacing w:before="0" w:after="0" w:line="360" w:lineRule="auto"/>
        <w:ind w:firstLine="480"/>
        <w:outlineLvl w:val="3"/>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《目录》（格式自拟，加盖电子签章）；</w:t>
      </w:r>
    </w:p>
    <w:p w14:paraId="2C3F9E2B">
      <w:pPr>
        <w:pStyle w:val="7"/>
        <w:keepNext/>
        <w:keepLines/>
        <w:pageBreakBefore w:val="0"/>
        <w:widowControl/>
        <w:numPr>
          <w:ilvl w:val="0"/>
          <w:numId w:val="0"/>
        </w:numPr>
        <w:spacing w:before="0" w:after="0" w:line="360" w:lineRule="auto"/>
        <w:ind w:firstLine="480"/>
        <w:outlineLvl w:val="3"/>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2.《磋商报价表》（加盖电子签章，</w:t>
      </w:r>
      <w:r>
        <w:rPr>
          <w:rFonts w:hint="eastAsia" w:ascii="仿宋" w:hAnsi="仿宋" w:eastAsia="仿宋" w:cs="仿宋"/>
          <w:color w:val="000000" w:themeColor="text1"/>
          <w:sz w:val="24"/>
          <w:szCs w:val="24"/>
          <w:highlight w:val="none"/>
          <w:lang w:eastAsia="zh-CN"/>
          <w14:textFill>
            <w14:solidFill>
              <w14:schemeClr w14:val="tx1"/>
            </w14:solidFill>
          </w14:textFill>
        </w:rPr>
        <w:t>政府采购客户端工具输入报价自动生成）；</w:t>
      </w:r>
    </w:p>
    <w:p w14:paraId="42508C81">
      <w:pPr>
        <w:keepNext w:val="0"/>
        <w:keepLines w:val="0"/>
        <w:pageBreakBefore w:val="0"/>
        <w:widowControl/>
        <w:pBdr>
          <w:top w:val="none" w:color="000000" w:sz="0" w:space="0"/>
          <w:left w:val="none" w:color="000000" w:sz="0" w:space="0"/>
          <w:bottom w:val="none" w:color="000000" w:sz="0" w:space="0"/>
          <w:right w:val="none" w:color="000000" w:sz="0" w:space="0"/>
        </w:pBdr>
        <w:spacing w:after="0" w:line="360" w:lineRule="auto"/>
        <w:ind w:firstLine="482"/>
        <w:outlineLvl w:val="2"/>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二</w:t>
      </w:r>
      <w:r>
        <w:rPr>
          <w:rFonts w:hint="eastAsia" w:ascii="仿宋" w:hAnsi="仿宋" w:eastAsia="仿宋" w:cs="仿宋"/>
          <w:b/>
          <w:bCs/>
          <w:color w:val="000000" w:themeColor="text1"/>
          <w:sz w:val="24"/>
          <w:szCs w:val="24"/>
          <w:highlight w:val="none"/>
          <w:lang w:eastAsia="zh-CN"/>
          <w14:textFill>
            <w14:solidFill>
              <w14:schemeClr w14:val="tx1"/>
            </w14:solidFill>
          </w14:textFill>
        </w:rPr>
        <w:t>）资格条件（必须提供，否则响应无效）</w:t>
      </w:r>
    </w:p>
    <w:p w14:paraId="6FC29A79">
      <w:pPr>
        <w:keepNext w:val="0"/>
        <w:keepLines w:val="0"/>
        <w:pageBreakBefore w:val="0"/>
        <w:pBdr>
          <w:top w:val="none" w:color="000000" w:sz="0" w:space="0"/>
          <w:left w:val="none" w:color="000000" w:sz="0" w:space="0"/>
          <w:bottom w:val="none" w:color="000000" w:sz="0" w:space="0"/>
          <w:right w:val="none" w:color="000000" w:sz="0" w:space="0"/>
        </w:pBdr>
        <w:spacing w:after="0" w:line="360" w:lineRule="auto"/>
        <w:ind w:right="26" w:firstLine="480"/>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highlight w:val="none"/>
          <w:lang w:eastAsia="zh-CN"/>
          <w14:textFill>
            <w14:solidFill>
              <w14:schemeClr w14:val="tx1"/>
            </w14:solidFill>
          </w14:textFill>
        </w:rPr>
        <w:t>1.</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具有独立承担民事责任的能力，提供供应商合法有效的法人的营业执照(或事业单位法人证书)或其他组织应提供合法证明文件的原件彩色扫描件(加盖电子签章)</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w:t>
      </w:r>
    </w:p>
    <w:p w14:paraId="3225AE83">
      <w:pPr>
        <w:keepNext w:val="0"/>
        <w:keepLines w:val="0"/>
        <w:pageBreakBefore w:val="0"/>
        <w:pBdr>
          <w:top w:val="none" w:color="000000" w:sz="0" w:space="0"/>
          <w:left w:val="none" w:color="000000" w:sz="0" w:space="0"/>
          <w:bottom w:val="none" w:color="000000" w:sz="0" w:space="0"/>
          <w:right w:val="none" w:color="000000" w:sz="0" w:space="0"/>
        </w:pBdr>
        <w:spacing w:after="0" w:line="360" w:lineRule="auto"/>
        <w:ind w:right="26" w:firstLine="480"/>
        <w:rPr>
          <w:rFonts w:hint="eastAsia" w:ascii="仿宋" w:hAnsi="仿宋" w:eastAsia="仿宋" w:cs="仿宋"/>
          <w:b w:val="0"/>
          <w:bCs w:val="0"/>
          <w:color w:val="000000" w:themeColor="text1"/>
          <w:sz w:val="24"/>
          <w:szCs w:val="24"/>
          <w:highlight w:val="none"/>
          <w:lang w:eastAsia="zh-CN"/>
          <w14:textFill>
            <w14:solidFill>
              <w14:schemeClr w14:val="tx1"/>
            </w14:solidFill>
          </w14:textFill>
        </w:rPr>
      </w:pPr>
      <w:r>
        <w:rPr>
          <w:rFonts w:hint="eastAsia" w:ascii="仿宋" w:hAnsi="仿宋" w:eastAsia="仿宋" w:cs="仿宋"/>
          <w:b/>
          <w:bCs/>
          <w:sz w:val="24"/>
          <w:szCs w:val="24"/>
          <w:highlight w:val="none"/>
          <w:lang w:val="en-US" w:eastAsia="zh-CN"/>
        </w:rPr>
        <w:t>2.</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财务状况报告；至少提供：即提供供应商的本项目开标时间前6个月内任何1月（不含开标当月）资产负债表原件的扫描件1份；供应商的本项目开标时间前6个月内任何1月（不含开标当月）利润表月报表原件的扫描件1份或提供供应商上年度财务报告原件的扫描件或供应商的本项目开标时间前6个月内银行出具的资信证明原件的扫描件(加盖电子签章)</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w:t>
      </w:r>
    </w:p>
    <w:p w14:paraId="030B0C7A">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b w:val="0"/>
          <w:bCs w:val="0"/>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3</w:t>
      </w:r>
      <w:r>
        <w:rPr>
          <w:rFonts w:hint="eastAsia" w:ascii="仿宋" w:hAnsi="仿宋" w:eastAsia="仿宋" w:cs="仿宋"/>
          <w:b/>
          <w:bCs/>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供应商在本项目开标时间前6个月内任何1月（不含开标当月）的依法缴纳税收和社会保障资金的相关材料扫描件；依法免税或不需要缴纳社会保障资金的供应商应提供相应其依法免税或不需要缴纳社会保障资金的证明文件扫描件(加盖电子签章)；</w:t>
      </w:r>
    </w:p>
    <w:p w14:paraId="5EBA0D3F">
      <w:pPr>
        <w:keepNext w:val="0"/>
        <w:keepLines w:val="0"/>
        <w:pageBreakBefore w:val="0"/>
        <w:pBdr>
          <w:top w:val="none" w:color="000000" w:sz="0" w:space="0"/>
          <w:left w:val="none" w:color="000000" w:sz="0" w:space="0"/>
          <w:bottom w:val="none" w:color="000000" w:sz="0" w:space="0"/>
          <w:right w:val="none" w:color="000000" w:sz="0" w:space="0"/>
        </w:pBdr>
        <w:spacing w:after="0" w:line="360" w:lineRule="auto"/>
        <w:ind w:right="26" w:firstLine="480"/>
        <w:rPr>
          <w:rFonts w:hint="eastAsia" w:ascii="仿宋" w:hAnsi="仿宋" w:eastAsia="仿宋" w:cs="仿宋"/>
          <w:b w:val="0"/>
          <w:bCs w:val="0"/>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具备履行合同所必需的设备和专业技术能力的证明材料提供具备履行合同所必需的设备和专业技术能力的书面声明（加盖电子签章，格式见《磋商文件》附件）；</w:t>
      </w:r>
    </w:p>
    <w:p w14:paraId="51B96AA9">
      <w:pPr>
        <w:keepNext w:val="0"/>
        <w:keepLines w:val="0"/>
        <w:pageBreakBefore w:val="0"/>
        <w:pBdr>
          <w:top w:val="none" w:color="000000" w:sz="0" w:space="0"/>
          <w:left w:val="none" w:color="000000" w:sz="0" w:space="0"/>
          <w:bottom w:val="none" w:color="000000" w:sz="0" w:space="0"/>
          <w:right w:val="none" w:color="000000" w:sz="0" w:space="0"/>
        </w:pBdr>
        <w:spacing w:after="0" w:line="360" w:lineRule="auto"/>
        <w:ind w:right="26" w:firstLine="480"/>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供应商参加政府采购活动前3年内在经营活动中没有重大违法记录的书面声明（加盖电子签章，格式见《磋商文件》附件）</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w:t>
      </w:r>
    </w:p>
    <w:p w14:paraId="7FB6840A">
      <w:pPr>
        <w:pStyle w:val="49"/>
        <w:keepNext w:val="0"/>
        <w:keepLines w:val="0"/>
        <w:pageBreakBefore w:val="0"/>
        <w:spacing w:line="360" w:lineRule="auto"/>
        <w:ind w:right="-334" w:firstLine="480"/>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6.</w:t>
      </w:r>
      <w:r>
        <w:rPr>
          <w:rFonts w:hint="eastAsia" w:ascii="仿宋" w:hAnsi="仿宋" w:eastAsia="仿宋" w:cs="仿宋"/>
          <w:bCs/>
          <w:color w:val="000000" w:themeColor="text1"/>
          <w:sz w:val="24"/>
          <w:highlight w:val="none"/>
          <w:lang w:val="en-US" w:eastAsia="zh-CN"/>
          <w14:textFill>
            <w14:solidFill>
              <w14:schemeClr w14:val="tx1"/>
            </w14:solidFill>
          </w14:textFill>
        </w:rPr>
        <w:t>供应商为中小微企业（含中型、小型、微型企业，下同）的，提供《中小企业声明函》原件（加盖电子签章，填写完整，必须提供，格式见《磋商文件》附件）。《中小企业声明函》查询渠道参考工业和信息化部发布的中小企业规模自测小程序。</w:t>
      </w:r>
    </w:p>
    <w:p w14:paraId="6CBD2976">
      <w:pPr>
        <w:pStyle w:val="49"/>
        <w:keepNext w:val="0"/>
        <w:keepLines w:val="0"/>
        <w:pageBreakBefore w:val="0"/>
        <w:spacing w:line="360" w:lineRule="auto"/>
        <w:ind w:right="-334" w:firstLine="480"/>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注：中小微企业，应当同时符合以下条件：</w:t>
      </w:r>
    </w:p>
    <w:p w14:paraId="0ADFF453">
      <w:pPr>
        <w:pStyle w:val="49"/>
        <w:keepNext w:val="0"/>
        <w:keepLines w:val="0"/>
        <w:pageBreakBefore w:val="0"/>
        <w:spacing w:line="360" w:lineRule="auto"/>
        <w:ind w:right="-334" w:firstLine="480"/>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p>
    <w:p w14:paraId="6B4B28BC">
      <w:pPr>
        <w:pStyle w:val="49"/>
        <w:keepNext w:val="0"/>
        <w:keepLines w:val="0"/>
        <w:pageBreakBefore w:val="0"/>
        <w:spacing w:line="360" w:lineRule="auto"/>
        <w:ind w:right="-334" w:firstLine="480"/>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供应商为残疾人福利性单位的，视同小微企业，提供《残疾人福利性单位声明函》（电子签章，格式见附件》）。具体以《关于促进残疾人就业政府采购政策的通知》（财库〔2017〕141号）的规定为准。</w:t>
      </w:r>
    </w:p>
    <w:p w14:paraId="28390AE5">
      <w:pPr>
        <w:pStyle w:val="49"/>
        <w:keepNext w:val="0"/>
        <w:keepLines w:val="0"/>
        <w:pageBreakBefore w:val="0"/>
        <w:spacing w:line="360" w:lineRule="auto"/>
        <w:ind w:right="-334" w:firstLine="480"/>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p>
    <w:p w14:paraId="6102C9D3">
      <w:pPr>
        <w:pStyle w:val="53"/>
        <w:keepNext w:val="0"/>
        <w:keepLines w:val="0"/>
        <w:pageBreakBefore w:val="0"/>
        <w:spacing w:line="360" w:lineRule="auto"/>
        <w:outlineLvl w:val="3"/>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7.</w:t>
      </w:r>
      <w:r>
        <w:rPr>
          <w:rFonts w:hint="eastAsia" w:ascii="仿宋" w:hAnsi="仿宋" w:eastAsia="仿宋" w:cs="仿宋"/>
          <w:b/>
          <w:bCs/>
          <w:color w:val="000000" w:themeColor="text1"/>
          <w:sz w:val="24"/>
          <w:highlight w:val="none"/>
          <w14:textFill>
            <w14:solidFill>
              <w14:schemeClr w14:val="tx1"/>
            </w14:solidFill>
          </w14:textFill>
        </w:rPr>
        <w:t>本项目的特定资格要求：</w:t>
      </w:r>
    </w:p>
    <w:p w14:paraId="25EFE4A6">
      <w:pPr>
        <w:pStyle w:val="53"/>
        <w:keepNext w:val="0"/>
        <w:keepLines w:val="0"/>
        <w:pageBreakBefore w:val="0"/>
        <w:spacing w:line="360" w:lineRule="auto"/>
        <w:ind w:firstLine="240"/>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（1）供应商须具备</w:t>
      </w:r>
      <w:r>
        <w:rPr>
          <w:rFonts w:hint="eastAsia" w:ascii="仿宋" w:hAnsi="仿宋" w:eastAsia="仿宋" w:cs="仿宋"/>
          <w:bCs/>
          <w:color w:val="000000" w:themeColor="text1"/>
          <w:sz w:val="24"/>
          <w:szCs w:val="24"/>
          <w:highlight w:val="none"/>
          <w:u w:val="single"/>
          <w:lang w:val="en-US" w:eastAsia="zh-CN" w:bidi="ar-SA"/>
          <w14:textFill>
            <w14:solidFill>
              <w14:schemeClr w14:val="tx1"/>
            </w14:solidFill>
          </w14:textFill>
        </w:rPr>
        <w:t>市政公用工程施工总承包叁级</w:t>
      </w: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（含）以上资质</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原件彩色扫描件</w:t>
      </w:r>
      <w:r>
        <w:rPr>
          <w:rFonts w:hint="eastAsia" w:ascii="仿宋" w:hAnsi="仿宋" w:eastAsia="仿宋" w:cs="仿宋"/>
          <w:sz w:val="24"/>
          <w:szCs w:val="24"/>
          <w:highlight w:val="none"/>
        </w:rPr>
        <w:t>加盖电子签章</w:t>
      </w:r>
      <w:r>
        <w:rPr>
          <w:rFonts w:hint="eastAsia" w:ascii="仿宋" w:hAnsi="仿宋" w:eastAsia="仿宋" w:cs="仿宋"/>
          <w:sz w:val="24"/>
          <w:highlight w:val="none"/>
          <w:lang w:eastAsia="zh-CN"/>
        </w:rPr>
        <w:t>）</w:t>
      </w: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w:t>
      </w:r>
    </w:p>
    <w:p w14:paraId="63C1BD00">
      <w:pPr>
        <w:pStyle w:val="53"/>
        <w:keepNext w:val="0"/>
        <w:keepLines w:val="0"/>
        <w:pageBreakBefore w:val="0"/>
        <w:spacing w:line="360" w:lineRule="auto"/>
        <w:ind w:firstLine="240"/>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（2）供应商须具有效的《安全生产许可证》</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原件彩色扫描件</w:t>
      </w:r>
      <w:r>
        <w:rPr>
          <w:rFonts w:hint="eastAsia" w:ascii="仿宋" w:hAnsi="仿宋" w:eastAsia="仿宋" w:cs="仿宋"/>
          <w:sz w:val="24"/>
          <w:szCs w:val="24"/>
          <w:highlight w:val="none"/>
        </w:rPr>
        <w:t>加盖电子签章</w:t>
      </w:r>
      <w:r>
        <w:rPr>
          <w:rFonts w:hint="eastAsia" w:ascii="仿宋" w:hAnsi="仿宋" w:eastAsia="仿宋" w:cs="仿宋"/>
          <w:sz w:val="24"/>
          <w:highlight w:val="none"/>
          <w:lang w:eastAsia="zh-CN"/>
        </w:rPr>
        <w:t>）</w:t>
      </w: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w:t>
      </w:r>
    </w:p>
    <w:p w14:paraId="0AC5F8BE">
      <w:pPr>
        <w:pStyle w:val="50"/>
        <w:keepNext w:val="0"/>
        <w:keepLines w:val="0"/>
        <w:pageBreakBefore w:val="0"/>
        <w:spacing w:line="360" w:lineRule="auto"/>
        <w:ind w:left="0" w:firstLine="240"/>
        <w:rPr>
          <w:rFonts w:hint="eastAsia" w:ascii="仿宋" w:hAnsi="仿宋" w:eastAsia="仿宋" w:cs="仿宋"/>
          <w:sz w:val="24"/>
          <w:szCs w:val="24"/>
          <w:highlight w:val="none"/>
        </w:rPr>
      </w:pP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（3）供应商拟派项目负责人（注册建造师）具备</w:t>
      </w:r>
      <w:r>
        <w:rPr>
          <w:rFonts w:hint="eastAsia" w:ascii="仿宋" w:hAnsi="仿宋" w:eastAsia="仿宋" w:cs="仿宋"/>
          <w:bCs/>
          <w:color w:val="000000" w:themeColor="text1"/>
          <w:sz w:val="24"/>
          <w:szCs w:val="24"/>
          <w:highlight w:val="none"/>
          <w:u w:val="single"/>
          <w:lang w:val="en-US" w:eastAsia="zh-CN" w:bidi="ar-SA"/>
          <w14:textFill>
            <w14:solidFill>
              <w14:schemeClr w14:val="tx1"/>
            </w14:solidFill>
          </w14:textFill>
        </w:rPr>
        <w:t>市政公用工程专业贰级</w:t>
      </w: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（含）以上建造师资格，并取得《建筑施工企业项目负责人安全生产考核合格证书》（B证）且无在建工程(提供无在建证明材料（格式自拟），其余提供原件彩色扫描件加盖电子签章）。</w:t>
      </w:r>
    </w:p>
    <w:p w14:paraId="2321A857">
      <w:pPr>
        <w:pageBreakBefore w:val="0"/>
        <w:pBdr>
          <w:top w:val="none" w:color="000000" w:sz="0" w:space="0"/>
          <w:left w:val="none" w:color="000000" w:sz="0" w:space="0"/>
          <w:bottom w:val="none" w:color="000000" w:sz="0" w:space="0"/>
          <w:right w:val="none" w:color="000000" w:sz="0" w:space="0"/>
        </w:pBdr>
        <w:spacing w:after="0" w:line="360" w:lineRule="auto"/>
        <w:ind w:firstLine="480"/>
        <w:outlineLvl w:val="2"/>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三</w:t>
      </w:r>
      <w:r>
        <w:rPr>
          <w:rFonts w:hint="eastAsia" w:ascii="仿宋" w:hAnsi="仿宋" w:eastAsia="仿宋" w:cs="仿宋"/>
          <w:b/>
          <w:bCs/>
          <w:color w:val="000000" w:themeColor="text1"/>
          <w:sz w:val="24"/>
          <w:szCs w:val="24"/>
          <w:highlight w:val="none"/>
          <w:lang w:eastAsia="zh-CN"/>
          <w14:textFill>
            <w14:solidFill>
              <w14:schemeClr w14:val="tx1"/>
            </w14:solidFill>
          </w14:textFill>
        </w:rPr>
        <w:t>）符合条件（必须提供，否则响应无效）</w:t>
      </w:r>
    </w:p>
    <w:p w14:paraId="1A92FDAF">
      <w:pPr>
        <w:pageBreakBefore w:val="0"/>
        <w:pBdr>
          <w:top w:val="none" w:color="000000" w:sz="0" w:space="0"/>
          <w:left w:val="none" w:color="000000" w:sz="0" w:space="0"/>
          <w:bottom w:val="none" w:color="000000" w:sz="0" w:space="0"/>
          <w:right w:val="none" w:color="000000" w:sz="0" w:space="0"/>
        </w:pBdr>
        <w:spacing w:after="0" w:line="360" w:lineRule="auto"/>
        <w:ind w:firstLine="48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1.《承诺书》（加盖电子签章，格式见《磋商文件》附件）；</w:t>
      </w:r>
    </w:p>
    <w:p w14:paraId="63A551FD">
      <w:pPr>
        <w:pageBreakBefore w:val="0"/>
        <w:pBdr>
          <w:top w:val="none" w:color="000000" w:sz="0" w:space="0"/>
          <w:left w:val="none" w:color="000000" w:sz="0" w:space="0"/>
          <w:bottom w:val="none" w:color="000000" w:sz="0" w:space="0"/>
          <w:right w:val="none" w:color="000000" w:sz="0" w:space="0"/>
        </w:pBdr>
        <w:spacing w:after="0" w:line="360" w:lineRule="auto"/>
        <w:ind w:firstLine="48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2.《磋商报价表》（加盖电子签章，格式见《磋商文件》附件）；</w:t>
      </w:r>
    </w:p>
    <w:p w14:paraId="6C178A06">
      <w:pPr>
        <w:pageBreakBefore w:val="0"/>
        <w:pBdr>
          <w:top w:val="none" w:color="000000" w:sz="0" w:space="0"/>
          <w:left w:val="none" w:color="000000" w:sz="0" w:space="0"/>
          <w:bottom w:val="none" w:color="000000" w:sz="0" w:space="0"/>
          <w:right w:val="none" w:color="000000" w:sz="0" w:space="0"/>
        </w:pBdr>
        <w:spacing w:after="0" w:line="360" w:lineRule="auto"/>
        <w:ind w:firstLine="48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3.《分项价格表》（加盖电子签章，格式见《磋商文件》附件）；</w:t>
      </w:r>
    </w:p>
    <w:p w14:paraId="664D864A">
      <w:pPr>
        <w:pageBreakBefore w:val="0"/>
        <w:pBdr>
          <w:top w:val="none" w:color="000000" w:sz="0" w:space="0"/>
          <w:left w:val="none" w:color="000000" w:sz="0" w:space="0"/>
          <w:bottom w:val="none" w:color="000000" w:sz="0" w:space="0"/>
          <w:right w:val="none" w:color="000000" w:sz="0" w:space="0"/>
        </w:pBdr>
        <w:spacing w:after="0" w:line="360" w:lineRule="auto"/>
        <w:ind w:firstLine="48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4.《授权委托书》（加盖电子签章，格式见《磋商文件》附件）；</w:t>
      </w:r>
    </w:p>
    <w:p w14:paraId="407272F4">
      <w:pPr>
        <w:pageBreakBefore w:val="0"/>
        <w:pBdr>
          <w:top w:val="none" w:color="000000" w:sz="0" w:space="0"/>
          <w:left w:val="none" w:color="000000" w:sz="0" w:space="0"/>
          <w:bottom w:val="none" w:color="000000" w:sz="0" w:space="0"/>
          <w:right w:val="none" w:color="000000" w:sz="0" w:space="0"/>
        </w:pBdr>
        <w:spacing w:after="0" w:line="360" w:lineRule="auto"/>
        <w:ind w:firstLine="48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5.《偏离表》（加盖电子签章，格式见《磋商文件》附件）；</w:t>
      </w:r>
    </w:p>
    <w:p w14:paraId="79E76BB5">
      <w:pPr>
        <w:pageBreakBefore w:val="0"/>
        <w:pBdr>
          <w:top w:val="none" w:color="000000" w:sz="0" w:space="0"/>
          <w:left w:val="none" w:color="000000" w:sz="0" w:space="0"/>
          <w:bottom w:val="none" w:color="000000" w:sz="0" w:space="0"/>
          <w:right w:val="none" w:color="000000" w:sz="0" w:space="0"/>
        </w:pBdr>
        <w:spacing w:after="0" w:line="360" w:lineRule="auto"/>
        <w:ind w:firstLine="480"/>
        <w:outlineLvl w:val="2"/>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四</w:t>
      </w:r>
      <w:r>
        <w:rPr>
          <w:rFonts w:hint="eastAsia" w:ascii="仿宋" w:hAnsi="仿宋" w:eastAsia="仿宋" w:cs="仿宋"/>
          <w:b/>
          <w:bCs/>
          <w:color w:val="000000" w:themeColor="text1"/>
          <w:sz w:val="24"/>
          <w:szCs w:val="24"/>
          <w:highlight w:val="none"/>
          <w:lang w:eastAsia="zh-CN"/>
          <w14:textFill>
            <w14:solidFill>
              <w14:schemeClr w14:val="tx1"/>
            </w14:solidFill>
          </w14:textFill>
        </w:rPr>
        <w:t>）综合评审评分项</w:t>
      </w:r>
    </w:p>
    <w:p w14:paraId="7AD38FFF">
      <w:pPr>
        <w:keepNext w:val="0"/>
        <w:keepLines w:val="0"/>
        <w:pageBreakBefore w:val="0"/>
        <w:widowControl/>
        <w:pBdr>
          <w:top w:val="none" w:color="000000" w:sz="0" w:space="0"/>
          <w:left w:val="none" w:color="000000" w:sz="0" w:space="0"/>
          <w:bottom w:val="none" w:color="000000" w:sz="0" w:space="0"/>
          <w:right w:val="none" w:color="000000" w:sz="0" w:space="0"/>
        </w:pBdr>
        <w:spacing w:after="0" w:line="360" w:lineRule="auto"/>
        <w:ind w:firstLine="480"/>
        <w:outlineLvl w:val="3"/>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1.技术部分</w:t>
      </w:r>
    </w:p>
    <w:p w14:paraId="070AEFB9">
      <w:pPr>
        <w:keepNext w:val="0"/>
        <w:keepLines w:val="0"/>
        <w:pageBreakBefore w:val="0"/>
        <w:widowControl/>
        <w:pBdr>
          <w:top w:val="none" w:color="000000" w:sz="0" w:space="0"/>
          <w:left w:val="none" w:color="000000" w:sz="0" w:space="0"/>
          <w:bottom w:val="none" w:color="000000" w:sz="0" w:space="0"/>
          <w:right w:val="none" w:color="000000" w:sz="0" w:space="0"/>
        </w:pBdr>
        <w:spacing w:after="0" w:line="360" w:lineRule="auto"/>
        <w:ind w:firstLine="480"/>
        <w:outlineLvl w:val="4"/>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（1）</w:t>
      </w:r>
      <w:r>
        <w:rPr>
          <w:rFonts w:hint="eastAsia" w:ascii="仿宋" w:hAnsi="仿宋" w:eastAsia="仿宋" w:cs="仿宋"/>
          <w:color w:val="000000" w:themeColor="text1"/>
          <w:sz w:val="24"/>
          <w:szCs w:val="24"/>
          <w:highlight w:val="none"/>
          <w:lang w:val="en-US" w:eastAsia="zh-CN"/>
          <w14:textFill>
            <w14:solidFill>
              <w14:schemeClr w14:val="tx1"/>
            </w14:solidFill>
          </w14:textFill>
        </w:rPr>
        <w:t>《总体施工方案》（</w:t>
      </w:r>
      <w:r>
        <w:rPr>
          <w:rFonts w:hint="eastAsia" w:ascii="仿宋" w:hAnsi="仿宋" w:eastAsia="仿宋" w:cs="仿宋"/>
          <w:color w:val="000000" w:themeColor="text1"/>
          <w:sz w:val="24"/>
          <w:szCs w:val="24"/>
          <w:highlight w:val="none"/>
          <w:lang w:eastAsia="zh-CN"/>
          <w14:textFill>
            <w14:solidFill>
              <w14:schemeClr w14:val="tx1"/>
            </w14:solidFill>
          </w14:textFill>
        </w:rPr>
        <w:t>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附件</w:t>
      </w:r>
      <w:r>
        <w:rPr>
          <w:rFonts w:hint="eastAsia" w:ascii="仿宋" w:hAnsi="仿宋" w:eastAsia="仿宋" w:cs="仿宋"/>
          <w:color w:val="000000" w:themeColor="text1"/>
          <w:sz w:val="24"/>
          <w:szCs w:val="24"/>
          <w:highlight w:val="none"/>
          <w:lang w:eastAsia="zh-CN"/>
          <w14:textFill>
            <w14:solidFill>
              <w14:schemeClr w14:val="tx1"/>
            </w14:solidFill>
          </w14:textFill>
        </w:rPr>
        <w:t>《评分细则》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p>
    <w:p w14:paraId="536442B6">
      <w:pPr>
        <w:keepNext w:val="0"/>
        <w:keepLines w:val="0"/>
        <w:pageBreakBefore w:val="0"/>
        <w:widowControl/>
        <w:pBdr>
          <w:top w:val="none" w:color="000000" w:sz="0" w:space="0"/>
          <w:left w:val="none" w:color="000000" w:sz="0" w:space="0"/>
          <w:bottom w:val="none" w:color="000000" w:sz="0" w:space="0"/>
          <w:right w:val="none" w:color="000000" w:sz="0" w:space="0"/>
        </w:pBdr>
        <w:spacing w:after="0" w:line="360" w:lineRule="auto"/>
        <w:ind w:firstLine="48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施工进度计划及保证措施》（</w:t>
      </w:r>
      <w:r>
        <w:rPr>
          <w:rFonts w:hint="eastAsia" w:ascii="仿宋" w:hAnsi="仿宋" w:eastAsia="仿宋" w:cs="仿宋"/>
          <w:color w:val="000000" w:themeColor="text1"/>
          <w:sz w:val="24"/>
          <w:szCs w:val="24"/>
          <w:highlight w:val="none"/>
          <w:lang w:eastAsia="zh-CN"/>
          <w14:textFill>
            <w14:solidFill>
              <w14:schemeClr w14:val="tx1"/>
            </w14:solidFill>
          </w14:textFill>
        </w:rPr>
        <w:t>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附件</w:t>
      </w:r>
      <w:r>
        <w:rPr>
          <w:rFonts w:hint="eastAsia" w:ascii="仿宋" w:hAnsi="仿宋" w:eastAsia="仿宋" w:cs="仿宋"/>
          <w:color w:val="000000" w:themeColor="text1"/>
          <w:sz w:val="24"/>
          <w:szCs w:val="24"/>
          <w:highlight w:val="none"/>
          <w:lang w:eastAsia="zh-CN"/>
          <w14:textFill>
            <w14:solidFill>
              <w14:schemeClr w14:val="tx1"/>
            </w14:solidFill>
          </w14:textFill>
        </w:rPr>
        <w:t>《评分细则》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3589D0FB">
      <w:pPr>
        <w:keepNext w:val="0"/>
        <w:keepLines w:val="0"/>
        <w:pageBreakBefore w:val="0"/>
        <w:widowControl/>
        <w:pBdr>
          <w:top w:val="none" w:color="000000" w:sz="0" w:space="0"/>
          <w:left w:val="none" w:color="000000" w:sz="0" w:space="0"/>
          <w:bottom w:val="none" w:color="000000" w:sz="0" w:space="0"/>
          <w:right w:val="none" w:color="000000" w:sz="0" w:space="0"/>
        </w:pBdr>
        <w:spacing w:after="0" w:line="360" w:lineRule="auto"/>
        <w:ind w:firstLine="480"/>
        <w:outlineLvl w:val="4"/>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施工质量保证措施</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附件</w:t>
      </w:r>
      <w:r>
        <w:rPr>
          <w:rFonts w:hint="eastAsia" w:ascii="仿宋" w:hAnsi="仿宋" w:eastAsia="仿宋" w:cs="仿宋"/>
          <w:color w:val="000000" w:themeColor="text1"/>
          <w:sz w:val="24"/>
          <w:szCs w:val="24"/>
          <w:highlight w:val="none"/>
          <w:lang w:eastAsia="zh-CN"/>
          <w14:textFill>
            <w14:solidFill>
              <w14:schemeClr w14:val="tx1"/>
            </w14:solidFill>
          </w14:textFill>
        </w:rPr>
        <w:t>《评分细则》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2C86ED1A">
      <w:pPr>
        <w:keepNext w:val="0"/>
        <w:keepLines w:val="0"/>
        <w:pageBreakBefore w:val="0"/>
        <w:widowControl/>
        <w:pBdr>
          <w:top w:val="none" w:color="000000" w:sz="0" w:space="0"/>
          <w:left w:val="none" w:color="000000" w:sz="0" w:space="0"/>
          <w:bottom w:val="none" w:color="000000" w:sz="0" w:space="0"/>
          <w:right w:val="none" w:color="000000" w:sz="0" w:space="0"/>
        </w:pBdr>
        <w:spacing w:after="0" w:line="360" w:lineRule="auto"/>
        <w:ind w:firstLine="48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（4）《</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项目管理班子人员配备、素质及管理经验</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附件</w:t>
      </w:r>
      <w:r>
        <w:rPr>
          <w:rFonts w:hint="eastAsia" w:ascii="仿宋" w:hAnsi="仿宋" w:eastAsia="仿宋" w:cs="仿宋"/>
          <w:color w:val="000000" w:themeColor="text1"/>
          <w:sz w:val="24"/>
          <w:szCs w:val="24"/>
          <w:highlight w:val="none"/>
          <w:lang w:eastAsia="zh-CN"/>
          <w14:textFill>
            <w14:solidFill>
              <w14:schemeClr w14:val="tx1"/>
            </w14:solidFill>
          </w14:textFill>
        </w:rPr>
        <w:t>《评分细则》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306A37C0">
      <w:pPr>
        <w:keepNext w:val="0"/>
        <w:keepLines w:val="0"/>
        <w:pageBreakBefore w:val="0"/>
        <w:widowControl/>
        <w:pBdr>
          <w:top w:val="none" w:color="000000" w:sz="0" w:space="0"/>
          <w:left w:val="none" w:color="000000" w:sz="0" w:space="0"/>
          <w:bottom w:val="none" w:color="000000" w:sz="0" w:space="0"/>
          <w:right w:val="none" w:color="000000" w:sz="0" w:space="0"/>
        </w:pBdr>
        <w:spacing w:after="0" w:line="360" w:lineRule="auto"/>
        <w:ind w:firstLine="48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（5）《</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关键施工技术、工艺及工程项目实施的重点、难点和解决方案</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附件</w:t>
      </w:r>
      <w:r>
        <w:rPr>
          <w:rFonts w:hint="eastAsia" w:ascii="仿宋" w:hAnsi="仿宋" w:eastAsia="仿宋" w:cs="仿宋"/>
          <w:color w:val="000000" w:themeColor="text1"/>
          <w:sz w:val="24"/>
          <w:szCs w:val="24"/>
          <w:highlight w:val="none"/>
          <w:lang w:eastAsia="zh-CN"/>
          <w14:textFill>
            <w14:solidFill>
              <w14:schemeClr w14:val="tx1"/>
            </w14:solidFill>
          </w14:textFill>
        </w:rPr>
        <w:t>《评分细则》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59B4AC8A">
      <w:pPr>
        <w:keepNext w:val="0"/>
        <w:keepLines w:val="0"/>
        <w:pageBreakBefore w:val="0"/>
        <w:widowControl/>
        <w:pBdr>
          <w:top w:val="none" w:color="000000" w:sz="0" w:space="0"/>
          <w:left w:val="none" w:color="000000" w:sz="0" w:space="0"/>
          <w:bottom w:val="none" w:color="000000" w:sz="0" w:space="0"/>
          <w:right w:val="none" w:color="000000" w:sz="0" w:space="0"/>
        </w:pBdr>
        <w:spacing w:after="0" w:line="360" w:lineRule="auto"/>
        <w:ind w:firstLine="48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（6）《</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安全文明施工方案</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附件</w:t>
      </w:r>
      <w:r>
        <w:rPr>
          <w:rFonts w:hint="eastAsia" w:ascii="仿宋" w:hAnsi="仿宋" w:eastAsia="仿宋" w:cs="仿宋"/>
          <w:color w:val="000000" w:themeColor="text1"/>
          <w:sz w:val="24"/>
          <w:szCs w:val="24"/>
          <w:highlight w:val="none"/>
          <w:lang w:eastAsia="zh-CN"/>
          <w14:textFill>
            <w14:solidFill>
              <w14:schemeClr w14:val="tx1"/>
            </w14:solidFill>
          </w14:textFill>
        </w:rPr>
        <w:t>《评分细则》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34B99B75">
      <w:pPr>
        <w:keepNext w:val="0"/>
        <w:keepLines w:val="0"/>
        <w:pageBreakBefore w:val="0"/>
        <w:widowControl/>
        <w:spacing w:line="360" w:lineRule="auto"/>
        <w:ind w:firstLine="480"/>
        <w:rPr>
          <w:rFonts w:hint="eastAsia" w:ascii="仿宋" w:hAnsi="仿宋" w:eastAsia="仿宋" w:cs="仿宋"/>
          <w:highlight w:val="none"/>
        </w:rPr>
      </w:pPr>
      <w:r>
        <w:rPr>
          <w:rFonts w:hint="eastAsia" w:ascii="仿宋" w:hAnsi="仿宋" w:eastAsia="仿宋" w:cs="仿宋"/>
          <w:color w:val="000000" w:themeColor="text1"/>
          <w:sz w:val="24"/>
          <w:szCs w:val="24"/>
          <w:highlight w:val="none"/>
          <w:lang w:eastAsia="zh-CN"/>
          <w14:textFill>
            <w14:solidFill>
              <w14:schemeClr w14:val="tx1"/>
            </w14:solidFill>
          </w14:textFill>
        </w:rPr>
        <w:t>（7）《</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后期维保方案及措施</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附件</w:t>
      </w:r>
      <w:r>
        <w:rPr>
          <w:rFonts w:hint="eastAsia" w:ascii="仿宋" w:hAnsi="仿宋" w:eastAsia="仿宋" w:cs="仿宋"/>
          <w:color w:val="000000" w:themeColor="text1"/>
          <w:sz w:val="24"/>
          <w:szCs w:val="24"/>
          <w:highlight w:val="none"/>
          <w:lang w:eastAsia="zh-CN"/>
          <w14:textFill>
            <w14:solidFill>
              <w14:schemeClr w14:val="tx1"/>
            </w14:solidFill>
          </w14:textFill>
        </w:rPr>
        <w:t>《评分细则》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70DB68B5">
      <w:pPr>
        <w:keepNext w:val="0"/>
        <w:keepLines w:val="0"/>
        <w:pageBreakBefore w:val="0"/>
        <w:widowControl/>
        <w:pBdr>
          <w:top w:val="none" w:color="000000" w:sz="0" w:space="0"/>
          <w:left w:val="none" w:color="000000" w:sz="0" w:space="0"/>
          <w:bottom w:val="none" w:color="000000" w:sz="0" w:space="0"/>
          <w:right w:val="none" w:color="000000" w:sz="0" w:space="0"/>
        </w:pBdr>
        <w:spacing w:after="0" w:line="360" w:lineRule="auto"/>
        <w:ind w:firstLine="480"/>
        <w:outlineLvl w:val="3"/>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lang w:eastAsia="zh-CN"/>
          <w14:textFill>
            <w14:solidFill>
              <w14:schemeClr w14:val="tx1"/>
            </w14:solidFill>
          </w14:textFill>
        </w:rPr>
        <w:t>.商务部分</w:t>
      </w:r>
    </w:p>
    <w:p w14:paraId="7394277E">
      <w:pPr>
        <w:pStyle w:val="295"/>
        <w:pageBreakBefore w:val="0"/>
        <w:spacing w:line="360" w:lineRule="auto"/>
        <w:ind w:firstLine="480"/>
        <w:jc w:val="both"/>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（1）《</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附件</w:t>
      </w:r>
      <w:r>
        <w:rPr>
          <w:rFonts w:hint="eastAsia" w:ascii="仿宋" w:hAnsi="仿宋" w:eastAsia="仿宋" w:cs="仿宋"/>
          <w:color w:val="000000" w:themeColor="text1"/>
          <w:sz w:val="24"/>
          <w:szCs w:val="24"/>
          <w:highlight w:val="none"/>
          <w:lang w:eastAsia="zh-CN"/>
          <w14:textFill>
            <w14:solidFill>
              <w14:schemeClr w14:val="tx1"/>
            </w14:solidFill>
          </w14:textFill>
        </w:rPr>
        <w:t>《评分细则》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4CC215A4">
      <w:pPr>
        <w:pStyle w:val="295"/>
        <w:pageBreakBefore w:val="0"/>
        <w:spacing w:line="360" w:lineRule="auto"/>
        <w:ind w:firstLine="480"/>
        <w:jc w:val="both"/>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人员配备</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附件</w:t>
      </w:r>
      <w:r>
        <w:rPr>
          <w:rFonts w:hint="eastAsia" w:ascii="仿宋" w:hAnsi="仿宋" w:eastAsia="仿宋" w:cs="仿宋"/>
          <w:color w:val="000000" w:themeColor="text1"/>
          <w:sz w:val="24"/>
          <w:szCs w:val="24"/>
          <w:highlight w:val="none"/>
          <w:lang w:eastAsia="zh-CN"/>
          <w14:textFill>
            <w14:solidFill>
              <w14:schemeClr w14:val="tx1"/>
            </w14:solidFill>
          </w14:textFill>
        </w:rPr>
        <w:t>《评分细则》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7DB13AF2">
      <w:pPr>
        <w:pStyle w:val="295"/>
        <w:pageBreakBefore w:val="0"/>
        <w:spacing w:line="360" w:lineRule="auto"/>
        <w:ind w:firstLine="480"/>
        <w:jc w:val="both"/>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综合实力</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附件</w:t>
      </w:r>
      <w:r>
        <w:rPr>
          <w:rFonts w:hint="eastAsia" w:ascii="仿宋" w:hAnsi="仿宋" w:eastAsia="仿宋" w:cs="仿宋"/>
          <w:color w:val="000000" w:themeColor="text1"/>
          <w:sz w:val="24"/>
          <w:szCs w:val="24"/>
          <w:highlight w:val="none"/>
          <w:lang w:eastAsia="zh-CN"/>
          <w14:textFill>
            <w14:solidFill>
              <w14:schemeClr w14:val="tx1"/>
            </w14:solidFill>
          </w14:textFill>
        </w:rPr>
        <w:t>《评分细则》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053E1A94">
      <w:pPr>
        <w:pageBreakBefore w:val="0"/>
        <w:pBdr>
          <w:top w:val="none" w:color="000000" w:sz="0" w:space="0"/>
          <w:left w:val="none" w:color="000000" w:sz="0" w:space="0"/>
          <w:bottom w:val="none" w:color="000000" w:sz="0" w:space="0"/>
          <w:right w:val="none" w:color="000000" w:sz="0" w:space="0"/>
        </w:pBdr>
        <w:spacing w:after="0" w:line="360" w:lineRule="auto"/>
        <w:ind w:firstLine="241"/>
        <w:outlineLvl w:val="2"/>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五</w:t>
      </w:r>
      <w:r>
        <w:rPr>
          <w:rFonts w:hint="eastAsia" w:ascii="仿宋" w:hAnsi="仿宋" w:eastAsia="仿宋" w:cs="仿宋"/>
          <w:b/>
          <w:bCs/>
          <w:color w:val="000000" w:themeColor="text1"/>
          <w:sz w:val="24"/>
          <w:szCs w:val="24"/>
          <w:highlight w:val="none"/>
          <w:lang w:eastAsia="zh-CN"/>
          <w14:textFill>
            <w14:solidFill>
              <w14:schemeClr w14:val="tx1"/>
            </w14:solidFill>
          </w14:textFill>
        </w:rPr>
        <w:t>）价格折扣文件格式：</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无</w:t>
      </w:r>
    </w:p>
    <w:p w14:paraId="17BD37A9">
      <w:pPr>
        <w:pageBreakBefore w:val="0"/>
        <w:pBdr>
          <w:top w:val="none" w:color="000000" w:sz="0" w:space="0"/>
          <w:left w:val="none" w:color="000000" w:sz="0" w:space="0"/>
          <w:bottom w:val="none" w:color="000000" w:sz="0" w:space="0"/>
          <w:right w:val="none" w:color="000000" w:sz="0" w:space="0"/>
        </w:pBdr>
        <w:spacing w:after="0" w:line="360" w:lineRule="auto"/>
        <w:ind w:firstLine="241"/>
        <w:outlineLvl w:val="2"/>
        <w:rPr>
          <w:rFonts w:ascii="宋体" w:hAnsi="宋体" w:cs="宋体"/>
          <w:b/>
          <w:bCs/>
          <w:sz w:val="24"/>
          <w:szCs w:val="24"/>
          <w:highlight w:val="none"/>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（六）提交的首次电子响应文件的密封、签署、盖章要求：</w:t>
      </w:r>
    </w:p>
    <w:p w14:paraId="7234CE51">
      <w:pPr>
        <w:pStyle w:val="295"/>
        <w:pageBreakBefore w:val="0"/>
        <w:spacing w:line="360" w:lineRule="auto"/>
        <w:ind w:firstLine="480"/>
        <w:jc w:val="both"/>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1、密封（加密）要求：</w:t>
      </w:r>
    </w:p>
    <w:p w14:paraId="41810404">
      <w:pPr>
        <w:pStyle w:val="295"/>
        <w:pageBreakBefore w:val="0"/>
        <w:spacing w:line="360" w:lineRule="auto"/>
        <w:ind w:firstLine="480"/>
        <w:jc w:val="both"/>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供应商应当按照《磋商文件》和“苏采云”系统的要求编制并加密响应文件。本项目供应商须通过“苏采云”系统提供的政府采购客户端工具（使用“CA数字证书”）对其数据电文形式的响应文件加密。</w:t>
      </w:r>
    </w:p>
    <w:p w14:paraId="6FE6E822">
      <w:pPr>
        <w:pStyle w:val="295"/>
        <w:pageBreakBefore w:val="0"/>
        <w:spacing w:line="360" w:lineRule="auto"/>
        <w:ind w:firstLine="480"/>
        <w:jc w:val="both"/>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2、签署要求：见《磋商文件》第九章附件中相关格式要求。</w:t>
      </w:r>
    </w:p>
    <w:p w14:paraId="73E5A050">
      <w:pPr>
        <w:pStyle w:val="295"/>
        <w:pageBreakBefore w:val="0"/>
        <w:spacing w:line="360" w:lineRule="auto"/>
        <w:ind w:firstLine="480"/>
        <w:jc w:val="both"/>
        <w:rPr>
          <w:rFonts w:hint="eastAsia" w:ascii="宋体" w:hAnsi="宋体" w:cs="宋体"/>
          <w:sz w:val="24"/>
          <w:szCs w:val="24"/>
          <w:highlight w:val="none"/>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3、盖章要求：见《磋商文件》第九章附件中相关格式要求。供应商须通过“苏采云”系统提供的政府采购客户端工具（使用“CA数字证书”）加盖电子签章。</w:t>
      </w:r>
    </w:p>
    <w:p w14:paraId="7826447E">
      <w:pPr>
        <w:pageBreakBefore w:val="0"/>
        <w:pBdr>
          <w:top w:val="none" w:color="000000" w:sz="0" w:space="0"/>
          <w:left w:val="none" w:color="000000" w:sz="0" w:space="0"/>
          <w:bottom w:val="none" w:color="000000" w:sz="0" w:space="0"/>
          <w:right w:val="none" w:color="000000" w:sz="0" w:space="0"/>
        </w:pBdr>
        <w:spacing w:after="0" w:line="360" w:lineRule="auto"/>
        <w:ind w:firstLine="241"/>
        <w:outlineLvl w:val="2"/>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（特别提醒：竞争性磋商文件中如需“被授权代表签字或盖章”，供应商可打印成文档，签字或盖章后再扫描上传，最后再电子签章）。</w:t>
      </w:r>
    </w:p>
    <w:p w14:paraId="2277D30F">
      <w:pPr>
        <w:pageBreakBefore w:val="0"/>
        <w:pBdr>
          <w:top w:val="none" w:color="000000" w:sz="0" w:space="0"/>
          <w:left w:val="none" w:color="000000" w:sz="0" w:space="0"/>
          <w:bottom w:val="none" w:color="000000" w:sz="0" w:space="0"/>
          <w:right w:val="none" w:color="000000" w:sz="0" w:space="0"/>
        </w:pBdr>
        <w:spacing w:after="0" w:line="360" w:lineRule="auto"/>
        <w:ind w:firstLine="241"/>
        <w:outlineLvl w:val="2"/>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七</w:t>
      </w:r>
      <w:r>
        <w:rPr>
          <w:rFonts w:hint="eastAsia" w:ascii="仿宋" w:hAnsi="仿宋" w:eastAsia="仿宋" w:cs="仿宋"/>
          <w:b/>
          <w:bCs/>
          <w:color w:val="000000" w:themeColor="text1"/>
          <w:sz w:val="24"/>
          <w:szCs w:val="24"/>
          <w:highlight w:val="none"/>
          <w:lang w:eastAsia="zh-CN"/>
          <w14:textFill>
            <w14:solidFill>
              <w14:schemeClr w14:val="tx1"/>
            </w14:solidFill>
          </w14:textFill>
        </w:rPr>
        <w:t>）通过“苏采云”系统提交政府采购客户端工具导出加密的响应文件（后缀名为zip）。响应文件不得超过</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150</w:t>
      </w:r>
      <w:r>
        <w:rPr>
          <w:rFonts w:hint="eastAsia" w:ascii="仿宋" w:hAnsi="仿宋" w:eastAsia="仿宋" w:cs="仿宋"/>
          <w:b/>
          <w:bCs/>
          <w:color w:val="000000" w:themeColor="text1"/>
          <w:sz w:val="24"/>
          <w:szCs w:val="24"/>
          <w:highlight w:val="none"/>
          <w:lang w:eastAsia="zh-CN"/>
          <w14:textFill>
            <w14:solidFill>
              <w14:schemeClr w14:val="tx1"/>
            </w14:solidFill>
          </w14:textFill>
        </w:rPr>
        <w:t>M！</w:t>
      </w:r>
    </w:p>
    <w:p w14:paraId="41CE01D5">
      <w:pPr>
        <w:pStyle w:val="76"/>
        <w:pageBreakBefore w:val="0"/>
        <w:spacing w:line="360" w:lineRule="auto"/>
        <w:jc w:val="center"/>
        <w:outlineLvl w:val="0"/>
        <w:rPr>
          <w:rFonts w:hint="eastAsia" w:ascii="仿宋" w:hAnsi="仿宋" w:eastAsia="仿宋" w:cs="仿宋"/>
          <w:color w:val="000000" w:themeColor="text1"/>
          <w:sz w:val="30"/>
          <w:szCs w:val="30"/>
          <w:highlight w:val="none"/>
          <w14:textFill>
            <w14:solidFill>
              <w14:schemeClr w14:val="tx1"/>
            </w14:solidFill>
          </w14:textFill>
        </w:rPr>
      </w:pPr>
      <w:bookmarkStart w:id="46" w:name="_Toc575"/>
      <w:bookmarkStart w:id="47" w:name="_Toc13331"/>
      <w:bookmarkStart w:id="48" w:name="_Toc4298"/>
      <w:bookmarkStart w:id="49" w:name="_Toc1742"/>
      <w:bookmarkStart w:id="50" w:name="_Toc25964"/>
      <w:bookmarkStart w:id="51" w:name="_Toc20389"/>
      <w:bookmarkStart w:id="52" w:name="_Toc25734"/>
      <w:bookmarkStart w:id="53" w:name="_Toc17282"/>
      <w:bookmarkStart w:id="54" w:name="_Toc9739"/>
      <w:bookmarkStart w:id="55" w:name="_Toc4286"/>
      <w:bookmarkStart w:id="56" w:name="_Toc3749"/>
      <w:r>
        <w:rPr>
          <w:rFonts w:hint="eastAsia" w:ascii="仿宋" w:hAnsi="仿宋" w:eastAsia="仿宋" w:cs="仿宋"/>
          <w:color w:val="000000" w:themeColor="text1"/>
          <w:sz w:val="30"/>
          <w:szCs w:val="30"/>
          <w:highlight w:val="none"/>
          <w14:textFill>
            <w14:solidFill>
              <w14:schemeClr w14:val="tx1"/>
            </w14:solidFill>
          </w14:textFill>
        </w:rPr>
        <w:t>第四章 磋商相关说明</w:t>
      </w:r>
      <w:bookmarkEnd w:id="46"/>
      <w:bookmarkEnd w:id="47"/>
      <w:bookmarkEnd w:id="48"/>
      <w:bookmarkEnd w:id="49"/>
      <w:bookmarkEnd w:id="50"/>
      <w:bookmarkEnd w:id="51"/>
      <w:bookmarkEnd w:id="52"/>
      <w:bookmarkEnd w:id="53"/>
      <w:bookmarkEnd w:id="54"/>
      <w:bookmarkEnd w:id="55"/>
      <w:bookmarkEnd w:id="56"/>
    </w:p>
    <w:p w14:paraId="0223428F">
      <w:pPr>
        <w:pStyle w:val="49"/>
        <w:keepNext w:val="0"/>
        <w:keepLines w:val="0"/>
        <w:pageBreakBefore w:val="0"/>
        <w:widowControl w:val="0"/>
        <w:spacing w:line="360" w:lineRule="auto"/>
        <w:outlineLvl w:val="1"/>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一、评审程序：</w:t>
      </w:r>
    </w:p>
    <w:p w14:paraId="750EB048">
      <w:pPr>
        <w:pStyle w:val="48"/>
        <w:keepNext w:val="0"/>
        <w:keepLines w:val="0"/>
        <w:pageBreakBefore w:val="0"/>
        <w:widowControl w:val="0"/>
        <w:spacing w:line="360" w:lineRule="auto"/>
        <w:ind w:firstLine="480"/>
        <w:outlineLvl w:val="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(一)磋商要求</w:t>
      </w:r>
    </w:p>
    <w:p w14:paraId="5D52DED4">
      <w:pPr>
        <w:pStyle w:val="48"/>
        <w:keepNext w:val="0"/>
        <w:keepLines w:val="0"/>
        <w:pageBreakBefore w:val="0"/>
        <w:widowControl w:val="0"/>
        <w:spacing w:line="360" w:lineRule="auto"/>
        <w:ind w:firstLine="480"/>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1.被邀请参与磋商的供应商需按本竞争性磋商文件要求的截止时间、方式（地点）提交首次响应文件，同时派人通过“苏采云”系统在“开标大厅”等待磋商。</w:t>
      </w:r>
    </w:p>
    <w:p w14:paraId="566683D8">
      <w:pPr>
        <w:pStyle w:val="48"/>
        <w:keepNext w:val="0"/>
        <w:keepLines w:val="0"/>
        <w:pageBreakBefore w:val="0"/>
        <w:widowControl w:val="0"/>
        <w:spacing w:line="360" w:lineRule="auto"/>
        <w:ind w:firstLine="480"/>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2. 供应商可通过CA数字证书，在首次响应文件开启时间后，使用CA数字证书在规定时间内解密各自响应文件。</w:t>
      </w:r>
    </w:p>
    <w:p w14:paraId="5649E4C8">
      <w:pPr>
        <w:pStyle w:val="48"/>
        <w:keepNext w:val="0"/>
        <w:keepLines w:val="0"/>
        <w:pageBreakBefore w:val="0"/>
        <w:widowControl w:val="0"/>
        <w:spacing w:line="360" w:lineRule="auto"/>
        <w:ind w:firstLine="480"/>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3.</w:t>
      </w:r>
      <w:r>
        <w:rPr>
          <w:rFonts w:hint="eastAsia" w:ascii="仿宋" w:hAnsi="仿宋" w:eastAsia="仿宋" w:cs="仿宋"/>
          <w:b w:val="0"/>
          <w:bCs/>
          <w:color w:val="000000" w:themeColor="text1"/>
          <w:highlight w:val="none"/>
          <w:lang w:eastAsia="zh-CN"/>
          <w14:textFill>
            <w14:solidFill>
              <w14:schemeClr w14:val="tx1"/>
            </w14:solidFill>
          </w14:textFill>
        </w:rPr>
        <w:t>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仿宋" w:hAnsi="仿宋" w:eastAsia="仿宋" w:cs="仿宋"/>
          <w:b w:val="0"/>
          <w:bCs/>
          <w:color w:val="000000" w:themeColor="text1"/>
          <w:highlight w:val="none"/>
          <w14:textFill>
            <w14:solidFill>
              <w14:schemeClr w14:val="tx1"/>
            </w14:solidFill>
          </w14:textFill>
        </w:rPr>
        <w:t>。</w:t>
      </w:r>
    </w:p>
    <w:p w14:paraId="0E371C96">
      <w:pPr>
        <w:pStyle w:val="48"/>
        <w:keepNext w:val="0"/>
        <w:keepLines w:val="0"/>
        <w:pageBreakBefore w:val="0"/>
        <w:widowControl w:val="0"/>
        <w:spacing w:line="360" w:lineRule="auto"/>
        <w:ind w:firstLine="480"/>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4.磋商顺序按照电子标书解密先后时间进行，解密时间相同的，不分先后顺序。</w:t>
      </w:r>
    </w:p>
    <w:p w14:paraId="13A7AAAD">
      <w:pPr>
        <w:pStyle w:val="48"/>
        <w:keepNext w:val="0"/>
        <w:keepLines w:val="0"/>
        <w:pageBreakBefore w:val="0"/>
        <w:widowControl w:val="0"/>
        <w:spacing w:line="360" w:lineRule="auto"/>
        <w:ind w:firstLine="48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5.磋商方式：</w:t>
      </w:r>
      <w:r>
        <w:rPr>
          <w:rFonts w:hint="eastAsia" w:ascii="仿宋" w:hAnsi="仿宋" w:eastAsia="仿宋" w:cs="仿宋"/>
          <w:color w:val="000000" w:themeColor="text1"/>
          <w:highlight w:val="none"/>
          <w14:textFill>
            <w14:solidFill>
              <w14:schemeClr w14:val="tx1"/>
            </w14:solidFill>
          </w14:textFill>
        </w:rPr>
        <w:t>本次磋商采用“苏采云”系统中的视频会议，供应商自行选择任意地点参加远程磋商会议。</w:t>
      </w:r>
    </w:p>
    <w:p w14:paraId="72D89CE6">
      <w:pPr>
        <w:pStyle w:val="48"/>
        <w:keepNext w:val="0"/>
        <w:keepLines w:val="0"/>
        <w:pageBreakBefore w:val="0"/>
        <w:widowControl w:val="0"/>
        <w:spacing w:line="360" w:lineRule="auto"/>
        <w:ind w:firstLine="480"/>
        <w:rPr>
          <w:rFonts w:hint="eastAsia" w:ascii="仿宋" w:hAnsi="仿宋" w:eastAsia="仿宋" w:cs="仿宋"/>
          <w:b/>
          <w:sz w:val="24"/>
          <w:szCs w:val="24"/>
          <w:highlight w:val="none"/>
        </w:rPr>
      </w:pPr>
      <w:r>
        <w:rPr>
          <w:rFonts w:hint="eastAsia" w:ascii="仿宋" w:hAnsi="仿宋" w:eastAsia="仿宋" w:cs="仿宋"/>
          <w:b/>
          <w:bCs/>
          <w:sz w:val="24"/>
          <w:szCs w:val="24"/>
          <w:highlight w:val="none"/>
        </w:rPr>
        <w:t>特别提醒:请供应商务必在磋商前等候在开标大厅，随时接听磋商小组发出的磋商视频邀请（所有邀请等待时间为2分钟，2</w:t>
      </w:r>
      <w:r>
        <w:rPr>
          <w:rFonts w:hint="eastAsia" w:ascii="仿宋" w:hAnsi="仿宋" w:eastAsia="仿宋" w:cs="仿宋"/>
          <w:b/>
          <w:sz w:val="24"/>
          <w:szCs w:val="24"/>
          <w:highlight w:val="none"/>
        </w:rPr>
        <w:t>分钟内所邀请供应商无响应，视同放弃磋商的权利，由解密顺序下一家进行磋商，不再后补）</w:t>
      </w:r>
      <w:r>
        <w:rPr>
          <w:rFonts w:hint="eastAsia" w:ascii="仿宋" w:hAnsi="仿宋" w:eastAsia="仿宋" w:cs="仿宋"/>
          <w:sz w:val="24"/>
          <w:szCs w:val="24"/>
          <w:highlight w:val="none"/>
        </w:rPr>
        <w:t>。</w:t>
      </w:r>
    </w:p>
    <w:p w14:paraId="08555717">
      <w:pPr>
        <w:pStyle w:val="48"/>
        <w:keepNext w:val="0"/>
        <w:keepLines w:val="0"/>
        <w:pageBreakBefore w:val="0"/>
        <w:widowControl w:val="0"/>
        <w:spacing w:line="360" w:lineRule="auto"/>
        <w:ind w:firstLine="480"/>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6.未在规定时间内进行答疑澄清的，视同放弃澄清。</w:t>
      </w:r>
    </w:p>
    <w:p w14:paraId="3256FCFF">
      <w:pPr>
        <w:pStyle w:val="48"/>
        <w:keepNext w:val="0"/>
        <w:keepLines w:val="0"/>
        <w:pageBreakBefore w:val="0"/>
        <w:widowControl w:val="0"/>
        <w:spacing w:line="360" w:lineRule="auto"/>
        <w:ind w:firstLine="480"/>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7.未在规定时间内进行报价的，视为响应无效。</w:t>
      </w:r>
    </w:p>
    <w:p w14:paraId="4578F70E">
      <w:pPr>
        <w:pStyle w:val="56"/>
        <w:keepNext w:val="0"/>
        <w:keepLines w:val="0"/>
        <w:pageBreakBefore w:val="0"/>
        <w:widowControl w:val="0"/>
        <w:spacing w:line="360" w:lineRule="auto"/>
        <w:ind w:firstLine="48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8.被邀请参与磋商的供应商如未按上述磋商要求执行，视同放弃磋商的权利。</w:t>
      </w:r>
    </w:p>
    <w:p w14:paraId="550836A5">
      <w:pPr>
        <w:pStyle w:val="48"/>
        <w:keepNext w:val="0"/>
        <w:keepLines w:val="0"/>
        <w:pageBreakBefore w:val="0"/>
        <w:widowControl w:val="0"/>
        <w:spacing w:line="360" w:lineRule="auto"/>
        <w:ind w:firstLine="482"/>
        <w:outlineLvl w:val="3"/>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9.本项目无效标书判定（磋商文件的实质性要求）</w:t>
      </w:r>
    </w:p>
    <w:p w14:paraId="1CCA70F6">
      <w:pPr>
        <w:pStyle w:val="48"/>
        <w:keepNext w:val="0"/>
        <w:keepLines w:val="0"/>
        <w:pageBreakBefore w:val="0"/>
        <w:widowControl w:val="0"/>
        <w:spacing w:line="360" w:lineRule="auto"/>
        <w:ind w:firstLine="48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9.1供应商资格条件不符合国家有关规定或磋商文件要求的；</w:t>
      </w:r>
    </w:p>
    <w:p w14:paraId="35E558E0">
      <w:pPr>
        <w:pStyle w:val="48"/>
        <w:keepNext w:val="0"/>
        <w:keepLines w:val="0"/>
        <w:pageBreakBefore w:val="0"/>
        <w:widowControl w:val="0"/>
        <w:spacing w:line="360" w:lineRule="auto"/>
        <w:ind w:firstLine="48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9.2响应报价低于成本或者高于磋商文件设定的最高限价的；</w:t>
      </w:r>
    </w:p>
    <w:p w14:paraId="51439748">
      <w:pPr>
        <w:pStyle w:val="48"/>
        <w:keepNext w:val="0"/>
        <w:keepLines w:val="0"/>
        <w:pageBreakBefore w:val="0"/>
        <w:widowControl w:val="0"/>
        <w:spacing w:line="360" w:lineRule="auto"/>
        <w:ind w:firstLine="48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9.</w:t>
      </w:r>
      <w:r>
        <w:rPr>
          <w:rFonts w:hint="eastAsia" w:ascii="仿宋" w:hAnsi="仿宋" w:eastAsia="仿宋" w:cs="仿宋"/>
          <w:b w:val="0"/>
          <w:bCs/>
          <w:color w:val="000000" w:themeColor="text1"/>
          <w:highlight w:val="none"/>
          <w:lang w:val="en-US" w:eastAsia="zh-CN"/>
          <w14:textFill>
            <w14:solidFill>
              <w14:schemeClr w14:val="tx1"/>
            </w14:solidFill>
          </w14:textFill>
        </w:rPr>
        <w:t>3</w:t>
      </w:r>
      <w:r>
        <w:rPr>
          <w:rFonts w:hint="eastAsia" w:ascii="仿宋" w:hAnsi="仿宋" w:eastAsia="仿宋" w:cs="仿宋"/>
          <w:b w:val="0"/>
          <w:bCs/>
          <w:color w:val="000000" w:themeColor="text1"/>
          <w:highlight w:val="none"/>
          <w14:textFill>
            <w14:solidFill>
              <w14:schemeClr w14:val="tx1"/>
            </w14:solidFill>
          </w14:textFill>
        </w:rPr>
        <w:t xml:space="preserve">响应文件载明的招标项目完成期限超过磋商文件规定的期限的； </w:t>
      </w:r>
    </w:p>
    <w:p w14:paraId="6B01294D">
      <w:pPr>
        <w:pStyle w:val="48"/>
        <w:keepNext w:val="0"/>
        <w:keepLines w:val="0"/>
        <w:pageBreakBefore w:val="0"/>
        <w:widowControl w:val="0"/>
        <w:spacing w:line="360" w:lineRule="auto"/>
        <w:ind w:firstLine="482"/>
        <w:outlineLvl w:val="4"/>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9.</w:t>
      </w:r>
      <w:r>
        <w:rPr>
          <w:rFonts w:hint="eastAsia" w:ascii="仿宋" w:hAnsi="仿宋" w:eastAsia="仿宋" w:cs="仿宋"/>
          <w:b w:val="0"/>
          <w:bCs/>
          <w:color w:val="000000" w:themeColor="text1"/>
          <w:highlight w:val="none"/>
          <w:lang w:val="en-US" w:eastAsia="zh-CN"/>
          <w14:textFill>
            <w14:solidFill>
              <w14:schemeClr w14:val="tx1"/>
            </w14:solidFill>
          </w14:textFill>
        </w:rPr>
        <w:t>4</w:t>
      </w:r>
      <w:r>
        <w:rPr>
          <w:rFonts w:hint="eastAsia" w:ascii="仿宋" w:hAnsi="仿宋" w:eastAsia="仿宋" w:cs="仿宋"/>
          <w:b w:val="0"/>
          <w:bCs/>
          <w:color w:val="000000" w:themeColor="text1"/>
          <w:highlight w:val="none"/>
          <w14:textFill>
            <w14:solidFill>
              <w14:schemeClr w14:val="tx1"/>
            </w14:solidFill>
          </w14:textFill>
        </w:rPr>
        <w:t xml:space="preserve">明显不符合技术规范、技术标准的要求的； </w:t>
      </w:r>
    </w:p>
    <w:p w14:paraId="54FCBCBD">
      <w:pPr>
        <w:pStyle w:val="48"/>
        <w:keepNext w:val="0"/>
        <w:keepLines w:val="0"/>
        <w:pageBreakBefore w:val="0"/>
        <w:widowControl w:val="0"/>
        <w:spacing w:line="360" w:lineRule="auto"/>
        <w:ind w:firstLine="48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9.</w:t>
      </w:r>
      <w:r>
        <w:rPr>
          <w:rFonts w:hint="eastAsia" w:ascii="仿宋" w:hAnsi="仿宋" w:eastAsia="仿宋" w:cs="仿宋"/>
          <w:b w:val="0"/>
          <w:bCs/>
          <w:color w:val="000000" w:themeColor="text1"/>
          <w:highlight w:val="none"/>
          <w:lang w:val="en-US" w:eastAsia="zh-CN"/>
          <w14:textFill>
            <w14:solidFill>
              <w14:schemeClr w14:val="tx1"/>
            </w14:solidFill>
          </w14:textFill>
        </w:rPr>
        <w:t>5</w:t>
      </w:r>
      <w:r>
        <w:rPr>
          <w:rFonts w:hint="eastAsia" w:ascii="仿宋" w:hAnsi="仿宋" w:eastAsia="仿宋" w:cs="仿宋"/>
          <w:b w:val="0"/>
          <w:bCs/>
          <w:color w:val="000000" w:themeColor="text1"/>
          <w:highlight w:val="none"/>
          <w14:textFill>
            <w14:solidFill>
              <w14:schemeClr w14:val="tx1"/>
            </w14:solidFill>
          </w14:textFill>
        </w:rPr>
        <w:t xml:space="preserve">响应文件载明的货物包装方式、检验标准和方法等不符合磋商文件的要求的； </w:t>
      </w:r>
    </w:p>
    <w:p w14:paraId="361CE6D7">
      <w:pPr>
        <w:pStyle w:val="48"/>
        <w:keepNext w:val="0"/>
        <w:keepLines w:val="0"/>
        <w:pageBreakBefore w:val="0"/>
        <w:widowControl w:val="0"/>
        <w:spacing w:line="360" w:lineRule="auto"/>
        <w:ind w:firstLine="48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9.</w:t>
      </w:r>
      <w:r>
        <w:rPr>
          <w:rFonts w:hint="eastAsia" w:ascii="仿宋" w:hAnsi="仿宋" w:eastAsia="仿宋" w:cs="仿宋"/>
          <w:b w:val="0"/>
          <w:bCs/>
          <w:color w:val="000000" w:themeColor="text1"/>
          <w:highlight w:val="none"/>
          <w:lang w:val="en-US" w:eastAsia="zh-CN"/>
          <w14:textFill>
            <w14:solidFill>
              <w14:schemeClr w14:val="tx1"/>
            </w14:solidFill>
          </w14:textFill>
        </w:rPr>
        <w:t>6</w:t>
      </w:r>
      <w:r>
        <w:rPr>
          <w:rFonts w:hint="eastAsia" w:ascii="仿宋" w:hAnsi="仿宋" w:eastAsia="仿宋" w:cs="仿宋"/>
          <w:b w:val="0"/>
          <w:bCs/>
          <w:color w:val="000000" w:themeColor="text1"/>
          <w:highlight w:val="none"/>
          <w14:textFill>
            <w14:solidFill>
              <w14:schemeClr w14:val="tx1"/>
            </w14:solidFill>
          </w14:textFill>
        </w:rPr>
        <w:t xml:space="preserve">响应文件提出了不能满足磋商文件要求或采购人不能接受的验收、计量、价款结算和支付办法的； </w:t>
      </w:r>
    </w:p>
    <w:p w14:paraId="2818EE39">
      <w:pPr>
        <w:pStyle w:val="48"/>
        <w:keepNext w:val="0"/>
        <w:keepLines w:val="0"/>
        <w:pageBreakBefore w:val="0"/>
        <w:widowControl w:val="0"/>
        <w:spacing w:line="360" w:lineRule="auto"/>
        <w:ind w:firstLine="48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9.</w:t>
      </w:r>
      <w:r>
        <w:rPr>
          <w:rFonts w:hint="eastAsia" w:ascii="仿宋" w:hAnsi="仿宋" w:eastAsia="仿宋" w:cs="仿宋"/>
          <w:b w:val="0"/>
          <w:bCs/>
          <w:color w:val="000000" w:themeColor="text1"/>
          <w:highlight w:val="none"/>
          <w:lang w:val="en-US" w:eastAsia="zh-CN"/>
          <w14:textFill>
            <w14:solidFill>
              <w14:schemeClr w14:val="tx1"/>
            </w14:solidFill>
          </w14:textFill>
        </w:rPr>
        <w:t>7</w:t>
      </w:r>
      <w:r>
        <w:rPr>
          <w:rFonts w:hint="eastAsia" w:ascii="仿宋" w:hAnsi="仿宋" w:eastAsia="仿宋" w:cs="仿宋"/>
          <w:b w:val="0"/>
          <w:bCs/>
          <w:color w:val="000000" w:themeColor="text1"/>
          <w:highlight w:val="none"/>
          <w14:textFill>
            <w14:solidFill>
              <w14:schemeClr w14:val="tx1"/>
            </w14:solidFill>
          </w14:textFill>
        </w:rPr>
        <w:t xml:space="preserve">不同供应商的响应文件以及响应文件制作过程出现了评标委员会认为不应当雷同的情况的； </w:t>
      </w:r>
    </w:p>
    <w:p w14:paraId="12ACD8C2">
      <w:pPr>
        <w:pStyle w:val="48"/>
        <w:keepNext w:val="0"/>
        <w:keepLines w:val="0"/>
        <w:pageBreakBefore w:val="0"/>
        <w:widowControl w:val="0"/>
        <w:spacing w:line="360" w:lineRule="auto"/>
        <w:ind w:firstLine="48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9.</w:t>
      </w:r>
      <w:r>
        <w:rPr>
          <w:rFonts w:hint="eastAsia" w:ascii="仿宋" w:hAnsi="仿宋" w:eastAsia="仿宋" w:cs="仿宋"/>
          <w:b w:val="0"/>
          <w:bCs/>
          <w:color w:val="000000" w:themeColor="text1"/>
          <w:highlight w:val="none"/>
          <w:lang w:val="en-US" w:eastAsia="zh-CN"/>
          <w14:textFill>
            <w14:solidFill>
              <w14:schemeClr w14:val="tx1"/>
            </w14:solidFill>
          </w14:textFill>
        </w:rPr>
        <w:t>8</w:t>
      </w:r>
      <w:r>
        <w:rPr>
          <w:rFonts w:hint="eastAsia" w:ascii="仿宋" w:hAnsi="仿宋" w:eastAsia="仿宋" w:cs="仿宋"/>
          <w:b w:val="0"/>
          <w:bCs/>
          <w:color w:val="000000" w:themeColor="text1"/>
          <w:highlight w:val="none"/>
          <w14:textFill>
            <w14:solidFill>
              <w14:schemeClr w14:val="tx1"/>
            </w14:solidFill>
          </w14:textFill>
        </w:rPr>
        <w:t>以他人的名义投标、串通投标、以行贿手段谋取成交或者以其他弄虚作假方式投标的；</w:t>
      </w:r>
    </w:p>
    <w:p w14:paraId="561D0416">
      <w:pPr>
        <w:pStyle w:val="48"/>
        <w:keepNext w:val="0"/>
        <w:keepLines w:val="0"/>
        <w:pageBreakBefore w:val="0"/>
        <w:widowControl w:val="0"/>
        <w:spacing w:line="360" w:lineRule="auto"/>
        <w:ind w:firstLine="48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9.1</w:t>
      </w:r>
      <w:r>
        <w:rPr>
          <w:rFonts w:hint="eastAsia" w:ascii="仿宋" w:hAnsi="仿宋" w:eastAsia="仿宋" w:cs="仿宋"/>
          <w:b w:val="0"/>
          <w:bCs/>
          <w:color w:val="000000" w:themeColor="text1"/>
          <w:highlight w:val="none"/>
          <w:lang w:val="en-US" w:eastAsia="zh-CN"/>
          <w14:textFill>
            <w14:solidFill>
              <w14:schemeClr w14:val="tx1"/>
            </w14:solidFill>
          </w14:textFill>
        </w:rPr>
        <w:t>9</w:t>
      </w:r>
      <w:r>
        <w:rPr>
          <w:rFonts w:hint="eastAsia" w:ascii="仿宋" w:hAnsi="仿宋" w:eastAsia="仿宋" w:cs="仿宋"/>
          <w:b w:val="0"/>
          <w:bCs/>
          <w:color w:val="000000" w:themeColor="text1"/>
          <w:highlight w:val="none"/>
          <w14:textFill>
            <w14:solidFill>
              <w14:schemeClr w14:val="tx1"/>
            </w14:solidFill>
          </w14:textFill>
        </w:rPr>
        <w:t>响应文件内容不全或关键字模糊、无法辨认的；未按磋商文件要求提供电子响应文件，或者响应文件未能解密且按照磋商文件明确的响应文件解密失败的补救方案补救不成功的。</w:t>
      </w:r>
    </w:p>
    <w:p w14:paraId="1E9C6814">
      <w:pPr>
        <w:spacing w:line="348" w:lineRule="auto"/>
        <w:ind w:firstLine="482"/>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特别提醒:各供应商在未进行第二次报价前，请不要离开开标系统，随时接受评标委员会提出的二次报价，因供应商未能及时二次报价而引起的废标及损失，由供应商负责。</w:t>
      </w:r>
    </w:p>
    <w:p w14:paraId="043B74E5">
      <w:pPr>
        <w:pStyle w:val="48"/>
        <w:keepNext w:val="0"/>
        <w:keepLines w:val="0"/>
        <w:pageBreakBefore w:val="0"/>
        <w:widowControl w:val="0"/>
        <w:spacing w:line="360" w:lineRule="auto"/>
        <w:ind w:firstLine="240"/>
        <w:outlineLvl w:val="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 (二) 查询及使用供应商信用记录</w:t>
      </w:r>
    </w:p>
    <w:p w14:paraId="094A3CFE">
      <w:pPr>
        <w:pStyle w:val="48"/>
        <w:keepNext w:val="0"/>
        <w:keepLines w:val="0"/>
        <w:pageBreakBefore w:val="0"/>
        <w:widowControl w:val="0"/>
        <w:spacing w:line="360" w:lineRule="auto"/>
        <w:ind w:firstLine="48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1.由采购人查询信用信息。</w:t>
      </w:r>
    </w:p>
    <w:p w14:paraId="67F7E660">
      <w:pPr>
        <w:pStyle w:val="48"/>
        <w:keepNext w:val="0"/>
        <w:keepLines w:val="0"/>
        <w:pageBreakBefore w:val="0"/>
        <w:widowControl w:val="0"/>
        <w:spacing w:line="360" w:lineRule="auto"/>
        <w:ind w:firstLine="48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2.查询渠道包括：</w:t>
      </w:r>
    </w:p>
    <w:p w14:paraId="6F800100">
      <w:pPr>
        <w:pStyle w:val="48"/>
        <w:keepNext w:val="0"/>
        <w:keepLines w:val="0"/>
        <w:pageBreakBefore w:val="0"/>
        <w:widowControl w:val="0"/>
        <w:spacing w:line="360" w:lineRule="auto"/>
        <w:ind w:firstLine="48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(1)“信用中国”网（www.creditchina.gov.cn）；</w:t>
      </w:r>
    </w:p>
    <w:p w14:paraId="001031C4">
      <w:pPr>
        <w:pStyle w:val="48"/>
        <w:keepNext w:val="0"/>
        <w:keepLines w:val="0"/>
        <w:pageBreakBefore w:val="0"/>
        <w:widowControl w:val="0"/>
        <w:spacing w:line="360" w:lineRule="auto"/>
        <w:ind w:firstLine="482"/>
        <w:outlineLvl w:val="3"/>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(2) 中国政府采购网（www.ccgp.gov.cn）；</w:t>
      </w:r>
    </w:p>
    <w:p w14:paraId="0A787DFC">
      <w:pPr>
        <w:pStyle w:val="48"/>
        <w:keepNext w:val="0"/>
        <w:keepLines w:val="0"/>
        <w:pageBreakBefore w:val="0"/>
        <w:widowControl w:val="0"/>
        <w:spacing w:line="360" w:lineRule="auto"/>
        <w:ind w:firstLine="48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(3) “诚信江苏”网（www.jiangsu.gov.cn/jsxy/index.htm）</w:t>
      </w:r>
    </w:p>
    <w:p w14:paraId="10FB5331">
      <w:pPr>
        <w:pStyle w:val="48"/>
        <w:keepNext w:val="0"/>
        <w:keepLines w:val="0"/>
        <w:pageBreakBefore w:val="0"/>
        <w:widowControl w:val="0"/>
        <w:spacing w:line="360" w:lineRule="auto"/>
        <w:ind w:firstLine="48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和或“信用江苏”网（http://credit.jiangsu.gov.cn/）；</w:t>
      </w:r>
    </w:p>
    <w:p w14:paraId="3C94F69B">
      <w:pPr>
        <w:pStyle w:val="48"/>
        <w:keepNext w:val="0"/>
        <w:keepLines w:val="0"/>
        <w:pageBreakBefore w:val="0"/>
        <w:widowControl w:val="0"/>
        <w:spacing w:line="360" w:lineRule="auto"/>
        <w:ind w:firstLine="48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(4)“诚信徐州”网（ http://www.xuzhoucredit.gov.cn）。</w:t>
      </w:r>
    </w:p>
    <w:p w14:paraId="4A10CE18">
      <w:pPr>
        <w:pStyle w:val="48"/>
        <w:keepNext w:val="0"/>
        <w:keepLines w:val="0"/>
        <w:pageBreakBefore w:val="0"/>
        <w:widowControl w:val="0"/>
        <w:spacing w:line="360" w:lineRule="auto"/>
        <w:ind w:firstLine="48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和或“信用徐州”网（www.xuzhoucredit.gov.cn/）。</w:t>
      </w:r>
    </w:p>
    <w:p w14:paraId="013010E4">
      <w:pPr>
        <w:pStyle w:val="48"/>
        <w:keepNext w:val="0"/>
        <w:keepLines w:val="0"/>
        <w:pageBreakBefore w:val="0"/>
        <w:widowControl w:val="0"/>
        <w:spacing w:line="360" w:lineRule="auto"/>
        <w:ind w:firstLine="48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3.截止时点（查询环节）：首次响应文件开启后资格审查结束前。</w:t>
      </w:r>
    </w:p>
    <w:p w14:paraId="51D97248">
      <w:pPr>
        <w:pStyle w:val="48"/>
        <w:keepNext w:val="0"/>
        <w:keepLines w:val="0"/>
        <w:pageBreakBefore w:val="0"/>
        <w:widowControl w:val="0"/>
        <w:spacing w:line="360" w:lineRule="auto"/>
        <w:ind w:firstLine="48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4.信用信息查询记录和证据留存的具体方式：</w:t>
      </w:r>
    </w:p>
    <w:p w14:paraId="5EE376E2">
      <w:pPr>
        <w:pStyle w:val="48"/>
        <w:keepNext w:val="0"/>
        <w:keepLines w:val="0"/>
        <w:pageBreakBefore w:val="0"/>
        <w:widowControl w:val="0"/>
        <w:spacing w:line="360" w:lineRule="auto"/>
        <w:ind w:firstLine="48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网页截屏打印，与其他采购文件一并保存。</w:t>
      </w:r>
    </w:p>
    <w:p w14:paraId="3322DE32">
      <w:pPr>
        <w:pStyle w:val="48"/>
        <w:keepNext w:val="0"/>
        <w:keepLines w:val="0"/>
        <w:pageBreakBefore w:val="0"/>
        <w:widowControl w:val="0"/>
        <w:spacing w:line="360" w:lineRule="auto"/>
        <w:ind w:firstLine="482"/>
        <w:outlineLvl w:val="4"/>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5.信用信息的使用规则：</w:t>
      </w:r>
    </w:p>
    <w:p w14:paraId="60D94700">
      <w:pPr>
        <w:pStyle w:val="48"/>
        <w:keepNext w:val="0"/>
        <w:keepLines w:val="0"/>
        <w:pageBreakBefore w:val="0"/>
        <w:widowControl w:val="0"/>
        <w:spacing w:line="360" w:lineRule="auto"/>
        <w:ind w:firstLine="48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473C0DDD">
      <w:pPr>
        <w:pStyle w:val="48"/>
        <w:keepNext w:val="0"/>
        <w:keepLines w:val="0"/>
        <w:pageBreakBefore w:val="0"/>
        <w:widowControl w:val="0"/>
        <w:numPr>
          <w:ilvl w:val="0"/>
          <w:numId w:val="3"/>
        </w:numPr>
        <w:spacing w:line="360" w:lineRule="auto"/>
        <w:ind w:left="0" w:firstLine="480"/>
        <w:outlineLvl w:val="2"/>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评审程序</w:t>
      </w:r>
    </w:p>
    <w:p w14:paraId="5DC2E0F0">
      <w:pPr>
        <w:pStyle w:val="48"/>
        <w:keepNext w:val="0"/>
        <w:keepLines w:val="0"/>
        <w:pageBreakBefore w:val="0"/>
        <w:widowControl w:val="0"/>
        <w:spacing w:line="360" w:lineRule="auto"/>
        <w:ind w:firstLine="48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本项目报价采用二轮报价，供应商应凭CA数字证书以及能够登录“苏采云”系统的电脑在规定时间内进行二轮报价，</w:t>
      </w:r>
      <w:r>
        <w:rPr>
          <w:rFonts w:hint="eastAsia" w:ascii="仿宋" w:hAnsi="仿宋" w:eastAsia="仿宋" w:cs="仿宋"/>
          <w:color w:val="000000" w:themeColor="text1"/>
          <w:highlight w:val="none"/>
          <w14:textFill>
            <w14:solidFill>
              <w14:schemeClr w14:val="tx1"/>
            </w14:solidFill>
          </w14:textFill>
        </w:rPr>
        <w:t>所有实质性响应的供应商在规定时间内均需提交最后报价</w:t>
      </w:r>
      <w:r>
        <w:rPr>
          <w:rFonts w:hint="eastAsia" w:ascii="仿宋" w:hAnsi="仿宋" w:eastAsia="仿宋" w:cs="仿宋"/>
          <w:color w:val="000000" w:themeColor="text1"/>
          <w:highlight w:val="none"/>
          <w:lang w:eastAsia="zh-CN"/>
          <w14:textFill>
            <w14:solidFill>
              <w14:schemeClr w14:val="tx1"/>
            </w14:solidFill>
          </w14:textFill>
        </w:rPr>
        <w:t>。</w:t>
      </w:r>
    </w:p>
    <w:p w14:paraId="1ABDE3A9">
      <w:pPr>
        <w:pStyle w:val="48"/>
        <w:keepNext w:val="0"/>
        <w:keepLines w:val="0"/>
        <w:pageBreakBefore w:val="0"/>
        <w:widowControl w:val="0"/>
        <w:spacing w:line="360" w:lineRule="auto"/>
        <w:ind w:firstLine="480"/>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磋商评审小组的组建：采购人组建。</w:t>
      </w:r>
      <w:r>
        <w:rPr>
          <w:rFonts w:hint="eastAsia" w:ascii="仿宋" w:hAnsi="仿宋" w:eastAsia="仿宋" w:cs="仿宋"/>
          <w:b w:val="0"/>
          <w:bCs/>
          <w:highlight w:val="none"/>
        </w:rPr>
        <w:t>磋商小组成员构成：3人。磋商小组确定方式：由采购人评委和政府采购专家（从《江苏省政府采购专家库》随机抽取）组成。</w:t>
      </w:r>
    </w:p>
    <w:p w14:paraId="187895A7">
      <w:pPr>
        <w:pStyle w:val="48"/>
        <w:keepNext w:val="0"/>
        <w:keepLines w:val="0"/>
        <w:pageBreakBefore w:val="0"/>
        <w:widowControl w:val="0"/>
        <w:spacing w:line="360" w:lineRule="auto"/>
        <w:ind w:firstLine="48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经磋商确定最终采购需求和提交最后报价的供应商后，由磋商小组采用综合评分法对提交最后报价的供应商的响应文件和最后报价进行综合评分。</w:t>
      </w:r>
    </w:p>
    <w:p w14:paraId="1922CBE6">
      <w:pPr>
        <w:pStyle w:val="48"/>
        <w:keepNext w:val="0"/>
        <w:keepLines w:val="0"/>
        <w:pageBreakBefore w:val="0"/>
        <w:widowControl w:val="0"/>
        <w:spacing w:line="360" w:lineRule="auto"/>
        <w:ind w:firstLine="480"/>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磋商小组应当根据综合评分情况，按照评审得分由高到低顺序推荐成交候选供应商，并编写评审报告。评审得分相同的，按照最后报价由低到高的顺序推荐。评审得分且最后报价相同的，按照技术部分</w:t>
      </w:r>
      <w:r>
        <w:rPr>
          <w:rFonts w:hint="eastAsia" w:ascii="仿宋" w:hAnsi="仿宋" w:eastAsia="仿宋" w:cs="仿宋"/>
          <w:b w:val="0"/>
          <w:bCs/>
          <w:color w:val="000000" w:themeColor="text1"/>
          <w:highlight w:val="none"/>
          <w:lang w:val="en-US" w:eastAsia="zh-CN"/>
          <w14:textFill>
            <w14:solidFill>
              <w14:schemeClr w14:val="tx1"/>
            </w14:solidFill>
          </w14:textFill>
        </w:rPr>
        <w:t>得分</w:t>
      </w:r>
      <w:r>
        <w:rPr>
          <w:rFonts w:hint="eastAsia" w:ascii="仿宋" w:hAnsi="仿宋" w:eastAsia="仿宋" w:cs="仿宋"/>
          <w:b w:val="0"/>
          <w:bCs/>
          <w:color w:val="000000" w:themeColor="text1"/>
          <w:highlight w:val="none"/>
          <w14:textFill>
            <w14:solidFill>
              <w14:schemeClr w14:val="tx1"/>
            </w14:solidFill>
          </w14:textFill>
        </w:rPr>
        <w:t>顺序推荐。</w:t>
      </w:r>
    </w:p>
    <w:p w14:paraId="52097F9A">
      <w:pPr>
        <w:pStyle w:val="48"/>
        <w:keepNext w:val="0"/>
        <w:keepLines w:val="0"/>
        <w:pageBreakBefore w:val="0"/>
        <w:widowControl w:val="0"/>
        <w:spacing w:line="360" w:lineRule="auto"/>
        <w:ind w:firstLine="480"/>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磋商小组认为供应商的报价明显低于其他供应商的报价，有可能影响</w:t>
      </w:r>
      <w:r>
        <w:rPr>
          <w:rFonts w:hint="eastAsia" w:ascii="仿宋" w:hAnsi="仿宋" w:eastAsia="仿宋" w:cs="仿宋"/>
          <w:b w:val="0"/>
          <w:bCs/>
          <w:color w:val="000000" w:themeColor="text1"/>
          <w:highlight w:val="none"/>
          <w:lang w:val="en-US" w:eastAsia="zh-CN"/>
          <w14:textFill>
            <w14:solidFill>
              <w14:schemeClr w14:val="tx1"/>
            </w14:solidFill>
          </w14:textFill>
        </w:rPr>
        <w:t>工程</w:t>
      </w:r>
      <w:r>
        <w:rPr>
          <w:rFonts w:hint="eastAsia" w:ascii="仿宋" w:hAnsi="仿宋" w:eastAsia="仿宋" w:cs="仿宋"/>
          <w:b w:val="0"/>
          <w:bCs/>
          <w:color w:val="000000" w:themeColor="text1"/>
          <w:highlight w:val="none"/>
          <w14:textFill>
            <w14:solidFill>
              <w14:schemeClr w14:val="tx1"/>
            </w14:solidFill>
          </w14:textFill>
        </w:rPr>
        <w:t>质量或者不能诚信履约的，应当要求其在评审现场合理的时间内提供书面说明，必要时提交相关证明材料；供应商不能证明其报价合理性的，磋商小组应当将其按响应无效处理。</w:t>
      </w:r>
    </w:p>
    <w:p w14:paraId="4A8756D8">
      <w:pPr>
        <w:spacing w:line="348" w:lineRule="auto"/>
        <w:ind w:firstLine="482"/>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实施政府采购异常低价审查的有关要求：</w:t>
      </w:r>
    </w:p>
    <w:p w14:paraId="38993DA2">
      <w:pPr>
        <w:spacing w:line="348" w:lineRule="auto"/>
        <w:ind w:firstLine="482"/>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（一）评审中出现下列情形之一的，评审（评标）委员会应当启动异常低价投标（响应）审查程序：</w:t>
      </w:r>
    </w:p>
    <w:p w14:paraId="5715051B">
      <w:pPr>
        <w:spacing w:line="348" w:lineRule="auto"/>
        <w:ind w:firstLine="482"/>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1.投标（响应）报价低于全部通过符合性审查供应商投标（响应）报价平均值50%的，即投标（响应）报价&lt;全部通过符合性审查供应商投标（响应）报价平均值×50%；</w:t>
      </w:r>
    </w:p>
    <w:p w14:paraId="64ED3C29">
      <w:pPr>
        <w:spacing w:line="348" w:lineRule="auto"/>
        <w:ind w:firstLine="482"/>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2.投标（响应）报价低于通过符合性审查的次低报价供应商投标（响应）报价50%的，即投标（响应）报价&lt;通过符合性审查的次低报价供应商投标（响应）报价×50%；</w:t>
      </w:r>
    </w:p>
    <w:p w14:paraId="5ECFA830">
      <w:pPr>
        <w:spacing w:line="348" w:lineRule="auto"/>
        <w:ind w:firstLine="482"/>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3.投标（响应）报价低于采购项目最高限价（未设定最高限价的采购项目，以采购项目预算金额作为最高限价）45%的，即投标（响应）报价&lt;采购项目最高限价×45%；</w:t>
      </w:r>
    </w:p>
    <w:p w14:paraId="4C757789">
      <w:pPr>
        <w:spacing w:line="348" w:lineRule="auto"/>
        <w:ind w:firstLine="482"/>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4.评审（评标）委员会基于专业判断，认为供应商报价过低，有可能影响产品质量或者不能诚信履约的其他情形。</w:t>
      </w:r>
    </w:p>
    <w:p w14:paraId="20EABD2C">
      <w:pPr>
        <w:spacing w:line="348" w:lineRule="auto"/>
        <w:ind w:firstLine="482"/>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相关法律法规对供应商报价有规定的，从其规定。</w:t>
      </w:r>
    </w:p>
    <w:p w14:paraId="28C26460">
      <w:pPr>
        <w:spacing w:line="348" w:lineRule="auto"/>
        <w:ind w:firstLine="48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（二）评审（评标）委员会启动异常低价投标（响应）审查后，属于前述第1项至第4项情形的，应当要求相关供应商在合理的时间内（</w:t>
      </w:r>
      <w:r>
        <w:rPr>
          <w:rFonts w:hint="eastAsia" w:ascii="仿宋" w:hAnsi="仿宋" w:eastAsia="仿宋" w:cs="仿宋"/>
          <w:b/>
          <w:bCs/>
          <w:sz w:val="24"/>
          <w:szCs w:val="24"/>
          <w:highlight w:val="none"/>
        </w:rPr>
        <w:t>通过“苏采云”系统）</w:t>
      </w:r>
      <w:r>
        <w:rPr>
          <w:rFonts w:hint="eastAsia" w:ascii="仿宋" w:hAnsi="仿宋" w:eastAsia="仿宋" w:cs="仿宋"/>
          <w:sz w:val="24"/>
          <w:szCs w:val="24"/>
          <w:highlight w:val="none"/>
        </w:rPr>
        <w:t>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b/>
          <w:bCs/>
          <w:sz w:val="24"/>
          <w:szCs w:val="24"/>
          <w:highlight w:val="none"/>
        </w:rPr>
        <w:t>供应商说明应当采用通过“苏采云”系统（使用“CA数字证书”,加盖电子签章）形式。</w:t>
      </w:r>
    </w:p>
    <w:p w14:paraId="0555EEC7">
      <w:pPr>
        <w:spacing w:line="348" w:lineRule="auto"/>
        <w:ind w:firstLine="48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14:paraId="02B6D59A">
      <w:pPr>
        <w:spacing w:line="348" w:lineRule="auto"/>
        <w:ind w:firstLine="48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08EA1B6E">
      <w:pPr>
        <w:spacing w:line="348" w:lineRule="auto"/>
        <w:ind w:firstLine="48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评标委员会成员对需要共同认定的事项存在争议的，应当按照少数服从多数的原则作出结论。持不同意见的评标委员会成员应当在评标报告上签署不同意见及理由，否则视为同意评标报告。</w:t>
      </w:r>
    </w:p>
    <w:p w14:paraId="79ED6F6C">
      <w:pPr>
        <w:pStyle w:val="49"/>
        <w:keepNext w:val="0"/>
        <w:keepLines w:val="0"/>
        <w:pageBreakBefore w:val="0"/>
        <w:widowControl w:val="0"/>
        <w:spacing w:line="360" w:lineRule="auto"/>
        <w:outlineLvl w:val="1"/>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二、评审方法和评审标准：</w:t>
      </w:r>
    </w:p>
    <w:p w14:paraId="63F772BC">
      <w:pPr>
        <w:pStyle w:val="49"/>
        <w:keepNext w:val="0"/>
        <w:keepLines w:val="0"/>
        <w:pageBreakBefore w:val="0"/>
        <w:widowControl w:val="0"/>
        <w:spacing w:line="360" w:lineRule="auto"/>
        <w:ind w:firstLine="480"/>
        <w:outlineLvl w:val="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1、评审方法：综合评分法</w:t>
      </w:r>
    </w:p>
    <w:p w14:paraId="5BD16136">
      <w:pPr>
        <w:pStyle w:val="49"/>
        <w:keepNext w:val="0"/>
        <w:keepLines w:val="0"/>
        <w:pageBreakBefore w:val="0"/>
        <w:widowControl w:val="0"/>
        <w:spacing w:line="360" w:lineRule="auto"/>
        <w:ind w:firstLine="48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评审标准：本项目选用综合评分法，即竞争性磋商响应文件满足竞争性磋商文件全部实质性要求，且按照评审因素的量化指标评审得分最高的供应商为成交候选人。综合评分的主要因素是：报价、技术部分、商务部分，以及相应的比重或者权值等。详见《磋商文件》</w:t>
      </w:r>
      <w:r>
        <w:rPr>
          <w:rFonts w:hint="eastAsia" w:ascii="仿宋" w:hAnsi="仿宋" w:eastAsia="仿宋" w:cs="仿宋"/>
          <w:color w:val="000000" w:themeColor="text1"/>
          <w:sz w:val="24"/>
          <w:highlight w:val="none"/>
          <w:lang w:eastAsia="zh-CN"/>
          <w14:textFill>
            <w14:solidFill>
              <w14:schemeClr w14:val="tx1"/>
            </w14:solidFill>
          </w14:textFill>
        </w:rPr>
        <w:t>第九章</w:t>
      </w:r>
      <w:r>
        <w:rPr>
          <w:rFonts w:hint="eastAsia" w:ascii="仿宋" w:hAnsi="仿宋" w:eastAsia="仿宋" w:cs="仿宋"/>
          <w:color w:val="000000" w:themeColor="text1"/>
          <w:sz w:val="24"/>
          <w:highlight w:val="none"/>
          <w14:textFill>
            <w14:solidFill>
              <w14:schemeClr w14:val="tx1"/>
            </w14:solidFill>
          </w14:textFill>
        </w:rPr>
        <w:t>附件《评分细则》</w:t>
      </w:r>
      <w:r>
        <w:rPr>
          <w:rFonts w:hint="eastAsia" w:ascii="仿宋" w:hAnsi="仿宋" w:eastAsia="仿宋" w:cs="仿宋"/>
          <w:color w:val="000000" w:themeColor="text1"/>
          <w:sz w:val="24"/>
          <w:highlight w:val="none"/>
          <w:lang w:eastAsia="zh-CN"/>
          <w14:textFill>
            <w14:solidFill>
              <w14:schemeClr w14:val="tx1"/>
            </w14:solidFill>
          </w14:textFill>
        </w:rPr>
        <w:t>。</w:t>
      </w:r>
    </w:p>
    <w:p w14:paraId="5AE31997">
      <w:pPr>
        <w:pStyle w:val="49"/>
        <w:keepNext w:val="0"/>
        <w:keepLines w:val="0"/>
        <w:pageBreakBefore w:val="0"/>
        <w:widowControl w:val="0"/>
        <w:spacing w:line="360" w:lineRule="auto"/>
        <w:outlineLvl w:val="1"/>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三、磋商过程中可能实质性变动的内容：</w:t>
      </w:r>
    </w:p>
    <w:p w14:paraId="6DDA0D37">
      <w:pPr>
        <w:pStyle w:val="49"/>
        <w:keepNext w:val="0"/>
        <w:keepLines w:val="0"/>
        <w:pageBreakBefore w:val="0"/>
        <w:widowControl w:val="0"/>
        <w:spacing w:line="360" w:lineRule="auto"/>
        <w:ind w:firstLine="48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在磋商过程中，磋商小组可以根据《磋商文件》和磋商情况实质性变动采购需求中的技术、服务要求以及合同草案条款。</w:t>
      </w:r>
    </w:p>
    <w:p w14:paraId="43B9DC23">
      <w:pPr>
        <w:pStyle w:val="49"/>
        <w:keepNext w:val="0"/>
        <w:keepLines w:val="0"/>
        <w:pageBreakBefore w:val="0"/>
        <w:widowControl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四、采购人有权对供应商的响应文件的真实性进行核实</w:t>
      </w:r>
      <w:r>
        <w:rPr>
          <w:rFonts w:hint="eastAsia" w:ascii="仿宋" w:hAnsi="仿宋" w:eastAsia="仿宋" w:cs="仿宋"/>
          <w:color w:val="000000" w:themeColor="text1"/>
          <w:sz w:val="24"/>
          <w:highlight w:val="none"/>
          <w14:textFill>
            <w14:solidFill>
              <w14:schemeClr w14:val="tx1"/>
            </w14:solidFill>
          </w14:textFill>
        </w:rPr>
        <w:t>，如供应商不能在采购人规定的时间内向采购人提供有效的证明文件，将被采购人认定为具有《中华人民共和国政府采购法》第七十七条所规定的“提供虚假材料谋取中标、成交的”情形，并承担相应的法律责任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themeColor="text1"/>
          <w:sz w:val="24"/>
          <w:highlight w:val="none"/>
          <w:lang w:eastAsia="zh-CN"/>
          <w14:textFill>
            <w14:solidFill>
              <w14:schemeClr w14:val="tx1"/>
            </w14:solidFill>
          </w14:textFill>
        </w:rPr>
        <w:t>。</w:t>
      </w:r>
    </w:p>
    <w:p w14:paraId="12BE91BF">
      <w:pPr>
        <w:pStyle w:val="49"/>
        <w:rPr>
          <w:rFonts w:hint="eastAsia" w:ascii="仿宋" w:hAnsi="仿宋" w:eastAsia="仿宋" w:cs="仿宋"/>
          <w:highlight w:val="none"/>
        </w:rPr>
      </w:pPr>
      <w:bookmarkStart w:id="57" w:name="_Toc18016"/>
      <w:bookmarkStart w:id="58" w:name="_Toc1470"/>
      <w:bookmarkStart w:id="59" w:name="_Toc4341"/>
      <w:bookmarkStart w:id="60" w:name="_Toc1946"/>
      <w:bookmarkStart w:id="61" w:name="_Toc677"/>
      <w:bookmarkStart w:id="62" w:name="_Toc570"/>
      <w:bookmarkStart w:id="63" w:name="_Toc4900"/>
      <w:bookmarkStart w:id="64" w:name="_Toc8321"/>
      <w:bookmarkStart w:id="65" w:name="_Toc11935"/>
      <w:bookmarkStart w:id="66" w:name="_Toc5288"/>
    </w:p>
    <w:p w14:paraId="4E883884">
      <w:pPr>
        <w:pStyle w:val="49"/>
        <w:keepNext w:val="0"/>
        <w:keepLines w:val="0"/>
        <w:pageBreakBefore w:val="0"/>
        <w:widowControl w:val="0"/>
        <w:spacing w:line="360" w:lineRule="auto"/>
        <w:jc w:val="center"/>
        <w:outlineLvl w:val="0"/>
        <w:rPr>
          <w:rFonts w:hint="eastAsia" w:ascii="仿宋" w:hAnsi="仿宋" w:eastAsia="仿宋" w:cs="仿宋"/>
          <w:b/>
          <w:bCs/>
          <w:color w:val="000000" w:themeColor="text1"/>
          <w:highlight w:val="none"/>
          <w14:textFill>
            <w14:solidFill>
              <w14:schemeClr w14:val="tx1"/>
            </w14:solidFill>
          </w14:textFill>
        </w:rPr>
      </w:pPr>
      <w:bookmarkStart w:id="67" w:name="_Toc14298"/>
      <w:r>
        <w:rPr>
          <w:rFonts w:hint="eastAsia" w:ascii="仿宋" w:hAnsi="仿宋" w:eastAsia="仿宋" w:cs="仿宋"/>
          <w:b/>
          <w:bCs/>
          <w:color w:val="000000" w:themeColor="text1"/>
          <w:sz w:val="30"/>
          <w:szCs w:val="30"/>
          <w:highlight w:val="none"/>
          <w14:textFill>
            <w14:solidFill>
              <w14:schemeClr w14:val="tx1"/>
            </w14:solidFill>
          </w14:textFill>
        </w:rPr>
        <w:t>第五章  确定成交供应商及合同签订等</w:t>
      </w:r>
      <w:bookmarkEnd w:id="57"/>
      <w:bookmarkEnd w:id="58"/>
      <w:bookmarkEnd w:id="59"/>
      <w:bookmarkEnd w:id="60"/>
      <w:bookmarkEnd w:id="61"/>
      <w:bookmarkEnd w:id="62"/>
      <w:bookmarkEnd w:id="63"/>
      <w:bookmarkEnd w:id="64"/>
      <w:bookmarkEnd w:id="65"/>
      <w:bookmarkEnd w:id="66"/>
      <w:bookmarkEnd w:id="67"/>
    </w:p>
    <w:p w14:paraId="17DA5A18">
      <w:pPr>
        <w:pStyle w:val="49"/>
        <w:pageBreakBefore w:val="0"/>
        <w:spacing w:line="360" w:lineRule="auto"/>
        <w:ind w:firstLine="482"/>
        <w:rPr>
          <w:rFonts w:hint="eastAsia" w:ascii="仿宋" w:hAnsi="仿宋" w:eastAsia="仿宋" w:cs="仿宋"/>
          <w:color w:val="auto"/>
          <w:sz w:val="24"/>
          <w:highlight w:val="none"/>
        </w:rPr>
      </w:pPr>
      <w:r>
        <w:rPr>
          <w:rFonts w:hint="eastAsia" w:ascii="仿宋" w:hAnsi="仿宋" w:eastAsia="仿宋" w:cs="仿宋"/>
          <w:bCs/>
          <w:color w:val="000000" w:themeColor="text1"/>
          <w:sz w:val="24"/>
          <w:highlight w:val="none"/>
          <w14:textFill>
            <w14:solidFill>
              <w14:schemeClr w14:val="tx1"/>
            </w14:solidFill>
          </w14:textFill>
        </w:rPr>
        <w:t>一、成交结果确认：</w:t>
      </w:r>
      <w:r>
        <w:rPr>
          <w:rFonts w:hint="eastAsia" w:ascii="仿宋" w:hAnsi="仿宋" w:eastAsia="仿宋" w:cs="仿宋"/>
          <w:color w:val="auto"/>
          <w:sz w:val="24"/>
          <w:highlight w:val="none"/>
        </w:rPr>
        <w:t>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p>
    <w:p w14:paraId="61F4B949">
      <w:pPr>
        <w:pStyle w:val="49"/>
        <w:pageBreakBefore w:val="0"/>
        <w:spacing w:line="360" w:lineRule="auto"/>
        <w:ind w:firstLine="482"/>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二、供应商应对响应文件的合法性、真实性负责。</w:t>
      </w:r>
      <w:r>
        <w:rPr>
          <w:rFonts w:hint="eastAsia" w:ascii="仿宋" w:hAnsi="仿宋" w:eastAsia="仿宋" w:cs="仿宋"/>
          <w:b/>
          <w:color w:val="000000" w:themeColor="text1"/>
          <w:sz w:val="24"/>
          <w:highlight w:val="none"/>
          <w14:textFill>
            <w14:solidFill>
              <w14:schemeClr w14:val="tx1"/>
            </w14:solidFill>
          </w14:textFill>
        </w:rPr>
        <w:t>签订合同前，中标人必须向采购人提交其响应文件中所有扫描件的原件，采购人核查无误后，签订合同。</w:t>
      </w:r>
      <w:r>
        <w:rPr>
          <w:rFonts w:hint="eastAsia" w:ascii="仿宋" w:hAnsi="仿宋" w:eastAsia="仿宋" w:cs="仿宋"/>
          <w:bCs/>
          <w:color w:val="000000" w:themeColor="text1"/>
          <w:sz w:val="24"/>
          <w:highlight w:val="none"/>
          <w14:textFill>
            <w14:solidFill>
              <w14:schemeClr w14:val="tx1"/>
            </w14:solidFill>
          </w14:textFill>
        </w:rPr>
        <w:t>如成交供应商不能在采购人规定的时间内向采购人提供原件，将被采购人认定为具有《中华人民共和国政府采购法》第七十七条所规定的“提供虚假材料谋取中标、成交的”情形，并承担相应的法律责任。特别要求的除外。</w:t>
      </w:r>
    </w:p>
    <w:p w14:paraId="012658B2">
      <w:pPr>
        <w:pStyle w:val="49"/>
        <w:pageBreakBefore w:val="0"/>
        <w:spacing w:line="360" w:lineRule="auto"/>
        <w:ind w:firstLine="482"/>
        <w:rPr>
          <w:rFonts w:hint="eastAsia" w:ascii="仿宋" w:hAnsi="仿宋" w:eastAsia="仿宋" w:cs="仿宋"/>
          <w:color w:val="auto"/>
          <w:highlight w:val="none"/>
        </w:rPr>
      </w:pPr>
      <w:r>
        <w:rPr>
          <w:rFonts w:hint="eastAsia" w:ascii="仿宋" w:hAnsi="仿宋" w:eastAsia="仿宋" w:cs="仿宋"/>
          <w:bCs/>
          <w:color w:val="000000" w:themeColor="text1"/>
          <w:sz w:val="24"/>
          <w:highlight w:val="none"/>
          <w:lang w:val="en-US" w:eastAsia="zh-CN"/>
          <w14:textFill>
            <w14:solidFill>
              <w14:schemeClr w14:val="tx1"/>
            </w14:solidFill>
          </w14:textFill>
        </w:rPr>
        <w:t>三</w:t>
      </w:r>
      <w:r>
        <w:rPr>
          <w:rFonts w:hint="eastAsia" w:ascii="仿宋" w:hAnsi="仿宋" w:eastAsia="仿宋" w:cs="仿宋"/>
          <w:bCs/>
          <w:color w:val="000000" w:themeColor="text1"/>
          <w:sz w:val="24"/>
          <w:highlight w:val="none"/>
          <w14:textFill>
            <w14:solidFill>
              <w14:schemeClr w14:val="tx1"/>
            </w14:solidFill>
          </w14:textFill>
        </w:rPr>
        <w:t>、</w:t>
      </w:r>
      <w:bookmarkStart w:id="68" w:name="_Toc26370"/>
      <w:bookmarkStart w:id="69" w:name="_Toc27571"/>
      <w:bookmarkStart w:id="70" w:name="_Toc9526"/>
      <w:bookmarkStart w:id="71" w:name="_Toc11048"/>
      <w:bookmarkStart w:id="72" w:name="_Toc11573"/>
      <w:bookmarkStart w:id="73" w:name="_Toc22576"/>
      <w:bookmarkStart w:id="74" w:name="_Toc753"/>
      <w:bookmarkStart w:id="75" w:name="_Toc8179"/>
      <w:bookmarkStart w:id="76" w:name="_Toc26346"/>
      <w:bookmarkStart w:id="77" w:name="_Toc28376"/>
      <w:r>
        <w:rPr>
          <w:rFonts w:hint="eastAsia" w:ascii="仿宋" w:hAnsi="仿宋" w:eastAsia="仿宋" w:cs="仿宋"/>
          <w:color w:val="auto"/>
          <w:sz w:val="24"/>
          <w:highlight w:val="none"/>
        </w:rPr>
        <w:t>特别说明：按照《政府采购法》及其实施条例以及相关规定，中标或者成交后无正当理由拒不与采购人签订政府采购合同的, 在一至三年内禁止参加政府采购活动，列入政府采购严重违法失信行为记录名单。</w:t>
      </w:r>
    </w:p>
    <w:p w14:paraId="08552379">
      <w:pPr>
        <w:pStyle w:val="50"/>
        <w:ind w:left="0" w:firstLine="0"/>
        <w:rPr>
          <w:rFonts w:hint="eastAsia" w:ascii="仿宋" w:hAnsi="仿宋" w:eastAsia="仿宋" w:cs="仿宋"/>
          <w:color w:val="000000" w:themeColor="text1"/>
          <w:sz w:val="24"/>
          <w:szCs w:val="24"/>
          <w:highlight w:val="none"/>
          <w14:textFill>
            <w14:solidFill>
              <w14:schemeClr w14:val="tx1"/>
            </w14:solidFill>
          </w14:textFill>
        </w:rPr>
      </w:pPr>
    </w:p>
    <w:p w14:paraId="0385B4FE">
      <w:pPr>
        <w:pStyle w:val="76"/>
        <w:pageBreakBefore w:val="0"/>
        <w:spacing w:line="360" w:lineRule="auto"/>
        <w:jc w:val="center"/>
        <w:outlineLvl w:val="0"/>
        <w:rPr>
          <w:rFonts w:hint="eastAsia" w:ascii="仿宋" w:hAnsi="仿宋" w:eastAsia="仿宋" w:cs="仿宋"/>
          <w:color w:val="000000" w:themeColor="text1"/>
          <w:sz w:val="30"/>
          <w:szCs w:val="30"/>
          <w:highlight w:val="none"/>
          <w14:textFill>
            <w14:solidFill>
              <w14:schemeClr w14:val="tx1"/>
            </w14:solidFill>
          </w14:textFill>
        </w:rPr>
      </w:pPr>
      <w:bookmarkStart w:id="78" w:name="_Toc23596"/>
      <w:r>
        <w:rPr>
          <w:rFonts w:hint="eastAsia" w:ascii="仿宋" w:hAnsi="仿宋" w:eastAsia="仿宋" w:cs="仿宋"/>
          <w:color w:val="000000" w:themeColor="text1"/>
          <w:sz w:val="30"/>
          <w:szCs w:val="30"/>
          <w:highlight w:val="none"/>
          <w14:textFill>
            <w14:solidFill>
              <w14:schemeClr w14:val="tx1"/>
            </w14:solidFill>
          </w14:textFill>
        </w:rPr>
        <w:t>第六章 磋商文件的澄清或者修改</w:t>
      </w:r>
      <w:bookmarkEnd w:id="68"/>
      <w:bookmarkEnd w:id="69"/>
      <w:bookmarkEnd w:id="70"/>
      <w:bookmarkEnd w:id="71"/>
      <w:bookmarkEnd w:id="72"/>
      <w:bookmarkEnd w:id="73"/>
      <w:bookmarkEnd w:id="74"/>
      <w:bookmarkEnd w:id="75"/>
      <w:bookmarkEnd w:id="76"/>
      <w:bookmarkEnd w:id="77"/>
      <w:bookmarkEnd w:id="78"/>
    </w:p>
    <w:p w14:paraId="53AEEF5D">
      <w:pPr>
        <w:pStyle w:val="49"/>
        <w:pageBreakBefore w:val="0"/>
        <w:spacing w:line="360" w:lineRule="auto"/>
        <w:ind w:firstLine="482"/>
        <w:outlineLvl w:val="1"/>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一、《磋商文件》的澄清或者修改：</w:t>
      </w:r>
    </w:p>
    <w:p w14:paraId="648AEC6A">
      <w:pPr>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采购代理机构可以对已发出的招标文件进行必要的澄清或者修改。澄清或者修改的内容以所发布的本项目的“更正（澄清）公告”的形式通知所有获取招标文件的潜在</w:t>
      </w:r>
      <w:r>
        <w:rPr>
          <w:rFonts w:hint="eastAsia" w:ascii="仿宋" w:hAnsi="仿宋" w:eastAsia="仿宋" w:cs="仿宋"/>
          <w:sz w:val="24"/>
          <w:szCs w:val="24"/>
          <w:highlight w:val="none"/>
          <w:lang w:eastAsia="zh-CN" w:bidi="ar"/>
        </w:rPr>
        <w:t>供应商</w:t>
      </w:r>
      <w:r>
        <w:rPr>
          <w:rFonts w:hint="eastAsia" w:ascii="仿宋" w:hAnsi="仿宋" w:eastAsia="仿宋" w:cs="仿宋"/>
          <w:sz w:val="24"/>
          <w:szCs w:val="24"/>
          <w:highlight w:val="none"/>
          <w:lang w:bidi="ar"/>
        </w:rPr>
        <w:t>。发布本项目的“更正（澄清）公告”后采购代理机构已尽通知义务。敬请各潜在</w:t>
      </w:r>
      <w:r>
        <w:rPr>
          <w:rFonts w:hint="eastAsia" w:ascii="仿宋" w:hAnsi="仿宋" w:eastAsia="仿宋" w:cs="仿宋"/>
          <w:sz w:val="24"/>
          <w:szCs w:val="24"/>
          <w:highlight w:val="none"/>
          <w:lang w:eastAsia="zh-CN" w:bidi="ar"/>
        </w:rPr>
        <w:t>供应商</w:t>
      </w:r>
      <w:r>
        <w:rPr>
          <w:rFonts w:hint="eastAsia" w:ascii="仿宋" w:hAnsi="仿宋" w:eastAsia="仿宋" w:cs="仿宋"/>
          <w:sz w:val="24"/>
          <w:szCs w:val="24"/>
          <w:highlight w:val="none"/>
          <w:lang w:bidi="ar"/>
        </w:rPr>
        <w:t>关注本项目的“更正（澄清）公告”，并通过“苏采云”系统重新下载更正（澄清）后的采购文件（后缀名为“.kedt”），离线编制投标文件，否则，将自行承担相应的风险。</w:t>
      </w:r>
    </w:p>
    <w:p w14:paraId="3C699C4F">
      <w:pPr>
        <w:pStyle w:val="321"/>
        <w:pageBreakBefore w:val="0"/>
        <w:spacing w:line="360" w:lineRule="auto"/>
        <w:ind w:left="0" w:firstLine="0"/>
        <w:rPr>
          <w:rFonts w:hint="eastAsia" w:ascii="仿宋" w:hAnsi="仿宋" w:eastAsia="仿宋" w:cs="仿宋"/>
          <w:color w:val="000000" w:themeColor="text1"/>
          <w:sz w:val="24"/>
          <w:highlight w:val="none"/>
          <w14:textFill>
            <w14:solidFill>
              <w14:schemeClr w14:val="tx1"/>
            </w14:solidFill>
          </w14:textFill>
        </w:rPr>
      </w:pPr>
    </w:p>
    <w:p w14:paraId="66C320FD">
      <w:pPr>
        <w:pStyle w:val="76"/>
        <w:pageBreakBefore w:val="0"/>
        <w:spacing w:line="360" w:lineRule="auto"/>
        <w:jc w:val="center"/>
        <w:outlineLvl w:val="0"/>
        <w:rPr>
          <w:rFonts w:hint="eastAsia" w:ascii="仿宋" w:hAnsi="仿宋" w:eastAsia="仿宋" w:cs="仿宋"/>
          <w:color w:val="000000" w:themeColor="text1"/>
          <w:sz w:val="30"/>
          <w:szCs w:val="30"/>
          <w:highlight w:val="none"/>
          <w14:textFill>
            <w14:solidFill>
              <w14:schemeClr w14:val="tx1"/>
            </w14:solidFill>
          </w14:textFill>
        </w:rPr>
      </w:pPr>
      <w:bookmarkStart w:id="79" w:name="_Toc26635"/>
      <w:bookmarkStart w:id="80" w:name="_Toc8704"/>
      <w:bookmarkStart w:id="81" w:name="_Toc31276"/>
      <w:bookmarkStart w:id="82" w:name="_Toc7515"/>
      <w:bookmarkStart w:id="83" w:name="_Toc29765"/>
      <w:bookmarkStart w:id="84" w:name="_Toc31059"/>
      <w:bookmarkStart w:id="85" w:name="_Toc21449"/>
      <w:bookmarkStart w:id="86" w:name="_Toc24021"/>
      <w:bookmarkStart w:id="87" w:name="_Toc21663"/>
      <w:bookmarkStart w:id="88" w:name="_Toc24692"/>
      <w:bookmarkStart w:id="89" w:name="_Toc6980"/>
      <w:r>
        <w:rPr>
          <w:rFonts w:hint="eastAsia" w:ascii="仿宋" w:hAnsi="仿宋" w:eastAsia="仿宋" w:cs="仿宋"/>
          <w:color w:val="000000" w:themeColor="text1"/>
          <w:sz w:val="30"/>
          <w:szCs w:val="30"/>
          <w:highlight w:val="none"/>
          <w14:textFill>
            <w14:solidFill>
              <w14:schemeClr w14:val="tx1"/>
            </w14:solidFill>
          </w14:textFill>
        </w:rPr>
        <w:t>第七章 询问和质疑</w:t>
      </w:r>
      <w:bookmarkEnd w:id="79"/>
      <w:bookmarkEnd w:id="80"/>
      <w:bookmarkEnd w:id="81"/>
      <w:bookmarkEnd w:id="82"/>
      <w:bookmarkEnd w:id="83"/>
      <w:bookmarkEnd w:id="84"/>
      <w:bookmarkEnd w:id="85"/>
      <w:bookmarkEnd w:id="86"/>
      <w:bookmarkEnd w:id="87"/>
      <w:bookmarkEnd w:id="88"/>
      <w:bookmarkEnd w:id="89"/>
    </w:p>
    <w:p w14:paraId="7C7D4C5D">
      <w:pPr>
        <w:pStyle w:val="49"/>
        <w:pageBreakBefore w:val="0"/>
        <w:widowControl/>
        <w:spacing w:line="360" w:lineRule="auto"/>
        <w:outlineLvl w:val="1"/>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一、询问和质疑：</w:t>
      </w:r>
    </w:p>
    <w:p w14:paraId="1033B843">
      <w:pPr>
        <w:pStyle w:val="49"/>
        <w:pageBreakBefore w:val="0"/>
        <w:widowControl/>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p>
    <w:p w14:paraId="025CBAB5">
      <w:pPr>
        <w:pStyle w:val="49"/>
        <w:pageBreakBefore w:val="0"/>
        <w:widowControl/>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2、质疑和投诉按《政府采购质疑和投诉办法》执行。</w:t>
      </w:r>
    </w:p>
    <w:p w14:paraId="7CD33C8F">
      <w:pPr>
        <w:pStyle w:val="49"/>
        <w:pageBreakBefore w:val="0"/>
        <w:widowControl/>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3、供应商对同一采购程序环节的质疑应在质疑期内一次性提出。</w:t>
      </w:r>
    </w:p>
    <w:p w14:paraId="0151CF08">
      <w:pPr>
        <w:pStyle w:val="49"/>
        <w:pageBreakBefore w:val="0"/>
        <w:widowControl/>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4、接收质疑函的方式：供应商直接送交或供应商通过EMS邮寄。</w:t>
      </w:r>
    </w:p>
    <w:p w14:paraId="4E1CA976">
      <w:pPr>
        <w:pStyle w:val="49"/>
        <w:pageBreakBefore w:val="0"/>
        <w:widowControl/>
        <w:spacing w:line="360" w:lineRule="auto"/>
        <w:ind w:firstLine="1200"/>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质疑接收人：</w:t>
      </w:r>
      <w:r>
        <w:rPr>
          <w:rFonts w:hint="eastAsia" w:ascii="仿宋" w:hAnsi="仿宋" w:eastAsia="仿宋" w:cs="仿宋"/>
          <w:color w:val="000000" w:themeColor="text1"/>
          <w:sz w:val="24"/>
          <w:highlight w:val="none"/>
          <w:lang w:val="en-US" w:eastAsia="zh-CN"/>
          <w14:textFill>
            <w14:solidFill>
              <w14:schemeClr w14:val="tx1"/>
            </w14:solidFill>
          </w14:textFill>
        </w:rPr>
        <w:t>宋海强</w:t>
      </w:r>
      <w:r>
        <w:rPr>
          <w:rFonts w:hint="eastAsia" w:ascii="仿宋" w:hAnsi="仿宋" w:eastAsia="仿宋" w:cs="仿宋"/>
          <w:color w:val="000000" w:themeColor="text1"/>
          <w:sz w:val="24"/>
          <w:highlight w:val="none"/>
          <w14:textFill>
            <w14:solidFill>
              <w14:schemeClr w14:val="tx1"/>
            </w14:solidFill>
          </w14:textFill>
        </w:rPr>
        <w:t xml:space="preserve">      联系电话：</w:t>
      </w:r>
      <w:r>
        <w:rPr>
          <w:rFonts w:hint="eastAsia" w:ascii="仿宋" w:hAnsi="仿宋" w:eastAsia="仿宋" w:cs="仿宋"/>
          <w:color w:val="000000" w:themeColor="text1"/>
          <w:sz w:val="24"/>
          <w:highlight w:val="none"/>
          <w:lang w:val="en-US" w:eastAsia="zh-CN"/>
          <w14:textFill>
            <w14:solidFill>
              <w14:schemeClr w14:val="tx1"/>
            </w14:solidFill>
          </w14:textFill>
        </w:rPr>
        <w:t>19816447911</w:t>
      </w:r>
    </w:p>
    <w:p w14:paraId="7114DD7D">
      <w:pPr>
        <w:pStyle w:val="49"/>
        <w:pageBreakBefore w:val="0"/>
        <w:widowControl/>
        <w:spacing w:line="360" w:lineRule="auto"/>
        <w:ind w:firstLine="1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地址：</w:t>
      </w:r>
      <w:r>
        <w:rPr>
          <w:rFonts w:hint="eastAsia" w:ascii="仿宋" w:hAnsi="仿宋" w:eastAsia="仿宋" w:cs="仿宋"/>
          <w:color w:val="000000" w:themeColor="text1"/>
          <w:sz w:val="24"/>
          <w:highlight w:val="none"/>
          <w:lang w:val="en-US" w:eastAsia="zh-CN"/>
          <w14:textFill>
            <w14:solidFill>
              <w14:schemeClr w14:val="tx1"/>
            </w14:solidFill>
          </w14:textFill>
        </w:rPr>
        <w:t>徐州市铜山区沿湖街道办事处产业园A1615</w:t>
      </w:r>
      <w:r>
        <w:rPr>
          <w:rFonts w:hint="eastAsia" w:ascii="仿宋" w:hAnsi="仿宋" w:eastAsia="仿宋" w:cs="仿宋"/>
          <w:color w:val="000000" w:themeColor="text1"/>
          <w:sz w:val="24"/>
          <w:highlight w:val="none"/>
          <w14:textFill>
            <w14:solidFill>
              <w14:schemeClr w14:val="tx1"/>
            </w14:solidFill>
          </w14:textFill>
        </w:rPr>
        <w:t xml:space="preserve"> </w:t>
      </w:r>
    </w:p>
    <w:p w14:paraId="3924C64B">
      <w:pPr>
        <w:pStyle w:val="50"/>
        <w:rPr>
          <w:rFonts w:hint="eastAsia"/>
        </w:rPr>
      </w:pPr>
    </w:p>
    <w:p w14:paraId="295F01DB">
      <w:pPr>
        <w:pStyle w:val="76"/>
        <w:pageBreakBefore w:val="0"/>
        <w:spacing w:line="360" w:lineRule="auto"/>
        <w:jc w:val="center"/>
        <w:outlineLvl w:val="0"/>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第</w:t>
      </w:r>
      <w:r>
        <w:rPr>
          <w:rFonts w:hint="eastAsia" w:ascii="仿宋" w:hAnsi="仿宋" w:eastAsia="仿宋" w:cs="仿宋"/>
          <w:color w:val="000000" w:themeColor="text1"/>
          <w:sz w:val="30"/>
          <w:szCs w:val="30"/>
          <w:highlight w:val="none"/>
          <w:lang w:val="en-US" w:eastAsia="zh-CN"/>
          <w14:textFill>
            <w14:solidFill>
              <w14:schemeClr w14:val="tx1"/>
            </w14:solidFill>
          </w14:textFill>
        </w:rPr>
        <w:t>八章</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en-US" w:eastAsia="zh-CN"/>
          <w14:textFill>
            <w14:solidFill>
              <w14:schemeClr w14:val="tx1"/>
            </w14:solidFill>
          </w14:textFill>
        </w:rPr>
        <w:t>联系方式</w:t>
      </w:r>
    </w:p>
    <w:p w14:paraId="062F8763">
      <w:pPr>
        <w:pStyle w:val="51"/>
        <w:keepNext w:val="0"/>
        <w:keepLines w:val="0"/>
        <w:pageBreakBefore w:val="0"/>
        <w:spacing w:line="360" w:lineRule="auto"/>
        <w:ind w:firstLine="480"/>
        <w:outlineLvl w:val="2"/>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1.采购人信息</w:t>
      </w:r>
    </w:p>
    <w:p w14:paraId="1072255C">
      <w:pPr>
        <w:pStyle w:val="51"/>
        <w:keepNext w:val="0"/>
        <w:keepLines w:val="0"/>
        <w:pageBreakBefore w:val="0"/>
        <w:spacing w:line="360" w:lineRule="auto"/>
        <w:ind w:firstLine="480"/>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名称：</w:t>
      </w:r>
      <w:r>
        <w:rPr>
          <w:rFonts w:hint="eastAsia" w:ascii="仿宋" w:hAnsi="仿宋" w:eastAsia="仿宋" w:cs="仿宋"/>
          <w:color w:val="000000" w:themeColor="text1"/>
          <w:sz w:val="24"/>
          <w:szCs w:val="24"/>
          <w:highlight w:val="none"/>
          <w:lang w:eastAsia="zh-CN" w:bidi="en-US"/>
          <w14:textFill>
            <w14:solidFill>
              <w14:schemeClr w14:val="tx1"/>
            </w14:solidFill>
          </w14:textFill>
        </w:rPr>
        <w:t>新沂市住房和城乡建设局</w:t>
      </w:r>
    </w:p>
    <w:p w14:paraId="2DD2C9B1">
      <w:pPr>
        <w:pStyle w:val="51"/>
        <w:keepNext w:val="0"/>
        <w:keepLines w:val="0"/>
        <w:pageBreakBefore w:val="0"/>
        <w:spacing w:line="360" w:lineRule="auto"/>
        <w:ind w:firstLine="480"/>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地址：</w:t>
      </w:r>
      <w:r>
        <w:rPr>
          <w:rFonts w:hint="eastAsia" w:ascii="仿宋" w:hAnsi="仿宋" w:eastAsia="仿宋" w:cs="仿宋"/>
          <w:color w:val="000000" w:themeColor="text1"/>
          <w:sz w:val="24"/>
          <w:szCs w:val="24"/>
          <w:highlight w:val="none"/>
          <w:lang w:eastAsia="zh-CN" w:bidi="en-US"/>
          <w14:textFill>
            <w14:solidFill>
              <w14:schemeClr w14:val="tx1"/>
            </w14:solidFill>
          </w14:textFill>
        </w:rPr>
        <w:t>新沂市市府路37号</w:t>
      </w:r>
    </w:p>
    <w:p w14:paraId="0F3C023D">
      <w:pPr>
        <w:pStyle w:val="51"/>
        <w:keepNext w:val="0"/>
        <w:keepLines w:val="0"/>
        <w:pageBreakBefore w:val="0"/>
        <w:spacing w:line="360" w:lineRule="auto"/>
        <w:ind w:firstLine="480"/>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联系人：张家成</w:t>
      </w:r>
    </w:p>
    <w:p w14:paraId="597333AD">
      <w:pPr>
        <w:pStyle w:val="51"/>
        <w:keepNext w:val="0"/>
        <w:keepLines w:val="0"/>
        <w:pageBreakBefore w:val="0"/>
        <w:spacing w:line="360" w:lineRule="auto"/>
        <w:ind w:firstLine="480"/>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eastAsia="zh-CN" w:bidi="en-US"/>
          <w14:textFill>
            <w14:solidFill>
              <w14:schemeClr w14:val="tx1"/>
            </w14:solidFill>
          </w14:textFill>
        </w:rPr>
        <w:t>联系方式：</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13914858852</w:t>
      </w:r>
    </w:p>
    <w:p w14:paraId="208B51AD">
      <w:pPr>
        <w:pStyle w:val="51"/>
        <w:keepNext w:val="0"/>
        <w:keepLines w:val="0"/>
        <w:pageBreakBefore w:val="0"/>
        <w:spacing w:line="360" w:lineRule="auto"/>
        <w:ind w:firstLine="480"/>
        <w:outlineLvl w:val="2"/>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2.采购代理机构信息</w:t>
      </w:r>
    </w:p>
    <w:p w14:paraId="218C984D">
      <w:pPr>
        <w:pStyle w:val="51"/>
        <w:keepNext w:val="0"/>
        <w:keepLines w:val="0"/>
        <w:pageBreakBefore w:val="0"/>
        <w:spacing w:line="360" w:lineRule="auto"/>
        <w:ind w:firstLine="480"/>
        <w:rPr>
          <w:rFonts w:hint="eastAsia" w:ascii="仿宋" w:hAnsi="仿宋" w:eastAsia="仿宋" w:cs="仿宋"/>
          <w:color w:val="000000" w:themeColor="text1"/>
          <w:sz w:val="24"/>
          <w:szCs w:val="24"/>
          <w:highlight w:val="none"/>
          <w:lang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名称：</w:t>
      </w:r>
      <w:r>
        <w:rPr>
          <w:rFonts w:hint="eastAsia" w:ascii="仿宋" w:hAnsi="仿宋" w:eastAsia="仿宋" w:cs="仿宋"/>
          <w:color w:val="000000" w:themeColor="text1"/>
          <w:sz w:val="24"/>
          <w:szCs w:val="24"/>
          <w:highlight w:val="none"/>
          <w:lang w:eastAsia="zh-CN" w:bidi="en-US"/>
          <w14:textFill>
            <w14:solidFill>
              <w14:schemeClr w14:val="tx1"/>
            </w14:solidFill>
          </w14:textFill>
        </w:rPr>
        <w:t>江苏盛彩工程咨询管理有限公司</w:t>
      </w:r>
    </w:p>
    <w:p w14:paraId="3D84BFE2">
      <w:pPr>
        <w:pStyle w:val="51"/>
        <w:keepNext w:val="0"/>
        <w:keepLines w:val="0"/>
        <w:pageBreakBefore w:val="0"/>
        <w:spacing w:line="360" w:lineRule="auto"/>
        <w:ind w:firstLine="480"/>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地址：</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徐州市铜山区沿湖街道办事处产业园A1615</w:t>
      </w:r>
    </w:p>
    <w:p w14:paraId="671481E2">
      <w:pPr>
        <w:pStyle w:val="51"/>
        <w:keepNext w:val="0"/>
        <w:keepLines w:val="0"/>
        <w:pageBreakBefore w:val="0"/>
        <w:spacing w:line="360" w:lineRule="auto"/>
        <w:ind w:firstLine="480"/>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联系人：</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宋海强</w:t>
      </w:r>
    </w:p>
    <w:p w14:paraId="0AD0E499">
      <w:pPr>
        <w:pStyle w:val="51"/>
        <w:keepNext w:val="0"/>
        <w:keepLines w:val="0"/>
        <w:pageBreakBefore w:val="0"/>
        <w:spacing w:line="360" w:lineRule="auto"/>
        <w:ind w:firstLine="480"/>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联系方式：</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19816447911</w:t>
      </w:r>
    </w:p>
    <w:p w14:paraId="5F1B13D6">
      <w:pPr>
        <w:pStyle w:val="76"/>
        <w:pageBreakBefore w:val="0"/>
        <w:spacing w:before="0" w:after="0" w:line="360" w:lineRule="auto"/>
        <w:ind w:firstLine="482"/>
        <w:outlineLvl w:val="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clear="all"/>
      </w:r>
      <w:bookmarkStart w:id="90" w:name="_Toc23683"/>
      <w:bookmarkStart w:id="91" w:name="_Toc18403"/>
      <w:bookmarkStart w:id="92" w:name="_Toc1807"/>
      <w:bookmarkStart w:id="93" w:name="_Toc25097"/>
      <w:bookmarkStart w:id="94" w:name="_Toc31547"/>
      <w:bookmarkStart w:id="95" w:name="_Toc10229"/>
      <w:bookmarkStart w:id="96" w:name="_Toc27653"/>
      <w:bookmarkStart w:id="97" w:name="_Toc18729"/>
      <w:bookmarkStart w:id="98" w:name="_Toc28238"/>
      <w:bookmarkStart w:id="99" w:name="_Toc6628"/>
      <w:bookmarkStart w:id="100" w:name="_Toc12825"/>
      <w:bookmarkStart w:id="101" w:name="_Toc30822"/>
      <w:bookmarkStart w:id="102" w:name="_Toc31"/>
      <w:bookmarkStart w:id="103" w:name="_Toc21113"/>
      <w:bookmarkStart w:id="104" w:name="_Toc1369"/>
      <w:bookmarkStart w:id="105" w:name="_Toc21146"/>
      <w:bookmarkStart w:id="106" w:name="_Toc13230"/>
      <w:bookmarkStart w:id="107" w:name="_Toc4671"/>
      <w:r>
        <w:rPr>
          <w:rFonts w:hint="eastAsia" w:ascii="仿宋" w:hAnsi="仿宋" w:eastAsia="仿宋" w:cs="仿宋"/>
          <w:color w:val="000000" w:themeColor="text1"/>
          <w:szCs w:val="28"/>
          <w:highlight w:val="none"/>
          <w:lang w:eastAsia="zh-CN"/>
          <w14:textFill>
            <w14:solidFill>
              <w14:schemeClr w14:val="tx1"/>
            </w14:solidFill>
          </w14:textFill>
        </w:rPr>
        <w:t>第九章</w:t>
      </w:r>
      <w:r>
        <w:rPr>
          <w:rFonts w:hint="eastAsia" w:ascii="仿宋" w:hAnsi="仿宋" w:eastAsia="仿宋" w:cs="仿宋"/>
          <w:color w:val="000000" w:themeColor="text1"/>
          <w:szCs w:val="28"/>
          <w:highlight w:val="none"/>
          <w14:textFill>
            <w14:solidFill>
              <w14:schemeClr w14:val="tx1"/>
            </w14:solidFill>
          </w14:textFill>
        </w:rPr>
        <w:t xml:space="preserve"> 附  件</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68A0CECC">
      <w:pPr>
        <w:pStyle w:val="49"/>
        <w:pageBreakBefore w:val="0"/>
        <w:widowControl/>
        <w:spacing w:line="360" w:lineRule="auto"/>
        <w:ind w:firstLine="472"/>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附件：附后</w:t>
      </w:r>
    </w:p>
    <w:p w14:paraId="33A1DA88">
      <w:pPr>
        <w:pStyle w:val="49"/>
        <w:pageBreakBefore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1、《评分细则》</w:t>
      </w:r>
    </w:p>
    <w:p w14:paraId="58D41920">
      <w:pPr>
        <w:pStyle w:val="49"/>
        <w:pageBreakBefore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2、《采购需求》</w:t>
      </w:r>
    </w:p>
    <w:p w14:paraId="519B3212">
      <w:pPr>
        <w:pStyle w:val="49"/>
        <w:pageBreakBefore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3、《磋商报价表》</w:t>
      </w:r>
    </w:p>
    <w:p w14:paraId="3B3D8325">
      <w:pPr>
        <w:pStyle w:val="49"/>
        <w:pageBreakBefore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w:t>
      </w:r>
      <w:r>
        <w:rPr>
          <w:rFonts w:hint="eastAsia" w:ascii="仿宋" w:hAnsi="仿宋" w:eastAsia="仿宋" w:cs="仿宋"/>
          <w:color w:val="000000" w:themeColor="text1"/>
          <w:sz w:val="24"/>
          <w:highlight w:val="none"/>
          <w:lang w:val="en-US" w:eastAsia="zh-CN"/>
          <w14:textFill>
            <w14:solidFill>
              <w14:schemeClr w14:val="tx1"/>
            </w14:solidFill>
          </w14:textFill>
        </w:rPr>
        <w:t>分项报价表</w:t>
      </w:r>
      <w:r>
        <w:rPr>
          <w:rFonts w:hint="eastAsia" w:ascii="仿宋" w:hAnsi="仿宋" w:eastAsia="仿宋" w:cs="仿宋"/>
          <w:color w:val="000000" w:themeColor="text1"/>
          <w:sz w:val="24"/>
          <w:highlight w:val="none"/>
          <w14:textFill>
            <w14:solidFill>
              <w14:schemeClr w14:val="tx1"/>
            </w14:solidFill>
          </w14:textFill>
        </w:rPr>
        <w:t>》</w:t>
      </w:r>
    </w:p>
    <w:p w14:paraId="512885AC">
      <w:pPr>
        <w:pStyle w:val="49"/>
        <w:pageBreakBefore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5、《偏离表》</w:t>
      </w:r>
    </w:p>
    <w:p w14:paraId="02FE68D0">
      <w:pPr>
        <w:pStyle w:val="49"/>
        <w:pageBreakBefore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6、《承诺书》</w:t>
      </w:r>
    </w:p>
    <w:p w14:paraId="7FEE02EE">
      <w:pPr>
        <w:pStyle w:val="49"/>
        <w:pageBreakBefore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7、《法人授权委托书》</w:t>
      </w:r>
    </w:p>
    <w:p w14:paraId="26C48989">
      <w:pPr>
        <w:pStyle w:val="49"/>
        <w:pageBreakBefore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8、《供应商参加政府采购活动前3年内在经营活动中没有重大违法记录的书面声明》</w:t>
      </w:r>
    </w:p>
    <w:p w14:paraId="2B68964F">
      <w:pPr>
        <w:pStyle w:val="49"/>
        <w:pageBreakBefore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9. 《具备履行合同所必需的设备和专业技术能力的书面声明》</w:t>
      </w:r>
    </w:p>
    <w:p w14:paraId="0A85A781">
      <w:pPr>
        <w:pStyle w:val="49"/>
        <w:pageBreakBefore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10、《中小企业声明函》</w:t>
      </w:r>
    </w:p>
    <w:p w14:paraId="6A0C5BEB">
      <w:pPr>
        <w:pStyle w:val="49"/>
        <w:pageBreakBefore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11、《残疾人福利性单位声明函》</w:t>
      </w:r>
    </w:p>
    <w:p w14:paraId="5F239FAB">
      <w:pPr>
        <w:pStyle w:val="49"/>
        <w:pageBreakBefore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12、《技术方案》</w:t>
      </w:r>
    </w:p>
    <w:p w14:paraId="3EED56F0">
      <w:pPr>
        <w:pStyle w:val="49"/>
        <w:pageBreakBefore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13、</w:t>
      </w:r>
      <w:r>
        <w:rPr>
          <w:rFonts w:hint="eastAsia" w:ascii="仿宋" w:hAnsi="仿宋" w:eastAsia="仿宋" w:cs="仿宋"/>
          <w:color w:val="000000" w:themeColor="text1"/>
          <w:sz w:val="24"/>
          <w:highlight w:val="none"/>
          <w14:textFill>
            <w14:solidFill>
              <w14:schemeClr w14:val="tx1"/>
            </w14:solidFill>
          </w14:textFill>
        </w:rPr>
        <w:t>《拟签订的合同文本》</w:t>
      </w:r>
    </w:p>
    <w:p w14:paraId="7A44684C">
      <w:pPr>
        <w:pStyle w:val="296"/>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6BEC4289">
      <w:pPr>
        <w:pStyle w:val="49"/>
        <w:pageBreakBefore w:val="0"/>
        <w:spacing w:line="360" w:lineRule="auto"/>
        <w:ind w:firstLine="5782"/>
        <w:rPr>
          <w:rFonts w:hint="eastAsia" w:ascii="仿宋" w:hAnsi="仿宋" w:eastAsia="仿宋" w:cs="仿宋"/>
          <w:color w:val="000000" w:themeColor="text1"/>
          <w:sz w:val="24"/>
          <w:highlight w:val="none"/>
          <w14:textFill>
            <w14:solidFill>
              <w14:schemeClr w14:val="tx1"/>
            </w14:solidFill>
          </w14:textFill>
        </w:rPr>
      </w:pPr>
    </w:p>
    <w:p w14:paraId="4705F095">
      <w:pPr>
        <w:pStyle w:val="49"/>
        <w:pageBreakBefore w:val="0"/>
        <w:spacing w:line="360" w:lineRule="auto"/>
        <w:ind w:firstLine="5782"/>
        <w:rPr>
          <w:rFonts w:hint="eastAsia" w:ascii="仿宋" w:hAnsi="仿宋" w:eastAsia="仿宋" w:cs="仿宋"/>
          <w:color w:val="000000" w:themeColor="text1"/>
          <w:sz w:val="24"/>
          <w:highlight w:val="none"/>
          <w14:textFill>
            <w14:solidFill>
              <w14:schemeClr w14:val="tx1"/>
            </w14:solidFill>
          </w14:textFill>
        </w:rPr>
      </w:pPr>
    </w:p>
    <w:p w14:paraId="48928C15">
      <w:pPr>
        <w:pStyle w:val="50"/>
        <w:pageBreakBefore w:val="0"/>
        <w:spacing w:line="360" w:lineRule="auto"/>
        <w:ind w:left="0" w:right="0" w:firstLine="0"/>
        <w:rPr>
          <w:rFonts w:hint="eastAsia" w:ascii="仿宋" w:hAnsi="仿宋" w:eastAsia="仿宋" w:cs="仿宋"/>
          <w:color w:val="000000" w:themeColor="text1"/>
          <w:sz w:val="24"/>
          <w:szCs w:val="24"/>
          <w:highlight w:val="none"/>
          <w14:textFill>
            <w14:solidFill>
              <w14:schemeClr w14:val="tx1"/>
            </w14:solidFill>
          </w14:textFill>
        </w:rPr>
      </w:pPr>
    </w:p>
    <w:p w14:paraId="1F634C60">
      <w:pPr>
        <w:pStyle w:val="50"/>
        <w:pageBreakBefore w:val="0"/>
        <w:spacing w:line="360" w:lineRule="auto"/>
        <w:ind w:left="0" w:right="0" w:firstLine="0"/>
        <w:rPr>
          <w:rFonts w:hint="eastAsia" w:ascii="仿宋" w:hAnsi="仿宋" w:eastAsia="仿宋" w:cs="仿宋"/>
          <w:color w:val="000000" w:themeColor="text1"/>
          <w:sz w:val="24"/>
          <w:szCs w:val="24"/>
          <w:highlight w:val="none"/>
          <w14:textFill>
            <w14:solidFill>
              <w14:schemeClr w14:val="tx1"/>
            </w14:solidFill>
          </w14:textFill>
        </w:rPr>
      </w:pPr>
    </w:p>
    <w:p w14:paraId="3B58FBC9">
      <w:pPr>
        <w:pStyle w:val="50"/>
        <w:pageBreakBefore w:val="0"/>
        <w:spacing w:line="360" w:lineRule="auto"/>
        <w:ind w:left="0" w:right="0" w:firstLine="0"/>
        <w:rPr>
          <w:rFonts w:hint="eastAsia" w:ascii="仿宋" w:hAnsi="仿宋" w:eastAsia="仿宋" w:cs="仿宋"/>
          <w:color w:val="000000" w:themeColor="text1"/>
          <w:sz w:val="24"/>
          <w:szCs w:val="24"/>
          <w:highlight w:val="none"/>
          <w14:textFill>
            <w14:solidFill>
              <w14:schemeClr w14:val="tx1"/>
            </w14:solidFill>
          </w14:textFill>
        </w:rPr>
      </w:pPr>
    </w:p>
    <w:p w14:paraId="4C6613C8">
      <w:pPr>
        <w:pStyle w:val="50"/>
        <w:pageBreakBefore w:val="0"/>
        <w:spacing w:line="360" w:lineRule="auto"/>
        <w:ind w:left="0" w:right="0" w:firstLine="0"/>
        <w:rPr>
          <w:rFonts w:hint="eastAsia" w:ascii="仿宋" w:hAnsi="仿宋" w:eastAsia="仿宋" w:cs="仿宋"/>
          <w:color w:val="000000" w:themeColor="text1"/>
          <w:sz w:val="24"/>
          <w:szCs w:val="24"/>
          <w:highlight w:val="none"/>
          <w14:textFill>
            <w14:solidFill>
              <w14:schemeClr w14:val="tx1"/>
            </w14:solidFill>
          </w14:textFill>
        </w:rPr>
      </w:pPr>
    </w:p>
    <w:p w14:paraId="5F792D02">
      <w:pPr>
        <w:pStyle w:val="50"/>
        <w:pageBreakBefore w:val="0"/>
        <w:spacing w:line="360" w:lineRule="auto"/>
        <w:ind w:left="0" w:right="0" w:firstLine="0"/>
        <w:rPr>
          <w:rFonts w:hint="eastAsia" w:ascii="仿宋" w:hAnsi="仿宋" w:eastAsia="仿宋" w:cs="仿宋"/>
          <w:color w:val="000000" w:themeColor="text1"/>
          <w:sz w:val="24"/>
          <w:szCs w:val="24"/>
          <w:highlight w:val="none"/>
          <w14:textFill>
            <w14:solidFill>
              <w14:schemeClr w14:val="tx1"/>
            </w14:solidFill>
          </w14:textFill>
        </w:rPr>
      </w:pPr>
    </w:p>
    <w:p w14:paraId="2E7CC44B">
      <w:pPr>
        <w:pStyle w:val="50"/>
        <w:pageBreakBefore w:val="0"/>
        <w:spacing w:line="360" w:lineRule="auto"/>
        <w:ind w:left="0" w:right="0" w:firstLine="0"/>
        <w:rPr>
          <w:rFonts w:hint="eastAsia" w:ascii="仿宋" w:hAnsi="仿宋" w:eastAsia="仿宋" w:cs="仿宋"/>
          <w:color w:val="000000" w:themeColor="text1"/>
          <w:sz w:val="24"/>
          <w:szCs w:val="24"/>
          <w:highlight w:val="none"/>
          <w14:textFill>
            <w14:solidFill>
              <w14:schemeClr w14:val="tx1"/>
            </w14:solidFill>
          </w14:textFill>
        </w:rPr>
      </w:pPr>
    </w:p>
    <w:p w14:paraId="0E5EC805">
      <w:pPr>
        <w:rPr>
          <w:rFonts w:hint="eastAsia" w:ascii="仿宋" w:hAnsi="仿宋" w:eastAsia="仿宋" w:cs="仿宋"/>
          <w:color w:val="000000" w:themeColor="text1"/>
          <w:sz w:val="24"/>
          <w:szCs w:val="24"/>
          <w:highlight w:val="none"/>
          <w14:textFill>
            <w14:solidFill>
              <w14:schemeClr w14:val="tx1"/>
            </w14:solidFill>
          </w14:textFill>
        </w:rPr>
      </w:pPr>
    </w:p>
    <w:p w14:paraId="4A496758">
      <w:pPr>
        <w:pStyle w:val="50"/>
        <w:pageBreakBefore w:val="0"/>
        <w:numPr>
          <w:ilvl w:val="0"/>
          <w:numId w:val="0"/>
        </w:numPr>
        <w:spacing w:line="360" w:lineRule="auto"/>
        <w:ind w:right="6"/>
        <w:jc w:val="both"/>
        <w:rPr>
          <w:rStyle w:val="235"/>
          <w:rFonts w:hint="eastAsia" w:ascii="仿宋" w:hAnsi="仿宋" w:eastAsia="仿宋" w:cs="仿宋"/>
          <w:color w:val="000000" w:themeColor="text1"/>
          <w:sz w:val="24"/>
          <w:szCs w:val="24"/>
          <w:highlight w:val="none"/>
          <w:lang w:val="en-US"/>
          <w14:textFill>
            <w14:solidFill>
              <w14:schemeClr w14:val="tx1"/>
            </w14:solidFill>
          </w14:textFill>
        </w:rPr>
      </w:pPr>
    </w:p>
    <w:p w14:paraId="2A4E00A6">
      <w:pPr>
        <w:pStyle w:val="50"/>
        <w:pageBreakBefore w:val="0"/>
        <w:numPr>
          <w:ilvl w:val="0"/>
          <w:numId w:val="0"/>
        </w:numPr>
        <w:spacing w:line="360" w:lineRule="auto"/>
        <w:ind w:right="6"/>
        <w:jc w:val="both"/>
        <w:rPr>
          <w:rStyle w:val="235"/>
          <w:rFonts w:hint="eastAsia" w:ascii="仿宋" w:hAnsi="仿宋" w:eastAsia="仿宋" w:cs="仿宋"/>
          <w:color w:val="000000" w:themeColor="text1"/>
          <w:sz w:val="24"/>
          <w:szCs w:val="24"/>
          <w:highlight w:val="none"/>
          <w:lang w:val="en-US"/>
          <w14:textFill>
            <w14:solidFill>
              <w14:schemeClr w14:val="tx1"/>
            </w14:solidFill>
          </w14:textFill>
        </w:rPr>
      </w:pPr>
    </w:p>
    <w:p w14:paraId="7BE457EA">
      <w:pPr>
        <w:rPr>
          <w:rFonts w:hint="eastAsia" w:ascii="仿宋" w:hAnsi="仿宋" w:eastAsia="仿宋" w:cs="仿宋"/>
          <w:highlight w:val="none"/>
          <w:lang w:val="en-US"/>
        </w:rPr>
      </w:pPr>
    </w:p>
    <w:p w14:paraId="73C1D282">
      <w:pPr>
        <w:pStyle w:val="50"/>
        <w:pageBreakBefore w:val="0"/>
        <w:numPr>
          <w:ilvl w:val="0"/>
          <w:numId w:val="0"/>
        </w:numPr>
        <w:spacing w:line="360" w:lineRule="auto"/>
        <w:ind w:right="6"/>
        <w:jc w:val="center"/>
        <w:rPr>
          <w:rStyle w:val="235"/>
          <w:rFonts w:hint="eastAsia" w:ascii="仿宋" w:hAnsi="仿宋" w:eastAsia="仿宋" w:cs="仿宋"/>
          <w:color w:val="000000" w:themeColor="text1"/>
          <w:sz w:val="24"/>
          <w:szCs w:val="24"/>
          <w:highlight w:val="none"/>
          <w14:textFill>
            <w14:solidFill>
              <w14:schemeClr w14:val="tx1"/>
            </w14:solidFill>
          </w14:textFill>
        </w:rPr>
      </w:pPr>
    </w:p>
    <w:p w14:paraId="65C5A931">
      <w:pPr>
        <w:pStyle w:val="50"/>
        <w:pageBreakBefore w:val="0"/>
        <w:numPr>
          <w:ilvl w:val="0"/>
          <w:numId w:val="0"/>
        </w:numPr>
        <w:spacing w:line="360" w:lineRule="auto"/>
        <w:ind w:right="6"/>
        <w:jc w:val="center"/>
        <w:rPr>
          <w:rStyle w:val="235"/>
          <w:rFonts w:hint="eastAsia" w:ascii="仿宋" w:hAnsi="仿宋" w:eastAsia="仿宋" w:cs="仿宋"/>
          <w:color w:val="000000" w:themeColor="text1"/>
          <w:sz w:val="24"/>
          <w:szCs w:val="24"/>
          <w:highlight w:val="none"/>
          <w14:textFill>
            <w14:solidFill>
              <w14:schemeClr w14:val="tx1"/>
            </w14:solidFill>
          </w14:textFill>
        </w:rPr>
      </w:pPr>
      <w:r>
        <w:rPr>
          <w:rStyle w:val="235"/>
          <w:rFonts w:hint="eastAsia" w:ascii="仿宋" w:hAnsi="仿宋" w:eastAsia="仿宋" w:cs="仿宋"/>
          <w:color w:val="000000" w:themeColor="text1"/>
          <w:sz w:val="24"/>
          <w:szCs w:val="24"/>
          <w:highlight w:val="none"/>
          <w:lang w:val="en-US"/>
          <w14:textFill>
            <w14:solidFill>
              <w14:schemeClr w14:val="tx1"/>
            </w14:solidFill>
          </w14:textFill>
        </w:rPr>
        <w:t>1、</w:t>
      </w:r>
      <w:r>
        <w:rPr>
          <w:rStyle w:val="235"/>
          <w:rFonts w:hint="eastAsia" w:ascii="仿宋" w:hAnsi="仿宋" w:eastAsia="仿宋" w:cs="仿宋"/>
          <w:color w:val="000000" w:themeColor="text1"/>
          <w:sz w:val="24"/>
          <w:szCs w:val="24"/>
          <w:highlight w:val="none"/>
          <w14:textFill>
            <w14:solidFill>
              <w14:schemeClr w14:val="tx1"/>
            </w14:solidFill>
          </w14:textFill>
        </w:rPr>
        <w:t>评分细则</w:t>
      </w:r>
    </w:p>
    <w:tbl>
      <w:tblPr>
        <w:tblStyle w:val="38"/>
        <w:tblW w:w="8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2318"/>
        <w:gridCol w:w="5718"/>
      </w:tblGrid>
      <w:tr w14:paraId="0DCAA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9" w:hRule="atLeast"/>
          <w:jc w:val="center"/>
        </w:trPr>
        <w:tc>
          <w:tcPr>
            <w:tcW w:w="0" w:type="auto"/>
            <w:tcBorders>
              <w:top w:val="single" w:color="auto" w:sz="4" w:space="0"/>
              <w:left w:val="single" w:color="auto" w:sz="4" w:space="0"/>
              <w:bottom w:val="single" w:color="auto" w:sz="4" w:space="0"/>
              <w:right w:val="single" w:color="auto" w:sz="4" w:space="0"/>
            </w:tcBorders>
            <w:noWrap w:val="0"/>
          </w:tcPr>
          <w:p w14:paraId="7BB5C6C0">
            <w:pPr>
              <w:pStyle w:val="295"/>
              <w:pageBreakBefore w:val="0"/>
              <w:spacing w:line="360" w:lineRule="auto"/>
              <w:jc w:val="center"/>
              <w:rPr>
                <w:rFonts w:hint="eastAsia" w:ascii="仿宋" w:hAnsi="仿宋" w:eastAsia="仿宋" w:cs="仿宋"/>
                <w:b/>
                <w:color w:val="000000" w:themeColor="text1"/>
                <w:sz w:val="22"/>
                <w:szCs w:val="22"/>
                <w:highlight w:val="none"/>
                <w14:textFill>
                  <w14:solidFill>
                    <w14:schemeClr w14:val="tx1"/>
                  </w14:solidFill>
                </w14:textFill>
              </w:rPr>
            </w:pPr>
            <w:r>
              <w:rPr>
                <w:rFonts w:hint="eastAsia" w:ascii="仿宋" w:hAnsi="仿宋" w:eastAsia="仿宋" w:cs="仿宋"/>
                <w:b/>
                <w:color w:val="000000" w:themeColor="text1"/>
                <w:sz w:val="22"/>
                <w:szCs w:val="22"/>
                <w:highlight w:val="none"/>
                <w14:textFill>
                  <w14:solidFill>
                    <w14:schemeClr w14:val="tx1"/>
                  </w14:solidFill>
                </w14:textFill>
              </w:rPr>
              <w:t>项目</w:t>
            </w:r>
          </w:p>
        </w:tc>
        <w:tc>
          <w:tcPr>
            <w:tcW w:w="0" w:type="auto"/>
            <w:gridSpan w:val="2"/>
            <w:tcBorders>
              <w:top w:val="single" w:color="auto" w:sz="4" w:space="0"/>
              <w:left w:val="single" w:color="auto" w:sz="4" w:space="0"/>
              <w:bottom w:val="single" w:color="auto" w:sz="4" w:space="0"/>
              <w:right w:val="single" w:color="auto" w:sz="4" w:space="0"/>
            </w:tcBorders>
            <w:noWrap w:val="0"/>
          </w:tcPr>
          <w:p w14:paraId="321E4382">
            <w:pPr>
              <w:pStyle w:val="295"/>
              <w:pageBreakBefore w:val="0"/>
              <w:spacing w:line="360" w:lineRule="auto"/>
              <w:jc w:val="center"/>
              <w:rPr>
                <w:rFonts w:hint="eastAsia" w:ascii="仿宋" w:hAnsi="仿宋" w:eastAsia="仿宋" w:cs="仿宋"/>
                <w:b/>
                <w:color w:val="000000" w:themeColor="text1"/>
                <w:sz w:val="22"/>
                <w:szCs w:val="22"/>
                <w:highlight w:val="none"/>
                <w14:textFill>
                  <w14:solidFill>
                    <w14:schemeClr w14:val="tx1"/>
                  </w14:solidFill>
                </w14:textFill>
              </w:rPr>
            </w:pPr>
            <w:r>
              <w:rPr>
                <w:rFonts w:hint="eastAsia" w:ascii="仿宋" w:hAnsi="仿宋" w:eastAsia="仿宋" w:cs="仿宋"/>
                <w:b/>
                <w:color w:val="000000" w:themeColor="text1"/>
                <w:sz w:val="22"/>
                <w:szCs w:val="22"/>
                <w:highlight w:val="none"/>
                <w14:textFill>
                  <w14:solidFill>
                    <w14:schemeClr w14:val="tx1"/>
                  </w14:solidFill>
                </w14:textFill>
              </w:rPr>
              <w:t>评分标准</w:t>
            </w:r>
          </w:p>
        </w:tc>
      </w:tr>
      <w:tr w14:paraId="12DE1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7"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3FE55CF6">
            <w:pPr>
              <w:pStyle w:val="295"/>
              <w:pageBreakBefore w:val="0"/>
              <w:spacing w:line="360" w:lineRule="auto"/>
              <w:jc w:val="center"/>
              <w:rPr>
                <w:rFonts w:hint="eastAsia" w:ascii="仿宋" w:hAnsi="仿宋" w:eastAsia="仿宋" w:cs="仿宋"/>
                <w:color w:val="000000" w:themeColor="text1"/>
                <w:sz w:val="22"/>
                <w:szCs w:val="22"/>
                <w:highlight w:val="none"/>
                <w:lang w:val="en-US"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价格部分</w:t>
            </w:r>
          </w:p>
          <w:p w14:paraId="4BC9FEB3">
            <w:pPr>
              <w:pageBreakBefore w:val="0"/>
              <w:spacing w:line="360" w:lineRule="auto"/>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（20分）</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A806380">
            <w:pPr>
              <w:pStyle w:val="295"/>
              <w:pageBreakBefore w:val="0"/>
              <w:spacing w:line="360" w:lineRule="auto"/>
              <w:jc w:val="center"/>
              <w:rPr>
                <w:rFonts w:hint="eastAsia" w:ascii="仿宋" w:hAnsi="仿宋" w:eastAsia="仿宋" w:cs="仿宋"/>
                <w:color w:val="000000" w:themeColor="text1"/>
                <w:sz w:val="22"/>
                <w:szCs w:val="22"/>
                <w:highlight w:val="none"/>
                <w:lang w:eastAsia="zh-CN"/>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价格</w:t>
            </w:r>
            <w:r>
              <w:rPr>
                <w:rFonts w:hint="eastAsia" w:ascii="仿宋" w:hAnsi="仿宋" w:eastAsia="仿宋" w:cs="仿宋"/>
                <w:color w:val="000000" w:themeColor="text1"/>
                <w:sz w:val="22"/>
                <w:szCs w:val="22"/>
                <w:highlight w:val="none"/>
                <w:lang w:val="en-US" w:eastAsia="zh-CN"/>
                <w14:textFill>
                  <w14:solidFill>
                    <w14:schemeClr w14:val="tx1"/>
                  </w14:solidFill>
                </w14:textFill>
              </w:rPr>
              <w:t>分</w:t>
            </w:r>
          </w:p>
          <w:p w14:paraId="1E92428D">
            <w:pPr>
              <w:pStyle w:val="295"/>
              <w:pageBreakBefore w:val="0"/>
              <w:spacing w:line="360" w:lineRule="auto"/>
              <w:jc w:val="center"/>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lang w:eastAsia="zh-CN"/>
                <w14:textFill>
                  <w14:solidFill>
                    <w14:schemeClr w14:val="tx1"/>
                  </w14:solidFill>
                </w14:textFill>
              </w:rPr>
              <w:t>（</w:t>
            </w:r>
            <w:r>
              <w:rPr>
                <w:rFonts w:hint="eastAsia" w:ascii="仿宋" w:hAnsi="仿宋" w:eastAsia="仿宋" w:cs="仿宋"/>
                <w:color w:val="000000" w:themeColor="text1"/>
                <w:sz w:val="22"/>
                <w:szCs w:val="22"/>
                <w:highlight w:val="none"/>
                <w:lang w:val="en-US" w:eastAsia="zh-CN"/>
                <w14:textFill>
                  <w14:solidFill>
                    <w14:schemeClr w14:val="tx1"/>
                  </w14:solidFill>
                </w14:textFill>
              </w:rPr>
              <w:t>20</w:t>
            </w:r>
            <w:r>
              <w:rPr>
                <w:rFonts w:hint="eastAsia" w:ascii="仿宋" w:hAnsi="仿宋" w:eastAsia="仿宋" w:cs="仿宋"/>
                <w:color w:val="000000" w:themeColor="text1"/>
                <w:sz w:val="22"/>
                <w:szCs w:val="22"/>
                <w:highlight w:val="none"/>
                <w14:textFill>
                  <w14:solidFill>
                    <w14:schemeClr w14:val="tx1"/>
                  </w14:solidFill>
                </w14:textFill>
              </w:rPr>
              <w:t>分</w:t>
            </w:r>
            <w:r>
              <w:rPr>
                <w:rFonts w:hint="eastAsia" w:ascii="仿宋" w:hAnsi="仿宋" w:eastAsia="仿宋" w:cs="仿宋"/>
                <w:color w:val="000000" w:themeColor="text1"/>
                <w:sz w:val="22"/>
                <w:szCs w:val="22"/>
                <w:highlight w:val="none"/>
                <w:lang w:eastAsia="zh-CN"/>
                <w14:textFill>
                  <w14:solidFill>
                    <w14:schemeClr w14:val="tx1"/>
                  </w14:solidFill>
                </w14:textFill>
              </w:rPr>
              <w:t>）</w:t>
            </w:r>
          </w:p>
        </w:tc>
        <w:tc>
          <w:tcPr>
            <w:tcW w:w="0" w:type="auto"/>
            <w:tcBorders>
              <w:top w:val="single" w:color="auto" w:sz="4" w:space="0"/>
              <w:left w:val="single" w:color="auto" w:sz="4" w:space="0"/>
              <w:bottom w:val="single" w:color="auto" w:sz="4" w:space="0"/>
              <w:right w:val="single" w:color="auto" w:sz="4" w:space="0"/>
            </w:tcBorders>
            <w:noWrap w:val="0"/>
          </w:tcPr>
          <w:p w14:paraId="002EF128">
            <w:pPr>
              <w:pStyle w:val="295"/>
              <w:keepNext w:val="0"/>
              <w:keepLines w:val="0"/>
              <w:pageBreakBefore w:val="0"/>
              <w:spacing w:line="360" w:lineRule="auto"/>
              <w:jc w:val="both"/>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本项目价格评分采用低价优先法计算，即满足</w:t>
            </w:r>
            <w:r>
              <w:rPr>
                <w:rFonts w:hint="eastAsia" w:ascii="仿宋" w:hAnsi="仿宋" w:eastAsia="仿宋" w:cs="仿宋"/>
                <w:color w:val="000000" w:themeColor="text1"/>
                <w:sz w:val="22"/>
                <w:szCs w:val="22"/>
                <w:highlight w:val="none"/>
                <w:lang w:val="en-US" w:eastAsia="zh-CN"/>
                <w14:textFill>
                  <w14:solidFill>
                    <w14:schemeClr w14:val="tx1"/>
                  </w14:solidFill>
                </w14:textFill>
              </w:rPr>
              <w:t>磋商</w:t>
            </w:r>
            <w:r>
              <w:rPr>
                <w:rFonts w:hint="eastAsia" w:ascii="仿宋" w:hAnsi="仿宋" w:eastAsia="仿宋" w:cs="仿宋"/>
                <w:color w:val="000000" w:themeColor="text1"/>
                <w:sz w:val="22"/>
                <w:szCs w:val="22"/>
                <w:highlight w:val="none"/>
                <w14:textFill>
                  <w14:solidFill>
                    <w14:schemeClr w14:val="tx1"/>
                  </w14:solidFill>
                </w14:textFill>
              </w:rPr>
              <w:t>文件要求且投标价格最低的有效投标报价为评标基准价，其价格分为满分。</w:t>
            </w:r>
          </w:p>
          <w:p w14:paraId="3630157C">
            <w:pPr>
              <w:pStyle w:val="295"/>
              <w:keepNext w:val="0"/>
              <w:keepLines w:val="0"/>
              <w:pageBreakBefore w:val="0"/>
              <w:spacing w:line="360" w:lineRule="auto"/>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其他供应商报价得分：投标报价得分=(评标基准价／投标报价)×</w:t>
            </w:r>
            <w:r>
              <w:rPr>
                <w:rFonts w:hint="eastAsia" w:ascii="仿宋" w:hAnsi="仿宋" w:eastAsia="仿宋" w:cs="仿宋"/>
                <w:color w:val="000000" w:themeColor="text1"/>
                <w:sz w:val="22"/>
                <w:szCs w:val="22"/>
                <w:highlight w:val="none"/>
                <w:lang w:val="en-US" w:eastAsia="zh-CN"/>
                <w14:textFill>
                  <w14:solidFill>
                    <w14:schemeClr w14:val="tx1"/>
                  </w14:solidFill>
                </w14:textFill>
              </w:rPr>
              <w:t>20</w:t>
            </w:r>
            <w:r>
              <w:rPr>
                <w:rFonts w:hint="eastAsia" w:ascii="仿宋" w:hAnsi="仿宋" w:eastAsia="仿宋" w:cs="仿宋"/>
                <w:color w:val="000000" w:themeColor="text1"/>
                <w:sz w:val="22"/>
                <w:szCs w:val="22"/>
                <w:highlight w:val="none"/>
                <w14:textFill>
                  <w14:solidFill>
                    <w14:schemeClr w14:val="tx1"/>
                  </w14:solidFill>
                </w14:textFill>
              </w:rPr>
              <w:t xml:space="preserve">（四舍五入后保留小数点后两位） </w:t>
            </w:r>
          </w:p>
        </w:tc>
      </w:tr>
      <w:tr w14:paraId="2E28B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0" w:type="auto"/>
            <w:vMerge w:val="restart"/>
            <w:tcBorders>
              <w:top w:val="single" w:color="auto" w:sz="4" w:space="0"/>
              <w:left w:val="single" w:color="auto" w:sz="4" w:space="0"/>
              <w:right w:val="single" w:color="auto" w:sz="4" w:space="0"/>
            </w:tcBorders>
            <w:noWrap w:val="0"/>
            <w:vAlign w:val="center"/>
          </w:tcPr>
          <w:p w14:paraId="71398E38">
            <w:pPr>
              <w:pStyle w:val="295"/>
              <w:pageBreakBefore w:val="0"/>
              <w:spacing w:line="360" w:lineRule="auto"/>
              <w:jc w:val="center"/>
              <w:rPr>
                <w:rFonts w:hint="eastAsia" w:ascii="仿宋" w:hAnsi="仿宋" w:eastAsia="仿宋" w:cs="仿宋"/>
                <w:b w:val="0"/>
                <w:bCs w:val="0"/>
                <w:color w:val="000000" w:themeColor="text1"/>
                <w:sz w:val="22"/>
                <w:szCs w:val="22"/>
                <w:highlight w:val="none"/>
                <w14:textFill>
                  <w14:solidFill>
                    <w14:schemeClr w14:val="tx1"/>
                  </w14:solidFill>
                </w14:textFill>
              </w:rPr>
            </w:pPr>
          </w:p>
          <w:p w14:paraId="435432B7">
            <w:pPr>
              <w:pStyle w:val="295"/>
              <w:pageBreakBefore w:val="0"/>
              <w:spacing w:line="360" w:lineRule="auto"/>
              <w:jc w:val="cente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t>商务</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部分</w:t>
            </w:r>
          </w:p>
          <w:p w14:paraId="28218D42">
            <w:pPr>
              <w:pageBreakBefore w:val="0"/>
              <w:spacing w:line="360" w:lineRule="auto"/>
              <w:jc w:val="cente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eastAsia="zh-CN"/>
                <w14:textFill>
                  <w14:solidFill>
                    <w14:schemeClr w14:val="tx1"/>
                  </w14:solidFill>
                </w14:textFill>
              </w:rPr>
              <w:t>（</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10分）</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4B81A89">
            <w:pPr>
              <w:pStyle w:val="295"/>
              <w:pageBreakBefore w:val="0"/>
              <w:spacing w:line="360" w:lineRule="auto"/>
              <w:ind w:firstLine="440"/>
              <w:jc w:val="center"/>
              <w:rPr>
                <w:rFonts w:hint="eastAsia" w:ascii="仿宋" w:hAnsi="仿宋" w:eastAsia="仿宋" w:cs="仿宋"/>
                <w:b w:val="0"/>
                <w:bCs w:val="0"/>
                <w:color w:val="000000" w:themeColor="text1"/>
                <w:sz w:val="22"/>
                <w:szCs w:val="22"/>
                <w:highlight w:val="none"/>
                <w14:textFill>
                  <w14:solidFill>
                    <w14:schemeClr w14:val="tx1"/>
                  </w14:solidFill>
                </w14:textFill>
              </w:rPr>
            </w:pPr>
          </w:p>
          <w:p w14:paraId="758F6AB8">
            <w:pPr>
              <w:pStyle w:val="295"/>
              <w:pageBreakBefore w:val="0"/>
              <w:spacing w:line="360" w:lineRule="auto"/>
              <w:ind w:firstLine="440"/>
              <w:jc w:val="both"/>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类似</w:t>
            </w:r>
            <w:r>
              <w:rPr>
                <w:rFonts w:hint="eastAsia" w:ascii="仿宋" w:hAnsi="仿宋" w:eastAsia="仿宋" w:cs="仿宋"/>
                <w:b w:val="0"/>
                <w:bCs w:val="0"/>
                <w:color w:val="000000" w:themeColor="text1"/>
                <w:sz w:val="22"/>
                <w:szCs w:val="22"/>
                <w:highlight w:val="none"/>
                <w14:textFill>
                  <w14:solidFill>
                    <w14:schemeClr w14:val="tx1"/>
                  </w14:solidFill>
                </w14:textFill>
              </w:rPr>
              <w:t>业绩</w:t>
            </w:r>
          </w:p>
          <w:p w14:paraId="0F71DC42">
            <w:pPr>
              <w:pStyle w:val="295"/>
              <w:pageBreakBefore w:val="0"/>
              <w:spacing w:line="360" w:lineRule="auto"/>
              <w:ind w:firstLine="440"/>
              <w:jc w:val="both"/>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t>（</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4</w:t>
            </w:r>
            <w:r>
              <w:rPr>
                <w:rFonts w:hint="eastAsia" w:ascii="仿宋" w:hAnsi="仿宋" w:eastAsia="仿宋" w:cs="仿宋"/>
                <w:b w:val="0"/>
                <w:bCs w:val="0"/>
                <w:color w:val="000000" w:themeColor="text1"/>
                <w:sz w:val="22"/>
                <w:szCs w:val="22"/>
                <w:highlight w:val="none"/>
                <w14:textFill>
                  <w14:solidFill>
                    <w14:schemeClr w14:val="tx1"/>
                  </w14:solidFill>
                </w14:textFill>
              </w:rPr>
              <w:t>分）</w:t>
            </w:r>
          </w:p>
        </w:tc>
        <w:tc>
          <w:tcPr>
            <w:tcW w:w="0" w:type="auto"/>
            <w:tcBorders>
              <w:top w:val="single" w:color="auto" w:sz="4" w:space="0"/>
              <w:left w:val="single" w:color="auto" w:sz="4" w:space="0"/>
              <w:bottom w:val="single" w:color="auto" w:sz="4" w:space="0"/>
              <w:right w:val="single" w:color="auto" w:sz="4" w:space="0"/>
            </w:tcBorders>
            <w:noWrap w:val="0"/>
          </w:tcPr>
          <w:p w14:paraId="27A77A96">
            <w:pPr>
              <w:pStyle w:val="327"/>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投标供应商</w:t>
            </w:r>
            <w:r>
              <w:rPr>
                <w:rFonts w:hint="eastAsia" w:ascii="仿宋" w:hAnsi="仿宋" w:eastAsia="仿宋" w:cs="仿宋"/>
                <w:color w:val="000000" w:themeColor="text1"/>
                <w:sz w:val="22"/>
                <w:szCs w:val="22"/>
                <w:highlight w:val="none"/>
                <w14:textFill>
                  <w14:solidFill>
                    <w14:schemeClr w14:val="tx1"/>
                  </w14:solidFill>
                </w14:textFill>
              </w:rPr>
              <w:t>承接过类似项目</w:t>
            </w:r>
            <w:r>
              <w:rPr>
                <w:rFonts w:hint="eastAsia" w:ascii="仿宋" w:hAnsi="仿宋" w:eastAsia="仿宋" w:cs="仿宋"/>
                <w:color w:val="000000" w:themeColor="text1"/>
                <w:sz w:val="22"/>
                <w:szCs w:val="22"/>
                <w:highlight w:val="none"/>
                <w:lang w:val="en-US" w:eastAsia="zh-CN"/>
                <w14:textFill>
                  <w14:solidFill>
                    <w14:schemeClr w14:val="tx1"/>
                  </w14:solidFill>
                </w14:textFill>
              </w:rPr>
              <w:t>的业绩证明材料</w:t>
            </w:r>
            <w:r>
              <w:rPr>
                <w:rFonts w:hint="eastAsia" w:ascii="仿宋" w:hAnsi="仿宋" w:eastAsia="仿宋" w:cs="仿宋"/>
                <w:color w:val="000000" w:themeColor="text1"/>
                <w:sz w:val="22"/>
                <w:szCs w:val="22"/>
                <w:highlight w:val="none"/>
                <w14:textFill>
                  <w14:solidFill>
                    <w14:schemeClr w14:val="tx1"/>
                  </w14:solidFill>
                </w14:textFill>
              </w:rPr>
              <w:t>，每提供一个得</w:t>
            </w:r>
            <w:r>
              <w:rPr>
                <w:rFonts w:hint="eastAsia" w:ascii="仿宋" w:hAnsi="仿宋" w:eastAsia="仿宋" w:cs="仿宋"/>
                <w:color w:val="000000" w:themeColor="text1"/>
                <w:sz w:val="22"/>
                <w:szCs w:val="22"/>
                <w:highlight w:val="none"/>
                <w:lang w:val="en-US" w:eastAsia="zh-CN"/>
                <w14:textFill>
                  <w14:solidFill>
                    <w14:schemeClr w14:val="tx1"/>
                  </w14:solidFill>
                </w14:textFill>
              </w:rPr>
              <w:t>2</w:t>
            </w:r>
            <w:r>
              <w:rPr>
                <w:rFonts w:hint="eastAsia" w:ascii="仿宋" w:hAnsi="仿宋" w:eastAsia="仿宋" w:cs="仿宋"/>
                <w:color w:val="000000" w:themeColor="text1"/>
                <w:sz w:val="22"/>
                <w:szCs w:val="22"/>
                <w:highlight w:val="none"/>
                <w14:textFill>
                  <w14:solidFill>
                    <w14:schemeClr w14:val="tx1"/>
                  </w14:solidFill>
                </w14:textFill>
              </w:rPr>
              <w:t>分，最多得</w:t>
            </w:r>
            <w:r>
              <w:rPr>
                <w:rFonts w:hint="eastAsia" w:ascii="仿宋" w:hAnsi="仿宋" w:eastAsia="仿宋" w:cs="仿宋"/>
                <w:color w:val="000000" w:themeColor="text1"/>
                <w:sz w:val="22"/>
                <w:szCs w:val="22"/>
                <w:highlight w:val="none"/>
                <w:lang w:val="en-US" w:eastAsia="zh-CN"/>
                <w14:textFill>
                  <w14:solidFill>
                    <w14:schemeClr w14:val="tx1"/>
                  </w14:solidFill>
                </w14:textFill>
              </w:rPr>
              <w:t>4</w:t>
            </w:r>
            <w:r>
              <w:rPr>
                <w:rFonts w:hint="eastAsia" w:ascii="仿宋" w:hAnsi="仿宋" w:eastAsia="仿宋" w:cs="仿宋"/>
                <w:color w:val="000000" w:themeColor="text1"/>
                <w:sz w:val="22"/>
                <w:szCs w:val="22"/>
                <w:highlight w:val="none"/>
                <w14:textFill>
                  <w14:solidFill>
                    <w14:schemeClr w14:val="tx1"/>
                  </w14:solidFill>
                </w14:textFill>
              </w:rPr>
              <w:t>分；（提供</w:t>
            </w:r>
            <w:r>
              <w:rPr>
                <w:rFonts w:hint="eastAsia" w:ascii="仿宋" w:hAnsi="仿宋" w:eastAsia="仿宋" w:cs="仿宋"/>
                <w:color w:val="000000" w:themeColor="text1"/>
                <w:sz w:val="22"/>
                <w:szCs w:val="22"/>
                <w:highlight w:val="none"/>
                <w:lang w:val="en-US" w:eastAsia="zh-CN"/>
                <w14:textFill>
                  <w14:solidFill>
                    <w14:schemeClr w14:val="tx1"/>
                  </w14:solidFill>
                </w14:textFill>
              </w:rPr>
              <w:t>中标通知书、施工</w:t>
            </w:r>
            <w:r>
              <w:rPr>
                <w:rFonts w:hint="eastAsia" w:ascii="仿宋" w:hAnsi="仿宋" w:eastAsia="仿宋" w:cs="仿宋"/>
                <w:color w:val="000000" w:themeColor="text1"/>
                <w:sz w:val="22"/>
                <w:szCs w:val="22"/>
                <w:highlight w:val="none"/>
                <w14:textFill>
                  <w14:solidFill>
                    <w14:schemeClr w14:val="tx1"/>
                  </w14:solidFill>
                </w14:textFill>
              </w:rPr>
              <w:t>合同</w:t>
            </w:r>
            <w:r>
              <w:rPr>
                <w:rFonts w:hint="eastAsia" w:ascii="仿宋" w:hAnsi="仿宋" w:eastAsia="仿宋" w:cs="仿宋"/>
                <w:color w:val="000000" w:themeColor="text1"/>
                <w:sz w:val="22"/>
                <w:szCs w:val="22"/>
                <w:highlight w:val="none"/>
                <w:lang w:val="en-US" w:eastAsia="zh-CN"/>
                <w14:textFill>
                  <w14:solidFill>
                    <w14:schemeClr w14:val="tx1"/>
                  </w14:solidFill>
                </w14:textFill>
              </w:rPr>
              <w:t>及竣工验收证明原</w:t>
            </w:r>
            <w:r>
              <w:rPr>
                <w:rFonts w:hint="eastAsia" w:ascii="仿宋" w:hAnsi="仿宋" w:eastAsia="仿宋" w:cs="仿宋"/>
                <w:color w:val="000000" w:themeColor="text1"/>
                <w:sz w:val="22"/>
                <w:szCs w:val="22"/>
                <w:highlight w:val="none"/>
                <w14:textFill>
                  <w14:solidFill>
                    <w14:schemeClr w14:val="tx1"/>
                  </w14:solidFill>
                </w14:textFill>
              </w:rPr>
              <w:t>件</w:t>
            </w:r>
            <w:r>
              <w:rPr>
                <w:rFonts w:hint="eastAsia" w:ascii="仿宋" w:hAnsi="仿宋" w:eastAsia="仿宋" w:cs="仿宋"/>
                <w:color w:val="000000" w:themeColor="text1"/>
                <w:sz w:val="22"/>
                <w:szCs w:val="22"/>
                <w:highlight w:val="none"/>
                <w:lang w:val="en-US" w:eastAsia="zh-CN"/>
                <w14:textFill>
                  <w14:solidFill>
                    <w14:schemeClr w14:val="tx1"/>
                  </w14:solidFill>
                </w14:textFill>
              </w:rPr>
              <w:t>彩色扫描上传并</w:t>
            </w:r>
            <w:r>
              <w:rPr>
                <w:rFonts w:hint="eastAsia" w:ascii="仿宋" w:hAnsi="仿宋" w:eastAsia="仿宋" w:cs="仿宋"/>
                <w:color w:val="000000" w:themeColor="text1"/>
                <w:sz w:val="22"/>
                <w:szCs w:val="22"/>
                <w:highlight w:val="none"/>
                <w14:textFill>
                  <w14:solidFill>
                    <w14:schemeClr w14:val="tx1"/>
                  </w14:solidFill>
                </w14:textFill>
              </w:rPr>
              <w:t>加盖</w:t>
            </w:r>
            <w:r>
              <w:rPr>
                <w:rFonts w:hint="eastAsia" w:ascii="仿宋" w:hAnsi="仿宋" w:eastAsia="仿宋" w:cs="仿宋"/>
                <w:color w:val="000000" w:themeColor="text1"/>
                <w:sz w:val="22"/>
                <w:szCs w:val="22"/>
                <w:highlight w:val="none"/>
                <w:lang w:val="en-US" w:eastAsia="zh-CN"/>
                <w14:textFill>
                  <w14:solidFill>
                    <w14:schemeClr w14:val="tx1"/>
                  </w14:solidFill>
                </w14:textFill>
              </w:rPr>
              <w:t>电子签章，三者必须同时具备，否则不得分</w:t>
            </w:r>
            <w:r>
              <w:rPr>
                <w:rFonts w:hint="eastAsia" w:ascii="仿宋" w:hAnsi="仿宋" w:eastAsia="仿宋" w:cs="仿宋"/>
                <w:color w:val="000000" w:themeColor="text1"/>
                <w:sz w:val="22"/>
                <w:szCs w:val="22"/>
                <w:highlight w:val="none"/>
                <w14:textFill>
                  <w14:solidFill>
                    <w14:schemeClr w14:val="tx1"/>
                  </w14:solidFill>
                </w14:textFill>
              </w:rPr>
              <w:t>）</w:t>
            </w:r>
            <w:r>
              <w:rPr>
                <w:rFonts w:hint="eastAsia" w:ascii="仿宋" w:hAnsi="仿宋" w:eastAsia="仿宋" w:cs="仿宋"/>
                <w:color w:val="000000" w:themeColor="text1"/>
                <w:sz w:val="22"/>
                <w:szCs w:val="22"/>
                <w:highlight w:val="none"/>
                <w:lang w:eastAsia="zh-CN"/>
                <w14:textFill>
                  <w14:solidFill>
                    <w14:schemeClr w14:val="tx1"/>
                  </w14:solidFill>
                </w14:textFill>
              </w:rPr>
              <w:t>。</w:t>
            </w:r>
          </w:p>
        </w:tc>
      </w:tr>
      <w:tr w14:paraId="65749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0" w:type="auto"/>
            <w:vMerge w:val="continue"/>
            <w:tcBorders>
              <w:left w:val="single" w:color="auto" w:sz="4" w:space="0"/>
              <w:right w:val="single" w:color="auto" w:sz="4" w:space="0"/>
            </w:tcBorders>
            <w:noWrap w:val="0"/>
            <w:vAlign w:val="center"/>
          </w:tcPr>
          <w:p w14:paraId="36FF9E33">
            <w:pPr>
              <w:pageBreakBefore w:val="0"/>
              <w:spacing w:line="360" w:lineRule="auto"/>
              <w:jc w:val="center"/>
              <w:rPr>
                <w:rFonts w:hint="eastAsia" w:ascii="仿宋" w:hAnsi="仿宋" w:eastAsia="仿宋" w:cs="仿宋"/>
                <w:b w:val="0"/>
                <w:bCs w:val="0"/>
                <w:color w:val="000000" w:themeColor="text1"/>
                <w:sz w:val="22"/>
                <w:szCs w:val="22"/>
                <w:highlight w:val="none"/>
                <w:lang w:eastAsia="zh-CN"/>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0A22ADBC">
            <w:pPr>
              <w:pBdr>
                <w:top w:val="none" w:color="000000" w:sz="0" w:space="0"/>
                <w:left w:val="none" w:color="000000" w:sz="0" w:space="0"/>
                <w:bottom w:val="none" w:color="000000" w:sz="0" w:space="0"/>
                <w:right w:val="none" w:color="000000" w:sz="0" w:space="0"/>
              </w:pBdr>
              <w:spacing w:before="200" w:after="200" w:line="68" w:lineRule="atLeast"/>
              <w:ind w:left="0" w:right="0" w:firstLine="440"/>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人员配备</w:t>
            </w:r>
          </w:p>
          <w:p w14:paraId="2C345538">
            <w:pPr>
              <w:pBdr>
                <w:top w:val="none" w:color="000000" w:sz="0" w:space="0"/>
                <w:left w:val="none" w:color="000000" w:sz="0" w:space="0"/>
                <w:bottom w:val="none" w:color="000000" w:sz="0" w:space="0"/>
                <w:right w:val="none" w:color="000000" w:sz="0" w:space="0"/>
              </w:pBdr>
              <w:spacing w:before="200" w:after="200" w:line="68" w:lineRule="atLeast"/>
              <w:ind w:left="0" w:right="0" w:firstLine="440"/>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color w:val="000000"/>
                <w:sz w:val="22"/>
                <w:szCs w:val="22"/>
                <w:highlight w:val="none"/>
              </w:rPr>
              <w:t>（</w:t>
            </w:r>
            <w:r>
              <w:rPr>
                <w:rFonts w:hint="eastAsia" w:ascii="仿宋" w:hAnsi="仿宋" w:eastAsia="仿宋" w:cs="仿宋"/>
                <w:color w:val="000000"/>
                <w:sz w:val="22"/>
                <w:szCs w:val="22"/>
                <w:highlight w:val="none"/>
                <w:lang w:val="en-US" w:eastAsia="zh-CN"/>
              </w:rPr>
              <w:t>3</w:t>
            </w:r>
            <w:r>
              <w:rPr>
                <w:rFonts w:hint="eastAsia" w:ascii="仿宋" w:hAnsi="仿宋" w:eastAsia="仿宋" w:cs="仿宋"/>
                <w:color w:val="000000"/>
                <w:sz w:val="22"/>
                <w:szCs w:val="22"/>
                <w:highlight w:val="none"/>
              </w:rPr>
              <w:t>分）</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1CE3643">
            <w:pPr>
              <w:pBdr>
                <w:top w:val="none" w:color="000000" w:sz="0" w:space="0"/>
                <w:left w:val="none" w:color="000000" w:sz="0" w:space="0"/>
                <w:bottom w:val="none" w:color="000000" w:sz="0" w:space="0"/>
                <w:right w:val="none" w:color="000000" w:sz="0" w:space="0"/>
              </w:pBdr>
              <w:spacing w:before="200" w:after="200" w:line="68" w:lineRule="atLeast"/>
              <w:ind w:left="0" w:right="0" w:firstLine="0"/>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项目组其他人员（不包括项目负责人）具有建设工程类中级（含）及以上职称，每提供一个得1.5分，最高得3分。（提供职称证书原件彩色扫描件上传加盖电子签章）</w:t>
            </w:r>
          </w:p>
        </w:tc>
      </w:tr>
      <w:tr w14:paraId="15D3A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0" w:type="auto"/>
            <w:vMerge w:val="continue"/>
            <w:tcBorders>
              <w:left w:val="single" w:color="auto" w:sz="4" w:space="0"/>
              <w:right w:val="single" w:color="auto" w:sz="4" w:space="0"/>
            </w:tcBorders>
            <w:noWrap w:val="0"/>
            <w:vAlign w:val="center"/>
          </w:tcPr>
          <w:p w14:paraId="7CC86215">
            <w:pPr>
              <w:pageBreakBefore w:val="0"/>
              <w:spacing w:line="360" w:lineRule="auto"/>
              <w:jc w:val="center"/>
              <w:rPr>
                <w:rFonts w:hint="eastAsia" w:ascii="仿宋" w:hAnsi="仿宋" w:eastAsia="仿宋" w:cs="仿宋"/>
                <w:b w:val="0"/>
                <w:bCs w:val="0"/>
                <w:color w:val="000000" w:themeColor="text1"/>
                <w:sz w:val="22"/>
                <w:szCs w:val="22"/>
                <w:highlight w:val="none"/>
                <w:lang w:eastAsia="zh-CN"/>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18B1E321">
            <w:pPr>
              <w:pStyle w:val="295"/>
              <w:pageBreakBefore w:val="0"/>
              <w:spacing w:line="360" w:lineRule="auto"/>
              <w:ind w:firstLine="440"/>
              <w:jc w:val="both"/>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综合实力</w:t>
            </w:r>
          </w:p>
          <w:p w14:paraId="410753C1">
            <w:pPr>
              <w:pStyle w:val="295"/>
              <w:pageBreakBefore w:val="0"/>
              <w:spacing w:line="360" w:lineRule="auto"/>
              <w:ind w:firstLine="440"/>
              <w:jc w:val="both"/>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（3分）</w:t>
            </w:r>
          </w:p>
        </w:tc>
        <w:tc>
          <w:tcPr>
            <w:tcW w:w="0" w:type="auto"/>
            <w:tcBorders>
              <w:top w:val="single" w:color="auto" w:sz="4" w:space="0"/>
              <w:left w:val="single" w:color="auto" w:sz="4" w:space="0"/>
              <w:bottom w:val="single" w:color="auto" w:sz="4" w:space="0"/>
              <w:right w:val="single" w:color="auto" w:sz="4" w:space="0"/>
            </w:tcBorders>
            <w:noWrap w:val="0"/>
          </w:tcPr>
          <w:p w14:paraId="32C8C7D2">
            <w:pPr>
              <w:keepNext w:val="0"/>
              <w:keepLines w:val="0"/>
              <w:widowControl/>
              <w:numPr>
                <w:ilvl w:val="0"/>
                <w:numId w:val="0"/>
              </w:numPr>
              <w:suppressLineNumbers w:val="0"/>
              <w:spacing w:before="0" w:beforeAutospacing="0" w:after="0" w:afterAutospacing="0" w:line="360" w:lineRule="auto"/>
              <w:ind w:left="0" w:right="0"/>
              <w:rPr>
                <w:rFonts w:hint="eastAsia" w:ascii="仿宋" w:hAnsi="仿宋" w:eastAsia="仿宋" w:cs="仿宋"/>
                <w:b w:val="0"/>
                <w:bCs w:val="0"/>
                <w:color w:val="000000"/>
                <w:sz w:val="22"/>
                <w:szCs w:val="22"/>
                <w:highlight w:val="none"/>
              </w:rPr>
            </w:pPr>
            <w:r>
              <w:rPr>
                <w:rFonts w:hint="eastAsia" w:ascii="仿宋" w:hAnsi="仿宋" w:eastAsia="仿宋" w:cs="仿宋"/>
                <w:b w:val="0"/>
                <w:bCs w:val="0"/>
                <w:color w:val="000000"/>
                <w:sz w:val="22"/>
                <w:szCs w:val="22"/>
                <w:highlight w:val="none"/>
                <w:lang w:val="en-US" w:eastAsia="zh-CN"/>
              </w:rPr>
              <w:t>供应商具有有效期内的</w:t>
            </w:r>
            <w:r>
              <w:rPr>
                <w:rFonts w:hint="eastAsia" w:ascii="仿宋" w:hAnsi="仿宋" w:eastAsia="仿宋" w:cs="仿宋"/>
                <w:b w:val="0"/>
                <w:bCs w:val="0"/>
                <w:color w:val="000000"/>
                <w:sz w:val="22"/>
                <w:szCs w:val="22"/>
                <w:highlight w:val="none"/>
              </w:rPr>
              <w:t>质量管理体系认证证书</w:t>
            </w:r>
            <w:r>
              <w:rPr>
                <w:rFonts w:hint="eastAsia" w:ascii="仿宋" w:hAnsi="仿宋" w:eastAsia="仿宋" w:cs="仿宋"/>
                <w:b w:val="0"/>
                <w:bCs w:val="0"/>
                <w:color w:val="000000"/>
                <w:sz w:val="22"/>
                <w:szCs w:val="22"/>
                <w:highlight w:val="none"/>
                <w:lang w:eastAsia="zh-CN"/>
              </w:rPr>
              <w:t>、</w:t>
            </w:r>
            <w:r>
              <w:rPr>
                <w:rFonts w:hint="eastAsia" w:ascii="仿宋" w:hAnsi="仿宋" w:eastAsia="仿宋" w:cs="仿宋"/>
                <w:b w:val="0"/>
                <w:bCs w:val="0"/>
                <w:color w:val="000000"/>
                <w:sz w:val="22"/>
                <w:szCs w:val="22"/>
                <w:highlight w:val="none"/>
              </w:rPr>
              <w:t>环境管理体系认证证书</w:t>
            </w:r>
            <w:r>
              <w:rPr>
                <w:rFonts w:hint="eastAsia" w:ascii="仿宋" w:hAnsi="仿宋" w:eastAsia="仿宋" w:cs="仿宋"/>
                <w:b w:val="0"/>
                <w:bCs w:val="0"/>
                <w:color w:val="000000"/>
                <w:sz w:val="22"/>
                <w:szCs w:val="22"/>
                <w:highlight w:val="none"/>
                <w:lang w:eastAsia="zh-CN"/>
              </w:rPr>
              <w:t>、</w:t>
            </w:r>
            <w:r>
              <w:rPr>
                <w:rFonts w:hint="eastAsia" w:ascii="仿宋" w:hAnsi="仿宋" w:eastAsia="仿宋" w:cs="仿宋"/>
                <w:b w:val="0"/>
                <w:bCs w:val="0"/>
                <w:color w:val="000000"/>
                <w:sz w:val="22"/>
                <w:szCs w:val="22"/>
                <w:highlight w:val="none"/>
              </w:rPr>
              <w:t>职业健康安全体系认证证书</w:t>
            </w:r>
            <w:r>
              <w:rPr>
                <w:rFonts w:hint="eastAsia" w:ascii="仿宋" w:hAnsi="仿宋" w:eastAsia="仿宋" w:cs="仿宋"/>
                <w:b w:val="0"/>
                <w:bCs w:val="0"/>
                <w:color w:val="000000"/>
                <w:sz w:val="22"/>
                <w:szCs w:val="22"/>
                <w:highlight w:val="none"/>
                <w:lang w:val="en-US" w:eastAsia="zh-CN"/>
              </w:rPr>
              <w:t>的，每提供一个认证证书得1分，本项最多得3分。</w:t>
            </w:r>
          </w:p>
          <w:p w14:paraId="44D0E3E5">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highlight w:val="none"/>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注：</w:t>
            </w:r>
            <w:r>
              <w:rPr>
                <w:rFonts w:hint="eastAsia" w:ascii="仿宋" w:hAnsi="仿宋" w:eastAsia="仿宋" w:cs="仿宋"/>
                <w:color w:val="000000"/>
                <w:sz w:val="22"/>
                <w:highlight w:val="none"/>
              </w:rPr>
              <w:t>提供证明材料的原件</w:t>
            </w:r>
            <w:r>
              <w:rPr>
                <w:rFonts w:hint="eastAsia" w:ascii="仿宋" w:hAnsi="仿宋" w:eastAsia="仿宋" w:cs="仿宋"/>
                <w:color w:val="000000"/>
                <w:sz w:val="22"/>
                <w:highlight w:val="none"/>
                <w:lang w:val="en-US" w:eastAsia="zh-CN"/>
              </w:rPr>
              <w:t>彩色</w:t>
            </w:r>
            <w:r>
              <w:rPr>
                <w:rFonts w:hint="eastAsia" w:ascii="仿宋" w:hAnsi="仿宋" w:eastAsia="仿宋" w:cs="仿宋"/>
                <w:color w:val="000000"/>
                <w:sz w:val="22"/>
                <w:highlight w:val="none"/>
              </w:rPr>
              <w:t>扫描件上传加盖电子签章。</w:t>
            </w:r>
          </w:p>
        </w:tc>
      </w:tr>
      <w:tr w14:paraId="4D330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0" w:hRule="atLeast"/>
          <w:jc w:val="center"/>
        </w:trPr>
        <w:tc>
          <w:tcPr>
            <w:tcW w:w="0" w:type="auto"/>
            <w:vMerge w:val="restart"/>
            <w:tcBorders>
              <w:top w:val="single" w:color="auto" w:sz="4" w:space="0"/>
              <w:left w:val="single" w:color="auto" w:sz="4" w:space="0"/>
              <w:right w:val="single" w:color="auto" w:sz="4" w:space="0"/>
            </w:tcBorders>
            <w:noWrap w:val="0"/>
          </w:tcPr>
          <w:p w14:paraId="4FF6F1EB">
            <w:pPr>
              <w:pStyle w:val="295"/>
              <w:pageBreakBefore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p>
          <w:p w14:paraId="0F05035F">
            <w:pPr>
              <w:pStyle w:val="295"/>
              <w:pageBreakBefore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p>
          <w:p w14:paraId="72C7F634">
            <w:pPr>
              <w:pStyle w:val="295"/>
              <w:pageBreakBefore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p>
          <w:p w14:paraId="6C5094FD">
            <w:pPr>
              <w:pStyle w:val="295"/>
              <w:pageBreakBefore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p>
          <w:p w14:paraId="77927DC9">
            <w:pPr>
              <w:pStyle w:val="295"/>
              <w:pageBreakBefore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p>
          <w:p w14:paraId="76DD990A">
            <w:pPr>
              <w:pStyle w:val="295"/>
              <w:pageBreakBefore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p>
          <w:p w14:paraId="7BD1E829">
            <w:pPr>
              <w:pStyle w:val="295"/>
              <w:pageBreakBefore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p>
          <w:p w14:paraId="2A4910DC">
            <w:pPr>
              <w:pStyle w:val="295"/>
              <w:pageBreakBefore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p>
          <w:p w14:paraId="1A74D070">
            <w:pPr>
              <w:pStyle w:val="295"/>
              <w:pageBreakBefore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技术部分</w:t>
            </w:r>
          </w:p>
          <w:p w14:paraId="270B29A1">
            <w:pPr>
              <w:pageBreakBefore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（70分）</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721B001">
            <w:pPr>
              <w:pStyle w:val="49"/>
              <w:keepNext w:val="0"/>
              <w:keepLines w:val="0"/>
              <w:pageBreakBefore w:val="0"/>
              <w:widowControl w:val="0"/>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总体施工方案</w:t>
            </w:r>
          </w:p>
          <w:p w14:paraId="45A78DB3">
            <w:pPr>
              <w:pStyle w:val="49"/>
              <w:keepNext w:val="0"/>
              <w:keepLines w:val="0"/>
              <w:pageBreakBefore w:val="0"/>
              <w:widowControl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10</w:t>
            </w:r>
            <w:r>
              <w:rPr>
                <w:rFonts w:hint="eastAsia" w:ascii="仿宋" w:hAnsi="仿宋" w:eastAsia="仿宋" w:cs="仿宋"/>
                <w:color w:val="auto"/>
                <w:sz w:val="22"/>
                <w:szCs w:val="22"/>
                <w:highlight w:val="none"/>
              </w:rPr>
              <w:t>分)</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D73E884">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根据供应商提供的总体施工方案</w:t>
            </w:r>
            <w:r>
              <w:rPr>
                <w:rFonts w:hint="eastAsia" w:ascii="仿宋" w:hAnsi="仿宋" w:eastAsia="仿宋" w:cs="仿宋"/>
                <w:color w:val="auto"/>
                <w:sz w:val="22"/>
                <w:szCs w:val="22"/>
                <w:highlight w:val="none"/>
                <w:lang w:val="en-US" w:eastAsia="zh-CN"/>
              </w:rPr>
              <w:t>中</w:t>
            </w:r>
            <w:r>
              <w:rPr>
                <w:rFonts w:hint="eastAsia" w:ascii="仿宋" w:hAnsi="仿宋" w:eastAsia="仿宋" w:cs="仿宋"/>
                <w:color w:val="auto"/>
                <w:sz w:val="22"/>
                <w:szCs w:val="22"/>
                <w:highlight w:val="none"/>
              </w:rPr>
              <w:t>工程总体概述、针对重点部分施工方案及施工工艺方法等方面进行总体评价。</w:t>
            </w:r>
          </w:p>
          <w:p w14:paraId="6235732B">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内容详细具体、可行性强、针对性强的得10分；</w:t>
            </w:r>
          </w:p>
          <w:p w14:paraId="1F4F2C35">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内容较完整、可行性较强、针对性较强的得8分；</w:t>
            </w:r>
          </w:p>
          <w:p w14:paraId="78CA65B1">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内容基本完整、基本可行、针对性一般的得6分；</w:t>
            </w:r>
          </w:p>
          <w:p w14:paraId="07F5B351">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内容不完整、可行性较差、针对性较差的得3分；</w:t>
            </w:r>
          </w:p>
          <w:p w14:paraId="4DC08306">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未提供不得分。本项最高得10分，最低得0分。</w:t>
            </w:r>
          </w:p>
        </w:tc>
      </w:tr>
      <w:tr w14:paraId="35518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7" w:hRule="atLeast"/>
          <w:jc w:val="center"/>
        </w:trPr>
        <w:tc>
          <w:tcPr>
            <w:tcW w:w="0" w:type="auto"/>
            <w:vMerge w:val="continue"/>
            <w:tcBorders>
              <w:left w:val="single" w:color="auto" w:sz="4" w:space="0"/>
              <w:right w:val="single" w:color="auto" w:sz="4" w:space="0"/>
            </w:tcBorders>
            <w:noWrap w:val="0"/>
          </w:tcPr>
          <w:p w14:paraId="6C2C027E">
            <w:pPr>
              <w:pageBreakBefore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63D5AC96">
            <w:pPr>
              <w:pStyle w:val="49"/>
              <w:keepNext w:val="0"/>
              <w:keepLines w:val="0"/>
              <w:pageBreakBefore w:val="0"/>
              <w:widowControl w:val="0"/>
              <w:spacing w:line="360" w:lineRule="auto"/>
              <w:jc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施工进度计划及保证措施</w:t>
            </w:r>
          </w:p>
          <w:p w14:paraId="23220D9B">
            <w:pPr>
              <w:pStyle w:val="49"/>
              <w:keepNext w:val="0"/>
              <w:keepLines w:val="0"/>
              <w:pageBreakBefore w:val="0"/>
              <w:widowControl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（10分）</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38CCFF0">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根据供应商提供</w:t>
            </w:r>
            <w:r>
              <w:rPr>
                <w:rFonts w:hint="eastAsia" w:ascii="仿宋" w:hAnsi="仿宋" w:eastAsia="仿宋" w:cs="仿宋"/>
                <w:color w:val="auto"/>
                <w:sz w:val="22"/>
                <w:szCs w:val="22"/>
                <w:highlight w:val="none"/>
                <w:lang w:val="en-US" w:eastAsia="zh-CN"/>
              </w:rPr>
              <w:t>的施工进度计划及保证措施中</w:t>
            </w:r>
            <w:r>
              <w:rPr>
                <w:rFonts w:hint="eastAsia" w:ascii="仿宋" w:hAnsi="仿宋" w:eastAsia="仿宋" w:cs="仿宋"/>
                <w:color w:val="auto"/>
                <w:sz w:val="22"/>
                <w:szCs w:val="22"/>
                <w:highlight w:val="none"/>
              </w:rPr>
              <w:t>针对本项目工程特点、工程进度计划安排、计划开工竣工日期、关键工作计划及工期保证措施等方面进行总体评价。</w:t>
            </w:r>
          </w:p>
          <w:p w14:paraId="09ACCB64">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内容详细具体、可行性强、针对性强的得10分；</w:t>
            </w:r>
          </w:p>
          <w:p w14:paraId="6DCC4E60">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内容较完整、可行性较强、针对性较强的得8分；</w:t>
            </w:r>
          </w:p>
          <w:p w14:paraId="141AD501">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内容基本完整、基本可行、针对性一般的得6分；</w:t>
            </w:r>
          </w:p>
          <w:p w14:paraId="5799E37C">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内容不完整、可行性较差、针对性较差的得3分；</w:t>
            </w:r>
          </w:p>
          <w:p w14:paraId="48106CC9">
            <w:pPr>
              <w:pStyle w:val="49"/>
              <w:keepNext w:val="0"/>
              <w:keepLines w:val="0"/>
              <w:pageBreakBefore w:val="0"/>
              <w:widowControl w:val="0"/>
              <w:spacing w:line="360" w:lineRule="auto"/>
              <w:jc w:val="left"/>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未提供不得分。本项最高得10分，最低得0分。</w:t>
            </w:r>
          </w:p>
        </w:tc>
      </w:tr>
      <w:tr w14:paraId="19016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2" w:hRule="atLeast"/>
          <w:jc w:val="center"/>
        </w:trPr>
        <w:tc>
          <w:tcPr>
            <w:tcW w:w="0" w:type="auto"/>
            <w:vMerge w:val="continue"/>
            <w:tcBorders>
              <w:left w:val="single" w:color="auto" w:sz="4" w:space="0"/>
              <w:right w:val="single" w:color="auto" w:sz="4" w:space="0"/>
            </w:tcBorders>
            <w:noWrap w:val="0"/>
          </w:tcPr>
          <w:p w14:paraId="69CD80C8">
            <w:pPr>
              <w:pageBreakBefore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5DEE1336">
            <w:pPr>
              <w:pStyle w:val="49"/>
              <w:keepNext w:val="0"/>
              <w:keepLines w:val="0"/>
              <w:pageBreakBefore w:val="0"/>
              <w:widowControl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施工质量保证</w:t>
            </w:r>
            <w:r>
              <w:rPr>
                <w:rFonts w:hint="eastAsia" w:ascii="仿宋" w:hAnsi="仿宋" w:eastAsia="仿宋" w:cs="仿宋"/>
                <w:color w:val="auto"/>
                <w:sz w:val="22"/>
                <w:szCs w:val="22"/>
                <w:highlight w:val="none"/>
                <w:lang w:val="en-US" w:eastAsia="zh-CN"/>
              </w:rPr>
              <w:t>措施</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10</w:t>
            </w:r>
            <w:r>
              <w:rPr>
                <w:rFonts w:hint="eastAsia" w:ascii="仿宋" w:hAnsi="仿宋" w:eastAsia="仿宋" w:cs="仿宋"/>
                <w:color w:val="auto"/>
                <w:sz w:val="22"/>
                <w:szCs w:val="22"/>
                <w:highlight w:val="none"/>
              </w:rPr>
              <w:t>分)</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4AB4656">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根据供应商提供的</w:t>
            </w:r>
            <w:r>
              <w:rPr>
                <w:rFonts w:hint="eastAsia" w:ascii="仿宋" w:hAnsi="仿宋" w:eastAsia="仿宋" w:cs="仿宋"/>
                <w:color w:val="auto"/>
                <w:sz w:val="22"/>
                <w:szCs w:val="22"/>
                <w:highlight w:val="none"/>
                <w:lang w:val="en-US" w:eastAsia="zh-CN"/>
              </w:rPr>
              <w:t>施工</w:t>
            </w:r>
            <w:r>
              <w:rPr>
                <w:rFonts w:hint="eastAsia" w:ascii="仿宋" w:hAnsi="仿宋" w:eastAsia="仿宋" w:cs="仿宋"/>
                <w:color w:val="auto"/>
                <w:sz w:val="22"/>
                <w:szCs w:val="22"/>
                <w:highlight w:val="none"/>
              </w:rPr>
              <w:t>质量保证措施</w:t>
            </w:r>
            <w:r>
              <w:rPr>
                <w:rFonts w:hint="eastAsia" w:ascii="仿宋" w:hAnsi="仿宋" w:eastAsia="仿宋" w:cs="仿宋"/>
                <w:color w:val="auto"/>
                <w:sz w:val="22"/>
                <w:szCs w:val="22"/>
                <w:highlight w:val="none"/>
                <w:lang w:val="en-US" w:eastAsia="zh-CN"/>
              </w:rPr>
              <w:t>中</w:t>
            </w:r>
            <w:r>
              <w:rPr>
                <w:rFonts w:hint="eastAsia" w:ascii="仿宋" w:hAnsi="仿宋" w:eastAsia="仿宋" w:cs="仿宋"/>
                <w:color w:val="auto"/>
                <w:sz w:val="22"/>
                <w:szCs w:val="22"/>
                <w:highlight w:val="none"/>
              </w:rPr>
              <w:t>对施工质量管理规划及目标、施工质量保证措施及突发情况预防方式等方面进行总体评价。</w:t>
            </w:r>
          </w:p>
          <w:p w14:paraId="396D42F1">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内容详细具体、可行性强、针对性强的得10分；</w:t>
            </w:r>
          </w:p>
          <w:p w14:paraId="7131C669">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内容较完整、可行性较强、针对性较强的得8分；</w:t>
            </w:r>
          </w:p>
          <w:p w14:paraId="669CB83C">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内容基本完整、基本可行、针对性一般的得6分；</w:t>
            </w:r>
          </w:p>
          <w:p w14:paraId="510E8068">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内容不完整、可行性较差、针对性较差的得3分；</w:t>
            </w:r>
          </w:p>
          <w:p w14:paraId="22BDD819">
            <w:pPr>
              <w:pStyle w:val="49"/>
              <w:keepNext w:val="0"/>
              <w:keepLines w:val="0"/>
              <w:pageBreakBefore w:val="0"/>
              <w:widowControl w:val="0"/>
              <w:spacing w:line="360" w:lineRule="auto"/>
              <w:jc w:val="left"/>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未提供不得分。本项最高得10分，最低得0分。</w:t>
            </w:r>
          </w:p>
        </w:tc>
      </w:tr>
      <w:tr w14:paraId="764D4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0" w:hRule="atLeast"/>
          <w:jc w:val="center"/>
        </w:trPr>
        <w:tc>
          <w:tcPr>
            <w:tcW w:w="0" w:type="auto"/>
            <w:vMerge w:val="continue"/>
            <w:tcBorders>
              <w:left w:val="single" w:color="auto" w:sz="4" w:space="0"/>
              <w:right w:val="single" w:color="auto" w:sz="4" w:space="0"/>
            </w:tcBorders>
            <w:noWrap w:val="0"/>
          </w:tcPr>
          <w:p w14:paraId="706F2916">
            <w:pPr>
              <w:pageBreakBefore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52288639">
            <w:pPr>
              <w:pStyle w:val="49"/>
              <w:keepNext w:val="0"/>
              <w:keepLines w:val="0"/>
              <w:pageBreakBefore w:val="0"/>
              <w:widowControl w:val="0"/>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项目管理班子人员配备、素质及管理经验</w:t>
            </w:r>
          </w:p>
          <w:p w14:paraId="6A96AA59">
            <w:pPr>
              <w:pStyle w:val="49"/>
              <w:keepNext w:val="0"/>
              <w:keepLines w:val="0"/>
              <w:pageBreakBefore w:val="0"/>
              <w:widowControl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10</w:t>
            </w:r>
            <w:r>
              <w:rPr>
                <w:rFonts w:hint="eastAsia" w:ascii="仿宋" w:hAnsi="仿宋" w:eastAsia="仿宋" w:cs="仿宋"/>
                <w:color w:val="auto"/>
                <w:sz w:val="22"/>
                <w:szCs w:val="22"/>
                <w:highlight w:val="none"/>
              </w:rPr>
              <w:t>分）</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7C982F2">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根据供应商提供的项目管理班子人员配备、素质及管理经验等方面进行总体评价。</w:t>
            </w:r>
          </w:p>
          <w:p w14:paraId="4C2C1B4D">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内容详细具体、可行性强、针对性强的得10分；</w:t>
            </w:r>
          </w:p>
          <w:p w14:paraId="5EFF1F58">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内容较完整、可行性较强、针对性较强的得8分；</w:t>
            </w:r>
          </w:p>
          <w:p w14:paraId="67336EEB">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内容基本完整、基本可行、针对性一般的得6分；</w:t>
            </w:r>
          </w:p>
          <w:p w14:paraId="0621F522">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内容不完整、可行性较差、针对性较差的得3分；</w:t>
            </w:r>
          </w:p>
          <w:p w14:paraId="2802C6F8">
            <w:pPr>
              <w:pStyle w:val="49"/>
              <w:keepNext w:val="0"/>
              <w:keepLines w:val="0"/>
              <w:pageBreakBefore w:val="0"/>
              <w:widowControl w:val="0"/>
              <w:spacing w:line="360" w:lineRule="auto"/>
              <w:jc w:val="left"/>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未提供不得分。本项最高得10分，最低得0分。</w:t>
            </w:r>
          </w:p>
        </w:tc>
      </w:tr>
      <w:tr w14:paraId="6AC35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0" w:hRule="atLeast"/>
          <w:jc w:val="center"/>
        </w:trPr>
        <w:tc>
          <w:tcPr>
            <w:tcW w:w="0" w:type="auto"/>
            <w:vMerge w:val="continue"/>
            <w:tcBorders>
              <w:left w:val="single" w:color="auto" w:sz="4" w:space="0"/>
              <w:right w:val="single" w:color="auto" w:sz="4" w:space="0"/>
            </w:tcBorders>
            <w:noWrap w:val="0"/>
          </w:tcPr>
          <w:p w14:paraId="6B5F42FF">
            <w:pPr>
              <w:pageBreakBefore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7EC59847">
            <w:pPr>
              <w:pStyle w:val="49"/>
              <w:keepNext w:val="0"/>
              <w:keepLines w:val="0"/>
              <w:pageBreakBefore w:val="0"/>
              <w:widowControl w:val="0"/>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关键施工技术、工艺及工程项目实施的重点、难点和解决方案</w:t>
            </w:r>
          </w:p>
          <w:p w14:paraId="18E8D1D1">
            <w:pPr>
              <w:pStyle w:val="49"/>
              <w:keepNext w:val="0"/>
              <w:keepLines w:val="0"/>
              <w:pageBreakBefore w:val="0"/>
              <w:widowControl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10</w:t>
            </w:r>
            <w:r>
              <w:rPr>
                <w:rFonts w:hint="eastAsia" w:ascii="仿宋" w:hAnsi="仿宋" w:eastAsia="仿宋" w:cs="仿宋"/>
                <w:color w:val="auto"/>
                <w:sz w:val="22"/>
                <w:szCs w:val="22"/>
                <w:highlight w:val="none"/>
              </w:rPr>
              <w:t>分</w:t>
            </w:r>
            <w:r>
              <w:rPr>
                <w:rFonts w:hint="eastAsia" w:ascii="仿宋" w:hAnsi="仿宋" w:eastAsia="仿宋" w:cs="仿宋"/>
                <w:color w:val="auto"/>
                <w:sz w:val="22"/>
                <w:szCs w:val="22"/>
                <w:highlight w:val="none"/>
                <w:lang w:eastAsia="zh-CN"/>
              </w:rPr>
              <w:t>）</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181785A">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根据供应商提供的关键施工技术、工艺及工程项目实施的重点、难点和解决方案等方面进行总体评价。</w:t>
            </w:r>
          </w:p>
          <w:p w14:paraId="06C11F21">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内容详细具体、可行性强、针对性强的得10分；</w:t>
            </w:r>
          </w:p>
          <w:p w14:paraId="05C33291">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内容较完整、可行性较强、针对性较强的得8分；</w:t>
            </w:r>
          </w:p>
          <w:p w14:paraId="301F03AD">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内容基本完整、基本可行、针对性一般的得6分；</w:t>
            </w:r>
          </w:p>
          <w:p w14:paraId="4A728DD0">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内容不完整、可行性较差、针对性较差的得3分；</w:t>
            </w:r>
          </w:p>
          <w:p w14:paraId="1650FFAD">
            <w:pPr>
              <w:pStyle w:val="49"/>
              <w:keepNext w:val="0"/>
              <w:keepLines w:val="0"/>
              <w:pageBreakBefore w:val="0"/>
              <w:widowControl w:val="0"/>
              <w:spacing w:line="360" w:lineRule="auto"/>
              <w:jc w:val="left"/>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未提供不得分。本项最高得10分，最低得0分。</w:t>
            </w:r>
          </w:p>
        </w:tc>
      </w:tr>
      <w:tr w14:paraId="5BA1F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9" w:hRule="atLeast"/>
          <w:jc w:val="center"/>
        </w:trPr>
        <w:tc>
          <w:tcPr>
            <w:tcW w:w="0" w:type="auto"/>
            <w:vMerge w:val="continue"/>
            <w:tcBorders>
              <w:left w:val="single" w:color="auto" w:sz="4" w:space="0"/>
              <w:right w:val="single" w:color="auto" w:sz="4" w:space="0"/>
            </w:tcBorders>
            <w:noWrap w:val="0"/>
          </w:tcPr>
          <w:p w14:paraId="5B70A4F3">
            <w:pPr>
              <w:pageBreakBefore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0DBC4485">
            <w:pPr>
              <w:pStyle w:val="49"/>
              <w:keepNext w:val="0"/>
              <w:keepLines w:val="0"/>
              <w:pageBreakBefore w:val="0"/>
              <w:widowControl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安全文明施工方案（10分）</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FFF1B0C">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根据供应商提供的安全文明施工</w:t>
            </w:r>
            <w:r>
              <w:rPr>
                <w:rFonts w:hint="eastAsia" w:ascii="仿宋" w:hAnsi="仿宋" w:eastAsia="仿宋" w:cs="仿宋"/>
                <w:color w:val="auto"/>
                <w:sz w:val="22"/>
                <w:szCs w:val="22"/>
                <w:highlight w:val="none"/>
                <w:lang w:val="en-US" w:eastAsia="zh-CN"/>
              </w:rPr>
              <w:t>方案</w:t>
            </w:r>
            <w:r>
              <w:rPr>
                <w:rFonts w:hint="eastAsia" w:ascii="仿宋" w:hAnsi="仿宋" w:eastAsia="仿宋" w:cs="仿宋"/>
                <w:color w:val="auto"/>
                <w:sz w:val="22"/>
                <w:szCs w:val="22"/>
                <w:highlight w:val="none"/>
              </w:rPr>
              <w:t>中安全生产管理措施、文明施工管理措施、环境保护措施等方面进行总体评价。</w:t>
            </w:r>
          </w:p>
          <w:p w14:paraId="2BBECC02">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内容详细具体、可行性强、针对性强的得10分；</w:t>
            </w:r>
          </w:p>
          <w:p w14:paraId="6261EE59">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内容较完整、可行性较强、针对性较强的得8分；</w:t>
            </w:r>
          </w:p>
          <w:p w14:paraId="01495210">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内容基本完整、基本可行、针对性一般的得6分；</w:t>
            </w:r>
          </w:p>
          <w:p w14:paraId="1E4AFF0C">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内容不完整、可行性较差、针对性较差的得3分；</w:t>
            </w:r>
          </w:p>
          <w:p w14:paraId="54F78AFE">
            <w:pPr>
              <w:pStyle w:val="49"/>
              <w:keepNext w:val="0"/>
              <w:keepLines w:val="0"/>
              <w:pageBreakBefore w:val="0"/>
              <w:widowControl w:val="0"/>
              <w:spacing w:line="360" w:lineRule="auto"/>
              <w:jc w:val="left"/>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未提供不得分。本项最高得10分，最低得0分。</w:t>
            </w:r>
          </w:p>
        </w:tc>
      </w:tr>
      <w:tr w14:paraId="2901A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4" w:hRule="atLeast"/>
          <w:jc w:val="center"/>
        </w:trPr>
        <w:tc>
          <w:tcPr>
            <w:tcW w:w="0" w:type="auto"/>
            <w:vMerge w:val="continue"/>
            <w:tcBorders>
              <w:left w:val="single" w:color="auto" w:sz="4" w:space="0"/>
              <w:right w:val="single" w:color="auto" w:sz="4" w:space="0"/>
            </w:tcBorders>
            <w:noWrap w:val="0"/>
          </w:tcPr>
          <w:p w14:paraId="241B5F91">
            <w:pPr>
              <w:pageBreakBefore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p>
        </w:tc>
        <w:tc>
          <w:tcPr>
            <w:tcW w:w="0" w:type="auto"/>
            <w:tcBorders>
              <w:top w:val="single" w:color="auto" w:sz="4" w:space="0"/>
              <w:left w:val="single" w:color="auto" w:sz="4" w:space="0"/>
              <w:right w:val="single" w:color="auto" w:sz="4" w:space="0"/>
            </w:tcBorders>
            <w:noWrap w:val="0"/>
            <w:vAlign w:val="center"/>
          </w:tcPr>
          <w:p w14:paraId="4EFC1A14">
            <w:pPr>
              <w:keepNext w:val="0"/>
              <w:keepLines w:val="0"/>
              <w:pageBreakBefore w:val="0"/>
              <w:pBdr>
                <w:top w:val="none" w:color="000000" w:sz="0" w:space="0"/>
                <w:left w:val="none" w:color="000000" w:sz="0" w:space="0"/>
                <w:bottom w:val="none" w:color="000000" w:sz="0" w:space="0"/>
                <w:right w:val="none" w:color="000000" w:sz="0" w:space="0"/>
              </w:pBdr>
              <w:spacing w:before="240" w:after="240" w:line="360" w:lineRule="auto"/>
              <w:ind w:left="0" w:right="0" w:firstLine="0"/>
              <w:jc w:val="center"/>
              <w:rPr>
                <w:rFonts w:hint="eastAsia" w:ascii="仿宋" w:hAnsi="仿宋" w:eastAsia="仿宋" w:cs="仿宋"/>
                <w:sz w:val="22"/>
                <w:szCs w:val="22"/>
                <w:highlight w:val="none"/>
              </w:rPr>
            </w:pPr>
            <w:r>
              <w:rPr>
                <w:rFonts w:hint="eastAsia" w:ascii="仿宋" w:hAnsi="仿宋" w:eastAsia="仿宋" w:cs="仿宋"/>
                <w:color w:val="000000"/>
                <w:sz w:val="22"/>
                <w:szCs w:val="22"/>
                <w:highlight w:val="none"/>
              </w:rPr>
              <w:t>后期维保方案及措施</w:t>
            </w:r>
          </w:p>
          <w:p w14:paraId="48E29DF0">
            <w:pPr>
              <w:pStyle w:val="49"/>
              <w:keepNext w:val="0"/>
              <w:keepLines w:val="0"/>
              <w:pageBreakBefore w:val="0"/>
              <w:spacing w:line="360" w:lineRule="auto"/>
              <w:jc w:val="center"/>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10</w:t>
            </w:r>
            <w:r>
              <w:rPr>
                <w:rFonts w:hint="eastAsia" w:ascii="仿宋" w:hAnsi="仿宋" w:eastAsia="仿宋" w:cs="仿宋"/>
                <w:color w:val="auto"/>
                <w:sz w:val="22"/>
                <w:szCs w:val="22"/>
                <w:highlight w:val="none"/>
              </w:rPr>
              <w:t>分）</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D53397F">
            <w:pPr>
              <w:pStyle w:val="49"/>
              <w:keepNext w:val="0"/>
              <w:keepLines w:val="0"/>
              <w:pageBreakBefore w:val="0"/>
              <w:spacing w:line="360" w:lineRule="auto"/>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根据供应商提供的</w:t>
            </w:r>
            <w:r>
              <w:rPr>
                <w:rFonts w:hint="eastAsia" w:ascii="仿宋" w:hAnsi="仿宋" w:eastAsia="仿宋" w:cs="仿宋"/>
                <w:color w:val="000000"/>
                <w:sz w:val="22"/>
                <w:szCs w:val="22"/>
                <w:highlight w:val="none"/>
              </w:rPr>
              <w:t>后期维保</w:t>
            </w:r>
            <w:r>
              <w:rPr>
                <w:rFonts w:hint="eastAsia" w:ascii="仿宋" w:hAnsi="仿宋" w:eastAsia="仿宋" w:cs="仿宋"/>
                <w:color w:val="auto"/>
                <w:sz w:val="22"/>
                <w:szCs w:val="22"/>
                <w:highlight w:val="none"/>
              </w:rPr>
              <w:t>方案及措施</w:t>
            </w:r>
            <w:r>
              <w:rPr>
                <w:rFonts w:hint="eastAsia" w:ascii="仿宋" w:hAnsi="仿宋" w:eastAsia="仿宋" w:cs="仿宋"/>
                <w:color w:val="auto"/>
                <w:sz w:val="22"/>
                <w:szCs w:val="22"/>
                <w:highlight w:val="none"/>
                <w:lang w:val="en-US" w:eastAsia="zh-CN"/>
              </w:rPr>
              <w:t>中</w:t>
            </w:r>
            <w:r>
              <w:rPr>
                <w:rFonts w:hint="eastAsia" w:ascii="仿宋" w:hAnsi="仿宋" w:eastAsia="仿宋" w:cs="仿宋"/>
                <w:color w:val="auto"/>
                <w:sz w:val="22"/>
                <w:szCs w:val="22"/>
                <w:highlight w:val="none"/>
                <w:lang w:val="en-US" w:eastAsia="zh-CN" w:bidi="ar-SA"/>
              </w:rPr>
              <w:t>维护维修服务内容及范围、维修施工人员配备、维修机械设备配备、备品备件配备等内容</w:t>
            </w:r>
            <w:r>
              <w:rPr>
                <w:rFonts w:hint="eastAsia" w:ascii="仿宋" w:hAnsi="仿宋" w:eastAsia="仿宋" w:cs="仿宋"/>
                <w:color w:val="auto"/>
                <w:sz w:val="22"/>
                <w:szCs w:val="22"/>
                <w:highlight w:val="none"/>
              </w:rPr>
              <w:t>等方面进行总体评价。</w:t>
            </w:r>
          </w:p>
          <w:p w14:paraId="0001FC3E">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内容详细具体、可行性强、针对性强的得10分；</w:t>
            </w:r>
          </w:p>
          <w:p w14:paraId="79AAE1DA">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内容较完整、可行性较强、针对性较强的得8分；</w:t>
            </w:r>
          </w:p>
          <w:p w14:paraId="33FC1215">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内容基本完整、基本可行、针对性一般的得6分；</w:t>
            </w:r>
          </w:p>
          <w:p w14:paraId="6AC7B586">
            <w:pPr>
              <w:pStyle w:val="49"/>
              <w:keepNext w:val="0"/>
              <w:keepLines w:val="0"/>
              <w:pageBreakBefore w:val="0"/>
              <w:widowControl w:val="0"/>
              <w:spacing w:line="360" w:lineRule="auto"/>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内容不完整、可行性较差、针对性较差的得3分；</w:t>
            </w:r>
          </w:p>
          <w:p w14:paraId="2ECD548A">
            <w:pPr>
              <w:pStyle w:val="49"/>
              <w:keepNext w:val="0"/>
              <w:keepLines w:val="0"/>
              <w:pageBreakBefore w:val="0"/>
              <w:spacing w:line="360" w:lineRule="auto"/>
              <w:jc w:val="left"/>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未提供不得分。本项最高得10分，最低得0分。</w:t>
            </w:r>
          </w:p>
        </w:tc>
      </w:tr>
    </w:tbl>
    <w:p w14:paraId="339B7855">
      <w:pPr>
        <w:pStyle w:val="66"/>
        <w:pageBreakBefore w:val="0"/>
        <w:spacing w:line="360" w:lineRule="auto"/>
        <w:rPr>
          <w:rFonts w:hint="eastAsia"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注：本项目采用综合评分法。供应商技术部分得分取所有评委的平均值，保留小数点后二位</w:t>
      </w:r>
      <w:r>
        <w:rPr>
          <w:rFonts w:hint="eastAsia" w:ascii="仿宋" w:hAnsi="仿宋" w:eastAsia="仿宋" w:cs="仿宋"/>
          <w:b/>
          <w:bCs/>
          <w:color w:val="000000" w:themeColor="text1"/>
          <w:sz w:val="22"/>
          <w:szCs w:val="22"/>
          <w:highlight w:val="none"/>
          <w:lang w:eastAsia="zh-CN"/>
          <w14:textFill>
            <w14:solidFill>
              <w14:schemeClr w14:val="tx1"/>
            </w14:solidFill>
          </w14:textFill>
        </w:rPr>
        <w:t>。</w:t>
      </w:r>
    </w:p>
    <w:p w14:paraId="7E29113D">
      <w:pPr>
        <w:pStyle w:val="49"/>
        <w:pageBreakBefore w:val="0"/>
        <w:widowControl/>
        <w:numPr>
          <w:ilvl w:val="0"/>
          <w:numId w:val="0"/>
        </w:numPr>
        <w:spacing w:line="360" w:lineRule="auto"/>
        <w:ind w:left="0" w:firstLine="0"/>
        <w:jc w:val="center"/>
        <w:outlineLvl w:val="1"/>
        <w:rPr>
          <w:rStyle w:val="235"/>
          <w:rFonts w:hint="eastAsia" w:ascii="仿宋" w:hAnsi="仿宋" w:eastAsia="仿宋" w:cs="仿宋"/>
          <w:color w:val="000000" w:themeColor="text1"/>
          <w:sz w:val="24"/>
          <w:szCs w:val="24"/>
          <w:highlight w:val="none"/>
          <w:lang w:val="en-US"/>
          <w14:textFill>
            <w14:solidFill>
              <w14:schemeClr w14:val="tx1"/>
            </w14:solidFill>
          </w14:textFill>
        </w:rPr>
      </w:pPr>
    </w:p>
    <w:p w14:paraId="580BB295">
      <w:pPr>
        <w:pStyle w:val="49"/>
        <w:pageBreakBefore w:val="0"/>
        <w:widowControl/>
        <w:numPr>
          <w:ilvl w:val="0"/>
          <w:numId w:val="0"/>
        </w:numPr>
        <w:spacing w:line="360" w:lineRule="auto"/>
        <w:ind w:left="0" w:firstLine="0"/>
        <w:jc w:val="center"/>
        <w:outlineLvl w:val="1"/>
        <w:rPr>
          <w:rStyle w:val="235"/>
          <w:rFonts w:hint="eastAsia" w:ascii="仿宋" w:hAnsi="仿宋" w:eastAsia="仿宋" w:cs="仿宋"/>
          <w:color w:val="000000" w:themeColor="text1"/>
          <w:sz w:val="24"/>
          <w:szCs w:val="24"/>
          <w:highlight w:val="none"/>
          <w:lang w:val="en-US"/>
          <w14:textFill>
            <w14:solidFill>
              <w14:schemeClr w14:val="tx1"/>
            </w14:solidFill>
          </w14:textFill>
        </w:rPr>
        <w:sectPr>
          <w:footerReference r:id="rId3" w:type="default"/>
          <w:pgSz w:w="11906" w:h="16838"/>
          <w:pgMar w:top="1418" w:right="1474" w:bottom="1701" w:left="1588" w:header="851" w:footer="1418" w:gutter="0"/>
          <w:pgNumType w:fmt="decimal" w:start="1"/>
          <w:cols w:space="720" w:num="1"/>
          <w:docGrid w:linePitch="360" w:charSpace="0"/>
        </w:sectPr>
      </w:pPr>
    </w:p>
    <w:p w14:paraId="69B52E40">
      <w:pPr>
        <w:pStyle w:val="49"/>
        <w:pageBreakBefore w:val="0"/>
        <w:widowControl/>
        <w:numPr>
          <w:ilvl w:val="0"/>
          <w:numId w:val="0"/>
        </w:numPr>
        <w:spacing w:line="360" w:lineRule="auto"/>
        <w:ind w:left="0" w:firstLine="0"/>
        <w:jc w:val="center"/>
        <w:outlineLvl w:val="1"/>
        <w:rPr>
          <w:rStyle w:val="235"/>
          <w:rFonts w:hint="eastAsia" w:ascii="仿宋" w:hAnsi="仿宋" w:eastAsia="仿宋" w:cs="仿宋"/>
          <w:color w:val="000000" w:themeColor="text1"/>
          <w:sz w:val="24"/>
          <w:szCs w:val="24"/>
          <w:highlight w:val="none"/>
          <w14:textFill>
            <w14:solidFill>
              <w14:schemeClr w14:val="tx1"/>
            </w14:solidFill>
          </w14:textFill>
        </w:rPr>
      </w:pPr>
      <w:r>
        <w:rPr>
          <w:rStyle w:val="235"/>
          <w:rFonts w:hint="eastAsia" w:ascii="仿宋" w:hAnsi="仿宋" w:eastAsia="仿宋" w:cs="仿宋"/>
          <w:color w:val="000000" w:themeColor="text1"/>
          <w:sz w:val="24"/>
          <w:szCs w:val="24"/>
          <w:highlight w:val="none"/>
          <w:lang w:val="en-US"/>
          <w14:textFill>
            <w14:solidFill>
              <w14:schemeClr w14:val="tx1"/>
            </w14:solidFill>
          </w14:textFill>
        </w:rPr>
        <w:t>2、</w:t>
      </w:r>
      <w:r>
        <w:rPr>
          <w:rStyle w:val="235"/>
          <w:rFonts w:hint="eastAsia" w:ascii="仿宋" w:hAnsi="仿宋" w:eastAsia="仿宋" w:cs="仿宋"/>
          <w:color w:val="000000" w:themeColor="text1"/>
          <w:sz w:val="24"/>
          <w:szCs w:val="24"/>
          <w:highlight w:val="none"/>
          <w14:textFill>
            <w14:solidFill>
              <w14:schemeClr w14:val="tx1"/>
            </w14:solidFill>
          </w14:textFill>
        </w:rPr>
        <w:t>采购需求</w:t>
      </w:r>
    </w:p>
    <w:p w14:paraId="58230F52">
      <w:pPr>
        <w:pStyle w:val="62"/>
        <w:pageBreakBefore w:val="0"/>
        <w:spacing w:line="360" w:lineRule="auto"/>
        <w:outlineLvl w:val="2"/>
        <w:rPr>
          <w:rFonts w:hint="eastAsia" w:ascii="仿宋" w:hAnsi="仿宋" w:eastAsia="仿宋" w:cs="仿宋"/>
          <w:b/>
          <w:bCs/>
          <w:sz w:val="24"/>
          <w:szCs w:val="24"/>
          <w:highlight w:val="none"/>
          <w:lang w:val="en-US" w:eastAsia="zh-CN"/>
        </w:rPr>
      </w:pPr>
      <w:r>
        <w:rPr>
          <w:rFonts w:hint="eastAsia" w:ascii="仿宋" w:hAnsi="仿宋" w:eastAsia="仿宋" w:cs="仿宋"/>
          <w:b/>
          <w:color w:val="000000" w:themeColor="text1"/>
          <w:sz w:val="24"/>
          <w:highlight w:val="none"/>
          <w14:textFill>
            <w14:solidFill>
              <w14:schemeClr w14:val="tx1"/>
            </w14:solidFill>
          </w14:textFill>
        </w:rPr>
        <w:t>一、</w:t>
      </w:r>
      <w:r>
        <w:rPr>
          <w:rFonts w:hint="eastAsia" w:ascii="仿宋" w:hAnsi="仿宋" w:eastAsia="仿宋" w:cs="仿宋"/>
          <w:b/>
          <w:color w:val="000000" w:themeColor="text1"/>
          <w:sz w:val="24"/>
          <w:highlight w:val="none"/>
          <w:lang w:val="en-US" w:eastAsia="zh-CN"/>
          <w14:textFill>
            <w14:solidFill>
              <w14:schemeClr w14:val="tx1"/>
            </w14:solidFill>
          </w14:textFill>
        </w:rPr>
        <w:t>本项目总预算金额为388万元；</w:t>
      </w:r>
      <w:r>
        <w:rPr>
          <w:rFonts w:hint="eastAsia" w:ascii="仿宋" w:hAnsi="仿宋" w:eastAsia="仿宋" w:cs="仿宋"/>
          <w:b/>
          <w:bCs/>
          <w:sz w:val="24"/>
          <w:highlight w:val="none"/>
        </w:rPr>
        <w:t>不接受超过</w:t>
      </w:r>
      <w:r>
        <w:rPr>
          <w:rFonts w:hint="eastAsia" w:ascii="仿宋" w:hAnsi="仿宋" w:eastAsia="仿宋" w:cs="仿宋"/>
          <w:b/>
          <w:bCs/>
          <w:sz w:val="24"/>
          <w:highlight w:val="none"/>
          <w:lang w:val="en-US" w:eastAsia="zh-CN"/>
        </w:rPr>
        <w:t>各采购包</w:t>
      </w:r>
      <w:r>
        <w:rPr>
          <w:rFonts w:hint="eastAsia" w:ascii="仿宋" w:hAnsi="仿宋" w:eastAsia="仿宋" w:cs="仿宋"/>
          <w:b/>
          <w:bCs/>
          <w:sz w:val="24"/>
          <w:highlight w:val="none"/>
        </w:rPr>
        <w:t>预算金额的磋商报价。</w:t>
      </w:r>
      <w:r>
        <w:rPr>
          <w:rFonts w:hint="eastAsia" w:ascii="仿宋" w:hAnsi="仿宋" w:eastAsia="仿宋" w:cs="仿宋"/>
          <w:sz w:val="24"/>
          <w:highlight w:val="none"/>
        </w:rPr>
        <w:t>报价包含项目完成的所有费用，供应商报价时需考虑完成本项目内容所涉及的包含并不限于人工费、材料费、机械费、工具设备费、税费、验收、利润等供应商认为可能发生的一切</w:t>
      </w:r>
      <w:r>
        <w:rPr>
          <w:rFonts w:hint="eastAsia" w:ascii="仿宋" w:hAnsi="仿宋" w:eastAsia="仿宋" w:cs="仿宋"/>
          <w:sz w:val="24"/>
          <w:highlight w:val="none"/>
          <w:lang w:eastAsia="zh-CN"/>
        </w:rPr>
        <w:t>相关</w:t>
      </w:r>
      <w:r>
        <w:rPr>
          <w:rFonts w:hint="eastAsia" w:ascii="仿宋" w:hAnsi="仿宋" w:eastAsia="仿宋" w:cs="仿宋"/>
          <w:sz w:val="24"/>
          <w:highlight w:val="none"/>
        </w:rPr>
        <w:t>费用。</w:t>
      </w:r>
      <w:r>
        <w:rPr>
          <w:rFonts w:hint="eastAsia" w:ascii="仿宋" w:hAnsi="仿宋" w:eastAsia="仿宋" w:cs="仿宋"/>
          <w:b/>
          <w:bCs/>
          <w:sz w:val="24"/>
          <w:szCs w:val="24"/>
          <w:highlight w:val="none"/>
          <w:lang w:val="en-US" w:eastAsia="zh-CN"/>
        </w:rPr>
        <w:t>采购人不支付报价以外的任何费用。</w:t>
      </w:r>
    </w:p>
    <w:p w14:paraId="23875CED">
      <w:pPr>
        <w:pStyle w:val="62"/>
        <w:pageBreakBefore w:val="0"/>
        <w:spacing w:line="360" w:lineRule="auto"/>
        <w:outlineLvl w:val="2"/>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二、项目概况：</w:t>
      </w:r>
    </w:p>
    <w:p w14:paraId="1457CAA4">
      <w:pPr>
        <w:pStyle w:val="62"/>
        <w:keepNext w:val="0"/>
        <w:keepLines w:val="0"/>
        <w:pageBreakBefore w:val="0"/>
        <w:widowControl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1、项目名称：</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2026年城市污水处理提质增效工程。</w:t>
      </w:r>
    </w:p>
    <w:p w14:paraId="4F1E35D0">
      <w:pPr>
        <w:pStyle w:val="295"/>
        <w:keepNext w:val="0"/>
        <w:keepLines w:val="0"/>
        <w:pageBreakBefore w:val="0"/>
        <w:widowControl w:val="0"/>
        <w:spacing w:line="360" w:lineRule="auto"/>
        <w:ind w:firstLine="48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2、</w:t>
      </w:r>
      <w:r>
        <w:rPr>
          <w:rFonts w:hint="eastAsia" w:ascii="仿宋" w:hAnsi="仿宋" w:eastAsia="仿宋" w:cs="仿宋"/>
          <w:color w:val="000000" w:themeColor="text1"/>
          <w:highlight w:val="none"/>
          <w14:textFill>
            <w14:solidFill>
              <w14:schemeClr w14:val="tx1"/>
            </w14:solidFill>
          </w14:textFill>
        </w:rPr>
        <w:t>本项目主要内容：</w:t>
      </w:r>
      <w:r>
        <w:rPr>
          <w:rFonts w:hint="eastAsia" w:ascii="仿宋" w:hAnsi="仿宋" w:eastAsia="仿宋" w:cs="仿宋"/>
          <w:color w:val="000000" w:themeColor="text1"/>
          <w:sz w:val="24"/>
          <w:highlight w:val="none"/>
          <w:lang w:eastAsia="zh-CN"/>
          <w14:textFill>
            <w14:solidFill>
              <w14:schemeClr w14:val="tx1"/>
            </w14:solidFill>
          </w14:textFill>
        </w:rPr>
        <w:t>实施排水管网清淤检测60公里，对存在结构缺陷处进行修复；实施达标区“回头看”，对问题严重处污水管网进行维修；泵站设施提升改造：大桥路提升泵站、江苏路立交泵站、郯新路立交泵站等安装备用电源；对臧圩河污水主干管沿线闸门井设施进行电动改造及设施升级；结合污水处理收集率提升及汛期排水，对城区收水井、管网不畅通处进行集中整治；排水管网GIS平台、防汛指挥平台更新升级</w:t>
      </w:r>
      <w:r>
        <w:rPr>
          <w:rFonts w:hint="eastAsia" w:ascii="仿宋" w:hAnsi="仿宋" w:eastAsia="仿宋" w:cs="仿宋"/>
          <w:color w:val="000000" w:themeColor="text1"/>
          <w:sz w:val="24"/>
          <w:highlight w:val="none"/>
          <w:lang w:val="en-US" w:eastAsia="zh-CN"/>
          <w14:textFill>
            <w14:solidFill>
              <w14:schemeClr w14:val="tx1"/>
            </w14:solidFill>
          </w14:textFill>
        </w:rPr>
        <w:t>，具体详见工程量清单所含全部内容</w:t>
      </w:r>
      <w:r>
        <w:rPr>
          <w:rFonts w:hint="eastAsia" w:ascii="仿宋" w:hAnsi="仿宋" w:eastAsia="仿宋" w:cs="仿宋"/>
          <w:color w:val="000000" w:themeColor="text1"/>
          <w:sz w:val="24"/>
          <w:highlight w:val="none"/>
          <w:lang w:eastAsia="zh-CN"/>
          <w14:textFill>
            <w14:solidFill>
              <w14:schemeClr w14:val="tx1"/>
            </w14:solidFill>
          </w14:textFill>
        </w:rPr>
        <w:t>。</w:t>
      </w:r>
    </w:p>
    <w:p w14:paraId="255E6108">
      <w:pPr>
        <w:pStyle w:val="295"/>
        <w:keepNext w:val="0"/>
        <w:keepLines w:val="0"/>
        <w:pageBreakBefore w:val="0"/>
        <w:widowControl w:val="0"/>
        <w:spacing w:line="360" w:lineRule="auto"/>
        <w:ind w:firstLine="480"/>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3、工程地点：徐州市新沂市  </w:t>
      </w:r>
    </w:p>
    <w:p w14:paraId="5BD7222E">
      <w:pPr>
        <w:pStyle w:val="295"/>
        <w:keepNext w:val="0"/>
        <w:keepLines w:val="0"/>
        <w:pageBreakBefore w:val="0"/>
        <w:widowControl w:val="0"/>
        <w:spacing w:line="360" w:lineRule="auto"/>
        <w:ind w:firstLine="48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4、要求工期：30日历天。 </w:t>
      </w:r>
      <w:r>
        <w:rPr>
          <w:rFonts w:hint="eastAsia" w:ascii="仿宋" w:hAnsi="仿宋" w:eastAsia="仿宋" w:cs="仿宋"/>
          <w:color w:val="000000" w:themeColor="text1"/>
          <w:sz w:val="24"/>
          <w:highlight w:val="none"/>
          <w:lang w:eastAsia="zh-CN"/>
          <w14:textFill>
            <w14:solidFill>
              <w14:schemeClr w14:val="tx1"/>
            </w14:solidFill>
          </w14:textFill>
        </w:rPr>
        <w:t xml:space="preserve">   </w:t>
      </w:r>
    </w:p>
    <w:p w14:paraId="046EE069">
      <w:pPr>
        <w:pStyle w:val="62"/>
        <w:keepNext w:val="0"/>
        <w:keepLines w:val="0"/>
        <w:pageBreakBefore w:val="0"/>
        <w:widowControl w:val="0"/>
        <w:spacing w:line="360" w:lineRule="auto"/>
        <w:ind w:firstLine="48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lang w:eastAsia="zh-CN"/>
          <w14:textFill>
            <w14:solidFill>
              <w14:schemeClr w14:val="tx1"/>
            </w14:solidFill>
          </w14:textFill>
        </w:rPr>
        <w:t>、质量</w:t>
      </w:r>
      <w:r>
        <w:rPr>
          <w:rFonts w:hint="eastAsia" w:ascii="仿宋" w:hAnsi="仿宋" w:eastAsia="仿宋" w:cs="仿宋"/>
          <w:color w:val="000000" w:themeColor="text1"/>
          <w:sz w:val="24"/>
          <w:highlight w:val="none"/>
          <w:lang w:val="en-US" w:eastAsia="zh-CN"/>
          <w14:textFill>
            <w14:solidFill>
              <w14:schemeClr w14:val="tx1"/>
            </w14:solidFill>
          </w14:textFill>
        </w:rPr>
        <w:t>标准</w:t>
      </w:r>
      <w:r>
        <w:rPr>
          <w:rFonts w:hint="eastAsia" w:ascii="仿宋" w:hAnsi="仿宋" w:eastAsia="仿宋" w:cs="仿宋"/>
          <w:color w:val="000000" w:themeColor="text1"/>
          <w:sz w:val="24"/>
          <w:highlight w:val="none"/>
          <w:lang w:eastAsia="zh-CN"/>
          <w14:textFill>
            <w14:solidFill>
              <w14:schemeClr w14:val="tx1"/>
            </w14:solidFill>
          </w14:textFill>
        </w:rPr>
        <w:t>：“合格”</w:t>
      </w:r>
      <w:r>
        <w:rPr>
          <w:rFonts w:hint="eastAsia" w:ascii="仿宋" w:hAnsi="仿宋" w:eastAsia="仿宋" w:cs="仿宋"/>
          <w:color w:val="000000" w:themeColor="text1"/>
          <w:sz w:val="24"/>
          <w:highlight w:val="none"/>
          <w:lang w:val="en-US" w:eastAsia="zh-CN"/>
          <w14:textFill>
            <w14:solidFill>
              <w14:schemeClr w14:val="tx1"/>
            </w14:solidFill>
          </w14:textFill>
        </w:rPr>
        <w:t>标准</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b w:val="0"/>
          <w:bCs w:val="0"/>
          <w:color w:val="auto"/>
          <w:sz w:val="24"/>
          <w:szCs w:val="24"/>
          <w:highlight w:val="none"/>
        </w:rPr>
        <w:t>符合现行国家技术、施工及验收规范规程</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000000" w:themeColor="text1"/>
          <w:sz w:val="24"/>
          <w:szCs w:val="16"/>
          <w:highlight w:val="none"/>
          <w:lang w:val="en-US" w:eastAsia="zh-CN"/>
          <w14:textFill>
            <w14:solidFill>
              <w14:schemeClr w14:val="tx1"/>
            </w14:solidFill>
          </w14:textFill>
        </w:rPr>
        <w:t>确保一次性通过相关部门的竣工验收，未达到质量要求的，承包人负责无条件返工，直至达到要求，所发生的费用由承包人承担，承包人还应赔偿因此给发包人造成的损失。</w:t>
      </w:r>
    </w:p>
    <w:p w14:paraId="2575148B">
      <w:pPr>
        <w:pStyle w:val="62"/>
        <w:keepNext w:val="0"/>
        <w:keepLines w:val="0"/>
        <w:pageBreakBefore w:val="0"/>
        <w:widowControl w:val="0"/>
        <w:spacing w:line="360" w:lineRule="auto"/>
        <w:ind w:firstLine="48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b w:val="0"/>
          <w:bCs w:val="0"/>
          <w:color w:val="auto"/>
          <w:sz w:val="24"/>
          <w:szCs w:val="24"/>
          <w:highlight w:val="none"/>
        </w:rPr>
        <w:t>施工工艺的特殊要求</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按国家有关规定执行</w:t>
      </w:r>
      <w:r>
        <w:rPr>
          <w:rFonts w:hint="eastAsia" w:ascii="仿宋" w:hAnsi="仿宋" w:eastAsia="仿宋" w:cs="仿宋"/>
          <w:b w:val="0"/>
          <w:bCs w:val="0"/>
          <w:color w:val="auto"/>
          <w:sz w:val="24"/>
          <w:szCs w:val="24"/>
          <w:highlight w:val="none"/>
          <w:lang w:eastAsia="zh-CN"/>
        </w:rPr>
        <w:t>。</w:t>
      </w:r>
    </w:p>
    <w:p w14:paraId="7F25FF23">
      <w:pPr>
        <w:pStyle w:val="62"/>
        <w:keepNext w:val="0"/>
        <w:keepLines w:val="0"/>
        <w:pageBreakBefore w:val="0"/>
        <w:widowControl w:val="0"/>
        <w:spacing w:line="360" w:lineRule="auto"/>
        <w:ind w:firstLine="48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lang w:eastAsia="zh-CN"/>
          <w14:textFill>
            <w14:solidFill>
              <w14:schemeClr w14:val="tx1"/>
            </w14:solidFill>
          </w14:textFill>
        </w:rPr>
        <w:t>承包方式：包工包料，</w:t>
      </w:r>
      <w:r>
        <w:rPr>
          <w:rFonts w:hint="eastAsia" w:ascii="仿宋" w:hAnsi="仿宋" w:eastAsia="仿宋" w:cs="仿宋"/>
          <w:color w:val="000000" w:themeColor="text1"/>
          <w:sz w:val="24"/>
          <w:highlight w:val="none"/>
          <w:lang w:val="en-US" w:eastAsia="zh-CN"/>
          <w14:textFill>
            <w14:solidFill>
              <w14:schemeClr w14:val="tx1"/>
            </w14:solidFill>
          </w14:textFill>
        </w:rPr>
        <w:t>不得分包与转包</w:t>
      </w:r>
      <w:r>
        <w:rPr>
          <w:rFonts w:hint="eastAsia" w:ascii="仿宋" w:hAnsi="仿宋" w:eastAsia="仿宋" w:cs="仿宋"/>
          <w:color w:val="000000" w:themeColor="text1"/>
          <w:sz w:val="24"/>
          <w:highlight w:val="none"/>
          <w:lang w:eastAsia="zh-CN"/>
          <w14:textFill>
            <w14:solidFill>
              <w14:schemeClr w14:val="tx1"/>
            </w14:solidFill>
          </w14:textFill>
        </w:rPr>
        <w:t>。</w:t>
      </w:r>
    </w:p>
    <w:p w14:paraId="4A5E0FEA">
      <w:pPr>
        <w:pStyle w:val="62"/>
        <w:pageBreakBefore w:val="0"/>
        <w:spacing w:line="360" w:lineRule="auto"/>
        <w:outlineLvl w:val="2"/>
        <w:rPr>
          <w:rFonts w:hint="eastAsia" w:ascii="仿宋" w:hAnsi="仿宋" w:eastAsia="仿宋" w:cs="仿宋"/>
          <w:b/>
          <w:color w:val="000000" w:themeColor="text1"/>
          <w:sz w:val="24"/>
          <w:highlight w:val="none"/>
          <w:lang w:val="en-US" w:eastAsia="zh-CN"/>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三、投标报价要求：</w:t>
      </w:r>
    </w:p>
    <w:p w14:paraId="30B909CC">
      <w:pPr>
        <w:pStyle w:val="62"/>
        <w:pageBreakBefore w:val="0"/>
        <w:spacing w:line="360" w:lineRule="auto"/>
        <w:outlineLvl w:val="1"/>
        <w:rPr>
          <w:rFonts w:hint="eastAsia" w:ascii="仿宋" w:hAnsi="仿宋" w:eastAsia="仿宋" w:cs="仿宋"/>
          <w:b/>
          <w:bCs/>
          <w:color w:val="000000" w:themeColor="text1"/>
          <w:sz w:val="24"/>
          <w:szCs w:val="16"/>
          <w:highlight w:val="none"/>
          <w:lang w:val="en-US" w:eastAsia="zh-CN"/>
          <w14:textFill>
            <w14:solidFill>
              <w14:schemeClr w14:val="tx1"/>
            </w14:solidFill>
          </w14:textFill>
        </w:rPr>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1、响应报价内容</w:t>
      </w:r>
    </w:p>
    <w:p w14:paraId="1A6F3953">
      <w:pPr>
        <w:pStyle w:val="62"/>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1.1响应报价应包括磋商文件中所确定的招标范围内工程量清单中所含的全部内容，以及为完成上述内容所需的全部费用，其根据为供应商提交的已标价的工程量清单及附表。</w:t>
      </w:r>
    </w:p>
    <w:p w14:paraId="4EA7494A">
      <w:pPr>
        <w:pStyle w:val="62"/>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1.2供应商应按采购人提供的工程量清单填报价格。填写的项目编码、项目名称、项目特征、计量单位、工程量必须与采购人提供的一致。</w:t>
      </w:r>
    </w:p>
    <w:p w14:paraId="77A710A9">
      <w:pPr>
        <w:pStyle w:val="62"/>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1.3实行工程量清单招标的工程建设项目，量的风险由发包人承担，价的风险在约定风险范围内的，由承包人承担，风险范围以外的按合同约定。</w:t>
      </w:r>
    </w:p>
    <w:p w14:paraId="508FF54B">
      <w:pPr>
        <w:pStyle w:val="62"/>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p>
    <w:p w14:paraId="70499D6C">
      <w:pPr>
        <w:pStyle w:val="62"/>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1.5响应的供应商必须按统一的工程量清单报价，成交后，在施工过程中，不论由于工程量清单有误或漏项，还是由于设计变更、现场变更、签证引起的工程量清单项目或清单项目工程数量的增减，均按实调整。</w:t>
      </w:r>
    </w:p>
    <w:p w14:paraId="399369D2">
      <w:pPr>
        <w:pStyle w:val="62"/>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1.6 施工组织设计所描述的技术措施所发生的费用，视为已体现在供应商报价的非实体性消耗所发生的费用中。</w:t>
      </w:r>
    </w:p>
    <w:p w14:paraId="1618B433">
      <w:pPr>
        <w:pStyle w:val="6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1.7 </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如勘察现场，</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在现场勘察活动中须服从采购人指挥，不得因任何原因使采购人及其人员蒙受损失。</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p>
    <w:p w14:paraId="13B1ED3B">
      <w:pPr>
        <w:pStyle w:val="62"/>
        <w:pageBreakBefore w:val="0"/>
        <w:spacing w:line="360" w:lineRule="auto"/>
        <w:ind w:firstLine="480"/>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p>
    <w:p w14:paraId="53FE8FD3">
      <w:pPr>
        <w:pStyle w:val="62"/>
        <w:pageBreakBefore w:val="0"/>
        <w:spacing w:line="360" w:lineRule="auto"/>
        <w:ind w:firstLine="480"/>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1.9由供应商负责办理相关建设、城管、市政、安全、环保等部门的手续，施工供应商在响应报价时应考虑这样因素，费用包含在报价中，采购人不接受供应商关于此类费用的任何诉讼或索赔。</w:t>
      </w:r>
    </w:p>
    <w:p w14:paraId="7D43EC0C">
      <w:pPr>
        <w:pageBreakBefore w:val="0"/>
        <w:pBdr>
          <w:top w:val="none" w:color="000000" w:sz="0" w:space="0"/>
          <w:left w:val="none" w:color="000000" w:sz="0" w:space="0"/>
          <w:bottom w:val="none" w:color="000000" w:sz="0" w:space="0"/>
          <w:right w:val="none" w:color="000000" w:sz="0" w:space="0"/>
        </w:pBdr>
        <w:spacing w:before="220" w:after="0" w:line="360" w:lineRule="auto"/>
        <w:ind w:right="0"/>
        <w:jc w:val="both"/>
        <w:outlineLvl w:val="1"/>
        <w:rPr>
          <w:rFonts w:hint="eastAsia" w:ascii="仿宋" w:hAnsi="仿宋" w:eastAsia="仿宋" w:cs="仿宋"/>
          <w:b/>
          <w:bCs/>
          <w:color w:val="000000" w:themeColor="text1"/>
          <w:sz w:val="24"/>
          <w:szCs w:val="16"/>
          <w:highlight w:val="none"/>
          <w:lang w:val="en-US" w:eastAsia="zh-CN"/>
          <w14:textFill>
            <w14:solidFill>
              <w14:schemeClr w14:val="tx1"/>
            </w14:solidFill>
          </w14:textFill>
        </w:rPr>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2、投标报价方式</w:t>
      </w:r>
    </w:p>
    <w:p w14:paraId="38316605">
      <w:pPr>
        <w:pageBreakBefore w:val="0"/>
        <w:pBdr>
          <w:top w:val="none" w:color="000000" w:sz="0" w:space="0"/>
          <w:left w:val="none" w:color="000000" w:sz="0" w:space="0"/>
          <w:bottom w:val="none" w:color="000000" w:sz="0" w:space="0"/>
          <w:right w:val="none" w:color="000000" w:sz="0" w:space="0"/>
        </w:pBdr>
        <w:spacing w:before="220" w:after="0" w:line="360" w:lineRule="auto"/>
        <w:ind w:right="0"/>
        <w:jc w:val="both"/>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2.1本工程采用固定单价合同（除另有规定外）。供应商应充分考虑施工期间各类建材的市场风险，并计入总报价，供应商在计算报价时应考虑一定的风险系数。</w:t>
      </w:r>
    </w:p>
    <w:p w14:paraId="626EB9DD">
      <w:pPr>
        <w:pageBreakBefore w:val="0"/>
        <w:pBdr>
          <w:top w:val="none" w:color="000000" w:sz="0" w:space="0"/>
          <w:left w:val="none" w:color="000000" w:sz="0" w:space="0"/>
          <w:bottom w:val="none" w:color="000000" w:sz="0" w:space="0"/>
          <w:right w:val="none" w:color="000000" w:sz="0" w:space="0"/>
        </w:pBdr>
        <w:spacing w:before="220" w:after="0" w:line="360" w:lineRule="auto"/>
        <w:ind w:right="0"/>
        <w:jc w:val="both"/>
        <w:outlineLvl w:val="2"/>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2.2材料风险约定：</w:t>
      </w:r>
    </w:p>
    <w:p w14:paraId="70FE3904">
      <w:pPr>
        <w:pageBreakBefore w:val="0"/>
        <w:pBdr>
          <w:top w:val="none" w:color="000000" w:sz="0" w:space="0"/>
          <w:left w:val="none" w:color="000000" w:sz="0" w:space="0"/>
          <w:bottom w:val="none" w:color="000000" w:sz="0" w:space="0"/>
          <w:right w:val="none" w:color="000000" w:sz="0" w:space="0"/>
        </w:pBdr>
        <w:spacing w:before="220" w:after="0" w:line="360" w:lineRule="auto"/>
        <w:ind w:right="0"/>
        <w:jc w:val="both"/>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2.2.1对于法律、法规、规章或有关政策出台导致工程税金、规费等发生变化的，应按照有关规定执行。</w:t>
      </w:r>
    </w:p>
    <w:p w14:paraId="06A9E4B8">
      <w:pPr>
        <w:pageBreakBefore w:val="0"/>
        <w:pBdr>
          <w:top w:val="none" w:color="000000" w:sz="0" w:space="0"/>
          <w:left w:val="none" w:color="000000" w:sz="0" w:space="0"/>
          <w:bottom w:val="none" w:color="000000" w:sz="0" w:space="0"/>
          <w:right w:val="none" w:color="000000" w:sz="0" w:space="0"/>
        </w:pBdr>
        <w:spacing w:before="220" w:after="0" w:line="360" w:lineRule="auto"/>
        <w:ind w:right="0"/>
        <w:jc w:val="both"/>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p>
    <w:p w14:paraId="16ACD332">
      <w:pPr>
        <w:pageBreakBefore w:val="0"/>
        <w:pBdr>
          <w:top w:val="none" w:color="000000" w:sz="0" w:space="0"/>
          <w:left w:val="none" w:color="000000" w:sz="0" w:space="0"/>
          <w:bottom w:val="none" w:color="000000" w:sz="0" w:space="0"/>
          <w:right w:val="none" w:color="000000" w:sz="0" w:space="0"/>
        </w:pBdr>
        <w:spacing w:before="220" w:after="0" w:line="360" w:lineRule="auto"/>
        <w:ind w:right="0"/>
        <w:jc w:val="both"/>
        <w:outlineLvl w:val="1"/>
        <w:rPr>
          <w:rFonts w:hint="eastAsia" w:ascii="仿宋" w:hAnsi="仿宋" w:eastAsia="仿宋" w:cs="仿宋"/>
          <w:b/>
          <w:bCs/>
          <w:color w:val="000000" w:themeColor="text1"/>
          <w:sz w:val="24"/>
          <w:szCs w:val="16"/>
          <w:highlight w:val="none"/>
          <w:lang w:val="en-US" w:eastAsia="zh-CN"/>
          <w14:textFill>
            <w14:solidFill>
              <w14:schemeClr w14:val="tx1"/>
            </w14:solidFill>
          </w14:textFill>
        </w:rPr>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3、报价的计价方法</w:t>
      </w:r>
    </w:p>
    <w:p w14:paraId="07827F06">
      <w:pPr>
        <w:pageBreakBefore w:val="0"/>
        <w:pBdr>
          <w:top w:val="none" w:color="000000" w:sz="0" w:space="0"/>
          <w:left w:val="none" w:color="000000" w:sz="0" w:space="0"/>
          <w:bottom w:val="none" w:color="000000" w:sz="0" w:space="0"/>
          <w:right w:val="none" w:color="000000" w:sz="0" w:space="0"/>
        </w:pBdr>
        <w:spacing w:before="220" w:after="0" w:line="360" w:lineRule="auto"/>
        <w:ind w:left="0" w:right="0" w:firstLine="600"/>
        <w:jc w:val="both"/>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p>
    <w:p w14:paraId="5C69D037">
      <w:pPr>
        <w:pageBreakBefore w:val="0"/>
        <w:pBdr>
          <w:top w:val="none" w:color="000000" w:sz="0" w:space="0"/>
          <w:left w:val="none" w:color="000000" w:sz="0" w:space="0"/>
          <w:bottom w:val="none" w:color="000000" w:sz="0" w:space="0"/>
          <w:right w:val="none" w:color="000000" w:sz="0" w:space="0"/>
        </w:pBdr>
        <w:spacing w:before="220" w:after="0" w:line="360" w:lineRule="auto"/>
        <w:ind w:right="0"/>
        <w:jc w:val="both"/>
        <w:outlineLvl w:val="1"/>
        <w:rPr>
          <w:rFonts w:hint="eastAsia" w:ascii="仿宋" w:hAnsi="仿宋" w:eastAsia="仿宋" w:cs="仿宋"/>
          <w:b/>
          <w:bCs/>
          <w:color w:val="000000" w:themeColor="text1"/>
          <w:sz w:val="24"/>
          <w:szCs w:val="16"/>
          <w:highlight w:val="none"/>
          <w:lang w:val="en-US" w:eastAsia="zh-CN"/>
          <w14:textFill>
            <w14:solidFill>
              <w14:schemeClr w14:val="tx1"/>
            </w14:solidFill>
          </w14:textFill>
        </w:rPr>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4</w:t>
      </w:r>
      <w:bookmarkStart w:id="665" w:name="_GoBack"/>
      <w:bookmarkEnd w:id="665"/>
      <w:r>
        <w:rPr>
          <w:rFonts w:hint="eastAsia" w:ascii="仿宋" w:hAnsi="仿宋" w:eastAsia="仿宋" w:cs="仿宋"/>
          <w:b/>
          <w:bCs/>
          <w:color w:val="000000" w:themeColor="text1"/>
          <w:sz w:val="24"/>
          <w:szCs w:val="16"/>
          <w:highlight w:val="none"/>
          <w:lang w:val="en-US" w:eastAsia="zh-CN"/>
          <w14:textFill>
            <w14:solidFill>
              <w14:schemeClr w14:val="tx1"/>
            </w14:solidFill>
          </w14:textFill>
        </w:rPr>
        <w:t>、低于成本报价</w:t>
      </w:r>
    </w:p>
    <w:p w14:paraId="1515B320">
      <w:pPr>
        <w:pageBreakBefore w:val="0"/>
        <w:pBdr>
          <w:top w:val="none" w:color="000000" w:sz="0" w:space="0"/>
          <w:left w:val="none" w:color="000000" w:sz="0" w:space="0"/>
          <w:bottom w:val="none" w:color="000000" w:sz="0" w:space="0"/>
          <w:right w:val="none" w:color="000000" w:sz="0" w:space="0"/>
        </w:pBdr>
        <w:spacing w:before="220" w:after="0" w:line="360" w:lineRule="auto"/>
        <w:ind w:left="0" w:right="0" w:firstLine="600"/>
        <w:jc w:val="both"/>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供应商不能证明其报价合理性的，磋商专家小组会应当将其作为不响应磋商文件作无效处理。</w:t>
      </w:r>
    </w:p>
    <w:p w14:paraId="15FD9A8B">
      <w:pPr>
        <w:pageBreakBefore w:val="0"/>
        <w:pBdr>
          <w:top w:val="none" w:color="000000" w:sz="0" w:space="0"/>
          <w:left w:val="none" w:color="000000" w:sz="0" w:space="0"/>
          <w:bottom w:val="none" w:color="000000" w:sz="0" w:space="0"/>
          <w:right w:val="none" w:color="000000" w:sz="0" w:space="0"/>
        </w:pBdr>
        <w:spacing w:before="220" w:after="0" w:line="360" w:lineRule="auto"/>
        <w:ind w:left="0" w:right="0" w:firstLine="600"/>
        <w:jc w:val="both"/>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p>
    <w:p w14:paraId="3B24BE9A">
      <w:pPr>
        <w:pageBreakBefore w:val="0"/>
        <w:pBdr>
          <w:top w:val="none" w:color="000000" w:sz="0" w:space="0"/>
          <w:left w:val="none" w:color="000000" w:sz="0" w:space="0"/>
          <w:bottom w:val="none" w:color="000000" w:sz="0" w:space="0"/>
          <w:right w:val="none" w:color="000000" w:sz="0" w:space="0"/>
        </w:pBdr>
        <w:spacing w:before="220" w:after="0" w:line="360" w:lineRule="auto"/>
        <w:ind w:right="0"/>
        <w:jc w:val="both"/>
        <w:outlineLvl w:val="2"/>
        <w:rPr>
          <w:rFonts w:hint="eastAsia" w:ascii="仿宋" w:hAnsi="仿宋" w:eastAsia="仿宋" w:cs="仿宋"/>
          <w:b/>
          <w:bCs/>
          <w:color w:val="000000" w:themeColor="text1"/>
          <w:sz w:val="24"/>
          <w:szCs w:val="16"/>
          <w:highlight w:val="none"/>
          <w:lang w:val="en-US" w:eastAsia="zh-CN"/>
          <w14:textFill>
            <w14:solidFill>
              <w14:schemeClr w14:val="tx1"/>
            </w14:solidFill>
          </w14:textFill>
        </w:rPr>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四、项目实施要求</w:t>
      </w:r>
    </w:p>
    <w:p w14:paraId="61A6346A">
      <w:pPr>
        <w:pageBreakBefore w:val="0"/>
        <w:pBdr>
          <w:top w:val="none" w:color="000000" w:sz="0" w:space="0"/>
          <w:left w:val="none" w:color="000000" w:sz="0" w:space="0"/>
          <w:bottom w:val="none" w:color="000000" w:sz="0" w:space="0"/>
          <w:right w:val="none" w:color="000000" w:sz="0" w:space="0"/>
        </w:pBdr>
        <w:spacing w:before="220" w:after="0" w:line="360" w:lineRule="auto"/>
        <w:ind w:left="0" w:right="0" w:firstLine="600"/>
        <w:jc w:val="both"/>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1、供应商报价时需考虑完成本项目内容所涉及的</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人工费、材料费、机械费、管理费、验收、税金</w:t>
      </w:r>
      <w:r>
        <w:rPr>
          <w:rFonts w:hint="eastAsia" w:ascii="仿宋" w:hAnsi="仿宋" w:eastAsia="仿宋" w:cs="仿宋"/>
          <w:color w:val="000000" w:themeColor="text1"/>
          <w:sz w:val="24"/>
          <w:szCs w:val="16"/>
          <w:highlight w:val="none"/>
          <w:lang w:val="en-US" w:eastAsia="zh-CN"/>
          <w14:textFill>
            <w14:solidFill>
              <w14:schemeClr w14:val="tx1"/>
            </w14:solidFill>
          </w14:textFill>
        </w:rPr>
        <w:t>等相关的一切费用。</w:t>
      </w:r>
    </w:p>
    <w:p w14:paraId="3FFAA951">
      <w:pPr>
        <w:pageBreakBefore w:val="0"/>
        <w:pBdr>
          <w:top w:val="none" w:color="000000" w:sz="0" w:space="0"/>
          <w:left w:val="none" w:color="000000" w:sz="0" w:space="0"/>
          <w:bottom w:val="none" w:color="000000" w:sz="0" w:space="0"/>
          <w:right w:val="none" w:color="000000" w:sz="0" w:space="0"/>
        </w:pBdr>
        <w:spacing w:before="220" w:after="0" w:line="360" w:lineRule="auto"/>
        <w:ind w:left="0" w:right="0" w:firstLine="600"/>
        <w:jc w:val="both"/>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2、供应商应根据本项目实际情况，合理配置人员，除项目经理外，安全员、质检员、施工员、预算员、材料员等人员应经验丰富，确保项目顺利实施。</w:t>
      </w:r>
    </w:p>
    <w:p w14:paraId="4D98A562">
      <w:pPr>
        <w:pageBreakBefore w:val="0"/>
        <w:pBdr>
          <w:top w:val="none" w:color="000000" w:sz="0" w:space="0"/>
          <w:left w:val="none" w:color="000000" w:sz="0" w:space="0"/>
          <w:bottom w:val="none" w:color="000000" w:sz="0" w:space="0"/>
          <w:right w:val="none" w:color="000000" w:sz="0" w:space="0"/>
        </w:pBdr>
        <w:spacing w:before="220" w:after="0" w:line="360" w:lineRule="auto"/>
        <w:ind w:left="0" w:right="0" w:firstLine="600"/>
        <w:jc w:val="both"/>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3、供应商对项目现场和周围环境进行实地踏勘，合理编制本项目施工方案。  </w:t>
      </w:r>
    </w:p>
    <w:p w14:paraId="414FBC98">
      <w:pPr>
        <w:pageBreakBefore w:val="0"/>
        <w:pBdr>
          <w:top w:val="none" w:color="000000" w:sz="0" w:space="0"/>
          <w:left w:val="none" w:color="000000" w:sz="0" w:space="0"/>
          <w:bottom w:val="none" w:color="000000" w:sz="0" w:space="0"/>
          <w:right w:val="none" w:color="000000" w:sz="0" w:space="0"/>
        </w:pBdr>
        <w:spacing w:before="220" w:after="0" w:line="360" w:lineRule="auto"/>
        <w:ind w:left="0" w:right="0" w:firstLine="600"/>
        <w:jc w:val="both"/>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4、承包人对工程建设期间扬尘治理工作负主体责任。应制定施工现场扬尘污染防治专项方案，按照承包工程范围做好扬尘污染防治措施的落实。</w:t>
      </w:r>
    </w:p>
    <w:p w14:paraId="7800C587">
      <w:pPr>
        <w:pageBreakBefore w:val="0"/>
        <w:pBdr>
          <w:top w:val="none" w:color="000000" w:sz="0" w:space="0"/>
          <w:left w:val="none" w:color="000000" w:sz="0" w:space="0"/>
          <w:bottom w:val="none" w:color="000000" w:sz="0" w:space="0"/>
          <w:right w:val="none" w:color="000000" w:sz="0" w:space="0"/>
        </w:pBdr>
        <w:spacing w:before="220" w:after="0" w:line="360" w:lineRule="auto"/>
        <w:ind w:left="0" w:right="0" w:firstLine="600"/>
        <w:jc w:val="both"/>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5、建设工程施工活动及其产品的质量,应保证工程的固有特性满足采购人的需要并符合现行国家法律、行政法规和技术标准、规范的要求。</w:t>
      </w:r>
    </w:p>
    <w:p w14:paraId="764C22C1">
      <w:pPr>
        <w:pageBreakBefore w:val="0"/>
        <w:pBdr>
          <w:top w:val="none" w:color="000000" w:sz="0" w:space="0"/>
          <w:left w:val="none" w:color="000000" w:sz="0" w:space="0"/>
          <w:bottom w:val="none" w:color="000000" w:sz="0" w:space="0"/>
          <w:right w:val="none" w:color="000000" w:sz="0" w:space="0"/>
        </w:pBdr>
        <w:spacing w:before="220" w:after="0" w:line="360" w:lineRule="auto"/>
        <w:ind w:left="0" w:right="0" w:firstLine="600"/>
        <w:jc w:val="both"/>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6、施工质量要达到的基本要求是:施工建成的工程实体按照国家《建筑工程施工质量验收统一标准》GB50300-2013和相关专业验收规范检查验收合格。施工质量验收合格应符合下列要求:</w:t>
      </w:r>
    </w:p>
    <w:p w14:paraId="186FF811">
      <w:pPr>
        <w:pageBreakBefore w:val="0"/>
        <w:pBdr>
          <w:top w:val="none" w:color="000000" w:sz="0" w:space="0"/>
          <w:left w:val="none" w:color="000000" w:sz="0" w:space="0"/>
          <w:bottom w:val="none" w:color="000000" w:sz="0" w:space="0"/>
          <w:right w:val="none" w:color="000000" w:sz="0" w:space="0"/>
        </w:pBdr>
        <w:spacing w:before="220" w:after="0" w:line="360" w:lineRule="auto"/>
        <w:ind w:left="0" w:right="0" w:firstLine="600"/>
        <w:jc w:val="both"/>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（1）符合《建筑工程施工质量验收统一标准》GB50300-2013 和相关专业验收规范的规定;</w:t>
      </w:r>
    </w:p>
    <w:p w14:paraId="68462B2A">
      <w:pPr>
        <w:pageBreakBefore w:val="0"/>
        <w:pBdr>
          <w:top w:val="none" w:color="000000" w:sz="0" w:space="0"/>
          <w:left w:val="none" w:color="000000" w:sz="0" w:space="0"/>
          <w:bottom w:val="none" w:color="000000" w:sz="0" w:space="0"/>
          <w:right w:val="none" w:color="000000" w:sz="0" w:space="0"/>
        </w:pBdr>
        <w:spacing w:before="220" w:after="0" w:line="360" w:lineRule="auto"/>
        <w:ind w:left="0" w:right="0" w:firstLine="600"/>
        <w:jc w:val="both"/>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2）符合施工承包合同的约定，且确保一次性通过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p>
    <w:p w14:paraId="5B140723">
      <w:pPr>
        <w:pStyle w:val="49"/>
        <w:pageBreakBefore w:val="0"/>
        <w:spacing w:line="360" w:lineRule="auto"/>
        <w:jc w:val="left"/>
        <w:rPr>
          <w:rStyle w:val="235"/>
          <w:rFonts w:hint="eastAsia" w:ascii="仿宋" w:hAnsi="仿宋" w:eastAsia="仿宋" w:cs="仿宋"/>
          <w:color w:val="000000" w:themeColor="text1"/>
          <w:sz w:val="24"/>
          <w:szCs w:val="24"/>
          <w:highlight w:val="none"/>
          <w14:textFill>
            <w14:solidFill>
              <w14:schemeClr w14:val="tx1"/>
            </w14:solidFill>
          </w14:textFill>
        </w:rPr>
      </w:pPr>
    </w:p>
    <w:p w14:paraId="1EBBAA6B">
      <w:pPr>
        <w:pStyle w:val="49"/>
        <w:pageBreakBefore w:val="0"/>
        <w:spacing w:line="360" w:lineRule="auto"/>
        <w:jc w:val="center"/>
        <w:outlineLvl w:val="1"/>
        <w:rPr>
          <w:rStyle w:val="235"/>
          <w:rFonts w:hint="eastAsia" w:ascii="仿宋" w:hAnsi="仿宋" w:eastAsia="仿宋" w:cs="仿宋"/>
          <w:color w:val="000000" w:themeColor="text1"/>
          <w:sz w:val="24"/>
          <w:szCs w:val="24"/>
          <w:highlight w:val="none"/>
          <w14:textFill>
            <w14:solidFill>
              <w14:schemeClr w14:val="tx1"/>
            </w14:solidFill>
          </w14:textFill>
        </w:rPr>
        <w:sectPr>
          <w:pgSz w:w="11906" w:h="16838"/>
          <w:pgMar w:top="1418" w:right="1474" w:bottom="1701" w:left="1588" w:header="851" w:footer="1418" w:gutter="0"/>
          <w:pgNumType w:fmt="decimal"/>
          <w:cols w:space="720" w:num="1"/>
          <w:docGrid w:linePitch="360" w:charSpace="0"/>
        </w:sectPr>
      </w:pPr>
    </w:p>
    <w:p w14:paraId="40A4620D">
      <w:pPr>
        <w:pStyle w:val="49"/>
        <w:pageBreakBefore w:val="0"/>
        <w:spacing w:line="360" w:lineRule="auto"/>
        <w:jc w:val="center"/>
        <w:outlineLvl w:val="1"/>
        <w:rPr>
          <w:rStyle w:val="235"/>
          <w:rFonts w:hint="eastAsia" w:ascii="仿宋" w:hAnsi="仿宋" w:eastAsia="仿宋" w:cs="仿宋"/>
          <w:color w:val="000000" w:themeColor="text1"/>
          <w:sz w:val="24"/>
          <w:szCs w:val="24"/>
          <w:highlight w:val="none"/>
          <w14:textFill>
            <w14:solidFill>
              <w14:schemeClr w14:val="tx1"/>
            </w14:solidFill>
          </w14:textFill>
        </w:rPr>
      </w:pPr>
      <w:r>
        <w:rPr>
          <w:rStyle w:val="235"/>
          <w:rFonts w:hint="eastAsia" w:ascii="仿宋" w:hAnsi="仿宋" w:eastAsia="仿宋" w:cs="仿宋"/>
          <w:color w:val="000000" w:themeColor="text1"/>
          <w:sz w:val="24"/>
          <w:szCs w:val="24"/>
          <w:highlight w:val="none"/>
          <w14:textFill>
            <w14:solidFill>
              <w14:schemeClr w14:val="tx1"/>
            </w14:solidFill>
          </w14:textFill>
        </w:rPr>
        <w:t>3、磋商报价表</w:t>
      </w:r>
    </w:p>
    <w:p w14:paraId="37ABAF89">
      <w:pPr>
        <w:pStyle w:val="49"/>
        <w:pageBreakBefore w:val="0"/>
        <w:spacing w:line="360" w:lineRule="auto"/>
        <w:jc w:val="center"/>
        <w:rPr>
          <w:rFonts w:hint="eastAsia" w:ascii="仿宋" w:hAnsi="仿宋" w:eastAsia="仿宋" w:cs="仿宋"/>
          <w:color w:val="000000" w:themeColor="text1"/>
          <w:sz w:val="24"/>
          <w:highlight w:val="none"/>
          <w14:textFill>
            <w14:solidFill>
              <w14:schemeClr w14:val="tx1"/>
            </w14:solidFill>
          </w14:textFill>
        </w:rPr>
      </w:pPr>
      <w:bookmarkStart w:id="108" w:name="_Toc2522"/>
      <w:bookmarkStart w:id="109" w:name="_Toc28445"/>
      <w:bookmarkStart w:id="110" w:name="_Toc17357"/>
      <w:r>
        <w:rPr>
          <w:rFonts w:hint="eastAsia" w:ascii="仿宋" w:hAnsi="仿宋" w:eastAsia="仿宋" w:cs="仿宋"/>
          <w:color w:val="000000" w:themeColor="text1"/>
          <w:sz w:val="24"/>
          <w:highlight w:val="none"/>
          <w14:textFill>
            <w14:solidFill>
              <w14:schemeClr w14:val="tx1"/>
            </w14:solidFill>
          </w14:textFill>
        </w:rPr>
        <w:t>（首次）</w:t>
      </w:r>
      <w:bookmarkEnd w:id="108"/>
      <w:bookmarkEnd w:id="109"/>
      <w:bookmarkEnd w:id="110"/>
    </w:p>
    <w:p w14:paraId="4515EDBD">
      <w:pPr>
        <w:pStyle w:val="49"/>
        <w:pageBreakBefore w:val="0"/>
        <w:spacing w:line="360" w:lineRule="auto"/>
        <w:ind w:firstLine="472"/>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项目名称：</w:t>
      </w:r>
    </w:p>
    <w:p w14:paraId="2FD832CE">
      <w:pPr>
        <w:pStyle w:val="49"/>
        <w:pageBreakBefore w:val="0"/>
        <w:spacing w:line="360" w:lineRule="auto"/>
        <w:ind w:firstLine="472"/>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项目编号：JSZC-320381-JSSC-C2026-0002</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货币单位：人民币元</w:t>
      </w:r>
    </w:p>
    <w:tbl>
      <w:tblPr>
        <w:tblStyle w:val="38"/>
        <w:tblW w:w="89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15"/>
        <w:gridCol w:w="2086"/>
        <w:gridCol w:w="2005"/>
        <w:gridCol w:w="1536"/>
        <w:gridCol w:w="1536"/>
      </w:tblGrid>
      <w:tr w14:paraId="01F11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90" w:hRule="atLeast"/>
          <w:jc w:val="center"/>
        </w:trPr>
        <w:tc>
          <w:tcPr>
            <w:tcW w:w="1815" w:type="dxa"/>
            <w:noWrap w:val="0"/>
            <w:vAlign w:val="center"/>
          </w:tcPr>
          <w:p w14:paraId="6840C490">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项目名称</w:t>
            </w:r>
          </w:p>
        </w:tc>
        <w:tc>
          <w:tcPr>
            <w:tcW w:w="2086" w:type="dxa"/>
            <w:noWrap w:val="0"/>
            <w:vAlign w:val="center"/>
          </w:tcPr>
          <w:p w14:paraId="099511B5">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项目内容</w:t>
            </w:r>
          </w:p>
        </w:tc>
        <w:tc>
          <w:tcPr>
            <w:tcW w:w="2005" w:type="dxa"/>
            <w:noWrap w:val="0"/>
            <w:vAlign w:val="center"/>
          </w:tcPr>
          <w:p w14:paraId="4B883A55">
            <w:pPr>
              <w:pStyle w:val="49"/>
              <w:pageBreakBefore w:val="0"/>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总价</w:t>
            </w:r>
            <w:r>
              <w:rPr>
                <w:rFonts w:hint="eastAsia" w:ascii="仿宋" w:hAnsi="仿宋" w:eastAsia="仿宋" w:cs="仿宋"/>
                <w:color w:val="000000" w:themeColor="text1"/>
                <w:sz w:val="24"/>
                <w:highlight w:val="none"/>
                <w14:textFill>
                  <w14:solidFill>
                    <w14:schemeClr w14:val="tx1"/>
                  </w14:solidFill>
                </w14:textFill>
              </w:rPr>
              <w:t>（小写）</w:t>
            </w:r>
          </w:p>
        </w:tc>
        <w:tc>
          <w:tcPr>
            <w:tcW w:w="1536" w:type="dxa"/>
            <w:noWrap w:val="0"/>
            <w:vAlign w:val="center"/>
          </w:tcPr>
          <w:p w14:paraId="7D758C81">
            <w:pPr>
              <w:pStyle w:val="49"/>
              <w:pageBreakBefore w:val="0"/>
              <w:spacing w:line="360" w:lineRule="auto"/>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工期（日历天）</w:t>
            </w:r>
          </w:p>
        </w:tc>
        <w:tc>
          <w:tcPr>
            <w:tcW w:w="1536" w:type="dxa"/>
            <w:noWrap w:val="0"/>
            <w:vAlign w:val="center"/>
          </w:tcPr>
          <w:p w14:paraId="430677EF">
            <w:pPr>
              <w:pStyle w:val="49"/>
              <w:pageBreakBefore w:val="0"/>
              <w:spacing w:line="360" w:lineRule="auto"/>
              <w:ind w:firstLine="472"/>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备注</w:t>
            </w:r>
          </w:p>
        </w:tc>
      </w:tr>
      <w:tr w14:paraId="3EB85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31" w:hRule="atLeast"/>
          <w:jc w:val="center"/>
        </w:trPr>
        <w:tc>
          <w:tcPr>
            <w:tcW w:w="1815" w:type="dxa"/>
            <w:noWrap w:val="0"/>
            <w:vAlign w:val="center"/>
          </w:tcPr>
          <w:p w14:paraId="1F435DEF">
            <w:pPr>
              <w:pStyle w:val="49"/>
              <w:pageBreakBefore w:val="0"/>
              <w:spacing w:line="360" w:lineRule="auto"/>
              <w:ind w:firstLine="472"/>
              <w:jc w:val="center"/>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2026年城市污水处理提质增效工程</w:t>
            </w:r>
          </w:p>
        </w:tc>
        <w:tc>
          <w:tcPr>
            <w:tcW w:w="2086" w:type="dxa"/>
            <w:noWrap w:val="0"/>
            <w:vAlign w:val="center"/>
          </w:tcPr>
          <w:p w14:paraId="5788BF6D">
            <w:pPr>
              <w:pStyle w:val="49"/>
              <w:pageBreakBefore w:val="0"/>
              <w:spacing w:line="360" w:lineRule="auto"/>
              <w:ind w:firstLine="240" w:firstLineChars="1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详见响应文件</w:t>
            </w:r>
          </w:p>
        </w:tc>
        <w:tc>
          <w:tcPr>
            <w:tcW w:w="2005" w:type="dxa"/>
            <w:noWrap w:val="0"/>
            <w:vAlign w:val="center"/>
          </w:tcPr>
          <w:p w14:paraId="23B52E29">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tc>
        <w:tc>
          <w:tcPr>
            <w:tcW w:w="1536" w:type="dxa"/>
            <w:noWrap w:val="0"/>
            <w:vAlign w:val="center"/>
          </w:tcPr>
          <w:p w14:paraId="5720D01E">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tc>
        <w:tc>
          <w:tcPr>
            <w:tcW w:w="1536" w:type="dxa"/>
            <w:vMerge w:val="restart"/>
            <w:noWrap w:val="0"/>
            <w:vAlign w:val="center"/>
          </w:tcPr>
          <w:p w14:paraId="507B6C5C">
            <w:pPr>
              <w:pStyle w:val="49"/>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报价为《已标价的工程量清单》的总价。</w:t>
            </w:r>
          </w:p>
        </w:tc>
      </w:tr>
      <w:tr w14:paraId="06F52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0" w:hRule="atLeast"/>
          <w:jc w:val="center"/>
        </w:trPr>
        <w:tc>
          <w:tcPr>
            <w:tcW w:w="1815" w:type="dxa"/>
            <w:noWrap w:val="0"/>
            <w:vAlign w:val="center"/>
          </w:tcPr>
          <w:p w14:paraId="76F5B174">
            <w:pPr>
              <w:pStyle w:val="49"/>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总价（大写）：</w:t>
            </w:r>
          </w:p>
        </w:tc>
        <w:tc>
          <w:tcPr>
            <w:tcW w:w="5627" w:type="dxa"/>
            <w:gridSpan w:val="3"/>
            <w:noWrap w:val="0"/>
            <w:vAlign w:val="center"/>
          </w:tcPr>
          <w:p w14:paraId="2B00FAF9">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tc>
        <w:tc>
          <w:tcPr>
            <w:tcW w:w="1536" w:type="dxa"/>
            <w:vMerge w:val="continue"/>
            <w:noWrap w:val="0"/>
            <w:vAlign w:val="center"/>
          </w:tcPr>
          <w:p w14:paraId="765B0FBB">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tc>
      </w:tr>
    </w:tbl>
    <w:p w14:paraId="546FF4E5">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p w14:paraId="1B9F20A8">
      <w:pPr>
        <w:pStyle w:val="49"/>
        <w:keepNext w:val="0"/>
        <w:keepLines w:val="0"/>
        <w:pageBreakBefore w:val="0"/>
        <w:widowControl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供应商承诺：本报价（总价）为供应商本企业提供的服务。</w:t>
      </w:r>
    </w:p>
    <w:p w14:paraId="1C012AFC">
      <w:pPr>
        <w:pStyle w:val="49"/>
        <w:keepNext w:val="0"/>
        <w:keepLines w:val="0"/>
        <w:pageBreakBefore w:val="0"/>
        <w:widowControl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报价说明：</w:t>
      </w:r>
    </w:p>
    <w:p w14:paraId="4A5DA477">
      <w:pPr>
        <w:pStyle w:val="49"/>
        <w:keepNext w:val="0"/>
        <w:keepLines w:val="0"/>
        <w:pageBreakBefore w:val="0"/>
        <w:widowControl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1、报价应包括磋商文件所确定的招标范围内工程量清单所含的全部内容，以及为完成上述内容所需的全部费用，采购人不再支付报价以外的任何费用。</w:t>
      </w:r>
    </w:p>
    <w:p w14:paraId="20515521">
      <w:pPr>
        <w:pStyle w:val="49"/>
        <w:keepNext w:val="0"/>
        <w:keepLines w:val="0"/>
        <w:pageBreakBefore w:val="0"/>
        <w:widowControl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2、报价以总价为准，大小写不一致以大写为准；</w:t>
      </w:r>
    </w:p>
    <w:p w14:paraId="0CD46C49">
      <w:pPr>
        <w:pStyle w:val="49"/>
        <w:keepNext w:val="0"/>
        <w:keepLines w:val="0"/>
        <w:pageBreakBefore w:val="0"/>
        <w:widowControl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3、偏离说明：详见《偏离表》；</w:t>
      </w:r>
    </w:p>
    <w:p w14:paraId="2E4DF8C7">
      <w:pPr>
        <w:pStyle w:val="49"/>
        <w:keepNext w:val="0"/>
        <w:keepLines w:val="0"/>
        <w:pageBreakBefore w:val="0"/>
        <w:widowControl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4、如最后报价未列明单价，则最后所报各项单价计算方法为：（最后总价/最初总价）*各项最初报价的单价。</w:t>
      </w:r>
    </w:p>
    <w:p w14:paraId="055C5D5F">
      <w:pPr>
        <w:pStyle w:val="71"/>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注：各投标供应商在未进行二次报价前，请不要离开“苏采云”开标系统，随时接受磋商小组发起的二次报价，因投标供应商未能及时在规定时间进行二次报价而引起的废标及损失，由供应商自行承担。</w:t>
      </w:r>
    </w:p>
    <w:p w14:paraId="063099E1">
      <w:pPr>
        <w:pStyle w:val="49"/>
        <w:pageBreakBefore w:val="0"/>
        <w:widowControl/>
        <w:spacing w:line="360" w:lineRule="auto"/>
        <w:ind w:firstLine="472"/>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w:t>
      </w:r>
      <w:r>
        <w:rPr>
          <w:rFonts w:hint="eastAsia" w:ascii="仿宋" w:hAnsi="仿宋" w:eastAsia="仿宋" w:cs="仿宋"/>
          <w:color w:val="000000" w:themeColor="text1"/>
          <w:sz w:val="24"/>
          <w:highlight w:val="none"/>
          <w:lang w:val="en-US" w:eastAsia="zh-CN"/>
          <w14:textFill>
            <w14:solidFill>
              <w14:schemeClr w14:val="tx1"/>
            </w14:solidFill>
          </w14:textFill>
        </w:rPr>
        <w:t>电子签章</w:t>
      </w:r>
      <w:r>
        <w:rPr>
          <w:rFonts w:hint="eastAsia" w:ascii="仿宋" w:hAnsi="仿宋" w:eastAsia="仿宋" w:cs="仿宋"/>
          <w:color w:val="000000" w:themeColor="text1"/>
          <w:sz w:val="24"/>
          <w:highlight w:val="none"/>
          <w14:textFill>
            <w14:solidFill>
              <w14:schemeClr w14:val="tx1"/>
            </w14:solidFill>
          </w14:textFill>
        </w:rPr>
        <w:t>）：</w:t>
      </w:r>
    </w:p>
    <w:p w14:paraId="7015A7AC">
      <w:pPr>
        <w:pStyle w:val="49"/>
        <w:pageBreakBefore w:val="0"/>
        <w:widowControl/>
        <w:spacing w:line="360" w:lineRule="auto"/>
        <w:ind w:firstLine="472"/>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法定代表人(负责人)或授权代表（签字或盖章）：</w:t>
      </w:r>
    </w:p>
    <w:p w14:paraId="4E38AC4F">
      <w:pPr>
        <w:pStyle w:val="49"/>
        <w:pageBreakBefore w:val="0"/>
        <w:spacing w:line="360" w:lineRule="auto"/>
        <w:ind w:firstLine="472"/>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日期：   年  月  日</w:t>
      </w:r>
    </w:p>
    <w:p w14:paraId="7CF6E800">
      <w:pPr>
        <w:pStyle w:val="49"/>
        <w:pageBreakBefore w:val="0"/>
        <w:spacing w:line="360" w:lineRule="auto"/>
        <w:jc w:val="center"/>
        <w:outlineLvl w:val="1"/>
        <w:rPr>
          <w:rStyle w:val="235"/>
          <w:rFonts w:hint="eastAsia" w:ascii="仿宋" w:hAnsi="仿宋" w:eastAsia="仿宋" w:cs="仿宋"/>
          <w:color w:val="000000" w:themeColor="text1"/>
          <w:sz w:val="24"/>
          <w:szCs w:val="24"/>
          <w:highlight w:val="none"/>
          <w14:textFill>
            <w14:solidFill>
              <w14:schemeClr w14:val="tx1"/>
            </w14:solidFill>
          </w14:textFill>
        </w:rPr>
        <w:sectPr>
          <w:pgSz w:w="11906" w:h="16838"/>
          <w:pgMar w:top="1418" w:right="1474" w:bottom="1701" w:left="1588" w:header="851" w:footer="1418" w:gutter="0"/>
          <w:pgNumType w:fmt="decimal"/>
          <w:cols w:space="720" w:num="1"/>
          <w:docGrid w:linePitch="360" w:charSpace="0"/>
        </w:sectPr>
      </w:pPr>
    </w:p>
    <w:p w14:paraId="0871BF8C">
      <w:pPr>
        <w:pStyle w:val="49"/>
        <w:pageBreakBefore w:val="0"/>
        <w:spacing w:line="360" w:lineRule="auto"/>
        <w:jc w:val="center"/>
        <w:outlineLvl w:val="1"/>
        <w:rPr>
          <w:rFonts w:hint="eastAsia" w:ascii="仿宋" w:hAnsi="仿宋" w:eastAsia="仿宋" w:cs="仿宋"/>
          <w:color w:val="000000" w:themeColor="text1"/>
          <w:sz w:val="24"/>
          <w:szCs w:val="24"/>
          <w:highlight w:val="none"/>
          <w14:textFill>
            <w14:solidFill>
              <w14:schemeClr w14:val="tx1"/>
            </w14:solidFill>
          </w14:textFill>
        </w:rPr>
      </w:pPr>
      <w:r>
        <w:rPr>
          <w:rStyle w:val="235"/>
          <w:rFonts w:hint="eastAsia" w:ascii="仿宋" w:hAnsi="仿宋" w:eastAsia="仿宋" w:cs="仿宋"/>
          <w:color w:val="000000" w:themeColor="text1"/>
          <w:sz w:val="24"/>
          <w:szCs w:val="24"/>
          <w:highlight w:val="none"/>
          <w14:textFill>
            <w14:solidFill>
              <w14:schemeClr w14:val="tx1"/>
            </w14:solidFill>
          </w14:textFill>
        </w:rPr>
        <w:t>4、报价明细表</w:t>
      </w:r>
    </w:p>
    <w:p w14:paraId="358FD87C">
      <w:pPr>
        <w:pageBreakBefore w:val="0"/>
        <w:spacing w:before="240" w:after="240" w:line="360" w:lineRule="auto"/>
        <w:ind w:right="31"/>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本次为首次报价</w:t>
      </w:r>
    </w:p>
    <w:p w14:paraId="21FD936B">
      <w:pPr>
        <w:pageBreakBefore w:val="0"/>
        <w:spacing w:before="240" w:after="240" w:line="360" w:lineRule="auto"/>
        <w:ind w:right="31"/>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项目编号：JSZC-320381-JSSC-C2026-0002</w:t>
      </w:r>
    </w:p>
    <w:p w14:paraId="2AA6AB14">
      <w:pPr>
        <w:pageBreakBefore w:val="0"/>
        <w:spacing w:before="240" w:after="240"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项目名称：</w:t>
      </w:r>
    </w:p>
    <w:p w14:paraId="7E1EDF7A">
      <w:pPr>
        <w:pageBreakBefore w:val="0"/>
        <w:spacing w:before="240" w:after="240" w:line="360" w:lineRule="auto"/>
        <w:ind w:right="24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货币单位：人民币元</w:t>
      </w:r>
    </w:p>
    <w:p w14:paraId="57875D72">
      <w:pPr>
        <w:pStyle w:val="68"/>
        <w:widowControl w:val="0"/>
        <w:ind w:left="0"/>
        <w:jc w:val="center"/>
        <w:outlineLvl w:val="9"/>
        <w:rPr>
          <w:rFonts w:hint="eastAsia" w:ascii="仿宋" w:hAnsi="仿宋" w:eastAsia="仿宋" w:cs="仿宋"/>
          <w:color w:val="000000" w:themeColor="text1"/>
          <w:sz w:val="24"/>
          <w:highlight w:val="none"/>
          <w:lang w:val="en-US" w:eastAsia="zh-CN" w:bidi="ar-SA"/>
          <w14:textFill>
            <w14:solidFill>
              <w14:schemeClr w14:val="tx1"/>
            </w14:solidFill>
          </w14:textFill>
        </w:rPr>
      </w:pPr>
    </w:p>
    <w:p w14:paraId="06FCE5DD">
      <w:pPr>
        <w:pStyle w:val="68"/>
        <w:widowControl w:val="0"/>
        <w:ind w:left="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bidi="ar-SA"/>
          <w14:textFill>
            <w14:solidFill>
              <w14:schemeClr w14:val="tx1"/>
            </w14:solidFill>
          </w14:textFill>
        </w:rPr>
        <w:t>根据发布的《招标工程量清单》进行编制</w:t>
      </w:r>
    </w:p>
    <w:p w14:paraId="1A122A4E">
      <w:pPr>
        <w:keepNext/>
        <w:keepLines/>
        <w:spacing w:before="320" w:after="200"/>
        <w:outlineLvl w:val="9"/>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pPr>
    </w:p>
    <w:p w14:paraId="0F17AF4A">
      <w:pPr>
        <w:rPr>
          <w:rFonts w:hint="eastAsia" w:ascii="仿宋" w:hAnsi="仿宋" w:eastAsia="仿宋" w:cs="仿宋"/>
          <w:color w:val="000000" w:themeColor="text1"/>
          <w:sz w:val="24"/>
          <w:highlight w:val="none"/>
          <w14:textFill>
            <w14:solidFill>
              <w14:schemeClr w14:val="tx1"/>
            </w14:solidFill>
          </w14:textFill>
        </w:rPr>
      </w:pPr>
    </w:p>
    <w:p w14:paraId="4C3275F6">
      <w:pPr>
        <w:keepNext/>
        <w:keepLines/>
        <w:spacing w:before="320" w:after="200"/>
        <w:outlineLvl w:val="9"/>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pPr>
    </w:p>
    <w:p w14:paraId="5A68CBA8">
      <w:pPr>
        <w:rPr>
          <w:rFonts w:hint="eastAsia" w:ascii="仿宋" w:hAnsi="仿宋" w:eastAsia="仿宋" w:cs="仿宋"/>
          <w:color w:val="000000" w:themeColor="text1"/>
          <w:sz w:val="24"/>
          <w:highlight w:val="none"/>
          <w14:textFill>
            <w14:solidFill>
              <w14:schemeClr w14:val="tx1"/>
            </w14:solidFill>
          </w14:textFill>
        </w:rPr>
      </w:pPr>
    </w:p>
    <w:p w14:paraId="1A5F6B47">
      <w:pPr>
        <w:keepNext/>
        <w:keepLines/>
        <w:spacing w:before="320" w:after="200"/>
        <w:outlineLvl w:val="9"/>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pPr>
    </w:p>
    <w:p w14:paraId="0614FAC5">
      <w:pPr>
        <w:rPr>
          <w:rFonts w:hint="eastAsia" w:ascii="仿宋" w:hAnsi="仿宋" w:eastAsia="仿宋" w:cs="仿宋"/>
          <w:color w:val="000000" w:themeColor="text1"/>
          <w:sz w:val="24"/>
          <w:highlight w:val="none"/>
          <w14:textFill>
            <w14:solidFill>
              <w14:schemeClr w14:val="tx1"/>
            </w14:solidFill>
          </w14:textFill>
        </w:rPr>
      </w:pPr>
    </w:p>
    <w:p w14:paraId="291F8E90">
      <w:pPr>
        <w:keepNext/>
        <w:keepLines/>
        <w:spacing w:before="320" w:after="200"/>
        <w:outlineLvl w:val="9"/>
        <w:rPr>
          <w:rFonts w:hint="eastAsia" w:ascii="仿宋" w:hAnsi="仿宋" w:eastAsia="仿宋" w:cs="仿宋"/>
          <w:b/>
          <w:bCs/>
          <w:sz w:val="26"/>
          <w:szCs w:val="26"/>
          <w:highlight w:val="none"/>
          <w:lang w:val="en-US" w:eastAsia="zh-CN" w:bidi="ar-SA"/>
        </w:rPr>
      </w:pPr>
    </w:p>
    <w:p w14:paraId="272EA95A">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供应商（电子签章）：</w:t>
      </w:r>
    </w:p>
    <w:p w14:paraId="3785339E">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法定代表人(负责人)或授权代表（签字或盖章）：</w:t>
      </w:r>
    </w:p>
    <w:p w14:paraId="76130A27">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日期：</w:t>
      </w:r>
    </w:p>
    <w:p w14:paraId="3BE56103">
      <w:pPr>
        <w:keepNext w:val="0"/>
        <w:keepLines w:val="0"/>
        <w:pageBreakBefore w:val="0"/>
        <w:spacing w:line="360" w:lineRule="auto"/>
        <w:ind w:right="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注：1</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如果按单价计算的结果与总价不一致，以总价为准。</w:t>
      </w:r>
    </w:p>
    <w:p w14:paraId="2AA631BB">
      <w:pPr>
        <w:keepNext w:val="0"/>
        <w:keepLines w:val="0"/>
        <w:pageBreakBefore w:val="0"/>
        <w:spacing w:line="360" w:lineRule="auto"/>
        <w:ind w:right="0" w:firstLine="48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、如果不提供详细分项报价将视为没有实质性响应。</w:t>
      </w:r>
    </w:p>
    <w:p w14:paraId="285E51C8">
      <w:pPr>
        <w:pStyle w:val="49"/>
        <w:keepNext w:val="0"/>
        <w:keepLines w:val="0"/>
        <w:pageBreakBefore w:val="0"/>
        <w:widowControl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、供应商对以上数据的真实性负责。</w:t>
      </w:r>
    </w:p>
    <w:p w14:paraId="68F262AF">
      <w:pPr>
        <w:pStyle w:val="49"/>
        <w:keepNext w:val="0"/>
        <w:keepLines w:val="0"/>
        <w:pageBreakBefore w:val="0"/>
        <w:widowControl w:val="0"/>
        <w:spacing w:line="360" w:lineRule="auto"/>
        <w:ind w:firstLine="480"/>
        <w:rPr>
          <w:rFonts w:hint="eastAsia" w:ascii="仿宋" w:hAnsi="仿宋" w:eastAsia="仿宋" w:cs="仿宋"/>
          <w:b/>
          <w:bCs/>
          <w:i/>
          <w:iCs/>
          <w:highlight w:val="none"/>
          <w:u w:val="single"/>
        </w:rPr>
      </w:pPr>
      <w:r>
        <w:rPr>
          <w:rFonts w:hint="eastAsia" w:ascii="仿宋" w:hAnsi="仿宋" w:eastAsia="仿宋" w:cs="仿宋"/>
          <w:b/>
          <w:bCs/>
          <w:i/>
          <w:iCs/>
          <w:color w:val="000000" w:themeColor="text1"/>
          <w:sz w:val="24"/>
          <w:highlight w:val="none"/>
          <w:u w:val="single"/>
          <w14:textFill>
            <w14:solidFill>
              <w14:schemeClr w14:val="tx1"/>
            </w14:solidFill>
          </w14:textFill>
        </w:rPr>
        <w:t>采购人或采购代理机构有权将以上内容进行公示。</w:t>
      </w:r>
    </w:p>
    <w:p w14:paraId="4855D967">
      <w:pPr>
        <w:pStyle w:val="49"/>
        <w:pageBreakBefore w:val="0"/>
        <w:numPr>
          <w:ilvl w:val="0"/>
          <w:numId w:val="0"/>
        </w:numPr>
        <w:spacing w:line="360" w:lineRule="auto"/>
        <w:jc w:val="cente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sectPr>
          <w:pgSz w:w="11906" w:h="16838"/>
          <w:pgMar w:top="1418" w:right="1474" w:bottom="1701" w:left="1588" w:header="851" w:footer="1418" w:gutter="0"/>
          <w:pgNumType w:fmt="decimal"/>
          <w:cols w:space="720" w:num="1"/>
          <w:docGrid w:linePitch="360" w:charSpace="0"/>
        </w:sectPr>
      </w:pPr>
    </w:p>
    <w:p w14:paraId="456F6D5E">
      <w:pPr>
        <w:pStyle w:val="49"/>
        <w:pageBreakBefore w:val="0"/>
        <w:numPr>
          <w:ilvl w:val="0"/>
          <w:numId w:val="0"/>
        </w:numPr>
        <w:spacing w:line="360" w:lineRule="auto"/>
        <w:jc w:val="center"/>
        <w:rPr>
          <w:rStyle w:val="235"/>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5、</w:t>
      </w:r>
      <w:r>
        <w:rPr>
          <w:rStyle w:val="235"/>
          <w:rFonts w:hint="eastAsia" w:ascii="仿宋" w:hAnsi="仿宋" w:eastAsia="仿宋" w:cs="仿宋"/>
          <w:color w:val="000000" w:themeColor="text1"/>
          <w:sz w:val="24"/>
          <w:szCs w:val="24"/>
          <w:highlight w:val="none"/>
          <w14:textFill>
            <w14:solidFill>
              <w14:schemeClr w14:val="tx1"/>
            </w14:solidFill>
          </w14:textFill>
        </w:rPr>
        <w:t>偏离表</w:t>
      </w:r>
    </w:p>
    <w:p w14:paraId="3B394E42">
      <w:pPr>
        <w:pStyle w:val="58"/>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项目名称：                                                        </w:t>
      </w:r>
    </w:p>
    <w:p w14:paraId="46F4A242">
      <w:pPr>
        <w:pStyle w:val="58"/>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项目编号：JSZC-320381-JSSC-C2026-0002</w:t>
      </w:r>
    </w:p>
    <w:tbl>
      <w:tblPr>
        <w:tblStyle w:val="38"/>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
        <w:gridCol w:w="1220"/>
        <w:gridCol w:w="2415"/>
        <w:gridCol w:w="1575"/>
        <w:gridCol w:w="1351"/>
        <w:gridCol w:w="2123"/>
      </w:tblGrid>
      <w:tr w14:paraId="73792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9" w:hRule="atLeast"/>
          <w:jc w:val="center"/>
        </w:trPr>
        <w:tc>
          <w:tcPr>
            <w:tcW w:w="888" w:type="dxa"/>
            <w:noWrap w:val="0"/>
            <w:vAlign w:val="center"/>
          </w:tcPr>
          <w:p w14:paraId="0D1D6CD6">
            <w:pPr>
              <w:jc w:val="center"/>
              <w:rPr>
                <w:rFonts w:hint="eastAsia" w:ascii="仿宋" w:hAnsi="仿宋" w:eastAsia="仿宋" w:cs="仿宋"/>
                <w:caps/>
                <w:sz w:val="24"/>
              </w:rPr>
            </w:pPr>
            <w:r>
              <w:rPr>
                <w:rFonts w:hint="eastAsia" w:ascii="仿宋" w:hAnsi="仿宋" w:eastAsia="仿宋" w:cs="仿宋"/>
                <w:caps/>
                <w:sz w:val="24"/>
              </w:rPr>
              <w:t>序号</w:t>
            </w:r>
          </w:p>
        </w:tc>
        <w:tc>
          <w:tcPr>
            <w:tcW w:w="1220" w:type="dxa"/>
            <w:noWrap w:val="0"/>
            <w:vAlign w:val="center"/>
          </w:tcPr>
          <w:p w14:paraId="1DD52F8C">
            <w:pPr>
              <w:jc w:val="center"/>
              <w:rPr>
                <w:rFonts w:hint="eastAsia" w:ascii="仿宋" w:hAnsi="仿宋" w:eastAsia="仿宋" w:cs="仿宋"/>
                <w:caps/>
                <w:sz w:val="24"/>
              </w:rPr>
            </w:pPr>
            <w:r>
              <w:rPr>
                <w:rFonts w:hint="eastAsia" w:ascii="仿宋" w:hAnsi="仿宋" w:eastAsia="仿宋" w:cs="仿宋"/>
                <w:caps/>
                <w:sz w:val="24"/>
              </w:rPr>
              <w:t>偏离内容</w:t>
            </w:r>
          </w:p>
        </w:tc>
        <w:tc>
          <w:tcPr>
            <w:tcW w:w="2415" w:type="dxa"/>
            <w:noWrap w:val="0"/>
            <w:vAlign w:val="center"/>
          </w:tcPr>
          <w:p w14:paraId="08F7DEF7">
            <w:pPr>
              <w:jc w:val="center"/>
              <w:rPr>
                <w:rFonts w:hint="eastAsia" w:ascii="仿宋" w:hAnsi="仿宋" w:eastAsia="仿宋" w:cs="仿宋"/>
                <w:caps/>
                <w:sz w:val="24"/>
              </w:rPr>
            </w:pPr>
            <w:r>
              <w:rPr>
                <w:rFonts w:hint="eastAsia" w:ascii="仿宋" w:hAnsi="仿宋" w:eastAsia="仿宋" w:cs="仿宋"/>
                <w:sz w:val="24"/>
              </w:rPr>
              <w:t>竞争性磋商文件（含竞争性磋商文件的澄清或者修改）的要求</w:t>
            </w:r>
          </w:p>
        </w:tc>
        <w:tc>
          <w:tcPr>
            <w:tcW w:w="1575" w:type="dxa"/>
            <w:noWrap w:val="0"/>
            <w:vAlign w:val="center"/>
          </w:tcPr>
          <w:p w14:paraId="33730BDC">
            <w:pPr>
              <w:jc w:val="center"/>
              <w:rPr>
                <w:rFonts w:hint="eastAsia" w:ascii="仿宋" w:hAnsi="仿宋" w:eastAsia="仿宋" w:cs="仿宋"/>
                <w:caps/>
                <w:sz w:val="24"/>
              </w:rPr>
            </w:pPr>
            <w:r>
              <w:rPr>
                <w:rFonts w:hint="eastAsia" w:ascii="仿宋" w:hAnsi="仿宋" w:eastAsia="仿宋" w:cs="仿宋"/>
                <w:sz w:val="24"/>
              </w:rPr>
              <w:t>首次响应文件中的内容</w:t>
            </w:r>
          </w:p>
        </w:tc>
        <w:tc>
          <w:tcPr>
            <w:tcW w:w="1351" w:type="dxa"/>
            <w:noWrap w:val="0"/>
            <w:vAlign w:val="center"/>
          </w:tcPr>
          <w:p w14:paraId="7871E4C0">
            <w:pPr>
              <w:jc w:val="center"/>
              <w:rPr>
                <w:rFonts w:hint="eastAsia" w:ascii="仿宋" w:hAnsi="仿宋" w:eastAsia="仿宋" w:cs="仿宋"/>
                <w:caps/>
                <w:sz w:val="24"/>
              </w:rPr>
            </w:pPr>
            <w:r>
              <w:rPr>
                <w:rFonts w:hint="eastAsia" w:ascii="仿宋" w:hAnsi="仿宋" w:eastAsia="仿宋" w:cs="仿宋"/>
                <w:caps/>
                <w:sz w:val="24"/>
              </w:rPr>
              <w:t>（正/负/无）偏离</w:t>
            </w:r>
          </w:p>
        </w:tc>
        <w:tc>
          <w:tcPr>
            <w:tcW w:w="2123" w:type="dxa"/>
            <w:noWrap w:val="0"/>
            <w:vAlign w:val="center"/>
          </w:tcPr>
          <w:p w14:paraId="2251C42F">
            <w:pPr>
              <w:jc w:val="center"/>
              <w:rPr>
                <w:rFonts w:hint="eastAsia" w:ascii="仿宋" w:hAnsi="仿宋" w:eastAsia="仿宋" w:cs="仿宋"/>
                <w:caps/>
                <w:sz w:val="24"/>
              </w:rPr>
            </w:pPr>
            <w:r>
              <w:rPr>
                <w:rFonts w:hint="eastAsia" w:ascii="仿宋" w:hAnsi="仿宋" w:eastAsia="仿宋" w:cs="仿宋"/>
                <w:caps/>
                <w:sz w:val="24"/>
              </w:rPr>
              <w:t>说明</w:t>
            </w:r>
          </w:p>
        </w:tc>
      </w:tr>
      <w:tr w14:paraId="125FC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4241135E">
            <w:pPr>
              <w:jc w:val="center"/>
              <w:rPr>
                <w:rFonts w:hint="eastAsia" w:ascii="宋体" w:hAnsi="宋体" w:cs="宋体"/>
                <w:caps/>
                <w:sz w:val="24"/>
              </w:rPr>
            </w:pPr>
          </w:p>
        </w:tc>
        <w:tc>
          <w:tcPr>
            <w:tcW w:w="1220" w:type="dxa"/>
            <w:noWrap w:val="0"/>
            <w:vAlign w:val="center"/>
          </w:tcPr>
          <w:p w14:paraId="0DFEFAFB">
            <w:pPr>
              <w:jc w:val="center"/>
              <w:rPr>
                <w:rFonts w:hint="eastAsia" w:ascii="宋体" w:hAnsi="宋体" w:cs="宋体"/>
                <w:caps/>
                <w:sz w:val="24"/>
              </w:rPr>
            </w:pPr>
          </w:p>
        </w:tc>
        <w:tc>
          <w:tcPr>
            <w:tcW w:w="2415" w:type="dxa"/>
            <w:noWrap w:val="0"/>
            <w:vAlign w:val="center"/>
          </w:tcPr>
          <w:p w14:paraId="154CA861">
            <w:pPr>
              <w:jc w:val="center"/>
              <w:rPr>
                <w:rFonts w:hint="eastAsia" w:ascii="宋体" w:hAnsi="宋体" w:cs="宋体"/>
                <w:caps/>
                <w:sz w:val="24"/>
              </w:rPr>
            </w:pPr>
          </w:p>
        </w:tc>
        <w:tc>
          <w:tcPr>
            <w:tcW w:w="1575" w:type="dxa"/>
            <w:noWrap w:val="0"/>
            <w:vAlign w:val="center"/>
          </w:tcPr>
          <w:p w14:paraId="435D767F">
            <w:pPr>
              <w:jc w:val="center"/>
              <w:rPr>
                <w:rFonts w:hint="eastAsia" w:ascii="宋体" w:hAnsi="宋体" w:cs="宋体"/>
                <w:caps/>
                <w:sz w:val="24"/>
              </w:rPr>
            </w:pPr>
          </w:p>
        </w:tc>
        <w:tc>
          <w:tcPr>
            <w:tcW w:w="1351" w:type="dxa"/>
            <w:noWrap w:val="0"/>
            <w:vAlign w:val="center"/>
          </w:tcPr>
          <w:p w14:paraId="0A1876A6">
            <w:pPr>
              <w:jc w:val="center"/>
              <w:rPr>
                <w:rFonts w:hint="eastAsia" w:ascii="宋体" w:hAnsi="宋体" w:cs="宋体"/>
                <w:caps/>
                <w:sz w:val="24"/>
              </w:rPr>
            </w:pPr>
          </w:p>
        </w:tc>
        <w:tc>
          <w:tcPr>
            <w:tcW w:w="2123" w:type="dxa"/>
            <w:noWrap w:val="0"/>
            <w:vAlign w:val="center"/>
          </w:tcPr>
          <w:p w14:paraId="14078313">
            <w:pPr>
              <w:jc w:val="center"/>
              <w:rPr>
                <w:rFonts w:hint="eastAsia" w:ascii="宋体" w:hAnsi="宋体" w:cs="宋体"/>
                <w:caps/>
                <w:sz w:val="24"/>
              </w:rPr>
            </w:pPr>
          </w:p>
        </w:tc>
      </w:tr>
      <w:tr w14:paraId="6AF36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07181D6F">
            <w:pPr>
              <w:jc w:val="center"/>
              <w:rPr>
                <w:rFonts w:hint="eastAsia" w:ascii="宋体" w:hAnsi="宋体" w:cs="宋体"/>
                <w:sz w:val="24"/>
              </w:rPr>
            </w:pPr>
          </w:p>
        </w:tc>
        <w:tc>
          <w:tcPr>
            <w:tcW w:w="1220" w:type="dxa"/>
            <w:noWrap w:val="0"/>
            <w:vAlign w:val="center"/>
          </w:tcPr>
          <w:p w14:paraId="7E7A2FC6">
            <w:pPr>
              <w:jc w:val="center"/>
              <w:rPr>
                <w:rFonts w:hint="eastAsia" w:ascii="宋体" w:hAnsi="宋体" w:cs="宋体"/>
                <w:sz w:val="24"/>
              </w:rPr>
            </w:pPr>
          </w:p>
        </w:tc>
        <w:tc>
          <w:tcPr>
            <w:tcW w:w="2415" w:type="dxa"/>
            <w:noWrap w:val="0"/>
            <w:vAlign w:val="center"/>
          </w:tcPr>
          <w:p w14:paraId="047CBD13">
            <w:pPr>
              <w:jc w:val="center"/>
              <w:rPr>
                <w:rFonts w:hint="eastAsia" w:ascii="宋体" w:hAnsi="宋体" w:cs="宋体"/>
                <w:sz w:val="24"/>
              </w:rPr>
            </w:pPr>
          </w:p>
        </w:tc>
        <w:tc>
          <w:tcPr>
            <w:tcW w:w="1575" w:type="dxa"/>
            <w:noWrap w:val="0"/>
            <w:vAlign w:val="center"/>
          </w:tcPr>
          <w:p w14:paraId="774BC0C0">
            <w:pPr>
              <w:jc w:val="center"/>
              <w:rPr>
                <w:rFonts w:hint="eastAsia" w:ascii="宋体" w:hAnsi="宋体" w:cs="宋体"/>
                <w:sz w:val="24"/>
              </w:rPr>
            </w:pPr>
          </w:p>
        </w:tc>
        <w:tc>
          <w:tcPr>
            <w:tcW w:w="1351" w:type="dxa"/>
            <w:noWrap w:val="0"/>
            <w:vAlign w:val="center"/>
          </w:tcPr>
          <w:p w14:paraId="13218CB6">
            <w:pPr>
              <w:jc w:val="center"/>
              <w:rPr>
                <w:rFonts w:hint="eastAsia" w:ascii="宋体" w:hAnsi="宋体" w:cs="宋体"/>
                <w:sz w:val="24"/>
              </w:rPr>
            </w:pPr>
          </w:p>
        </w:tc>
        <w:tc>
          <w:tcPr>
            <w:tcW w:w="2123" w:type="dxa"/>
            <w:noWrap w:val="0"/>
            <w:vAlign w:val="center"/>
          </w:tcPr>
          <w:p w14:paraId="1177CE73">
            <w:pPr>
              <w:jc w:val="center"/>
              <w:rPr>
                <w:rFonts w:hint="eastAsia" w:ascii="宋体" w:hAnsi="宋体" w:cs="宋体"/>
                <w:sz w:val="24"/>
              </w:rPr>
            </w:pPr>
          </w:p>
        </w:tc>
      </w:tr>
      <w:tr w14:paraId="16E08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326D83FC">
            <w:pPr>
              <w:jc w:val="center"/>
              <w:rPr>
                <w:rFonts w:hint="eastAsia" w:ascii="宋体" w:hAnsi="宋体" w:cs="宋体"/>
                <w:sz w:val="24"/>
              </w:rPr>
            </w:pPr>
          </w:p>
        </w:tc>
        <w:tc>
          <w:tcPr>
            <w:tcW w:w="1220" w:type="dxa"/>
            <w:noWrap w:val="0"/>
            <w:vAlign w:val="center"/>
          </w:tcPr>
          <w:p w14:paraId="78922197">
            <w:pPr>
              <w:jc w:val="center"/>
              <w:rPr>
                <w:rFonts w:hint="eastAsia" w:ascii="宋体" w:hAnsi="宋体" w:cs="宋体"/>
                <w:sz w:val="24"/>
              </w:rPr>
            </w:pPr>
          </w:p>
        </w:tc>
        <w:tc>
          <w:tcPr>
            <w:tcW w:w="2415" w:type="dxa"/>
            <w:noWrap w:val="0"/>
            <w:vAlign w:val="center"/>
          </w:tcPr>
          <w:p w14:paraId="6B044FA1">
            <w:pPr>
              <w:jc w:val="center"/>
              <w:rPr>
                <w:rFonts w:hint="eastAsia" w:ascii="宋体" w:hAnsi="宋体" w:cs="宋体"/>
                <w:sz w:val="24"/>
              </w:rPr>
            </w:pPr>
          </w:p>
        </w:tc>
        <w:tc>
          <w:tcPr>
            <w:tcW w:w="1575" w:type="dxa"/>
            <w:noWrap w:val="0"/>
            <w:vAlign w:val="center"/>
          </w:tcPr>
          <w:p w14:paraId="2AC78600">
            <w:pPr>
              <w:jc w:val="center"/>
              <w:rPr>
                <w:rFonts w:hint="eastAsia" w:ascii="宋体" w:hAnsi="宋体" w:cs="宋体"/>
                <w:sz w:val="24"/>
              </w:rPr>
            </w:pPr>
          </w:p>
        </w:tc>
        <w:tc>
          <w:tcPr>
            <w:tcW w:w="1351" w:type="dxa"/>
            <w:noWrap w:val="0"/>
            <w:vAlign w:val="center"/>
          </w:tcPr>
          <w:p w14:paraId="18F3B419">
            <w:pPr>
              <w:jc w:val="center"/>
              <w:rPr>
                <w:rFonts w:hint="eastAsia" w:ascii="宋体" w:hAnsi="宋体" w:cs="宋体"/>
                <w:sz w:val="24"/>
              </w:rPr>
            </w:pPr>
          </w:p>
        </w:tc>
        <w:tc>
          <w:tcPr>
            <w:tcW w:w="2123" w:type="dxa"/>
            <w:noWrap w:val="0"/>
            <w:vAlign w:val="center"/>
          </w:tcPr>
          <w:p w14:paraId="040D9E34">
            <w:pPr>
              <w:jc w:val="center"/>
              <w:rPr>
                <w:rFonts w:hint="eastAsia" w:ascii="宋体" w:hAnsi="宋体" w:cs="宋体"/>
                <w:sz w:val="24"/>
              </w:rPr>
            </w:pPr>
          </w:p>
        </w:tc>
      </w:tr>
      <w:tr w14:paraId="60150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2433392D">
            <w:pPr>
              <w:jc w:val="center"/>
              <w:rPr>
                <w:rFonts w:hint="eastAsia" w:ascii="宋体" w:hAnsi="宋体" w:cs="宋体"/>
                <w:sz w:val="24"/>
              </w:rPr>
            </w:pPr>
          </w:p>
        </w:tc>
        <w:tc>
          <w:tcPr>
            <w:tcW w:w="1220" w:type="dxa"/>
            <w:noWrap w:val="0"/>
            <w:vAlign w:val="center"/>
          </w:tcPr>
          <w:p w14:paraId="532CE2C6">
            <w:pPr>
              <w:jc w:val="center"/>
              <w:rPr>
                <w:rFonts w:hint="eastAsia" w:ascii="宋体" w:hAnsi="宋体" w:cs="宋体"/>
                <w:sz w:val="24"/>
              </w:rPr>
            </w:pPr>
          </w:p>
        </w:tc>
        <w:tc>
          <w:tcPr>
            <w:tcW w:w="2415" w:type="dxa"/>
            <w:noWrap w:val="0"/>
            <w:vAlign w:val="center"/>
          </w:tcPr>
          <w:p w14:paraId="5CB8E8F7">
            <w:pPr>
              <w:jc w:val="center"/>
              <w:rPr>
                <w:rFonts w:hint="eastAsia" w:ascii="宋体" w:hAnsi="宋体" w:cs="宋体"/>
                <w:sz w:val="24"/>
              </w:rPr>
            </w:pPr>
          </w:p>
        </w:tc>
        <w:tc>
          <w:tcPr>
            <w:tcW w:w="1575" w:type="dxa"/>
            <w:noWrap w:val="0"/>
            <w:vAlign w:val="center"/>
          </w:tcPr>
          <w:p w14:paraId="5EDDD65B">
            <w:pPr>
              <w:jc w:val="center"/>
              <w:rPr>
                <w:rFonts w:hint="eastAsia" w:ascii="宋体" w:hAnsi="宋体" w:cs="宋体"/>
                <w:sz w:val="24"/>
              </w:rPr>
            </w:pPr>
          </w:p>
        </w:tc>
        <w:tc>
          <w:tcPr>
            <w:tcW w:w="1351" w:type="dxa"/>
            <w:noWrap w:val="0"/>
            <w:vAlign w:val="center"/>
          </w:tcPr>
          <w:p w14:paraId="4C023220">
            <w:pPr>
              <w:jc w:val="center"/>
              <w:rPr>
                <w:rFonts w:hint="eastAsia" w:ascii="宋体" w:hAnsi="宋体" w:cs="宋体"/>
                <w:sz w:val="24"/>
              </w:rPr>
            </w:pPr>
          </w:p>
        </w:tc>
        <w:tc>
          <w:tcPr>
            <w:tcW w:w="2123" w:type="dxa"/>
            <w:noWrap w:val="0"/>
            <w:vAlign w:val="center"/>
          </w:tcPr>
          <w:p w14:paraId="1CF65DF9">
            <w:pPr>
              <w:jc w:val="center"/>
              <w:rPr>
                <w:rFonts w:hint="eastAsia" w:ascii="宋体" w:hAnsi="宋体" w:cs="宋体"/>
                <w:sz w:val="24"/>
              </w:rPr>
            </w:pPr>
          </w:p>
        </w:tc>
      </w:tr>
      <w:tr w14:paraId="341A9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375BB1BE">
            <w:pPr>
              <w:jc w:val="center"/>
              <w:rPr>
                <w:rFonts w:hint="eastAsia" w:ascii="宋体" w:hAnsi="宋体" w:cs="宋体"/>
                <w:sz w:val="24"/>
              </w:rPr>
            </w:pPr>
          </w:p>
        </w:tc>
        <w:tc>
          <w:tcPr>
            <w:tcW w:w="1220" w:type="dxa"/>
            <w:noWrap w:val="0"/>
            <w:vAlign w:val="center"/>
          </w:tcPr>
          <w:p w14:paraId="11AE6723">
            <w:pPr>
              <w:jc w:val="center"/>
              <w:rPr>
                <w:rFonts w:hint="eastAsia" w:ascii="宋体" w:hAnsi="宋体" w:cs="宋体"/>
                <w:sz w:val="24"/>
              </w:rPr>
            </w:pPr>
          </w:p>
        </w:tc>
        <w:tc>
          <w:tcPr>
            <w:tcW w:w="2415" w:type="dxa"/>
            <w:noWrap w:val="0"/>
            <w:vAlign w:val="center"/>
          </w:tcPr>
          <w:p w14:paraId="6210D7FC">
            <w:pPr>
              <w:jc w:val="center"/>
              <w:rPr>
                <w:rFonts w:hint="eastAsia" w:ascii="宋体" w:hAnsi="宋体" w:cs="宋体"/>
                <w:sz w:val="24"/>
              </w:rPr>
            </w:pPr>
          </w:p>
        </w:tc>
        <w:tc>
          <w:tcPr>
            <w:tcW w:w="1575" w:type="dxa"/>
            <w:noWrap w:val="0"/>
            <w:vAlign w:val="center"/>
          </w:tcPr>
          <w:p w14:paraId="66FBCE12">
            <w:pPr>
              <w:jc w:val="center"/>
              <w:rPr>
                <w:rFonts w:hint="eastAsia" w:ascii="宋体" w:hAnsi="宋体" w:cs="宋体"/>
                <w:sz w:val="24"/>
              </w:rPr>
            </w:pPr>
          </w:p>
        </w:tc>
        <w:tc>
          <w:tcPr>
            <w:tcW w:w="1351" w:type="dxa"/>
            <w:noWrap w:val="0"/>
            <w:vAlign w:val="center"/>
          </w:tcPr>
          <w:p w14:paraId="5E296C18">
            <w:pPr>
              <w:jc w:val="center"/>
              <w:rPr>
                <w:rFonts w:hint="eastAsia" w:ascii="宋体" w:hAnsi="宋体" w:cs="宋体"/>
                <w:sz w:val="24"/>
              </w:rPr>
            </w:pPr>
          </w:p>
        </w:tc>
        <w:tc>
          <w:tcPr>
            <w:tcW w:w="2123" w:type="dxa"/>
            <w:noWrap w:val="0"/>
            <w:vAlign w:val="center"/>
          </w:tcPr>
          <w:p w14:paraId="5D6454D8">
            <w:pPr>
              <w:jc w:val="center"/>
              <w:rPr>
                <w:rFonts w:hint="eastAsia" w:ascii="宋体" w:hAnsi="宋体" w:cs="宋体"/>
                <w:sz w:val="24"/>
              </w:rPr>
            </w:pPr>
          </w:p>
        </w:tc>
      </w:tr>
      <w:tr w14:paraId="47164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769D8FE9">
            <w:pPr>
              <w:jc w:val="center"/>
              <w:rPr>
                <w:rFonts w:hint="eastAsia" w:ascii="宋体" w:hAnsi="宋体" w:cs="宋体"/>
                <w:sz w:val="24"/>
              </w:rPr>
            </w:pPr>
          </w:p>
        </w:tc>
        <w:tc>
          <w:tcPr>
            <w:tcW w:w="1220" w:type="dxa"/>
            <w:noWrap w:val="0"/>
            <w:vAlign w:val="center"/>
          </w:tcPr>
          <w:p w14:paraId="617F55C6">
            <w:pPr>
              <w:jc w:val="center"/>
              <w:rPr>
                <w:rFonts w:hint="eastAsia" w:ascii="宋体" w:hAnsi="宋体" w:cs="宋体"/>
                <w:sz w:val="24"/>
              </w:rPr>
            </w:pPr>
          </w:p>
        </w:tc>
        <w:tc>
          <w:tcPr>
            <w:tcW w:w="2415" w:type="dxa"/>
            <w:noWrap w:val="0"/>
            <w:vAlign w:val="center"/>
          </w:tcPr>
          <w:p w14:paraId="19ED5C6E">
            <w:pPr>
              <w:jc w:val="center"/>
              <w:rPr>
                <w:rFonts w:hint="eastAsia" w:ascii="宋体" w:hAnsi="宋体" w:cs="宋体"/>
                <w:sz w:val="24"/>
              </w:rPr>
            </w:pPr>
          </w:p>
        </w:tc>
        <w:tc>
          <w:tcPr>
            <w:tcW w:w="1575" w:type="dxa"/>
            <w:noWrap w:val="0"/>
            <w:vAlign w:val="center"/>
          </w:tcPr>
          <w:p w14:paraId="0470B055">
            <w:pPr>
              <w:jc w:val="center"/>
              <w:rPr>
                <w:rFonts w:hint="eastAsia" w:ascii="宋体" w:hAnsi="宋体" w:cs="宋体"/>
                <w:sz w:val="24"/>
              </w:rPr>
            </w:pPr>
          </w:p>
        </w:tc>
        <w:tc>
          <w:tcPr>
            <w:tcW w:w="1351" w:type="dxa"/>
            <w:noWrap w:val="0"/>
            <w:vAlign w:val="center"/>
          </w:tcPr>
          <w:p w14:paraId="2D4547AA">
            <w:pPr>
              <w:jc w:val="center"/>
              <w:rPr>
                <w:rFonts w:hint="eastAsia" w:ascii="宋体" w:hAnsi="宋体" w:cs="宋体"/>
                <w:sz w:val="24"/>
              </w:rPr>
            </w:pPr>
          </w:p>
        </w:tc>
        <w:tc>
          <w:tcPr>
            <w:tcW w:w="2123" w:type="dxa"/>
            <w:noWrap w:val="0"/>
            <w:vAlign w:val="center"/>
          </w:tcPr>
          <w:p w14:paraId="2BF49348">
            <w:pPr>
              <w:jc w:val="center"/>
              <w:rPr>
                <w:rFonts w:hint="eastAsia" w:ascii="宋体" w:hAnsi="宋体" w:cs="宋体"/>
                <w:sz w:val="24"/>
              </w:rPr>
            </w:pPr>
          </w:p>
        </w:tc>
      </w:tr>
      <w:tr w14:paraId="24CF0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16F16359">
            <w:pPr>
              <w:jc w:val="center"/>
              <w:rPr>
                <w:rFonts w:hint="eastAsia" w:ascii="宋体" w:hAnsi="宋体" w:cs="宋体"/>
                <w:sz w:val="24"/>
              </w:rPr>
            </w:pPr>
          </w:p>
        </w:tc>
        <w:tc>
          <w:tcPr>
            <w:tcW w:w="1220" w:type="dxa"/>
            <w:noWrap w:val="0"/>
            <w:vAlign w:val="center"/>
          </w:tcPr>
          <w:p w14:paraId="44FE926B">
            <w:pPr>
              <w:jc w:val="center"/>
              <w:rPr>
                <w:rFonts w:hint="eastAsia" w:ascii="宋体" w:hAnsi="宋体" w:cs="宋体"/>
                <w:sz w:val="24"/>
              </w:rPr>
            </w:pPr>
          </w:p>
        </w:tc>
        <w:tc>
          <w:tcPr>
            <w:tcW w:w="2415" w:type="dxa"/>
            <w:noWrap w:val="0"/>
            <w:vAlign w:val="center"/>
          </w:tcPr>
          <w:p w14:paraId="3D261FA5">
            <w:pPr>
              <w:jc w:val="center"/>
              <w:rPr>
                <w:rFonts w:hint="eastAsia" w:ascii="宋体" w:hAnsi="宋体" w:cs="宋体"/>
                <w:sz w:val="24"/>
              </w:rPr>
            </w:pPr>
          </w:p>
        </w:tc>
        <w:tc>
          <w:tcPr>
            <w:tcW w:w="1575" w:type="dxa"/>
            <w:noWrap w:val="0"/>
            <w:vAlign w:val="center"/>
          </w:tcPr>
          <w:p w14:paraId="3C056DE3">
            <w:pPr>
              <w:jc w:val="center"/>
              <w:rPr>
                <w:rFonts w:hint="eastAsia" w:ascii="宋体" w:hAnsi="宋体" w:cs="宋体"/>
                <w:sz w:val="24"/>
              </w:rPr>
            </w:pPr>
          </w:p>
        </w:tc>
        <w:tc>
          <w:tcPr>
            <w:tcW w:w="1351" w:type="dxa"/>
            <w:noWrap w:val="0"/>
            <w:vAlign w:val="center"/>
          </w:tcPr>
          <w:p w14:paraId="19EDD338">
            <w:pPr>
              <w:jc w:val="center"/>
              <w:rPr>
                <w:rFonts w:hint="eastAsia" w:ascii="宋体" w:hAnsi="宋体" w:cs="宋体"/>
                <w:sz w:val="24"/>
              </w:rPr>
            </w:pPr>
          </w:p>
        </w:tc>
        <w:tc>
          <w:tcPr>
            <w:tcW w:w="2123" w:type="dxa"/>
            <w:noWrap w:val="0"/>
            <w:vAlign w:val="center"/>
          </w:tcPr>
          <w:p w14:paraId="54561C2D">
            <w:pPr>
              <w:jc w:val="center"/>
              <w:rPr>
                <w:rFonts w:hint="eastAsia" w:ascii="宋体" w:hAnsi="宋体" w:cs="宋体"/>
                <w:sz w:val="24"/>
              </w:rPr>
            </w:pPr>
          </w:p>
        </w:tc>
      </w:tr>
    </w:tbl>
    <w:p w14:paraId="4E1DD7DC">
      <w:pPr>
        <w:pStyle w:val="49"/>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485AF5B1">
      <w:pPr>
        <w:pStyle w:val="49"/>
        <w:pageBreakBefore w:val="0"/>
        <w:spacing w:line="360" w:lineRule="auto"/>
        <w:rPr>
          <w:rFonts w:hint="eastAsia" w:ascii="仿宋" w:hAnsi="仿宋" w:eastAsia="仿宋" w:cs="仿宋"/>
          <w:highlight w:val="none"/>
        </w:rPr>
      </w:pPr>
      <w:r>
        <w:rPr>
          <w:rFonts w:hint="eastAsia" w:ascii="仿宋" w:hAnsi="仿宋" w:eastAsia="仿宋" w:cs="仿宋"/>
          <w:color w:val="000000" w:themeColor="text1"/>
          <w:sz w:val="24"/>
          <w:highlight w:val="none"/>
          <w14:textFill>
            <w14:solidFill>
              <w14:schemeClr w14:val="tx1"/>
            </w14:solidFill>
          </w14:textFill>
        </w:rPr>
        <w:t>注：供应商递交的首次响应文件中与《磋商文件》和《磋商文件修改（澄清）》（如有）的要求有不同时，应逐条列在偏离表中，否则将认为供应商接受磋商文件的要求。</w:t>
      </w:r>
    </w:p>
    <w:p w14:paraId="33FAD903">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p w14:paraId="01398E5F">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p w14:paraId="3D33AEA6">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电子签章</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w:t>
      </w:r>
    </w:p>
    <w:p w14:paraId="2A5F99CA">
      <w:pPr>
        <w:pageBreakBefore w:val="0"/>
        <w:spacing w:before="240" w:after="240" w:line="360" w:lineRule="auto"/>
        <w:ind w:firstLine="480"/>
        <w:rPr>
          <w:rFonts w:hint="eastAsia"/>
        </w:rPr>
      </w:pPr>
      <w:r>
        <w:rPr>
          <w:rFonts w:hint="eastAsia" w:ascii="仿宋" w:hAnsi="仿宋" w:eastAsia="仿宋" w:cs="仿宋"/>
          <w:color w:val="000000" w:themeColor="text1"/>
          <w:sz w:val="24"/>
          <w:highlight w:val="none"/>
          <w14:textFill>
            <w14:solidFill>
              <w14:schemeClr w14:val="tx1"/>
            </w14:solidFill>
          </w14:textFill>
        </w:rPr>
        <w:t>法定代表人(负责人)或授权代表（签字或盖章）：</w:t>
      </w:r>
    </w:p>
    <w:p w14:paraId="058A42B9">
      <w:pPr>
        <w:pStyle w:val="49"/>
        <w:pageBreakBefore w:val="0"/>
        <w:spacing w:line="360" w:lineRule="auto"/>
        <w:ind w:firstLine="472"/>
        <w:rPr>
          <w:rFonts w:hint="eastAsia" w:ascii="仿宋" w:hAnsi="仿宋" w:eastAsia="仿宋" w:cs="仿宋"/>
          <w:highlight w:val="none"/>
          <w:lang w:val="en-US" w:eastAsia="zh-CN"/>
        </w:rPr>
      </w:pPr>
      <w:r>
        <w:rPr>
          <w:rFonts w:hint="eastAsia" w:ascii="仿宋" w:hAnsi="仿宋" w:eastAsia="仿宋" w:cs="仿宋"/>
          <w:color w:val="000000" w:themeColor="text1"/>
          <w:sz w:val="24"/>
          <w:highlight w:val="none"/>
          <w:lang w:val="en-US" w:eastAsia="zh-CN"/>
          <w14:textFill>
            <w14:solidFill>
              <w14:schemeClr w14:val="tx1"/>
            </w14:solidFill>
          </w14:textFill>
        </w:rPr>
        <w:t>日期：</w:t>
      </w:r>
    </w:p>
    <w:p w14:paraId="71AFA6DA">
      <w:pPr>
        <w:pStyle w:val="49"/>
        <w:pageBreakBefore w:val="0"/>
        <w:spacing w:line="360" w:lineRule="auto"/>
        <w:jc w:val="left"/>
        <w:rPr>
          <w:rFonts w:hint="eastAsia" w:ascii="仿宋" w:hAnsi="仿宋" w:eastAsia="仿宋" w:cs="仿宋"/>
          <w:b/>
          <w:bCs/>
          <w:color w:val="000000" w:themeColor="text1"/>
          <w:sz w:val="24"/>
          <w:szCs w:val="24"/>
          <w:highlight w:val="none"/>
          <w14:textFill>
            <w14:solidFill>
              <w14:schemeClr w14:val="tx1"/>
            </w14:solidFill>
          </w14:textFill>
        </w:rPr>
      </w:pPr>
    </w:p>
    <w:p w14:paraId="4CBDC4D4">
      <w:pPr>
        <w:pStyle w:val="73"/>
        <w:rPr>
          <w:rFonts w:hint="eastAsia" w:ascii="仿宋" w:hAnsi="仿宋" w:eastAsia="仿宋" w:cs="仿宋"/>
          <w:highlight w:val="none"/>
        </w:rPr>
      </w:pPr>
    </w:p>
    <w:p w14:paraId="0617AEBE">
      <w:pPr>
        <w:pStyle w:val="49"/>
        <w:pageBreakBefore w:val="0"/>
        <w:spacing w:line="360" w:lineRule="auto"/>
        <w:jc w:val="center"/>
        <w:outlineLvl w:val="1"/>
        <w:rPr>
          <w:rStyle w:val="235"/>
          <w:rFonts w:hint="eastAsia" w:ascii="仿宋" w:hAnsi="仿宋" w:eastAsia="仿宋" w:cs="仿宋"/>
          <w:color w:val="000000" w:themeColor="text1"/>
          <w:sz w:val="24"/>
          <w:szCs w:val="24"/>
          <w:highlight w:val="none"/>
          <w14:textFill>
            <w14:solidFill>
              <w14:schemeClr w14:val="tx1"/>
            </w14:solidFill>
          </w14:textFill>
        </w:rPr>
      </w:pPr>
      <w:r>
        <w:rPr>
          <w:rStyle w:val="235"/>
          <w:rFonts w:hint="eastAsia" w:ascii="仿宋" w:hAnsi="仿宋" w:eastAsia="仿宋" w:cs="仿宋"/>
          <w:color w:val="000000" w:themeColor="text1"/>
          <w:sz w:val="24"/>
          <w:szCs w:val="24"/>
          <w:highlight w:val="none"/>
          <w14:textFill>
            <w14:solidFill>
              <w14:schemeClr w14:val="tx1"/>
            </w14:solidFill>
          </w14:textFill>
        </w:rPr>
        <w:t>6、承诺书</w:t>
      </w:r>
    </w:p>
    <w:p w14:paraId="2AEBB47F">
      <w:pPr>
        <w:pStyle w:val="49"/>
        <w:pageBreakBefore w:val="0"/>
        <w:widowControl/>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致：</w:t>
      </w:r>
      <w:r>
        <w:rPr>
          <w:rFonts w:hint="eastAsia" w:ascii="仿宋" w:hAnsi="仿宋" w:eastAsia="仿宋" w:cs="仿宋"/>
          <w:color w:val="000000" w:themeColor="text1"/>
          <w:sz w:val="24"/>
          <w:highlight w:val="none"/>
          <w:lang w:eastAsia="zh-CN"/>
          <w14:textFill>
            <w14:solidFill>
              <w14:schemeClr w14:val="tx1"/>
            </w14:solidFill>
          </w14:textFill>
        </w:rPr>
        <w:t>江苏盛彩工程咨询管理有限公司</w:t>
      </w:r>
    </w:p>
    <w:p w14:paraId="66E8C937">
      <w:pPr>
        <w:pStyle w:val="49"/>
        <w:pageBreakBefore w:val="0"/>
        <w:widowControl/>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p w14:paraId="02F79034">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根据贵方</w:t>
      </w:r>
      <w:r>
        <w:rPr>
          <w:rFonts w:hint="eastAsia" w:ascii="仿宋" w:hAnsi="仿宋" w:eastAsia="仿宋" w:cs="仿宋"/>
          <w:color w:val="000000" w:themeColor="text1"/>
          <w:sz w:val="24"/>
          <w:highlight w:val="none"/>
          <w:lang w:eastAsia="zh-CN"/>
          <w14:textFill>
            <w14:solidFill>
              <w14:schemeClr w14:val="tx1"/>
            </w14:solidFill>
          </w14:textFill>
        </w:rPr>
        <w:t>2026年城市污水处理提质增效工程</w:t>
      </w:r>
      <w:r>
        <w:rPr>
          <w:rFonts w:hint="eastAsia" w:ascii="仿宋" w:hAnsi="仿宋" w:eastAsia="仿宋" w:cs="仿宋"/>
          <w:color w:val="000000" w:themeColor="text1"/>
          <w:sz w:val="24"/>
          <w:highlight w:val="none"/>
          <w14:textFill>
            <w14:solidFill>
              <w14:schemeClr w14:val="tx1"/>
            </w14:solidFill>
          </w14:textFill>
        </w:rPr>
        <w:t>《竞争性磋商文件》（</w:t>
      </w:r>
      <w:r>
        <w:rPr>
          <w:rFonts w:hint="eastAsia" w:ascii="仿宋" w:hAnsi="仿宋" w:eastAsia="仿宋" w:cs="仿宋"/>
          <w:color w:val="000000" w:themeColor="text1"/>
          <w:sz w:val="24"/>
          <w:highlight w:val="none"/>
          <w:lang w:eastAsia="zh-CN"/>
          <w14:textFill>
            <w14:solidFill>
              <w14:schemeClr w14:val="tx1"/>
            </w14:solidFill>
          </w14:textFill>
        </w:rPr>
        <w:t>项目编号：JSZC-320381-JSSC-C2026-0002</w:t>
      </w:r>
      <w:r>
        <w:rPr>
          <w:rFonts w:hint="eastAsia" w:ascii="仿宋" w:hAnsi="仿宋" w:eastAsia="仿宋" w:cs="仿宋"/>
          <w:color w:val="000000" w:themeColor="text1"/>
          <w:sz w:val="24"/>
          <w:highlight w:val="none"/>
          <w14:textFill>
            <w14:solidFill>
              <w14:schemeClr w14:val="tx1"/>
            </w14:solidFill>
          </w14:textFill>
        </w:rPr>
        <w:t>）要求，本供应商正式提交以下首次响应文件。</w:t>
      </w:r>
    </w:p>
    <w:p w14:paraId="603E6142">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mc:AlternateContent>
          <mc:Choice Requires="wps">
            <w:drawing>
              <wp:anchor distT="0" distB="0" distL="90805" distR="90805"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 name="直接连接符 6"/>
                <wp:cNvGraphicFramePr/>
                <a:graphic xmlns:a="http://schemas.openxmlformats.org/drawingml/2006/main">
                  <a:graphicData uri="http://schemas.microsoft.com/office/word/2010/wordprocessingShape">
                    <wps:wsp>
                      <wps:cNvCnPr/>
                      <wps:spPr bwMode="auto">
                        <a:xfrm rot="21600000" flipV="1">
                          <a:off x="0" y="0"/>
                          <a:ext cx="762" cy="16510"/>
                        </a:xfrm>
                        <a:prstGeom prst="line">
                          <a:avLst/>
                        </a:prstGeom>
                        <a:solidFill>
                          <a:srgbClr val="FFFFFF"/>
                        </a:solidFill>
                        <a:ln w="9525" cap="flat" cmpd="sng">
                          <a:solidFill>
                            <a:srgbClr val="000000"/>
                          </a:solidFill>
                          <a:prstDash val="solid"/>
                          <a:miter/>
                        </a:ln>
                      </wps:spPr>
                      <wps:bodyPr rot="0">
                        <a:noAutofit/>
                      </wps:bodyPr>
                    </wps:wsp>
                  </a:graphicData>
                </a:graphic>
              </wp:anchor>
            </w:drawing>
          </mc:Choice>
          <mc:Fallback>
            <w:pict>
              <v:line id="直接连接符 6" o:spid="_x0000_s1026" o:spt="20" style="position:absolute;left:0pt;flip:y;margin-left:147pt;margin-top:1.3pt;height:1.3pt;width:0.05pt;z-index:251660288;mso-width-relative:page;mso-height-relative:page;" fillcolor="#FFFFFF" filled="t" stroked="t" coordsize="21600,21600" o:allowincell="f" o:gfxdata="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MnbvQXXAAAABwEAAA8AAAAAAAAAAQAgAAAAIgAA&#10;AGRycy9kb3ducmV2LnhtbFBLAQIUABQAAAAIAIdO4kAyQ1LmCQIAAAsEAAAOAAAAAAAAAAEAIAAA&#10;ACYBAABkcnMvZTJvRG9jLnhtbFBLBQYAAAAABgAGAFkBAAChBQAAAAA=&#10;">
                <v:fill on="t" focussize="0,0"/>
                <v:stroke color="#000000" joinstyle="miter"/>
                <v:imagedata o:title=""/>
                <o:lock v:ext="edit" aspectratio="f"/>
              </v:line>
            </w:pict>
          </mc:Fallback>
        </mc:AlternateContent>
      </w:r>
      <w:r>
        <w:rPr>
          <w:rFonts w:hint="eastAsia" w:ascii="仿宋" w:hAnsi="仿宋" w:eastAsia="仿宋" w:cs="仿宋"/>
          <w:color w:val="000000" w:themeColor="text1"/>
          <w:sz w:val="24"/>
          <w:highlight w:val="none"/>
          <w14:textFill>
            <w14:solidFill>
              <w14:schemeClr w14:val="tx1"/>
            </w14:solidFill>
          </w14:textFill>
        </w:rPr>
        <w:t>承诺书；</w:t>
      </w:r>
    </w:p>
    <w:p w14:paraId="06FE1260">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bookmarkStart w:id="111" w:name="_Toc30031"/>
      <w:bookmarkStart w:id="112" w:name="_Toc18142"/>
      <w:bookmarkStart w:id="113" w:name="_Toc20543"/>
      <w:bookmarkStart w:id="114" w:name="_Toc24561"/>
      <w:bookmarkStart w:id="115" w:name="_Toc16644"/>
      <w:r>
        <w:rPr>
          <w:rFonts w:hint="eastAsia" w:ascii="仿宋" w:hAnsi="仿宋" w:eastAsia="仿宋" w:cs="仿宋"/>
          <w:color w:val="000000" w:themeColor="text1"/>
          <w:sz w:val="24"/>
          <w:highlight w:val="none"/>
          <w14:textFill>
            <w14:solidFill>
              <w14:schemeClr w14:val="tx1"/>
            </w14:solidFill>
          </w14:textFill>
        </w:rPr>
        <w:t>（2）磋商报价表；</w:t>
      </w:r>
      <w:bookmarkEnd w:id="111"/>
      <w:bookmarkEnd w:id="112"/>
      <w:bookmarkEnd w:id="113"/>
      <w:bookmarkEnd w:id="114"/>
      <w:bookmarkEnd w:id="115"/>
    </w:p>
    <w:p w14:paraId="173881C2">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bookmarkStart w:id="116" w:name="_Toc8339"/>
      <w:bookmarkStart w:id="117" w:name="_Toc26005"/>
      <w:bookmarkStart w:id="118" w:name="_Toc27515"/>
      <w:bookmarkStart w:id="119" w:name="_Toc27728"/>
      <w:bookmarkStart w:id="120" w:name="_Toc15322"/>
      <w:r>
        <w:rPr>
          <w:rFonts w:hint="eastAsia" w:ascii="仿宋" w:hAnsi="仿宋" w:eastAsia="仿宋" w:cs="仿宋"/>
          <w:color w:val="000000" w:themeColor="text1"/>
          <w:sz w:val="24"/>
          <w:highlight w:val="none"/>
          <w14:textFill>
            <w14:solidFill>
              <w14:schemeClr w14:val="tx1"/>
            </w14:solidFill>
          </w14:textFill>
        </w:rPr>
        <w:t>（3）偏离表；</w:t>
      </w:r>
      <w:bookmarkEnd w:id="116"/>
      <w:bookmarkEnd w:id="117"/>
      <w:bookmarkEnd w:id="118"/>
      <w:bookmarkEnd w:id="119"/>
      <w:bookmarkEnd w:id="120"/>
    </w:p>
    <w:p w14:paraId="4A787704">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bookmarkStart w:id="121" w:name="_Toc10380"/>
      <w:bookmarkStart w:id="122" w:name="_Toc30830"/>
      <w:bookmarkStart w:id="123" w:name="_Toc1135"/>
      <w:bookmarkStart w:id="124" w:name="_Toc2652"/>
      <w:bookmarkStart w:id="125" w:name="_Toc22961"/>
      <w:r>
        <w:rPr>
          <w:rFonts w:hint="eastAsia" w:ascii="仿宋" w:hAnsi="仿宋" w:eastAsia="仿宋" w:cs="仿宋"/>
          <w:color w:val="000000" w:themeColor="text1"/>
          <w:sz w:val="24"/>
          <w:highlight w:val="none"/>
          <w14:textFill>
            <w14:solidFill>
              <w14:schemeClr w14:val="tx1"/>
            </w14:solidFill>
          </w14:textFill>
        </w:rPr>
        <w:t>（4）磋商文件要求提供的其他响应文件。</w:t>
      </w:r>
      <w:bookmarkEnd w:id="121"/>
      <w:bookmarkEnd w:id="122"/>
      <w:bookmarkEnd w:id="123"/>
      <w:bookmarkEnd w:id="124"/>
      <w:bookmarkEnd w:id="125"/>
    </w:p>
    <w:p w14:paraId="3750153C">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我单位符合《中华人民共和国政府采购法》第二十二条的规定，符合本项目供应商资格要求。</w:t>
      </w:r>
    </w:p>
    <w:p w14:paraId="1A3F76CC">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我单位按照磋商文件的要求编制响应文件，并对其提交的响应文件的真实性、合法性承担法律责任。</w:t>
      </w:r>
    </w:p>
    <w:p w14:paraId="12B89ACB">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供应商兹宣布同意如下: </w:t>
      </w:r>
    </w:p>
    <w:p w14:paraId="5F128B92">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s">
            <w:drawing>
              <wp:anchor distT="0" distB="0" distL="90805" distR="90805" simplePos="0" relativeHeight="251661312" behindDoc="0" locked="0" layoutInCell="0" allowOverlap="1">
                <wp:simplePos x="0" y="0"/>
                <wp:positionH relativeFrom="column">
                  <wp:posOffset>3133725</wp:posOffset>
                </wp:positionH>
                <wp:positionV relativeFrom="paragraph">
                  <wp:posOffset>297180</wp:posOffset>
                </wp:positionV>
                <wp:extent cx="635" cy="635"/>
                <wp:effectExtent l="0" t="0" r="0" b="0"/>
                <wp:wrapNone/>
                <wp:docPr id="2" name="直接连接符 7"/>
                <wp:cNvGraphicFramePr/>
                <a:graphic xmlns:a="http://schemas.openxmlformats.org/drawingml/2006/main">
                  <a:graphicData uri="http://schemas.microsoft.com/office/word/2010/wordprocessingShape">
                    <wps:wsp>
                      <wps:cNvCnPr/>
                      <wps:spPr bwMode="auto">
                        <a:xfrm>
                          <a:off x="0" y="0"/>
                          <a:ext cx="762" cy="761"/>
                        </a:xfrm>
                        <a:prstGeom prst="line">
                          <a:avLst/>
                        </a:prstGeom>
                        <a:solidFill>
                          <a:srgbClr val="FFFFFF"/>
                        </a:solidFill>
                        <a:ln w="9525" cap="flat" cmpd="sng">
                          <a:solidFill>
                            <a:srgbClr val="000000"/>
                          </a:solidFill>
                          <a:prstDash val="solid"/>
                          <a:miter/>
                        </a:ln>
                      </wps:spPr>
                      <wps:bodyPr rot="0">
                        <a:noAutofit/>
                      </wps:bodyPr>
                    </wps:wsp>
                  </a:graphicData>
                </a:graphic>
              </wp:anchor>
            </w:drawing>
          </mc:Choice>
          <mc:Fallback>
            <w:pict>
              <v:line id="直接连接符 7" o:spid="_x0000_s1026" o:spt="20" style="position:absolute;left:0pt;margin-left:246.75pt;margin-top:23.4pt;height:0.05pt;width:0.05pt;z-index:251661312;mso-width-relative:page;mso-height-relative:page;" fillcolor="#FFFFFF" filled="t" stroked="t" coordsize="21600,21600" o:allowincell="f" o:gfxdata="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yNyzo2AAAAAkBAAAPAAAAAAAAAAEAIAAAACIAAABkcnMvZG93bnJldi54bWxQSwEC&#10;FAAUAAAACACHTuJAHfWVtvQBAADwAwAADgAAAAAAAAABACAAAAAnAQAAZHJzL2Uyb0RvYy54bWxQ&#10;SwUGAAAAAAYABgBZAQAAjQUAAAAA&#10;">
                <v:fill on="t" focussize="0,0"/>
                <v:stroke color="#000000" joinstyle="miter"/>
                <v:imagedata o:title=""/>
                <o:lock v:ext="edit" aspectratio="f"/>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s">
            <w:drawing>
              <wp:anchor distT="0" distB="0" distL="90805" distR="90805" simplePos="0" relativeHeight="251662336" behindDoc="0" locked="0" layoutInCell="0" allowOverlap="1">
                <wp:simplePos x="0" y="0"/>
                <wp:positionH relativeFrom="column">
                  <wp:posOffset>2800350</wp:posOffset>
                </wp:positionH>
                <wp:positionV relativeFrom="paragraph">
                  <wp:posOffset>594360</wp:posOffset>
                </wp:positionV>
                <wp:extent cx="635" cy="635"/>
                <wp:effectExtent l="0" t="0" r="0" b="0"/>
                <wp:wrapNone/>
                <wp:docPr id="3" name="直接连接符 8"/>
                <wp:cNvGraphicFramePr/>
                <a:graphic xmlns:a="http://schemas.openxmlformats.org/drawingml/2006/main">
                  <a:graphicData uri="http://schemas.microsoft.com/office/word/2010/wordprocessingShape">
                    <wps:wsp>
                      <wps:cNvCnPr/>
                      <wps:spPr bwMode="auto">
                        <a:xfrm>
                          <a:off x="0" y="0"/>
                          <a:ext cx="762" cy="761"/>
                        </a:xfrm>
                        <a:prstGeom prst="line">
                          <a:avLst/>
                        </a:prstGeom>
                        <a:solidFill>
                          <a:srgbClr val="FFFFFF"/>
                        </a:solidFill>
                        <a:ln w="9525" cap="flat" cmpd="sng">
                          <a:solidFill>
                            <a:srgbClr val="000000"/>
                          </a:solidFill>
                          <a:prstDash val="solid"/>
                          <a:miter/>
                        </a:ln>
                      </wps:spPr>
                      <wps:bodyPr rot="0">
                        <a:noAutofit/>
                      </wps:bodyPr>
                    </wps:wsp>
                  </a:graphicData>
                </a:graphic>
              </wp:anchor>
            </w:drawing>
          </mc:Choice>
          <mc:Fallback>
            <w:pict>
              <v:line id="直接连接符 8" o:spid="_x0000_s1026" o:spt="20" style="position:absolute;left:0pt;margin-left:220.5pt;margin-top:46.8pt;height:0.05pt;width:0.05pt;z-index:251662336;mso-width-relative:page;mso-height-relative:page;" fillcolor="#FFFFFF" filled="t" stroked="t" coordsize="21600,21600" o:allowincell="f" o:gfxdata="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Pnsfo/YAAAACQEAAA8AAAAAAAAAAQAgAAAAIgAAAGRycy9kb3ducmV2LnhtbFBL&#10;AQIUABQAAAAIAIdO4kDlF6LR9gEAAPADAAAOAAAAAAAAAAEAIAAAACcBAABkcnMvZTJvRG9jLnht&#10;bFBLBQYAAAAABgAGAFkBAACPBQAAAAA=&#10;">
                <v:fill on="t" focussize="0,0"/>
                <v:stroke color="#000000" joinstyle="miter"/>
                <v:imagedata o:title=""/>
                <o:lock v:ext="edit" aspectratio="f"/>
              </v:line>
            </w:pict>
          </mc:Fallback>
        </mc:AlternateContent>
      </w:r>
      <w:r>
        <w:rPr>
          <w:rFonts w:hint="eastAsia" w:ascii="仿宋" w:hAnsi="仿宋" w:eastAsia="仿宋" w:cs="仿宋"/>
          <w:color w:val="000000" w:themeColor="text1"/>
          <w:sz w:val="24"/>
          <w:highlight w:val="none"/>
          <w14:textFill>
            <w14:solidFill>
              <w14:schemeClr w14:val="tx1"/>
            </w14:solidFill>
          </w14:textFill>
        </w:rPr>
        <w:t>一、完全承担根据《磋商文件》规定完成合同的责任和义务（如有偏离，将全部填写在偏离表中）。</w:t>
      </w:r>
    </w:p>
    <w:p w14:paraId="0DDD4B2A">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s">
            <w:drawing>
              <wp:anchor distT="0" distB="0" distL="90805" distR="90805" simplePos="0" relativeHeight="251662336"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4" name="直接连接符 9"/>
                <wp:cNvGraphicFramePr/>
                <a:graphic xmlns:a="http://schemas.openxmlformats.org/drawingml/2006/main">
                  <a:graphicData uri="http://schemas.microsoft.com/office/word/2010/wordprocessingShape">
                    <wps:wsp>
                      <wps:cNvCnPr/>
                      <wps:spPr bwMode="auto">
                        <a:xfrm>
                          <a:off x="0" y="0"/>
                          <a:ext cx="762" cy="761"/>
                        </a:xfrm>
                        <a:prstGeom prst="line">
                          <a:avLst/>
                        </a:prstGeom>
                        <a:solidFill>
                          <a:srgbClr val="FFFFFF"/>
                        </a:solidFill>
                        <a:ln w="9525" cap="flat" cmpd="sng">
                          <a:solidFill>
                            <a:srgbClr val="000000"/>
                          </a:solidFill>
                          <a:prstDash val="solid"/>
                          <a:miter/>
                        </a:ln>
                      </wps:spPr>
                      <wps:bodyPr rot="0">
                        <a:noAutofit/>
                      </wps:bodyPr>
                    </wps:wsp>
                  </a:graphicData>
                </a:graphic>
              </wp:anchor>
            </w:drawing>
          </mc:Choice>
          <mc:Fallback>
            <w:pict>
              <v:line id="直接连接符 9" o:spid="_x0000_s1026" o:spt="20" style="position:absolute;left:0pt;margin-left:210pt;margin-top:19.5pt;height:0.05pt;width:0.05pt;z-index:251662336;mso-width-relative:page;mso-height-relative:page;" fillcolor="#FFFFFF" filled="t" stroked="t" coordsize="21600,21600" o:allowincell="f" o:gfxdata="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SYPHU1gAAAAkBAAAPAAAAAAAAAAEAIAAAACIAAABkcnMvZG93bnJldi54bWxQSwEC&#10;FAAUAAAACACHTuJAYxWi+fYBAADwAwAADgAAAAAAAAABACAAAAAlAQAAZHJzL2Uyb0RvYy54bWxQ&#10;SwUGAAAAAAYABgBZAQAAjQUAAAAA&#10;">
                <v:fill on="t" focussize="0,0"/>
                <v:stroke color="#000000" joinstyle="miter"/>
                <v:imagedata o:title=""/>
                <o:lock v:ext="edit" aspectratio="f"/>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s">
            <w:drawing>
              <wp:anchor distT="0" distB="0" distL="90805" distR="90805" simplePos="0" relativeHeight="251663360"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5" name="直接连接符 10"/>
                <wp:cNvGraphicFramePr/>
                <a:graphic xmlns:a="http://schemas.openxmlformats.org/drawingml/2006/main">
                  <a:graphicData uri="http://schemas.microsoft.com/office/word/2010/wordprocessingShape">
                    <wps:wsp>
                      <wps:cNvCnPr/>
                      <wps:spPr bwMode="auto">
                        <a:xfrm>
                          <a:off x="0" y="0"/>
                          <a:ext cx="762" cy="761"/>
                        </a:xfrm>
                        <a:prstGeom prst="line">
                          <a:avLst/>
                        </a:prstGeom>
                        <a:solidFill>
                          <a:srgbClr val="FFFFFF"/>
                        </a:solidFill>
                        <a:ln w="9525" cap="flat" cmpd="sng">
                          <a:solidFill>
                            <a:srgbClr val="000000"/>
                          </a:solidFill>
                          <a:prstDash val="solid"/>
                          <a:miter/>
                        </a:ln>
                      </wps:spPr>
                      <wps:bodyPr rot="0">
                        <a:noAutofit/>
                      </wps:bodyPr>
                    </wps:wsp>
                  </a:graphicData>
                </a:graphic>
              </wp:anchor>
            </w:drawing>
          </mc:Choice>
          <mc:Fallback>
            <w:pict>
              <v:line id="直接连接符 10" o:spid="_x0000_s1026" o:spt="20" style="position:absolute;left:0pt;margin-left:210pt;margin-top:19.5pt;height:0.05pt;width:0.05pt;z-index:251663360;mso-width-relative:page;mso-height-relative:page;" fillcolor="#FFFFFF" filled="t" stroked="t" coordsize="21600,21600" o:allowincell="f" o:gfxdata="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NJg8dTWAAAACQEAAA8AAAAAAAAAAQAgAAAAIgAAAGRycy9kb3ducmV2LnhtbFBLAQIU&#10;ABQAAAAIAIdO4kD1zQtx9QEAAPEDAAAOAAAAAAAAAAEAIAAAACUBAABkcnMvZTJvRG9jLnhtbFBL&#10;BQYAAAAABgAGAFkBAACMBQAAAAA=&#10;">
                <v:fill on="t" focussize="0,0"/>
                <v:stroke color="#000000" joinstyle="miter"/>
                <v:imagedata o:title=""/>
                <o:lock v:ext="edit" aspectratio="f"/>
              </v:line>
            </w:pict>
          </mc:Fallback>
        </mc:AlternateContent>
      </w:r>
      <w:r>
        <w:rPr>
          <w:rFonts w:hint="eastAsia" w:ascii="仿宋" w:hAnsi="仿宋" w:eastAsia="仿宋" w:cs="仿宋"/>
          <w:color w:val="000000" w:themeColor="text1"/>
          <w:sz w:val="24"/>
          <w:highlight w:val="none"/>
          <w14:textFill>
            <w14:solidFill>
              <w14:schemeClr w14:val="tx1"/>
            </w14:solidFill>
          </w14:textFill>
        </w:rPr>
        <w:t>二、保证所提供的响应文件及所有材料的真实、合法、有效，并对其负责。</w:t>
      </w:r>
    </w:p>
    <w:p w14:paraId="1C89823D">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三、已详细审核竞争性磋商文件（含竞争性磋商文件的澄清或者修改），本供应商完全理解并同意放弃对这方面不明及误解的权利。</w:t>
      </w:r>
    </w:p>
    <w:p w14:paraId="5D59966F">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四、所供服务保证符合国家有关产品质量、性能和安全标准，无权利瑕疵。</w:t>
      </w:r>
    </w:p>
    <w:p w14:paraId="08D37A3E">
      <w:pPr>
        <w:pStyle w:val="49"/>
        <w:pageBreakBefore w:val="0"/>
        <w:spacing w:line="360" w:lineRule="auto"/>
        <w:ind w:firstLine="720"/>
        <w:outlineLvl w:val="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五、投标有效期为</w:t>
      </w:r>
      <w:r>
        <w:rPr>
          <w:rFonts w:hint="eastAsia" w:ascii="仿宋" w:hAnsi="仿宋" w:eastAsia="仿宋" w:cs="仿宋"/>
          <w:color w:val="000000" w:themeColor="text1"/>
          <w:sz w:val="24"/>
          <w:highlight w:val="none"/>
          <w:u w:val="single"/>
          <w14:textFill>
            <w14:solidFill>
              <w14:schemeClr w14:val="tx1"/>
            </w14:solidFill>
          </w14:textFill>
        </w:rPr>
        <w:t>45</w:t>
      </w:r>
      <w:r>
        <w:rPr>
          <w:rFonts w:hint="eastAsia" w:ascii="仿宋" w:hAnsi="仿宋" w:eastAsia="仿宋" w:cs="仿宋"/>
          <w:color w:val="000000" w:themeColor="text1"/>
          <w:sz w:val="24"/>
          <w:highlight w:val="none"/>
          <w14:textFill>
            <w14:solidFill>
              <w14:schemeClr w14:val="tx1"/>
            </w14:solidFill>
          </w14:textFill>
        </w:rPr>
        <w:t>日。</w:t>
      </w:r>
    </w:p>
    <w:p w14:paraId="4800EA0D">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六、同意向贵方提供贵方可能要求的与本次磋商采购有关的任何证据或资料。</w:t>
      </w:r>
    </w:p>
    <w:p w14:paraId="072A0AB2">
      <w:pPr>
        <w:pStyle w:val="49"/>
        <w:pageBreakBefore w:val="0"/>
        <w:spacing w:line="360" w:lineRule="auto"/>
        <w:ind w:firstLine="720"/>
        <w:outlineLvl w:val="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七、完全理解贵方不一定要接受最低的报价或收到的任何报价。</w:t>
      </w:r>
    </w:p>
    <w:p w14:paraId="79B8B07D">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八、</w:t>
      </w:r>
      <w:r>
        <w:rPr>
          <w:rFonts w:hint="eastAsia" w:ascii="仿宋" w:hAnsi="仿宋" w:eastAsia="仿宋" w:cs="仿宋"/>
          <w:color w:val="000000" w:themeColor="text1"/>
          <w:sz w:val="24"/>
          <w:highlight w:val="none"/>
          <w:lang w:eastAsia="zh-CN"/>
          <w14:textFill>
            <w14:solidFill>
              <w14:schemeClr w14:val="tx1"/>
            </w14:solidFill>
          </w14:textFill>
        </w:rPr>
        <w:t>江苏盛彩工程咨询管理有限公司</w:t>
      </w:r>
      <w:r>
        <w:rPr>
          <w:rFonts w:hint="eastAsia" w:ascii="仿宋" w:hAnsi="仿宋" w:eastAsia="仿宋" w:cs="仿宋"/>
          <w:color w:val="000000" w:themeColor="text1"/>
          <w:sz w:val="24"/>
          <w:highlight w:val="none"/>
          <w14:textFill>
            <w14:solidFill>
              <w14:schemeClr w14:val="tx1"/>
            </w14:solidFill>
          </w14:textFill>
        </w:rPr>
        <w:t>有权将我单位本项目的《磋商报价表》予以公示，公示的方式由</w:t>
      </w:r>
      <w:r>
        <w:rPr>
          <w:rFonts w:hint="eastAsia" w:ascii="仿宋" w:hAnsi="仿宋" w:eastAsia="仿宋" w:cs="仿宋"/>
          <w:color w:val="000000" w:themeColor="text1"/>
          <w:sz w:val="24"/>
          <w:highlight w:val="none"/>
          <w:lang w:eastAsia="zh-CN"/>
          <w14:textFill>
            <w14:solidFill>
              <w14:schemeClr w14:val="tx1"/>
            </w14:solidFill>
          </w14:textFill>
        </w:rPr>
        <w:t>江苏盛彩工程咨询管理有限公司</w:t>
      </w:r>
      <w:r>
        <w:rPr>
          <w:rFonts w:hint="eastAsia" w:ascii="仿宋" w:hAnsi="仿宋" w:eastAsia="仿宋" w:cs="仿宋"/>
          <w:color w:val="000000" w:themeColor="text1"/>
          <w:sz w:val="24"/>
          <w:highlight w:val="none"/>
          <w14:textFill>
            <w14:solidFill>
              <w14:schemeClr w14:val="tx1"/>
            </w14:solidFill>
          </w14:textFill>
        </w:rPr>
        <w:t>确定。</w:t>
      </w:r>
    </w:p>
    <w:p w14:paraId="23A8A52B">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3F34129B">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十、同意按照有关规定</w:t>
      </w:r>
      <w:r>
        <w:rPr>
          <w:rFonts w:hint="eastAsia" w:ascii="仿宋" w:hAnsi="仿宋" w:eastAsia="仿宋" w:cs="仿宋"/>
          <w:color w:val="000000" w:themeColor="text1"/>
          <w:sz w:val="24"/>
          <w:highlight w:val="none"/>
          <w:lang w:val="en-US" w:eastAsia="zh-CN"/>
          <w14:textFill>
            <w14:solidFill>
              <w14:schemeClr w14:val="tx1"/>
            </w14:solidFill>
          </w14:textFill>
        </w:rPr>
        <w:t>在领取</w:t>
      </w:r>
      <w:r>
        <w:rPr>
          <w:rFonts w:hint="eastAsia" w:ascii="仿宋" w:hAnsi="仿宋" w:eastAsia="仿宋" w:cs="仿宋"/>
          <w:color w:val="000000" w:themeColor="text1"/>
          <w:sz w:val="24"/>
          <w:highlight w:val="none"/>
          <w:lang w:eastAsia="zh-CN"/>
          <w14:textFill>
            <w14:solidFill>
              <w14:schemeClr w14:val="tx1"/>
            </w14:solidFill>
          </w14:textFill>
        </w:rPr>
        <w:t>成交（中标）通知书</w:t>
      </w:r>
      <w:r>
        <w:rPr>
          <w:rFonts w:hint="eastAsia" w:ascii="仿宋" w:hAnsi="仿宋" w:eastAsia="仿宋" w:cs="仿宋"/>
          <w:color w:val="000000" w:themeColor="text1"/>
          <w:sz w:val="24"/>
          <w:highlight w:val="none"/>
          <w:lang w:val="en-US" w:eastAsia="zh-CN"/>
          <w14:textFill>
            <w14:solidFill>
              <w14:schemeClr w14:val="tx1"/>
            </w14:solidFill>
          </w14:textFill>
        </w:rPr>
        <w:t>前一次性向江苏盛彩工程咨询管理有限公司</w:t>
      </w:r>
      <w:r>
        <w:rPr>
          <w:rFonts w:hint="eastAsia" w:ascii="仿宋" w:hAnsi="仿宋" w:eastAsia="仿宋" w:cs="仿宋"/>
          <w:color w:val="000000" w:themeColor="text1"/>
          <w:sz w:val="24"/>
          <w:highlight w:val="none"/>
          <w14:textFill>
            <w14:solidFill>
              <w14:schemeClr w14:val="tx1"/>
            </w14:solidFill>
          </w14:textFill>
        </w:rPr>
        <w:t>支付代理服务费。</w:t>
      </w:r>
    </w:p>
    <w:p w14:paraId="104E1F5F">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p w14:paraId="22A7FEBA">
      <w:pPr>
        <w:pStyle w:val="58"/>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07291F33">
      <w:pPr>
        <w:pStyle w:val="49"/>
        <w:pageBreakBefore w:val="0"/>
        <w:widowControl/>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w:t>
      </w:r>
      <w:r>
        <w:rPr>
          <w:rFonts w:hint="eastAsia" w:ascii="仿宋" w:hAnsi="仿宋" w:eastAsia="仿宋" w:cs="仿宋"/>
          <w:color w:val="000000" w:themeColor="text1"/>
          <w:sz w:val="24"/>
          <w:highlight w:val="none"/>
          <w:lang w:val="en-US" w:eastAsia="zh-CN"/>
          <w14:textFill>
            <w14:solidFill>
              <w14:schemeClr w14:val="tx1"/>
            </w14:solidFill>
          </w14:textFill>
        </w:rPr>
        <w:t>电子签章</w:t>
      </w:r>
      <w:r>
        <w:rPr>
          <w:rFonts w:hint="eastAsia" w:ascii="仿宋" w:hAnsi="仿宋" w:eastAsia="仿宋" w:cs="仿宋"/>
          <w:color w:val="000000" w:themeColor="text1"/>
          <w:sz w:val="24"/>
          <w:highlight w:val="none"/>
          <w14:textFill>
            <w14:solidFill>
              <w14:schemeClr w14:val="tx1"/>
            </w14:solidFill>
          </w14:textFill>
        </w:rPr>
        <w:t>）：</w:t>
      </w:r>
    </w:p>
    <w:p w14:paraId="08972F8B">
      <w:pPr>
        <w:pStyle w:val="49"/>
        <w:pageBreakBefore w:val="0"/>
        <w:widowControl/>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p>
    <w:p w14:paraId="6C07ED10">
      <w:pPr>
        <w:pStyle w:val="49"/>
        <w:pageBreakBefore w:val="0"/>
        <w:widowControl/>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p>
    <w:p w14:paraId="2358A1AE">
      <w:pPr>
        <w:pStyle w:val="49"/>
        <w:pageBreakBefore w:val="0"/>
        <w:widowControl/>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p>
    <w:p w14:paraId="0D27C871">
      <w:pPr>
        <w:pStyle w:val="49"/>
        <w:pageBreakBefore w:val="0"/>
        <w:widowControl/>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联系电话：</w:t>
      </w:r>
    </w:p>
    <w:p w14:paraId="4048D96C">
      <w:pPr>
        <w:pStyle w:val="49"/>
        <w:pageBreakBefore w:val="0"/>
        <w:widowControl/>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p>
    <w:p w14:paraId="43FDF847">
      <w:pPr>
        <w:pStyle w:val="49"/>
        <w:pageBreakBefore w:val="0"/>
        <w:widowControl/>
        <w:spacing w:line="360" w:lineRule="auto"/>
        <w:ind w:firstLine="472"/>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日期：</w:t>
      </w:r>
    </w:p>
    <w:p w14:paraId="567BA158">
      <w:pPr>
        <w:pStyle w:val="49"/>
        <w:pageBreakBefore w:val="0"/>
        <w:widowControl/>
        <w:spacing w:line="360" w:lineRule="auto"/>
        <w:jc w:val="both"/>
        <w:rPr>
          <w:rStyle w:val="235"/>
          <w:rFonts w:hint="eastAsia" w:ascii="仿宋" w:hAnsi="仿宋" w:eastAsia="仿宋" w:cs="仿宋"/>
          <w:color w:val="000000" w:themeColor="text1"/>
          <w:sz w:val="24"/>
          <w:szCs w:val="24"/>
          <w:highlight w:val="none"/>
          <w14:textFill>
            <w14:solidFill>
              <w14:schemeClr w14:val="tx1"/>
            </w14:solidFill>
          </w14:textFill>
        </w:rPr>
      </w:pPr>
    </w:p>
    <w:p w14:paraId="32EE6EA5">
      <w:pPr>
        <w:pStyle w:val="49"/>
        <w:pageBreakBefore w:val="0"/>
        <w:widowControl/>
        <w:spacing w:line="360" w:lineRule="auto"/>
        <w:jc w:val="center"/>
        <w:rPr>
          <w:rStyle w:val="235"/>
          <w:rFonts w:hint="eastAsia" w:ascii="仿宋" w:hAnsi="仿宋" w:eastAsia="仿宋" w:cs="仿宋"/>
          <w:color w:val="000000" w:themeColor="text1"/>
          <w:sz w:val="24"/>
          <w:szCs w:val="24"/>
          <w:highlight w:val="none"/>
          <w14:textFill>
            <w14:solidFill>
              <w14:schemeClr w14:val="tx1"/>
            </w14:solidFill>
          </w14:textFill>
        </w:rPr>
      </w:pPr>
    </w:p>
    <w:p w14:paraId="34398F24">
      <w:pPr>
        <w:pStyle w:val="73"/>
        <w:rPr>
          <w:rStyle w:val="235"/>
          <w:rFonts w:hint="eastAsia" w:ascii="仿宋" w:hAnsi="仿宋" w:eastAsia="仿宋" w:cs="仿宋"/>
          <w:b/>
          <w:color w:val="000000" w:themeColor="text1"/>
          <w:sz w:val="24"/>
          <w:szCs w:val="24"/>
          <w:highlight w:val="none"/>
          <w14:textFill>
            <w14:solidFill>
              <w14:schemeClr w14:val="tx1"/>
            </w14:solidFill>
          </w14:textFill>
        </w:rPr>
      </w:pPr>
    </w:p>
    <w:p w14:paraId="31853A93">
      <w:pPr>
        <w:pStyle w:val="78"/>
        <w:rPr>
          <w:rStyle w:val="235"/>
          <w:rFonts w:hint="eastAsia" w:ascii="仿宋" w:hAnsi="仿宋" w:eastAsia="仿宋" w:cs="仿宋"/>
          <w:color w:val="000000" w:themeColor="text1"/>
          <w:sz w:val="24"/>
          <w:szCs w:val="24"/>
          <w:highlight w:val="none"/>
          <w14:textFill>
            <w14:solidFill>
              <w14:schemeClr w14:val="tx1"/>
            </w14:solidFill>
          </w14:textFill>
        </w:rPr>
      </w:pPr>
    </w:p>
    <w:p w14:paraId="2BF1E103">
      <w:pPr>
        <w:pStyle w:val="49"/>
        <w:rPr>
          <w:rStyle w:val="235"/>
          <w:rFonts w:hint="eastAsia" w:ascii="仿宋" w:hAnsi="仿宋" w:eastAsia="仿宋" w:cs="仿宋"/>
          <w:color w:val="000000" w:themeColor="text1"/>
          <w:sz w:val="24"/>
          <w:szCs w:val="24"/>
          <w:highlight w:val="none"/>
          <w14:textFill>
            <w14:solidFill>
              <w14:schemeClr w14:val="tx1"/>
            </w14:solidFill>
          </w14:textFill>
        </w:rPr>
      </w:pPr>
    </w:p>
    <w:p w14:paraId="5802254E">
      <w:pPr>
        <w:pStyle w:val="73"/>
        <w:rPr>
          <w:rStyle w:val="235"/>
          <w:rFonts w:hint="eastAsia" w:ascii="仿宋" w:hAnsi="仿宋" w:eastAsia="仿宋" w:cs="仿宋"/>
          <w:b/>
          <w:color w:val="000000" w:themeColor="text1"/>
          <w:sz w:val="24"/>
          <w:szCs w:val="24"/>
          <w:highlight w:val="none"/>
          <w14:textFill>
            <w14:solidFill>
              <w14:schemeClr w14:val="tx1"/>
            </w14:solidFill>
          </w14:textFill>
        </w:rPr>
      </w:pPr>
    </w:p>
    <w:p w14:paraId="7FB44FCF">
      <w:pPr>
        <w:pStyle w:val="78"/>
        <w:rPr>
          <w:rStyle w:val="235"/>
          <w:rFonts w:hint="eastAsia" w:ascii="仿宋" w:hAnsi="仿宋" w:eastAsia="仿宋" w:cs="仿宋"/>
          <w:color w:val="000000" w:themeColor="text1"/>
          <w:sz w:val="24"/>
          <w:szCs w:val="24"/>
          <w:highlight w:val="none"/>
          <w14:textFill>
            <w14:solidFill>
              <w14:schemeClr w14:val="tx1"/>
            </w14:solidFill>
          </w14:textFill>
        </w:rPr>
      </w:pPr>
    </w:p>
    <w:p w14:paraId="7CE4630C">
      <w:pPr>
        <w:pStyle w:val="49"/>
        <w:rPr>
          <w:rStyle w:val="235"/>
          <w:rFonts w:hint="eastAsia" w:ascii="仿宋" w:hAnsi="仿宋" w:eastAsia="仿宋" w:cs="仿宋"/>
          <w:color w:val="000000" w:themeColor="text1"/>
          <w:sz w:val="24"/>
          <w:szCs w:val="24"/>
          <w:highlight w:val="none"/>
          <w14:textFill>
            <w14:solidFill>
              <w14:schemeClr w14:val="tx1"/>
            </w14:solidFill>
          </w14:textFill>
        </w:rPr>
      </w:pPr>
    </w:p>
    <w:p w14:paraId="71849A98">
      <w:pPr>
        <w:pStyle w:val="73"/>
        <w:rPr>
          <w:rStyle w:val="235"/>
          <w:rFonts w:hint="eastAsia" w:ascii="仿宋" w:hAnsi="仿宋" w:eastAsia="仿宋" w:cs="仿宋"/>
          <w:b/>
          <w:color w:val="000000" w:themeColor="text1"/>
          <w:sz w:val="24"/>
          <w:szCs w:val="24"/>
          <w:highlight w:val="none"/>
          <w14:textFill>
            <w14:solidFill>
              <w14:schemeClr w14:val="tx1"/>
            </w14:solidFill>
          </w14:textFill>
        </w:rPr>
      </w:pPr>
    </w:p>
    <w:p w14:paraId="557F2D32">
      <w:pPr>
        <w:pStyle w:val="78"/>
        <w:rPr>
          <w:rStyle w:val="235"/>
          <w:rFonts w:hint="eastAsia" w:ascii="仿宋" w:hAnsi="仿宋" w:eastAsia="仿宋" w:cs="仿宋"/>
          <w:color w:val="000000" w:themeColor="text1"/>
          <w:sz w:val="24"/>
          <w:szCs w:val="24"/>
          <w:highlight w:val="none"/>
          <w14:textFill>
            <w14:solidFill>
              <w14:schemeClr w14:val="tx1"/>
            </w14:solidFill>
          </w14:textFill>
        </w:rPr>
      </w:pPr>
    </w:p>
    <w:p w14:paraId="16736FF9">
      <w:pPr>
        <w:pStyle w:val="49"/>
        <w:rPr>
          <w:rStyle w:val="235"/>
          <w:rFonts w:hint="eastAsia" w:ascii="仿宋" w:hAnsi="仿宋" w:eastAsia="仿宋" w:cs="仿宋"/>
          <w:color w:val="000000" w:themeColor="text1"/>
          <w:sz w:val="24"/>
          <w:szCs w:val="24"/>
          <w:highlight w:val="none"/>
          <w14:textFill>
            <w14:solidFill>
              <w14:schemeClr w14:val="tx1"/>
            </w14:solidFill>
          </w14:textFill>
        </w:rPr>
      </w:pPr>
    </w:p>
    <w:p w14:paraId="6B9B82DF">
      <w:pPr>
        <w:pStyle w:val="73"/>
        <w:rPr>
          <w:rStyle w:val="235"/>
          <w:rFonts w:hint="eastAsia" w:ascii="仿宋" w:hAnsi="仿宋" w:eastAsia="仿宋" w:cs="仿宋"/>
          <w:b/>
          <w:color w:val="000000" w:themeColor="text1"/>
          <w:sz w:val="24"/>
          <w:szCs w:val="24"/>
          <w:highlight w:val="none"/>
          <w14:textFill>
            <w14:solidFill>
              <w14:schemeClr w14:val="tx1"/>
            </w14:solidFill>
          </w14:textFill>
        </w:rPr>
      </w:pPr>
    </w:p>
    <w:p w14:paraId="1E955EC9">
      <w:pPr>
        <w:pStyle w:val="78"/>
        <w:rPr>
          <w:rStyle w:val="235"/>
          <w:rFonts w:hint="eastAsia" w:ascii="仿宋" w:hAnsi="仿宋" w:eastAsia="仿宋" w:cs="仿宋"/>
          <w:color w:val="000000" w:themeColor="text1"/>
          <w:sz w:val="24"/>
          <w:szCs w:val="24"/>
          <w:highlight w:val="none"/>
          <w14:textFill>
            <w14:solidFill>
              <w14:schemeClr w14:val="tx1"/>
            </w14:solidFill>
          </w14:textFill>
        </w:rPr>
      </w:pPr>
    </w:p>
    <w:p w14:paraId="1ED97BB1">
      <w:pPr>
        <w:pStyle w:val="49"/>
        <w:rPr>
          <w:rStyle w:val="235"/>
          <w:rFonts w:hint="eastAsia" w:ascii="仿宋" w:hAnsi="仿宋" w:eastAsia="仿宋" w:cs="仿宋"/>
          <w:color w:val="000000" w:themeColor="text1"/>
          <w:sz w:val="24"/>
          <w:szCs w:val="24"/>
          <w:highlight w:val="none"/>
          <w14:textFill>
            <w14:solidFill>
              <w14:schemeClr w14:val="tx1"/>
            </w14:solidFill>
          </w14:textFill>
        </w:rPr>
      </w:pPr>
    </w:p>
    <w:p w14:paraId="557105FE">
      <w:pPr>
        <w:pStyle w:val="73"/>
        <w:rPr>
          <w:rStyle w:val="235"/>
          <w:rFonts w:hint="eastAsia" w:ascii="仿宋" w:hAnsi="仿宋" w:eastAsia="仿宋" w:cs="仿宋"/>
          <w:b/>
          <w:color w:val="000000" w:themeColor="text1"/>
          <w:sz w:val="24"/>
          <w:szCs w:val="24"/>
          <w:highlight w:val="none"/>
          <w14:textFill>
            <w14:solidFill>
              <w14:schemeClr w14:val="tx1"/>
            </w14:solidFill>
          </w14:textFill>
        </w:rPr>
      </w:pPr>
    </w:p>
    <w:p w14:paraId="6C45DCD6">
      <w:pPr>
        <w:pStyle w:val="78"/>
        <w:rPr>
          <w:rStyle w:val="235"/>
          <w:rFonts w:hint="eastAsia" w:ascii="仿宋" w:hAnsi="仿宋" w:eastAsia="仿宋" w:cs="仿宋"/>
          <w:color w:val="000000" w:themeColor="text1"/>
          <w:sz w:val="24"/>
          <w:szCs w:val="24"/>
          <w:highlight w:val="none"/>
          <w14:textFill>
            <w14:solidFill>
              <w14:schemeClr w14:val="tx1"/>
            </w14:solidFill>
          </w14:textFill>
        </w:rPr>
      </w:pPr>
    </w:p>
    <w:p w14:paraId="4CF70605">
      <w:pPr>
        <w:pStyle w:val="49"/>
        <w:rPr>
          <w:rStyle w:val="235"/>
          <w:rFonts w:hint="eastAsia" w:ascii="仿宋" w:hAnsi="仿宋" w:eastAsia="仿宋" w:cs="仿宋"/>
          <w:color w:val="000000" w:themeColor="text1"/>
          <w:sz w:val="24"/>
          <w:szCs w:val="24"/>
          <w:highlight w:val="none"/>
          <w14:textFill>
            <w14:solidFill>
              <w14:schemeClr w14:val="tx1"/>
            </w14:solidFill>
          </w14:textFill>
        </w:rPr>
      </w:pPr>
    </w:p>
    <w:p w14:paraId="4EE06C42">
      <w:pPr>
        <w:pStyle w:val="73"/>
        <w:rPr>
          <w:rStyle w:val="235"/>
          <w:rFonts w:hint="eastAsia" w:ascii="仿宋" w:hAnsi="仿宋" w:eastAsia="仿宋" w:cs="仿宋"/>
          <w:b/>
          <w:color w:val="000000" w:themeColor="text1"/>
          <w:sz w:val="24"/>
          <w:szCs w:val="24"/>
          <w:highlight w:val="none"/>
          <w14:textFill>
            <w14:solidFill>
              <w14:schemeClr w14:val="tx1"/>
            </w14:solidFill>
          </w14:textFill>
        </w:rPr>
      </w:pPr>
    </w:p>
    <w:p w14:paraId="7F596039">
      <w:pPr>
        <w:pStyle w:val="49"/>
        <w:pageBreakBefore w:val="0"/>
        <w:widowControl/>
        <w:spacing w:line="360" w:lineRule="auto"/>
        <w:jc w:val="center"/>
        <w:outlineLvl w:val="1"/>
        <w:rPr>
          <w:rStyle w:val="235"/>
          <w:rFonts w:hint="eastAsia" w:ascii="仿宋" w:hAnsi="仿宋" w:eastAsia="仿宋" w:cs="仿宋"/>
          <w:color w:val="000000" w:themeColor="text1"/>
          <w:sz w:val="24"/>
          <w:szCs w:val="24"/>
          <w:highlight w:val="none"/>
          <w14:textFill>
            <w14:solidFill>
              <w14:schemeClr w14:val="tx1"/>
            </w14:solidFill>
          </w14:textFill>
        </w:rPr>
      </w:pPr>
    </w:p>
    <w:p w14:paraId="4FAFBDEE">
      <w:pPr>
        <w:pStyle w:val="49"/>
        <w:pageBreakBefore w:val="0"/>
        <w:widowControl/>
        <w:spacing w:line="360" w:lineRule="auto"/>
        <w:jc w:val="center"/>
        <w:outlineLvl w:val="1"/>
        <w:rPr>
          <w:rStyle w:val="235"/>
          <w:rFonts w:hint="eastAsia" w:ascii="仿宋" w:hAnsi="仿宋" w:eastAsia="仿宋" w:cs="仿宋"/>
          <w:color w:val="000000" w:themeColor="text1"/>
          <w:sz w:val="24"/>
          <w:szCs w:val="24"/>
          <w:highlight w:val="none"/>
          <w14:textFill>
            <w14:solidFill>
              <w14:schemeClr w14:val="tx1"/>
            </w14:solidFill>
          </w14:textFill>
        </w:rPr>
      </w:pPr>
    </w:p>
    <w:p w14:paraId="4AEB632B">
      <w:pPr>
        <w:pStyle w:val="49"/>
        <w:pageBreakBefore w:val="0"/>
        <w:widowControl/>
        <w:spacing w:line="360" w:lineRule="auto"/>
        <w:jc w:val="center"/>
        <w:outlineLvl w:val="1"/>
        <w:rPr>
          <w:rStyle w:val="235"/>
          <w:rFonts w:hint="eastAsia" w:ascii="仿宋" w:hAnsi="仿宋" w:eastAsia="仿宋" w:cs="仿宋"/>
          <w:color w:val="000000" w:themeColor="text1"/>
          <w:sz w:val="24"/>
          <w:szCs w:val="24"/>
          <w:highlight w:val="none"/>
          <w14:textFill>
            <w14:solidFill>
              <w14:schemeClr w14:val="tx1"/>
            </w14:solidFill>
          </w14:textFill>
        </w:rPr>
      </w:pPr>
    </w:p>
    <w:p w14:paraId="4F27CBC9">
      <w:pPr>
        <w:pStyle w:val="49"/>
        <w:pageBreakBefore w:val="0"/>
        <w:widowControl/>
        <w:spacing w:line="360" w:lineRule="auto"/>
        <w:jc w:val="center"/>
        <w:outlineLvl w:val="1"/>
        <w:rPr>
          <w:rFonts w:hint="eastAsia" w:ascii="仿宋" w:hAnsi="仿宋" w:eastAsia="仿宋" w:cs="仿宋"/>
          <w:b/>
          <w:color w:val="000000" w:themeColor="text1"/>
          <w:sz w:val="24"/>
          <w:highlight w:val="none"/>
          <w14:textFill>
            <w14:solidFill>
              <w14:schemeClr w14:val="tx1"/>
            </w14:solidFill>
          </w14:textFill>
        </w:rPr>
      </w:pPr>
      <w:r>
        <w:rPr>
          <w:rStyle w:val="235"/>
          <w:rFonts w:hint="eastAsia" w:ascii="仿宋" w:hAnsi="仿宋" w:eastAsia="仿宋" w:cs="仿宋"/>
          <w:color w:val="000000" w:themeColor="text1"/>
          <w:sz w:val="24"/>
          <w:szCs w:val="24"/>
          <w:highlight w:val="none"/>
          <w14:textFill>
            <w14:solidFill>
              <w14:schemeClr w14:val="tx1"/>
            </w14:solidFill>
          </w14:textFill>
        </w:rPr>
        <w:t>7、法人授权委托书</w:t>
      </w:r>
    </w:p>
    <w:p w14:paraId="146C0DBF">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委托人（全称）：</w:t>
      </w:r>
    </w:p>
    <w:p w14:paraId="2D63A690">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  址：</w:t>
      </w:r>
    </w:p>
    <w:p w14:paraId="0FBE76AE">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               </w:t>
      </w:r>
    </w:p>
    <w:p w14:paraId="4EA5906F">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法人营业执照注册号（统一社会信用代码）：</w:t>
      </w:r>
    </w:p>
    <w:p w14:paraId="33CEEE0F">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p w14:paraId="77190C40">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受托人：                  先生（女士）  </w:t>
      </w:r>
    </w:p>
    <w:p w14:paraId="4E6D3F4F">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联系电话：                     </w:t>
      </w:r>
    </w:p>
    <w:p w14:paraId="1CF4E2A7">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身份证号：</w:t>
      </w:r>
    </w:p>
    <w:p w14:paraId="44BEBEEE">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p w14:paraId="424F0B06">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兹委托（           ）全权代表我企业（公司）参与</w:t>
      </w:r>
      <w:r>
        <w:rPr>
          <w:rFonts w:hint="eastAsia" w:ascii="仿宋" w:hAnsi="仿宋" w:eastAsia="仿宋" w:cs="仿宋"/>
          <w:color w:val="000000" w:themeColor="text1"/>
          <w:sz w:val="24"/>
          <w:highlight w:val="none"/>
          <w:u w:val="single"/>
          <w:lang w:eastAsia="zh-CN"/>
          <w14:textFill>
            <w14:solidFill>
              <w14:schemeClr w14:val="tx1"/>
            </w14:solidFill>
          </w14:textFill>
        </w:rPr>
        <w:t>2026年城市污水处理提质增效工程</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项目编号：JSZC-320381-JSSC-C2026-0002</w:t>
      </w:r>
      <w:r>
        <w:rPr>
          <w:rFonts w:hint="eastAsia" w:ascii="仿宋" w:hAnsi="仿宋" w:eastAsia="仿宋" w:cs="仿宋"/>
          <w:color w:val="000000" w:themeColor="text1"/>
          <w:sz w:val="24"/>
          <w:highlight w:val="none"/>
          <w14:textFill>
            <w14:solidFill>
              <w14:schemeClr w14:val="tx1"/>
            </w14:solidFill>
          </w14:textFill>
        </w:rPr>
        <w:t>]的磋商活动。（           ）以我单位名义所为的行为及签署的文件，我单位均予以认可。有关法律责任均由我单位承担。（           ）无转委托权。</w:t>
      </w:r>
    </w:p>
    <w:p w14:paraId="12CB7C74">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委托期限自     年   月  日起至    年   月   日止。</w:t>
      </w:r>
    </w:p>
    <w:p w14:paraId="15F17655">
      <w:pPr>
        <w:pStyle w:val="49"/>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2B5F0E59">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委托人（</w:t>
      </w:r>
      <w:r>
        <w:rPr>
          <w:rFonts w:hint="eastAsia" w:ascii="仿宋" w:hAnsi="仿宋" w:eastAsia="仿宋" w:cs="仿宋"/>
          <w:color w:val="000000" w:themeColor="text1"/>
          <w:sz w:val="24"/>
          <w:highlight w:val="none"/>
          <w:lang w:val="en-US" w:eastAsia="zh-CN"/>
          <w14:textFill>
            <w14:solidFill>
              <w14:schemeClr w14:val="tx1"/>
            </w14:solidFill>
          </w14:textFill>
        </w:rPr>
        <w:t>电子签章</w:t>
      </w:r>
      <w:r>
        <w:rPr>
          <w:rFonts w:hint="eastAsia" w:ascii="仿宋" w:hAnsi="仿宋" w:eastAsia="仿宋" w:cs="仿宋"/>
          <w:color w:val="000000" w:themeColor="text1"/>
          <w:sz w:val="24"/>
          <w:highlight w:val="none"/>
          <w14:textFill>
            <w14:solidFill>
              <w14:schemeClr w14:val="tx1"/>
            </w14:solidFill>
          </w14:textFill>
        </w:rPr>
        <w:t>）：</w:t>
      </w:r>
    </w:p>
    <w:p w14:paraId="668B88F5">
      <w:pPr>
        <w:pStyle w:val="49"/>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3E6796FB">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法定代表人（签字）：</w:t>
      </w:r>
    </w:p>
    <w:p w14:paraId="10B03876">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p w14:paraId="1F69BF17">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日期：    年   月   日</w:t>
      </w:r>
    </w:p>
    <w:p w14:paraId="1EA63A90">
      <w:pPr>
        <w:pStyle w:val="49"/>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2E5929FB">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受托人（签字）：</w:t>
      </w:r>
    </w:p>
    <w:p w14:paraId="7BE7DEEF">
      <w:pPr>
        <w:pStyle w:val="49"/>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0421DF9E">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日期：    年   月   日</w:t>
      </w:r>
    </w:p>
    <w:p w14:paraId="0FBA6468">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p w14:paraId="5E16D389">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法定代表人、</w:t>
      </w:r>
      <w:r>
        <w:rPr>
          <w:rFonts w:hint="eastAsia" w:ascii="仿宋" w:hAnsi="仿宋" w:eastAsia="仿宋" w:cs="仿宋"/>
          <w:color w:val="000000" w:themeColor="text1"/>
          <w:sz w:val="24"/>
          <w:highlight w:val="none"/>
          <w14:textFill>
            <w14:solidFill>
              <w14:schemeClr w14:val="tx1"/>
            </w14:solidFill>
          </w14:textFill>
        </w:rPr>
        <w:t>受托人身份证正反面附后（加盖电子章）)</w:t>
      </w:r>
    </w:p>
    <w:p w14:paraId="7FC61489">
      <w:pPr>
        <w:pStyle w:val="58"/>
        <w:rPr>
          <w:rFonts w:hint="eastAsia" w:ascii="仿宋" w:hAnsi="仿宋" w:eastAsia="仿宋" w:cs="仿宋"/>
          <w:highlight w:val="none"/>
        </w:rPr>
      </w:pPr>
    </w:p>
    <w:p w14:paraId="5C33E44F">
      <w:pPr>
        <w:pStyle w:val="49"/>
        <w:pageBreakBefore w:val="0"/>
        <w:spacing w:line="360" w:lineRule="auto"/>
        <w:jc w:val="center"/>
        <w:outlineLvl w:val="1"/>
        <w:rPr>
          <w:rStyle w:val="235"/>
          <w:rFonts w:hint="eastAsia" w:ascii="仿宋" w:hAnsi="仿宋" w:eastAsia="仿宋" w:cs="仿宋"/>
          <w:color w:val="000000" w:themeColor="text1"/>
          <w:sz w:val="24"/>
          <w:szCs w:val="24"/>
          <w:highlight w:val="none"/>
          <w14:textFill>
            <w14:solidFill>
              <w14:schemeClr w14:val="tx1"/>
            </w14:solidFill>
          </w14:textFill>
        </w:rPr>
      </w:pPr>
    </w:p>
    <w:p w14:paraId="21328ECF">
      <w:pPr>
        <w:pStyle w:val="49"/>
        <w:pageBreakBefore w:val="0"/>
        <w:spacing w:line="360" w:lineRule="auto"/>
        <w:jc w:val="center"/>
        <w:outlineLvl w:val="1"/>
        <w:rPr>
          <w:rStyle w:val="235"/>
          <w:rFonts w:hint="eastAsia" w:ascii="仿宋" w:hAnsi="仿宋" w:eastAsia="仿宋" w:cs="仿宋"/>
          <w:color w:val="000000" w:themeColor="text1"/>
          <w:sz w:val="24"/>
          <w:szCs w:val="24"/>
          <w:highlight w:val="none"/>
          <w14:textFill>
            <w14:solidFill>
              <w14:schemeClr w14:val="tx1"/>
            </w14:solidFill>
          </w14:textFill>
        </w:rPr>
      </w:pPr>
      <w:r>
        <w:rPr>
          <w:rStyle w:val="235"/>
          <w:rFonts w:hint="eastAsia" w:ascii="仿宋" w:hAnsi="仿宋" w:eastAsia="仿宋" w:cs="仿宋"/>
          <w:color w:val="000000" w:themeColor="text1"/>
          <w:sz w:val="24"/>
          <w:szCs w:val="24"/>
          <w:highlight w:val="none"/>
          <w14:textFill>
            <w14:solidFill>
              <w14:schemeClr w14:val="tx1"/>
            </w14:solidFill>
          </w14:textFill>
        </w:rPr>
        <w:t>8、供应商参加政府采购活动前3年内在经营活动中没有重大违法记录的书面声明</w:t>
      </w:r>
    </w:p>
    <w:p w14:paraId="0F3E331F">
      <w:pPr>
        <w:pStyle w:val="49"/>
        <w:pageBreakBefore w:val="0"/>
        <w:spacing w:line="360" w:lineRule="auto"/>
        <w:ind w:firstLine="472"/>
        <w:rPr>
          <w:rFonts w:hint="eastAsia" w:ascii="仿宋" w:hAnsi="仿宋" w:eastAsia="仿宋" w:cs="仿宋"/>
          <w:b/>
          <w:color w:val="000000" w:themeColor="text1"/>
          <w:sz w:val="24"/>
          <w:highlight w:val="none"/>
          <w14:textFill>
            <w14:solidFill>
              <w14:schemeClr w14:val="tx1"/>
            </w14:solidFill>
          </w14:textFill>
        </w:rPr>
      </w:pPr>
    </w:p>
    <w:p w14:paraId="54651D66">
      <w:pPr>
        <w:pStyle w:val="49"/>
        <w:pageBreakBefore w:val="0"/>
        <w:spacing w:line="360" w:lineRule="auto"/>
        <w:ind w:firstLine="472"/>
        <w:rPr>
          <w:rFonts w:hint="eastAsia" w:ascii="仿宋" w:hAnsi="仿宋" w:eastAsia="仿宋" w:cs="仿宋"/>
          <w:b/>
          <w:color w:val="000000" w:themeColor="text1"/>
          <w:sz w:val="24"/>
          <w:highlight w:val="none"/>
          <w14:textFill>
            <w14:solidFill>
              <w14:schemeClr w14:val="tx1"/>
            </w14:solidFill>
          </w14:textFill>
        </w:rPr>
      </w:pPr>
    </w:p>
    <w:p w14:paraId="49A74BD8">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我单位在参加</w:t>
      </w:r>
      <w:r>
        <w:rPr>
          <w:rFonts w:hint="eastAsia" w:ascii="仿宋" w:hAnsi="仿宋" w:eastAsia="仿宋" w:cs="仿宋"/>
          <w:color w:val="000000" w:themeColor="text1"/>
          <w:sz w:val="24"/>
          <w:highlight w:val="none"/>
          <w:lang w:eastAsia="zh-CN"/>
          <w14:textFill>
            <w14:solidFill>
              <w14:schemeClr w14:val="tx1"/>
            </w14:solidFill>
          </w14:textFill>
        </w:rPr>
        <w:t>2026年城市污水处理提质增效工程</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项目编号：JSZC-320381-JSSC-C2026-0002</w:t>
      </w:r>
      <w:r>
        <w:rPr>
          <w:rFonts w:hint="eastAsia" w:ascii="仿宋" w:hAnsi="仿宋" w:eastAsia="仿宋" w:cs="仿宋"/>
          <w:color w:val="000000" w:themeColor="text1"/>
          <w:sz w:val="24"/>
          <w:highlight w:val="none"/>
          <w14:textFill>
            <w14:solidFill>
              <w14:schemeClr w14:val="tx1"/>
            </w14:solidFill>
          </w14:textFill>
        </w:rPr>
        <w:t>]政府采购活动前3年内在经营活动中没有重大违法记录。重大违法记录是指因违法经营受到刑事处罚或者责令停产停业、吊销许可证或者执照、较大数额罚款等行政处罚。</w:t>
      </w:r>
    </w:p>
    <w:p w14:paraId="4987DD6E">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我单位对上述声明的真实性负责。如有虚假，将依法承担相应责任。</w:t>
      </w:r>
    </w:p>
    <w:p w14:paraId="14537480">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w:t>
      </w:r>
    </w:p>
    <w:p w14:paraId="4598784F">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p w14:paraId="564562B2">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法定代表人(负责人)或授权代表（签字或盖章）：</w:t>
      </w:r>
    </w:p>
    <w:p w14:paraId="10369434">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p w14:paraId="01523D2D">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供应商名称：</w:t>
      </w:r>
    </w:p>
    <w:p w14:paraId="419C4E1B">
      <w:pPr>
        <w:pStyle w:val="58"/>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01C65C57">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电子签章</w:t>
      </w:r>
      <w:r>
        <w:rPr>
          <w:rFonts w:hint="eastAsia" w:ascii="仿宋" w:hAnsi="仿宋" w:eastAsia="仿宋" w:cs="仿宋"/>
          <w:color w:val="000000" w:themeColor="text1"/>
          <w:sz w:val="24"/>
          <w:highlight w:val="none"/>
          <w14:textFill>
            <w14:solidFill>
              <w14:schemeClr w14:val="tx1"/>
            </w14:solidFill>
          </w14:textFill>
        </w:rPr>
        <w:t>：</w:t>
      </w:r>
    </w:p>
    <w:p w14:paraId="0E3366EB">
      <w:pPr>
        <w:pStyle w:val="58"/>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35277AC3">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日期：   年  月  日</w:t>
      </w:r>
    </w:p>
    <w:p w14:paraId="0FBEB80C">
      <w:pPr>
        <w:pStyle w:val="49"/>
        <w:pageBreakBefore w:val="0"/>
        <w:spacing w:line="360" w:lineRule="auto"/>
        <w:ind w:firstLine="472"/>
        <w:rPr>
          <w:rFonts w:hint="eastAsia" w:ascii="仿宋" w:hAnsi="仿宋" w:eastAsia="仿宋" w:cs="仿宋"/>
          <w:b/>
          <w:color w:val="000000" w:themeColor="text1"/>
          <w:sz w:val="24"/>
          <w:highlight w:val="none"/>
          <w14:textFill>
            <w14:solidFill>
              <w14:schemeClr w14:val="tx1"/>
            </w14:solidFill>
          </w14:textFill>
        </w:rPr>
      </w:pPr>
    </w:p>
    <w:p w14:paraId="45DD0A8F">
      <w:pPr>
        <w:pStyle w:val="49"/>
        <w:pageBreakBefore w:val="0"/>
        <w:spacing w:line="360" w:lineRule="auto"/>
        <w:ind w:firstLine="472"/>
        <w:rPr>
          <w:rFonts w:hint="eastAsia" w:ascii="仿宋" w:hAnsi="仿宋" w:eastAsia="仿宋" w:cs="仿宋"/>
          <w:b/>
          <w:color w:val="000000" w:themeColor="text1"/>
          <w:sz w:val="24"/>
          <w:highlight w:val="none"/>
          <w14:textFill>
            <w14:solidFill>
              <w14:schemeClr w14:val="tx1"/>
            </w14:solidFill>
          </w14:textFill>
        </w:rPr>
      </w:pPr>
    </w:p>
    <w:p w14:paraId="64B32908">
      <w:pPr>
        <w:pStyle w:val="49"/>
        <w:pageBreakBefore w:val="0"/>
        <w:spacing w:line="360" w:lineRule="auto"/>
        <w:jc w:val="center"/>
        <w:rPr>
          <w:rFonts w:hint="eastAsia" w:ascii="仿宋" w:hAnsi="仿宋" w:eastAsia="仿宋" w:cs="仿宋"/>
          <w:b/>
          <w:color w:val="000000" w:themeColor="text1"/>
          <w:sz w:val="24"/>
          <w:highlight w:val="none"/>
          <w14:textFill>
            <w14:solidFill>
              <w14:schemeClr w14:val="tx1"/>
            </w14:solidFill>
          </w14:textFill>
        </w:rPr>
      </w:pPr>
    </w:p>
    <w:p w14:paraId="215907C4">
      <w:pPr>
        <w:pStyle w:val="49"/>
        <w:pageBreakBefore w:val="0"/>
        <w:spacing w:line="360" w:lineRule="auto"/>
        <w:jc w:val="center"/>
        <w:rPr>
          <w:rFonts w:hint="eastAsia" w:ascii="仿宋" w:hAnsi="仿宋" w:eastAsia="仿宋" w:cs="仿宋"/>
          <w:b/>
          <w:color w:val="000000" w:themeColor="text1"/>
          <w:sz w:val="24"/>
          <w:highlight w:val="none"/>
          <w14:textFill>
            <w14:solidFill>
              <w14:schemeClr w14:val="tx1"/>
            </w14:solidFill>
          </w14:textFill>
        </w:rPr>
      </w:pPr>
    </w:p>
    <w:p w14:paraId="01135212">
      <w:pPr>
        <w:pStyle w:val="49"/>
        <w:pageBreakBefore w:val="0"/>
        <w:spacing w:line="360" w:lineRule="auto"/>
        <w:jc w:val="center"/>
        <w:rPr>
          <w:rFonts w:hint="eastAsia" w:ascii="仿宋" w:hAnsi="仿宋" w:eastAsia="仿宋" w:cs="仿宋"/>
          <w:b/>
          <w:color w:val="000000" w:themeColor="text1"/>
          <w:sz w:val="24"/>
          <w:highlight w:val="none"/>
          <w14:textFill>
            <w14:solidFill>
              <w14:schemeClr w14:val="tx1"/>
            </w14:solidFill>
          </w14:textFill>
        </w:rPr>
      </w:pPr>
    </w:p>
    <w:p w14:paraId="4FB849F9">
      <w:pPr>
        <w:pStyle w:val="49"/>
        <w:pageBreakBefore w:val="0"/>
        <w:spacing w:line="360" w:lineRule="auto"/>
        <w:jc w:val="center"/>
        <w:rPr>
          <w:rFonts w:hint="eastAsia" w:ascii="仿宋" w:hAnsi="仿宋" w:eastAsia="仿宋" w:cs="仿宋"/>
          <w:b/>
          <w:color w:val="000000" w:themeColor="text1"/>
          <w:sz w:val="24"/>
          <w:highlight w:val="none"/>
          <w14:textFill>
            <w14:solidFill>
              <w14:schemeClr w14:val="tx1"/>
            </w14:solidFill>
          </w14:textFill>
        </w:rPr>
      </w:pPr>
    </w:p>
    <w:p w14:paraId="2B88018B">
      <w:pPr>
        <w:pStyle w:val="49"/>
        <w:pageBreakBefore w:val="0"/>
        <w:spacing w:line="360" w:lineRule="auto"/>
        <w:jc w:val="center"/>
        <w:rPr>
          <w:rFonts w:hint="eastAsia" w:ascii="仿宋" w:hAnsi="仿宋" w:eastAsia="仿宋" w:cs="仿宋"/>
          <w:b/>
          <w:color w:val="000000" w:themeColor="text1"/>
          <w:sz w:val="24"/>
          <w:highlight w:val="none"/>
          <w14:textFill>
            <w14:solidFill>
              <w14:schemeClr w14:val="tx1"/>
            </w14:solidFill>
          </w14:textFill>
        </w:rPr>
      </w:pPr>
    </w:p>
    <w:p w14:paraId="51020353">
      <w:pPr>
        <w:pStyle w:val="49"/>
        <w:pageBreakBefore w:val="0"/>
        <w:spacing w:line="360" w:lineRule="auto"/>
        <w:jc w:val="center"/>
        <w:rPr>
          <w:rFonts w:hint="eastAsia" w:ascii="仿宋" w:hAnsi="仿宋" w:eastAsia="仿宋" w:cs="仿宋"/>
          <w:b/>
          <w:color w:val="000000" w:themeColor="text1"/>
          <w:sz w:val="24"/>
          <w:highlight w:val="none"/>
          <w14:textFill>
            <w14:solidFill>
              <w14:schemeClr w14:val="tx1"/>
            </w14:solidFill>
          </w14:textFill>
        </w:rPr>
      </w:pPr>
    </w:p>
    <w:p w14:paraId="6DF64778">
      <w:pPr>
        <w:pStyle w:val="49"/>
        <w:pageBreakBefore w:val="0"/>
        <w:spacing w:line="360" w:lineRule="auto"/>
        <w:jc w:val="center"/>
        <w:rPr>
          <w:rFonts w:hint="eastAsia" w:ascii="仿宋" w:hAnsi="仿宋" w:eastAsia="仿宋" w:cs="仿宋"/>
          <w:b/>
          <w:color w:val="000000" w:themeColor="text1"/>
          <w:sz w:val="24"/>
          <w:highlight w:val="none"/>
          <w14:textFill>
            <w14:solidFill>
              <w14:schemeClr w14:val="tx1"/>
            </w14:solidFill>
          </w14:textFill>
        </w:rPr>
      </w:pPr>
    </w:p>
    <w:p w14:paraId="1CEAC4A5">
      <w:pPr>
        <w:pStyle w:val="58"/>
        <w:rPr>
          <w:rFonts w:hint="eastAsia" w:ascii="仿宋" w:hAnsi="仿宋" w:eastAsia="仿宋" w:cs="仿宋"/>
          <w:b/>
          <w:color w:val="000000" w:themeColor="text1"/>
          <w:sz w:val="24"/>
          <w:highlight w:val="none"/>
          <w14:textFill>
            <w14:solidFill>
              <w14:schemeClr w14:val="tx1"/>
            </w14:solidFill>
          </w14:textFill>
        </w:rPr>
      </w:pPr>
    </w:p>
    <w:p w14:paraId="4AD06A80">
      <w:pPr>
        <w:pStyle w:val="68"/>
        <w:outlineLvl w:val="9"/>
        <w:rPr>
          <w:rFonts w:hint="eastAsia" w:ascii="仿宋" w:hAnsi="仿宋" w:eastAsia="仿宋" w:cs="仿宋"/>
          <w:highlight w:val="none"/>
        </w:rPr>
        <w:sectPr>
          <w:pgSz w:w="11906" w:h="16838"/>
          <w:pgMar w:top="1418" w:right="1474" w:bottom="1701" w:left="1588" w:header="851" w:footer="1418" w:gutter="0"/>
          <w:pgNumType w:fmt="decimal"/>
          <w:cols w:space="720" w:num="1"/>
          <w:docGrid w:linePitch="360" w:charSpace="0"/>
        </w:sectPr>
      </w:pPr>
    </w:p>
    <w:p w14:paraId="77E45D56">
      <w:pPr>
        <w:pStyle w:val="51"/>
        <w:pageBreakBefore w:val="0"/>
        <w:spacing w:line="360" w:lineRule="auto"/>
        <w:jc w:val="center"/>
        <w:outlineLvl w:val="1"/>
        <w:rPr>
          <w:rStyle w:val="235"/>
          <w:rFonts w:hint="eastAsia" w:ascii="仿宋" w:hAnsi="仿宋" w:eastAsia="仿宋" w:cs="仿宋"/>
          <w:color w:val="000000" w:themeColor="text1"/>
          <w:sz w:val="24"/>
          <w:szCs w:val="24"/>
          <w:highlight w:val="none"/>
          <w14:textFill>
            <w14:solidFill>
              <w14:schemeClr w14:val="tx1"/>
            </w14:solidFill>
          </w14:textFill>
        </w:rPr>
      </w:pPr>
      <w:r>
        <w:rPr>
          <w:rStyle w:val="235"/>
          <w:rFonts w:hint="eastAsia" w:ascii="仿宋" w:hAnsi="仿宋" w:eastAsia="仿宋" w:cs="仿宋"/>
          <w:color w:val="000000" w:themeColor="text1"/>
          <w:sz w:val="24"/>
          <w:szCs w:val="24"/>
          <w:highlight w:val="none"/>
          <w14:textFill>
            <w14:solidFill>
              <w14:schemeClr w14:val="tx1"/>
            </w14:solidFill>
          </w14:textFill>
        </w:rPr>
        <w:t>9. 具备履行合同所必需的设备和专业技术能力的书面声明</w:t>
      </w:r>
    </w:p>
    <w:p w14:paraId="5C8BC021">
      <w:pPr>
        <w:pStyle w:val="51"/>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457A9BDA">
      <w:pPr>
        <w:pStyle w:val="51"/>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60D1990E">
      <w:pPr>
        <w:pStyle w:val="51"/>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511B6B43">
      <w:pPr>
        <w:pStyle w:val="51"/>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项目名称：</w:t>
      </w:r>
      <w:r>
        <w:rPr>
          <w:rFonts w:hint="eastAsia" w:ascii="仿宋" w:hAnsi="仿宋" w:eastAsia="仿宋" w:cs="仿宋"/>
          <w:color w:val="000000" w:themeColor="text1"/>
          <w:sz w:val="24"/>
          <w:highlight w:val="none"/>
          <w:u w:val="single"/>
          <w:lang w:eastAsia="zh-CN"/>
          <w14:textFill>
            <w14:solidFill>
              <w14:schemeClr w14:val="tx1"/>
            </w14:solidFill>
          </w14:textFill>
        </w:rPr>
        <w:t>2026年城市污水处理提质增效工程</w:t>
      </w:r>
    </w:p>
    <w:p w14:paraId="4B073598">
      <w:pPr>
        <w:pStyle w:val="51"/>
        <w:pageBreakBefore w:val="0"/>
        <w:spacing w:line="360" w:lineRule="auto"/>
        <w:rPr>
          <w:rFonts w:hint="eastAsia" w:ascii="仿宋" w:hAnsi="仿宋" w:eastAsia="仿宋" w:cs="仿宋"/>
          <w:color w:val="000000" w:themeColor="text1"/>
          <w:sz w:val="24"/>
          <w:highlight w:val="none"/>
          <w:u w:val="singl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项目编号：JSZC-320381-JSSC-C2026-0002</w:t>
      </w:r>
    </w:p>
    <w:p w14:paraId="68DEE73D">
      <w:pPr>
        <w:pStyle w:val="51"/>
        <w:pageBreakBefore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p>
    <w:p w14:paraId="447A4F03">
      <w:pPr>
        <w:pStyle w:val="51"/>
        <w:pageBreakBefore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我单位郑重声明：我单位具备履行合同（项目名称：</w:t>
      </w:r>
      <w:r>
        <w:rPr>
          <w:rFonts w:hint="eastAsia" w:ascii="仿宋" w:hAnsi="仿宋" w:eastAsia="仿宋" w:cs="仿宋"/>
          <w:color w:val="000000" w:themeColor="text1"/>
          <w:sz w:val="24"/>
          <w:highlight w:val="none"/>
          <w:u w:val="single"/>
          <w:lang w:eastAsia="zh-CN"/>
          <w14:textFill>
            <w14:solidFill>
              <w14:schemeClr w14:val="tx1"/>
            </w14:solidFill>
          </w14:textFill>
        </w:rPr>
        <w:t>2026年城市污水处理提质增效工程</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项目编号：JSZC-320381-JSSC-C2026-0002</w:t>
      </w:r>
      <w:r>
        <w:rPr>
          <w:rFonts w:hint="eastAsia" w:ascii="仿宋" w:hAnsi="仿宋" w:eastAsia="仿宋" w:cs="仿宋"/>
          <w:color w:val="000000" w:themeColor="text1"/>
          <w:sz w:val="24"/>
          <w:highlight w:val="none"/>
          <w14:textFill>
            <w14:solidFill>
              <w14:schemeClr w14:val="tx1"/>
            </w14:solidFill>
          </w14:textFill>
        </w:rPr>
        <w:t>）所必需的设备和专业技术能力。</w:t>
      </w:r>
    </w:p>
    <w:p w14:paraId="0A95591A">
      <w:pPr>
        <w:pStyle w:val="51"/>
        <w:pageBreakBefore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p>
    <w:p w14:paraId="7AAD19A2">
      <w:pPr>
        <w:pStyle w:val="51"/>
        <w:pageBreakBefore w:val="0"/>
        <w:widowControl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特此声明。</w:t>
      </w:r>
    </w:p>
    <w:p w14:paraId="4B124F6D">
      <w:pPr>
        <w:pStyle w:val="51"/>
        <w:pageBreakBefore w:val="0"/>
        <w:widowControl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我单位对上述声明的真实性负责。如有虚假，将依法承担相应责任。</w:t>
      </w:r>
    </w:p>
    <w:p w14:paraId="52B6ACA8">
      <w:pPr>
        <w:pStyle w:val="51"/>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6871C606">
      <w:pPr>
        <w:pStyle w:val="51"/>
        <w:pageBreakBefore w:val="0"/>
        <w:spacing w:line="360" w:lineRule="auto"/>
        <w:ind w:firstLine="3000"/>
        <w:rPr>
          <w:rFonts w:hint="eastAsia" w:ascii="仿宋" w:hAnsi="仿宋" w:eastAsia="仿宋" w:cs="仿宋"/>
          <w:color w:val="000000" w:themeColor="text1"/>
          <w:sz w:val="24"/>
          <w:highlight w:val="none"/>
          <w14:textFill>
            <w14:solidFill>
              <w14:schemeClr w14:val="tx1"/>
            </w14:solidFill>
          </w14:textFill>
        </w:rPr>
      </w:pPr>
    </w:p>
    <w:p w14:paraId="71BBE7AC">
      <w:pPr>
        <w:pStyle w:val="49"/>
        <w:pageBreakBefore w:val="0"/>
        <w:spacing w:line="360" w:lineRule="auto"/>
        <w:ind w:firstLine="31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w:t>
      </w:r>
      <w:r>
        <w:rPr>
          <w:rFonts w:hint="eastAsia" w:ascii="仿宋" w:hAnsi="仿宋" w:eastAsia="仿宋" w:cs="仿宋"/>
          <w:color w:val="000000" w:themeColor="text1"/>
          <w:sz w:val="24"/>
          <w:highlight w:val="none"/>
          <w:lang w:val="en-US" w:eastAsia="zh-CN"/>
          <w14:textFill>
            <w14:solidFill>
              <w14:schemeClr w14:val="tx1"/>
            </w14:solidFill>
          </w14:textFill>
        </w:rPr>
        <w:t>电子签章</w:t>
      </w:r>
      <w:r>
        <w:rPr>
          <w:rFonts w:hint="eastAsia" w:ascii="仿宋" w:hAnsi="仿宋" w:eastAsia="仿宋" w:cs="仿宋"/>
          <w:color w:val="000000" w:themeColor="text1"/>
          <w:sz w:val="24"/>
          <w:highlight w:val="none"/>
          <w14:textFill>
            <w14:solidFill>
              <w14:schemeClr w14:val="tx1"/>
            </w14:solidFill>
          </w14:textFill>
        </w:rPr>
        <w:t>）</w:t>
      </w:r>
    </w:p>
    <w:p w14:paraId="454A4220">
      <w:pPr>
        <w:pStyle w:val="49"/>
        <w:pageBreakBefore w:val="0"/>
        <w:spacing w:line="360" w:lineRule="auto"/>
        <w:ind w:firstLine="31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法定代表人(负责人)或授权代表（签字或盖章）：</w:t>
      </w:r>
    </w:p>
    <w:p w14:paraId="215F04DC">
      <w:pPr>
        <w:pStyle w:val="49"/>
        <w:pageBreakBefore w:val="0"/>
        <w:spacing w:line="360" w:lineRule="auto"/>
        <w:ind w:firstLine="31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日期：  年  月  日</w:t>
      </w:r>
    </w:p>
    <w:p w14:paraId="6441F6AE">
      <w:pPr>
        <w:pStyle w:val="49"/>
        <w:pageBreakBefore w:val="0"/>
        <w:spacing w:line="360" w:lineRule="auto"/>
        <w:jc w:val="center"/>
        <w:outlineLvl w:val="1"/>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br w:type="page" w:clear="all"/>
      </w:r>
      <w:r>
        <w:rPr>
          <w:rStyle w:val="235"/>
          <w:rFonts w:hint="eastAsia" w:ascii="仿宋" w:hAnsi="仿宋" w:eastAsia="仿宋" w:cs="仿宋"/>
          <w:color w:val="000000" w:themeColor="text1"/>
          <w:sz w:val="24"/>
          <w:szCs w:val="24"/>
          <w:highlight w:val="none"/>
          <w14:textFill>
            <w14:solidFill>
              <w14:schemeClr w14:val="tx1"/>
            </w14:solidFill>
          </w14:textFill>
        </w:rPr>
        <w:t>10、中小企业声明函</w:t>
      </w:r>
    </w:p>
    <w:p w14:paraId="7081F6DB">
      <w:pPr>
        <w:pStyle w:val="49"/>
        <w:pageBreakBefore w:val="0"/>
        <w:spacing w:before="292"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项目名称：</w:t>
      </w:r>
    </w:p>
    <w:p w14:paraId="22196D77">
      <w:pPr>
        <w:pStyle w:val="49"/>
        <w:pageBreakBefore w:val="0"/>
        <w:spacing w:line="360" w:lineRule="auto"/>
        <w:ind w:firstLine="48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项目编号：JSZC-320381-JSSC-C2026-0002</w:t>
      </w:r>
    </w:p>
    <w:p w14:paraId="781C99B1">
      <w:pPr>
        <w:pStyle w:val="49"/>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本公司郑重声明，根据《政府采购促进中小企业发展管理办法》（财库﹝2020﹞46 号）的规定，本公司参加</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eastAsia="zh-CN"/>
        </w:rPr>
        <w:t>新沂市住房和城乡建设局</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eastAsia="zh-CN"/>
        </w:rPr>
        <w:t>2026年城市污水处理提质增效工程</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采购活动，工程的施工单位全部为符合政策要求的中小企业。相关企业的具体情况如下：</w:t>
      </w:r>
    </w:p>
    <w:p w14:paraId="71980494">
      <w:pPr>
        <w:pStyle w:val="49"/>
        <w:spacing w:line="360" w:lineRule="auto"/>
        <w:ind w:firstLine="480"/>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eastAsia="zh-CN"/>
        </w:rPr>
        <w:t>2026年城市污水处理提质增效工程</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建筑业</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；承建（承接）企业为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万元，属于（□中型企业、□小型企业、□微型企业，请勾选）；</w:t>
      </w:r>
    </w:p>
    <w:p w14:paraId="7F5464EE">
      <w:pPr>
        <w:pStyle w:val="49"/>
        <w:spacing w:line="360" w:lineRule="auto"/>
        <w:ind w:firstLine="480"/>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14:paraId="2B31D906">
      <w:pPr>
        <w:pStyle w:val="49"/>
        <w:spacing w:line="360" w:lineRule="auto"/>
        <w:ind w:firstLine="480"/>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本企业对上述声明内容的真实性负责。如有虚假，将依法承担相应责任。</w:t>
      </w:r>
    </w:p>
    <w:p w14:paraId="34B9AE75">
      <w:pPr>
        <w:pStyle w:val="49"/>
        <w:widowControl/>
        <w:spacing w:line="360" w:lineRule="auto"/>
        <w:ind w:firstLine="600"/>
        <w:jc w:val="left"/>
        <w:rPr>
          <w:rFonts w:hint="eastAsia" w:ascii="仿宋" w:hAnsi="仿宋" w:eastAsia="仿宋" w:cs="仿宋"/>
          <w:color w:val="auto"/>
          <w:sz w:val="24"/>
          <w:szCs w:val="24"/>
          <w:highlight w:val="none"/>
        </w:rPr>
      </w:pPr>
    </w:p>
    <w:p w14:paraId="409AC396">
      <w:pPr>
        <w:pStyle w:val="49"/>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w:t>
      </w:r>
      <w:r>
        <w:rPr>
          <w:rFonts w:hint="eastAsia" w:ascii="仿宋" w:hAnsi="仿宋" w:eastAsia="仿宋" w:cs="仿宋"/>
          <w:color w:val="auto"/>
          <w:sz w:val="24"/>
          <w:szCs w:val="24"/>
          <w:highlight w:val="none"/>
          <w:lang w:val="en-US" w:eastAsia="zh-CN"/>
        </w:rPr>
        <w:t>电子签章</w:t>
      </w:r>
      <w:r>
        <w:rPr>
          <w:rFonts w:hint="eastAsia" w:ascii="仿宋" w:hAnsi="仿宋" w:eastAsia="仿宋" w:cs="仿宋"/>
          <w:color w:val="auto"/>
          <w:sz w:val="24"/>
          <w:szCs w:val="24"/>
          <w:highlight w:val="none"/>
        </w:rPr>
        <w:t>）：</w:t>
      </w:r>
    </w:p>
    <w:p w14:paraId="3E93D745">
      <w:pPr>
        <w:pStyle w:val="49"/>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年  月  日</w:t>
      </w:r>
    </w:p>
    <w:p w14:paraId="6FB86A37">
      <w:pPr>
        <w:pStyle w:val="47"/>
        <w:rPr>
          <w:rFonts w:hint="eastAsia" w:ascii="仿宋" w:hAnsi="仿宋" w:eastAsia="仿宋" w:cs="仿宋"/>
          <w:color w:val="auto"/>
          <w:sz w:val="24"/>
          <w:szCs w:val="24"/>
          <w:highlight w:val="none"/>
        </w:rPr>
      </w:pPr>
    </w:p>
    <w:p w14:paraId="56138EF0">
      <w:pPr>
        <w:pStyle w:val="49"/>
        <w:spacing w:line="360" w:lineRule="auto"/>
        <w:ind w:firstLine="482"/>
        <w:rPr>
          <w:rFonts w:hint="eastAsia" w:ascii="仿宋" w:hAnsi="仿宋" w:eastAsia="仿宋" w:cs="仿宋"/>
          <w:b/>
          <w:color w:val="auto"/>
          <w:sz w:val="24"/>
          <w:szCs w:val="24"/>
          <w:highlight w:val="none"/>
        </w:rPr>
      </w:pPr>
    </w:p>
    <w:p w14:paraId="2FDD352D">
      <w:pPr>
        <w:pStyle w:val="49"/>
        <w:spacing w:line="360" w:lineRule="auto"/>
        <w:ind w:firstLine="482"/>
        <w:rPr>
          <w:rFonts w:hint="eastAsia" w:ascii="仿宋" w:hAnsi="仿宋" w:eastAsia="仿宋" w:cs="仿宋"/>
          <w:b/>
          <w:color w:val="auto"/>
          <w:sz w:val="24"/>
          <w:szCs w:val="24"/>
          <w:highlight w:val="none"/>
        </w:rPr>
      </w:pPr>
    </w:p>
    <w:p w14:paraId="789CBFE9">
      <w:pPr>
        <w:pStyle w:val="49"/>
        <w:spacing w:line="360" w:lineRule="auto"/>
        <w:ind w:firstLine="48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w:t>
      </w:r>
      <w:r>
        <w:rPr>
          <w:rFonts w:hint="eastAsia" w:ascii="仿宋" w:hAnsi="仿宋" w:eastAsia="仿宋" w:cs="仿宋"/>
          <w:b/>
          <w:color w:val="auto"/>
          <w:sz w:val="24"/>
          <w:szCs w:val="24"/>
          <w:highlight w:val="none"/>
          <w:lang w:val="en-US" w:eastAsia="zh-CN"/>
        </w:rPr>
        <w:t>1、</w:t>
      </w:r>
      <w:r>
        <w:rPr>
          <w:rFonts w:hint="eastAsia" w:ascii="仿宋" w:hAnsi="仿宋" w:eastAsia="仿宋" w:cs="仿宋"/>
          <w:b/>
          <w:color w:val="auto"/>
          <w:sz w:val="24"/>
          <w:szCs w:val="24"/>
          <w:highlight w:val="none"/>
        </w:rPr>
        <w:t>从业人员、营业收入、资产总额填报上一年度数据，无上一年度数据的新成立企业可不填报。</w:t>
      </w:r>
    </w:p>
    <w:p w14:paraId="7CBC026E">
      <w:pPr>
        <w:widowControl w:val="0"/>
        <w:spacing w:after="120"/>
        <w:jc w:val="both"/>
        <w:outlineLvl w:val="1"/>
        <w:rPr>
          <w:rFonts w:hint="eastAsia" w:ascii="仿宋" w:hAnsi="仿宋" w:eastAsia="仿宋" w:cs="仿宋"/>
          <w:sz w:val="21"/>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        2、采购人确定的采购项目属性：建筑业。</w:t>
      </w:r>
    </w:p>
    <w:p w14:paraId="0A6C44DF">
      <w:pPr>
        <w:pStyle w:val="58"/>
        <w:rPr>
          <w:rFonts w:hint="eastAsia" w:ascii="仿宋" w:hAnsi="仿宋" w:eastAsia="仿宋" w:cs="仿宋"/>
          <w:highlight w:val="none"/>
        </w:rPr>
      </w:pPr>
    </w:p>
    <w:p w14:paraId="0E7FE8A3">
      <w:pPr>
        <w:pStyle w:val="73"/>
        <w:ind w:left="0" w:firstLine="0"/>
        <w:rPr>
          <w:rFonts w:hint="eastAsia" w:ascii="仿宋" w:hAnsi="仿宋" w:eastAsia="仿宋" w:cs="仿宋"/>
          <w:color w:val="000000" w:themeColor="text1"/>
          <w:sz w:val="24"/>
          <w:highlight w:val="none"/>
          <w14:textFill>
            <w14:solidFill>
              <w14:schemeClr w14:val="tx1"/>
            </w14:solidFill>
          </w14:textFill>
        </w:rPr>
      </w:pPr>
    </w:p>
    <w:p w14:paraId="5ED71F40">
      <w:pPr>
        <w:pStyle w:val="51"/>
        <w:rPr>
          <w:rFonts w:hint="eastAsia" w:ascii="仿宋" w:hAnsi="仿宋" w:eastAsia="仿宋" w:cs="仿宋"/>
          <w:color w:val="000000" w:themeColor="text1"/>
          <w:sz w:val="24"/>
          <w:highlight w:val="none"/>
          <w14:textFill>
            <w14:solidFill>
              <w14:schemeClr w14:val="tx1"/>
            </w14:solidFill>
          </w14:textFill>
        </w:rPr>
      </w:pPr>
    </w:p>
    <w:p w14:paraId="2D3C74F6">
      <w:pPr>
        <w:pStyle w:val="49"/>
        <w:pageBreakBefore w:val="0"/>
        <w:widowControl/>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说明：如提供虚假中小企业声明函的，则采购人有权取消投标、中标候选或中标资格，有权终止合同，并报政府采购监管部门。</w:t>
      </w:r>
    </w:p>
    <w:p w14:paraId="250FCA1F">
      <w:pPr>
        <w:pStyle w:val="252"/>
        <w:keepNext w:val="0"/>
        <w:keepLines w:val="0"/>
        <w:pageBreakBefore w:val="0"/>
        <w:widowControl/>
        <w:shd w:val="clear" w:color="auto" w:fill="FFFFFF"/>
        <w:spacing w:before="0" w:after="210" w:line="360" w:lineRule="auto"/>
        <w:jc w:val="both"/>
        <w:outlineLvl w:val="9"/>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pPr>
      <w:bookmarkStart w:id="126" w:name="_Toc14588"/>
      <w:bookmarkStart w:id="127" w:name="_Toc28289"/>
      <w:bookmarkStart w:id="128" w:name="_Toc16442"/>
      <w:bookmarkStart w:id="129" w:name="_Toc369"/>
      <w:bookmarkStart w:id="130" w:name="_Toc20404"/>
      <w:bookmarkStart w:id="131" w:name="_Toc8932"/>
      <w:bookmarkStart w:id="132" w:name="_Toc20052"/>
    </w:p>
    <w:p w14:paraId="235ABAF2">
      <w:pPr>
        <w:pStyle w:val="252"/>
        <w:keepNext w:val="0"/>
        <w:keepLines w:val="0"/>
        <w:pageBreakBefore w:val="0"/>
        <w:widowControl/>
        <w:shd w:val="clear" w:color="auto" w:fill="FFFFFF"/>
        <w:spacing w:before="0" w:after="210" w:line="360" w:lineRule="auto"/>
        <w:jc w:val="center"/>
        <w:outlineLvl w:val="2"/>
        <w:rPr>
          <w:rFonts w:hint="eastAsia" w:ascii="仿宋" w:hAnsi="仿宋" w:eastAsia="仿宋" w:cs="仿宋"/>
          <w:color w:val="000000" w:themeColor="text1"/>
          <w:spacing w:val="8"/>
          <w:sz w:val="33"/>
          <w:szCs w:val="33"/>
          <w:highlight w:val="none"/>
          <w14:textFill>
            <w14:solidFill>
              <w14:schemeClr w14:val="tx1"/>
            </w14:solidFill>
          </w14:textFill>
        </w:rPr>
      </w:pPr>
      <w:r>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t>中小企业规模类型自测小程序</w:t>
      </w:r>
      <w:bookmarkEnd w:id="126"/>
      <w:bookmarkEnd w:id="127"/>
      <w:bookmarkEnd w:id="128"/>
      <w:bookmarkEnd w:id="129"/>
      <w:bookmarkEnd w:id="130"/>
      <w:bookmarkEnd w:id="131"/>
      <w:bookmarkEnd w:id="132"/>
    </w:p>
    <w:p w14:paraId="7F072884">
      <w:pPr>
        <w:pStyle w:val="5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53CEF995">
      <w:pPr>
        <w:pStyle w:val="5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18036C85">
      <w:pPr>
        <w:pStyle w:val="5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drawing>
          <wp:anchor distT="0" distB="0" distL="114300" distR="114300" simplePos="0" relativeHeight="251664384" behindDoc="0" locked="0" layoutInCell="1" allowOverlap="1">
            <wp:simplePos x="0" y="0"/>
            <wp:positionH relativeFrom="column">
              <wp:posOffset>1357630</wp:posOffset>
            </wp:positionH>
            <wp:positionV relativeFrom="page">
              <wp:posOffset>2827020</wp:posOffset>
            </wp:positionV>
            <wp:extent cx="2857500" cy="5715000"/>
            <wp:effectExtent l="0" t="0" r="32" b="11"/>
            <wp:wrapSquare wrapText="bothSides"/>
            <wp:docPr id="6" name="图片 11"/>
            <wp:cNvGraphicFramePr/>
            <a:graphic xmlns:a="http://schemas.openxmlformats.org/drawingml/2006/main">
              <a:graphicData uri="http://schemas.openxmlformats.org/drawingml/2006/picture">
                <pic:pic xmlns:pic="http://schemas.openxmlformats.org/drawingml/2006/picture">
                  <pic:nvPicPr>
                    <pic:cNvPr id="6" name="图片 11"/>
                    <pic:cNvPicPr/>
                  </pic:nvPicPr>
                  <pic:blipFill>
                    <a:blip r:embed="rId6"/>
                    <a:stretch>
                      <a:fillRect/>
                    </a:stretch>
                  </pic:blipFill>
                  <pic:spPr>
                    <a:xfrm>
                      <a:off x="0" y="0"/>
                      <a:ext cx="2857500" cy="5714999"/>
                    </a:xfrm>
                    <a:prstGeom prst="rect">
                      <a:avLst/>
                    </a:prstGeom>
                    <a:noFill/>
                    <a:ln w="9525" cap="flat" cmpd="sng">
                      <a:noFill/>
                      <a:prstDash val="solid"/>
                      <a:miter/>
                    </a:ln>
                  </pic:spPr>
                </pic:pic>
              </a:graphicData>
            </a:graphic>
          </wp:anchor>
        </w:drawing>
      </w:r>
    </w:p>
    <w:p w14:paraId="3BB1242B">
      <w:pPr>
        <w:pStyle w:val="5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387448D9">
      <w:pPr>
        <w:pStyle w:val="5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6725BD8B">
      <w:pPr>
        <w:pStyle w:val="5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2CF430E4">
      <w:pPr>
        <w:pStyle w:val="5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6F431A8A">
      <w:pPr>
        <w:pStyle w:val="5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19FE689D">
      <w:pPr>
        <w:pStyle w:val="5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48B920EA">
      <w:pPr>
        <w:pStyle w:val="5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46F4B593">
      <w:pPr>
        <w:pStyle w:val="5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349A0441">
      <w:pPr>
        <w:pStyle w:val="5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347F893D">
      <w:pPr>
        <w:pStyle w:val="5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25C71808">
      <w:pPr>
        <w:pStyle w:val="5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79E63C6C">
      <w:pPr>
        <w:pStyle w:val="5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6D9E0B1A">
      <w:pPr>
        <w:pStyle w:val="5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21C3376D">
      <w:pPr>
        <w:pStyle w:val="5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46D5721F">
      <w:pPr>
        <w:pStyle w:val="5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24E7F646">
      <w:pPr>
        <w:pStyle w:val="5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2B5140FD">
      <w:pPr>
        <w:pStyle w:val="49"/>
        <w:pageBreakBefore w:val="0"/>
        <w:spacing w:line="360" w:lineRule="auto"/>
        <w:rPr>
          <w:rStyle w:val="235"/>
          <w:rFonts w:hint="eastAsia" w:ascii="仿宋" w:hAnsi="仿宋" w:eastAsia="仿宋" w:cs="仿宋"/>
          <w:color w:val="000000" w:themeColor="text1"/>
          <w:sz w:val="24"/>
          <w:szCs w:val="24"/>
          <w:highlight w:val="none"/>
          <w14:textFill>
            <w14:solidFill>
              <w14:schemeClr w14:val="tx1"/>
            </w14:solidFill>
          </w14:textFill>
        </w:rPr>
      </w:pPr>
    </w:p>
    <w:p w14:paraId="30C09495">
      <w:pPr>
        <w:pStyle w:val="49"/>
        <w:pageBreakBefore w:val="0"/>
        <w:spacing w:line="360" w:lineRule="auto"/>
        <w:jc w:val="center"/>
        <w:rPr>
          <w:rStyle w:val="235"/>
          <w:rFonts w:hint="eastAsia" w:ascii="仿宋" w:hAnsi="仿宋" w:eastAsia="仿宋" w:cs="仿宋"/>
          <w:color w:val="000000" w:themeColor="text1"/>
          <w:sz w:val="24"/>
          <w:szCs w:val="24"/>
          <w:highlight w:val="none"/>
          <w14:textFill>
            <w14:solidFill>
              <w14:schemeClr w14:val="tx1"/>
            </w14:solidFill>
          </w14:textFill>
        </w:rPr>
      </w:pPr>
    </w:p>
    <w:p w14:paraId="10EB159E">
      <w:pPr>
        <w:pStyle w:val="49"/>
        <w:pageBreakBefore w:val="0"/>
        <w:spacing w:line="360" w:lineRule="auto"/>
        <w:jc w:val="center"/>
        <w:rPr>
          <w:rStyle w:val="235"/>
          <w:rFonts w:hint="eastAsia" w:ascii="仿宋" w:hAnsi="仿宋" w:eastAsia="仿宋" w:cs="仿宋"/>
          <w:color w:val="000000" w:themeColor="text1"/>
          <w:sz w:val="24"/>
          <w:szCs w:val="24"/>
          <w:highlight w:val="none"/>
          <w14:textFill>
            <w14:solidFill>
              <w14:schemeClr w14:val="tx1"/>
            </w14:solidFill>
          </w14:textFill>
        </w:rPr>
      </w:pPr>
    </w:p>
    <w:p w14:paraId="2C85F1FA">
      <w:pPr>
        <w:pStyle w:val="49"/>
        <w:pageBreakBefore w:val="0"/>
        <w:spacing w:line="360" w:lineRule="auto"/>
        <w:jc w:val="center"/>
        <w:rPr>
          <w:rStyle w:val="235"/>
          <w:rFonts w:hint="eastAsia" w:ascii="仿宋" w:hAnsi="仿宋" w:eastAsia="仿宋" w:cs="仿宋"/>
          <w:color w:val="000000" w:themeColor="text1"/>
          <w:sz w:val="24"/>
          <w:szCs w:val="24"/>
          <w:highlight w:val="none"/>
          <w14:textFill>
            <w14:solidFill>
              <w14:schemeClr w14:val="tx1"/>
            </w14:solidFill>
          </w14:textFill>
        </w:rPr>
      </w:pPr>
    </w:p>
    <w:p w14:paraId="6685A207">
      <w:pPr>
        <w:pStyle w:val="49"/>
        <w:pageBreakBefore w:val="0"/>
        <w:spacing w:line="360" w:lineRule="auto"/>
        <w:jc w:val="center"/>
        <w:rPr>
          <w:rStyle w:val="235"/>
          <w:rFonts w:hint="eastAsia" w:ascii="仿宋" w:hAnsi="仿宋" w:eastAsia="仿宋" w:cs="仿宋"/>
          <w:color w:val="000000" w:themeColor="text1"/>
          <w:sz w:val="24"/>
          <w:szCs w:val="24"/>
          <w:highlight w:val="none"/>
          <w14:textFill>
            <w14:solidFill>
              <w14:schemeClr w14:val="tx1"/>
            </w14:solidFill>
          </w14:textFill>
        </w:rPr>
      </w:pPr>
    </w:p>
    <w:p w14:paraId="6B50F04A">
      <w:pPr>
        <w:pStyle w:val="49"/>
        <w:pageBreakBefore w:val="0"/>
        <w:spacing w:line="360" w:lineRule="auto"/>
        <w:jc w:val="center"/>
        <w:rPr>
          <w:rStyle w:val="235"/>
          <w:rFonts w:hint="eastAsia" w:ascii="仿宋" w:hAnsi="仿宋" w:eastAsia="仿宋" w:cs="仿宋"/>
          <w:color w:val="000000" w:themeColor="text1"/>
          <w:sz w:val="24"/>
          <w:szCs w:val="24"/>
          <w:highlight w:val="none"/>
          <w14:textFill>
            <w14:solidFill>
              <w14:schemeClr w14:val="tx1"/>
            </w14:solidFill>
          </w14:textFill>
        </w:rPr>
      </w:pPr>
    </w:p>
    <w:p w14:paraId="5C22894A">
      <w:pPr>
        <w:pStyle w:val="49"/>
        <w:pageBreakBefore w:val="0"/>
        <w:spacing w:line="360" w:lineRule="auto"/>
        <w:jc w:val="center"/>
        <w:outlineLvl w:val="1"/>
        <w:rPr>
          <w:rStyle w:val="235"/>
          <w:rFonts w:hint="eastAsia" w:ascii="仿宋" w:hAnsi="仿宋" w:eastAsia="仿宋" w:cs="仿宋"/>
          <w:color w:val="000000" w:themeColor="text1"/>
          <w:sz w:val="24"/>
          <w:szCs w:val="24"/>
          <w:highlight w:val="none"/>
          <w14:textFill>
            <w14:solidFill>
              <w14:schemeClr w14:val="tx1"/>
            </w14:solidFill>
          </w14:textFill>
        </w:rPr>
      </w:pPr>
    </w:p>
    <w:p w14:paraId="13F40FA8">
      <w:pPr>
        <w:pStyle w:val="49"/>
        <w:pageBreakBefore w:val="0"/>
        <w:spacing w:line="360" w:lineRule="auto"/>
        <w:jc w:val="center"/>
        <w:outlineLvl w:val="1"/>
        <w:rPr>
          <w:rStyle w:val="235"/>
          <w:rFonts w:hint="eastAsia" w:ascii="仿宋" w:hAnsi="仿宋" w:eastAsia="仿宋" w:cs="仿宋"/>
          <w:color w:val="000000" w:themeColor="text1"/>
          <w:sz w:val="24"/>
          <w:szCs w:val="24"/>
          <w:highlight w:val="none"/>
          <w14:textFill>
            <w14:solidFill>
              <w14:schemeClr w14:val="tx1"/>
            </w14:solidFill>
          </w14:textFill>
        </w:rPr>
      </w:pPr>
    </w:p>
    <w:p w14:paraId="35471DCF">
      <w:pPr>
        <w:pStyle w:val="49"/>
        <w:pageBreakBefore w:val="0"/>
        <w:spacing w:line="360" w:lineRule="auto"/>
        <w:jc w:val="center"/>
        <w:outlineLvl w:val="1"/>
        <w:rPr>
          <w:rStyle w:val="235"/>
          <w:rFonts w:hint="eastAsia" w:ascii="仿宋" w:hAnsi="仿宋" w:eastAsia="仿宋" w:cs="仿宋"/>
          <w:color w:val="000000" w:themeColor="text1"/>
          <w:sz w:val="24"/>
          <w:szCs w:val="24"/>
          <w:highlight w:val="none"/>
          <w14:textFill>
            <w14:solidFill>
              <w14:schemeClr w14:val="tx1"/>
            </w14:solidFill>
          </w14:textFill>
        </w:rPr>
      </w:pPr>
      <w:r>
        <w:rPr>
          <w:rStyle w:val="235"/>
          <w:rFonts w:hint="eastAsia" w:ascii="仿宋" w:hAnsi="仿宋" w:eastAsia="仿宋" w:cs="仿宋"/>
          <w:color w:val="000000" w:themeColor="text1"/>
          <w:sz w:val="24"/>
          <w:szCs w:val="24"/>
          <w:highlight w:val="none"/>
          <w14:textFill>
            <w14:solidFill>
              <w14:schemeClr w14:val="tx1"/>
            </w14:solidFill>
          </w14:textFill>
        </w:rPr>
        <w:t>11、残疾人福利性单位声明函</w:t>
      </w:r>
    </w:p>
    <w:p w14:paraId="2EE3EAE1">
      <w:pPr>
        <w:pStyle w:val="49"/>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p>
    <w:p w14:paraId="543AED27">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项目名称：</w:t>
      </w:r>
    </w:p>
    <w:p w14:paraId="28986860">
      <w:pPr>
        <w:pStyle w:val="49"/>
        <w:pageBreakBefore w:val="0"/>
        <w:spacing w:line="360" w:lineRule="auto"/>
        <w:ind w:firstLine="472"/>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项目编号：JSZC-320381-JSSC-C2026-0002</w:t>
      </w:r>
    </w:p>
    <w:p w14:paraId="01C2A64C">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p w14:paraId="241DC30F">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单位的</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295BA60D">
      <w:pPr>
        <w:pStyle w:val="49"/>
        <w:pageBreakBefore w:val="0"/>
        <w:spacing w:line="360" w:lineRule="auto"/>
        <w:ind w:firstLine="72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本单位对上述声明的真实性负责。如有虚假，将依法承担相应责任。</w:t>
      </w:r>
    </w:p>
    <w:p w14:paraId="54E8A3DD">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p w14:paraId="442ED81F">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p w14:paraId="64734AEC">
      <w:pPr>
        <w:pStyle w:val="49"/>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119C7661">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w:t>
      </w:r>
      <w:r>
        <w:rPr>
          <w:rFonts w:hint="eastAsia" w:ascii="仿宋" w:hAnsi="仿宋" w:eastAsia="仿宋" w:cs="仿宋"/>
          <w:color w:val="000000" w:themeColor="text1"/>
          <w:sz w:val="24"/>
          <w:highlight w:val="none"/>
          <w:lang w:val="en-US" w:eastAsia="zh-CN"/>
          <w14:textFill>
            <w14:solidFill>
              <w14:schemeClr w14:val="tx1"/>
            </w14:solidFill>
          </w14:textFill>
        </w:rPr>
        <w:t>电子签章</w:t>
      </w:r>
      <w:r>
        <w:rPr>
          <w:rFonts w:hint="eastAsia" w:ascii="仿宋" w:hAnsi="仿宋" w:eastAsia="仿宋" w:cs="仿宋"/>
          <w:color w:val="000000" w:themeColor="text1"/>
          <w:sz w:val="24"/>
          <w:highlight w:val="none"/>
          <w14:textFill>
            <w14:solidFill>
              <w14:schemeClr w14:val="tx1"/>
            </w14:solidFill>
          </w14:textFill>
        </w:rPr>
        <w:t>）</w:t>
      </w:r>
    </w:p>
    <w:p w14:paraId="28AE4A20">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p w14:paraId="3549154A">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p>
    <w:p w14:paraId="164DB1C6">
      <w:pPr>
        <w:pStyle w:val="49"/>
        <w:pageBreakBefore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p>
    <w:p w14:paraId="104CBC1B">
      <w:pPr>
        <w:pStyle w:val="49"/>
        <w:pageBreakBefore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p>
    <w:p w14:paraId="6DF97F6C">
      <w:pPr>
        <w:pStyle w:val="49"/>
        <w:pageBreakBefore w:val="0"/>
        <w:spacing w:line="360" w:lineRule="auto"/>
        <w:ind w:firstLine="4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日期：   年  月  日</w:t>
      </w:r>
    </w:p>
    <w:p w14:paraId="0B87F5F5">
      <w:pPr>
        <w:pStyle w:val="49"/>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79B04A70">
      <w:pPr>
        <w:pStyle w:val="49"/>
        <w:pageBreakBefore w:val="0"/>
        <w:spacing w:line="360" w:lineRule="auto"/>
        <w:jc w:val="left"/>
        <w:rPr>
          <w:rFonts w:hint="eastAsia" w:ascii="仿宋" w:hAnsi="仿宋" w:eastAsia="仿宋" w:cs="仿宋"/>
          <w:color w:val="000000" w:themeColor="text1"/>
          <w:sz w:val="24"/>
          <w:highlight w:val="none"/>
          <w14:textFill>
            <w14:solidFill>
              <w14:schemeClr w14:val="tx1"/>
            </w14:solidFill>
          </w14:textFill>
        </w:rPr>
      </w:pPr>
    </w:p>
    <w:p w14:paraId="58D216EC">
      <w:pPr>
        <w:pStyle w:val="49"/>
        <w:pageBreakBefore w:val="0"/>
        <w:spacing w:line="360" w:lineRule="auto"/>
        <w:jc w:val="center"/>
        <w:rPr>
          <w:rFonts w:hint="eastAsia" w:ascii="仿宋" w:hAnsi="仿宋" w:eastAsia="仿宋" w:cs="仿宋"/>
          <w:color w:val="000000" w:themeColor="text1"/>
          <w:sz w:val="24"/>
          <w:highlight w:val="none"/>
          <w14:textFill>
            <w14:solidFill>
              <w14:schemeClr w14:val="tx1"/>
            </w14:solidFill>
          </w14:textFill>
        </w:rPr>
      </w:pPr>
    </w:p>
    <w:p w14:paraId="1C5BDD45">
      <w:pPr>
        <w:pStyle w:val="51"/>
        <w:pageBreakBefore w:val="0"/>
        <w:spacing w:line="360" w:lineRule="auto"/>
        <w:ind w:firstLine="496"/>
        <w:rPr>
          <w:rFonts w:hint="eastAsia" w:ascii="仿宋" w:hAnsi="仿宋" w:eastAsia="仿宋" w:cs="仿宋"/>
          <w:b/>
          <w:color w:val="000000" w:themeColor="text1"/>
          <w:spacing w:val="6"/>
          <w:sz w:val="24"/>
          <w:highlight w:val="none"/>
          <w14:textFill>
            <w14:solidFill>
              <w14:schemeClr w14:val="tx1"/>
            </w14:solidFill>
          </w14:textFill>
        </w:rPr>
      </w:pPr>
      <w:r>
        <w:rPr>
          <w:rFonts w:hint="eastAsia" w:ascii="仿宋" w:hAnsi="仿宋" w:eastAsia="仿宋" w:cs="仿宋"/>
          <w:b/>
          <w:color w:val="000000" w:themeColor="text1"/>
          <w:spacing w:val="6"/>
          <w:sz w:val="24"/>
          <w:highlight w:val="none"/>
          <w14:textFill>
            <w14:solidFill>
              <w14:schemeClr w14:val="tx1"/>
            </w14:solidFill>
          </w14:textFill>
        </w:rPr>
        <w:t>说明：</w:t>
      </w:r>
    </w:p>
    <w:p w14:paraId="4CEB8AD7">
      <w:pPr>
        <w:pStyle w:val="51"/>
        <w:pageBreakBefore w:val="0"/>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6"/>
          <w:sz w:val="24"/>
          <w:highlight w:val="none"/>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如提供虚假残疾人福利性单位声明函的，则采购人有权取消投标、中标候选或中标资格，有权终止合同，并报政府采购监管部门。</w:t>
      </w:r>
    </w:p>
    <w:p w14:paraId="35E3AF15">
      <w:pPr>
        <w:pStyle w:val="50"/>
        <w:pageBreakBefore w:val="0"/>
        <w:spacing w:line="360" w:lineRule="auto"/>
        <w:ind w:left="0" w:right="6" w:firstLine="0"/>
        <w:jc w:val="center"/>
        <w:outlineLvl w:val="1"/>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clear="all"/>
      </w:r>
      <w:r>
        <w:rPr>
          <w:rFonts w:hint="eastAsia" w:ascii="仿宋" w:hAnsi="仿宋" w:eastAsia="仿宋" w:cs="仿宋"/>
          <w:b/>
          <w:color w:val="000000" w:themeColor="text1"/>
          <w:sz w:val="24"/>
          <w:highlight w:val="none"/>
          <w14:textFill>
            <w14:solidFill>
              <w14:schemeClr w14:val="tx1"/>
            </w14:solidFill>
          </w14:textFill>
        </w:rPr>
        <w:t>12、技术方案</w:t>
      </w:r>
    </w:p>
    <w:p w14:paraId="2DE25D68">
      <w:pPr>
        <w:pStyle w:val="50"/>
        <w:pageBreakBefore w:val="0"/>
        <w:spacing w:line="360" w:lineRule="auto"/>
        <w:ind w:left="0" w:firstLine="0"/>
        <w:jc w:val="center"/>
        <w:rPr>
          <w:rFonts w:hint="eastAsia" w:ascii="仿宋" w:hAnsi="仿宋" w:eastAsia="仿宋" w:cs="仿宋"/>
          <w:b/>
          <w:color w:val="000000" w:themeColor="text1"/>
          <w:sz w:val="24"/>
          <w:highlight w:val="none"/>
          <w14:textFill>
            <w14:solidFill>
              <w14:schemeClr w14:val="tx1"/>
            </w14:solidFill>
          </w14:textFill>
        </w:rPr>
      </w:pPr>
    </w:p>
    <w:p w14:paraId="1D93974F">
      <w:pPr>
        <w:pStyle w:val="51"/>
        <w:pageBreakBefore w:val="0"/>
        <w:widowControl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p>
    <w:p w14:paraId="36AD5FEB">
      <w:pPr>
        <w:pStyle w:val="50"/>
        <w:pageBreakBefore w:val="0"/>
        <w:spacing w:line="360" w:lineRule="auto"/>
        <w:ind w:left="0" w:firstLine="0"/>
        <w:jc w:val="center"/>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p>
    <w:p w14:paraId="4FA280CD">
      <w:pPr>
        <w:pStyle w:val="50"/>
        <w:pageBreakBefore w:val="0"/>
        <w:spacing w:line="360" w:lineRule="auto"/>
        <w:ind w:left="0" w:firstLine="0"/>
        <w:jc w:val="center"/>
        <w:rPr>
          <w:rFonts w:hint="eastAsia" w:ascii="仿宋" w:hAnsi="仿宋" w:eastAsia="仿宋" w:cs="仿宋"/>
          <w:bCs/>
          <w:color w:val="000000" w:themeColor="text1"/>
          <w:sz w:val="24"/>
          <w:szCs w:val="24"/>
          <w:highlight w:val="none"/>
          <w14:textFill>
            <w14:solidFill>
              <w14:schemeClr w14:val="tx1"/>
            </w14:solidFill>
          </w14:textFill>
        </w:rPr>
        <w:sectPr>
          <w:pgSz w:w="11906" w:h="16838"/>
          <w:pgMar w:top="1418" w:right="1474" w:bottom="1701" w:left="1588" w:header="851" w:footer="1418" w:gutter="0"/>
          <w:pgNumType w:fmt="decimal"/>
          <w:cols w:space="720" w:num="1"/>
          <w:docGrid w:linePitch="360" w:charSpace="0"/>
        </w:sectPr>
      </w:pPr>
      <w:r>
        <w:rPr>
          <w:rFonts w:hint="eastAsia" w:ascii="仿宋" w:hAnsi="仿宋" w:eastAsia="仿宋" w:cs="仿宋"/>
          <w:bCs/>
          <w:color w:val="000000" w:themeColor="text1"/>
          <w:sz w:val="24"/>
          <w:szCs w:val="24"/>
          <w:highlight w:val="none"/>
          <w14:textFill>
            <w14:solidFill>
              <w14:schemeClr w14:val="tx1"/>
            </w14:solidFill>
          </w14:textFill>
        </w:rPr>
        <w:t>（格式自拟</w:t>
      </w:r>
      <w:r>
        <w:rPr>
          <w:rFonts w:hint="eastAsia" w:ascii="仿宋" w:hAnsi="仿宋" w:eastAsia="仿宋" w:cs="仿宋"/>
          <w:bCs/>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附件</w:t>
      </w:r>
      <w:r>
        <w:rPr>
          <w:rFonts w:hint="eastAsia" w:ascii="仿宋" w:hAnsi="仿宋" w:eastAsia="仿宋" w:cs="仿宋"/>
          <w:color w:val="000000" w:themeColor="text1"/>
          <w:sz w:val="24"/>
          <w:szCs w:val="24"/>
          <w:highlight w:val="none"/>
          <w:lang w:eastAsia="zh-CN"/>
          <w14:textFill>
            <w14:solidFill>
              <w14:schemeClr w14:val="tx1"/>
            </w14:solidFill>
          </w14:textFill>
        </w:rPr>
        <w:t>《评分细则》</w:t>
      </w:r>
      <w:r>
        <w:rPr>
          <w:rFonts w:hint="eastAsia" w:ascii="仿宋" w:hAnsi="仿宋" w:eastAsia="仿宋" w:cs="仿宋"/>
          <w:bCs/>
          <w:color w:val="000000" w:themeColor="text1"/>
          <w:sz w:val="24"/>
          <w:szCs w:val="24"/>
          <w:highlight w:val="none"/>
          <w14:textFill>
            <w14:solidFill>
              <w14:schemeClr w14:val="tx1"/>
            </w14:solidFill>
          </w14:textFill>
        </w:rPr>
        <w:t>）</w:t>
      </w:r>
    </w:p>
    <w:p w14:paraId="5A2464E9">
      <w:pPr>
        <w:pStyle w:val="49"/>
        <w:pageBreakBefore w:val="0"/>
        <w:numPr>
          <w:ilvl w:val="0"/>
          <w:numId w:val="0"/>
        </w:numPr>
        <w:spacing w:line="360" w:lineRule="auto"/>
        <w:ind w:left="0" w:firstLine="0"/>
        <w:jc w:val="center"/>
        <w:outlineLvl w:val="1"/>
        <w:rPr>
          <w:rFonts w:hint="eastAsia" w:ascii="仿宋" w:hAnsi="仿宋" w:eastAsia="仿宋" w:cs="仿宋"/>
          <w:b/>
          <w:color w:val="000000" w:themeColor="text1"/>
          <w:sz w:val="24"/>
          <w:szCs w:val="20"/>
          <w:highlight w:val="none"/>
          <w14:textFill>
            <w14:solidFill>
              <w14:schemeClr w14:val="tx1"/>
            </w14:solidFill>
          </w14:textFill>
        </w:rPr>
      </w:pPr>
      <w:r>
        <w:rPr>
          <w:rFonts w:hint="eastAsia" w:ascii="仿宋" w:hAnsi="仿宋" w:eastAsia="仿宋" w:cs="仿宋"/>
          <w:b/>
          <w:color w:val="000000" w:themeColor="text1"/>
          <w:sz w:val="24"/>
          <w:szCs w:val="20"/>
          <w:highlight w:val="none"/>
          <w:lang w:val="en-US" w:eastAsia="zh-CN"/>
          <w14:textFill>
            <w14:solidFill>
              <w14:schemeClr w14:val="tx1"/>
            </w14:solidFill>
          </w14:textFill>
        </w:rPr>
        <w:t>13、</w:t>
      </w:r>
      <w:r>
        <w:rPr>
          <w:rFonts w:hint="eastAsia" w:ascii="仿宋" w:hAnsi="仿宋" w:eastAsia="仿宋" w:cs="仿宋"/>
          <w:b/>
          <w:color w:val="000000" w:themeColor="text1"/>
          <w:sz w:val="24"/>
          <w:szCs w:val="20"/>
          <w:highlight w:val="none"/>
          <w14:textFill>
            <w14:solidFill>
              <w14:schemeClr w14:val="tx1"/>
            </w14:solidFill>
          </w14:textFill>
        </w:rPr>
        <w:t>拟签订的合同文本</w:t>
      </w:r>
    </w:p>
    <w:p w14:paraId="0E1035B0">
      <w:pPr>
        <w:keepNext w:val="0"/>
        <w:keepLines w:val="0"/>
        <w:pageBreakBefore w:val="0"/>
        <w:pBdr>
          <w:top w:val="none" w:color="000000" w:sz="0" w:space="0"/>
          <w:left w:val="none" w:color="000000" w:sz="0" w:space="0"/>
          <w:bottom w:val="none" w:color="000000" w:sz="0" w:space="0"/>
          <w:right w:val="none" w:color="000000" w:sz="0" w:space="0"/>
        </w:pBdr>
        <w:spacing w:before="220" w:after="0" w:line="360" w:lineRule="auto"/>
        <w:jc w:val="center"/>
        <w:rPr>
          <w:rFonts w:hint="eastAsia" w:ascii="仿宋" w:hAnsi="仿宋" w:eastAsia="仿宋" w:cs="仿宋"/>
          <w:b/>
          <w:color w:val="000000" w:themeColor="text1"/>
          <w:sz w:val="24"/>
          <w:szCs w:val="24"/>
          <w:highlight w:val="none"/>
          <w:lang w:val="en-US" w:eastAsia="zh-CN"/>
          <w14:textFill>
            <w14:solidFill>
              <w14:schemeClr w14:val="tx1"/>
            </w14:solidFill>
          </w14:textFill>
        </w:rPr>
      </w:pPr>
    </w:p>
    <w:p w14:paraId="596BE9B0">
      <w:pPr>
        <w:pStyle w:val="58"/>
        <w:widowControl w:val="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项目名称：</w:t>
      </w:r>
      <w:r>
        <w:rPr>
          <w:rFonts w:hint="eastAsia" w:ascii="仿宋" w:hAnsi="仿宋" w:eastAsia="仿宋" w:cs="仿宋"/>
          <w:color w:val="auto"/>
          <w:sz w:val="24"/>
          <w:highlight w:val="none"/>
          <w:lang w:eastAsia="zh-CN"/>
        </w:rPr>
        <w:t>2026年城市污水处理提质增效工程</w:t>
      </w:r>
    </w:p>
    <w:p w14:paraId="77758209">
      <w:pPr>
        <w:pStyle w:val="58"/>
        <w:widowControl w:val="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项目编号：JSZC-320381-JSSC-C2026-0002</w:t>
      </w:r>
    </w:p>
    <w:p w14:paraId="5F1DAF7A">
      <w:pPr>
        <w:pStyle w:val="58"/>
        <w:widowControl w:val="0"/>
        <w:rPr>
          <w:rFonts w:hint="eastAsia" w:ascii="仿宋" w:hAnsi="仿宋" w:eastAsia="仿宋" w:cs="仿宋"/>
          <w:bCs/>
          <w:color w:val="auto"/>
          <w:sz w:val="24"/>
          <w:szCs w:val="24"/>
          <w:highlight w:val="none"/>
        </w:rPr>
      </w:pPr>
    </w:p>
    <w:p w14:paraId="6ACF38DD">
      <w:pPr>
        <w:pStyle w:val="58"/>
        <w:widowControl w:val="0"/>
        <w:rPr>
          <w:rFonts w:hint="eastAsia" w:ascii="仿宋" w:hAnsi="仿宋" w:eastAsia="仿宋" w:cs="仿宋"/>
          <w:bCs/>
          <w:color w:val="auto"/>
          <w:sz w:val="24"/>
          <w:szCs w:val="24"/>
          <w:highlight w:val="none"/>
        </w:rPr>
      </w:pPr>
    </w:p>
    <w:p w14:paraId="31D7BD1F">
      <w:pPr>
        <w:pStyle w:val="58"/>
        <w:widowControl w:val="0"/>
        <w:rPr>
          <w:rFonts w:hint="eastAsia" w:ascii="仿宋" w:hAnsi="仿宋" w:eastAsia="仿宋" w:cs="仿宋"/>
          <w:bCs/>
          <w:color w:val="auto"/>
          <w:sz w:val="24"/>
          <w:szCs w:val="24"/>
          <w:highlight w:val="none"/>
        </w:rPr>
      </w:pPr>
    </w:p>
    <w:p w14:paraId="2D48EED3">
      <w:pPr>
        <w:pStyle w:val="73"/>
        <w:ind w:left="0" w:firstLine="0"/>
        <w:rPr>
          <w:rFonts w:hint="eastAsia" w:ascii="仿宋" w:hAnsi="仿宋" w:eastAsia="仿宋" w:cs="仿宋"/>
          <w:color w:val="auto"/>
          <w:highlight w:val="none"/>
        </w:rPr>
      </w:pPr>
    </w:p>
    <w:p w14:paraId="32B6FD3B">
      <w:pPr>
        <w:pStyle w:val="78"/>
        <w:rPr>
          <w:rFonts w:hint="eastAsia" w:ascii="仿宋" w:hAnsi="仿宋" w:eastAsia="仿宋" w:cs="仿宋"/>
          <w:color w:val="auto"/>
          <w:highlight w:val="none"/>
        </w:rPr>
      </w:pPr>
    </w:p>
    <w:p w14:paraId="18A21670">
      <w:pPr>
        <w:pStyle w:val="49"/>
        <w:rPr>
          <w:rFonts w:hint="eastAsia" w:ascii="仿宋" w:hAnsi="仿宋" w:eastAsia="仿宋" w:cs="仿宋"/>
          <w:highlight w:val="none"/>
        </w:rPr>
      </w:pPr>
    </w:p>
    <w:p w14:paraId="7687F375">
      <w:pPr>
        <w:pStyle w:val="58"/>
        <w:widowControl w:val="0"/>
        <w:jc w:val="center"/>
        <w:rPr>
          <w:rFonts w:hint="eastAsia" w:ascii="仿宋" w:hAnsi="仿宋" w:eastAsia="仿宋" w:cs="仿宋"/>
          <w:bCs/>
          <w:color w:val="auto"/>
          <w:sz w:val="44"/>
          <w:szCs w:val="52"/>
          <w:highlight w:val="none"/>
        </w:rPr>
      </w:pPr>
      <w:r>
        <w:rPr>
          <w:rFonts w:hint="eastAsia" w:ascii="仿宋" w:hAnsi="仿宋" w:eastAsia="仿宋" w:cs="仿宋"/>
          <w:bCs/>
          <w:color w:val="auto"/>
          <w:sz w:val="44"/>
          <w:szCs w:val="52"/>
          <w:highlight w:val="none"/>
        </w:rPr>
        <w:t>建设工程施工合同</w:t>
      </w:r>
    </w:p>
    <w:p w14:paraId="7F64A25D">
      <w:pPr>
        <w:pStyle w:val="58"/>
        <w:widowControl w:val="0"/>
        <w:jc w:val="center"/>
        <w:rPr>
          <w:rFonts w:hint="eastAsia" w:ascii="仿宋" w:hAnsi="仿宋" w:eastAsia="仿宋" w:cs="仿宋"/>
          <w:bCs/>
          <w:color w:val="auto"/>
          <w:sz w:val="44"/>
          <w:szCs w:val="52"/>
          <w:highlight w:val="none"/>
        </w:rPr>
      </w:pPr>
      <w:r>
        <w:rPr>
          <w:rFonts w:hint="eastAsia" w:ascii="仿宋" w:hAnsi="仿宋" w:eastAsia="仿宋" w:cs="仿宋"/>
          <w:bCs/>
          <w:color w:val="auto"/>
          <w:sz w:val="44"/>
          <w:szCs w:val="52"/>
          <w:highlight w:val="none"/>
        </w:rPr>
        <w:t>（示范文本）</w:t>
      </w:r>
    </w:p>
    <w:p w14:paraId="6E8514AE">
      <w:pPr>
        <w:pStyle w:val="58"/>
        <w:widowControl w:val="0"/>
        <w:jc w:val="center"/>
        <w:rPr>
          <w:rFonts w:hint="eastAsia" w:ascii="仿宋" w:hAnsi="仿宋" w:eastAsia="仿宋" w:cs="仿宋"/>
          <w:bCs/>
          <w:color w:val="auto"/>
          <w:sz w:val="44"/>
          <w:szCs w:val="52"/>
          <w:highlight w:val="none"/>
        </w:rPr>
        <w:sectPr>
          <w:footerReference r:id="rId4" w:type="default"/>
          <w:type w:val="nextColumn"/>
          <w:pgSz w:w="11906" w:h="16838"/>
          <w:pgMar w:top="1440" w:right="1588" w:bottom="1440" w:left="1588" w:header="851" w:footer="992" w:gutter="0"/>
          <w:pgNumType w:fmt="decimal"/>
          <w:cols w:space="720" w:num="1"/>
          <w:docGrid w:linePitch="360" w:charSpace="0"/>
        </w:sectPr>
      </w:pPr>
      <w:r>
        <w:rPr>
          <w:rFonts w:hint="eastAsia" w:ascii="仿宋" w:hAnsi="仿宋" w:eastAsia="仿宋" w:cs="仿宋"/>
          <w:bCs/>
          <w:color w:val="auto"/>
          <w:sz w:val="44"/>
          <w:szCs w:val="52"/>
          <w:highlight w:val="none"/>
        </w:rPr>
        <w:t>（GF—2017—0201）</w:t>
      </w:r>
    </w:p>
    <w:p w14:paraId="5622DA90">
      <w:pPr>
        <w:pStyle w:val="335"/>
        <w:jc w:val="center"/>
        <w:rPr>
          <w:rFonts w:hint="eastAsia" w:ascii="仿宋" w:hAnsi="仿宋" w:eastAsia="仿宋" w:cs="仿宋"/>
          <w:b w:val="0"/>
          <w:color w:val="auto"/>
          <w:sz w:val="44"/>
          <w:szCs w:val="44"/>
          <w:highlight w:val="none"/>
        </w:rPr>
      </w:pPr>
      <w:bookmarkStart w:id="133" w:name="_Toc110245277"/>
      <w:r>
        <w:rPr>
          <w:rFonts w:hint="eastAsia" w:ascii="仿宋" w:hAnsi="仿宋" w:eastAsia="仿宋" w:cs="仿宋"/>
          <w:b w:val="0"/>
          <w:color w:val="auto"/>
          <w:sz w:val="44"/>
          <w:szCs w:val="44"/>
          <w:highlight w:val="none"/>
        </w:rPr>
        <w:t>第一部分 合同协议书</w:t>
      </w:r>
      <w:bookmarkEnd w:id="133"/>
    </w:p>
    <w:p w14:paraId="24501E24">
      <w:pPr>
        <w:spacing w:line="360" w:lineRule="auto"/>
        <w:outlineLvl w:val="3"/>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发包人（全称）：</w:t>
      </w:r>
      <w:r>
        <w:rPr>
          <w:rFonts w:hint="eastAsia" w:ascii="仿宋" w:hAnsi="仿宋" w:eastAsia="仿宋" w:cs="仿宋"/>
          <w:color w:val="auto"/>
          <w:sz w:val="24"/>
          <w:szCs w:val="24"/>
          <w:highlight w:val="none"/>
          <w:u w:val="single"/>
          <w:lang w:eastAsia="zh-CN"/>
        </w:rPr>
        <w:t>新沂市住房和城乡建设局</w:t>
      </w:r>
    </w:p>
    <w:p w14:paraId="71F97AD0">
      <w:pPr>
        <w:spacing w:after="164"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承包人（全称）：</w:t>
      </w:r>
    </w:p>
    <w:p w14:paraId="03DD6542">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根据《中华人民共和国民法典》、《中华人民共和国建筑法》及有关法律规定，遵循平等、自愿、公平和诚实信用的原则，双方就</w:t>
      </w:r>
      <w:r>
        <w:rPr>
          <w:rFonts w:hint="eastAsia" w:ascii="仿宋" w:hAnsi="仿宋" w:eastAsia="仿宋" w:cs="仿宋"/>
          <w:color w:val="auto"/>
          <w:sz w:val="24"/>
          <w:highlight w:val="none"/>
          <w:lang w:eastAsia="zh-CN"/>
        </w:rPr>
        <w:t>2026年城市污水处理提质增效工程</w:t>
      </w:r>
      <w:r>
        <w:rPr>
          <w:rFonts w:hint="eastAsia" w:ascii="仿宋" w:hAnsi="仿宋" w:eastAsia="仿宋" w:cs="仿宋"/>
          <w:color w:val="auto"/>
          <w:sz w:val="24"/>
          <w:szCs w:val="24"/>
          <w:highlight w:val="none"/>
        </w:rPr>
        <w:t>施工及有关事项协商一致，共同达成如下协议：</w:t>
      </w:r>
    </w:p>
    <w:p w14:paraId="0DB629BA">
      <w:pPr>
        <w:keepNext/>
        <w:keepLines/>
        <w:spacing w:before="327" w:line="360" w:lineRule="auto"/>
        <w:outlineLvl w:val="3"/>
        <w:rPr>
          <w:rFonts w:hint="eastAsia" w:ascii="仿宋" w:hAnsi="仿宋" w:eastAsia="仿宋" w:cs="仿宋"/>
          <w:color w:val="auto"/>
          <w:sz w:val="24"/>
          <w:szCs w:val="24"/>
          <w:highlight w:val="none"/>
        </w:rPr>
      </w:pPr>
      <w:bookmarkStart w:id="134" w:name="_Toc351203481"/>
      <w:r>
        <w:rPr>
          <w:rFonts w:hint="eastAsia" w:ascii="仿宋" w:hAnsi="仿宋" w:eastAsia="仿宋" w:cs="仿宋"/>
          <w:color w:val="auto"/>
          <w:sz w:val="24"/>
          <w:szCs w:val="24"/>
          <w:highlight w:val="none"/>
        </w:rPr>
        <w:t>一、工程概况</w:t>
      </w:r>
      <w:bookmarkEnd w:id="134"/>
    </w:p>
    <w:p w14:paraId="7A8CC5FD">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1.工程名称：</w:t>
      </w:r>
      <w:r>
        <w:rPr>
          <w:rFonts w:hint="eastAsia" w:ascii="仿宋" w:hAnsi="仿宋" w:eastAsia="仿宋" w:cs="仿宋"/>
          <w:color w:val="auto"/>
          <w:sz w:val="24"/>
          <w:szCs w:val="24"/>
          <w:highlight w:val="none"/>
          <w:u w:val="single"/>
        </w:rPr>
        <w:t xml:space="preserve">                                                。</w:t>
      </w:r>
    </w:p>
    <w:p w14:paraId="36814501">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2.工程地点：</w:t>
      </w:r>
      <w:r>
        <w:rPr>
          <w:rFonts w:hint="eastAsia" w:ascii="仿宋" w:hAnsi="仿宋" w:eastAsia="仿宋" w:cs="仿宋"/>
          <w:color w:val="auto"/>
          <w:sz w:val="24"/>
          <w:szCs w:val="24"/>
          <w:highlight w:val="none"/>
          <w:u w:val="single"/>
        </w:rPr>
        <w:t xml:space="preserve">                                                。</w:t>
      </w:r>
    </w:p>
    <w:p w14:paraId="1B05280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3.工程立项批准文号：</w:t>
      </w:r>
      <w:r>
        <w:rPr>
          <w:rFonts w:hint="eastAsia" w:ascii="仿宋" w:hAnsi="仿宋" w:eastAsia="仿宋" w:cs="仿宋"/>
          <w:color w:val="auto"/>
          <w:sz w:val="24"/>
          <w:szCs w:val="24"/>
          <w:highlight w:val="none"/>
          <w:u w:val="single"/>
        </w:rPr>
        <w:t xml:space="preserve">                                        。</w:t>
      </w:r>
    </w:p>
    <w:p w14:paraId="131B99AE">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4.资金来源：</w:t>
      </w:r>
      <w:r>
        <w:rPr>
          <w:rFonts w:hint="eastAsia" w:ascii="仿宋" w:hAnsi="仿宋" w:eastAsia="仿宋" w:cs="仿宋"/>
          <w:color w:val="auto"/>
          <w:sz w:val="24"/>
          <w:szCs w:val="24"/>
          <w:highlight w:val="none"/>
          <w:u w:val="single"/>
        </w:rPr>
        <w:t xml:space="preserve">                                                。</w:t>
      </w:r>
    </w:p>
    <w:p w14:paraId="6B25C7B3">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5.工程内容：</w:t>
      </w:r>
      <w:r>
        <w:rPr>
          <w:rFonts w:hint="eastAsia" w:ascii="仿宋" w:hAnsi="仿宋" w:eastAsia="仿宋" w:cs="仿宋"/>
          <w:color w:val="auto"/>
          <w:sz w:val="24"/>
          <w:szCs w:val="24"/>
          <w:highlight w:val="none"/>
          <w:u w:val="single"/>
        </w:rPr>
        <w:t xml:space="preserve">                                                。</w:t>
      </w:r>
    </w:p>
    <w:p w14:paraId="6CE28CEB">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6.工程承包范围：</w:t>
      </w:r>
      <w:r>
        <w:rPr>
          <w:rFonts w:hint="eastAsia" w:ascii="仿宋" w:hAnsi="仿宋" w:eastAsia="仿宋" w:cs="仿宋"/>
          <w:color w:val="auto"/>
          <w:sz w:val="24"/>
          <w:szCs w:val="24"/>
          <w:highlight w:val="none"/>
          <w:u w:val="single"/>
        </w:rPr>
        <w:t xml:space="preserve">                                            。</w:t>
      </w:r>
    </w:p>
    <w:p w14:paraId="14E712F2">
      <w:pPr>
        <w:keepNext/>
        <w:keepLines/>
        <w:spacing w:before="327" w:line="360" w:lineRule="auto"/>
        <w:outlineLvl w:val="3"/>
        <w:rPr>
          <w:rFonts w:hint="eastAsia" w:ascii="仿宋" w:hAnsi="仿宋" w:eastAsia="仿宋" w:cs="仿宋"/>
          <w:color w:val="auto"/>
          <w:sz w:val="24"/>
          <w:szCs w:val="24"/>
          <w:highlight w:val="none"/>
        </w:rPr>
      </w:pPr>
      <w:bookmarkStart w:id="135" w:name="_Toc351203482"/>
      <w:r>
        <w:rPr>
          <w:rFonts w:hint="eastAsia" w:ascii="仿宋" w:hAnsi="仿宋" w:eastAsia="仿宋" w:cs="仿宋"/>
          <w:color w:val="auto"/>
          <w:sz w:val="24"/>
          <w:szCs w:val="24"/>
          <w:highlight w:val="none"/>
        </w:rPr>
        <w:t>二、合同工期</w:t>
      </w:r>
      <w:bookmarkEnd w:id="135"/>
    </w:p>
    <w:p w14:paraId="0CEDC4BC">
      <w:pPr>
        <w:spacing w:line="360" w:lineRule="auto"/>
        <w:ind w:firstLine="45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计划开工日期：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2CC1908F">
      <w:pPr>
        <w:spacing w:line="360" w:lineRule="auto"/>
        <w:ind w:firstLine="45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计划竣工日期：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1498F48E">
      <w:pPr>
        <w:spacing w:line="360" w:lineRule="auto"/>
        <w:ind w:firstLine="45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工期总日历天数：</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lang w:val="en-US" w:eastAsia="zh-CN"/>
        </w:rPr>
        <w:t>日历天</w:t>
      </w:r>
      <w:r>
        <w:rPr>
          <w:rFonts w:hint="eastAsia" w:ascii="仿宋" w:hAnsi="仿宋" w:eastAsia="仿宋" w:cs="仿宋"/>
          <w:color w:val="auto"/>
          <w:sz w:val="24"/>
          <w:szCs w:val="24"/>
          <w:highlight w:val="none"/>
        </w:rPr>
        <w:t>。工期总日历天数与根据前述计划开竣工日期计算的工期天数不一致的，以工期总日历天数为准。</w:t>
      </w:r>
    </w:p>
    <w:p w14:paraId="0C52D390">
      <w:pPr>
        <w:keepNext/>
        <w:keepLines/>
        <w:spacing w:before="327" w:line="360" w:lineRule="auto"/>
        <w:outlineLvl w:val="3"/>
        <w:rPr>
          <w:rFonts w:hint="eastAsia" w:ascii="仿宋" w:hAnsi="仿宋" w:eastAsia="仿宋" w:cs="仿宋"/>
          <w:color w:val="auto"/>
          <w:sz w:val="24"/>
          <w:szCs w:val="24"/>
          <w:highlight w:val="none"/>
        </w:rPr>
      </w:pPr>
      <w:bookmarkStart w:id="136" w:name="_Toc351203483"/>
      <w:r>
        <w:rPr>
          <w:rFonts w:hint="eastAsia" w:ascii="仿宋" w:hAnsi="仿宋" w:eastAsia="仿宋" w:cs="仿宋"/>
          <w:color w:val="auto"/>
          <w:sz w:val="24"/>
          <w:szCs w:val="24"/>
          <w:highlight w:val="none"/>
        </w:rPr>
        <w:t>三、质量标准</w:t>
      </w:r>
      <w:bookmarkEnd w:id="136"/>
    </w:p>
    <w:p w14:paraId="0BA84271">
      <w:pPr>
        <w:spacing w:line="360" w:lineRule="auto"/>
        <w:ind w:firstLine="45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工程质量符合</w:t>
      </w:r>
      <w:r>
        <w:rPr>
          <w:rFonts w:hint="eastAsia" w:ascii="仿宋" w:hAnsi="仿宋" w:eastAsia="仿宋" w:cs="仿宋"/>
          <w:color w:val="auto"/>
          <w:sz w:val="24"/>
          <w:szCs w:val="24"/>
          <w:highlight w:val="none"/>
          <w:u w:val="single"/>
        </w:rPr>
        <w:t xml:space="preserve">  合格   </w:t>
      </w:r>
      <w:r>
        <w:rPr>
          <w:rFonts w:hint="eastAsia" w:ascii="仿宋" w:hAnsi="仿宋" w:eastAsia="仿宋" w:cs="仿宋"/>
          <w:color w:val="auto"/>
          <w:sz w:val="24"/>
          <w:szCs w:val="24"/>
          <w:highlight w:val="none"/>
        </w:rPr>
        <w:t>标准。</w:t>
      </w:r>
    </w:p>
    <w:p w14:paraId="7F21A5EC">
      <w:pPr>
        <w:keepNext/>
        <w:keepLines/>
        <w:spacing w:before="327" w:line="360" w:lineRule="auto"/>
        <w:outlineLvl w:val="3"/>
        <w:rPr>
          <w:rFonts w:hint="eastAsia" w:ascii="仿宋" w:hAnsi="仿宋" w:eastAsia="仿宋" w:cs="仿宋"/>
          <w:color w:val="auto"/>
          <w:sz w:val="24"/>
          <w:szCs w:val="24"/>
          <w:highlight w:val="none"/>
        </w:rPr>
      </w:pPr>
      <w:bookmarkStart w:id="137" w:name="_Toc351203484"/>
      <w:r>
        <w:rPr>
          <w:rFonts w:hint="eastAsia" w:ascii="仿宋" w:hAnsi="仿宋" w:eastAsia="仿宋" w:cs="仿宋"/>
          <w:color w:val="auto"/>
          <w:sz w:val="24"/>
          <w:szCs w:val="24"/>
          <w:highlight w:val="none"/>
        </w:rPr>
        <w:t>四、签约合同价与合同价格形式</w:t>
      </w:r>
      <w:bookmarkEnd w:id="137"/>
      <w:r>
        <w:rPr>
          <w:rFonts w:hint="eastAsia" w:ascii="仿宋" w:hAnsi="仿宋" w:eastAsia="仿宋" w:cs="仿宋"/>
          <w:color w:val="auto"/>
          <w:sz w:val="24"/>
          <w:szCs w:val="24"/>
          <w:highlight w:val="none"/>
        </w:rPr>
        <w:tab/>
      </w:r>
    </w:p>
    <w:p w14:paraId="626DD357">
      <w:pPr>
        <w:spacing w:line="360" w:lineRule="auto"/>
        <w:ind w:firstLine="420"/>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1.签约合同价为：</w:t>
      </w:r>
    </w:p>
    <w:p w14:paraId="1108A40E">
      <w:pPr>
        <w:spacing w:line="360" w:lineRule="auto"/>
        <w:ind w:firstLine="52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人民币（大写）(¥元)；</w:t>
      </w:r>
    </w:p>
    <w:p w14:paraId="41D0172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其中：</w:t>
      </w:r>
    </w:p>
    <w:p w14:paraId="48A681C1">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（1）安全文明施工费：</w:t>
      </w:r>
    </w:p>
    <w:p w14:paraId="02D7F323">
      <w:pPr>
        <w:spacing w:line="360" w:lineRule="auto"/>
        <w:ind w:firstLine="94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 (¥元)；</w:t>
      </w:r>
    </w:p>
    <w:p w14:paraId="2D858225">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（2）材料和工程设备暂估价金额：</w:t>
      </w:r>
    </w:p>
    <w:p w14:paraId="18648EA5">
      <w:pPr>
        <w:spacing w:line="360" w:lineRule="auto"/>
        <w:ind w:firstLine="94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 (¥元)；</w:t>
      </w:r>
    </w:p>
    <w:p w14:paraId="5AC8B9DF">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（3）专业工程暂估价金额：</w:t>
      </w:r>
    </w:p>
    <w:p w14:paraId="14BE30CC">
      <w:pPr>
        <w:spacing w:line="360" w:lineRule="auto"/>
        <w:ind w:firstLine="94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 (¥元)；</w:t>
      </w:r>
    </w:p>
    <w:p w14:paraId="5ED42058">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（4）暂列金额：</w:t>
      </w:r>
    </w:p>
    <w:p w14:paraId="780D9CF2">
      <w:pPr>
        <w:spacing w:line="360" w:lineRule="auto"/>
        <w:ind w:firstLine="94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 (¥元)。</w:t>
      </w:r>
    </w:p>
    <w:p w14:paraId="30591A4F">
      <w:pPr>
        <w:spacing w:line="360" w:lineRule="auto"/>
        <w:ind w:firstLine="420"/>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2.合同价格形式：</w:t>
      </w:r>
      <w:r>
        <w:rPr>
          <w:rFonts w:hint="eastAsia" w:ascii="仿宋" w:hAnsi="仿宋" w:eastAsia="仿宋" w:cs="仿宋"/>
          <w:color w:val="auto"/>
          <w:sz w:val="24"/>
          <w:szCs w:val="24"/>
          <w:highlight w:val="none"/>
          <w:u w:val="single"/>
        </w:rPr>
        <w:t xml:space="preserve">固定单价合同  </w:t>
      </w:r>
      <w:r>
        <w:rPr>
          <w:rFonts w:hint="eastAsia" w:ascii="仿宋" w:hAnsi="仿宋" w:eastAsia="仿宋" w:cs="仿宋"/>
          <w:color w:val="auto"/>
          <w:sz w:val="24"/>
          <w:szCs w:val="24"/>
          <w:highlight w:val="none"/>
        </w:rPr>
        <w:t>。</w:t>
      </w:r>
    </w:p>
    <w:p w14:paraId="7D6AA1A0">
      <w:pPr>
        <w:keepNext/>
        <w:keepLines/>
        <w:spacing w:before="327" w:line="360" w:lineRule="auto"/>
        <w:outlineLvl w:val="2"/>
        <w:rPr>
          <w:rFonts w:hint="eastAsia" w:ascii="仿宋" w:hAnsi="仿宋" w:eastAsia="仿宋" w:cs="仿宋"/>
          <w:color w:val="auto"/>
          <w:sz w:val="24"/>
          <w:szCs w:val="24"/>
          <w:highlight w:val="none"/>
        </w:rPr>
      </w:pPr>
      <w:bookmarkStart w:id="138" w:name="_Toc351203485"/>
      <w:r>
        <w:rPr>
          <w:rFonts w:hint="eastAsia" w:ascii="仿宋" w:hAnsi="仿宋" w:eastAsia="仿宋" w:cs="仿宋"/>
          <w:color w:val="auto"/>
          <w:sz w:val="24"/>
          <w:szCs w:val="24"/>
          <w:highlight w:val="none"/>
        </w:rPr>
        <w:t>五、</w:t>
      </w:r>
      <w:bookmarkEnd w:id="138"/>
      <w:r>
        <w:rPr>
          <w:rFonts w:hint="eastAsia" w:ascii="仿宋" w:hAnsi="仿宋" w:eastAsia="仿宋" w:cs="仿宋"/>
          <w:color w:val="auto"/>
          <w:sz w:val="24"/>
          <w:szCs w:val="24"/>
          <w:highlight w:val="none"/>
        </w:rPr>
        <w:t>项目经理</w:t>
      </w:r>
    </w:p>
    <w:p w14:paraId="1EB7FD81">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D37F94E">
      <w:pPr>
        <w:keepNext/>
        <w:keepLines/>
        <w:spacing w:before="327" w:line="360" w:lineRule="auto"/>
        <w:outlineLvl w:val="2"/>
        <w:rPr>
          <w:rFonts w:hint="eastAsia" w:ascii="仿宋" w:hAnsi="仿宋" w:eastAsia="仿宋" w:cs="仿宋"/>
          <w:color w:val="auto"/>
          <w:sz w:val="24"/>
          <w:szCs w:val="24"/>
          <w:highlight w:val="none"/>
        </w:rPr>
      </w:pPr>
      <w:bookmarkStart w:id="139" w:name="_Toc351203486"/>
      <w:r>
        <w:rPr>
          <w:rFonts w:hint="eastAsia" w:ascii="仿宋" w:hAnsi="仿宋" w:eastAsia="仿宋" w:cs="仿宋"/>
          <w:color w:val="auto"/>
          <w:sz w:val="24"/>
          <w:szCs w:val="24"/>
          <w:highlight w:val="none"/>
        </w:rPr>
        <w:t>六、合同文件构成</w:t>
      </w:r>
      <w:bookmarkEnd w:id="139"/>
    </w:p>
    <w:p w14:paraId="13D30688">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本协议书与下列文件一起构成合同文件：</w:t>
      </w:r>
    </w:p>
    <w:p w14:paraId="0194DCB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（1）中标通知书（如果有）；</w:t>
      </w:r>
    </w:p>
    <w:p w14:paraId="203E6E1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p>
    <w:p w14:paraId="404EDEE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（3）专用合同条款及其附件；</w:t>
      </w:r>
    </w:p>
    <w:p w14:paraId="0B4C409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（4）通用合同条款；</w:t>
      </w:r>
    </w:p>
    <w:p w14:paraId="7CE59ABB">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（5）技术标准和要求；</w:t>
      </w:r>
    </w:p>
    <w:p w14:paraId="381E1D1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（6）图纸；</w:t>
      </w:r>
    </w:p>
    <w:p w14:paraId="6D961DC9">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（7）已标价工程量清单或预算书；</w:t>
      </w:r>
    </w:p>
    <w:p w14:paraId="4B5F4F1E">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（8）其他合同文件。</w:t>
      </w:r>
    </w:p>
    <w:p w14:paraId="37BDDA89">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在合同订立及履行过程中形成的与合同有关的文件均构成合同文件组成部分。</w:t>
      </w:r>
    </w:p>
    <w:p w14:paraId="19F589D1">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6046895E">
      <w:pPr>
        <w:keepNext/>
        <w:keepLines/>
        <w:spacing w:before="327" w:line="360" w:lineRule="auto"/>
        <w:outlineLvl w:val="2"/>
        <w:rPr>
          <w:rFonts w:hint="eastAsia" w:ascii="仿宋" w:hAnsi="仿宋" w:eastAsia="仿宋" w:cs="仿宋"/>
          <w:color w:val="auto"/>
          <w:sz w:val="24"/>
          <w:szCs w:val="24"/>
          <w:highlight w:val="none"/>
        </w:rPr>
      </w:pPr>
      <w:bookmarkStart w:id="140" w:name="_Toc351203487"/>
      <w:r>
        <w:rPr>
          <w:rFonts w:hint="eastAsia" w:ascii="仿宋" w:hAnsi="仿宋" w:eastAsia="仿宋" w:cs="仿宋"/>
          <w:color w:val="auto"/>
          <w:sz w:val="24"/>
          <w:szCs w:val="24"/>
          <w:highlight w:val="none"/>
        </w:rPr>
        <w:t>七、承诺</w:t>
      </w:r>
      <w:bookmarkEnd w:id="140"/>
    </w:p>
    <w:p w14:paraId="7BA8183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1.发包人承诺按照法律规定履行项目审批手续、筹集工程建设资金并按照合同约定的期限和方式支付合同价款。</w:t>
      </w:r>
    </w:p>
    <w:p w14:paraId="7315A8B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39A901CE">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3.发包人和承包人通过招投标形式签订合同的，双方理解并承诺不再就同一工程另行签订与合同实质性内容相背离的协议。</w:t>
      </w:r>
    </w:p>
    <w:p w14:paraId="2A6BBC8A">
      <w:pPr>
        <w:keepNext/>
        <w:keepLines/>
        <w:spacing w:before="327" w:line="360" w:lineRule="auto"/>
        <w:outlineLvl w:val="2"/>
        <w:rPr>
          <w:rFonts w:hint="eastAsia" w:ascii="仿宋" w:hAnsi="仿宋" w:eastAsia="仿宋" w:cs="仿宋"/>
          <w:color w:val="auto"/>
          <w:sz w:val="24"/>
          <w:szCs w:val="24"/>
          <w:highlight w:val="none"/>
        </w:rPr>
      </w:pPr>
      <w:bookmarkStart w:id="141" w:name="_Toc351203488"/>
      <w:r>
        <w:rPr>
          <w:rFonts w:hint="eastAsia" w:ascii="仿宋" w:hAnsi="仿宋" w:eastAsia="仿宋" w:cs="仿宋"/>
          <w:color w:val="auto"/>
          <w:sz w:val="24"/>
          <w:szCs w:val="24"/>
          <w:highlight w:val="none"/>
        </w:rPr>
        <w:t>八、词语含义</w:t>
      </w:r>
      <w:bookmarkEnd w:id="141"/>
    </w:p>
    <w:p w14:paraId="683C05E1">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本协议书中词语含义与第二部分通用合同条款中赋予的含义相同。</w:t>
      </w:r>
    </w:p>
    <w:p w14:paraId="41AC3DDE">
      <w:pPr>
        <w:keepNext/>
        <w:keepLines/>
        <w:spacing w:before="327" w:line="360" w:lineRule="auto"/>
        <w:outlineLvl w:val="2"/>
        <w:rPr>
          <w:rFonts w:hint="eastAsia" w:ascii="仿宋" w:hAnsi="仿宋" w:eastAsia="仿宋" w:cs="仿宋"/>
          <w:color w:val="auto"/>
          <w:sz w:val="24"/>
          <w:szCs w:val="24"/>
          <w:highlight w:val="none"/>
        </w:rPr>
      </w:pPr>
      <w:bookmarkStart w:id="142" w:name="_Toc351203489"/>
      <w:r>
        <w:rPr>
          <w:rFonts w:hint="eastAsia" w:ascii="仿宋" w:hAnsi="仿宋" w:eastAsia="仿宋" w:cs="仿宋"/>
          <w:color w:val="auto"/>
          <w:sz w:val="24"/>
          <w:szCs w:val="24"/>
          <w:highlight w:val="none"/>
        </w:rPr>
        <w:t>九、签订时间</w:t>
      </w:r>
      <w:bookmarkEnd w:id="142"/>
    </w:p>
    <w:p w14:paraId="1AA8E678">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日签订。</w:t>
      </w:r>
    </w:p>
    <w:p w14:paraId="2B2E9788">
      <w:pPr>
        <w:keepNext/>
        <w:keepLines/>
        <w:spacing w:before="327" w:line="360" w:lineRule="auto"/>
        <w:outlineLvl w:val="2"/>
        <w:rPr>
          <w:rFonts w:hint="eastAsia" w:ascii="仿宋" w:hAnsi="仿宋" w:eastAsia="仿宋" w:cs="仿宋"/>
          <w:color w:val="auto"/>
          <w:sz w:val="24"/>
          <w:szCs w:val="24"/>
          <w:highlight w:val="none"/>
        </w:rPr>
      </w:pPr>
      <w:bookmarkStart w:id="143" w:name="_Toc351203490"/>
      <w:r>
        <w:rPr>
          <w:rFonts w:hint="eastAsia" w:ascii="仿宋" w:hAnsi="仿宋" w:eastAsia="仿宋" w:cs="仿宋"/>
          <w:color w:val="auto"/>
          <w:sz w:val="24"/>
          <w:szCs w:val="24"/>
          <w:highlight w:val="none"/>
        </w:rPr>
        <w:t>十、签订地点</w:t>
      </w:r>
      <w:bookmarkEnd w:id="143"/>
    </w:p>
    <w:p w14:paraId="1A42647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本合同在</w:t>
      </w:r>
      <w:r>
        <w:rPr>
          <w:rFonts w:hint="eastAsia" w:ascii="仿宋" w:hAnsi="仿宋" w:eastAsia="仿宋" w:cs="仿宋"/>
          <w:color w:val="auto"/>
          <w:sz w:val="24"/>
          <w:szCs w:val="24"/>
          <w:highlight w:val="none"/>
          <w:u w:val="single"/>
        </w:rPr>
        <w:t xml:space="preserve">   江苏省新沂市   </w:t>
      </w:r>
      <w:r>
        <w:rPr>
          <w:rFonts w:hint="eastAsia" w:ascii="仿宋" w:hAnsi="仿宋" w:eastAsia="仿宋" w:cs="仿宋"/>
          <w:color w:val="auto"/>
          <w:sz w:val="24"/>
          <w:szCs w:val="24"/>
          <w:highlight w:val="none"/>
        </w:rPr>
        <w:t>签订。</w:t>
      </w:r>
    </w:p>
    <w:p w14:paraId="72CBDD7A">
      <w:pPr>
        <w:keepNext/>
        <w:keepLines/>
        <w:spacing w:before="327" w:line="360" w:lineRule="auto"/>
        <w:outlineLvl w:val="2"/>
        <w:rPr>
          <w:rFonts w:hint="eastAsia" w:ascii="仿宋" w:hAnsi="仿宋" w:eastAsia="仿宋" w:cs="仿宋"/>
          <w:color w:val="auto"/>
          <w:sz w:val="24"/>
          <w:szCs w:val="24"/>
          <w:highlight w:val="none"/>
        </w:rPr>
      </w:pPr>
      <w:bookmarkStart w:id="144" w:name="_Toc351203491"/>
      <w:r>
        <w:rPr>
          <w:rFonts w:hint="eastAsia" w:ascii="仿宋" w:hAnsi="仿宋" w:eastAsia="仿宋" w:cs="仿宋"/>
          <w:color w:val="auto"/>
          <w:sz w:val="24"/>
          <w:szCs w:val="24"/>
          <w:highlight w:val="none"/>
        </w:rPr>
        <w:t>十一、补充协议</w:t>
      </w:r>
      <w:bookmarkEnd w:id="144"/>
    </w:p>
    <w:p w14:paraId="34D02707">
      <w:pPr>
        <w:spacing w:line="360" w:lineRule="auto"/>
        <w:ind w:firstLine="42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合同未尽事宜，合同当事人另行签订补充协议，补充协议是合同的组成部分。</w:t>
      </w:r>
    </w:p>
    <w:p w14:paraId="3EE5421E">
      <w:pPr>
        <w:keepNext/>
        <w:keepLines/>
        <w:spacing w:before="327" w:line="360" w:lineRule="auto"/>
        <w:outlineLvl w:val="2"/>
        <w:rPr>
          <w:rFonts w:hint="eastAsia" w:ascii="仿宋" w:hAnsi="仿宋" w:eastAsia="仿宋" w:cs="仿宋"/>
          <w:color w:val="auto"/>
          <w:sz w:val="24"/>
          <w:szCs w:val="24"/>
          <w:highlight w:val="none"/>
        </w:rPr>
      </w:pPr>
      <w:bookmarkStart w:id="145" w:name="_Toc351203492"/>
      <w:r>
        <w:rPr>
          <w:rFonts w:hint="eastAsia" w:ascii="仿宋" w:hAnsi="仿宋" w:eastAsia="仿宋" w:cs="仿宋"/>
          <w:color w:val="auto"/>
          <w:sz w:val="24"/>
          <w:szCs w:val="24"/>
          <w:highlight w:val="none"/>
        </w:rPr>
        <w:t>十二、合同生效</w:t>
      </w:r>
      <w:bookmarkEnd w:id="145"/>
    </w:p>
    <w:p w14:paraId="266379BB">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本合同自</w:t>
      </w:r>
      <w:r>
        <w:rPr>
          <w:rFonts w:hint="eastAsia" w:ascii="仿宋" w:hAnsi="仿宋" w:eastAsia="仿宋" w:cs="仿宋"/>
          <w:color w:val="auto"/>
          <w:sz w:val="24"/>
          <w:szCs w:val="24"/>
          <w:highlight w:val="none"/>
          <w:u w:val="single"/>
        </w:rPr>
        <w:t xml:space="preserve">   签字、盖章   </w:t>
      </w:r>
      <w:r>
        <w:rPr>
          <w:rFonts w:hint="eastAsia" w:ascii="仿宋" w:hAnsi="仿宋" w:eastAsia="仿宋" w:cs="仿宋"/>
          <w:color w:val="auto"/>
          <w:sz w:val="24"/>
          <w:szCs w:val="24"/>
          <w:highlight w:val="none"/>
        </w:rPr>
        <w:t>生效。</w:t>
      </w:r>
    </w:p>
    <w:p w14:paraId="2FB4AB7A">
      <w:pPr>
        <w:keepNext/>
        <w:keepLines/>
        <w:spacing w:before="327" w:line="360" w:lineRule="auto"/>
        <w:outlineLvl w:val="2"/>
        <w:rPr>
          <w:rFonts w:hint="eastAsia" w:ascii="仿宋" w:hAnsi="仿宋" w:eastAsia="仿宋" w:cs="仿宋"/>
          <w:color w:val="auto"/>
          <w:sz w:val="24"/>
          <w:szCs w:val="24"/>
          <w:highlight w:val="none"/>
        </w:rPr>
      </w:pPr>
      <w:bookmarkStart w:id="146" w:name="_Toc351203493"/>
      <w:r>
        <w:rPr>
          <w:rFonts w:hint="eastAsia" w:ascii="仿宋" w:hAnsi="仿宋" w:eastAsia="仿宋" w:cs="仿宋"/>
          <w:color w:val="auto"/>
          <w:sz w:val="24"/>
          <w:szCs w:val="24"/>
          <w:highlight w:val="none"/>
        </w:rPr>
        <w:t>十三、合同份数</w:t>
      </w:r>
      <w:bookmarkEnd w:id="146"/>
    </w:p>
    <w:p w14:paraId="6A9548E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本合同一式</w:t>
      </w:r>
      <w:r>
        <w:rPr>
          <w:rFonts w:hint="eastAsia" w:ascii="仿宋" w:hAnsi="仿宋" w:eastAsia="仿宋" w:cs="仿宋"/>
          <w:color w:val="auto"/>
          <w:sz w:val="24"/>
          <w:szCs w:val="24"/>
          <w:highlight w:val="none"/>
          <w:u w:val="single"/>
        </w:rPr>
        <w:t xml:space="preserve">  肆  </w:t>
      </w:r>
      <w:r>
        <w:rPr>
          <w:rFonts w:hint="eastAsia" w:ascii="仿宋" w:hAnsi="仿宋" w:eastAsia="仿宋" w:cs="仿宋"/>
          <w:color w:val="auto"/>
          <w:sz w:val="24"/>
          <w:szCs w:val="24"/>
          <w:highlight w:val="none"/>
        </w:rPr>
        <w:t>份，均具有同等法律效力，发包人执</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份，承包人执</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份。</w:t>
      </w:r>
    </w:p>
    <w:p w14:paraId="223DBAB8">
      <w:pPr>
        <w:spacing w:line="360" w:lineRule="auto"/>
        <w:rPr>
          <w:rFonts w:hint="eastAsia" w:ascii="仿宋" w:hAnsi="仿宋" w:eastAsia="仿宋" w:cs="仿宋"/>
          <w:color w:val="auto"/>
          <w:sz w:val="24"/>
          <w:szCs w:val="24"/>
          <w:highlight w:val="none"/>
        </w:rPr>
      </w:pPr>
    </w:p>
    <w:p w14:paraId="18BBDDAE">
      <w:pPr>
        <w:spacing w:line="360" w:lineRule="auto"/>
        <w:rPr>
          <w:rFonts w:hint="eastAsia" w:ascii="仿宋" w:hAnsi="仿宋" w:eastAsia="仿宋" w:cs="仿宋"/>
          <w:color w:val="auto"/>
          <w:sz w:val="24"/>
          <w:szCs w:val="24"/>
          <w:highlight w:val="none"/>
        </w:rPr>
      </w:pPr>
    </w:p>
    <w:tbl>
      <w:tblPr>
        <w:tblStyle w:val="38"/>
        <w:tblW w:w="9410" w:type="dxa"/>
        <w:jc w:val="center"/>
        <w:tblLayout w:type="fixed"/>
        <w:tblCellMar>
          <w:top w:w="0" w:type="dxa"/>
          <w:left w:w="0" w:type="dxa"/>
          <w:bottom w:w="0" w:type="dxa"/>
          <w:right w:w="0" w:type="dxa"/>
        </w:tblCellMar>
      </w:tblPr>
      <w:tblGrid>
        <w:gridCol w:w="4705"/>
        <w:gridCol w:w="4705"/>
      </w:tblGrid>
      <w:tr w14:paraId="2CDDC718">
        <w:tblPrEx>
          <w:tblCellMar>
            <w:top w:w="0" w:type="dxa"/>
            <w:left w:w="0" w:type="dxa"/>
            <w:bottom w:w="0" w:type="dxa"/>
            <w:right w:w="0" w:type="dxa"/>
          </w:tblCellMar>
        </w:tblPrEx>
        <w:trPr>
          <w:trHeight w:val="850" w:hRule="exact"/>
          <w:jc w:val="center"/>
        </w:trPr>
        <w:tc>
          <w:tcPr>
            <w:tcW w:w="4705" w:type="dxa"/>
            <w:tcBorders>
              <w:top w:val="nil"/>
              <w:left w:val="nil"/>
              <w:bottom w:val="nil"/>
              <w:right w:val="nil"/>
            </w:tcBorders>
            <w:noWrap w:val="0"/>
          </w:tcPr>
          <w:p w14:paraId="7CD763E5">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  (公章)</w:t>
            </w:r>
          </w:p>
        </w:tc>
        <w:tc>
          <w:tcPr>
            <w:tcW w:w="4705" w:type="dxa"/>
            <w:tcBorders>
              <w:top w:val="nil"/>
              <w:left w:val="nil"/>
              <w:bottom w:val="nil"/>
              <w:right w:val="nil"/>
            </w:tcBorders>
            <w:noWrap w:val="0"/>
          </w:tcPr>
          <w:p w14:paraId="48A66D5F">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  (公章)</w:t>
            </w:r>
          </w:p>
        </w:tc>
      </w:tr>
      <w:tr w14:paraId="0CFEA022">
        <w:tblPrEx>
          <w:tblCellMar>
            <w:top w:w="0" w:type="dxa"/>
            <w:left w:w="0" w:type="dxa"/>
            <w:bottom w:w="0" w:type="dxa"/>
            <w:right w:w="0" w:type="dxa"/>
          </w:tblCellMar>
        </w:tblPrEx>
        <w:trPr>
          <w:trHeight w:val="850" w:hRule="exact"/>
          <w:jc w:val="center"/>
        </w:trPr>
        <w:tc>
          <w:tcPr>
            <w:tcW w:w="4705" w:type="dxa"/>
            <w:tcBorders>
              <w:top w:val="nil"/>
              <w:left w:val="nil"/>
              <w:bottom w:val="nil"/>
              <w:right w:val="nil"/>
            </w:tcBorders>
            <w:noWrap w:val="0"/>
            <w:vAlign w:val="center"/>
          </w:tcPr>
          <w:p w14:paraId="7DF39A20">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p w14:paraId="6804E5F7">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c>
          <w:tcPr>
            <w:tcW w:w="4705" w:type="dxa"/>
            <w:tcBorders>
              <w:top w:val="nil"/>
              <w:left w:val="nil"/>
              <w:bottom w:val="nil"/>
              <w:right w:val="nil"/>
            </w:tcBorders>
            <w:noWrap w:val="0"/>
            <w:vAlign w:val="center"/>
          </w:tcPr>
          <w:p w14:paraId="38041923">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p w14:paraId="2D662FDF">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r>
      <w:tr w14:paraId="6658D4B6">
        <w:tblPrEx>
          <w:tblCellMar>
            <w:top w:w="0" w:type="dxa"/>
            <w:left w:w="0" w:type="dxa"/>
            <w:bottom w:w="0" w:type="dxa"/>
            <w:right w:w="0" w:type="dxa"/>
          </w:tblCellMar>
        </w:tblPrEx>
        <w:trPr>
          <w:trHeight w:val="680" w:hRule="exact"/>
          <w:jc w:val="center"/>
        </w:trPr>
        <w:tc>
          <w:tcPr>
            <w:tcW w:w="4705" w:type="dxa"/>
            <w:tcBorders>
              <w:top w:val="nil"/>
              <w:left w:val="nil"/>
              <w:bottom w:val="nil"/>
              <w:right w:val="nil"/>
            </w:tcBorders>
            <w:noWrap w:val="0"/>
            <w:vAlign w:val="center"/>
          </w:tcPr>
          <w:p w14:paraId="4BEDBDC2">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组织机构代码：</w:t>
            </w:r>
          </w:p>
        </w:tc>
        <w:tc>
          <w:tcPr>
            <w:tcW w:w="4705" w:type="dxa"/>
            <w:tcBorders>
              <w:top w:val="nil"/>
              <w:left w:val="nil"/>
              <w:bottom w:val="nil"/>
              <w:right w:val="nil"/>
            </w:tcBorders>
            <w:noWrap w:val="0"/>
            <w:vAlign w:val="center"/>
          </w:tcPr>
          <w:p w14:paraId="3708E977">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组织机构代码：</w:t>
            </w:r>
          </w:p>
        </w:tc>
      </w:tr>
      <w:tr w14:paraId="4C5F85CF">
        <w:tblPrEx>
          <w:tblCellMar>
            <w:top w:w="0" w:type="dxa"/>
            <w:left w:w="0" w:type="dxa"/>
            <w:bottom w:w="0" w:type="dxa"/>
            <w:right w:w="0" w:type="dxa"/>
          </w:tblCellMar>
        </w:tblPrEx>
        <w:trPr>
          <w:trHeight w:val="680" w:hRule="exact"/>
          <w:jc w:val="center"/>
        </w:trPr>
        <w:tc>
          <w:tcPr>
            <w:tcW w:w="4705" w:type="dxa"/>
            <w:tcBorders>
              <w:top w:val="nil"/>
              <w:left w:val="nil"/>
              <w:bottom w:val="nil"/>
              <w:right w:val="nil"/>
            </w:tcBorders>
            <w:noWrap w:val="0"/>
            <w:vAlign w:val="center"/>
          </w:tcPr>
          <w:p w14:paraId="73FAB0C4">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p>
        </w:tc>
        <w:tc>
          <w:tcPr>
            <w:tcW w:w="4705" w:type="dxa"/>
            <w:tcBorders>
              <w:top w:val="nil"/>
              <w:left w:val="nil"/>
              <w:bottom w:val="nil"/>
              <w:right w:val="nil"/>
            </w:tcBorders>
            <w:noWrap w:val="0"/>
            <w:vAlign w:val="center"/>
          </w:tcPr>
          <w:p w14:paraId="5741C5BE">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p>
        </w:tc>
      </w:tr>
      <w:tr w14:paraId="09646C0E">
        <w:tblPrEx>
          <w:tblCellMar>
            <w:top w:w="0" w:type="dxa"/>
            <w:left w:w="0" w:type="dxa"/>
            <w:bottom w:w="0" w:type="dxa"/>
            <w:right w:w="0" w:type="dxa"/>
          </w:tblCellMar>
        </w:tblPrEx>
        <w:trPr>
          <w:trHeight w:val="680" w:hRule="exact"/>
          <w:jc w:val="center"/>
        </w:trPr>
        <w:tc>
          <w:tcPr>
            <w:tcW w:w="4705" w:type="dxa"/>
            <w:tcBorders>
              <w:top w:val="nil"/>
              <w:left w:val="nil"/>
              <w:bottom w:val="nil"/>
              <w:right w:val="nil"/>
            </w:tcBorders>
            <w:noWrap w:val="0"/>
            <w:vAlign w:val="center"/>
          </w:tcPr>
          <w:p w14:paraId="528157F9">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4705" w:type="dxa"/>
            <w:tcBorders>
              <w:top w:val="nil"/>
              <w:left w:val="nil"/>
              <w:bottom w:val="nil"/>
              <w:right w:val="nil"/>
            </w:tcBorders>
            <w:noWrap w:val="0"/>
            <w:vAlign w:val="center"/>
          </w:tcPr>
          <w:p w14:paraId="3F0EA388">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r>
      <w:tr w14:paraId="64DC71CA">
        <w:tblPrEx>
          <w:tblCellMar>
            <w:top w:w="0" w:type="dxa"/>
            <w:left w:w="0" w:type="dxa"/>
            <w:bottom w:w="0" w:type="dxa"/>
            <w:right w:w="0" w:type="dxa"/>
          </w:tblCellMar>
        </w:tblPrEx>
        <w:trPr>
          <w:trHeight w:val="680" w:hRule="exact"/>
          <w:jc w:val="center"/>
        </w:trPr>
        <w:tc>
          <w:tcPr>
            <w:tcW w:w="4705" w:type="dxa"/>
            <w:tcBorders>
              <w:top w:val="nil"/>
              <w:left w:val="nil"/>
              <w:bottom w:val="nil"/>
              <w:right w:val="nil"/>
            </w:tcBorders>
            <w:noWrap w:val="0"/>
            <w:vAlign w:val="center"/>
          </w:tcPr>
          <w:p w14:paraId="2F93AAEA">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w:t>
            </w:r>
          </w:p>
        </w:tc>
        <w:tc>
          <w:tcPr>
            <w:tcW w:w="4705" w:type="dxa"/>
            <w:tcBorders>
              <w:top w:val="nil"/>
              <w:left w:val="nil"/>
              <w:bottom w:val="nil"/>
              <w:right w:val="nil"/>
            </w:tcBorders>
            <w:noWrap w:val="0"/>
            <w:vAlign w:val="center"/>
          </w:tcPr>
          <w:p w14:paraId="1CAF6299">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w:t>
            </w:r>
          </w:p>
        </w:tc>
      </w:tr>
      <w:tr w14:paraId="160FE57B">
        <w:tblPrEx>
          <w:tblCellMar>
            <w:top w:w="0" w:type="dxa"/>
            <w:left w:w="0" w:type="dxa"/>
            <w:bottom w:w="0" w:type="dxa"/>
            <w:right w:w="0" w:type="dxa"/>
          </w:tblCellMar>
        </w:tblPrEx>
        <w:trPr>
          <w:trHeight w:val="680" w:hRule="exact"/>
          <w:jc w:val="center"/>
        </w:trPr>
        <w:tc>
          <w:tcPr>
            <w:tcW w:w="4705" w:type="dxa"/>
            <w:tcBorders>
              <w:top w:val="nil"/>
              <w:left w:val="nil"/>
              <w:bottom w:val="nil"/>
              <w:right w:val="nil"/>
            </w:tcBorders>
            <w:noWrap w:val="0"/>
            <w:vAlign w:val="center"/>
          </w:tcPr>
          <w:p w14:paraId="560FBA5C">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p>
        </w:tc>
        <w:tc>
          <w:tcPr>
            <w:tcW w:w="4705" w:type="dxa"/>
            <w:tcBorders>
              <w:top w:val="nil"/>
              <w:left w:val="nil"/>
              <w:bottom w:val="nil"/>
              <w:right w:val="nil"/>
            </w:tcBorders>
            <w:noWrap w:val="0"/>
            <w:vAlign w:val="center"/>
          </w:tcPr>
          <w:p w14:paraId="67D5409D">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p>
        </w:tc>
      </w:tr>
      <w:tr w14:paraId="76807BA7">
        <w:tblPrEx>
          <w:tblCellMar>
            <w:top w:w="0" w:type="dxa"/>
            <w:left w:w="0" w:type="dxa"/>
            <w:bottom w:w="0" w:type="dxa"/>
            <w:right w:w="0" w:type="dxa"/>
          </w:tblCellMar>
        </w:tblPrEx>
        <w:trPr>
          <w:trHeight w:val="680" w:hRule="exact"/>
          <w:jc w:val="center"/>
        </w:trPr>
        <w:tc>
          <w:tcPr>
            <w:tcW w:w="4705" w:type="dxa"/>
            <w:tcBorders>
              <w:top w:val="nil"/>
              <w:left w:val="nil"/>
              <w:bottom w:val="nil"/>
              <w:right w:val="nil"/>
            </w:tcBorders>
            <w:noWrap w:val="0"/>
            <w:vAlign w:val="center"/>
          </w:tcPr>
          <w:p w14:paraId="5E0FA7FB">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p>
        </w:tc>
        <w:tc>
          <w:tcPr>
            <w:tcW w:w="4705" w:type="dxa"/>
            <w:tcBorders>
              <w:top w:val="nil"/>
              <w:left w:val="nil"/>
              <w:bottom w:val="nil"/>
              <w:right w:val="nil"/>
            </w:tcBorders>
            <w:noWrap w:val="0"/>
            <w:vAlign w:val="center"/>
          </w:tcPr>
          <w:p w14:paraId="6439241F">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p>
        </w:tc>
      </w:tr>
      <w:tr w14:paraId="5201F9A6">
        <w:tblPrEx>
          <w:tblCellMar>
            <w:top w:w="0" w:type="dxa"/>
            <w:left w:w="0" w:type="dxa"/>
            <w:bottom w:w="0" w:type="dxa"/>
            <w:right w:w="0" w:type="dxa"/>
          </w:tblCellMar>
        </w:tblPrEx>
        <w:trPr>
          <w:trHeight w:val="680" w:hRule="exact"/>
          <w:jc w:val="center"/>
        </w:trPr>
        <w:tc>
          <w:tcPr>
            <w:tcW w:w="4705" w:type="dxa"/>
            <w:tcBorders>
              <w:top w:val="nil"/>
              <w:left w:val="nil"/>
              <w:bottom w:val="nil"/>
              <w:right w:val="nil"/>
            </w:tcBorders>
            <w:noWrap w:val="0"/>
            <w:vAlign w:val="center"/>
          </w:tcPr>
          <w:p w14:paraId="63835621">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p>
        </w:tc>
        <w:tc>
          <w:tcPr>
            <w:tcW w:w="4705" w:type="dxa"/>
            <w:tcBorders>
              <w:top w:val="nil"/>
              <w:left w:val="nil"/>
              <w:bottom w:val="nil"/>
              <w:right w:val="nil"/>
            </w:tcBorders>
            <w:noWrap w:val="0"/>
            <w:vAlign w:val="center"/>
          </w:tcPr>
          <w:p w14:paraId="0F8144D1">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p>
        </w:tc>
      </w:tr>
      <w:tr w14:paraId="1570338F">
        <w:tblPrEx>
          <w:tblCellMar>
            <w:top w:w="0" w:type="dxa"/>
            <w:left w:w="0" w:type="dxa"/>
            <w:bottom w:w="0" w:type="dxa"/>
            <w:right w:w="0" w:type="dxa"/>
          </w:tblCellMar>
        </w:tblPrEx>
        <w:trPr>
          <w:trHeight w:val="680" w:hRule="exact"/>
          <w:jc w:val="center"/>
        </w:trPr>
        <w:tc>
          <w:tcPr>
            <w:tcW w:w="4705" w:type="dxa"/>
            <w:tcBorders>
              <w:top w:val="nil"/>
              <w:left w:val="nil"/>
              <w:bottom w:val="nil"/>
              <w:right w:val="nil"/>
            </w:tcBorders>
            <w:noWrap w:val="0"/>
            <w:vAlign w:val="center"/>
          </w:tcPr>
          <w:p w14:paraId="06BB1CC8">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p>
        </w:tc>
        <w:tc>
          <w:tcPr>
            <w:tcW w:w="4705" w:type="dxa"/>
            <w:tcBorders>
              <w:top w:val="nil"/>
              <w:left w:val="nil"/>
              <w:bottom w:val="nil"/>
              <w:right w:val="nil"/>
            </w:tcBorders>
            <w:noWrap w:val="0"/>
            <w:vAlign w:val="center"/>
          </w:tcPr>
          <w:p w14:paraId="2E64C7C3">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p>
        </w:tc>
      </w:tr>
      <w:tr w14:paraId="1A8AC31E">
        <w:tblPrEx>
          <w:tblCellMar>
            <w:top w:w="0" w:type="dxa"/>
            <w:left w:w="0" w:type="dxa"/>
            <w:bottom w:w="0" w:type="dxa"/>
            <w:right w:w="0" w:type="dxa"/>
          </w:tblCellMar>
        </w:tblPrEx>
        <w:trPr>
          <w:trHeight w:val="680" w:hRule="exact"/>
          <w:jc w:val="center"/>
        </w:trPr>
        <w:tc>
          <w:tcPr>
            <w:tcW w:w="4705" w:type="dxa"/>
            <w:tcBorders>
              <w:top w:val="nil"/>
              <w:left w:val="nil"/>
              <w:bottom w:val="nil"/>
              <w:right w:val="nil"/>
            </w:tcBorders>
            <w:noWrap w:val="0"/>
            <w:vAlign w:val="center"/>
          </w:tcPr>
          <w:p w14:paraId="46CBC66F">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    号：</w:t>
            </w:r>
          </w:p>
        </w:tc>
        <w:tc>
          <w:tcPr>
            <w:tcW w:w="4705" w:type="dxa"/>
            <w:tcBorders>
              <w:top w:val="nil"/>
              <w:left w:val="nil"/>
              <w:bottom w:val="nil"/>
              <w:right w:val="nil"/>
            </w:tcBorders>
            <w:noWrap w:val="0"/>
            <w:vAlign w:val="center"/>
          </w:tcPr>
          <w:p w14:paraId="4088D4AB">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    号：</w:t>
            </w:r>
          </w:p>
        </w:tc>
      </w:tr>
    </w:tbl>
    <w:p w14:paraId="306D30B5">
      <w:pPr>
        <w:keepNext/>
        <w:keepLines/>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bookmarkStart w:id="147" w:name="_Toc498006745"/>
    </w:p>
    <w:p w14:paraId="2CC28555">
      <w:pPr>
        <w:keepNext/>
        <w:keepLines/>
        <w:jc w:val="center"/>
        <w:outlineLvl w:val="3"/>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第二部分 通用合同条款</w:t>
      </w:r>
      <w:bookmarkEnd w:id="147"/>
    </w:p>
    <w:p w14:paraId="1D75A0ED">
      <w:pPr>
        <w:spacing w:line="360" w:lineRule="auto"/>
        <w:ind w:firstLine="420"/>
        <w:rPr>
          <w:rFonts w:hint="eastAsia" w:ascii="仿宋" w:hAnsi="仿宋" w:eastAsia="仿宋" w:cs="仿宋"/>
          <w:color w:val="auto"/>
          <w:sz w:val="24"/>
          <w:szCs w:val="24"/>
          <w:highlight w:val="none"/>
        </w:rPr>
      </w:pPr>
    </w:p>
    <w:p w14:paraId="1E5FC675">
      <w:pPr>
        <w:spacing w:line="360" w:lineRule="auto"/>
        <w:ind w:firstLine="422"/>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采用《建设工程施工合同（示范文本）》（GF—2017—0201）。</w:t>
      </w:r>
    </w:p>
    <w:p w14:paraId="3B7AC745">
      <w:pPr>
        <w:tabs>
          <w:tab w:val="left" w:pos="0"/>
        </w:tabs>
        <w:spacing w:line="540" w:lineRule="exact"/>
        <w:ind w:right="-36" w:firstLine="529"/>
        <w:rPr>
          <w:rFonts w:hint="eastAsia" w:ascii="仿宋" w:hAnsi="仿宋" w:eastAsia="仿宋" w:cs="仿宋"/>
          <w:color w:val="auto"/>
          <w:sz w:val="24"/>
          <w:szCs w:val="24"/>
          <w:highlight w:val="none"/>
        </w:rPr>
      </w:pPr>
    </w:p>
    <w:p w14:paraId="7E7D8853">
      <w:pPr>
        <w:pStyle w:val="335"/>
        <w:jc w:val="center"/>
        <w:outlineLvl w:val="3"/>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br w:type="page" w:clear="all"/>
      </w:r>
      <w:bookmarkStart w:id="148" w:name="_Toc110245278"/>
      <w:bookmarkStart w:id="149" w:name="_Toc498006746"/>
      <w:r>
        <w:rPr>
          <w:rFonts w:hint="eastAsia" w:ascii="仿宋" w:hAnsi="仿宋" w:eastAsia="仿宋" w:cs="仿宋"/>
          <w:b w:val="0"/>
          <w:color w:val="auto"/>
          <w:sz w:val="32"/>
          <w:szCs w:val="32"/>
          <w:highlight w:val="none"/>
        </w:rPr>
        <w:t>第三部分 专用合同条款</w:t>
      </w:r>
      <w:bookmarkEnd w:id="148"/>
      <w:bookmarkEnd w:id="149"/>
    </w:p>
    <w:p w14:paraId="798806B2">
      <w:pPr>
        <w:keepNext/>
        <w:keepLines/>
        <w:spacing w:before="164" w:after="164" w:line="360" w:lineRule="auto"/>
        <w:outlineLvl w:val="1"/>
        <w:rPr>
          <w:rFonts w:hint="eastAsia" w:ascii="仿宋" w:hAnsi="仿宋" w:eastAsia="仿宋" w:cs="仿宋"/>
          <w:color w:val="auto"/>
          <w:sz w:val="24"/>
          <w:szCs w:val="24"/>
          <w:highlight w:val="none"/>
        </w:rPr>
      </w:pPr>
      <w:bookmarkStart w:id="150" w:name="_Toc351203633"/>
      <w:r>
        <w:rPr>
          <w:rFonts w:hint="eastAsia" w:ascii="仿宋" w:hAnsi="仿宋" w:eastAsia="仿宋" w:cs="仿宋"/>
          <w:color w:val="auto"/>
          <w:sz w:val="24"/>
          <w:szCs w:val="24"/>
          <w:highlight w:val="none"/>
        </w:rPr>
        <w:t>1</w:t>
      </w:r>
      <w:bookmarkStart w:id="151" w:name="_Toc296890984"/>
      <w:bookmarkStart w:id="152" w:name="_Toc296944495"/>
      <w:bookmarkStart w:id="153" w:name="_Toc296503156"/>
      <w:bookmarkStart w:id="154" w:name="_Toc296891196"/>
      <w:bookmarkStart w:id="155" w:name="_Toc296346657"/>
      <w:bookmarkStart w:id="156" w:name="_Toc292559361"/>
      <w:bookmarkStart w:id="157" w:name="_Toc297120456"/>
      <w:bookmarkStart w:id="158" w:name="_Toc297048342"/>
      <w:bookmarkStart w:id="159" w:name="_Toc292559866"/>
      <w:bookmarkStart w:id="160" w:name="_Toc296347155"/>
      <w:r>
        <w:rPr>
          <w:rFonts w:hint="eastAsia" w:ascii="仿宋" w:hAnsi="仿宋" w:eastAsia="仿宋" w:cs="仿宋"/>
          <w:color w:val="auto"/>
          <w:sz w:val="24"/>
          <w:szCs w:val="24"/>
          <w:highlight w:val="none"/>
        </w:rPr>
        <w:t>. 一般约定</w:t>
      </w:r>
      <w:bookmarkEnd w:id="150"/>
      <w:bookmarkEnd w:id="151"/>
      <w:bookmarkEnd w:id="152"/>
      <w:bookmarkEnd w:id="153"/>
      <w:bookmarkEnd w:id="154"/>
      <w:bookmarkEnd w:id="155"/>
      <w:bookmarkEnd w:id="156"/>
      <w:bookmarkEnd w:id="157"/>
      <w:bookmarkEnd w:id="158"/>
      <w:bookmarkEnd w:id="159"/>
      <w:bookmarkEnd w:id="160"/>
    </w:p>
    <w:p w14:paraId="3D5A1055">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词语定义</w:t>
      </w:r>
    </w:p>
    <w:p w14:paraId="7155F397">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 合同</w:t>
      </w:r>
    </w:p>
    <w:p w14:paraId="279BE76C">
      <w:pPr>
        <w:spacing w:line="360" w:lineRule="auto"/>
        <w:ind w:firstLine="420"/>
        <w:outlineLvl w:val="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1.1.1.1 其他合同文件包括：。</w:t>
      </w:r>
    </w:p>
    <w:p w14:paraId="15ABC50B">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 合同当事人及其他相关方</w:t>
      </w:r>
    </w:p>
    <w:p w14:paraId="4C7AEF8C">
      <w:pPr>
        <w:spacing w:line="360" w:lineRule="auto"/>
        <w:ind w:firstLine="420"/>
        <w:outlineLvl w:val="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1.1.2.1 监理人：</w:t>
      </w:r>
    </w:p>
    <w:p w14:paraId="39DC2FE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5E18E5B">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p>
    <w:p w14:paraId="2394965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p w14:paraId="59A856B1">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p>
    <w:p w14:paraId="684F4C2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p>
    <w:p w14:paraId="206394DB">
      <w:pPr>
        <w:spacing w:line="360" w:lineRule="auto"/>
        <w:ind w:firstLine="420"/>
        <w:outlineLvl w:val="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1.1.2.2 设计人：</w:t>
      </w:r>
    </w:p>
    <w:p w14:paraId="7446C33D">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p>
    <w:p w14:paraId="5BEC938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760E4AE">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79AF7D8">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F560F0E">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p>
    <w:p w14:paraId="328EC29D">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 工程和设备</w:t>
      </w:r>
    </w:p>
    <w:p w14:paraId="6D17534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1.1.3.1 作为施工现场组成部分的其他场所包括：</w:t>
      </w:r>
      <w:r>
        <w:rPr>
          <w:rFonts w:hint="eastAsia" w:ascii="仿宋" w:hAnsi="仿宋" w:eastAsia="仿宋" w:cs="仿宋"/>
          <w:color w:val="auto"/>
          <w:sz w:val="24"/>
          <w:szCs w:val="24"/>
          <w:highlight w:val="none"/>
          <w:u w:val="single"/>
        </w:rPr>
        <w:t>符合通用条款规定的发包人提供的施工场地</w:t>
      </w:r>
      <w:r>
        <w:rPr>
          <w:rFonts w:hint="eastAsia" w:ascii="仿宋" w:hAnsi="仿宋" w:eastAsia="仿宋" w:cs="仿宋"/>
          <w:color w:val="auto"/>
          <w:sz w:val="24"/>
          <w:szCs w:val="24"/>
          <w:highlight w:val="none"/>
        </w:rPr>
        <w:t>。</w:t>
      </w:r>
    </w:p>
    <w:p w14:paraId="54165117">
      <w:pPr>
        <w:spacing w:line="360" w:lineRule="auto"/>
        <w:ind w:firstLine="420"/>
        <w:outlineLvl w:val="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1.1.3.2 永久占地包括：</w:t>
      </w:r>
      <w:r>
        <w:rPr>
          <w:rFonts w:hint="eastAsia" w:ascii="仿宋" w:hAnsi="仿宋" w:eastAsia="仿宋" w:cs="仿宋"/>
          <w:color w:val="auto"/>
          <w:sz w:val="24"/>
          <w:szCs w:val="24"/>
          <w:highlight w:val="none"/>
          <w:u w:val="single"/>
        </w:rPr>
        <w:t>规划红线范围内的土地</w:t>
      </w:r>
      <w:r>
        <w:rPr>
          <w:rFonts w:hint="eastAsia" w:ascii="仿宋" w:hAnsi="仿宋" w:eastAsia="仿宋" w:cs="仿宋"/>
          <w:color w:val="auto"/>
          <w:sz w:val="24"/>
          <w:szCs w:val="24"/>
          <w:highlight w:val="none"/>
        </w:rPr>
        <w:t>。</w:t>
      </w:r>
    </w:p>
    <w:p w14:paraId="23181DE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1.1.3.3 临时占地包括：</w:t>
      </w:r>
      <w:r>
        <w:rPr>
          <w:rFonts w:hint="eastAsia" w:ascii="仿宋" w:hAnsi="仿宋" w:eastAsia="仿宋" w:cs="仿宋"/>
          <w:color w:val="auto"/>
          <w:sz w:val="24"/>
          <w:szCs w:val="24"/>
          <w:highlight w:val="none"/>
          <w:u w:val="single"/>
        </w:rPr>
        <w:t>规划红线范围外因施工需要而占用的土地</w:t>
      </w:r>
      <w:r>
        <w:rPr>
          <w:rFonts w:hint="eastAsia" w:ascii="仿宋" w:hAnsi="仿宋" w:eastAsia="仿宋" w:cs="仿宋"/>
          <w:color w:val="auto"/>
          <w:sz w:val="24"/>
          <w:szCs w:val="24"/>
          <w:highlight w:val="none"/>
        </w:rPr>
        <w:t>。</w:t>
      </w:r>
    </w:p>
    <w:p w14:paraId="3A72C666">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法律 </w:t>
      </w:r>
    </w:p>
    <w:p w14:paraId="5AC2CB12">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适用于合同的其他规范性文件：</w:t>
      </w:r>
      <w:r>
        <w:rPr>
          <w:rFonts w:hint="eastAsia" w:ascii="仿宋" w:hAnsi="仿宋" w:eastAsia="仿宋" w:cs="仿宋"/>
          <w:color w:val="auto"/>
          <w:sz w:val="24"/>
          <w:szCs w:val="24"/>
          <w:highlight w:val="none"/>
          <w:u w:val="single"/>
        </w:rPr>
        <w:t>适用《中华人民共和国民法典》、《中华人民共和国建筑法》、《中华人民共和国招标投标法》、《中华人民共和国招标投标法实施条例》、《建筑工程质量管理条例》等相关法律法规及工程所在地的地方法规、规定</w:t>
      </w:r>
      <w:r>
        <w:rPr>
          <w:rFonts w:hint="eastAsia" w:ascii="仿宋" w:hAnsi="仿宋" w:eastAsia="仿宋" w:cs="仿宋"/>
          <w:color w:val="auto"/>
          <w:sz w:val="24"/>
          <w:szCs w:val="24"/>
          <w:highlight w:val="none"/>
        </w:rPr>
        <w:t>。</w:t>
      </w:r>
    </w:p>
    <w:p w14:paraId="66B22598">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 标准和规范</w:t>
      </w:r>
    </w:p>
    <w:p w14:paraId="74FA7B9C">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 适用于工程的标准规范包括：</w:t>
      </w:r>
      <w:r>
        <w:rPr>
          <w:rFonts w:hint="eastAsia" w:ascii="仿宋" w:hAnsi="仿宋" w:eastAsia="仿宋" w:cs="仿宋"/>
          <w:color w:val="auto"/>
          <w:sz w:val="24"/>
          <w:szCs w:val="24"/>
          <w:highlight w:val="none"/>
          <w:u w:val="single"/>
        </w:rPr>
        <w:t>适用国家、行业及工程所在地现行的相关标准、规范、规定（对于同一标准、规范应以最新颁布者为准）</w:t>
      </w:r>
      <w:r>
        <w:rPr>
          <w:rFonts w:hint="eastAsia" w:ascii="仿宋" w:hAnsi="仿宋" w:eastAsia="仿宋" w:cs="仿宋"/>
          <w:color w:val="auto"/>
          <w:sz w:val="24"/>
          <w:szCs w:val="24"/>
          <w:highlight w:val="none"/>
        </w:rPr>
        <w:t>。</w:t>
      </w:r>
    </w:p>
    <w:p w14:paraId="730613D8">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 发包人提供国外标准、规范的名称：</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2F6C46C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 发包人对工程的技术标准和功能要求的特殊要求：</w:t>
      </w:r>
    </w:p>
    <w:p w14:paraId="2D1B8DFF">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按设计图纸施工，若设计图纸中也没有的，经发包人批准后按发包人批准的要求执行 </w:t>
      </w:r>
      <w:r>
        <w:rPr>
          <w:rFonts w:hint="eastAsia" w:ascii="仿宋" w:hAnsi="仿宋" w:eastAsia="仿宋" w:cs="仿宋"/>
          <w:color w:val="auto"/>
          <w:sz w:val="24"/>
          <w:szCs w:val="24"/>
          <w:highlight w:val="none"/>
        </w:rPr>
        <w:t>。</w:t>
      </w:r>
    </w:p>
    <w:p w14:paraId="46AA5D2F">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 合同文件的优先顺序</w:t>
      </w:r>
    </w:p>
    <w:p w14:paraId="151E605E">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合同文件组成及优先顺序为：</w:t>
      </w:r>
      <w:r>
        <w:rPr>
          <w:rFonts w:hint="eastAsia" w:ascii="仿宋" w:hAnsi="仿宋" w:eastAsia="仿宋" w:cs="仿宋"/>
          <w:color w:val="auto"/>
          <w:sz w:val="24"/>
          <w:szCs w:val="24"/>
          <w:highlight w:val="none"/>
          <w:u w:val="single"/>
        </w:rPr>
        <w:t>⑴ 本工程有关洽商、变更的书面协议；⑵ 本合同协议书；⑶ 本合同专用条款及附件（附件中包含承包人最终确认的工程量清单报价书；另外若补充条款与其它条款不一致的，以补充条款为准）；⑷ 中标通知书；⑸ 招标文件（含答疑文件）； ⑹ 工程量清单；⑺ 投标文件（含投标文件澄清、说明及确认函）；⑻ 本合同通用条款；⑼ 标准、规范及有关技术文件；⑽ 施工图纸</w:t>
      </w:r>
      <w:r>
        <w:rPr>
          <w:rFonts w:hint="eastAsia" w:ascii="仿宋" w:hAnsi="仿宋" w:eastAsia="仿宋" w:cs="仿宋"/>
          <w:color w:val="auto"/>
          <w:sz w:val="24"/>
          <w:szCs w:val="24"/>
          <w:highlight w:val="none"/>
        </w:rPr>
        <w:t>。</w:t>
      </w:r>
    </w:p>
    <w:p w14:paraId="7F6CF0F4">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 图纸和承包人文件</w:t>
      </w:r>
      <w:r>
        <w:rPr>
          <w:rFonts w:hint="eastAsia" w:ascii="仿宋" w:hAnsi="仿宋" w:eastAsia="仿宋" w:cs="仿宋"/>
          <w:color w:val="auto"/>
          <w:sz w:val="24"/>
          <w:szCs w:val="24"/>
          <w:highlight w:val="none"/>
        </w:rPr>
        <w:tab/>
      </w:r>
    </w:p>
    <w:p w14:paraId="6B968BD7">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1.5.1 图纸的提供</w:t>
      </w:r>
    </w:p>
    <w:p w14:paraId="275BF63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发包人向承包人提供图纸的期限：</w:t>
      </w:r>
      <w:r>
        <w:rPr>
          <w:rFonts w:hint="eastAsia" w:ascii="仿宋" w:hAnsi="仿宋" w:eastAsia="仿宋" w:cs="仿宋"/>
          <w:color w:val="auto"/>
          <w:sz w:val="24"/>
          <w:szCs w:val="24"/>
          <w:highlight w:val="none"/>
          <w:u w:val="single"/>
        </w:rPr>
        <w:t>开工前5天</w:t>
      </w:r>
      <w:r>
        <w:rPr>
          <w:rFonts w:hint="eastAsia" w:ascii="仿宋" w:hAnsi="仿宋" w:eastAsia="仿宋" w:cs="仿宋"/>
          <w:color w:val="auto"/>
          <w:sz w:val="24"/>
          <w:szCs w:val="24"/>
          <w:highlight w:val="none"/>
        </w:rPr>
        <w:t>；</w:t>
      </w:r>
    </w:p>
    <w:p w14:paraId="5C9D038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发包人向承包人提供图纸的数量：</w:t>
      </w:r>
      <w:r>
        <w:rPr>
          <w:rFonts w:hint="eastAsia" w:ascii="仿宋" w:hAnsi="仿宋" w:eastAsia="仿宋" w:cs="仿宋"/>
          <w:color w:val="auto"/>
          <w:sz w:val="24"/>
          <w:szCs w:val="24"/>
          <w:highlight w:val="none"/>
          <w:u w:val="single"/>
        </w:rPr>
        <w:t>肆套（不含竣工图纸），如施工过程中，承包人另有图纸需要，发包人可代为联系，费用由承包人承担。承包人在接到发包人施工图后应认真组织相关专业人员进行审核，图纸中存在问题的应在图纸会审时提出，否则在施工过程中因图纸本身存在的问题而发生变更，并由此导致费用增加的，发包人不予认可，且工期不予顺延</w:t>
      </w:r>
      <w:r>
        <w:rPr>
          <w:rFonts w:hint="eastAsia" w:ascii="仿宋" w:hAnsi="仿宋" w:eastAsia="仿宋" w:cs="仿宋"/>
          <w:color w:val="auto"/>
          <w:sz w:val="24"/>
          <w:szCs w:val="24"/>
          <w:highlight w:val="none"/>
        </w:rPr>
        <w:t>；</w:t>
      </w:r>
    </w:p>
    <w:p w14:paraId="2D34E9A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发包人向承包人提供图纸的内容：</w:t>
      </w:r>
      <w:r>
        <w:rPr>
          <w:rFonts w:hint="eastAsia" w:ascii="仿宋" w:hAnsi="仿宋" w:eastAsia="仿宋" w:cs="仿宋"/>
          <w:color w:val="auto"/>
          <w:sz w:val="24"/>
          <w:szCs w:val="24"/>
          <w:highlight w:val="none"/>
          <w:u w:val="single"/>
        </w:rPr>
        <w:t>通过图纸审核的全套施工图纸及相关资料</w:t>
      </w:r>
      <w:r>
        <w:rPr>
          <w:rFonts w:hint="eastAsia" w:ascii="仿宋" w:hAnsi="仿宋" w:eastAsia="仿宋" w:cs="仿宋"/>
          <w:color w:val="auto"/>
          <w:sz w:val="24"/>
          <w:szCs w:val="24"/>
          <w:highlight w:val="none"/>
        </w:rPr>
        <w:t>。</w:t>
      </w:r>
    </w:p>
    <w:p w14:paraId="2F2817A7">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1.5.2 承包人文件</w:t>
      </w:r>
    </w:p>
    <w:p w14:paraId="2AA9300D">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需要由承包人提供的文件，包括：</w:t>
      </w:r>
      <w:r>
        <w:rPr>
          <w:rFonts w:hint="eastAsia" w:ascii="仿宋" w:hAnsi="仿宋" w:eastAsia="仿宋" w:cs="仿宋"/>
          <w:color w:val="auto"/>
          <w:sz w:val="24"/>
          <w:szCs w:val="24"/>
          <w:highlight w:val="none"/>
          <w:u w:val="single"/>
        </w:rPr>
        <w:t xml:space="preserve">根据项目的工期总目标编制项目总进度计划，并在开工前一周提供施工进度总计划、施工组织设计和材料（设备）进场计划表等资料。工程的进展不符合进度计划时，发包人及监理人可要求承包人修改计划。除本合同另有规定外，任何计划的修改都不得造成完成期限的延误，因进度计划修改造成的费用增加由承包人承担 </w:t>
      </w:r>
      <w:r>
        <w:rPr>
          <w:rFonts w:hint="eastAsia" w:ascii="仿宋" w:hAnsi="仿宋" w:eastAsia="仿宋" w:cs="仿宋"/>
          <w:color w:val="auto"/>
          <w:sz w:val="24"/>
          <w:szCs w:val="24"/>
          <w:highlight w:val="none"/>
        </w:rPr>
        <w:t>；</w:t>
      </w:r>
    </w:p>
    <w:p w14:paraId="7310A149">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承包人提供的文件的期限为：</w:t>
      </w:r>
      <w:r>
        <w:rPr>
          <w:rFonts w:hint="eastAsia" w:ascii="仿宋" w:hAnsi="仿宋" w:eastAsia="仿宋" w:cs="仿宋"/>
          <w:color w:val="auto"/>
          <w:sz w:val="24"/>
          <w:szCs w:val="24"/>
          <w:highlight w:val="none"/>
          <w:u w:val="single"/>
        </w:rPr>
        <w:t>见上述条款</w:t>
      </w:r>
      <w:r>
        <w:rPr>
          <w:rFonts w:hint="eastAsia" w:ascii="仿宋" w:hAnsi="仿宋" w:eastAsia="仿宋" w:cs="仿宋"/>
          <w:color w:val="auto"/>
          <w:sz w:val="24"/>
          <w:szCs w:val="24"/>
          <w:highlight w:val="none"/>
        </w:rPr>
        <w:t>；</w:t>
      </w:r>
    </w:p>
    <w:p w14:paraId="4985135D">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承包人提供的文件的数量为：</w:t>
      </w:r>
      <w:r>
        <w:rPr>
          <w:rFonts w:hint="eastAsia" w:ascii="仿宋" w:hAnsi="仿宋" w:eastAsia="仿宋" w:cs="仿宋"/>
          <w:color w:val="auto"/>
          <w:sz w:val="24"/>
          <w:szCs w:val="24"/>
          <w:highlight w:val="none"/>
          <w:u w:val="single"/>
        </w:rPr>
        <w:t>依据发包人需要</w:t>
      </w:r>
      <w:r>
        <w:rPr>
          <w:rFonts w:hint="eastAsia" w:ascii="仿宋" w:hAnsi="仿宋" w:eastAsia="仿宋" w:cs="仿宋"/>
          <w:color w:val="auto"/>
          <w:sz w:val="24"/>
          <w:szCs w:val="24"/>
          <w:highlight w:val="none"/>
        </w:rPr>
        <w:t>；</w:t>
      </w:r>
    </w:p>
    <w:p w14:paraId="3E90B1A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承包人提供的文件的形式为：</w:t>
      </w:r>
      <w:r>
        <w:rPr>
          <w:rFonts w:hint="eastAsia" w:ascii="仿宋" w:hAnsi="仿宋" w:eastAsia="仿宋" w:cs="仿宋"/>
          <w:color w:val="auto"/>
          <w:sz w:val="24"/>
          <w:szCs w:val="24"/>
          <w:highlight w:val="none"/>
          <w:u w:val="single"/>
        </w:rPr>
        <w:t>书面形式，以上资料必须经总监理工程师签字认可后报发包人</w:t>
      </w:r>
      <w:r>
        <w:rPr>
          <w:rFonts w:hint="eastAsia" w:ascii="仿宋" w:hAnsi="仿宋" w:eastAsia="仿宋" w:cs="仿宋"/>
          <w:color w:val="auto"/>
          <w:sz w:val="24"/>
          <w:szCs w:val="24"/>
          <w:highlight w:val="none"/>
        </w:rPr>
        <w:t>；</w:t>
      </w:r>
    </w:p>
    <w:p w14:paraId="0AC59CC1">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发包人审批承包人文件的期限：</w:t>
      </w:r>
      <w:r>
        <w:rPr>
          <w:rFonts w:hint="eastAsia" w:ascii="仿宋" w:hAnsi="仿宋" w:eastAsia="仿宋" w:cs="仿宋"/>
          <w:color w:val="auto"/>
          <w:sz w:val="24"/>
          <w:szCs w:val="24"/>
          <w:highlight w:val="none"/>
          <w:u w:val="single"/>
        </w:rPr>
        <w:t>收到齐全的资料后合理时间内</w:t>
      </w:r>
      <w:r>
        <w:rPr>
          <w:rFonts w:hint="eastAsia" w:ascii="仿宋" w:hAnsi="仿宋" w:eastAsia="仿宋" w:cs="仿宋"/>
          <w:color w:val="auto"/>
          <w:sz w:val="24"/>
          <w:szCs w:val="24"/>
          <w:highlight w:val="none"/>
        </w:rPr>
        <w:t>。</w:t>
      </w:r>
    </w:p>
    <w:p w14:paraId="4976334A">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 现场图纸准备</w:t>
      </w:r>
    </w:p>
    <w:p w14:paraId="102D5E52">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关于现场图纸准备的约定：</w:t>
      </w:r>
      <w:r>
        <w:rPr>
          <w:rFonts w:hint="eastAsia" w:ascii="仿宋" w:hAnsi="仿宋" w:eastAsia="仿宋" w:cs="仿宋"/>
          <w:color w:val="auto"/>
          <w:sz w:val="24"/>
          <w:szCs w:val="24"/>
          <w:highlight w:val="none"/>
          <w:u w:val="single"/>
        </w:rPr>
        <w:t>执行通用条款中相关1.6.2、1.6.3约定</w:t>
      </w:r>
      <w:r>
        <w:rPr>
          <w:rFonts w:hint="eastAsia" w:ascii="仿宋" w:hAnsi="仿宋" w:eastAsia="仿宋" w:cs="仿宋"/>
          <w:color w:val="auto"/>
          <w:sz w:val="24"/>
          <w:szCs w:val="24"/>
          <w:highlight w:val="none"/>
        </w:rPr>
        <w:t>。</w:t>
      </w:r>
    </w:p>
    <w:p w14:paraId="0731EB84">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 联络</w:t>
      </w:r>
    </w:p>
    <w:p w14:paraId="510F3BC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 发包人和承包人应当在</w:t>
      </w:r>
      <w:r>
        <w:rPr>
          <w:rFonts w:hint="eastAsia" w:ascii="仿宋" w:hAnsi="仿宋" w:eastAsia="仿宋" w:cs="仿宋"/>
          <w:color w:val="auto"/>
          <w:sz w:val="24"/>
          <w:szCs w:val="24"/>
          <w:highlight w:val="none"/>
          <w:u w:val="single"/>
        </w:rPr>
        <w:t xml:space="preserve"> 7 </w:t>
      </w:r>
      <w:r>
        <w:rPr>
          <w:rFonts w:hint="eastAsia" w:ascii="仿宋" w:hAnsi="仿宋" w:eastAsia="仿宋" w:cs="仿宋"/>
          <w:color w:val="auto"/>
          <w:sz w:val="24"/>
          <w:szCs w:val="24"/>
          <w:highlight w:val="none"/>
        </w:rPr>
        <w:t>天内将与合同有关的通知、批准、证明、证书、指示、指令、要求、请求、同意、意见、确定和决定等书面函件送达对方当事人。</w:t>
      </w:r>
    </w:p>
    <w:p w14:paraId="1B99B27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 发包人接收文件的地点：</w:t>
      </w:r>
      <w:r>
        <w:rPr>
          <w:rFonts w:hint="eastAsia" w:ascii="仿宋" w:hAnsi="仿宋" w:eastAsia="仿宋" w:cs="仿宋"/>
          <w:color w:val="auto"/>
          <w:sz w:val="24"/>
          <w:szCs w:val="24"/>
          <w:highlight w:val="none"/>
          <w:u w:val="single"/>
        </w:rPr>
        <w:t xml:space="preserve"> 项目所在地发包人办公室 </w:t>
      </w:r>
      <w:r>
        <w:rPr>
          <w:rFonts w:hint="eastAsia" w:ascii="仿宋" w:hAnsi="仿宋" w:eastAsia="仿宋" w:cs="仿宋"/>
          <w:color w:val="auto"/>
          <w:sz w:val="24"/>
          <w:szCs w:val="24"/>
          <w:highlight w:val="none"/>
        </w:rPr>
        <w:t>；</w:t>
      </w:r>
    </w:p>
    <w:p w14:paraId="48F52438">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发包人指定的接收人为：。</w:t>
      </w:r>
    </w:p>
    <w:p w14:paraId="10062429">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承包人接收文件的地点：</w:t>
      </w:r>
      <w:r>
        <w:rPr>
          <w:rFonts w:hint="eastAsia" w:ascii="仿宋" w:hAnsi="仿宋" w:eastAsia="仿宋" w:cs="仿宋"/>
          <w:color w:val="auto"/>
          <w:sz w:val="24"/>
          <w:szCs w:val="24"/>
          <w:highlight w:val="none"/>
          <w:u w:val="single"/>
        </w:rPr>
        <w:t xml:space="preserve"> 项目所在地发包人办公室 </w:t>
      </w:r>
      <w:r>
        <w:rPr>
          <w:rFonts w:hint="eastAsia" w:ascii="仿宋" w:hAnsi="仿宋" w:eastAsia="仿宋" w:cs="仿宋"/>
          <w:color w:val="auto"/>
          <w:sz w:val="24"/>
          <w:szCs w:val="24"/>
          <w:highlight w:val="none"/>
        </w:rPr>
        <w:t>；</w:t>
      </w:r>
    </w:p>
    <w:p w14:paraId="68197A8E">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承包人指定的接收人为：。</w:t>
      </w:r>
    </w:p>
    <w:p w14:paraId="34ED6A7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监理人接收文件的地点：</w:t>
      </w:r>
      <w:r>
        <w:rPr>
          <w:rFonts w:hint="eastAsia" w:ascii="仿宋" w:hAnsi="仿宋" w:eastAsia="仿宋" w:cs="仿宋"/>
          <w:color w:val="auto"/>
          <w:sz w:val="24"/>
          <w:szCs w:val="24"/>
          <w:highlight w:val="none"/>
          <w:u w:val="single"/>
        </w:rPr>
        <w:t xml:space="preserve"> 项目所在地监理人项目部 </w:t>
      </w:r>
      <w:r>
        <w:rPr>
          <w:rFonts w:hint="eastAsia" w:ascii="仿宋" w:hAnsi="仿宋" w:eastAsia="仿宋" w:cs="仿宋"/>
          <w:color w:val="auto"/>
          <w:sz w:val="24"/>
          <w:szCs w:val="24"/>
          <w:highlight w:val="none"/>
        </w:rPr>
        <w:t>；</w:t>
      </w:r>
    </w:p>
    <w:p w14:paraId="3E690FF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监理人指定的接收人为：。</w:t>
      </w:r>
    </w:p>
    <w:p w14:paraId="51226C5E">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 交通运输</w:t>
      </w:r>
    </w:p>
    <w:p w14:paraId="2174C254">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Start w:id="161" w:name="_Toc318581155"/>
      <w:bookmarkStart w:id="162" w:name="_Toc312677986"/>
      <w:bookmarkStart w:id="163" w:name="_Toc304295521"/>
      <w:bookmarkStart w:id="164" w:name="_Toc300934943"/>
      <w:bookmarkStart w:id="165" w:name="_Toc303539100"/>
      <w:r>
        <w:rPr>
          <w:rFonts w:hint="eastAsia" w:ascii="仿宋" w:hAnsi="仿宋" w:eastAsia="仿宋" w:cs="仿宋"/>
          <w:color w:val="auto"/>
          <w:sz w:val="24"/>
          <w:szCs w:val="24"/>
          <w:highlight w:val="none"/>
        </w:rPr>
        <w:t>.7.1 出入现场的权利</w:t>
      </w:r>
    </w:p>
    <w:p w14:paraId="6F3A6F1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关于出入现场的权利的约定：</w:t>
      </w:r>
      <w:r>
        <w:rPr>
          <w:rFonts w:hint="eastAsia" w:ascii="仿宋" w:hAnsi="仿宋" w:eastAsia="仿宋" w:cs="仿宋"/>
          <w:color w:val="auto"/>
          <w:sz w:val="24"/>
          <w:szCs w:val="24"/>
          <w:highlight w:val="none"/>
          <w:u w:val="single"/>
        </w:rPr>
        <w:t xml:space="preserve"> 由承包人按发包人要求负责取得出入施工现场所需的批准手续和全部权利，以及取得因施工所需修建临时道路以及其他基础设施的权利，并承担相关手续费用和建设费用 </w:t>
      </w:r>
      <w:r>
        <w:rPr>
          <w:rFonts w:hint="eastAsia" w:ascii="仿宋" w:hAnsi="仿宋" w:eastAsia="仿宋" w:cs="仿宋"/>
          <w:color w:val="auto"/>
          <w:sz w:val="24"/>
          <w:szCs w:val="24"/>
          <w:highlight w:val="none"/>
        </w:rPr>
        <w:t>。</w:t>
      </w:r>
      <w:bookmarkEnd w:id="161"/>
      <w:bookmarkEnd w:id="162"/>
      <w:bookmarkEnd w:id="163"/>
      <w:bookmarkEnd w:id="164"/>
      <w:bookmarkEnd w:id="165"/>
    </w:p>
    <w:p w14:paraId="7E3BC705">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Start w:id="166" w:name="_Toc312677987"/>
      <w:bookmarkStart w:id="167" w:name="_Toc303539101"/>
      <w:bookmarkStart w:id="168" w:name="_Toc300934944"/>
      <w:bookmarkStart w:id="169" w:name="_Toc318581156"/>
      <w:bookmarkStart w:id="170" w:name="_Toc304295522"/>
      <w:r>
        <w:rPr>
          <w:rFonts w:hint="eastAsia" w:ascii="仿宋" w:hAnsi="仿宋" w:eastAsia="仿宋" w:cs="仿宋"/>
          <w:color w:val="auto"/>
          <w:sz w:val="24"/>
          <w:szCs w:val="24"/>
          <w:highlight w:val="none"/>
        </w:rPr>
        <w:t>.7.2 场内交通</w:t>
      </w:r>
    </w:p>
    <w:p w14:paraId="69C974EF">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关于场外交通和场内交通的边界的约定：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84A6489">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bookmarkEnd w:id="166"/>
      <w:bookmarkEnd w:id="167"/>
      <w:bookmarkEnd w:id="168"/>
      <w:bookmarkEnd w:id="169"/>
      <w:bookmarkEnd w:id="170"/>
      <w:bookmarkStart w:id="171" w:name="_Toc318581157"/>
    </w:p>
    <w:p w14:paraId="0CA388C9">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1.7.3 超大件和超重件的运输</w:t>
      </w:r>
    </w:p>
    <w:p w14:paraId="76583AC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sz w:val="24"/>
          <w:szCs w:val="24"/>
          <w:highlight w:val="none"/>
        </w:rPr>
        <w:t>承担。</w:t>
      </w:r>
      <w:bookmarkEnd w:id="171"/>
    </w:p>
    <w:p w14:paraId="4FD1977A">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 知识产权</w:t>
      </w:r>
    </w:p>
    <w:p w14:paraId="7F13DE8F">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 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5A486C81">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关于发包人提供的上述文件的使用限制的要求：</w:t>
      </w:r>
    </w:p>
    <w:p w14:paraId="7310E8B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未经发包人同意，承包人不得私自复印或将发包人提供的图纸等资料提供给第三人。若违反本条，承包人应承担由此引起的法律责任，发包人有权向承包人索赔 </w:t>
      </w:r>
      <w:r>
        <w:rPr>
          <w:rFonts w:hint="eastAsia" w:ascii="仿宋" w:hAnsi="仿宋" w:eastAsia="仿宋" w:cs="仿宋"/>
          <w:color w:val="auto"/>
          <w:sz w:val="24"/>
          <w:szCs w:val="24"/>
          <w:highlight w:val="none"/>
        </w:rPr>
        <w:t>。</w:t>
      </w:r>
    </w:p>
    <w:p w14:paraId="7DD647F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1.8.2 关于承包人为实施工程所编制文件的著作权的归属：</w:t>
      </w:r>
      <w:r>
        <w:rPr>
          <w:rFonts w:hint="eastAsia" w:ascii="仿宋" w:hAnsi="仿宋" w:eastAsia="仿宋" w:cs="仿宋"/>
          <w:color w:val="auto"/>
          <w:sz w:val="24"/>
          <w:szCs w:val="24"/>
          <w:highlight w:val="none"/>
          <w:u w:val="single"/>
        </w:rPr>
        <w:t xml:space="preserve"> 归承包人所有 </w:t>
      </w:r>
      <w:r>
        <w:rPr>
          <w:rFonts w:hint="eastAsia" w:ascii="仿宋" w:hAnsi="仿宋" w:eastAsia="仿宋" w:cs="仿宋"/>
          <w:color w:val="auto"/>
          <w:sz w:val="24"/>
          <w:szCs w:val="24"/>
          <w:highlight w:val="none"/>
        </w:rPr>
        <w:t>。</w:t>
      </w:r>
    </w:p>
    <w:p w14:paraId="133649D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关于承包人提供的上述文件的使用限制的要求：</w:t>
      </w:r>
      <w:r>
        <w:rPr>
          <w:rFonts w:hint="eastAsia" w:ascii="仿宋" w:hAnsi="仿宋" w:eastAsia="仿宋" w:cs="仿宋"/>
          <w:color w:val="auto"/>
          <w:sz w:val="24"/>
          <w:szCs w:val="24"/>
          <w:highlight w:val="none"/>
          <w:u w:val="single"/>
        </w:rPr>
        <w:t xml:space="preserve"> 仅限于此工程项目 </w:t>
      </w:r>
      <w:r>
        <w:rPr>
          <w:rFonts w:hint="eastAsia" w:ascii="仿宋" w:hAnsi="仿宋" w:eastAsia="仿宋" w:cs="仿宋"/>
          <w:color w:val="auto"/>
          <w:sz w:val="24"/>
          <w:szCs w:val="24"/>
          <w:highlight w:val="none"/>
        </w:rPr>
        <w:t>。</w:t>
      </w:r>
    </w:p>
    <w:p w14:paraId="525B6CBE">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1.8.3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6724D0E1">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 工程量清单错误的修正</w:t>
      </w:r>
    </w:p>
    <w:p w14:paraId="4351513A">
      <w:pPr>
        <w:spacing w:line="360" w:lineRule="auto"/>
        <w:ind w:firstLine="42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出现工程量清单错误时，是否调整合同价格：</w:t>
      </w:r>
      <w:r>
        <w:rPr>
          <w:rFonts w:hint="eastAsia" w:ascii="仿宋" w:hAnsi="仿宋" w:eastAsia="仿宋" w:cs="仿宋"/>
          <w:b/>
          <w:color w:val="auto"/>
          <w:sz w:val="24"/>
          <w:szCs w:val="24"/>
          <w:highlight w:val="none"/>
          <w:u w:val="single"/>
        </w:rPr>
        <w:t xml:space="preserve"> 应在招标时提出，其他情况均不调整 </w:t>
      </w:r>
      <w:r>
        <w:rPr>
          <w:rFonts w:hint="eastAsia" w:ascii="仿宋" w:hAnsi="仿宋" w:eastAsia="仿宋" w:cs="仿宋"/>
          <w:b/>
          <w:color w:val="auto"/>
          <w:sz w:val="24"/>
          <w:szCs w:val="24"/>
          <w:highlight w:val="none"/>
        </w:rPr>
        <w:t>。</w:t>
      </w:r>
    </w:p>
    <w:p w14:paraId="1C783816">
      <w:pPr>
        <w:spacing w:line="360" w:lineRule="auto"/>
        <w:ind w:firstLine="42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允许调整合同价格的工程量偏差范围：</w:t>
      </w:r>
      <w:r>
        <w:rPr>
          <w:rFonts w:hint="eastAsia" w:ascii="仿宋" w:hAnsi="仿宋" w:eastAsia="仿宋" w:cs="仿宋"/>
          <w:b/>
          <w:color w:val="auto"/>
          <w:sz w:val="24"/>
          <w:szCs w:val="24"/>
          <w:highlight w:val="none"/>
          <w:u w:val="single"/>
        </w:rPr>
        <w:t xml:space="preserve">  /  </w:t>
      </w:r>
      <w:r>
        <w:rPr>
          <w:rFonts w:hint="eastAsia" w:ascii="仿宋" w:hAnsi="仿宋" w:eastAsia="仿宋" w:cs="仿宋"/>
          <w:b/>
          <w:color w:val="auto"/>
          <w:sz w:val="24"/>
          <w:szCs w:val="24"/>
          <w:highlight w:val="none"/>
        </w:rPr>
        <w:t>。</w:t>
      </w:r>
    </w:p>
    <w:p w14:paraId="7E6AE55D">
      <w:pPr>
        <w:keepNext/>
        <w:keepLines/>
        <w:spacing w:before="164" w:after="164" w:line="360" w:lineRule="auto"/>
        <w:outlineLvl w:val="1"/>
        <w:rPr>
          <w:rFonts w:hint="eastAsia" w:ascii="仿宋" w:hAnsi="仿宋" w:eastAsia="仿宋" w:cs="仿宋"/>
          <w:color w:val="auto"/>
          <w:sz w:val="24"/>
          <w:szCs w:val="24"/>
          <w:highlight w:val="none"/>
        </w:rPr>
      </w:pPr>
      <w:bookmarkStart w:id="172" w:name="_Toc351203634"/>
      <w:r>
        <w:rPr>
          <w:rFonts w:hint="eastAsia" w:ascii="仿宋" w:hAnsi="仿宋" w:eastAsia="仿宋" w:cs="仿宋"/>
          <w:color w:val="auto"/>
          <w:sz w:val="24"/>
          <w:szCs w:val="24"/>
          <w:highlight w:val="none"/>
        </w:rPr>
        <w:t>2</w:t>
      </w:r>
      <w:bookmarkStart w:id="173" w:name="_Toc292559362"/>
      <w:bookmarkStart w:id="174" w:name="_Toc296503157"/>
      <w:bookmarkStart w:id="175" w:name="_Toc296891197"/>
      <w:bookmarkStart w:id="176" w:name="_Toc296346658"/>
      <w:bookmarkStart w:id="177" w:name="_Toc296347156"/>
      <w:bookmarkStart w:id="178" w:name="_Toc297120457"/>
      <w:bookmarkStart w:id="179" w:name="_Toc292559867"/>
      <w:bookmarkStart w:id="180" w:name="_Toc296944496"/>
      <w:bookmarkStart w:id="181" w:name="_Toc297048343"/>
      <w:bookmarkStart w:id="182" w:name="_Toc296890985"/>
      <w:r>
        <w:rPr>
          <w:rFonts w:hint="eastAsia" w:ascii="仿宋" w:hAnsi="仿宋" w:eastAsia="仿宋" w:cs="仿宋"/>
          <w:color w:val="auto"/>
          <w:sz w:val="24"/>
          <w:szCs w:val="24"/>
          <w:highlight w:val="none"/>
        </w:rPr>
        <w:t>. 发包人</w:t>
      </w:r>
      <w:bookmarkEnd w:id="172"/>
      <w:bookmarkEnd w:id="173"/>
      <w:bookmarkEnd w:id="174"/>
      <w:bookmarkEnd w:id="175"/>
      <w:bookmarkEnd w:id="176"/>
      <w:bookmarkEnd w:id="177"/>
      <w:bookmarkEnd w:id="178"/>
      <w:bookmarkEnd w:id="179"/>
      <w:bookmarkEnd w:id="180"/>
      <w:bookmarkEnd w:id="181"/>
      <w:bookmarkEnd w:id="182"/>
    </w:p>
    <w:p w14:paraId="5995A965">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 发包人代表</w:t>
      </w:r>
    </w:p>
    <w:p w14:paraId="01BB823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发包人代表：</w:t>
      </w:r>
    </w:p>
    <w:p w14:paraId="1E9F3AFB">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p>
    <w:p w14:paraId="1616C36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w:t>
      </w:r>
    </w:p>
    <w:p w14:paraId="0521E59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xml:space="preserve"> 项目现场负责人   </w:t>
      </w:r>
      <w:r>
        <w:rPr>
          <w:rFonts w:hint="eastAsia" w:ascii="仿宋" w:hAnsi="仿宋" w:eastAsia="仿宋" w:cs="仿宋"/>
          <w:color w:val="auto"/>
          <w:sz w:val="24"/>
          <w:szCs w:val="24"/>
          <w:highlight w:val="none"/>
        </w:rPr>
        <w:t>；</w:t>
      </w:r>
    </w:p>
    <w:p w14:paraId="7BF429C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594982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p w14:paraId="5DE0EAC9">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p w14:paraId="622B8E58">
      <w:pPr>
        <w:spacing w:line="360" w:lineRule="auto"/>
        <w:ind w:firstLine="42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发包人对发包人代表的授权范围如下：</w:t>
      </w:r>
      <w:r>
        <w:rPr>
          <w:rFonts w:hint="eastAsia" w:ascii="仿宋" w:hAnsi="仿宋" w:eastAsia="仿宋" w:cs="仿宋"/>
          <w:color w:val="auto"/>
          <w:sz w:val="24"/>
          <w:szCs w:val="24"/>
          <w:highlight w:val="none"/>
          <w:u w:val="single"/>
        </w:rPr>
        <w:t>现场管理；施工中有关项目的会签；对工程质量、安全、进度实施全面的监督管理，履行变更审批手续，负责技术、经济签证的现场确认，确定支付工程款，协调处理并解决有关变更、施工中的问题；凡需发包人确认的内容均须项目现场负责人签字确认 。</w:t>
      </w:r>
    </w:p>
    <w:p w14:paraId="1AB18003">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 施工现场、施工条件和基础资料的提供</w:t>
      </w:r>
    </w:p>
    <w:p w14:paraId="60392B05">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 提供施工现场</w:t>
      </w:r>
    </w:p>
    <w:p w14:paraId="79282BFF">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关于发包人移交施工现场的期限要求：</w:t>
      </w:r>
      <w:r>
        <w:rPr>
          <w:rFonts w:hint="eastAsia" w:ascii="仿宋" w:hAnsi="仿宋" w:eastAsia="仿宋" w:cs="仿宋"/>
          <w:color w:val="auto"/>
          <w:sz w:val="24"/>
          <w:szCs w:val="24"/>
          <w:highlight w:val="none"/>
          <w:u w:val="single"/>
        </w:rPr>
        <w:t xml:space="preserve"> 场地移交可以全部移交，所移交的场地能满足施工要求 </w:t>
      </w:r>
      <w:r>
        <w:rPr>
          <w:rFonts w:hint="eastAsia" w:ascii="仿宋" w:hAnsi="仿宋" w:eastAsia="仿宋" w:cs="仿宋"/>
          <w:color w:val="auto"/>
          <w:sz w:val="24"/>
          <w:szCs w:val="24"/>
          <w:highlight w:val="none"/>
        </w:rPr>
        <w:t>。</w:t>
      </w:r>
    </w:p>
    <w:p w14:paraId="1BEBB0FD">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 提供施工条件</w:t>
      </w:r>
    </w:p>
    <w:p w14:paraId="1CC86347">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关于发包人应负责提供施工所需要的条件，包括：</w:t>
      </w:r>
      <w:r>
        <w:rPr>
          <w:rFonts w:hint="eastAsia" w:ascii="仿宋" w:hAnsi="仿宋" w:eastAsia="仿宋" w:cs="仿宋"/>
          <w:color w:val="auto"/>
          <w:sz w:val="24"/>
          <w:szCs w:val="24"/>
          <w:highlight w:val="none"/>
          <w:u w:val="single"/>
        </w:rPr>
        <w:t>开工前根据施工现场要求提供水、电线路接口，承包人根据发包人和施工总承包单位要求自行接驳水、电线路，分别挂表计量，其他线路由承包人自行办理。水、电费用（含摊销）由承包人承担，并包含在合同总价内，如不挂表计量或计量不准的，则按照结算价的1%扣回水电费</w:t>
      </w:r>
      <w:r>
        <w:rPr>
          <w:rFonts w:hint="eastAsia" w:ascii="仿宋" w:hAnsi="仿宋" w:eastAsia="仿宋" w:cs="仿宋"/>
          <w:color w:val="auto"/>
          <w:sz w:val="24"/>
          <w:szCs w:val="24"/>
          <w:highlight w:val="none"/>
        </w:rPr>
        <w:t>。</w:t>
      </w:r>
    </w:p>
    <w:p w14:paraId="601D0DC5">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 资金来源证明及支付担保</w:t>
      </w:r>
    </w:p>
    <w:p w14:paraId="314D958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发包人提供资金来源证明的期限要求：</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491E5A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发包人是否提供支付担保：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2658D09">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发包人提供支付担保的形式：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7C82679">
      <w:pPr>
        <w:keepNext/>
        <w:keepLines/>
        <w:spacing w:before="164" w:after="164" w:line="360" w:lineRule="auto"/>
        <w:outlineLvl w:val="1"/>
        <w:rPr>
          <w:rFonts w:hint="eastAsia" w:ascii="仿宋" w:hAnsi="仿宋" w:eastAsia="仿宋" w:cs="仿宋"/>
          <w:color w:val="auto"/>
          <w:sz w:val="24"/>
          <w:szCs w:val="24"/>
          <w:highlight w:val="none"/>
        </w:rPr>
      </w:pPr>
      <w:bookmarkStart w:id="183" w:name="_Toc351203635"/>
      <w:r>
        <w:rPr>
          <w:rFonts w:hint="eastAsia" w:ascii="仿宋" w:hAnsi="仿宋" w:eastAsia="仿宋" w:cs="仿宋"/>
          <w:color w:val="auto"/>
          <w:sz w:val="24"/>
          <w:szCs w:val="24"/>
          <w:highlight w:val="none"/>
        </w:rPr>
        <w:t>3</w:t>
      </w:r>
      <w:bookmarkStart w:id="184" w:name="_Toc296347157"/>
      <w:bookmarkStart w:id="185" w:name="_Toc296503158"/>
      <w:bookmarkStart w:id="186" w:name="_Toc297120458"/>
      <w:bookmarkStart w:id="187" w:name="_Toc296944497"/>
      <w:bookmarkStart w:id="188" w:name="_Toc292559868"/>
      <w:bookmarkStart w:id="189" w:name="_Toc296891198"/>
      <w:bookmarkStart w:id="190" w:name="_Toc292559363"/>
      <w:bookmarkStart w:id="191" w:name="_Toc297048344"/>
      <w:bookmarkStart w:id="192" w:name="_Toc296890986"/>
      <w:bookmarkStart w:id="193" w:name="_Toc296346659"/>
      <w:r>
        <w:rPr>
          <w:rFonts w:hint="eastAsia" w:ascii="仿宋" w:hAnsi="仿宋" w:eastAsia="仿宋" w:cs="仿宋"/>
          <w:color w:val="auto"/>
          <w:sz w:val="24"/>
          <w:szCs w:val="24"/>
          <w:highlight w:val="none"/>
        </w:rPr>
        <w:t>. 承包人</w:t>
      </w:r>
      <w:bookmarkEnd w:id="183"/>
      <w:bookmarkEnd w:id="184"/>
      <w:bookmarkEnd w:id="185"/>
      <w:bookmarkEnd w:id="186"/>
      <w:bookmarkEnd w:id="187"/>
      <w:bookmarkEnd w:id="188"/>
      <w:bookmarkEnd w:id="189"/>
      <w:bookmarkEnd w:id="190"/>
      <w:bookmarkEnd w:id="191"/>
      <w:bookmarkEnd w:id="192"/>
      <w:bookmarkEnd w:id="193"/>
    </w:p>
    <w:p w14:paraId="1F55604B">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 承包人的一般义务</w:t>
      </w:r>
    </w:p>
    <w:p w14:paraId="1503051E">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(1)承包人提交的竣工资料的内容：</w:t>
      </w:r>
      <w:r>
        <w:rPr>
          <w:rFonts w:hint="eastAsia" w:ascii="仿宋" w:hAnsi="仿宋" w:eastAsia="仿宋" w:cs="仿宋"/>
          <w:color w:val="auto"/>
          <w:sz w:val="24"/>
          <w:szCs w:val="24"/>
          <w:highlight w:val="none"/>
          <w:u w:val="single"/>
        </w:rPr>
        <w:t>符合竣工资料规范要求（含竣工图及相关文件）</w:t>
      </w:r>
      <w:r>
        <w:rPr>
          <w:rFonts w:hint="eastAsia" w:ascii="仿宋" w:hAnsi="仿宋" w:eastAsia="仿宋" w:cs="仿宋"/>
          <w:color w:val="auto"/>
          <w:sz w:val="24"/>
          <w:szCs w:val="24"/>
          <w:highlight w:val="none"/>
        </w:rPr>
        <w:t>。</w:t>
      </w:r>
    </w:p>
    <w:p w14:paraId="1A5C163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承包人需要提交的竣工资料套数：</w:t>
      </w:r>
      <w:r>
        <w:rPr>
          <w:rFonts w:hint="eastAsia" w:ascii="仿宋" w:hAnsi="仿宋" w:eastAsia="仿宋" w:cs="仿宋"/>
          <w:color w:val="auto"/>
          <w:sz w:val="24"/>
          <w:szCs w:val="24"/>
          <w:highlight w:val="none"/>
          <w:u w:val="single"/>
        </w:rPr>
        <w:t>肆套</w:t>
      </w:r>
      <w:r>
        <w:rPr>
          <w:rFonts w:hint="eastAsia" w:ascii="仿宋" w:hAnsi="仿宋" w:eastAsia="仿宋" w:cs="仿宋"/>
          <w:color w:val="auto"/>
          <w:sz w:val="24"/>
          <w:szCs w:val="24"/>
          <w:highlight w:val="none"/>
        </w:rPr>
        <w:t>。</w:t>
      </w:r>
    </w:p>
    <w:p w14:paraId="2E613FA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承包人提交的竣工资料的费用承担：</w:t>
      </w:r>
      <w:r>
        <w:rPr>
          <w:rFonts w:hint="eastAsia" w:ascii="仿宋" w:hAnsi="仿宋" w:eastAsia="仿宋" w:cs="仿宋"/>
          <w:color w:val="auto"/>
          <w:sz w:val="24"/>
          <w:szCs w:val="24"/>
          <w:highlight w:val="none"/>
          <w:u w:val="single"/>
        </w:rPr>
        <w:t>由承包人自行解决，费用包含在合同总价内</w:t>
      </w:r>
      <w:r>
        <w:rPr>
          <w:rFonts w:hint="eastAsia" w:ascii="仿宋" w:hAnsi="仿宋" w:eastAsia="仿宋" w:cs="仿宋"/>
          <w:color w:val="auto"/>
          <w:sz w:val="24"/>
          <w:szCs w:val="24"/>
          <w:highlight w:val="none"/>
        </w:rPr>
        <w:t>。</w:t>
      </w:r>
    </w:p>
    <w:p w14:paraId="378E934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承包人提交的竣工资料移交时间：</w:t>
      </w:r>
      <w:r>
        <w:rPr>
          <w:rFonts w:hint="eastAsia" w:ascii="仿宋" w:hAnsi="仿宋" w:eastAsia="仿宋" w:cs="仿宋"/>
          <w:color w:val="auto"/>
          <w:sz w:val="24"/>
          <w:szCs w:val="24"/>
          <w:highlight w:val="none"/>
          <w:u w:val="single"/>
        </w:rPr>
        <w:t>承包人在工程竣工后一个月内</w:t>
      </w:r>
      <w:r>
        <w:rPr>
          <w:rFonts w:hint="eastAsia" w:ascii="仿宋" w:hAnsi="仿宋" w:eastAsia="仿宋" w:cs="仿宋"/>
          <w:color w:val="auto"/>
          <w:sz w:val="24"/>
          <w:szCs w:val="24"/>
          <w:highlight w:val="none"/>
        </w:rPr>
        <w:t>。</w:t>
      </w:r>
    </w:p>
    <w:p w14:paraId="7CB7BAFB">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承包人提交的竣工资料形式要求：</w:t>
      </w:r>
      <w:r>
        <w:rPr>
          <w:rFonts w:hint="eastAsia" w:ascii="仿宋" w:hAnsi="仿宋" w:eastAsia="仿宋" w:cs="仿宋"/>
          <w:color w:val="auto"/>
          <w:sz w:val="24"/>
          <w:szCs w:val="24"/>
          <w:highlight w:val="none"/>
          <w:u w:val="single"/>
        </w:rPr>
        <w:t>符合竣工备案要求的纸质件（按要求盖章、签字）和电子件（刻光盘）</w:t>
      </w:r>
      <w:r>
        <w:rPr>
          <w:rFonts w:hint="eastAsia" w:ascii="仿宋" w:hAnsi="仿宋" w:eastAsia="仿宋" w:cs="仿宋"/>
          <w:color w:val="auto"/>
          <w:sz w:val="24"/>
          <w:szCs w:val="24"/>
          <w:highlight w:val="none"/>
        </w:rPr>
        <w:t>。</w:t>
      </w:r>
    </w:p>
    <w:p w14:paraId="5A03589F">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(2)承包人应履行的其他义务：</w:t>
      </w:r>
      <w:r>
        <w:rPr>
          <w:rFonts w:hint="eastAsia" w:ascii="仿宋" w:hAnsi="仿宋" w:eastAsia="仿宋" w:cs="仿宋"/>
          <w:color w:val="auto"/>
          <w:sz w:val="24"/>
          <w:szCs w:val="24"/>
          <w:highlight w:val="none"/>
          <w:u w:val="single"/>
        </w:rPr>
        <w:t>① 本工程实行总承包管理，土建安装施工单位为总承包管理单位，行使总包管理职能，承担总包管理责任。本工程承包人在完成本合同规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② 应提供计划、报表的名称及完成时间：开工前一周须提供工程进度报表；③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承包人负责）。施工现场临时用电按相关规范执行。承包人按照规定负责施工现场安全保卫工作，负责施工人员的治安教育及管理工作，由此发生事故，均由承包人负责；④ 需承包人办理的有关施工场地交通、环卫和施工噪音管理等手续：环保、环卫等相关手续由承包人办理。费用由承包人承担；⑤ 已完工程成品保护的特殊要求及费用承担：工程交付前成品保护由承包人负责，费用由承包人承担；⑥ 施工场地周围地下管线和邻近建筑物、构筑物(含文物保护建筑)、古树名木的保护要求及费用承担：对施工场地周围所有管网、管线、排水、道路及邻近建筑物承包人负责观测，若发生问题承包人要采取补救措施，费用承包人承担；⑦ 施工场地清洁卫生的要求：保证施工现场清洁卫生符合有关规定，达到标化现场工地要求（且满足总包单位管理要求）；⑧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⑨ 承包人必须对工程现场施工人员全部实行实名制考勤管理，签订劳动合同，设立工资存储专户，按照工程进度和工人实名制登记信息，按月足额由银行代发工资。</w:t>
      </w:r>
    </w:p>
    <w:p w14:paraId="572DF74B">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 项目经理</w:t>
      </w:r>
    </w:p>
    <w:p w14:paraId="764FBDD9">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3.2.1 项目经理：</w:t>
      </w:r>
    </w:p>
    <w:p w14:paraId="5483F372">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CA5DF8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2EF75F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002962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C062D9B">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699E5BE">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AEC6CE1">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1495AF2">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1BE89E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C5BE19A">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1、领导、决策，调集企业所属各单位、各部门为项目进行全面服务和控制 ；</w:t>
      </w:r>
    </w:p>
    <w:p w14:paraId="1C4F0788">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2、代表承包人履行对业主的合约，并受业主委托行使对项目所有分包商统一指挥、协调、管理权；</w:t>
      </w:r>
    </w:p>
    <w:p w14:paraId="0E26DEA9">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3、负责组织编制与审批工程总体进度计划及其修订与调整；</w:t>
      </w:r>
    </w:p>
    <w:p w14:paraId="0673B19B">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4、负责组织编制与审批质量保证计划及其修订与调整；</w:t>
      </w:r>
    </w:p>
    <w:p w14:paraId="4DBBAAD0">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5、负责组织编制与审批主要物资供应与采购计划及其修订与调整；</w:t>
      </w:r>
    </w:p>
    <w:p w14:paraId="26724C26">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6、负责组织编制与审批工程分包计划及其修订与调整；</w:t>
      </w:r>
    </w:p>
    <w:p w14:paraId="0807F741">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7、组织工程成本分析、预测及控制，对项目资金管理与财务运作负责；</w:t>
      </w:r>
    </w:p>
    <w:p w14:paraId="4D66C531">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8、与业主、监理保持经常沟通，了解业主需求，解决随时出现的问题，替业主排忧解难，保护业主利益；</w:t>
      </w:r>
    </w:p>
    <w:p w14:paraId="5F7AC206">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9、负责组织人力资源调配、内部和外部关系协调；遵照合同约定及施工组织设计中的内容实施于工程，当超出实施范围应向上级决策机构申报。</w:t>
      </w:r>
    </w:p>
    <w:p w14:paraId="7F25EA7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关于项目经理每月在施工现场的时间要求：</w:t>
      </w:r>
      <w:r>
        <w:rPr>
          <w:rFonts w:hint="eastAsia" w:ascii="仿宋" w:hAnsi="仿宋" w:eastAsia="仿宋" w:cs="仿宋"/>
          <w:color w:val="auto"/>
          <w:sz w:val="24"/>
          <w:szCs w:val="24"/>
          <w:highlight w:val="none"/>
          <w:u w:val="single"/>
        </w:rPr>
        <w:t>每周不少于6天，每天不少于7小时</w:t>
      </w:r>
      <w:r>
        <w:rPr>
          <w:rFonts w:hint="eastAsia" w:ascii="仿宋" w:hAnsi="仿宋" w:eastAsia="仿宋" w:cs="仿宋"/>
          <w:color w:val="auto"/>
          <w:sz w:val="24"/>
          <w:szCs w:val="24"/>
          <w:highlight w:val="none"/>
        </w:rPr>
        <w:t>。</w:t>
      </w:r>
    </w:p>
    <w:p w14:paraId="73C02B4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承包人未提交劳动合同，以及没有为项目经理缴纳社会保险证明的违约责任：</w:t>
      </w:r>
      <w:r>
        <w:rPr>
          <w:rFonts w:hint="eastAsia" w:ascii="仿宋" w:hAnsi="仿宋" w:eastAsia="仿宋" w:cs="仿宋"/>
          <w:color w:val="auto"/>
          <w:sz w:val="24"/>
          <w:szCs w:val="24"/>
          <w:highlight w:val="none"/>
          <w:u w:val="single"/>
        </w:rPr>
        <w:t>发包人有权与承包人解除合同，已完工程，按照建设工程成本价结算，并追究由此带来的发包人一切损失</w:t>
      </w:r>
      <w:r>
        <w:rPr>
          <w:rFonts w:hint="eastAsia" w:ascii="仿宋" w:hAnsi="仿宋" w:eastAsia="仿宋" w:cs="仿宋"/>
          <w:color w:val="auto"/>
          <w:sz w:val="24"/>
          <w:szCs w:val="24"/>
          <w:highlight w:val="none"/>
        </w:rPr>
        <w:t>。</w:t>
      </w:r>
    </w:p>
    <w:p w14:paraId="1DEBC4AD">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项目经理未经批准，擅自离开施工现场的违约责任：</w:t>
      </w:r>
      <w:r>
        <w:rPr>
          <w:rFonts w:hint="eastAsia" w:ascii="仿宋" w:hAnsi="仿宋" w:eastAsia="仿宋" w:cs="仿宋"/>
          <w:color w:val="auto"/>
          <w:sz w:val="24"/>
          <w:szCs w:val="24"/>
          <w:highlight w:val="none"/>
          <w:u w:val="single"/>
        </w:rPr>
        <w:t>如果项目经理未经发包人同意，违反项目经理每月在施工现场的时间要求，每发现一次支付给发包人违约金人民币伍仟元（￥5000.00元），上不封顶。连续5天或一个月内累计5天不在现场，发包人有权要求承包人更换项目经理直至要求解除合同，追究违约责任，并报行政主管部门备案</w:t>
      </w:r>
      <w:r>
        <w:rPr>
          <w:rFonts w:hint="eastAsia" w:ascii="仿宋" w:hAnsi="仿宋" w:eastAsia="仿宋" w:cs="仿宋"/>
          <w:color w:val="auto"/>
          <w:sz w:val="24"/>
          <w:szCs w:val="24"/>
          <w:highlight w:val="none"/>
        </w:rPr>
        <w:t>。</w:t>
      </w:r>
    </w:p>
    <w:p w14:paraId="5ACFD6EF">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3.2.2 承包人擅自更换项目经理的违约责任：</w:t>
      </w:r>
      <w:r>
        <w:rPr>
          <w:rFonts w:hint="eastAsia" w:ascii="仿宋" w:hAnsi="仿宋" w:eastAsia="仿宋" w:cs="仿宋"/>
          <w:color w:val="auto"/>
          <w:sz w:val="24"/>
          <w:szCs w:val="24"/>
          <w:highlight w:val="none"/>
          <w:u w:val="single"/>
        </w:rPr>
        <w:t xml:space="preserve">项目经理不得擅自变更，若出现承包人擅自更换项目经理的情况，发包人有权解除合同并责令承包人退场,承包人承诺每天向发包人支付人民币贰仟元（￥2000.00元）违约金（从进场之日至退场之日），并追究由此带来的发包人的一切损失 </w:t>
      </w:r>
      <w:r>
        <w:rPr>
          <w:rFonts w:hint="eastAsia" w:ascii="仿宋" w:hAnsi="仿宋" w:eastAsia="仿宋" w:cs="仿宋"/>
          <w:color w:val="auto"/>
          <w:sz w:val="24"/>
          <w:szCs w:val="24"/>
          <w:highlight w:val="none"/>
        </w:rPr>
        <w:t>。</w:t>
      </w:r>
    </w:p>
    <w:p w14:paraId="31315DC1">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3.2.3 承包人无正当理由拒绝更换项目经理的违约责任：</w:t>
      </w:r>
      <w:r>
        <w:rPr>
          <w:rFonts w:hint="eastAsia" w:ascii="仿宋" w:hAnsi="仿宋" w:eastAsia="仿宋" w:cs="仿宋"/>
          <w:color w:val="auto"/>
          <w:sz w:val="24"/>
          <w:szCs w:val="24"/>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向发包人支付人民币贰仟元/次（￥2000.00元/次）的违约金 </w:t>
      </w:r>
      <w:r>
        <w:rPr>
          <w:rFonts w:hint="eastAsia" w:ascii="仿宋" w:hAnsi="仿宋" w:eastAsia="仿宋" w:cs="仿宋"/>
          <w:color w:val="auto"/>
          <w:sz w:val="24"/>
          <w:szCs w:val="24"/>
          <w:highlight w:val="none"/>
        </w:rPr>
        <w:t>。</w:t>
      </w:r>
    </w:p>
    <w:p w14:paraId="7761DBB1">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 承包人人员</w:t>
      </w:r>
    </w:p>
    <w:p w14:paraId="7AF9A3C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 承包人提交项目管理机构及施工现场管理人员安排报告的期限：</w:t>
      </w:r>
      <w:r>
        <w:rPr>
          <w:rFonts w:hint="eastAsia" w:ascii="仿宋" w:hAnsi="仿宋" w:eastAsia="仿宋" w:cs="仿宋"/>
          <w:color w:val="auto"/>
          <w:sz w:val="24"/>
          <w:szCs w:val="24"/>
          <w:highlight w:val="none"/>
          <w:u w:val="single"/>
        </w:rPr>
        <w:t>合同签订7日内，如承包人不按时送审符合要求的项目管理机构及施工现场管理人员安排报告，承包人承诺按照现实情况支付给发包人1000-2000元的违约金，发包人有权拒付相应部分工程进度款，责任由承包人承担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仿宋" w:hAnsi="仿宋" w:eastAsia="仿宋" w:cs="仿宋"/>
          <w:color w:val="auto"/>
          <w:sz w:val="24"/>
          <w:szCs w:val="24"/>
          <w:highlight w:val="none"/>
        </w:rPr>
        <w:t>。</w:t>
      </w:r>
    </w:p>
    <w:p w14:paraId="0B5587D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3.3.2 承包人无正当理由拒绝撤换主要施工管理人员的违约责任：</w:t>
      </w:r>
      <w:r>
        <w:rPr>
          <w:rFonts w:hint="eastAsia" w:ascii="仿宋" w:hAnsi="仿宋" w:eastAsia="仿宋" w:cs="仿宋"/>
          <w:color w:val="auto"/>
          <w:sz w:val="24"/>
          <w:szCs w:val="24"/>
          <w:highlight w:val="none"/>
          <w:u w:val="single"/>
        </w:rPr>
        <w:t>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仿宋" w:hAnsi="仿宋" w:eastAsia="仿宋" w:cs="仿宋"/>
          <w:color w:val="auto"/>
          <w:sz w:val="24"/>
          <w:szCs w:val="24"/>
          <w:highlight w:val="none"/>
        </w:rPr>
        <w:t>。</w:t>
      </w:r>
    </w:p>
    <w:p w14:paraId="74EBC572">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3.3.3 承包人主要施工管理人员离开施工现场的批准要求：</w:t>
      </w:r>
      <w:r>
        <w:rPr>
          <w:rFonts w:hint="eastAsia" w:ascii="仿宋" w:hAnsi="仿宋" w:eastAsia="仿宋" w:cs="仿宋"/>
          <w:color w:val="auto"/>
          <w:sz w:val="24"/>
          <w:szCs w:val="24"/>
          <w:highlight w:val="none"/>
          <w:u w:val="single"/>
        </w:rPr>
        <w:t>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仿宋" w:hAnsi="仿宋" w:eastAsia="仿宋" w:cs="仿宋"/>
          <w:color w:val="auto"/>
          <w:sz w:val="24"/>
          <w:szCs w:val="24"/>
          <w:highlight w:val="none"/>
        </w:rPr>
        <w:t>。</w:t>
      </w:r>
    </w:p>
    <w:p w14:paraId="5207D32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3.3.4 承包人擅自更换主要施工管理人员的违约责任：</w:t>
      </w:r>
      <w:r>
        <w:rPr>
          <w:rFonts w:hint="eastAsia" w:ascii="仿宋" w:hAnsi="仿宋" w:eastAsia="仿宋" w:cs="仿宋"/>
          <w:color w:val="auto"/>
          <w:sz w:val="24"/>
          <w:szCs w:val="24"/>
          <w:highlight w:val="none"/>
          <w:u w:val="single"/>
        </w:rPr>
        <w:t>承包人投标文件所载明的项目经理不得变更，如擅自变更，视为违约，发包人有权终止合同，并追究由此带来的发包人一切损失。</w:t>
      </w:r>
    </w:p>
    <w:p w14:paraId="13E874CC">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3.3.5 承包人主要施工管理人员擅自离开施工现场的违约责任：</w:t>
      </w:r>
      <w:r>
        <w:rPr>
          <w:rFonts w:hint="eastAsia" w:ascii="仿宋" w:hAnsi="仿宋" w:eastAsia="仿宋" w:cs="仿宋"/>
          <w:color w:val="auto"/>
          <w:sz w:val="24"/>
          <w:szCs w:val="24"/>
          <w:highlight w:val="none"/>
          <w:u w:val="single"/>
        </w:rPr>
        <w:t>承包人投标文件所载明的主要施工管理人员必须常驻现场，不得擅自离开施工现场，发包人每发现1次，承包人承诺每次向发包人支付人民币贰仟元/次（￥2000.00元/次）的违约金；上不封顶</w:t>
      </w:r>
      <w:r>
        <w:rPr>
          <w:rFonts w:hint="eastAsia" w:ascii="仿宋" w:hAnsi="仿宋" w:eastAsia="仿宋" w:cs="仿宋"/>
          <w:color w:val="auto"/>
          <w:sz w:val="24"/>
          <w:szCs w:val="24"/>
          <w:highlight w:val="none"/>
        </w:rPr>
        <w:t>。</w:t>
      </w:r>
    </w:p>
    <w:p w14:paraId="2D484999">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3.3.6 承包人未按时每月发放农民工工资和及时结算社保资金的违约责任：</w:t>
      </w:r>
      <w:r>
        <w:rPr>
          <w:rFonts w:hint="eastAsia" w:ascii="仿宋" w:hAnsi="仿宋" w:eastAsia="仿宋" w:cs="仿宋"/>
          <w:color w:val="auto"/>
          <w:sz w:val="24"/>
          <w:szCs w:val="24"/>
          <w:highlight w:val="none"/>
          <w:u w:val="single"/>
        </w:rPr>
        <w:t>承包人必须按时每月发放农民工工资和及时结算社保资金，否则视为违约，发包人有权暂缓支付工程款，责任由承包人承担，并追究由此带来的发包人一切损失。</w:t>
      </w:r>
    </w:p>
    <w:p w14:paraId="0F8432DA">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3.3.7 对承包人失信行为的处罚：</w:t>
      </w:r>
      <w:r>
        <w:rPr>
          <w:rFonts w:hint="eastAsia" w:ascii="仿宋" w:hAnsi="仿宋" w:eastAsia="仿宋" w:cs="仿宋"/>
          <w:color w:val="auto"/>
          <w:sz w:val="24"/>
          <w:szCs w:val="24"/>
          <w:highlight w:val="none"/>
          <w:u w:val="single"/>
        </w:rPr>
        <w:t>承包人失信拖欠工资，报由有关部门在政府资金支持、政府采购、招投标、生产许可、履约担保、资质审核、融资贷款、市场准入、评优评先等方面依法依规予以限制；恶意欠薪涉嫌犯罪，依法移送司法机关追究刑事责任。</w:t>
      </w:r>
    </w:p>
    <w:p w14:paraId="5B171558">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bookmarkStart w:id="194" w:name="_Toc303539102"/>
      <w:bookmarkStart w:id="195" w:name="_Toc300934945"/>
      <w:bookmarkStart w:id="196" w:name="_Toc304295523"/>
      <w:bookmarkStart w:id="197" w:name="_Toc296503159"/>
      <w:bookmarkStart w:id="198" w:name="_Toc297216151"/>
      <w:bookmarkStart w:id="199" w:name="_Toc296944498"/>
      <w:bookmarkStart w:id="200" w:name="_Toc297048345"/>
      <w:bookmarkStart w:id="201" w:name="_Toc296347158"/>
      <w:bookmarkStart w:id="202" w:name="_Toc292559869"/>
      <w:bookmarkStart w:id="203" w:name="_Toc297120459"/>
      <w:bookmarkStart w:id="204" w:name="_Toc312677988"/>
      <w:bookmarkStart w:id="205" w:name="_Toc296346660"/>
      <w:bookmarkStart w:id="206" w:name="_Toc292559364"/>
      <w:bookmarkStart w:id="207" w:name="_Toc297123492"/>
      <w:bookmarkStart w:id="208" w:name="_Toc296890987"/>
      <w:bookmarkStart w:id="209" w:name="_Toc296891199"/>
      <w:r>
        <w:rPr>
          <w:rFonts w:hint="eastAsia" w:ascii="仿宋" w:hAnsi="仿宋" w:eastAsia="仿宋" w:cs="仿宋"/>
          <w:color w:val="auto"/>
          <w:sz w:val="24"/>
          <w:szCs w:val="24"/>
          <w:highlight w:val="none"/>
        </w:rPr>
        <w:t>.4 分包</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6F4A2D00">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3.4.1 分包的一般约定</w:t>
      </w:r>
    </w:p>
    <w:p w14:paraId="04254A98">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禁止分包的工程包括：</w:t>
      </w:r>
      <w:r>
        <w:rPr>
          <w:rFonts w:hint="eastAsia" w:ascii="仿宋" w:hAnsi="仿宋" w:eastAsia="仿宋" w:cs="仿宋"/>
          <w:color w:val="auto"/>
          <w:sz w:val="24"/>
          <w:szCs w:val="24"/>
          <w:highlight w:val="none"/>
          <w:u w:val="single"/>
        </w:rPr>
        <w:t>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仿宋" w:hAnsi="仿宋" w:eastAsia="仿宋" w:cs="仿宋"/>
          <w:color w:val="auto"/>
          <w:sz w:val="24"/>
          <w:szCs w:val="24"/>
          <w:highlight w:val="none"/>
        </w:rPr>
        <w:t>。</w:t>
      </w:r>
    </w:p>
    <w:p w14:paraId="46FF5A92">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主体结构、关键性工作的范围：</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5DA83D31">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bookmarkStart w:id="210" w:name="_Toc312677990"/>
      <w:bookmarkStart w:id="211" w:name="_Toc318581159"/>
      <w:r>
        <w:rPr>
          <w:rFonts w:hint="eastAsia" w:ascii="仿宋" w:hAnsi="仿宋" w:eastAsia="仿宋" w:cs="仿宋"/>
          <w:color w:val="auto"/>
          <w:sz w:val="24"/>
          <w:szCs w:val="24"/>
          <w:highlight w:val="none"/>
        </w:rPr>
        <w:t>.4.2 分包的确定</w:t>
      </w:r>
    </w:p>
    <w:p w14:paraId="152D1038">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允许分包的专业工程包括：</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6612D41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其他关于分包的约定：</w:t>
      </w:r>
      <w:r>
        <w:rPr>
          <w:rFonts w:hint="eastAsia" w:ascii="仿宋" w:hAnsi="仿宋" w:eastAsia="仿宋" w:cs="仿宋"/>
          <w:color w:val="auto"/>
          <w:sz w:val="24"/>
          <w:szCs w:val="24"/>
          <w:highlight w:val="none"/>
          <w:u w:val="single"/>
        </w:rPr>
        <w:t>本工程不允许承包人有任何形式的转包和未经发包人允许的分包，否则发包人有权终止合同，一切损失由承包人承担</w:t>
      </w:r>
      <w:r>
        <w:rPr>
          <w:rFonts w:hint="eastAsia" w:ascii="仿宋" w:hAnsi="仿宋" w:eastAsia="仿宋" w:cs="仿宋"/>
          <w:color w:val="auto"/>
          <w:sz w:val="24"/>
          <w:szCs w:val="24"/>
          <w:highlight w:val="none"/>
        </w:rPr>
        <w:t>。</w:t>
      </w:r>
    </w:p>
    <w:p w14:paraId="34441A98">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3.4.3 分包合同价款</w:t>
      </w:r>
    </w:p>
    <w:p w14:paraId="4F268B4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关于分包合同价款支付的约定：</w:t>
      </w:r>
      <w:r>
        <w:rPr>
          <w:rFonts w:hint="eastAsia" w:ascii="仿宋" w:hAnsi="仿宋" w:eastAsia="仿宋" w:cs="仿宋"/>
          <w:color w:val="auto"/>
          <w:sz w:val="24"/>
          <w:szCs w:val="24"/>
          <w:highlight w:val="none"/>
          <w:u w:val="single"/>
        </w:rPr>
        <w:t>无</w:t>
      </w:r>
      <w:r>
        <w:rPr>
          <w:rFonts w:hint="eastAsia" w:ascii="仿宋" w:hAnsi="仿宋" w:eastAsia="仿宋" w:cs="仿宋"/>
          <w:color w:val="auto"/>
          <w:sz w:val="24"/>
          <w:szCs w:val="24"/>
          <w:highlight w:val="none"/>
        </w:rPr>
        <w:t>。</w:t>
      </w:r>
      <w:bookmarkEnd w:id="210"/>
      <w:bookmarkEnd w:id="211"/>
    </w:p>
    <w:p w14:paraId="42F3CC69">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 工程照管与成品、半成品保护</w:t>
      </w:r>
    </w:p>
    <w:p w14:paraId="54272F04">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承包人负责照管工程及工程相关的材料、工程设备的起始时间：</w:t>
      </w:r>
      <w:r>
        <w:rPr>
          <w:rFonts w:hint="eastAsia" w:ascii="仿宋" w:hAnsi="仿宋" w:eastAsia="仿宋" w:cs="仿宋"/>
          <w:color w:val="auto"/>
          <w:sz w:val="24"/>
          <w:szCs w:val="24"/>
          <w:highlight w:val="none"/>
          <w:u w:val="single"/>
        </w:rPr>
        <w:t>在工程交付前，成品保护由承包人负责，费用已含在合同价款内，发生成品损坏，承包人负责予以修复，费用自理；如交付后，发包人要求承包人继续保护，费用另行商定</w:t>
      </w:r>
      <w:r>
        <w:rPr>
          <w:rFonts w:hint="eastAsia" w:ascii="仿宋" w:hAnsi="仿宋" w:eastAsia="仿宋" w:cs="仿宋"/>
          <w:color w:val="auto"/>
          <w:sz w:val="24"/>
          <w:szCs w:val="24"/>
          <w:highlight w:val="none"/>
        </w:rPr>
        <w:t>。</w:t>
      </w:r>
    </w:p>
    <w:p w14:paraId="298FE5CF">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 履约担保</w:t>
      </w:r>
    </w:p>
    <w:p w14:paraId="3D369D2C">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承包人是否提供履约担保：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是</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237AFAF">
      <w:pPr>
        <w:pStyle w:val="16"/>
        <w:numPr>
          <w:ilvl w:val="0"/>
          <w:numId w:val="0"/>
        </w:numPr>
        <w:spacing w:line="360" w:lineRule="auto"/>
        <w:ind w:left="116" w:right="63" w:firstLine="24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履约担保的形式：银行支票、汇票； </w:t>
      </w:r>
    </w:p>
    <w:p w14:paraId="3E3E4842">
      <w:pPr>
        <w:pStyle w:val="16"/>
        <w:numPr>
          <w:ilvl w:val="0"/>
          <w:numId w:val="0"/>
        </w:numPr>
        <w:spacing w:line="360" w:lineRule="auto"/>
        <w:ind w:left="116" w:right="63" w:firstLine="24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履约担保金额：中标价的10%； </w:t>
      </w:r>
    </w:p>
    <w:p w14:paraId="3D0559C7">
      <w:pPr>
        <w:pStyle w:val="16"/>
        <w:numPr>
          <w:ilvl w:val="0"/>
          <w:numId w:val="0"/>
        </w:numPr>
        <w:spacing w:line="360" w:lineRule="auto"/>
        <w:ind w:left="116" w:right="63" w:firstLine="24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履约担保的提交方式：银行支票、汇票。</w:t>
      </w:r>
    </w:p>
    <w:p w14:paraId="75A733E9">
      <w:pPr>
        <w:pStyle w:val="16"/>
        <w:numPr>
          <w:ilvl w:val="0"/>
          <w:numId w:val="0"/>
        </w:numPr>
        <w:spacing w:line="360" w:lineRule="auto"/>
        <w:ind w:left="116" w:right="63" w:firstLine="24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履约担保的递交时间：中标人自领取书面中标通知书 10日内按采购文件规定缴纳履约保证金。中标人未在规定时间内领取中标通知书或未在规定期限内缴纳履约保证金的，视为自动放弃中标资格。</w:t>
      </w:r>
    </w:p>
    <w:p w14:paraId="13836E2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履约担保收款人:</w:t>
      </w:r>
    </w:p>
    <w:p w14:paraId="21DEF57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履约担保开户行:</w:t>
      </w:r>
    </w:p>
    <w:p w14:paraId="69504D5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履约担保开户账号:</w:t>
      </w:r>
    </w:p>
    <w:p w14:paraId="067B7E6D">
      <w:pPr>
        <w:pStyle w:val="16"/>
        <w:numPr>
          <w:ilvl w:val="0"/>
          <w:numId w:val="0"/>
        </w:numPr>
        <w:spacing w:line="360" w:lineRule="auto"/>
        <w:ind w:right="63" w:firstLine="24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履约保证金的返还（无息）：承包人在无违法、违纪现象的情况下，完成竣工结算审计后14日内，全额返还。</w:t>
      </w:r>
    </w:p>
    <w:p w14:paraId="2E607EC1">
      <w:pPr>
        <w:keepNext/>
        <w:keepLines/>
        <w:spacing w:before="164" w:after="164" w:line="360" w:lineRule="auto"/>
        <w:ind w:firstLine="420"/>
        <w:outlineLvl w:val="1"/>
        <w:rPr>
          <w:rFonts w:hint="eastAsia" w:ascii="仿宋" w:hAnsi="仿宋" w:eastAsia="仿宋" w:cs="仿宋"/>
          <w:color w:val="auto"/>
          <w:sz w:val="24"/>
          <w:szCs w:val="24"/>
          <w:highlight w:val="none"/>
        </w:rPr>
      </w:pPr>
      <w:bookmarkStart w:id="212" w:name="_Toc351203636"/>
      <w:r>
        <w:rPr>
          <w:rFonts w:hint="eastAsia" w:ascii="仿宋" w:hAnsi="仿宋" w:eastAsia="仿宋" w:cs="仿宋"/>
          <w:color w:val="auto"/>
          <w:sz w:val="24"/>
          <w:szCs w:val="24"/>
          <w:highlight w:val="none"/>
        </w:rPr>
        <w:t>4</w:t>
      </w:r>
      <w:bookmarkStart w:id="213" w:name="_Toc297120462"/>
      <w:bookmarkStart w:id="214" w:name="_Toc296503162"/>
      <w:bookmarkStart w:id="215" w:name="_Toc292559871"/>
      <w:bookmarkStart w:id="216" w:name="_Toc292559366"/>
      <w:bookmarkStart w:id="217" w:name="_Toc296891202"/>
      <w:bookmarkStart w:id="218" w:name="_Toc296944501"/>
      <w:bookmarkStart w:id="219" w:name="_Toc296890990"/>
      <w:bookmarkStart w:id="220" w:name="_Toc296347161"/>
      <w:bookmarkStart w:id="221" w:name="_Toc297048348"/>
      <w:bookmarkStart w:id="222" w:name="_Toc296346663"/>
      <w:bookmarkStart w:id="223" w:name="_Toc267251413"/>
      <w:r>
        <w:rPr>
          <w:rFonts w:hint="eastAsia" w:ascii="仿宋" w:hAnsi="仿宋" w:eastAsia="仿宋" w:cs="仿宋"/>
          <w:color w:val="auto"/>
          <w:sz w:val="24"/>
          <w:szCs w:val="24"/>
          <w:highlight w:val="none"/>
        </w:rPr>
        <w:t>. 监</w:t>
      </w:r>
      <w:bookmarkEnd w:id="213"/>
      <w:bookmarkEnd w:id="214"/>
      <w:bookmarkEnd w:id="215"/>
      <w:bookmarkEnd w:id="216"/>
      <w:bookmarkEnd w:id="217"/>
      <w:bookmarkEnd w:id="218"/>
      <w:bookmarkEnd w:id="219"/>
      <w:bookmarkEnd w:id="220"/>
      <w:bookmarkEnd w:id="221"/>
      <w:bookmarkEnd w:id="222"/>
      <w:bookmarkEnd w:id="223"/>
      <w:r>
        <w:rPr>
          <w:rFonts w:hint="eastAsia" w:ascii="仿宋" w:hAnsi="仿宋" w:eastAsia="仿宋" w:cs="仿宋"/>
          <w:color w:val="auto"/>
          <w:sz w:val="24"/>
          <w:szCs w:val="24"/>
          <w:highlight w:val="none"/>
        </w:rPr>
        <w:t>理人</w:t>
      </w:r>
      <w:bookmarkEnd w:id="212"/>
    </w:p>
    <w:p w14:paraId="0DF83C0D">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 监理人的一般规定</w:t>
      </w:r>
    </w:p>
    <w:p w14:paraId="7D55646D">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关于监理人的监理内容：</w:t>
      </w:r>
      <w:r>
        <w:rPr>
          <w:rFonts w:hint="eastAsia" w:ascii="仿宋" w:hAnsi="仿宋" w:eastAsia="仿宋" w:cs="仿宋"/>
          <w:color w:val="auto"/>
          <w:sz w:val="24"/>
          <w:szCs w:val="24"/>
          <w:highlight w:val="none"/>
          <w:u w:val="single"/>
        </w:rPr>
        <w:t>对建设工程的质量控制、进度控制、成本控制、合同管理、信息管理和各方协调工作，监督施工单位对工程施工进行科学管理、安全施工、文明施工，具体详见监理合同</w:t>
      </w:r>
      <w:r>
        <w:rPr>
          <w:rFonts w:hint="eastAsia" w:ascii="仿宋" w:hAnsi="仿宋" w:eastAsia="仿宋" w:cs="仿宋"/>
          <w:color w:val="auto"/>
          <w:sz w:val="24"/>
          <w:szCs w:val="24"/>
          <w:highlight w:val="none"/>
        </w:rPr>
        <w:t>。</w:t>
      </w:r>
    </w:p>
    <w:p w14:paraId="0B2536E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关于监理人的监理权限：</w:t>
      </w:r>
      <w:r>
        <w:rPr>
          <w:rFonts w:hint="eastAsia" w:ascii="仿宋" w:hAnsi="仿宋" w:eastAsia="仿宋" w:cs="仿宋"/>
          <w:color w:val="auto"/>
          <w:sz w:val="24"/>
          <w:szCs w:val="24"/>
          <w:highlight w:val="none"/>
          <w:u w:val="single"/>
        </w:rPr>
        <w:t>需要取得发包人批准才能行使的职权为工程款拨付、各项工程变更洽商的确认及重大质量、进度、安全问题的处理权</w:t>
      </w:r>
      <w:r>
        <w:rPr>
          <w:rFonts w:hint="eastAsia" w:ascii="仿宋" w:hAnsi="仿宋" w:eastAsia="仿宋" w:cs="仿宋"/>
          <w:color w:val="auto"/>
          <w:sz w:val="24"/>
          <w:szCs w:val="24"/>
          <w:highlight w:val="none"/>
        </w:rPr>
        <w:t xml:space="preserve">。 </w:t>
      </w:r>
    </w:p>
    <w:p w14:paraId="3BF355A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关于监理人在施工现场的办公场所、生活场所的提供和费用承担的约定：</w:t>
      </w:r>
      <w:r>
        <w:rPr>
          <w:rFonts w:hint="eastAsia" w:ascii="仿宋" w:hAnsi="仿宋" w:eastAsia="仿宋" w:cs="仿宋"/>
          <w:color w:val="auto"/>
          <w:sz w:val="24"/>
          <w:szCs w:val="24"/>
          <w:highlight w:val="none"/>
          <w:u w:val="single"/>
        </w:rPr>
        <w:t>承包人应积极配合向监理人提供施工现场的办公用房和生活场所，其费用已包含在合同总价中</w:t>
      </w:r>
      <w:r>
        <w:rPr>
          <w:rFonts w:hint="eastAsia" w:ascii="仿宋" w:hAnsi="仿宋" w:eastAsia="仿宋" w:cs="仿宋"/>
          <w:color w:val="auto"/>
          <w:sz w:val="24"/>
          <w:szCs w:val="24"/>
          <w:highlight w:val="none"/>
        </w:rPr>
        <w:t>。</w:t>
      </w:r>
    </w:p>
    <w:p w14:paraId="7722E431">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 监理人员</w:t>
      </w:r>
    </w:p>
    <w:p w14:paraId="02138D7B">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总监理工程师：</w:t>
      </w:r>
    </w:p>
    <w:p w14:paraId="539AE4D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B50EAD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500863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1FDBB5C">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E13508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F7F44A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7C25B9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关于监理人的其他约定：</w:t>
      </w:r>
      <w:r>
        <w:rPr>
          <w:rFonts w:hint="eastAsia" w:ascii="仿宋" w:hAnsi="仿宋" w:eastAsia="仿宋" w:cs="仿宋"/>
          <w:color w:val="auto"/>
          <w:sz w:val="24"/>
          <w:szCs w:val="24"/>
          <w:highlight w:val="none"/>
          <w:u w:val="single"/>
        </w:rPr>
        <w:t>具体见监理合同</w:t>
      </w:r>
      <w:r>
        <w:rPr>
          <w:rFonts w:hint="eastAsia" w:ascii="仿宋" w:hAnsi="仿宋" w:eastAsia="仿宋" w:cs="仿宋"/>
          <w:color w:val="auto"/>
          <w:sz w:val="24"/>
          <w:szCs w:val="24"/>
          <w:highlight w:val="none"/>
        </w:rPr>
        <w:t>。</w:t>
      </w:r>
    </w:p>
    <w:p w14:paraId="3664B49E">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 商定或确定</w:t>
      </w:r>
    </w:p>
    <w:p w14:paraId="45F30610">
      <w:pPr>
        <w:spacing w:line="360" w:lineRule="auto"/>
        <w:ind w:firstLine="420"/>
        <w:rPr>
          <w:rFonts w:hint="eastAsia" w:ascii="仿宋" w:hAnsi="仿宋" w:eastAsia="仿宋" w:cs="仿宋"/>
          <w:color w:val="auto"/>
          <w:sz w:val="24"/>
          <w:szCs w:val="24"/>
          <w:highlight w:val="none"/>
        </w:rPr>
      </w:pPr>
      <w:bookmarkStart w:id="224" w:name="_Toc267251418"/>
      <w:r>
        <w:rPr>
          <w:rFonts w:hint="eastAsia" w:ascii="仿宋" w:hAnsi="仿宋" w:eastAsia="仿宋" w:cs="仿宋"/>
          <w:color w:val="auto"/>
          <w:sz w:val="24"/>
          <w:szCs w:val="24"/>
          <w:highlight w:val="none"/>
        </w:rPr>
        <w:t>在发包人和承包人不能通过协商达成一致意见时，发包人授权监理人对以下事项进行确定：</w:t>
      </w:r>
    </w:p>
    <w:p w14:paraId="775CCB1A">
      <w:pPr>
        <w:spacing w:line="360" w:lineRule="auto"/>
        <w:ind w:firstLine="420"/>
        <w:rPr>
          <w:rFonts w:hint="eastAsia" w:ascii="仿宋" w:hAnsi="仿宋" w:eastAsia="仿宋" w:cs="仿宋"/>
          <w:color w:val="auto"/>
          <w:sz w:val="24"/>
          <w:szCs w:val="24"/>
          <w:highlight w:val="none"/>
        </w:rPr>
      </w:pPr>
      <w:bookmarkStart w:id="225" w:name="_Toc351203637"/>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另行约定</w:t>
      </w:r>
      <w:r>
        <w:rPr>
          <w:rFonts w:hint="eastAsia" w:ascii="仿宋" w:hAnsi="仿宋" w:eastAsia="仿宋" w:cs="仿宋"/>
          <w:color w:val="auto"/>
          <w:sz w:val="24"/>
          <w:szCs w:val="24"/>
          <w:highlight w:val="none"/>
        </w:rPr>
        <w:t>；</w:t>
      </w:r>
    </w:p>
    <w:p w14:paraId="1B2DE00C">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4042E51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168669D0">
      <w:pPr>
        <w:keepNext/>
        <w:keepLines/>
        <w:spacing w:before="164" w:after="164" w:line="360" w:lineRule="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bookmarkEnd w:id="224"/>
      <w:bookmarkStart w:id="226" w:name="_Toc296890991"/>
      <w:bookmarkStart w:id="227" w:name="_Toc296944502"/>
      <w:bookmarkStart w:id="228" w:name="_Toc296503163"/>
      <w:bookmarkStart w:id="229" w:name="_Toc292559872"/>
      <w:bookmarkStart w:id="230" w:name="_Toc297048349"/>
      <w:bookmarkStart w:id="231" w:name="_Toc296891203"/>
      <w:bookmarkStart w:id="232" w:name="_Toc292559367"/>
      <w:bookmarkStart w:id="233" w:name="_Toc297120463"/>
      <w:bookmarkStart w:id="234" w:name="_Toc296346664"/>
      <w:bookmarkStart w:id="235" w:name="_Toc296347162"/>
      <w:r>
        <w:rPr>
          <w:rFonts w:hint="eastAsia" w:ascii="仿宋" w:hAnsi="仿宋" w:eastAsia="仿宋" w:cs="仿宋"/>
          <w:color w:val="auto"/>
          <w:sz w:val="24"/>
          <w:szCs w:val="24"/>
          <w:highlight w:val="none"/>
        </w:rPr>
        <w:t>. 工程质量</w:t>
      </w:r>
      <w:bookmarkEnd w:id="225"/>
    </w:p>
    <w:p w14:paraId="6ED45AB0">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 质量要求</w:t>
      </w:r>
    </w:p>
    <w:p w14:paraId="06278DCC">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bookmarkStart w:id="236" w:name="_Toc297123496"/>
      <w:bookmarkStart w:id="237" w:name="_Toc304295527"/>
      <w:bookmarkStart w:id="238" w:name="_Toc312677997"/>
      <w:bookmarkStart w:id="239" w:name="_Toc318581164"/>
      <w:bookmarkStart w:id="240" w:name="_Toc300934949"/>
      <w:bookmarkStart w:id="241" w:name="_Toc297216155"/>
      <w:bookmarkStart w:id="242" w:name="_Toc303539106"/>
      <w:r>
        <w:rPr>
          <w:rFonts w:hint="eastAsia" w:ascii="仿宋" w:hAnsi="仿宋" w:eastAsia="仿宋" w:cs="仿宋"/>
          <w:color w:val="auto"/>
          <w:sz w:val="24"/>
          <w:szCs w:val="24"/>
          <w:highlight w:val="none"/>
        </w:rPr>
        <w:t>.1.1 特殊质量标准和要求：</w:t>
      </w:r>
      <w:r>
        <w:rPr>
          <w:rFonts w:hint="eastAsia" w:ascii="仿宋" w:hAnsi="仿宋" w:eastAsia="仿宋" w:cs="仿宋"/>
          <w:color w:val="auto"/>
          <w:sz w:val="24"/>
          <w:szCs w:val="24"/>
          <w:highlight w:val="none"/>
          <w:u w:val="single"/>
        </w:rPr>
        <w:t xml:space="preserve"> 一次性验收合格 </w:t>
      </w:r>
      <w:r>
        <w:rPr>
          <w:rFonts w:hint="eastAsia" w:ascii="仿宋" w:hAnsi="仿宋" w:eastAsia="仿宋" w:cs="仿宋"/>
          <w:color w:val="auto"/>
          <w:sz w:val="24"/>
          <w:szCs w:val="24"/>
          <w:highlight w:val="none"/>
        </w:rPr>
        <w:t>。</w:t>
      </w:r>
    </w:p>
    <w:p w14:paraId="5B2D74D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关于工程奖项的约定：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58D59D42">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 隐蔽工程检查</w:t>
      </w:r>
    </w:p>
    <w:p w14:paraId="7FA34EE1">
      <w:pPr>
        <w:spacing w:line="360" w:lineRule="auto"/>
        <w:ind w:firstLine="420"/>
        <w:rPr>
          <w:rFonts w:hint="eastAsia" w:ascii="仿宋" w:hAnsi="仿宋" w:eastAsia="仿宋" w:cs="仿宋"/>
          <w:color w:val="auto"/>
          <w:sz w:val="24"/>
          <w:szCs w:val="24"/>
          <w:highlight w:val="none"/>
        </w:rPr>
      </w:pPr>
      <w:bookmarkStart w:id="243" w:name="_Toc351203638"/>
      <w:r>
        <w:rPr>
          <w:rFonts w:hint="eastAsia" w:ascii="仿宋" w:hAnsi="仿宋" w:eastAsia="仿宋" w:cs="仿宋"/>
          <w:color w:val="auto"/>
          <w:sz w:val="24"/>
          <w:szCs w:val="24"/>
          <w:highlight w:val="none"/>
        </w:rPr>
        <w:t>5.2.1 承包人提前通知监理人隐蔽工程检查的期限的约定：</w:t>
      </w:r>
      <w:r>
        <w:rPr>
          <w:rFonts w:hint="eastAsia" w:ascii="仿宋" w:hAnsi="仿宋" w:eastAsia="仿宋" w:cs="仿宋"/>
          <w:color w:val="auto"/>
          <w:sz w:val="24"/>
          <w:szCs w:val="24"/>
          <w:highlight w:val="none"/>
          <w:u w:val="single"/>
        </w:rPr>
        <w:t>按质监部门的有关要求及通用条款规定执行</w:t>
      </w:r>
      <w:r>
        <w:rPr>
          <w:rFonts w:hint="eastAsia" w:ascii="仿宋" w:hAnsi="仿宋" w:eastAsia="仿宋" w:cs="仿宋"/>
          <w:color w:val="auto"/>
          <w:sz w:val="24"/>
          <w:szCs w:val="24"/>
          <w:highlight w:val="none"/>
        </w:rPr>
        <w:t>。</w:t>
      </w:r>
    </w:p>
    <w:p w14:paraId="256B106D">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监理人不能按时进行检查时，应提前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小时提交书面延期要求。</w:t>
      </w:r>
    </w:p>
    <w:p w14:paraId="266D2AB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小时。</w:t>
      </w:r>
    </w:p>
    <w:p w14:paraId="162BD090">
      <w:pPr>
        <w:keepNext/>
        <w:keepLines/>
        <w:spacing w:before="164" w:after="164" w:line="360" w:lineRule="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 安全文明施工与环境保护</w:t>
      </w:r>
      <w:bookmarkEnd w:id="243"/>
    </w:p>
    <w:p w14:paraId="6790C77D">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 安全文明施工</w:t>
      </w:r>
    </w:p>
    <w:p w14:paraId="1D7749CD">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6.1.1 项目安全生产的达标目标及相应事项的约定：</w:t>
      </w:r>
      <w:r>
        <w:rPr>
          <w:rFonts w:hint="eastAsia" w:ascii="仿宋" w:hAnsi="仿宋" w:eastAsia="仿宋" w:cs="仿宋"/>
          <w:color w:val="auto"/>
          <w:sz w:val="24"/>
          <w:szCs w:val="24"/>
          <w:highlight w:val="none"/>
          <w:u w:val="single"/>
        </w:rPr>
        <w:t>承包人应遵守工程建设安全生产有关管理规定以及发包人相关安全生产规定，严格按安全标准组织施工，并随时接受行业安全检查人员依法实施的监督检查，采取必要的安全防护措施，消除事故隐患。其安全施工防护费用已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仿宋" w:hAnsi="仿宋" w:eastAsia="仿宋" w:cs="仿宋"/>
          <w:color w:val="auto"/>
          <w:sz w:val="24"/>
          <w:szCs w:val="24"/>
          <w:highlight w:val="none"/>
        </w:rPr>
        <w:t>。</w:t>
      </w:r>
    </w:p>
    <w:p w14:paraId="7F7E9469">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6.1.2 关于治安保卫的特别约定：</w:t>
      </w:r>
      <w:r>
        <w:rPr>
          <w:rFonts w:hint="eastAsia" w:ascii="仿宋" w:hAnsi="仿宋" w:eastAsia="仿宋" w:cs="仿宋"/>
          <w:color w:val="auto"/>
          <w:sz w:val="24"/>
          <w:szCs w:val="24"/>
          <w:highlight w:val="none"/>
          <w:u w:val="single"/>
        </w:rPr>
        <w:t>承包人应保证在整个合同履行过程中不发生民事或刑事案件，并承担施工安全保卫工作及非夜间施工照明的责任和要求：在实施和完成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仿宋" w:hAnsi="仿宋" w:eastAsia="仿宋" w:cs="仿宋"/>
          <w:color w:val="auto"/>
          <w:sz w:val="24"/>
          <w:szCs w:val="24"/>
          <w:highlight w:val="none"/>
        </w:rPr>
        <w:t>。</w:t>
      </w:r>
    </w:p>
    <w:p w14:paraId="5114061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关于编制施工场地治安管理计划的约定：</w:t>
      </w:r>
      <w:r>
        <w:rPr>
          <w:rFonts w:hint="eastAsia" w:ascii="仿宋" w:hAnsi="仿宋" w:eastAsia="仿宋" w:cs="仿宋"/>
          <w:color w:val="auto"/>
          <w:sz w:val="24"/>
          <w:szCs w:val="24"/>
          <w:highlight w:val="none"/>
          <w:u w:val="single"/>
        </w:rPr>
        <w:t>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仿宋" w:hAnsi="仿宋" w:eastAsia="仿宋" w:cs="仿宋"/>
          <w:color w:val="auto"/>
          <w:sz w:val="24"/>
          <w:szCs w:val="24"/>
          <w:highlight w:val="none"/>
        </w:rPr>
        <w:t>。</w:t>
      </w:r>
    </w:p>
    <w:p w14:paraId="1FFC3833">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6.1.3 文明施工</w:t>
      </w:r>
    </w:p>
    <w:p w14:paraId="6E6A97A0">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合同当事人对文明施工的要求：</w:t>
      </w:r>
      <w:r>
        <w:rPr>
          <w:rFonts w:hint="eastAsia" w:ascii="仿宋" w:hAnsi="仿宋" w:eastAsia="仿宋" w:cs="仿宋"/>
          <w:color w:val="auto"/>
          <w:sz w:val="24"/>
          <w:szCs w:val="24"/>
          <w:highlight w:val="none"/>
          <w:u w:val="single"/>
        </w:rPr>
        <w:t>按照《徐州市市区扬尘污染防治办法》的要求，开工前15日内向项目所在地环境保护行政主管部门进行排污申报；施工工地一律实行封闭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p>
    <w:p w14:paraId="214E15B4">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承包人应负责修建、维修、养护和管理施工所需的临时道路和交通设施，并承担相应 费用；承包人修建的临时道路和交通设施应免费提供给发包人、监理人和其他承包人使用。</w:t>
      </w:r>
    </w:p>
    <w:p w14:paraId="40DE53A7">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为保证道路交通安全及运输畅通,当施工期间，承包人必须与交通和公安部门协商，采取足够的交通疏导措施；承包人制定运输计划时，应避开现有道路上在高峰时的运输。</w:t>
      </w:r>
      <w:r>
        <w:rPr>
          <w:rFonts w:hint="eastAsia" w:ascii="仿宋" w:hAnsi="仿宋" w:eastAsia="仿宋" w:cs="仿宋"/>
          <w:color w:val="auto"/>
          <w:sz w:val="24"/>
          <w:szCs w:val="24"/>
          <w:highlight w:val="none"/>
          <w:u w:val="single"/>
          <w:lang w:eastAsia="zh-CN"/>
        </w:rPr>
        <w:t>供应商</w:t>
      </w:r>
      <w:r>
        <w:rPr>
          <w:rFonts w:hint="eastAsia" w:ascii="仿宋" w:hAnsi="仿宋" w:eastAsia="仿宋" w:cs="仿宋"/>
          <w:color w:val="auto"/>
          <w:sz w:val="24"/>
          <w:szCs w:val="24"/>
          <w:highlight w:val="none"/>
          <w:u w:val="single"/>
        </w:rPr>
        <w:t>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p>
    <w:p w14:paraId="6E26465E">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6.1.4 关于安全文明施工费支付比例和支付期限的约定：</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auto"/>
          <w:sz w:val="24"/>
          <w:szCs w:val="24"/>
          <w:highlight w:val="none"/>
        </w:rPr>
        <w:t>。</w:t>
      </w:r>
      <w:bookmarkEnd w:id="236"/>
      <w:bookmarkEnd w:id="237"/>
      <w:bookmarkEnd w:id="238"/>
      <w:bookmarkEnd w:id="239"/>
      <w:bookmarkEnd w:id="240"/>
      <w:bookmarkEnd w:id="241"/>
      <w:bookmarkEnd w:id="242"/>
    </w:p>
    <w:p w14:paraId="750E799D">
      <w:pPr>
        <w:keepNext/>
        <w:keepLines/>
        <w:spacing w:before="164" w:after="164" w:line="360" w:lineRule="auto"/>
        <w:outlineLvl w:val="1"/>
        <w:rPr>
          <w:rFonts w:hint="eastAsia" w:ascii="仿宋" w:hAnsi="仿宋" w:eastAsia="仿宋" w:cs="仿宋"/>
          <w:color w:val="auto"/>
          <w:sz w:val="24"/>
          <w:szCs w:val="24"/>
          <w:highlight w:val="none"/>
        </w:rPr>
      </w:pPr>
      <w:bookmarkStart w:id="244" w:name="_Toc351203639"/>
      <w:r>
        <w:rPr>
          <w:rFonts w:hint="eastAsia" w:ascii="仿宋" w:hAnsi="仿宋" w:eastAsia="仿宋" w:cs="仿宋"/>
          <w:color w:val="auto"/>
          <w:sz w:val="24"/>
          <w:szCs w:val="24"/>
          <w:highlight w:val="none"/>
        </w:rPr>
        <w:t>7. 工期和进度</w:t>
      </w:r>
      <w:bookmarkEnd w:id="244"/>
    </w:p>
    <w:p w14:paraId="685B1427">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 施工组织设计</w:t>
      </w:r>
    </w:p>
    <w:p w14:paraId="35156E7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7.1.1 合同当事人约定的施工组织设计应包括的其他内容：</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auto"/>
          <w:sz w:val="24"/>
          <w:szCs w:val="24"/>
          <w:highlight w:val="none"/>
        </w:rPr>
        <w:t>。</w:t>
      </w:r>
    </w:p>
    <w:p w14:paraId="5230A653">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7.1.2 施工组织设计的提交和修改</w:t>
      </w:r>
    </w:p>
    <w:p w14:paraId="3E78FE2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承包人提交详细施工组织设计的期限的约定：</w:t>
      </w:r>
      <w:r>
        <w:rPr>
          <w:rFonts w:hint="eastAsia" w:ascii="仿宋" w:hAnsi="仿宋" w:eastAsia="仿宋" w:cs="仿宋"/>
          <w:color w:val="auto"/>
          <w:sz w:val="24"/>
          <w:szCs w:val="24"/>
          <w:highlight w:val="none"/>
          <w:u w:val="single"/>
        </w:rPr>
        <w:t>承包人收到施工图后，应在七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p>
    <w:p w14:paraId="59B568D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发包人和监理人在收到详细的施工组织设计后确认或提出修改意见的期限：</w:t>
      </w:r>
      <w:r>
        <w:rPr>
          <w:rFonts w:hint="eastAsia" w:ascii="仿宋" w:hAnsi="仿宋" w:eastAsia="仿宋" w:cs="仿宋"/>
          <w:color w:val="auto"/>
          <w:sz w:val="24"/>
          <w:szCs w:val="24"/>
          <w:highlight w:val="none"/>
          <w:u w:val="single"/>
        </w:rPr>
        <w:t>收到需要确认的文件后7日内。工程师对施工组织设计和进度计划的任何确认、调整和修改意见不免除和减轻承包人的工期责任</w:t>
      </w:r>
      <w:r>
        <w:rPr>
          <w:rFonts w:hint="eastAsia" w:ascii="仿宋" w:hAnsi="仿宋" w:eastAsia="仿宋" w:cs="仿宋"/>
          <w:color w:val="auto"/>
          <w:sz w:val="24"/>
          <w:szCs w:val="24"/>
          <w:highlight w:val="none"/>
        </w:rPr>
        <w:t>。</w:t>
      </w:r>
    </w:p>
    <w:p w14:paraId="1BEA8E19">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bookmarkStart w:id="245" w:name="_Toc300934966"/>
      <w:bookmarkStart w:id="246" w:name="_Toc303539123"/>
      <w:bookmarkStart w:id="247" w:name="_Toc312677479"/>
      <w:bookmarkStart w:id="248" w:name="_Toc312678005"/>
      <w:bookmarkStart w:id="249" w:name="_Toc304295541"/>
      <w:bookmarkStart w:id="250" w:name="_Toc297123514"/>
      <w:bookmarkStart w:id="251" w:name="_Toc297216173"/>
      <w:r>
        <w:rPr>
          <w:rFonts w:hint="eastAsia" w:ascii="仿宋" w:hAnsi="仿宋" w:eastAsia="仿宋" w:cs="仿宋"/>
          <w:color w:val="auto"/>
          <w:sz w:val="24"/>
          <w:szCs w:val="24"/>
          <w:highlight w:val="none"/>
        </w:rPr>
        <w:t>.2 施工进度计划</w:t>
      </w:r>
    </w:p>
    <w:p w14:paraId="78FDC4A2">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7.2.1 施工进度计划的修订</w:t>
      </w:r>
    </w:p>
    <w:p w14:paraId="33E06C1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收到后一周内 </w:t>
      </w:r>
      <w:r>
        <w:rPr>
          <w:rFonts w:hint="eastAsia" w:ascii="仿宋" w:hAnsi="仿宋" w:eastAsia="仿宋" w:cs="仿宋"/>
          <w:color w:val="auto"/>
          <w:sz w:val="24"/>
          <w:szCs w:val="24"/>
          <w:highlight w:val="none"/>
        </w:rPr>
        <w:t>。</w:t>
      </w:r>
    </w:p>
    <w:p w14:paraId="33216BE6">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 开工</w:t>
      </w:r>
    </w:p>
    <w:p w14:paraId="3667145D">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7.3.1 开工准备</w:t>
      </w:r>
    </w:p>
    <w:p w14:paraId="0E8EB8CD">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关于承包人提交工程开工报审表的期限：</w:t>
      </w:r>
      <w:r>
        <w:rPr>
          <w:rFonts w:hint="eastAsia" w:ascii="仿宋" w:hAnsi="仿宋" w:eastAsia="仿宋" w:cs="仿宋"/>
          <w:color w:val="auto"/>
          <w:sz w:val="24"/>
          <w:szCs w:val="24"/>
          <w:highlight w:val="none"/>
          <w:u w:val="single"/>
        </w:rPr>
        <w:t xml:space="preserve"> 开工前14日内 </w:t>
      </w:r>
      <w:r>
        <w:rPr>
          <w:rFonts w:hint="eastAsia" w:ascii="仿宋" w:hAnsi="仿宋" w:eastAsia="仿宋" w:cs="仿宋"/>
          <w:color w:val="auto"/>
          <w:sz w:val="24"/>
          <w:szCs w:val="24"/>
          <w:highlight w:val="none"/>
        </w:rPr>
        <w:t>。</w:t>
      </w:r>
    </w:p>
    <w:p w14:paraId="124B6A99">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关于发包人应完成的其他开工准备工作及期限：</w:t>
      </w:r>
      <w:r>
        <w:rPr>
          <w:rFonts w:hint="eastAsia" w:ascii="仿宋" w:hAnsi="仿宋" w:eastAsia="仿宋" w:cs="仿宋"/>
          <w:color w:val="auto"/>
          <w:sz w:val="24"/>
          <w:szCs w:val="24"/>
          <w:highlight w:val="none"/>
          <w:u w:val="single"/>
        </w:rPr>
        <w:t>协商办理</w:t>
      </w:r>
      <w:r>
        <w:rPr>
          <w:rFonts w:hint="eastAsia" w:ascii="仿宋" w:hAnsi="仿宋" w:eastAsia="仿宋" w:cs="仿宋"/>
          <w:color w:val="auto"/>
          <w:sz w:val="24"/>
          <w:szCs w:val="24"/>
          <w:highlight w:val="none"/>
        </w:rPr>
        <w:t>。</w:t>
      </w:r>
    </w:p>
    <w:p w14:paraId="09DA699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关于承包人应完成的其他开工准备工作及期限：</w:t>
      </w:r>
      <w:r>
        <w:rPr>
          <w:rFonts w:hint="eastAsia" w:ascii="仿宋" w:hAnsi="仿宋" w:eastAsia="仿宋" w:cs="仿宋"/>
          <w:color w:val="auto"/>
          <w:sz w:val="24"/>
          <w:szCs w:val="24"/>
          <w:highlight w:val="none"/>
          <w:u w:val="single"/>
        </w:rPr>
        <w:t>协商办理</w:t>
      </w:r>
      <w:r>
        <w:rPr>
          <w:rFonts w:hint="eastAsia" w:ascii="仿宋" w:hAnsi="仿宋" w:eastAsia="仿宋" w:cs="仿宋"/>
          <w:color w:val="auto"/>
          <w:sz w:val="24"/>
          <w:szCs w:val="24"/>
          <w:highlight w:val="none"/>
        </w:rPr>
        <w:t>。</w:t>
      </w:r>
    </w:p>
    <w:p w14:paraId="6315AFDB">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7.3.2 开工通知</w:t>
      </w:r>
    </w:p>
    <w:p w14:paraId="6CC303D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因发包人原因造成监理人未能在计划开工日期之日起</w:t>
      </w:r>
      <w:r>
        <w:rPr>
          <w:rFonts w:hint="eastAsia" w:ascii="仿宋" w:hAnsi="仿宋" w:eastAsia="仿宋" w:cs="仿宋"/>
          <w:color w:val="auto"/>
          <w:sz w:val="24"/>
          <w:szCs w:val="24"/>
          <w:highlight w:val="none"/>
          <w:u w:val="single"/>
        </w:rPr>
        <w:t xml:space="preserve"> 90 </w:t>
      </w:r>
      <w:r>
        <w:rPr>
          <w:rFonts w:hint="eastAsia" w:ascii="仿宋" w:hAnsi="仿宋" w:eastAsia="仿宋" w:cs="仿宋"/>
          <w:color w:val="auto"/>
          <w:sz w:val="24"/>
          <w:szCs w:val="24"/>
          <w:highlight w:val="none"/>
        </w:rPr>
        <w:t>天内发出开工通知的，承包人有权提出价格调整要求，或者解除合同。</w:t>
      </w:r>
      <w:bookmarkEnd w:id="245"/>
      <w:bookmarkEnd w:id="246"/>
      <w:bookmarkEnd w:id="247"/>
      <w:bookmarkEnd w:id="248"/>
      <w:bookmarkEnd w:id="249"/>
      <w:bookmarkEnd w:id="250"/>
      <w:bookmarkEnd w:id="251"/>
    </w:p>
    <w:p w14:paraId="0B77DA51">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 测量放线</w:t>
      </w:r>
    </w:p>
    <w:p w14:paraId="362854A3">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7.4.1 发包人通过监理人向承包人提供测量基准点、基准线和水准点及其书面资料的期限：</w:t>
      </w:r>
      <w:r>
        <w:rPr>
          <w:rFonts w:hint="eastAsia" w:ascii="仿宋" w:hAnsi="仿宋" w:eastAsia="仿宋" w:cs="仿宋"/>
          <w:color w:val="auto"/>
          <w:sz w:val="24"/>
          <w:szCs w:val="24"/>
          <w:highlight w:val="none"/>
          <w:u w:val="single"/>
        </w:rPr>
        <w:t>开工前一周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仿宋" w:hAnsi="仿宋" w:eastAsia="仿宋" w:cs="仿宋"/>
          <w:color w:val="auto"/>
          <w:sz w:val="24"/>
          <w:szCs w:val="24"/>
          <w:highlight w:val="none"/>
        </w:rPr>
        <w:t>。</w:t>
      </w:r>
    </w:p>
    <w:p w14:paraId="4285A01B">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bookmarkStart w:id="252" w:name="_Toc297216175"/>
      <w:bookmarkStart w:id="253" w:name="_Toc304295546"/>
      <w:bookmarkStart w:id="254" w:name="_Toc303539125"/>
      <w:bookmarkStart w:id="255" w:name="_Toc300934968"/>
      <w:bookmarkStart w:id="256" w:name="_Toc312678010"/>
      <w:bookmarkStart w:id="257" w:name="_Toc312677484"/>
      <w:bookmarkStart w:id="258" w:name="_Toc297123516"/>
      <w:r>
        <w:rPr>
          <w:rFonts w:hint="eastAsia" w:ascii="仿宋" w:hAnsi="仿宋" w:eastAsia="仿宋" w:cs="仿宋"/>
          <w:color w:val="auto"/>
          <w:sz w:val="24"/>
          <w:szCs w:val="24"/>
          <w:highlight w:val="none"/>
        </w:rPr>
        <w:t>.5 工期延误</w:t>
      </w:r>
      <w:bookmarkEnd w:id="252"/>
      <w:bookmarkEnd w:id="253"/>
      <w:bookmarkEnd w:id="254"/>
      <w:bookmarkEnd w:id="255"/>
      <w:bookmarkEnd w:id="256"/>
      <w:bookmarkEnd w:id="257"/>
      <w:bookmarkEnd w:id="258"/>
    </w:p>
    <w:p w14:paraId="0E875DCA">
      <w:pPr>
        <w:spacing w:line="360" w:lineRule="auto"/>
        <w:ind w:firstLine="420"/>
        <w:outlineLvl w:val="3"/>
        <w:rPr>
          <w:rFonts w:hint="eastAsia" w:ascii="仿宋" w:hAnsi="仿宋" w:eastAsia="仿宋" w:cs="仿宋"/>
          <w:color w:val="auto"/>
          <w:sz w:val="24"/>
          <w:szCs w:val="24"/>
          <w:highlight w:val="none"/>
        </w:rPr>
      </w:pPr>
      <w:bookmarkStart w:id="259" w:name="_Toc312678014"/>
      <w:bookmarkStart w:id="260" w:name="_Toc318581171"/>
      <w:r>
        <w:rPr>
          <w:rFonts w:hint="eastAsia" w:ascii="仿宋" w:hAnsi="仿宋" w:eastAsia="仿宋" w:cs="仿宋"/>
          <w:color w:val="auto"/>
          <w:sz w:val="24"/>
          <w:szCs w:val="24"/>
          <w:highlight w:val="none"/>
        </w:rPr>
        <w:t>7.5.1 因发包人原因导致工期延误</w:t>
      </w:r>
    </w:p>
    <w:p w14:paraId="26F9F041">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因发包人原因导致工期延误的其他情形：</w:t>
      </w:r>
      <w:r>
        <w:rPr>
          <w:rFonts w:hint="eastAsia" w:ascii="仿宋" w:hAnsi="仿宋" w:eastAsia="仿宋" w:cs="仿宋"/>
          <w:color w:val="auto"/>
          <w:sz w:val="24"/>
          <w:szCs w:val="24"/>
          <w:highlight w:val="none"/>
          <w:u w:val="single"/>
        </w:rPr>
        <w:t xml:space="preserve">由于发包人原因造成工期延误的，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分包工程的合理工期 </w:t>
      </w:r>
      <w:r>
        <w:rPr>
          <w:rFonts w:hint="eastAsia" w:ascii="仿宋" w:hAnsi="仿宋" w:eastAsia="仿宋" w:cs="仿宋"/>
          <w:color w:val="auto"/>
          <w:sz w:val="24"/>
          <w:szCs w:val="24"/>
          <w:highlight w:val="none"/>
        </w:rPr>
        <w:t>。</w:t>
      </w:r>
    </w:p>
    <w:p w14:paraId="5E20A439">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bookmarkStart w:id="261" w:name="_Toc318581169"/>
      <w:bookmarkStart w:id="262" w:name="_Toc312677486"/>
      <w:bookmarkStart w:id="263" w:name="_Toc312678012"/>
      <w:bookmarkStart w:id="264" w:name="_Toc303539127"/>
      <w:bookmarkStart w:id="265" w:name="_Toc300934970"/>
      <w:bookmarkStart w:id="266" w:name="_Toc297216177"/>
      <w:bookmarkStart w:id="267" w:name="_Toc297123518"/>
      <w:bookmarkStart w:id="268" w:name="_Toc304295548"/>
      <w:r>
        <w:rPr>
          <w:rFonts w:hint="eastAsia" w:ascii="仿宋" w:hAnsi="仿宋" w:eastAsia="仿宋" w:cs="仿宋"/>
          <w:color w:val="auto"/>
          <w:sz w:val="24"/>
          <w:szCs w:val="24"/>
          <w:highlight w:val="none"/>
        </w:rPr>
        <w:t>.5.2 因承包人原因导致工期延误</w:t>
      </w:r>
      <w:bookmarkEnd w:id="261"/>
      <w:bookmarkEnd w:id="262"/>
      <w:bookmarkEnd w:id="263"/>
    </w:p>
    <w:p w14:paraId="2DF00DE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w:t>
      </w:r>
      <w:bookmarkStart w:id="269" w:name="_Toc312678013"/>
      <w:bookmarkStart w:id="270" w:name="_Toc318581170"/>
      <w:bookmarkStart w:id="271" w:name="_Toc312677487"/>
      <w:r>
        <w:rPr>
          <w:rFonts w:hint="eastAsia" w:ascii="仿宋" w:hAnsi="仿宋" w:eastAsia="仿宋" w:cs="仿宋"/>
          <w:color w:val="auto"/>
          <w:sz w:val="24"/>
          <w:szCs w:val="24"/>
          <w:highlight w:val="none"/>
        </w:rPr>
        <w:t>承包人原因造成工期延误，逾期竣工违约金的计算方法为：</w:t>
      </w:r>
      <w:r>
        <w:rPr>
          <w:rFonts w:hint="eastAsia" w:ascii="仿宋" w:hAnsi="仿宋" w:eastAsia="仿宋" w:cs="仿宋"/>
          <w:color w:val="auto"/>
          <w:sz w:val="24"/>
          <w:szCs w:val="24"/>
          <w:highlight w:val="none"/>
          <w:u w:val="single"/>
        </w:rPr>
        <w:t xml:space="preserve">如承包人不能按合同约定工期完成合同工作内容而造成工期延误，应承担违约责任，并向发包人支付违约金，即按照合同工期每延误一天以合同总价的3‰计算违约金，累计延误工期天数不得超过30天；超过30天部分，承包人承诺每延误一天以合同总价的1%计算违约金；该违约金发包人从应向承包人支付的任何款项中扣除，此违约金的支付并不能解除承包人完成该工程的责任和合同规定的其他责任  </w:t>
      </w:r>
      <w:r>
        <w:rPr>
          <w:rFonts w:hint="eastAsia" w:ascii="仿宋" w:hAnsi="仿宋" w:eastAsia="仿宋" w:cs="仿宋"/>
          <w:color w:val="auto"/>
          <w:sz w:val="24"/>
          <w:szCs w:val="24"/>
          <w:highlight w:val="none"/>
        </w:rPr>
        <w:t>。</w:t>
      </w:r>
      <w:bookmarkEnd w:id="264"/>
      <w:bookmarkEnd w:id="265"/>
      <w:bookmarkEnd w:id="266"/>
      <w:bookmarkEnd w:id="267"/>
      <w:bookmarkEnd w:id="268"/>
      <w:bookmarkEnd w:id="269"/>
      <w:bookmarkEnd w:id="270"/>
      <w:bookmarkEnd w:id="271"/>
    </w:p>
    <w:p w14:paraId="73DBD42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因承包人原因造成工期延误，逾期竣工违约金的上限：</w:t>
      </w:r>
      <w:r>
        <w:rPr>
          <w:rFonts w:hint="eastAsia" w:ascii="仿宋" w:hAnsi="仿宋" w:eastAsia="仿宋" w:cs="仿宋"/>
          <w:color w:val="auto"/>
          <w:sz w:val="24"/>
          <w:szCs w:val="24"/>
          <w:highlight w:val="none"/>
          <w:u w:val="single"/>
        </w:rPr>
        <w:t xml:space="preserve">合同总价的 5 % </w:t>
      </w:r>
      <w:r>
        <w:rPr>
          <w:rFonts w:hint="eastAsia" w:ascii="仿宋" w:hAnsi="仿宋" w:eastAsia="仿宋" w:cs="仿宋"/>
          <w:color w:val="auto"/>
          <w:sz w:val="24"/>
          <w:szCs w:val="24"/>
          <w:highlight w:val="none"/>
        </w:rPr>
        <w:t>。</w:t>
      </w:r>
      <w:bookmarkEnd w:id="259"/>
      <w:bookmarkEnd w:id="260"/>
    </w:p>
    <w:p w14:paraId="51CF6EE3">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bookmarkStart w:id="272" w:name="_Toc312678015"/>
      <w:bookmarkStart w:id="273" w:name="_Toc303539128"/>
      <w:bookmarkStart w:id="274" w:name="_Toc297216178"/>
      <w:bookmarkStart w:id="275" w:name="_Toc297123519"/>
      <w:bookmarkStart w:id="276" w:name="_Toc300934971"/>
      <w:bookmarkStart w:id="277" w:name="_Toc304295549"/>
      <w:r>
        <w:rPr>
          <w:rFonts w:hint="eastAsia" w:ascii="仿宋" w:hAnsi="仿宋" w:eastAsia="仿宋" w:cs="仿宋"/>
          <w:color w:val="auto"/>
          <w:sz w:val="24"/>
          <w:szCs w:val="24"/>
          <w:highlight w:val="none"/>
        </w:rPr>
        <w:t>.6 不</w:t>
      </w:r>
      <w:bookmarkEnd w:id="272"/>
      <w:bookmarkEnd w:id="273"/>
      <w:bookmarkEnd w:id="274"/>
      <w:bookmarkEnd w:id="275"/>
      <w:bookmarkEnd w:id="276"/>
      <w:bookmarkEnd w:id="277"/>
      <w:r>
        <w:rPr>
          <w:rFonts w:hint="eastAsia" w:ascii="仿宋" w:hAnsi="仿宋" w:eastAsia="仿宋" w:cs="仿宋"/>
          <w:color w:val="auto"/>
          <w:sz w:val="24"/>
          <w:szCs w:val="24"/>
          <w:highlight w:val="none"/>
        </w:rPr>
        <w:t>利物质条件</w:t>
      </w:r>
    </w:p>
    <w:p w14:paraId="5AB8FA23">
      <w:pPr>
        <w:spacing w:line="360" w:lineRule="auto"/>
        <w:ind w:firstLine="420"/>
        <w:rPr>
          <w:rFonts w:hint="eastAsia" w:ascii="仿宋" w:hAnsi="仿宋" w:eastAsia="仿宋" w:cs="仿宋"/>
          <w:color w:val="auto"/>
          <w:sz w:val="24"/>
          <w:szCs w:val="24"/>
          <w:highlight w:val="none"/>
        </w:rPr>
      </w:pPr>
      <w:bookmarkStart w:id="278" w:name="_Toc297123520"/>
      <w:bookmarkStart w:id="279" w:name="_Toc312678016"/>
      <w:bookmarkStart w:id="280" w:name="_Toc300934972"/>
      <w:bookmarkStart w:id="281" w:name="_Toc318581172"/>
      <w:bookmarkStart w:id="282" w:name="_Toc303539129"/>
      <w:bookmarkStart w:id="283" w:name="_Toc297216179"/>
      <w:bookmarkStart w:id="284" w:name="_Toc304295550"/>
      <w:r>
        <w:rPr>
          <w:rFonts w:hint="eastAsia" w:ascii="仿宋" w:hAnsi="仿宋" w:eastAsia="仿宋" w:cs="仿宋"/>
          <w:color w:val="auto"/>
          <w:sz w:val="24"/>
          <w:szCs w:val="24"/>
          <w:highlight w:val="none"/>
        </w:rPr>
        <w:t>不利物质条件的其他情形和有关约定：</w:t>
      </w:r>
      <w:r>
        <w:rPr>
          <w:rFonts w:hint="eastAsia" w:ascii="仿宋" w:hAnsi="仿宋" w:eastAsia="仿宋" w:cs="仿宋"/>
          <w:color w:val="auto"/>
          <w:sz w:val="24"/>
          <w:szCs w:val="24"/>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如遇国家和政府要求短期（临时）停工的，双方商量处理 </w:t>
      </w:r>
      <w:r>
        <w:rPr>
          <w:rFonts w:hint="eastAsia" w:ascii="仿宋" w:hAnsi="仿宋" w:eastAsia="仿宋" w:cs="仿宋"/>
          <w:color w:val="auto"/>
          <w:sz w:val="24"/>
          <w:szCs w:val="24"/>
          <w:highlight w:val="none"/>
        </w:rPr>
        <w:t>。</w:t>
      </w:r>
      <w:bookmarkEnd w:id="278"/>
      <w:bookmarkEnd w:id="279"/>
      <w:bookmarkEnd w:id="280"/>
      <w:bookmarkEnd w:id="281"/>
      <w:bookmarkEnd w:id="282"/>
      <w:bookmarkEnd w:id="283"/>
      <w:bookmarkEnd w:id="284"/>
    </w:p>
    <w:p w14:paraId="10658A55">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bookmarkStart w:id="285" w:name="_Toc312678017"/>
      <w:bookmarkStart w:id="286" w:name="_Toc297216180"/>
      <w:bookmarkStart w:id="287" w:name="_Toc297123521"/>
      <w:bookmarkStart w:id="288" w:name="_Toc303539130"/>
      <w:bookmarkStart w:id="289" w:name="_Toc304295551"/>
      <w:bookmarkStart w:id="290" w:name="_Toc300934973"/>
      <w:r>
        <w:rPr>
          <w:rFonts w:hint="eastAsia" w:ascii="仿宋" w:hAnsi="仿宋" w:eastAsia="仿宋" w:cs="仿宋"/>
          <w:color w:val="auto"/>
          <w:sz w:val="24"/>
          <w:szCs w:val="24"/>
          <w:highlight w:val="none"/>
        </w:rPr>
        <w:t>.7 异常恶劣的气候条件</w:t>
      </w:r>
      <w:bookmarkEnd w:id="285"/>
      <w:bookmarkEnd w:id="286"/>
      <w:bookmarkEnd w:id="287"/>
      <w:bookmarkEnd w:id="288"/>
      <w:bookmarkEnd w:id="289"/>
      <w:bookmarkEnd w:id="290"/>
    </w:p>
    <w:p w14:paraId="05C628A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发包人和承包人同意以下情形视为异常恶劣的气候条件：</w:t>
      </w:r>
    </w:p>
    <w:p w14:paraId="34235C0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0F6F2EF">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9145E6D">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F1486E7">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7.8 提前竣工的奖励</w:t>
      </w:r>
    </w:p>
    <w:p w14:paraId="39FE260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7.8.1 提前竣工的奖励：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A9CCFD5">
      <w:pPr>
        <w:keepNext/>
        <w:keepLines/>
        <w:spacing w:before="164" w:after="164" w:line="360" w:lineRule="auto"/>
        <w:outlineLvl w:val="1"/>
        <w:rPr>
          <w:rFonts w:hint="eastAsia" w:ascii="仿宋" w:hAnsi="仿宋" w:eastAsia="仿宋" w:cs="仿宋"/>
          <w:color w:val="auto"/>
          <w:sz w:val="24"/>
          <w:szCs w:val="24"/>
          <w:highlight w:val="none"/>
        </w:rPr>
      </w:pPr>
      <w:bookmarkStart w:id="291" w:name="_Toc351203640"/>
      <w:r>
        <w:rPr>
          <w:rFonts w:hint="eastAsia" w:ascii="仿宋" w:hAnsi="仿宋" w:eastAsia="仿宋" w:cs="仿宋"/>
          <w:color w:val="auto"/>
          <w:sz w:val="24"/>
          <w:szCs w:val="24"/>
          <w:highlight w:val="none"/>
        </w:rPr>
        <w:t>8. 材料与设备</w:t>
      </w:r>
      <w:bookmarkEnd w:id="226"/>
      <w:bookmarkEnd w:id="227"/>
      <w:bookmarkEnd w:id="228"/>
      <w:bookmarkEnd w:id="229"/>
      <w:bookmarkEnd w:id="230"/>
      <w:bookmarkEnd w:id="231"/>
      <w:bookmarkEnd w:id="232"/>
      <w:bookmarkEnd w:id="233"/>
      <w:bookmarkEnd w:id="234"/>
      <w:bookmarkEnd w:id="235"/>
      <w:bookmarkEnd w:id="291"/>
    </w:p>
    <w:p w14:paraId="31EE97F2">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bookmarkStart w:id="292" w:name="_Toc296503167"/>
      <w:bookmarkStart w:id="293" w:name="_Toc292559877"/>
      <w:bookmarkStart w:id="294" w:name="_Toc296944506"/>
      <w:bookmarkStart w:id="295" w:name="_Toc297120467"/>
      <w:bookmarkStart w:id="296" w:name="_Toc280868654"/>
      <w:bookmarkStart w:id="297" w:name="_Toc296890995"/>
      <w:bookmarkStart w:id="298" w:name="_Toc297216186"/>
      <w:bookmarkStart w:id="299" w:name="_Toc297048353"/>
      <w:bookmarkStart w:id="300" w:name="_Toc296891207"/>
      <w:bookmarkStart w:id="301" w:name="_Toc312678019"/>
      <w:bookmarkStart w:id="302" w:name="_Toc312677493"/>
      <w:bookmarkStart w:id="303" w:name="_Toc296347166"/>
      <w:bookmarkStart w:id="304" w:name="_Toc296346668"/>
      <w:bookmarkStart w:id="305" w:name="_Toc300934979"/>
      <w:bookmarkStart w:id="306" w:name="_Toc292559372"/>
      <w:bookmarkStart w:id="307" w:name="_Toc297123527"/>
      <w:bookmarkStart w:id="308" w:name="_Toc304295556"/>
      <w:bookmarkStart w:id="309" w:name="_Toc303539136"/>
      <w:bookmarkStart w:id="310" w:name="_Toc280868655"/>
      <w:bookmarkStart w:id="311" w:name="_Toc267251424"/>
      <w:bookmarkStart w:id="312" w:name="_Toc280868656"/>
      <w:r>
        <w:rPr>
          <w:rFonts w:hint="eastAsia" w:ascii="仿宋" w:hAnsi="仿宋" w:eastAsia="仿宋" w:cs="仿宋"/>
          <w:color w:val="auto"/>
          <w:sz w:val="24"/>
          <w:szCs w:val="24"/>
          <w:highlight w:val="none"/>
        </w:rPr>
        <w:t>.4 材料与工程设备的保管与使用</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15CEA198">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bookmarkStart w:id="313" w:name="_Toc292559373"/>
      <w:bookmarkStart w:id="314" w:name="_Toc292559878"/>
      <w:bookmarkStart w:id="315" w:name="_Toc300934980"/>
      <w:bookmarkStart w:id="316" w:name="_Toc296891208"/>
      <w:bookmarkStart w:id="317" w:name="_Toc297216187"/>
      <w:bookmarkStart w:id="318" w:name="_Toc296890996"/>
      <w:bookmarkStart w:id="319" w:name="_Toc297123528"/>
      <w:bookmarkStart w:id="320" w:name="_Toc296347167"/>
      <w:bookmarkStart w:id="321" w:name="_Toc296346669"/>
      <w:bookmarkStart w:id="322" w:name="_Toc318581173"/>
      <w:bookmarkStart w:id="323" w:name="_Toc303539137"/>
      <w:bookmarkStart w:id="324" w:name="_Toc296503168"/>
      <w:bookmarkStart w:id="325" w:name="_Toc304295557"/>
      <w:bookmarkStart w:id="326" w:name="_Toc312677494"/>
      <w:bookmarkStart w:id="327" w:name="_Toc312678020"/>
      <w:bookmarkStart w:id="328" w:name="_Toc296944507"/>
      <w:bookmarkStart w:id="329" w:name="_Toc297048354"/>
      <w:bookmarkStart w:id="330" w:name="_Toc297120468"/>
      <w:r>
        <w:rPr>
          <w:rFonts w:hint="eastAsia" w:ascii="仿宋" w:hAnsi="仿宋" w:eastAsia="仿宋" w:cs="仿宋"/>
          <w:color w:val="auto"/>
          <w:sz w:val="24"/>
          <w:szCs w:val="24"/>
          <w:highlight w:val="none"/>
        </w:rPr>
        <w:t>.4.1 发包人供应的材料设备的保管费用的承担：</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bookmarkEnd w:id="313"/>
      <w:bookmarkEnd w:id="314"/>
    </w:p>
    <w:p w14:paraId="5E09C254">
      <w:pPr>
        <w:spacing w:line="360" w:lineRule="auto"/>
        <w:ind w:firstLine="42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8.4.2 本工程检测费用的承担：</w:t>
      </w:r>
      <w:r>
        <w:rPr>
          <w:rFonts w:hint="eastAsia" w:ascii="仿宋" w:hAnsi="仿宋" w:eastAsia="仿宋" w:cs="仿宋"/>
          <w:b/>
          <w:color w:val="auto"/>
          <w:sz w:val="24"/>
          <w:szCs w:val="24"/>
          <w:highlight w:val="none"/>
          <w:u w:val="single"/>
        </w:rPr>
        <w:t>承包人承担，包含在投标报价中，发包人不在另行支付。</w:t>
      </w:r>
    </w:p>
    <w:p w14:paraId="0DC2B0C0">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8.5 样品</w:t>
      </w:r>
    </w:p>
    <w:p w14:paraId="789D8233">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8.5.1 样品的报送与封存</w:t>
      </w:r>
    </w:p>
    <w:p w14:paraId="2B4A544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需要承包人报送样品的材料或工程设备，样品的种类、名称、规格、数量要求：</w:t>
      </w:r>
      <w:r>
        <w:rPr>
          <w:rFonts w:hint="eastAsia" w:ascii="仿宋" w:hAnsi="仿宋" w:eastAsia="仿宋" w:cs="仿宋"/>
          <w:color w:val="auto"/>
          <w:sz w:val="24"/>
          <w:szCs w:val="24"/>
          <w:highlight w:val="none"/>
          <w:u w:val="single"/>
        </w:rPr>
        <w:t>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rPr>
          <w:rFonts w:hint="eastAsia" w:ascii="仿宋" w:hAnsi="仿宋" w:eastAsia="仿宋" w:cs="仿宋"/>
          <w:color w:val="auto"/>
          <w:sz w:val="24"/>
          <w:szCs w:val="24"/>
          <w:highlight w:val="none"/>
        </w:rPr>
        <w:t>。</w:t>
      </w:r>
    </w:p>
    <w:p w14:paraId="375C4711">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 施工设备和临时设施</w:t>
      </w:r>
    </w:p>
    <w:p w14:paraId="350D24BD">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8.6.1 承包人提供的施工设备和临时设施</w:t>
      </w:r>
    </w:p>
    <w:p w14:paraId="0C619FEC">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关于修建临时设施费用承担的约定：</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14:paraId="78EC3B96">
      <w:pPr>
        <w:keepNext/>
        <w:keepLines/>
        <w:spacing w:before="164" w:after="164" w:line="360" w:lineRule="auto"/>
        <w:outlineLvl w:val="1"/>
        <w:rPr>
          <w:rFonts w:hint="eastAsia" w:ascii="仿宋" w:hAnsi="仿宋" w:eastAsia="仿宋" w:cs="仿宋"/>
          <w:color w:val="auto"/>
          <w:sz w:val="24"/>
          <w:szCs w:val="24"/>
          <w:highlight w:val="none"/>
        </w:rPr>
      </w:pPr>
      <w:bookmarkStart w:id="331" w:name="_Toc351203641"/>
      <w:r>
        <w:rPr>
          <w:rFonts w:hint="eastAsia" w:ascii="仿宋" w:hAnsi="仿宋" w:eastAsia="仿宋" w:cs="仿宋"/>
          <w:color w:val="auto"/>
          <w:sz w:val="24"/>
          <w:szCs w:val="24"/>
          <w:highlight w:val="none"/>
        </w:rPr>
        <w:t>9</w:t>
      </w:r>
      <w:bookmarkEnd w:id="310"/>
      <w:bookmarkEnd w:id="311"/>
      <w:bookmarkEnd w:id="312"/>
      <w:bookmarkStart w:id="332" w:name="_Toc304295559"/>
      <w:bookmarkStart w:id="333" w:name="_Toc300934982"/>
      <w:bookmarkStart w:id="334" w:name="_Toc297123533"/>
      <w:bookmarkStart w:id="335" w:name="_Toc312678021"/>
      <w:bookmarkStart w:id="336" w:name="_Toc297216192"/>
      <w:bookmarkStart w:id="337" w:name="_Toc303539139"/>
      <w:bookmarkStart w:id="338" w:name="_Toc312677495"/>
      <w:bookmarkStart w:id="339" w:name="_Toc296891213"/>
      <w:bookmarkStart w:id="340" w:name="_Toc296944512"/>
      <w:bookmarkStart w:id="341" w:name="_Toc292559378"/>
      <w:bookmarkStart w:id="342" w:name="_Toc297120473"/>
      <w:bookmarkStart w:id="343" w:name="_Toc296891001"/>
      <w:bookmarkStart w:id="344" w:name="_Toc296346674"/>
      <w:bookmarkStart w:id="345" w:name="_Toc267251427"/>
      <w:bookmarkStart w:id="346" w:name="_Toc296503173"/>
      <w:bookmarkStart w:id="347" w:name="_Toc296347172"/>
      <w:bookmarkStart w:id="348" w:name="_Toc292559883"/>
      <w:bookmarkStart w:id="349" w:name="_Toc267251428"/>
      <w:bookmarkStart w:id="350" w:name="_Toc297048359"/>
      <w:r>
        <w:rPr>
          <w:rFonts w:hint="eastAsia" w:ascii="仿宋" w:hAnsi="仿宋" w:eastAsia="仿宋" w:cs="仿宋"/>
          <w:color w:val="auto"/>
          <w:sz w:val="24"/>
          <w:szCs w:val="24"/>
          <w:highlight w:val="none"/>
        </w:rPr>
        <w:t>. 试验与检验</w:t>
      </w:r>
      <w:bookmarkEnd w:id="331"/>
      <w:bookmarkEnd w:id="332"/>
      <w:bookmarkEnd w:id="333"/>
      <w:bookmarkEnd w:id="334"/>
      <w:bookmarkEnd w:id="335"/>
      <w:bookmarkEnd w:id="336"/>
      <w:bookmarkEnd w:id="337"/>
      <w:bookmarkEnd w:id="338"/>
    </w:p>
    <w:p w14:paraId="09E945BF">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bookmarkStart w:id="351" w:name="_Toc312677496"/>
      <w:bookmarkStart w:id="352" w:name="_Toc312678022"/>
      <w:bookmarkStart w:id="353" w:name="_Toc300934983"/>
      <w:bookmarkStart w:id="354" w:name="_Toc304295560"/>
      <w:bookmarkStart w:id="355" w:name="_Toc297216193"/>
      <w:bookmarkStart w:id="356" w:name="_Toc297123534"/>
      <w:bookmarkStart w:id="357" w:name="_Toc303539140"/>
      <w:r>
        <w:rPr>
          <w:rFonts w:hint="eastAsia" w:ascii="仿宋" w:hAnsi="仿宋" w:eastAsia="仿宋" w:cs="仿宋"/>
          <w:color w:val="auto"/>
          <w:sz w:val="24"/>
          <w:szCs w:val="24"/>
          <w:highlight w:val="none"/>
        </w:rPr>
        <w:t>.1 试验设备与试验人员</w:t>
      </w:r>
      <w:bookmarkEnd w:id="351"/>
      <w:bookmarkEnd w:id="352"/>
      <w:bookmarkEnd w:id="353"/>
      <w:bookmarkEnd w:id="354"/>
      <w:bookmarkEnd w:id="355"/>
      <w:bookmarkEnd w:id="356"/>
      <w:bookmarkEnd w:id="357"/>
    </w:p>
    <w:p w14:paraId="46B8AF81">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bookmarkStart w:id="358" w:name="_Toc297123535"/>
      <w:bookmarkStart w:id="359" w:name="_Toc303539141"/>
      <w:bookmarkStart w:id="360" w:name="_Toc304295561"/>
      <w:bookmarkStart w:id="361" w:name="_Toc312677497"/>
      <w:bookmarkStart w:id="362" w:name="_Toc300934984"/>
      <w:bookmarkStart w:id="363" w:name="_Toc297216194"/>
      <w:bookmarkStart w:id="364" w:name="_Toc312678023"/>
      <w:bookmarkStart w:id="365" w:name="_Toc318581174"/>
      <w:r>
        <w:rPr>
          <w:rFonts w:hint="eastAsia" w:ascii="仿宋" w:hAnsi="仿宋" w:eastAsia="仿宋" w:cs="仿宋"/>
          <w:color w:val="auto"/>
          <w:sz w:val="24"/>
          <w:szCs w:val="24"/>
          <w:highlight w:val="none"/>
        </w:rPr>
        <w:t>.1.1 试验设备</w:t>
      </w:r>
      <w:bookmarkEnd w:id="358"/>
      <w:bookmarkEnd w:id="359"/>
      <w:bookmarkEnd w:id="360"/>
      <w:bookmarkEnd w:id="361"/>
      <w:bookmarkEnd w:id="362"/>
      <w:bookmarkEnd w:id="363"/>
      <w:bookmarkEnd w:id="364"/>
    </w:p>
    <w:p w14:paraId="74E9DC68">
      <w:pPr>
        <w:spacing w:line="360" w:lineRule="auto"/>
        <w:ind w:firstLine="420"/>
        <w:rPr>
          <w:rFonts w:hint="eastAsia" w:ascii="仿宋" w:hAnsi="仿宋" w:eastAsia="仿宋" w:cs="仿宋"/>
          <w:color w:val="auto"/>
          <w:sz w:val="24"/>
          <w:szCs w:val="24"/>
          <w:highlight w:val="none"/>
        </w:rPr>
      </w:pPr>
      <w:bookmarkStart w:id="366" w:name="_Toc304295562"/>
      <w:bookmarkStart w:id="367" w:name="_Toc297216195"/>
      <w:bookmarkStart w:id="368" w:name="_Toc300934985"/>
      <w:bookmarkStart w:id="369" w:name="_Toc303539142"/>
      <w:bookmarkStart w:id="370" w:name="_Toc297123536"/>
      <w:bookmarkStart w:id="371" w:name="_Toc312678024"/>
      <w:bookmarkStart w:id="372" w:name="_Toc312677498"/>
      <w:r>
        <w:rPr>
          <w:rFonts w:hint="eastAsia" w:ascii="仿宋" w:hAnsi="仿宋" w:eastAsia="仿宋" w:cs="仿宋"/>
          <w:color w:val="auto"/>
          <w:sz w:val="24"/>
          <w:szCs w:val="24"/>
          <w:highlight w:val="none"/>
        </w:rPr>
        <w:t>施工现场需要配置的试验场所：</w:t>
      </w:r>
      <w:r>
        <w:rPr>
          <w:rFonts w:hint="eastAsia" w:ascii="仿宋" w:hAnsi="仿宋" w:eastAsia="仿宋" w:cs="仿宋"/>
          <w:color w:val="auto"/>
          <w:sz w:val="24"/>
          <w:szCs w:val="24"/>
          <w:highlight w:val="none"/>
          <w:u w:val="single"/>
        </w:rPr>
        <w:t xml:space="preserve">由承包人根据工程情况自行设置建设  </w:t>
      </w:r>
      <w:r>
        <w:rPr>
          <w:rFonts w:hint="eastAsia" w:ascii="仿宋" w:hAnsi="仿宋" w:eastAsia="仿宋" w:cs="仿宋"/>
          <w:color w:val="auto"/>
          <w:sz w:val="24"/>
          <w:szCs w:val="24"/>
          <w:highlight w:val="none"/>
        </w:rPr>
        <w:t xml:space="preserve">。 </w:t>
      </w:r>
    </w:p>
    <w:p w14:paraId="65D7BEB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施工现场需要配备的试验设备：</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w:t>
      </w:r>
    </w:p>
    <w:p w14:paraId="08416FB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施工现场需要具备的其他试验条件：</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w:t>
      </w:r>
    </w:p>
    <w:p w14:paraId="22064D07">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 现场工艺试验 </w:t>
      </w:r>
    </w:p>
    <w:p w14:paraId="58E10D6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现场工艺试验的有关约定：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bookmarkEnd w:id="365"/>
      <w:bookmarkEnd w:id="366"/>
      <w:bookmarkEnd w:id="367"/>
      <w:bookmarkEnd w:id="368"/>
      <w:bookmarkEnd w:id="369"/>
      <w:bookmarkEnd w:id="370"/>
      <w:bookmarkEnd w:id="371"/>
      <w:bookmarkEnd w:id="372"/>
    </w:p>
    <w:p w14:paraId="1FC78D3F">
      <w:pPr>
        <w:keepNext/>
        <w:keepLines/>
        <w:spacing w:before="164" w:after="164" w:line="360" w:lineRule="auto"/>
        <w:outlineLvl w:val="1"/>
        <w:rPr>
          <w:rFonts w:hint="eastAsia" w:ascii="仿宋" w:hAnsi="仿宋" w:eastAsia="仿宋" w:cs="仿宋"/>
          <w:color w:val="auto"/>
          <w:sz w:val="24"/>
          <w:szCs w:val="24"/>
          <w:highlight w:val="none"/>
        </w:rPr>
      </w:pPr>
      <w:bookmarkStart w:id="373" w:name="_Toc351203642"/>
      <w:r>
        <w:rPr>
          <w:rFonts w:hint="eastAsia" w:ascii="仿宋" w:hAnsi="仿宋" w:eastAsia="仿宋" w:cs="仿宋"/>
          <w:color w:val="auto"/>
          <w:sz w:val="24"/>
          <w:szCs w:val="24"/>
          <w:highlight w:val="none"/>
        </w:rPr>
        <w:t>1</w:t>
      </w:r>
      <w:bookmarkEnd w:id="339"/>
      <w:bookmarkEnd w:id="340"/>
      <w:bookmarkEnd w:id="341"/>
      <w:bookmarkEnd w:id="342"/>
      <w:bookmarkEnd w:id="343"/>
      <w:bookmarkEnd w:id="344"/>
      <w:bookmarkEnd w:id="345"/>
      <w:bookmarkEnd w:id="346"/>
      <w:bookmarkEnd w:id="347"/>
      <w:bookmarkEnd w:id="348"/>
      <w:bookmarkEnd w:id="349"/>
      <w:bookmarkEnd w:id="350"/>
      <w:bookmarkStart w:id="374" w:name="_Toc312678025"/>
      <w:bookmarkStart w:id="375" w:name="_Toc297120493"/>
      <w:bookmarkStart w:id="376" w:name="_Toc296944532"/>
      <w:bookmarkStart w:id="377" w:name="_Toc300934989"/>
      <w:bookmarkStart w:id="378" w:name="_Toc296891233"/>
      <w:bookmarkStart w:id="379" w:name="_Toc297216199"/>
      <w:bookmarkStart w:id="380" w:name="_Toc296347192"/>
      <w:bookmarkStart w:id="381" w:name="_Toc297123540"/>
      <w:bookmarkStart w:id="382" w:name="_Toc296346694"/>
      <w:bookmarkStart w:id="383" w:name="_Toc312677499"/>
      <w:bookmarkStart w:id="384" w:name="_Toc304295566"/>
      <w:bookmarkStart w:id="385" w:name="_Toc296503193"/>
      <w:bookmarkStart w:id="386" w:name="_Toc297048379"/>
      <w:bookmarkStart w:id="387" w:name="_Toc296891021"/>
      <w:bookmarkStart w:id="388" w:name="_Toc292559903"/>
      <w:bookmarkStart w:id="389" w:name="_Toc303539146"/>
      <w:bookmarkStart w:id="390" w:name="_Toc292559398"/>
      <w:bookmarkStart w:id="391" w:name="_Toc267251440"/>
      <w:bookmarkStart w:id="392" w:name="_Toc267251435"/>
      <w:bookmarkStart w:id="393" w:name="_Toc267251441"/>
      <w:bookmarkStart w:id="394" w:name="_Toc267251439"/>
      <w:bookmarkStart w:id="395" w:name="_Toc267251433"/>
      <w:bookmarkStart w:id="396" w:name="_Toc267251437"/>
      <w:bookmarkStart w:id="397" w:name="_Toc267251442"/>
      <w:r>
        <w:rPr>
          <w:rFonts w:hint="eastAsia" w:ascii="仿宋" w:hAnsi="仿宋" w:eastAsia="仿宋" w:cs="仿宋"/>
          <w:color w:val="auto"/>
          <w:sz w:val="24"/>
          <w:szCs w:val="24"/>
          <w:highlight w:val="none"/>
        </w:rPr>
        <w:t>0. 变更</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14:paraId="16B10A90">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Start w:id="398" w:name="_Toc296503194"/>
      <w:bookmarkStart w:id="399" w:name="_Toc297048380"/>
      <w:bookmarkStart w:id="400" w:name="_Toc292559399"/>
      <w:bookmarkStart w:id="401" w:name="_Toc297216200"/>
      <w:bookmarkStart w:id="402" w:name="_Toc304295567"/>
      <w:bookmarkStart w:id="403" w:name="_Toc296944533"/>
      <w:bookmarkStart w:id="404" w:name="_Toc312677500"/>
      <w:bookmarkStart w:id="405" w:name="_Toc296346695"/>
      <w:bookmarkStart w:id="406" w:name="_Toc296891234"/>
      <w:bookmarkStart w:id="407" w:name="_Toc292559904"/>
      <w:bookmarkStart w:id="408" w:name="_Toc297123541"/>
      <w:bookmarkStart w:id="409" w:name="_Toc296347193"/>
      <w:bookmarkStart w:id="410" w:name="_Toc303539147"/>
      <w:bookmarkStart w:id="411" w:name="_Toc296891022"/>
      <w:bookmarkStart w:id="412" w:name="_Toc297120494"/>
      <w:bookmarkStart w:id="413" w:name="_Toc312678026"/>
      <w:bookmarkStart w:id="414" w:name="_Toc300934990"/>
      <w:r>
        <w:rPr>
          <w:rFonts w:hint="eastAsia" w:ascii="仿宋" w:hAnsi="仿宋" w:eastAsia="仿宋" w:cs="仿宋"/>
          <w:color w:val="auto"/>
          <w:sz w:val="24"/>
          <w:szCs w:val="24"/>
          <w:highlight w:val="none"/>
        </w:rPr>
        <w:t>0.1 变更的范围</w:t>
      </w:r>
    </w:p>
    <w:p w14:paraId="1F05206E">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关于变更的范围的约定：</w:t>
      </w:r>
      <w:r>
        <w:rPr>
          <w:rFonts w:hint="eastAsia" w:ascii="仿宋" w:hAnsi="仿宋" w:eastAsia="仿宋" w:cs="仿宋"/>
          <w:color w:val="auto"/>
          <w:sz w:val="24"/>
          <w:szCs w:val="24"/>
          <w:highlight w:val="none"/>
          <w:u w:val="single"/>
        </w:rPr>
        <w:t>工程的设计变更由发包人提前通知监理、承包人，承包人应执行变更，工程变更、签证应先进行费用审批后实施</w:t>
      </w:r>
      <w:r>
        <w:rPr>
          <w:rFonts w:hint="eastAsia" w:ascii="仿宋" w:hAnsi="仿宋" w:eastAsia="仿宋" w:cs="仿宋"/>
          <w:color w:val="auto"/>
          <w:sz w:val="24"/>
          <w:szCs w:val="24"/>
          <w:highlight w:val="none"/>
        </w:rPr>
        <w:t>。</w:t>
      </w:r>
    </w:p>
    <w:p w14:paraId="69C4C747">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10.2 变更估价</w:t>
      </w:r>
    </w:p>
    <w:p w14:paraId="35AA42DA">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10.2.1 变更估价原则</w:t>
      </w:r>
    </w:p>
    <w:p w14:paraId="35002673">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 </w:t>
      </w:r>
      <w:r>
        <w:rPr>
          <w:rFonts w:hint="eastAsia" w:ascii="仿宋" w:hAnsi="仿宋" w:eastAsia="仿宋" w:cs="仿宋"/>
          <w:color w:val="auto"/>
          <w:sz w:val="24"/>
          <w:szCs w:val="24"/>
          <w:highlight w:val="none"/>
          <w:u w:val="single"/>
        </w:rPr>
        <w:t>① 对承包人超出设计图纸（含设计变更）范围和因承包人原因造成返工的工程量，发包人不予计量；</w:t>
      </w:r>
    </w:p>
    <w:p w14:paraId="127A4304">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② 对于发包人要求承包人完成合同以外的零星项目，承包人应在完成任务后7日内就用工数量和单价、机械台班数量和单价、使用材料和金额等向监理和发包人提出书面签证，发包人在收到经监理核准书面签证后7日内进行确认。承包人未在规定时间内提出书面签证，则视为放弃，逾期发包人不予办理；</w:t>
      </w:r>
    </w:p>
    <w:p w14:paraId="15CFE92C">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③ 所有涉及工程造价确定方面的资料（含所有的变更签证资料），必须经过发包人代表的书面确认后，方可作为竣工后价款结算的唯一依据。</w:t>
      </w:r>
    </w:p>
    <w:p w14:paraId="4DAB5E1B">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Start w:id="415" w:name="_Toc292559907"/>
      <w:bookmarkStart w:id="416" w:name="_Toc297048383"/>
      <w:bookmarkStart w:id="417" w:name="_Toc292559402"/>
      <w:bookmarkStart w:id="418" w:name="_Toc303539150"/>
      <w:bookmarkStart w:id="419" w:name="_Toc300934993"/>
      <w:bookmarkStart w:id="420" w:name="_Toc297123544"/>
      <w:bookmarkStart w:id="421" w:name="_Toc296891237"/>
      <w:bookmarkStart w:id="422" w:name="_Toc296346698"/>
      <w:bookmarkStart w:id="423" w:name="_Toc296944536"/>
      <w:bookmarkStart w:id="424" w:name="_Toc297120497"/>
      <w:bookmarkStart w:id="425" w:name="_Toc296891025"/>
      <w:bookmarkStart w:id="426" w:name="_Toc297216203"/>
      <w:bookmarkStart w:id="427" w:name="_Toc296503197"/>
      <w:bookmarkStart w:id="428" w:name="_Toc296347196"/>
      <w:bookmarkStart w:id="429" w:name="_Toc312678029"/>
      <w:bookmarkStart w:id="430" w:name="_Toc312677503"/>
      <w:bookmarkStart w:id="431" w:name="_Toc304295570"/>
      <w:r>
        <w:rPr>
          <w:rFonts w:hint="eastAsia" w:ascii="仿宋" w:hAnsi="仿宋" w:eastAsia="仿宋" w:cs="仿宋"/>
          <w:color w:val="auto"/>
          <w:sz w:val="24"/>
          <w:szCs w:val="24"/>
          <w:highlight w:val="none"/>
        </w:rPr>
        <w:t>0.3 承</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Start w:id="432" w:name="_Toc297216204"/>
      <w:bookmarkStart w:id="433" w:name="_Toc296503203"/>
      <w:bookmarkStart w:id="434" w:name="_Toc300934994"/>
      <w:bookmarkStart w:id="435" w:name="_Toc292559408"/>
      <w:bookmarkStart w:id="436" w:name="_Toc296347202"/>
      <w:bookmarkStart w:id="437" w:name="_Toc296891243"/>
      <w:bookmarkStart w:id="438" w:name="_Toc296891031"/>
      <w:bookmarkStart w:id="439" w:name="_Toc296944542"/>
      <w:bookmarkStart w:id="440" w:name="_Toc296346704"/>
      <w:bookmarkStart w:id="441" w:name="_Toc292559913"/>
      <w:bookmarkStart w:id="442" w:name="_Toc297120503"/>
      <w:bookmarkStart w:id="443" w:name="_Toc297123545"/>
      <w:bookmarkStart w:id="444" w:name="_Toc297048389"/>
      <w:bookmarkStart w:id="445" w:name="_Toc303539151"/>
      <w:r>
        <w:rPr>
          <w:rFonts w:hint="eastAsia" w:ascii="仿宋" w:hAnsi="仿宋" w:eastAsia="仿宋" w:cs="仿宋"/>
          <w:color w:val="auto"/>
          <w:sz w:val="24"/>
          <w:szCs w:val="24"/>
          <w:highlight w:val="none"/>
        </w:rPr>
        <w:t>包人的合理化建议</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14:paraId="3475040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监理人审查承包人合理化建议的期限：</w:t>
      </w:r>
      <w:r>
        <w:rPr>
          <w:rFonts w:hint="eastAsia" w:ascii="仿宋" w:hAnsi="仿宋" w:eastAsia="仿宋" w:cs="仿宋"/>
          <w:color w:val="auto"/>
          <w:sz w:val="24"/>
          <w:szCs w:val="24"/>
          <w:highlight w:val="none"/>
          <w:u w:val="single"/>
        </w:rPr>
        <w:t xml:space="preserve"> 7日内 </w:t>
      </w:r>
      <w:r>
        <w:rPr>
          <w:rFonts w:hint="eastAsia" w:ascii="仿宋" w:hAnsi="仿宋" w:eastAsia="仿宋" w:cs="仿宋"/>
          <w:color w:val="auto"/>
          <w:sz w:val="24"/>
          <w:szCs w:val="24"/>
          <w:highlight w:val="none"/>
        </w:rPr>
        <w:t>。</w:t>
      </w:r>
    </w:p>
    <w:p w14:paraId="551701C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发包人审批承包人合理化建议的期限：</w:t>
      </w:r>
      <w:r>
        <w:rPr>
          <w:rFonts w:hint="eastAsia" w:ascii="仿宋" w:hAnsi="仿宋" w:eastAsia="仿宋" w:cs="仿宋"/>
          <w:color w:val="auto"/>
          <w:sz w:val="24"/>
          <w:szCs w:val="24"/>
          <w:highlight w:val="none"/>
          <w:u w:val="single"/>
        </w:rPr>
        <w:t xml:space="preserve"> 7日内 </w:t>
      </w:r>
      <w:r>
        <w:rPr>
          <w:rFonts w:hint="eastAsia" w:ascii="仿宋" w:hAnsi="仿宋" w:eastAsia="仿宋" w:cs="仿宋"/>
          <w:color w:val="auto"/>
          <w:sz w:val="24"/>
          <w:szCs w:val="24"/>
          <w:highlight w:val="none"/>
        </w:rPr>
        <w:t>。</w:t>
      </w:r>
    </w:p>
    <w:p w14:paraId="72418251">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w:t>
      </w:r>
      <w:bookmarkStart w:id="446" w:name="_Toc296503204"/>
      <w:bookmarkStart w:id="447" w:name="_Toc304295571"/>
      <w:bookmarkStart w:id="448" w:name="_Toc312677504"/>
      <w:bookmarkStart w:id="449" w:name="_Toc296346705"/>
      <w:bookmarkStart w:id="450" w:name="_Toc292559409"/>
      <w:bookmarkStart w:id="451" w:name="_Toc318581175"/>
      <w:bookmarkStart w:id="452" w:name="_Toc297216205"/>
      <w:bookmarkStart w:id="453" w:name="_Toc296891244"/>
      <w:bookmarkStart w:id="454" w:name="_Toc300934995"/>
      <w:bookmarkStart w:id="455" w:name="_Toc297120504"/>
      <w:bookmarkStart w:id="456" w:name="_Toc296944543"/>
      <w:bookmarkStart w:id="457" w:name="_Toc292559914"/>
      <w:bookmarkStart w:id="458" w:name="_Toc296347203"/>
      <w:bookmarkStart w:id="459" w:name="_Toc312678030"/>
      <w:bookmarkStart w:id="460" w:name="_Toc297123546"/>
      <w:bookmarkStart w:id="461" w:name="_Toc296891032"/>
      <w:bookmarkStart w:id="462" w:name="_Toc303539152"/>
      <w:bookmarkStart w:id="463" w:name="_Toc297048390"/>
      <w:r>
        <w:rPr>
          <w:rFonts w:hint="eastAsia" w:ascii="仿宋" w:hAnsi="仿宋" w:eastAsia="仿宋" w:cs="仿宋"/>
          <w:color w:val="auto"/>
          <w:sz w:val="24"/>
          <w:szCs w:val="24"/>
          <w:highlight w:val="none"/>
        </w:rPr>
        <w:t>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24BC17A4">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Start w:id="464" w:name="_Toc297048385"/>
      <w:bookmarkStart w:id="465" w:name="_Toc297120499"/>
      <w:bookmarkStart w:id="466" w:name="_Toc297123548"/>
      <w:bookmarkStart w:id="467" w:name="_Toc292559404"/>
      <w:bookmarkStart w:id="468" w:name="_Toc292559909"/>
      <w:bookmarkStart w:id="469" w:name="_Toc300934997"/>
      <w:bookmarkStart w:id="470" w:name="_Toc312678033"/>
      <w:bookmarkStart w:id="471" w:name="_Toc296347198"/>
      <w:bookmarkStart w:id="472" w:name="_Toc296891027"/>
      <w:bookmarkStart w:id="473" w:name="_Toc312677507"/>
      <w:bookmarkStart w:id="474" w:name="_Toc296944538"/>
      <w:bookmarkStart w:id="475" w:name="_Toc296503199"/>
      <w:bookmarkStart w:id="476" w:name="_Toc297216207"/>
      <w:bookmarkStart w:id="477" w:name="_Toc304295574"/>
      <w:bookmarkStart w:id="478" w:name="_Toc303539154"/>
      <w:bookmarkStart w:id="479" w:name="_Toc296891239"/>
      <w:bookmarkStart w:id="480" w:name="_Toc296346700"/>
      <w:r>
        <w:rPr>
          <w:rFonts w:hint="eastAsia" w:ascii="仿宋" w:hAnsi="仿宋" w:eastAsia="仿宋" w:cs="仿宋"/>
          <w:color w:val="auto"/>
          <w:sz w:val="24"/>
          <w:szCs w:val="24"/>
          <w:highlight w:val="none"/>
        </w:rPr>
        <w:t>0.4 暂估价</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14:paraId="10933A8B">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暂</w:t>
      </w:r>
      <w:bookmarkStart w:id="481" w:name="_Toc312678034"/>
      <w:bookmarkStart w:id="482" w:name="_Toc318581176"/>
      <w:bookmarkStart w:id="483" w:name="_Toc312677508"/>
      <w:r>
        <w:rPr>
          <w:rFonts w:hint="eastAsia" w:ascii="仿宋" w:hAnsi="仿宋" w:eastAsia="仿宋" w:cs="仿宋"/>
          <w:color w:val="auto"/>
          <w:sz w:val="24"/>
          <w:szCs w:val="24"/>
          <w:highlight w:val="none"/>
        </w:rPr>
        <w:t>估价材料和工程设备的明细详见附件11：《暂估价一览表》。</w:t>
      </w:r>
      <w:bookmarkEnd w:id="481"/>
      <w:bookmarkEnd w:id="482"/>
      <w:bookmarkEnd w:id="483"/>
    </w:p>
    <w:p w14:paraId="13858185">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Start w:id="484" w:name="_Toc312678035"/>
      <w:bookmarkStart w:id="485" w:name="_Toc312677509"/>
      <w:bookmarkStart w:id="486" w:name="_Toc318581177"/>
      <w:r>
        <w:rPr>
          <w:rFonts w:hint="eastAsia" w:ascii="仿宋" w:hAnsi="仿宋" w:eastAsia="仿宋" w:cs="仿宋"/>
          <w:color w:val="auto"/>
          <w:sz w:val="24"/>
          <w:szCs w:val="24"/>
          <w:highlight w:val="none"/>
        </w:rPr>
        <w:t>0.4.1 依法必须招标的暂估价项目</w:t>
      </w:r>
      <w:bookmarkEnd w:id="484"/>
      <w:bookmarkEnd w:id="485"/>
      <w:bookmarkEnd w:id="486"/>
    </w:p>
    <w:p w14:paraId="797CF3FB">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对于依法必须招标的暂估价项目的确认和批准采取第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种方式确定。</w:t>
      </w:r>
    </w:p>
    <w:p w14:paraId="35427CFB">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10.4.2 不属于依法必须招标的暂估价项目</w:t>
      </w:r>
    </w:p>
    <w:p w14:paraId="2DBEC9E9">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对于不属于依法必须招标的暂估价项目的确认和批准采取第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种方式确定。</w:t>
      </w:r>
    </w:p>
    <w:p w14:paraId="65AF384F">
      <w:pPr>
        <w:spacing w:line="360" w:lineRule="auto"/>
        <w:ind w:firstLine="420"/>
        <w:outlineLvl w:val="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第3种方式：承包人直接实施的暂估价项目</w:t>
      </w:r>
    </w:p>
    <w:p w14:paraId="30A59F4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承包人直接实施的暂估价项目的约定：</w:t>
      </w:r>
      <w:r>
        <w:rPr>
          <w:rFonts w:hint="eastAsia" w:ascii="仿宋" w:hAnsi="仿宋" w:eastAsia="仿宋" w:cs="仿宋"/>
          <w:b/>
          <w:color w:val="auto"/>
          <w:sz w:val="24"/>
          <w:szCs w:val="24"/>
          <w:highlight w:val="none"/>
          <w:u w:val="single"/>
        </w:rPr>
        <w:t>材料暂估价中所有材料，施工过程中由发包方负责采购，费用由工程款支付</w:t>
      </w:r>
      <w:r>
        <w:rPr>
          <w:rFonts w:hint="eastAsia" w:ascii="仿宋" w:hAnsi="仿宋" w:eastAsia="仿宋" w:cs="仿宋"/>
          <w:b/>
          <w:color w:val="auto"/>
          <w:sz w:val="24"/>
          <w:szCs w:val="24"/>
          <w:highlight w:val="none"/>
        </w:rPr>
        <w:t>。</w:t>
      </w:r>
    </w:p>
    <w:p w14:paraId="23A933B5">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10.5 暂列金额</w:t>
      </w:r>
    </w:p>
    <w:p w14:paraId="02EA2FC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合同当事人关于暂列金额使用的约定：</w:t>
      </w:r>
      <w:r>
        <w:rPr>
          <w:rFonts w:hint="eastAsia" w:ascii="仿宋" w:hAnsi="仿宋" w:eastAsia="仿宋" w:cs="仿宋"/>
          <w:color w:val="auto"/>
          <w:sz w:val="24"/>
          <w:szCs w:val="24"/>
          <w:highlight w:val="none"/>
          <w:u w:val="single"/>
        </w:rPr>
        <w:t>如有，暂列金额应按照发包人的要求使用，发包人的要求应通过监理人发出，承包人应对发包人发出的要求进行响应</w:t>
      </w:r>
      <w:r>
        <w:rPr>
          <w:rFonts w:hint="eastAsia" w:ascii="仿宋" w:hAnsi="仿宋" w:eastAsia="仿宋" w:cs="仿宋"/>
          <w:color w:val="auto"/>
          <w:sz w:val="24"/>
          <w:szCs w:val="24"/>
          <w:highlight w:val="none"/>
        </w:rPr>
        <w:t>。</w:t>
      </w:r>
    </w:p>
    <w:p w14:paraId="3010B347">
      <w:pPr>
        <w:keepNext/>
        <w:keepLines/>
        <w:spacing w:before="164" w:after="164" w:line="360" w:lineRule="auto"/>
        <w:outlineLvl w:val="1"/>
        <w:rPr>
          <w:rFonts w:hint="eastAsia" w:ascii="仿宋" w:hAnsi="仿宋" w:eastAsia="仿宋" w:cs="仿宋"/>
          <w:color w:val="auto"/>
          <w:sz w:val="24"/>
          <w:szCs w:val="24"/>
          <w:highlight w:val="none"/>
        </w:rPr>
      </w:pPr>
      <w:bookmarkStart w:id="487" w:name="_Toc351203643"/>
      <w:r>
        <w:rPr>
          <w:rFonts w:hint="eastAsia" w:ascii="仿宋" w:hAnsi="仿宋" w:eastAsia="仿宋" w:cs="仿宋"/>
          <w:color w:val="auto"/>
          <w:sz w:val="24"/>
          <w:szCs w:val="24"/>
          <w:highlight w:val="none"/>
        </w:rPr>
        <w:t>11. 价格调整</w:t>
      </w:r>
      <w:bookmarkEnd w:id="487"/>
    </w:p>
    <w:p w14:paraId="1B88FC88">
      <w:pPr>
        <w:spacing w:line="360" w:lineRule="auto"/>
        <w:ind w:firstLine="420"/>
        <w:outlineLvl w:val="2"/>
        <w:rPr>
          <w:rFonts w:hint="eastAsia" w:ascii="仿宋" w:hAnsi="仿宋" w:eastAsia="仿宋" w:cs="仿宋"/>
          <w:color w:val="auto"/>
          <w:sz w:val="24"/>
          <w:szCs w:val="24"/>
          <w:highlight w:val="none"/>
        </w:rPr>
      </w:pPr>
      <w:bookmarkStart w:id="488" w:name="_Toc297120501"/>
      <w:bookmarkStart w:id="489" w:name="_Toc292559911"/>
      <w:bookmarkStart w:id="490" w:name="_Toc296503201"/>
      <w:bookmarkStart w:id="491" w:name="_Toc292559406"/>
      <w:bookmarkStart w:id="492" w:name="_Toc296891029"/>
      <w:bookmarkStart w:id="493" w:name="_Toc297123550"/>
      <w:bookmarkStart w:id="494" w:name="_Toc296891241"/>
      <w:bookmarkStart w:id="495" w:name="_Toc304295577"/>
      <w:bookmarkStart w:id="496" w:name="_Toc312678039"/>
      <w:bookmarkStart w:id="497" w:name="_Toc303539157"/>
      <w:bookmarkStart w:id="498" w:name="_Toc296346702"/>
      <w:bookmarkStart w:id="499" w:name="_Toc297048387"/>
      <w:bookmarkStart w:id="500" w:name="_Toc297216209"/>
      <w:bookmarkStart w:id="501" w:name="_Toc296944540"/>
      <w:bookmarkStart w:id="502" w:name="_Toc296347200"/>
      <w:bookmarkStart w:id="503" w:name="_Toc300935000"/>
      <w:r>
        <w:rPr>
          <w:rFonts w:hint="eastAsia" w:ascii="仿宋" w:hAnsi="仿宋" w:eastAsia="仿宋" w:cs="仿宋"/>
          <w:color w:val="auto"/>
          <w:sz w:val="24"/>
          <w:szCs w:val="24"/>
          <w:highlight w:val="none"/>
        </w:rPr>
        <w:t>11.1 市场价格波动引起的调整</w:t>
      </w:r>
      <w:bookmarkEnd w:id="391"/>
      <w:bookmarkEnd w:id="392"/>
      <w:bookmarkEnd w:id="393"/>
      <w:bookmarkEnd w:id="394"/>
      <w:bookmarkEnd w:id="395"/>
      <w:bookmarkEnd w:id="396"/>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14:paraId="2D605A0A">
      <w:pPr>
        <w:spacing w:line="360" w:lineRule="auto"/>
        <w:ind w:firstLine="420"/>
        <w:rPr>
          <w:rFonts w:hint="eastAsia" w:ascii="仿宋" w:hAnsi="仿宋" w:eastAsia="仿宋" w:cs="仿宋"/>
          <w:color w:val="auto"/>
          <w:sz w:val="24"/>
          <w:szCs w:val="24"/>
          <w:highlight w:val="none"/>
        </w:rPr>
      </w:pPr>
      <w:bookmarkStart w:id="504" w:name="_Toc292559410"/>
      <w:bookmarkStart w:id="505" w:name="_Toc297120505"/>
      <w:bookmarkStart w:id="506" w:name="_Toc296346706"/>
      <w:bookmarkStart w:id="507" w:name="_Toc296503205"/>
      <w:bookmarkStart w:id="508" w:name="_Toc296347204"/>
      <w:bookmarkStart w:id="509" w:name="_Toc296891245"/>
      <w:bookmarkStart w:id="510" w:name="_Toc297048391"/>
      <w:bookmarkStart w:id="511" w:name="_Toc296891033"/>
      <w:bookmarkStart w:id="512" w:name="_Toc296944544"/>
      <w:bookmarkStart w:id="513" w:name="_Toc292559915"/>
      <w:bookmarkStart w:id="514" w:name="_Toc297123552"/>
      <w:bookmarkStart w:id="515" w:name="_Toc304295579"/>
      <w:bookmarkStart w:id="516" w:name="_Toc300935002"/>
      <w:bookmarkStart w:id="517" w:name="_Toc303539159"/>
      <w:bookmarkStart w:id="518" w:name="_Toc297216211"/>
      <w:bookmarkStart w:id="519" w:name="_Toc351203644"/>
      <w:bookmarkStart w:id="520" w:name="_Toc312678040"/>
      <w:r>
        <w:rPr>
          <w:rFonts w:hint="eastAsia" w:ascii="仿宋" w:hAnsi="仿宋" w:eastAsia="仿宋" w:cs="仿宋"/>
          <w:color w:val="auto"/>
          <w:sz w:val="24"/>
          <w:szCs w:val="24"/>
          <w:highlight w:val="none"/>
        </w:rPr>
        <w:t>市场价格波动是否调整合同价格的约定：</w:t>
      </w:r>
      <w:r>
        <w:rPr>
          <w:rFonts w:hint="eastAsia" w:ascii="仿宋" w:hAnsi="仿宋" w:eastAsia="仿宋" w:cs="仿宋"/>
          <w:color w:val="auto"/>
          <w:sz w:val="24"/>
          <w:szCs w:val="24"/>
          <w:highlight w:val="none"/>
          <w:u w:val="single"/>
        </w:rPr>
        <w:t>除约定的调整范围外，其他材料、设备、机械费用等市场价格变化在投标综合单价里已考虑，不做调整，除不可抗力以外的其他风险</w:t>
      </w:r>
      <w:r>
        <w:rPr>
          <w:rFonts w:hint="eastAsia" w:ascii="仿宋" w:hAnsi="仿宋" w:eastAsia="仿宋" w:cs="仿宋"/>
          <w:color w:val="auto"/>
          <w:sz w:val="24"/>
          <w:szCs w:val="24"/>
          <w:highlight w:val="none"/>
        </w:rPr>
        <w:t>。</w:t>
      </w:r>
    </w:p>
    <w:p w14:paraId="17E697A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因市场价格波动调整合同价格，采用以下第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种方式对合同价格进行调整：</w:t>
      </w:r>
    </w:p>
    <w:p w14:paraId="40544B69">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第1种方式：采用价格指数进行价格调整。</w:t>
      </w:r>
    </w:p>
    <w:p w14:paraId="23FB344B">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关于各可调因子、定值和变值权重，以及基本价格指数及其来源的约定：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  </w:t>
      </w:r>
    </w:p>
    <w:p w14:paraId="6A88C269">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第2种方式：采用造价信息进行价格调整。</w:t>
      </w:r>
    </w:p>
    <w:p w14:paraId="0B2D931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关于基准价格的约定：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00481E7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%时，或材料单价跌幅以已标价工程量清单或预算书中载明材料单价为基础超过%时，其超过部分据实调整。</w:t>
      </w:r>
    </w:p>
    <w:p w14:paraId="5754D2FD">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%时，材料单价涨幅以已标价工程量清单或预算书中载明材料单价为基础超过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%时，其超过部分据实调整。</w:t>
      </w:r>
    </w:p>
    <w:p w14:paraId="42CED58C">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③承包人在已标价工程量清单或预算书中载明的材料单价等于基准单价的：专用合同条款合同履行期间材料单价涨跌幅以基准单价为基础超过±%时，其超过部分据实调整。</w:t>
      </w:r>
    </w:p>
    <w:p w14:paraId="5113A772">
      <w:pPr>
        <w:spacing w:line="360" w:lineRule="auto"/>
        <w:ind w:firstLine="420"/>
        <w:outlineLvl w:val="3"/>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第3种方式：其他价格调整方式：</w:t>
      </w:r>
    </w:p>
    <w:p w14:paraId="54F0A707">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跟踪审计共同确定变更的综合单价。 </w:t>
      </w:r>
    </w:p>
    <w:p w14:paraId="75C3D024">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u w:val="single"/>
        </w:rPr>
        <w:t>根据苏建价〔2008〕67号《关于加强建筑材料价格风险控制的指导意见》规定：</w:t>
      </w:r>
    </w:p>
    <w:p w14:paraId="06DC5100">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p>
    <w:p w14:paraId="32433057">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主要建筑材料差价的取定：应以工程所在地造价管理部门发布的材料指导价格为基准（缺指导价的材料以双方确认的市场信息价为准），差价为施工期同类材料加权平均指导价格与合同工程基准期（招标工程为递交投标文件截止日期前28天）当月的材料指导价格的差额。</w:t>
      </w:r>
    </w:p>
    <w:p w14:paraId="67F69E81">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施工期材料加权平均指导价按下列公式计算：施工期材料加权平均指导价=Σ（每月实际使用量×当月材料指导价）/同类材料总用量。3、因发包人原因造成工期延误的，延误期间发生的材料价格上涨差额由发包人承担；因承包人原因造成工期延误的，延误期间发生的材料价格上涨差额由承包人承担。</w:t>
      </w:r>
    </w:p>
    <w:p w14:paraId="4D5BA3BD">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4、本工程的措施项目（模板、脚手架、文明施工措施费除外）实行一次性包干费用，过程中发生的变更、签证费将不计取措施费，仅计取规费及税金。</w:t>
      </w:r>
    </w:p>
    <w:p w14:paraId="649B238D">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5、承包人在施工过程中发生的变更、签证，应严格按发包人的变更、签证管理流程进行申报，其人工、机械、管理费、利润均按照投标时优惠率和费率。</w:t>
      </w:r>
    </w:p>
    <w:p w14:paraId="3E71975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6、人工费调整执行本项目工程量清单的规定同比例调整</w:t>
      </w:r>
      <w:r>
        <w:rPr>
          <w:rFonts w:hint="eastAsia" w:ascii="仿宋" w:hAnsi="仿宋" w:eastAsia="仿宋" w:cs="仿宋"/>
          <w:color w:val="auto"/>
          <w:sz w:val="24"/>
          <w:szCs w:val="24"/>
          <w:highlight w:val="none"/>
        </w:rPr>
        <w:t>。</w:t>
      </w:r>
    </w:p>
    <w:p w14:paraId="50D41AFA">
      <w:pPr>
        <w:keepNext/>
        <w:keepLines/>
        <w:spacing w:before="164"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w:t>
      </w:r>
      <w:bookmarkEnd w:id="504"/>
      <w:bookmarkEnd w:id="505"/>
      <w:bookmarkEnd w:id="506"/>
      <w:bookmarkEnd w:id="507"/>
      <w:bookmarkEnd w:id="508"/>
      <w:bookmarkEnd w:id="509"/>
      <w:bookmarkEnd w:id="510"/>
      <w:bookmarkEnd w:id="511"/>
      <w:bookmarkEnd w:id="512"/>
      <w:bookmarkEnd w:id="513"/>
      <w:r>
        <w:rPr>
          <w:rFonts w:hint="eastAsia" w:ascii="仿宋" w:hAnsi="仿宋" w:eastAsia="仿宋" w:cs="仿宋"/>
          <w:color w:val="auto"/>
          <w:sz w:val="24"/>
          <w:szCs w:val="24"/>
          <w:highlight w:val="none"/>
        </w:rPr>
        <w:t>合同价格、计量与支付</w:t>
      </w:r>
      <w:bookmarkEnd w:id="514"/>
      <w:bookmarkEnd w:id="515"/>
      <w:bookmarkEnd w:id="516"/>
      <w:bookmarkEnd w:id="517"/>
      <w:bookmarkEnd w:id="518"/>
      <w:bookmarkEnd w:id="519"/>
      <w:bookmarkEnd w:id="520"/>
    </w:p>
    <w:p w14:paraId="61BBA379">
      <w:pPr>
        <w:spacing w:line="360" w:lineRule="auto"/>
        <w:ind w:firstLine="420"/>
        <w:outlineLvl w:val="2"/>
        <w:rPr>
          <w:rFonts w:hint="eastAsia" w:ascii="仿宋" w:hAnsi="仿宋" w:eastAsia="仿宋" w:cs="仿宋"/>
          <w:color w:val="auto"/>
          <w:sz w:val="24"/>
          <w:szCs w:val="24"/>
          <w:highlight w:val="none"/>
        </w:rPr>
      </w:pPr>
      <w:bookmarkStart w:id="521" w:name="_Toc267251461"/>
      <w:bookmarkStart w:id="522" w:name="_Toc292559916"/>
      <w:bookmarkStart w:id="523" w:name="_Toc292559411"/>
      <w:bookmarkStart w:id="524" w:name="_Toc296503206"/>
      <w:bookmarkStart w:id="525" w:name="_Toc296891246"/>
      <w:bookmarkStart w:id="526" w:name="_Toc296347205"/>
      <w:bookmarkStart w:id="527" w:name="_Toc296346707"/>
      <w:bookmarkStart w:id="528" w:name="_Toc296944545"/>
      <w:bookmarkStart w:id="529" w:name="_Toc297048392"/>
      <w:bookmarkStart w:id="530" w:name="_Toc297120506"/>
      <w:bookmarkStart w:id="531" w:name="_Toc296891034"/>
      <w:bookmarkStart w:id="532" w:name="_Toc297123553"/>
      <w:bookmarkStart w:id="533" w:name="_Toc303539160"/>
      <w:bookmarkStart w:id="534" w:name="_Toc312678041"/>
      <w:bookmarkStart w:id="535" w:name="_Toc304295580"/>
      <w:bookmarkStart w:id="536" w:name="_Toc297216212"/>
      <w:bookmarkStart w:id="537" w:name="_Toc300935003"/>
      <w:r>
        <w:rPr>
          <w:rFonts w:hint="eastAsia" w:ascii="仿宋" w:hAnsi="仿宋" w:eastAsia="仿宋" w:cs="仿宋"/>
          <w:color w:val="auto"/>
          <w:sz w:val="24"/>
          <w:szCs w:val="24"/>
          <w:highlight w:val="none"/>
        </w:rPr>
        <w:t>12.1 合</w:t>
      </w:r>
      <w:bookmarkEnd w:id="521"/>
      <w:bookmarkEnd w:id="522"/>
      <w:bookmarkEnd w:id="523"/>
      <w:r>
        <w:rPr>
          <w:rFonts w:hint="eastAsia" w:ascii="仿宋" w:hAnsi="仿宋" w:eastAsia="仿宋" w:cs="仿宋"/>
          <w:color w:val="auto"/>
          <w:sz w:val="24"/>
          <w:szCs w:val="24"/>
          <w:highlight w:val="none"/>
        </w:rPr>
        <w:t>同价</w:t>
      </w:r>
      <w:bookmarkEnd w:id="524"/>
      <w:bookmarkEnd w:id="525"/>
      <w:bookmarkEnd w:id="526"/>
      <w:bookmarkEnd w:id="527"/>
      <w:bookmarkEnd w:id="528"/>
      <w:bookmarkEnd w:id="529"/>
      <w:bookmarkEnd w:id="530"/>
      <w:bookmarkEnd w:id="531"/>
      <w:r>
        <w:rPr>
          <w:rFonts w:hint="eastAsia" w:ascii="仿宋" w:hAnsi="仿宋" w:eastAsia="仿宋" w:cs="仿宋"/>
          <w:color w:val="auto"/>
          <w:sz w:val="24"/>
          <w:szCs w:val="24"/>
          <w:highlight w:val="none"/>
        </w:rPr>
        <w:t>格形式</w:t>
      </w:r>
      <w:bookmarkEnd w:id="532"/>
      <w:bookmarkEnd w:id="533"/>
      <w:bookmarkEnd w:id="534"/>
      <w:bookmarkEnd w:id="535"/>
      <w:bookmarkEnd w:id="536"/>
      <w:bookmarkEnd w:id="537"/>
    </w:p>
    <w:p w14:paraId="381DC86D">
      <w:pPr>
        <w:spacing w:line="360" w:lineRule="auto"/>
        <w:ind w:firstLine="420"/>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w:t>
      </w:r>
    </w:p>
    <w:p w14:paraId="779F9C66">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综合单价包含的风险范围：</w:t>
      </w:r>
      <w:r>
        <w:rPr>
          <w:rFonts w:hint="eastAsia" w:ascii="仿宋" w:hAnsi="仿宋" w:eastAsia="仿宋" w:cs="仿宋"/>
          <w:color w:val="auto"/>
          <w:sz w:val="24"/>
          <w:szCs w:val="24"/>
          <w:highlight w:val="none"/>
          <w:u w:val="single"/>
        </w:rPr>
        <w:t>（1）一周内非承包人原因停水、停电造成累计停工在八小时以内的风险；</w:t>
      </w:r>
    </w:p>
    <w:p w14:paraId="37467B85">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招标图纸范围内的或在招标文件中已经明示或暗示的风险、责任和义务的费用，承包人不得因工程所需的材料、供应品及设备价格的涨价，或因与本合同施工有关的成本费用的增加为理由而要求调整综合单价，不得以未充分了解成本因素而要求调整综合单价或请求额外补偿，本合同另有约定的除外；</w:t>
      </w:r>
    </w:p>
    <w:p w14:paraId="3A2A24CC">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（3）作为一个有经验的承包人可以或应该预见的，为完成整体工程内容所必须考虑的风险；</w:t>
      </w:r>
    </w:p>
    <w:p w14:paraId="527DECF1">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（4）双方约定的不可抗力范围的风险；</w:t>
      </w:r>
    </w:p>
    <w:p w14:paraId="24267429">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（5）投标报价时所报的一次性包干的固定费用的风险；</w:t>
      </w:r>
    </w:p>
    <w:p w14:paraId="45C430E7">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（6）招标文件中的暂定价以及原图纸或招标清单中未实施项的项目结算中予以扣除的风险；</w:t>
      </w:r>
    </w:p>
    <w:p w14:paraId="39100DFC">
      <w:pPr>
        <w:spacing w:line="360" w:lineRule="auto"/>
        <w:ind w:firstLine="420"/>
        <w:outlineLvl w:val="2"/>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（7）工程量误差或错误造成的工程造价调整的风险；</w:t>
      </w:r>
    </w:p>
    <w:p w14:paraId="5BA444D8">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承包人承认在递交投标书之时已详细审阅、了解本合同及其附件，并经现场踏勘，已充分了解工程位置现状及工程进度等，对工程场地周围的环境、场地现状、可能发生的困难与风险已充分考虑，并已反映到合同价款中。</w:t>
      </w:r>
    </w:p>
    <w:p w14:paraId="26FED92D">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9）合同文件对承包人施工质量的要求高于国家标准或一般质量标准而引起承包人施工时多投入的费用、承包人提高建设标准高于发包人要求标准时引起承包人多投入的费用以及为避免施工期间噪声扰民，承包人对诸如夜间施工等所采取的防护措施而多投入的费用等均已包含在合同价款中，不再另行增补；</w:t>
      </w:r>
    </w:p>
    <w:p w14:paraId="44A4562E">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10）承包人必须严格按照施工图纸内容进行施工，不得以合同报价书中缺项或漏项及工程量与图纸不符等为理由拒绝施工。如果属于施工图纸或者合同报价书中包含的项目，承包人拒不施工的，发包人有权委托其他单位进行施工，发生的费用从承包人工程款中扣除；</w:t>
      </w:r>
    </w:p>
    <w:p w14:paraId="2FA47342">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11）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w:t>
      </w:r>
    </w:p>
    <w:p w14:paraId="41B8921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12）措施项目是指为完成工程项目施工，发生于该工程施工前和施工过程中技术、生活、安全等方面的非工程实体项目。承包人在投标报价时已将该措施项目费考虑在内，费用标准自定，措施项目费用（除安全文明施工费外）以包干形式计入，无论在投标报价中是否单独列出均由承包人承担，结算时与分部分项工程量变化、设计变更、现场签证无关，不再调整  </w:t>
      </w:r>
      <w:r>
        <w:rPr>
          <w:rFonts w:hint="eastAsia" w:ascii="仿宋" w:hAnsi="仿宋" w:eastAsia="仿宋" w:cs="仿宋"/>
          <w:color w:val="auto"/>
          <w:sz w:val="24"/>
          <w:szCs w:val="24"/>
          <w:highlight w:val="none"/>
        </w:rPr>
        <w:t>。</w:t>
      </w:r>
    </w:p>
    <w:p w14:paraId="7DB051C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此合同的风险费用已包含在合同价款中，不再另行计取  </w:t>
      </w:r>
      <w:r>
        <w:rPr>
          <w:rFonts w:hint="eastAsia" w:ascii="仿宋" w:hAnsi="仿宋" w:eastAsia="仿宋" w:cs="仿宋"/>
          <w:color w:val="auto"/>
          <w:sz w:val="24"/>
          <w:szCs w:val="24"/>
          <w:highlight w:val="none"/>
        </w:rPr>
        <w:t>。</w:t>
      </w:r>
    </w:p>
    <w:p w14:paraId="0074567A">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p>
    <w:p w14:paraId="2BD28DF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②本招标工程合同，发包人按固定综合单价的办法签约的，工程完工后按实际完成工程量进行计量结算。承包人投标时是在仔细阅读招标文件、设计图纸、技术规范等前提下，结合对此工程的风险分析，作出自己的投标报价的。工程设计变更、现场变更签证以及发包人另行委托施工的追加工程，结算时必须有经发包人、监理等有关各方共同签字确认，按照约定办法进行结算，具体调整办法约定如下：①结算时调整项目与投标文件中清单项目相同的，按照投标文件中的综合单价执行。若投标文件中相同清单综合单价不一致的，按照最低的综合单价执行。②若投标文件中无此清单项目的，由承包人编制变更综合单价报送监理复核，并经发包人确认后执行。承包人编制变更综合单价的依据为：人工、机械、取费按投标报价为基准，材料以相应变更项目施工期之前一个月，最近一期的《新沂市工程造价信息》下浮10%为基准，无信息价的按发包人、监理共同认可的价格。③措施项目清单中的费用（除安全文明施工费外）无论工程量是否发生变化、设计图纸是否发生变更，结算时将不得调整，这些费用在整个工程是包干的  </w:t>
      </w:r>
      <w:r>
        <w:rPr>
          <w:rFonts w:hint="eastAsia" w:ascii="仿宋" w:hAnsi="仿宋" w:eastAsia="仿宋" w:cs="仿宋"/>
          <w:color w:val="auto"/>
          <w:sz w:val="24"/>
          <w:szCs w:val="24"/>
          <w:highlight w:val="none"/>
        </w:rPr>
        <w:t>。</w:t>
      </w:r>
    </w:p>
    <w:p w14:paraId="143704EE">
      <w:pPr>
        <w:spacing w:line="360" w:lineRule="auto"/>
        <w:ind w:firstLine="420"/>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w:t>
      </w:r>
    </w:p>
    <w:p w14:paraId="6F236B99">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52C4488">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D7D0A1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BAA6E2C">
      <w:pPr>
        <w:spacing w:line="360" w:lineRule="auto"/>
        <w:ind w:firstLine="420"/>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3EACA49">
      <w:pPr>
        <w:spacing w:line="360" w:lineRule="auto"/>
        <w:ind w:firstLine="420"/>
        <w:outlineLvl w:val="2"/>
        <w:rPr>
          <w:rFonts w:hint="eastAsia" w:ascii="仿宋" w:hAnsi="仿宋" w:eastAsia="仿宋" w:cs="仿宋"/>
          <w:color w:val="auto"/>
          <w:sz w:val="24"/>
          <w:szCs w:val="24"/>
          <w:highlight w:val="none"/>
        </w:rPr>
      </w:pPr>
      <w:bookmarkStart w:id="538" w:name="_Toc297216213"/>
      <w:bookmarkStart w:id="539" w:name="_Toc304295581"/>
      <w:bookmarkStart w:id="540" w:name="_Toc303539161"/>
      <w:bookmarkStart w:id="541" w:name="_Toc300935004"/>
      <w:bookmarkStart w:id="542" w:name="_Toc297123554"/>
      <w:bookmarkStart w:id="543" w:name="_Toc312678042"/>
      <w:bookmarkStart w:id="544" w:name="_Toc296891247"/>
      <w:bookmarkStart w:id="545" w:name="_Toc296346708"/>
      <w:bookmarkStart w:id="546" w:name="_Toc296944546"/>
      <w:bookmarkStart w:id="547" w:name="_Toc296891035"/>
      <w:bookmarkStart w:id="548" w:name="_Toc297048393"/>
      <w:bookmarkStart w:id="549" w:name="_Toc296503207"/>
      <w:bookmarkStart w:id="550" w:name="_Toc292559412"/>
      <w:bookmarkStart w:id="551" w:name="_Toc292559917"/>
      <w:bookmarkStart w:id="552" w:name="_Toc297120507"/>
      <w:bookmarkStart w:id="553" w:name="_Toc296347206"/>
      <w:r>
        <w:rPr>
          <w:rFonts w:hint="eastAsia" w:ascii="仿宋" w:hAnsi="仿宋" w:eastAsia="仿宋" w:cs="仿宋"/>
          <w:color w:val="auto"/>
          <w:sz w:val="24"/>
          <w:szCs w:val="24"/>
          <w:highlight w:val="none"/>
        </w:rPr>
        <w:t>12.2 预付款</w:t>
      </w:r>
      <w:bookmarkEnd w:id="538"/>
      <w:bookmarkEnd w:id="539"/>
      <w:bookmarkEnd w:id="540"/>
      <w:bookmarkEnd w:id="541"/>
      <w:bookmarkEnd w:id="542"/>
      <w:bookmarkEnd w:id="543"/>
    </w:p>
    <w:p w14:paraId="4C8D0C22">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12.2.1 预付款的支付</w:t>
      </w:r>
    </w:p>
    <w:p w14:paraId="1D3DC61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预付款支付比例或金额：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2BA9B48">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87D7C7B">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预付款扣回的方式：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FC4B2A0">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12.2.2 预付款担保</w:t>
      </w:r>
    </w:p>
    <w:p w14:paraId="2C6B20FD">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承包人提交预付款担保的期限：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4D47B1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预付款担保的形式为：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bookmarkEnd w:id="544"/>
      <w:bookmarkEnd w:id="545"/>
      <w:bookmarkEnd w:id="546"/>
      <w:bookmarkEnd w:id="547"/>
      <w:bookmarkEnd w:id="548"/>
      <w:bookmarkEnd w:id="549"/>
      <w:bookmarkEnd w:id="550"/>
      <w:bookmarkEnd w:id="551"/>
      <w:bookmarkEnd w:id="552"/>
      <w:bookmarkEnd w:id="553"/>
    </w:p>
    <w:p w14:paraId="08B01799">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 计量</w:t>
      </w:r>
    </w:p>
    <w:p w14:paraId="202FFBF6">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12.3.1 计量原则</w:t>
      </w:r>
    </w:p>
    <w:p w14:paraId="41927A36">
      <w:pPr>
        <w:spacing w:line="360" w:lineRule="auto"/>
        <w:ind w:firstLine="42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工程量计算规则：</w:t>
      </w:r>
      <w:r>
        <w:rPr>
          <w:rFonts w:hint="eastAsia" w:ascii="仿宋" w:hAnsi="仿宋" w:eastAsia="仿宋" w:cs="仿宋"/>
          <w:color w:val="auto"/>
          <w:sz w:val="24"/>
          <w:szCs w:val="24"/>
          <w:highlight w:val="none"/>
          <w:u w:val="single"/>
        </w:rPr>
        <w:t xml:space="preserve">  《建设工程工程量清单计价标准》(GB/T50500-2024)及9本计算标准等有关文件规定。 </w:t>
      </w:r>
    </w:p>
    <w:p w14:paraId="566470E6">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12.3.2 计量周期</w:t>
      </w:r>
    </w:p>
    <w:p w14:paraId="74AFF7C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关于计量周期的约定：</w:t>
      </w:r>
      <w:r>
        <w:rPr>
          <w:rFonts w:hint="eastAsia" w:ascii="仿宋" w:hAnsi="仿宋" w:eastAsia="仿宋" w:cs="仿宋"/>
          <w:color w:val="auto"/>
          <w:sz w:val="24"/>
          <w:szCs w:val="24"/>
          <w:highlight w:val="none"/>
          <w:u w:val="single"/>
        </w:rPr>
        <w:t xml:space="preserve">  根据工程进度节点  </w:t>
      </w:r>
      <w:r>
        <w:rPr>
          <w:rFonts w:hint="eastAsia" w:ascii="仿宋" w:hAnsi="仿宋" w:eastAsia="仿宋" w:cs="仿宋"/>
          <w:color w:val="auto"/>
          <w:sz w:val="24"/>
          <w:szCs w:val="24"/>
          <w:highlight w:val="none"/>
        </w:rPr>
        <w:t>。</w:t>
      </w:r>
    </w:p>
    <w:p w14:paraId="5301E0E5">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12.3.3 单价合同的计量</w:t>
      </w:r>
    </w:p>
    <w:p w14:paraId="257AD078">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关于单价合同计量的约定：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7114109">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12.3.4 总价合同的计量</w:t>
      </w:r>
    </w:p>
    <w:p w14:paraId="3069EF12">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2E5421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12.3.5 总价合同采用支付分解表计量支付的，是否适用第12.3.4 项〔总价合同的计量〕约定进行计量：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E0FDFE4">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12.3.6 其他价格形式合同的计量</w:t>
      </w:r>
    </w:p>
    <w:p w14:paraId="7D60A8C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EE22C15">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 工程进度款支付</w:t>
      </w:r>
    </w:p>
    <w:p w14:paraId="71D0EBB7">
      <w:pPr>
        <w:spacing w:line="360" w:lineRule="auto"/>
        <w:ind w:firstLine="420"/>
        <w:outlineLvl w:val="3"/>
        <w:rPr>
          <w:rFonts w:hint="eastAsia" w:ascii="仿宋" w:hAnsi="仿宋" w:eastAsia="仿宋" w:cs="仿宋"/>
          <w:color w:val="auto"/>
          <w:sz w:val="24"/>
          <w:szCs w:val="24"/>
          <w:highlight w:val="none"/>
        </w:rPr>
      </w:pPr>
      <w:bookmarkStart w:id="554" w:name="_Toc297216215"/>
      <w:bookmarkStart w:id="555" w:name="_Toc296944550"/>
      <w:bookmarkStart w:id="556" w:name="_Toc296891039"/>
      <w:bookmarkStart w:id="557" w:name="_Toc297120511"/>
      <w:bookmarkStart w:id="558" w:name="_Toc296347210"/>
      <w:bookmarkStart w:id="559" w:name="_Toc297048397"/>
      <w:bookmarkStart w:id="560" w:name="_Toc296891251"/>
      <w:bookmarkStart w:id="561" w:name="_Toc300935006"/>
      <w:bookmarkStart w:id="562" w:name="_Toc303539163"/>
      <w:bookmarkStart w:id="563" w:name="_Toc292559921"/>
      <w:bookmarkStart w:id="564" w:name="_Toc292559416"/>
      <w:bookmarkStart w:id="565" w:name="_Toc297123556"/>
      <w:bookmarkStart w:id="566" w:name="_Toc296346712"/>
      <w:bookmarkStart w:id="567" w:name="_Toc296503211"/>
      <w:r>
        <w:rPr>
          <w:rFonts w:hint="eastAsia" w:ascii="仿宋" w:hAnsi="仿宋" w:eastAsia="仿宋" w:cs="仿宋"/>
          <w:color w:val="auto"/>
          <w:sz w:val="24"/>
          <w:szCs w:val="24"/>
          <w:highlight w:val="none"/>
        </w:rPr>
        <w:t>12.4.1 付款周期</w:t>
      </w:r>
    </w:p>
    <w:p w14:paraId="22DD4DF0">
      <w:pPr>
        <w:spacing w:line="360" w:lineRule="auto"/>
        <w:ind w:firstLine="42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关于付款周期的约定：</w:t>
      </w:r>
    </w:p>
    <w:p w14:paraId="71DF80AC">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付款周期的约定：该工程经甲乙双方友好协商，乙方自愿以审定价为最终结算价。1、施工中按时计量、定期支付、支付已完成工程量的80%；工程竣工验收合格后付至工程价款的80%；完整规范的竣工结算资料报送招标人并完成竣工结算审核后付至审定价的97%，3%保修金待保修金质保期满后按实际发生情况支付。2、乙方的竣工结算应充分考虑报价平衡，甲方保留对乙方明显不平衡的报价进行调整的权利。3、乙方应在甲方付款前向甲方开具等额的增值税专用发票，甲方见票付款。</w:t>
      </w:r>
    </w:p>
    <w:p w14:paraId="2D1A8E86">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进度款与质量挂钩，如果所完成工程的质量达不到验收规范要求，发包人有权暂缓支付该部分工程款，待承包人整改完成符合验收规范要求后再行支付。农民工工资每月按时发放。社保资金按实结算。每次支付工程款时，承包人需向发包人提供有效的合法发票。</w:t>
      </w:r>
    </w:p>
    <w:p w14:paraId="778504B2">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12.4.2 形象进度付款申请单的编制</w:t>
      </w:r>
    </w:p>
    <w:p w14:paraId="4DE07261">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关于形象进度付款申请单编制的约定：</w:t>
      </w:r>
      <w:r>
        <w:rPr>
          <w:rFonts w:hint="eastAsia" w:ascii="仿宋" w:hAnsi="仿宋" w:eastAsia="仿宋" w:cs="仿宋"/>
          <w:color w:val="auto"/>
          <w:sz w:val="24"/>
          <w:szCs w:val="24"/>
          <w:highlight w:val="none"/>
          <w:u w:val="single"/>
        </w:rPr>
        <w:t xml:space="preserve">执行通用条款，并由承包人提交，经发包人和监理单位确认 </w:t>
      </w:r>
      <w:r>
        <w:rPr>
          <w:rFonts w:hint="eastAsia" w:ascii="仿宋" w:hAnsi="仿宋" w:eastAsia="仿宋" w:cs="仿宋"/>
          <w:color w:val="auto"/>
          <w:sz w:val="24"/>
          <w:szCs w:val="24"/>
          <w:highlight w:val="none"/>
        </w:rPr>
        <w:t>。</w:t>
      </w:r>
    </w:p>
    <w:p w14:paraId="3225C775">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r>
        <w:rPr>
          <w:rFonts w:hint="eastAsia" w:ascii="仿宋" w:hAnsi="仿宋" w:eastAsia="仿宋" w:cs="仿宋"/>
          <w:color w:val="auto"/>
          <w:sz w:val="24"/>
          <w:szCs w:val="24"/>
          <w:highlight w:val="none"/>
        </w:rPr>
        <w:t>2.4.3 形象进度付款申请单的提交</w:t>
      </w:r>
    </w:p>
    <w:p w14:paraId="697FAC0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（1）单价合同形象进度付款申请单提交的约定：</w:t>
      </w:r>
      <w:r>
        <w:rPr>
          <w:rFonts w:hint="eastAsia" w:ascii="仿宋" w:hAnsi="仿宋" w:eastAsia="仿宋" w:cs="仿宋"/>
          <w:color w:val="auto"/>
          <w:sz w:val="24"/>
          <w:szCs w:val="24"/>
          <w:highlight w:val="none"/>
          <w:u w:val="single"/>
        </w:rPr>
        <w:t>达到相应付款节点后由承包人14日内提交</w:t>
      </w:r>
      <w:r>
        <w:rPr>
          <w:rFonts w:hint="eastAsia" w:ascii="仿宋" w:hAnsi="仿宋" w:eastAsia="仿宋" w:cs="仿宋"/>
          <w:color w:val="auto"/>
          <w:sz w:val="24"/>
          <w:szCs w:val="24"/>
          <w:highlight w:val="none"/>
        </w:rPr>
        <w:t>。</w:t>
      </w:r>
    </w:p>
    <w:p w14:paraId="0A1EBC3D">
      <w:pPr>
        <w:spacing w:line="360" w:lineRule="auto"/>
        <w:ind w:firstLine="420"/>
        <w:outlineLvl w:val="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（2）总价合同形象进度付款申请单提交的约定：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1B9EC471">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（3）其他价格形式形象合同进度付款申请单提交的约定：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7F4DBAEB">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12.4.4 形象进度款审核和支付</w:t>
      </w:r>
    </w:p>
    <w:p w14:paraId="17FA065A">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（1）监理人审查并报送发包人的期限：</w:t>
      </w:r>
      <w:r>
        <w:rPr>
          <w:rFonts w:hint="eastAsia" w:ascii="仿宋" w:hAnsi="仿宋" w:eastAsia="仿宋" w:cs="仿宋"/>
          <w:color w:val="auto"/>
          <w:sz w:val="24"/>
          <w:szCs w:val="24"/>
          <w:highlight w:val="none"/>
          <w:u w:val="single"/>
        </w:rPr>
        <w:t>收到承包人形象进度付款申请表以及相关资料后14天内完成审查并报送发包人</w:t>
      </w:r>
      <w:r>
        <w:rPr>
          <w:rFonts w:hint="eastAsia" w:ascii="仿宋" w:hAnsi="仿宋" w:eastAsia="仿宋" w:cs="仿宋"/>
          <w:color w:val="auto"/>
          <w:sz w:val="24"/>
          <w:szCs w:val="24"/>
          <w:highlight w:val="none"/>
        </w:rPr>
        <w:t>。</w:t>
      </w:r>
    </w:p>
    <w:p w14:paraId="691AB3BC">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发包人完成审批并签发形象进度款支付证书的期限：</w:t>
      </w:r>
      <w:r>
        <w:rPr>
          <w:rFonts w:hint="eastAsia" w:ascii="仿宋" w:hAnsi="仿宋" w:eastAsia="仿宋" w:cs="仿宋"/>
          <w:color w:val="auto"/>
          <w:sz w:val="24"/>
          <w:szCs w:val="24"/>
          <w:highlight w:val="none"/>
          <w:u w:val="single"/>
        </w:rPr>
        <w:t xml:space="preserve">收到进度付款申请表以及相关资料后14天内完成审批并签发进度款支付证书  </w:t>
      </w:r>
      <w:r>
        <w:rPr>
          <w:rFonts w:hint="eastAsia" w:ascii="仿宋" w:hAnsi="仿宋" w:eastAsia="仿宋" w:cs="仿宋"/>
          <w:color w:val="auto"/>
          <w:sz w:val="24"/>
          <w:szCs w:val="24"/>
          <w:highlight w:val="none"/>
        </w:rPr>
        <w:t>。</w:t>
      </w:r>
    </w:p>
    <w:p w14:paraId="05CEC4D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（2）发包人支付形象进度款的期限：</w:t>
      </w:r>
      <w:r>
        <w:rPr>
          <w:rFonts w:hint="eastAsia" w:ascii="仿宋" w:hAnsi="仿宋" w:eastAsia="仿宋" w:cs="仿宋"/>
          <w:color w:val="auto"/>
          <w:sz w:val="24"/>
          <w:szCs w:val="24"/>
          <w:highlight w:val="none"/>
          <w:u w:val="single"/>
        </w:rPr>
        <w:t xml:space="preserve">  签发形象进度款支付证书或临时形象进度款支付证书后28天内完成支付</w:t>
      </w:r>
      <w:r>
        <w:rPr>
          <w:rFonts w:hint="eastAsia" w:ascii="仿宋" w:hAnsi="仿宋" w:eastAsia="仿宋" w:cs="仿宋"/>
          <w:color w:val="auto"/>
          <w:sz w:val="24"/>
          <w:szCs w:val="24"/>
          <w:highlight w:val="none"/>
        </w:rPr>
        <w:t>。</w:t>
      </w:r>
    </w:p>
    <w:p w14:paraId="3DD6847B">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发包人逾期支形象付进度款的违约金的计算方式：</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53E9D6DD">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12.4.6 支付分解表的编制</w:t>
      </w:r>
    </w:p>
    <w:p w14:paraId="4DC90C1D">
      <w:pPr>
        <w:spacing w:line="360" w:lineRule="auto"/>
        <w:ind w:firstLine="420"/>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1、总价合同支付分解表的编制与审批：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70BB65A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2、单价合同的总价项目支付分解表的编制与审批：</w:t>
      </w:r>
      <w:r>
        <w:rPr>
          <w:rFonts w:hint="eastAsia" w:ascii="仿宋" w:hAnsi="仿宋" w:eastAsia="仿宋" w:cs="仿宋"/>
          <w:color w:val="auto"/>
          <w:sz w:val="24"/>
          <w:szCs w:val="24"/>
          <w:highlight w:val="none"/>
          <w:u w:val="single"/>
        </w:rPr>
        <w:t xml:space="preserve">由承包人根据施工进度计划节点以及合同对应付款基数进行分解，形成支付分解表  </w:t>
      </w:r>
      <w:r>
        <w:rPr>
          <w:rFonts w:hint="eastAsia" w:ascii="仿宋" w:hAnsi="仿宋" w:eastAsia="仿宋" w:cs="仿宋"/>
          <w:color w:val="auto"/>
          <w:sz w:val="24"/>
          <w:szCs w:val="24"/>
          <w:highlight w:val="none"/>
        </w:rPr>
        <w:t>。</w:t>
      </w:r>
      <w:bookmarkEnd w:id="397"/>
    </w:p>
    <w:p w14:paraId="38DC06A6">
      <w:pPr>
        <w:keepNext/>
        <w:keepLines/>
        <w:spacing w:before="164" w:after="164" w:line="360" w:lineRule="auto"/>
        <w:outlineLvl w:val="1"/>
        <w:rPr>
          <w:rFonts w:hint="eastAsia" w:ascii="仿宋" w:hAnsi="仿宋" w:eastAsia="仿宋" w:cs="仿宋"/>
          <w:color w:val="auto"/>
          <w:sz w:val="24"/>
          <w:szCs w:val="24"/>
          <w:highlight w:val="none"/>
        </w:rPr>
      </w:pPr>
      <w:bookmarkStart w:id="568" w:name="_Toc292559424"/>
      <w:bookmarkStart w:id="569" w:name="_Toc296347218"/>
      <w:bookmarkStart w:id="570" w:name="_Toc297120519"/>
      <w:bookmarkStart w:id="571" w:name="_Toc292559929"/>
      <w:bookmarkStart w:id="572" w:name="_Toc297123564"/>
      <w:bookmarkStart w:id="573" w:name="_Toc304295593"/>
      <w:bookmarkStart w:id="574" w:name="_Toc296891047"/>
      <w:bookmarkStart w:id="575" w:name="_Toc296944558"/>
      <w:bookmarkStart w:id="576" w:name="_Toc296891259"/>
      <w:bookmarkStart w:id="577" w:name="_Toc296346720"/>
      <w:bookmarkStart w:id="578" w:name="_Toc297048405"/>
      <w:bookmarkStart w:id="579" w:name="_Toc300935015"/>
      <w:bookmarkStart w:id="580" w:name="_Toc297216223"/>
      <w:bookmarkStart w:id="581" w:name="_Toc351203645"/>
      <w:bookmarkStart w:id="582" w:name="_Toc296503219"/>
      <w:bookmarkStart w:id="583" w:name="_Toc312678053"/>
      <w:bookmarkStart w:id="584" w:name="_Toc303539172"/>
      <w:r>
        <w:rPr>
          <w:rFonts w:hint="eastAsia" w:ascii="仿宋" w:hAnsi="仿宋" w:eastAsia="仿宋" w:cs="仿宋"/>
          <w:color w:val="auto"/>
          <w:sz w:val="24"/>
          <w:szCs w:val="24"/>
          <w:highlight w:val="none"/>
        </w:rPr>
        <w:t>13. 验收和工程试车</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14:paraId="7176B6E7">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 分部分项工程验收</w:t>
      </w:r>
    </w:p>
    <w:p w14:paraId="1527F8AD">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13.1.1 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小时提交书面延期要求。</w:t>
      </w:r>
    </w:p>
    <w:p w14:paraId="3AEFC75F">
      <w:pPr>
        <w:spacing w:line="360" w:lineRule="auto"/>
        <w:ind w:firstLine="42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小时。</w:t>
      </w:r>
    </w:p>
    <w:p w14:paraId="1E297008">
      <w:pPr>
        <w:spacing w:line="360" w:lineRule="auto"/>
        <w:ind w:firstLine="420"/>
        <w:outlineLvl w:val="2"/>
        <w:rPr>
          <w:rFonts w:hint="eastAsia" w:ascii="仿宋" w:hAnsi="仿宋" w:eastAsia="仿宋" w:cs="仿宋"/>
          <w:color w:val="auto"/>
          <w:sz w:val="24"/>
          <w:szCs w:val="24"/>
          <w:highlight w:val="none"/>
        </w:rPr>
      </w:pPr>
      <w:bookmarkStart w:id="585" w:name="_Toc312678056"/>
      <w:bookmarkStart w:id="586" w:name="_Toc292559428"/>
      <w:bookmarkStart w:id="587" w:name="_Toc296891263"/>
      <w:bookmarkStart w:id="588" w:name="_Toc297216224"/>
      <w:bookmarkStart w:id="589" w:name="_Toc292559933"/>
      <w:bookmarkStart w:id="590" w:name="_Toc300935016"/>
      <w:bookmarkStart w:id="591" w:name="_Toc296944562"/>
      <w:bookmarkStart w:id="592" w:name="_Toc297120523"/>
      <w:bookmarkStart w:id="593" w:name="_Toc296891051"/>
      <w:bookmarkStart w:id="594" w:name="_Toc304295596"/>
      <w:bookmarkStart w:id="595" w:name="_Toc303539173"/>
      <w:bookmarkStart w:id="596" w:name="_Toc296346724"/>
      <w:bookmarkStart w:id="597" w:name="_Toc297048409"/>
      <w:bookmarkStart w:id="598" w:name="_Toc296503223"/>
      <w:bookmarkStart w:id="599" w:name="_Toc297123565"/>
      <w:bookmarkStart w:id="600" w:name="_Toc296347222"/>
      <w:bookmarkStart w:id="601" w:name="_Toc267251470"/>
      <w:bookmarkStart w:id="602" w:name="_Toc267251475"/>
      <w:bookmarkStart w:id="603" w:name="_Toc267251471"/>
      <w:bookmarkStart w:id="604" w:name="_Toc267251476"/>
      <w:bookmarkStart w:id="605" w:name="_Toc267251472"/>
      <w:bookmarkStart w:id="606" w:name="_Toc267251473"/>
      <w:bookmarkStart w:id="607" w:name="_Toc267251474"/>
      <w:r>
        <w:rPr>
          <w:rFonts w:hint="eastAsia" w:ascii="仿宋" w:hAnsi="仿宋" w:eastAsia="仿宋" w:cs="仿宋"/>
          <w:color w:val="auto"/>
          <w:sz w:val="24"/>
          <w:szCs w:val="24"/>
          <w:highlight w:val="none"/>
        </w:rPr>
        <w:t>13.2 竣工验收</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35110699">
      <w:pPr>
        <w:spacing w:line="360" w:lineRule="auto"/>
        <w:ind w:firstLine="420"/>
        <w:outlineLvl w:val="3"/>
        <w:rPr>
          <w:rFonts w:hint="eastAsia" w:ascii="仿宋" w:hAnsi="仿宋" w:eastAsia="仿宋" w:cs="仿宋"/>
          <w:color w:val="auto"/>
          <w:sz w:val="24"/>
          <w:szCs w:val="24"/>
          <w:highlight w:val="none"/>
        </w:rPr>
      </w:pPr>
      <w:bookmarkStart w:id="608" w:name="_Toc280868704"/>
      <w:bookmarkStart w:id="609" w:name="_Toc280868705"/>
      <w:bookmarkStart w:id="610" w:name="_Toc280868706"/>
      <w:bookmarkStart w:id="611" w:name="_Toc280868707"/>
      <w:bookmarkStart w:id="612" w:name="_Toc280868708"/>
      <w:bookmarkStart w:id="613" w:name="_Toc280868709"/>
      <w:r>
        <w:rPr>
          <w:rFonts w:hint="eastAsia" w:ascii="仿宋" w:hAnsi="仿宋" w:eastAsia="仿宋" w:cs="仿宋"/>
          <w:color w:val="auto"/>
          <w:sz w:val="24"/>
          <w:szCs w:val="24"/>
          <w:highlight w:val="none"/>
        </w:rPr>
        <w:t>13.2.1 竣工验收程序</w:t>
      </w:r>
      <w:bookmarkEnd w:id="608"/>
    </w:p>
    <w:p w14:paraId="35856F88">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关于竣工验收程序的约定：</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w:t>
      </w:r>
    </w:p>
    <w:p w14:paraId="2903D49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bookmarkEnd w:id="609"/>
    </w:p>
    <w:p w14:paraId="2605B3E5">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13.2.2 移交、接收全部与部分工程</w:t>
      </w:r>
      <w:bookmarkEnd w:id="610"/>
      <w:bookmarkEnd w:id="611"/>
    </w:p>
    <w:p w14:paraId="6FD91AF1">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承包人向发包人移交工程的期限：</w:t>
      </w:r>
      <w:r>
        <w:rPr>
          <w:rFonts w:hint="eastAsia" w:ascii="仿宋" w:hAnsi="仿宋" w:eastAsia="仿宋" w:cs="仿宋"/>
          <w:color w:val="auto"/>
          <w:sz w:val="24"/>
          <w:szCs w:val="24"/>
          <w:highlight w:val="none"/>
          <w:u w:val="single"/>
        </w:rPr>
        <w:t xml:space="preserve"> 竣工时间以发包人组织的竣工验收合格日期为准。经发包人组织验收合格的工程，则自验收结束之日起15天内承包人将工程移交给发包人，撤出全部临建、施工人员、施工机械和剩余材料，并将承包范围内的所有工程垃圾清理干净  </w:t>
      </w:r>
      <w:r>
        <w:rPr>
          <w:rFonts w:hint="eastAsia" w:ascii="仿宋" w:hAnsi="仿宋" w:eastAsia="仿宋" w:cs="仿宋"/>
          <w:color w:val="auto"/>
          <w:sz w:val="24"/>
          <w:szCs w:val="24"/>
          <w:highlight w:val="none"/>
        </w:rPr>
        <w:t>。</w:t>
      </w:r>
    </w:p>
    <w:p w14:paraId="4947E42A">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发包人未按本合同约定接收全部或部分工程的，违约金的计算方法为：</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18F8C94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承包人未按时移交工程的，违约金的计算方法为：</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03BF1E77">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 工程试车</w:t>
      </w:r>
      <w:bookmarkEnd w:id="612"/>
    </w:p>
    <w:p w14:paraId="34CFD0A6">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13.3.1 试车程序</w:t>
      </w:r>
    </w:p>
    <w:p w14:paraId="2D41E70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工程试车内容：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3640817C">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（1）单机无负荷试车费用由承担；</w:t>
      </w:r>
    </w:p>
    <w:p w14:paraId="30B3822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（2）无负荷联动试车费用由承担。</w:t>
      </w:r>
    </w:p>
    <w:p w14:paraId="6C9C70ED">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13.3.2 投料试车</w:t>
      </w:r>
    </w:p>
    <w:p w14:paraId="5CB774A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关于投料试车相关事项的约定：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4C9EE002">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13.4 竣工退场</w:t>
      </w:r>
    </w:p>
    <w:p w14:paraId="775A2734">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13.6.1 竣工退场</w:t>
      </w:r>
    </w:p>
    <w:p w14:paraId="3A85BDD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承包人完成竣工退场的期限：</w:t>
      </w:r>
      <w:r>
        <w:rPr>
          <w:rFonts w:hint="eastAsia" w:ascii="仿宋" w:hAnsi="仿宋" w:eastAsia="仿宋" w:cs="仿宋"/>
          <w:color w:val="auto"/>
          <w:sz w:val="24"/>
          <w:szCs w:val="24"/>
          <w:highlight w:val="none"/>
          <w:u w:val="single"/>
        </w:rPr>
        <w:t xml:space="preserve"> 竣工验收合格后14日内 </w:t>
      </w:r>
      <w:r>
        <w:rPr>
          <w:rFonts w:hint="eastAsia" w:ascii="仿宋" w:hAnsi="仿宋" w:eastAsia="仿宋" w:cs="仿宋"/>
          <w:color w:val="auto"/>
          <w:sz w:val="24"/>
          <w:szCs w:val="24"/>
          <w:highlight w:val="none"/>
        </w:rPr>
        <w:t>。</w:t>
      </w:r>
    </w:p>
    <w:p w14:paraId="31EB208B">
      <w:pPr>
        <w:keepNext/>
        <w:keepLines/>
        <w:spacing w:before="164" w:after="164" w:line="360" w:lineRule="auto"/>
        <w:outlineLvl w:val="1"/>
        <w:rPr>
          <w:rFonts w:hint="eastAsia" w:ascii="仿宋" w:hAnsi="仿宋" w:eastAsia="仿宋" w:cs="仿宋"/>
          <w:color w:val="auto"/>
          <w:sz w:val="24"/>
          <w:szCs w:val="24"/>
          <w:highlight w:val="none"/>
        </w:rPr>
      </w:pPr>
      <w:bookmarkStart w:id="614" w:name="_Toc351203646"/>
      <w:r>
        <w:rPr>
          <w:rFonts w:hint="eastAsia" w:ascii="仿宋" w:hAnsi="仿宋" w:eastAsia="仿宋" w:cs="仿宋"/>
          <w:color w:val="auto"/>
          <w:sz w:val="24"/>
          <w:szCs w:val="24"/>
          <w:highlight w:val="none"/>
        </w:rPr>
        <w:t>14. 竣工结算</w:t>
      </w:r>
      <w:bookmarkEnd w:id="614"/>
    </w:p>
    <w:p w14:paraId="6EB34FDA">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 竣工结算申请</w:t>
      </w:r>
    </w:p>
    <w:p w14:paraId="57C15092">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承包人提交竣工结算申请单的期限：</w:t>
      </w:r>
      <w:r>
        <w:rPr>
          <w:rFonts w:hint="eastAsia" w:ascii="仿宋" w:hAnsi="仿宋" w:eastAsia="仿宋" w:cs="仿宋"/>
          <w:color w:val="auto"/>
          <w:sz w:val="24"/>
          <w:szCs w:val="24"/>
          <w:highlight w:val="none"/>
          <w:u w:val="single"/>
        </w:rPr>
        <w:t xml:space="preserve"> 工程竣工验收合格后一个月内 </w:t>
      </w:r>
      <w:r>
        <w:rPr>
          <w:rFonts w:hint="eastAsia" w:ascii="仿宋" w:hAnsi="仿宋" w:eastAsia="仿宋" w:cs="仿宋"/>
          <w:color w:val="auto"/>
          <w:sz w:val="24"/>
          <w:szCs w:val="24"/>
          <w:highlight w:val="none"/>
        </w:rPr>
        <w:t>。</w:t>
      </w:r>
    </w:p>
    <w:p w14:paraId="3D478A70">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竣工结算申请单应包括的内容：</w:t>
      </w:r>
      <w:r>
        <w:rPr>
          <w:rFonts w:hint="eastAsia" w:ascii="仿宋" w:hAnsi="仿宋" w:eastAsia="仿宋" w:cs="仿宋"/>
          <w:color w:val="auto"/>
          <w:sz w:val="24"/>
          <w:szCs w:val="24"/>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p>
    <w:p w14:paraId="363C2768">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如核减额在承包人送审总价5%以内（含5%）审计费用由发包人承担，核减额在5%以上至10%（含10%），由承包人与发包人分别承担50%，核减额大于10%的，其审计费用由承包人全部承担审计费按基本费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元+核减额的5%计算</w:t>
      </w:r>
      <w:r>
        <w:rPr>
          <w:rFonts w:hint="eastAsia" w:ascii="仿宋" w:hAnsi="仿宋" w:eastAsia="仿宋" w:cs="仿宋"/>
          <w:color w:val="auto"/>
          <w:sz w:val="24"/>
          <w:szCs w:val="24"/>
          <w:highlight w:val="none"/>
        </w:rPr>
        <w:t>。</w:t>
      </w:r>
    </w:p>
    <w:p w14:paraId="0B67454D">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 竣工结算审核</w:t>
      </w:r>
    </w:p>
    <w:p w14:paraId="7DAAFE02">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发包人审批竣工付款申请单的期限：</w:t>
      </w:r>
      <w:r>
        <w:rPr>
          <w:rFonts w:hint="eastAsia" w:ascii="仿宋" w:hAnsi="仿宋" w:eastAsia="仿宋" w:cs="仿宋"/>
          <w:color w:val="auto"/>
          <w:sz w:val="24"/>
          <w:szCs w:val="24"/>
          <w:highlight w:val="none"/>
          <w:u w:val="single"/>
        </w:rPr>
        <w:t xml:space="preserve">  收到承包人提交的最终结清申请后28天内完成审批并向承包人颁发最终结清证书</w:t>
      </w:r>
      <w:r>
        <w:rPr>
          <w:rFonts w:hint="eastAsia" w:ascii="仿宋" w:hAnsi="仿宋" w:eastAsia="仿宋" w:cs="仿宋"/>
          <w:color w:val="auto"/>
          <w:sz w:val="24"/>
          <w:szCs w:val="24"/>
          <w:highlight w:val="none"/>
        </w:rPr>
        <w:t>。</w:t>
      </w:r>
    </w:p>
    <w:p w14:paraId="61A032E1">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发包人完成竣工付款的期限：</w:t>
      </w:r>
      <w:r>
        <w:rPr>
          <w:rFonts w:hint="eastAsia" w:ascii="仿宋" w:hAnsi="仿宋" w:eastAsia="仿宋" w:cs="仿宋"/>
          <w:color w:val="auto"/>
          <w:sz w:val="24"/>
          <w:szCs w:val="24"/>
          <w:highlight w:val="none"/>
          <w:u w:val="single"/>
        </w:rPr>
        <w:t xml:space="preserve">  签发竣工付款证书后28天内  </w:t>
      </w:r>
      <w:r>
        <w:rPr>
          <w:rFonts w:hint="eastAsia" w:ascii="仿宋" w:hAnsi="仿宋" w:eastAsia="仿宋" w:cs="仿宋"/>
          <w:color w:val="auto"/>
          <w:sz w:val="24"/>
          <w:szCs w:val="24"/>
          <w:highlight w:val="none"/>
        </w:rPr>
        <w:t>。</w:t>
      </w:r>
    </w:p>
    <w:p w14:paraId="12A5D28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关于竣工付款证书异议部分复核的方式和程序：</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w:t>
      </w:r>
    </w:p>
    <w:p w14:paraId="19C330A4">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审减率约定：</w:t>
      </w:r>
      <w:r>
        <w:rPr>
          <w:rFonts w:hint="eastAsia" w:ascii="仿宋" w:hAnsi="仿宋" w:eastAsia="仿宋" w:cs="仿宋"/>
          <w:color w:val="auto"/>
          <w:sz w:val="24"/>
          <w:szCs w:val="24"/>
          <w:highlight w:val="none"/>
          <w:u w:val="single"/>
        </w:rPr>
        <w:t>审计报告结（决）算审减率10%-15%的，承包人按审减金额的20%支付违约金，超过15%的，按照审减金额的30%支付违约金，发包人有权从工程款中直接扣除。</w:t>
      </w:r>
    </w:p>
    <w:p w14:paraId="5739AEB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项目终审费用约定：</w:t>
      </w:r>
      <w:r>
        <w:rPr>
          <w:rFonts w:hint="eastAsia" w:ascii="仿宋" w:hAnsi="仿宋" w:eastAsia="仿宋" w:cs="仿宋"/>
          <w:color w:val="auto"/>
          <w:sz w:val="24"/>
          <w:szCs w:val="24"/>
          <w:highlight w:val="none"/>
          <w:u w:val="single"/>
        </w:rPr>
        <w:t>工程结（决）算经市审计中心终审后，审减率在3%（含3%）以内的，审计服务费用由发包人支付，3%-5%（含5%）发包人和承包人各付一半，5%以上的承包人全额支付。</w:t>
      </w:r>
    </w:p>
    <w:p w14:paraId="522BF11D">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14.3 最终结清</w:t>
      </w:r>
    </w:p>
    <w:p w14:paraId="62E90E86">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14.3.1 最终结清申请单</w:t>
      </w:r>
    </w:p>
    <w:p w14:paraId="76ED1618">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承包人提交最终结清申请单的份数：</w:t>
      </w:r>
      <w:r>
        <w:rPr>
          <w:rFonts w:hint="eastAsia" w:ascii="仿宋" w:hAnsi="仿宋" w:eastAsia="仿宋" w:cs="仿宋"/>
          <w:color w:val="auto"/>
          <w:sz w:val="24"/>
          <w:szCs w:val="24"/>
          <w:highlight w:val="none"/>
          <w:u w:val="single"/>
        </w:rPr>
        <w:t xml:space="preserve">       4份      </w:t>
      </w:r>
      <w:r>
        <w:rPr>
          <w:rFonts w:hint="eastAsia" w:ascii="仿宋" w:hAnsi="仿宋" w:eastAsia="仿宋" w:cs="仿宋"/>
          <w:color w:val="auto"/>
          <w:sz w:val="24"/>
          <w:szCs w:val="24"/>
          <w:highlight w:val="none"/>
        </w:rPr>
        <w:t>。</w:t>
      </w:r>
    </w:p>
    <w:p w14:paraId="6C9E535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承包人提交最终结算申请单的期限：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 </w:t>
      </w:r>
    </w:p>
    <w:p w14:paraId="39F7F234">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14.3.2 最终结清证书和支付</w:t>
      </w:r>
    </w:p>
    <w:p w14:paraId="4AAB3842">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（1）发包人完成最终结清申请单的审批并颁发最终结清证书的期限：</w:t>
      </w:r>
      <w:r>
        <w:rPr>
          <w:rFonts w:hint="eastAsia" w:ascii="仿宋" w:hAnsi="仿宋" w:eastAsia="仿宋" w:cs="仿宋"/>
          <w:color w:val="auto"/>
          <w:sz w:val="24"/>
          <w:szCs w:val="24"/>
          <w:highlight w:val="none"/>
          <w:u w:val="single"/>
        </w:rPr>
        <w:t xml:space="preserve">收到承包人提交的最终结清申请后28天内完成审批并向承包人颁发最终结清证书 </w:t>
      </w:r>
      <w:r>
        <w:rPr>
          <w:rFonts w:hint="eastAsia" w:ascii="仿宋" w:hAnsi="仿宋" w:eastAsia="仿宋" w:cs="仿宋"/>
          <w:color w:val="auto"/>
          <w:sz w:val="24"/>
          <w:szCs w:val="24"/>
          <w:highlight w:val="none"/>
        </w:rPr>
        <w:t>。</w:t>
      </w:r>
    </w:p>
    <w:p w14:paraId="7AB51E22">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（2）发包人完成支付的期限：</w:t>
      </w:r>
      <w:r>
        <w:rPr>
          <w:rFonts w:hint="eastAsia" w:ascii="仿宋" w:hAnsi="仿宋" w:eastAsia="仿宋" w:cs="仿宋"/>
          <w:color w:val="auto"/>
          <w:sz w:val="24"/>
          <w:szCs w:val="24"/>
          <w:highlight w:val="none"/>
          <w:u w:val="single"/>
        </w:rPr>
        <w:t xml:space="preserve">  签发最终结清证书后的28天内 </w:t>
      </w:r>
      <w:r>
        <w:rPr>
          <w:rFonts w:hint="eastAsia" w:ascii="仿宋" w:hAnsi="仿宋" w:eastAsia="仿宋" w:cs="仿宋"/>
          <w:color w:val="auto"/>
          <w:sz w:val="24"/>
          <w:szCs w:val="24"/>
          <w:highlight w:val="none"/>
        </w:rPr>
        <w:t>。</w:t>
      </w:r>
      <w:bookmarkEnd w:id="601"/>
      <w:bookmarkEnd w:id="602"/>
      <w:bookmarkEnd w:id="603"/>
      <w:bookmarkEnd w:id="604"/>
      <w:bookmarkEnd w:id="605"/>
      <w:bookmarkEnd w:id="606"/>
      <w:bookmarkEnd w:id="607"/>
      <w:bookmarkEnd w:id="613"/>
    </w:p>
    <w:p w14:paraId="3498244D">
      <w:pPr>
        <w:keepNext/>
        <w:keepLines/>
        <w:spacing w:before="164" w:after="164" w:line="360" w:lineRule="auto"/>
        <w:outlineLvl w:val="1"/>
        <w:rPr>
          <w:rFonts w:hint="eastAsia" w:ascii="仿宋" w:hAnsi="仿宋" w:eastAsia="仿宋" w:cs="仿宋"/>
          <w:color w:val="auto"/>
          <w:sz w:val="24"/>
          <w:szCs w:val="24"/>
          <w:highlight w:val="none"/>
        </w:rPr>
      </w:pPr>
      <w:bookmarkStart w:id="615" w:name="_Toc351203647"/>
      <w:bookmarkStart w:id="616" w:name="_Toc267251483"/>
      <w:bookmarkStart w:id="617" w:name="_Toc267251484"/>
      <w:bookmarkStart w:id="618" w:name="_Toc267251482"/>
      <w:bookmarkStart w:id="619" w:name="_Toc267251485"/>
      <w:bookmarkStart w:id="620" w:name="_Toc267251486"/>
      <w:bookmarkStart w:id="621" w:name="_Toc267251489"/>
      <w:bookmarkStart w:id="622" w:name="_Toc267251488"/>
      <w:bookmarkStart w:id="623" w:name="_Toc267251490"/>
      <w:bookmarkStart w:id="624" w:name="_Toc267251495"/>
      <w:bookmarkStart w:id="625" w:name="_Toc267251502"/>
      <w:bookmarkStart w:id="626" w:name="_Toc267251491"/>
      <w:bookmarkStart w:id="627" w:name="_Toc267251497"/>
      <w:bookmarkStart w:id="628" w:name="_Toc267251492"/>
      <w:bookmarkStart w:id="629" w:name="_Toc267251496"/>
      <w:bookmarkStart w:id="630" w:name="_Toc267251498"/>
      <w:bookmarkStart w:id="631" w:name="_Toc267251501"/>
      <w:bookmarkStart w:id="632" w:name="_Toc267251494"/>
      <w:bookmarkStart w:id="633" w:name="_Toc267251503"/>
      <w:bookmarkStart w:id="634" w:name="_Toc267251493"/>
      <w:bookmarkStart w:id="635" w:name="_Toc267251499"/>
      <w:bookmarkStart w:id="636" w:name="_Toc267251506"/>
      <w:bookmarkStart w:id="637" w:name="_Toc267251504"/>
      <w:bookmarkStart w:id="638" w:name="_Toc267251507"/>
      <w:bookmarkStart w:id="639" w:name="_Toc267251508"/>
      <w:bookmarkStart w:id="640" w:name="_Toc267251514"/>
      <w:bookmarkStart w:id="641" w:name="_Toc267251509"/>
      <w:bookmarkStart w:id="642" w:name="_Toc267251513"/>
      <w:bookmarkStart w:id="643" w:name="_Toc267251511"/>
      <w:bookmarkStart w:id="644" w:name="_Toc267251515"/>
      <w:bookmarkStart w:id="645" w:name="_Toc267251510"/>
      <w:r>
        <w:rPr>
          <w:rFonts w:hint="eastAsia" w:ascii="仿宋" w:hAnsi="仿宋" w:eastAsia="仿宋" w:cs="仿宋"/>
          <w:color w:val="auto"/>
          <w:sz w:val="24"/>
          <w:szCs w:val="24"/>
          <w:highlight w:val="none"/>
        </w:rPr>
        <w:t>15. 缺陷责任期与保修</w:t>
      </w:r>
      <w:bookmarkEnd w:id="615"/>
    </w:p>
    <w:p w14:paraId="512E75DB">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15.1 缺陷责任期</w:t>
      </w:r>
      <w:bookmarkEnd w:id="616"/>
    </w:p>
    <w:p w14:paraId="02EBCE99">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缺陷责任期的具体期限：</w:t>
      </w:r>
      <w:r>
        <w:rPr>
          <w:rFonts w:hint="eastAsia" w:ascii="仿宋" w:hAnsi="仿宋" w:eastAsia="仿宋" w:cs="仿宋"/>
          <w:color w:val="auto"/>
          <w:sz w:val="24"/>
          <w:szCs w:val="24"/>
          <w:highlight w:val="none"/>
          <w:u w:val="single"/>
        </w:rPr>
        <w:t xml:space="preserve"> 2年 </w:t>
      </w:r>
      <w:r>
        <w:rPr>
          <w:rFonts w:hint="eastAsia" w:ascii="仿宋" w:hAnsi="仿宋" w:eastAsia="仿宋" w:cs="仿宋"/>
          <w:color w:val="auto"/>
          <w:sz w:val="24"/>
          <w:szCs w:val="24"/>
          <w:highlight w:val="none"/>
        </w:rPr>
        <w:t>。</w:t>
      </w:r>
    </w:p>
    <w:p w14:paraId="04D28E1E">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15.2 质量保证金</w:t>
      </w:r>
    </w:p>
    <w:p w14:paraId="09C8879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关于是否扣留质量保证金的约定：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否</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bookmarkEnd w:id="617"/>
      <w:bookmarkEnd w:id="618"/>
    </w:p>
    <w:p w14:paraId="1236B97A">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 保修</w:t>
      </w:r>
      <w:bookmarkEnd w:id="619"/>
    </w:p>
    <w:p w14:paraId="5183E018">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15.3.1 保修责任</w:t>
      </w:r>
    </w:p>
    <w:p w14:paraId="17C991EE">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工程保修期为：</w:t>
      </w:r>
      <w:r>
        <w:rPr>
          <w:rFonts w:hint="eastAsia" w:ascii="仿宋" w:hAnsi="仿宋" w:eastAsia="仿宋" w:cs="仿宋"/>
          <w:color w:val="auto"/>
          <w:sz w:val="24"/>
          <w:szCs w:val="24"/>
          <w:highlight w:val="none"/>
          <w:u w:val="single"/>
        </w:rPr>
        <w:t xml:space="preserve"> 地基基础工程、主体结构工程终身，防水5年，其它2年 </w:t>
      </w:r>
      <w:r>
        <w:rPr>
          <w:rFonts w:hint="eastAsia" w:ascii="仿宋" w:hAnsi="仿宋" w:eastAsia="仿宋" w:cs="仿宋"/>
          <w:color w:val="auto"/>
          <w:sz w:val="24"/>
          <w:szCs w:val="24"/>
          <w:highlight w:val="none"/>
        </w:rPr>
        <w:t>。</w:t>
      </w:r>
    </w:p>
    <w:p w14:paraId="250D602C">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15.3.2 修复通知</w:t>
      </w:r>
    </w:p>
    <w:p w14:paraId="6A159CE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承包人收到保修通知并到达工程现场的合理时间：</w:t>
      </w:r>
      <w:r>
        <w:rPr>
          <w:rFonts w:hint="eastAsia" w:ascii="仿宋" w:hAnsi="仿宋" w:eastAsia="仿宋" w:cs="仿宋"/>
          <w:color w:val="auto"/>
          <w:sz w:val="24"/>
          <w:szCs w:val="24"/>
          <w:highlight w:val="none"/>
          <w:u w:val="single"/>
        </w:rPr>
        <w:t xml:space="preserve"> 承包人收到保修通知后24小时内到达工程现场</w:t>
      </w:r>
      <w:r>
        <w:rPr>
          <w:rFonts w:hint="eastAsia" w:ascii="仿宋" w:hAnsi="仿宋" w:eastAsia="仿宋" w:cs="仿宋"/>
          <w:color w:val="auto"/>
          <w:sz w:val="24"/>
          <w:szCs w:val="24"/>
          <w:highlight w:val="none"/>
        </w:rPr>
        <w:t>。</w:t>
      </w:r>
      <w:bookmarkEnd w:id="620"/>
      <w:bookmarkEnd w:id="621"/>
      <w:bookmarkEnd w:id="622"/>
      <w:bookmarkEnd w:id="623"/>
    </w:p>
    <w:p w14:paraId="67D2C725">
      <w:pPr>
        <w:keepNext/>
        <w:keepLines/>
        <w:spacing w:before="164" w:after="164" w:line="360" w:lineRule="auto"/>
        <w:outlineLvl w:val="1"/>
        <w:rPr>
          <w:rFonts w:hint="eastAsia" w:ascii="仿宋" w:hAnsi="仿宋" w:eastAsia="仿宋" w:cs="仿宋"/>
          <w:color w:val="auto"/>
          <w:sz w:val="24"/>
          <w:szCs w:val="24"/>
          <w:highlight w:val="none"/>
        </w:rPr>
      </w:pPr>
      <w:bookmarkStart w:id="646" w:name="_Toc351203648"/>
      <w:bookmarkStart w:id="647" w:name="_Toc280868717"/>
      <w:bookmarkStart w:id="648" w:name="_Toc280868718"/>
      <w:r>
        <w:rPr>
          <w:rFonts w:hint="eastAsia" w:ascii="仿宋" w:hAnsi="仿宋" w:eastAsia="仿宋" w:cs="仿宋"/>
          <w:color w:val="auto"/>
          <w:sz w:val="24"/>
          <w:szCs w:val="24"/>
          <w:highlight w:val="none"/>
        </w:rPr>
        <w:t>16. 违约</w:t>
      </w:r>
      <w:bookmarkEnd w:id="646"/>
    </w:p>
    <w:p w14:paraId="43B696F1">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 发包人违约</w:t>
      </w:r>
    </w:p>
    <w:p w14:paraId="0705E3FF">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16.1.1 发包人违约的情形</w:t>
      </w:r>
    </w:p>
    <w:p w14:paraId="6A38487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发包人违约的其他情形：</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56CC115B">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16.1.2 发包人违约的责任</w:t>
      </w:r>
    </w:p>
    <w:p w14:paraId="6D9BE2F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发包人违约责任的承担方式和计算方法：</w:t>
      </w:r>
    </w:p>
    <w:p w14:paraId="2FBCE3D3">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(1)因发包人原因未能在计划开工日期前7天内下达开工通知的违约责任：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7DF21849">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(2)因发包人原因未能按合同约定支付合同价款的违约责任：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18F487DD">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35C4D6AD">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6A1271E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(5)因发包人违反合同约定造成暂停施工的违约责任：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608C08D8">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2138A4BA">
      <w:pPr>
        <w:spacing w:line="360" w:lineRule="auto"/>
        <w:ind w:firstLine="420"/>
        <w:outlineLvl w:val="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(7)其他：</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1B72900A">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16.1.3 因发包人违约解除合同</w:t>
      </w:r>
    </w:p>
    <w:p w14:paraId="53E6B02C">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承包人按16.1.1项〔发包人违约的情形〕约定暂停施工满</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天后发包人仍不纠正其违约行为并致使合同目的不能实现的，承包人有权解除合同。</w:t>
      </w:r>
    </w:p>
    <w:p w14:paraId="098FEF31">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 承包人违约</w:t>
      </w:r>
    </w:p>
    <w:p w14:paraId="050A4548">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16.2.1 承包人违约的情形</w:t>
      </w:r>
    </w:p>
    <w:p w14:paraId="571F82F8">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承包人违约的其他情形：</w:t>
      </w:r>
      <w:r>
        <w:rPr>
          <w:rFonts w:hint="eastAsia" w:ascii="仿宋" w:hAnsi="仿宋" w:eastAsia="仿宋" w:cs="仿宋"/>
          <w:color w:val="auto"/>
          <w:sz w:val="24"/>
          <w:szCs w:val="24"/>
          <w:highlight w:val="none"/>
          <w:u w:val="single"/>
        </w:rPr>
        <w:t>1、承包人应当按照合同中确定的开工日期开工，承包人承诺每逾期一天，按照合同总价款的万分之二计算，向发包人给付违约金。</w:t>
      </w:r>
    </w:p>
    <w:p w14:paraId="2ECE4DEC">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2、承包人承诺有下列情形之一者，发包人有权要求承包人承担违约责任，赔偿发包人损失，并可以要求解除或终止本合同的一部分或全部：</w:t>
      </w:r>
    </w:p>
    <w:p w14:paraId="711E522C">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超过合同中确定的或发包人要求开工日期达十天（含十天）以上的；</w:t>
      </w:r>
    </w:p>
    <w:p w14:paraId="069DA05B">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承包人有转移资产、抽逃资金、工人及设备数据不足及其它丧失履约能力之情形；</w:t>
      </w:r>
    </w:p>
    <w:p w14:paraId="3FEFCAEC">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u w:val="single"/>
        </w:rPr>
        <w:t>承包人违反本合同任何条款规定，经发包人限期改正而未改正；</w:t>
      </w:r>
    </w:p>
    <w:p w14:paraId="50536D4C">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u w:val="single"/>
        </w:rPr>
        <w:t>承包人工作草率、偷工减料、消极怠工或不听从发包人指示，屡教不改；</w:t>
      </w:r>
    </w:p>
    <w:p w14:paraId="18850431">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u w:val="single"/>
        </w:rPr>
        <w:t>承包人工程质量不合格，发包人有权要求承包人在限期内无偿修理或者返工、改建，并进行相应经济处罚，如未在限期内完成，发包人有权解除或终止合同；</w:t>
      </w:r>
    </w:p>
    <w:p w14:paraId="26AFF4BD">
      <w:pPr>
        <w:spacing w:line="360" w:lineRule="auto"/>
        <w:ind w:firstLine="420"/>
        <w:outlineLvl w:val="4"/>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u w:val="single"/>
        </w:rPr>
        <w:t>承包人其他违约行为，影响合同目的实现的。</w:t>
      </w:r>
    </w:p>
    <w:p w14:paraId="08F7F834">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如本合同经发包人解除或终止，承包人承诺按照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p>
    <w:p w14:paraId="18F1AEDE">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3、在合同履行过程中，承包人不得以任何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解除合同后，发包人可以依其认为适当的条件、方式与其它施工单位签约以完成工程，承包人应赔偿发包人因此所受之损失及所增加之费用  </w:t>
      </w:r>
      <w:r>
        <w:rPr>
          <w:rFonts w:hint="eastAsia" w:ascii="仿宋" w:hAnsi="仿宋" w:eastAsia="仿宋" w:cs="仿宋"/>
          <w:color w:val="auto"/>
          <w:sz w:val="24"/>
          <w:szCs w:val="24"/>
          <w:highlight w:val="none"/>
        </w:rPr>
        <w:t>。</w:t>
      </w:r>
    </w:p>
    <w:p w14:paraId="0F1438FA">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16.2.2 承包人违约的责任</w:t>
      </w:r>
    </w:p>
    <w:p w14:paraId="70CC9590">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承包人违约责任的承担方式和计算方法：</w:t>
      </w:r>
      <w:r>
        <w:rPr>
          <w:rFonts w:hint="eastAsia" w:ascii="仿宋" w:hAnsi="仿宋" w:eastAsia="仿宋" w:cs="仿宋"/>
          <w:color w:val="auto"/>
          <w:sz w:val="24"/>
          <w:szCs w:val="24"/>
          <w:highlight w:val="none"/>
          <w:u w:val="single"/>
        </w:rPr>
        <w:t>1、发包人有权要求解除合同，并由承包人承担由此引起的一切损失，并负责由此引起的一切法律责任，并赔偿由此引起的发包人的一切经济损失。</w:t>
      </w:r>
    </w:p>
    <w:p w14:paraId="5A99CD3D">
      <w:pPr>
        <w:spacing w:line="360" w:lineRule="auto"/>
        <w:ind w:firstLine="420"/>
        <w:outlineLvl w:val="1"/>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2、工期每延期一天，罚款合同总价的5‰ 。</w:t>
      </w:r>
    </w:p>
    <w:p w14:paraId="3FB8CC46">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3、承包人确保达到投标时承诺的质量标准，否则赔偿合同总价的2%。</w:t>
      </w:r>
    </w:p>
    <w:p w14:paraId="214235CC">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若发生重大安全、质量事故，除按有关规定执行外所增加的费用，由承包人承担。对因此而引起的工期延误等给发包方造成的损失承包人应承担赔偿责任。对质量问题，承包人必须采取措施，达到设计要求  </w:t>
      </w:r>
      <w:r>
        <w:rPr>
          <w:rFonts w:hint="eastAsia" w:ascii="仿宋" w:hAnsi="仿宋" w:eastAsia="仿宋" w:cs="仿宋"/>
          <w:color w:val="auto"/>
          <w:sz w:val="24"/>
          <w:szCs w:val="24"/>
          <w:highlight w:val="none"/>
        </w:rPr>
        <w:t xml:space="preserve">。    </w:t>
      </w:r>
    </w:p>
    <w:p w14:paraId="7BBEA871">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16.2.3 因承包人违约解除合同</w:t>
      </w:r>
    </w:p>
    <w:p w14:paraId="34C3C6CD">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关于承包人违约解除合同的特别约定：</w:t>
      </w:r>
      <w:r>
        <w:rPr>
          <w:rFonts w:hint="eastAsia" w:ascii="仿宋" w:hAnsi="仿宋" w:eastAsia="仿宋" w:cs="仿宋"/>
          <w:color w:val="auto"/>
          <w:sz w:val="24"/>
          <w:szCs w:val="24"/>
          <w:highlight w:val="none"/>
          <w:u w:val="single"/>
        </w:rPr>
        <w:t xml:space="preserve">工期延误达10天以上，发包人有权解除合同，合同的解除不免除承包人按照本条款的约定承担工期延误违约责任。如果承包人借故拖延工程进度、导致工程停工超过15日，发包人有权更换施工单位，并且由此造成的一切损失（包括但不限于重新招标费用、重新招 标的中标价与原中标价的价差、工期延误等）均由承包人负责赔偿。所有违约金和赔偿金的支付不减轻承包人合同项下的任何责任和义  </w:t>
      </w:r>
      <w:r>
        <w:rPr>
          <w:rFonts w:hint="eastAsia" w:ascii="仿宋" w:hAnsi="仿宋" w:eastAsia="仿宋" w:cs="仿宋"/>
          <w:color w:val="auto"/>
          <w:sz w:val="24"/>
          <w:szCs w:val="24"/>
          <w:highlight w:val="none"/>
        </w:rPr>
        <w:t>。</w:t>
      </w:r>
    </w:p>
    <w:p w14:paraId="3482048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w:t>
      </w:r>
    </w:p>
    <w:p w14:paraId="5232EBDD">
      <w:pPr>
        <w:keepNext/>
        <w:keepLines/>
        <w:spacing w:before="164" w:after="164" w:line="360" w:lineRule="auto"/>
        <w:outlineLvl w:val="1"/>
        <w:rPr>
          <w:rFonts w:hint="eastAsia" w:ascii="仿宋" w:hAnsi="仿宋" w:eastAsia="仿宋" w:cs="仿宋"/>
          <w:color w:val="auto"/>
          <w:sz w:val="24"/>
          <w:szCs w:val="24"/>
          <w:highlight w:val="none"/>
        </w:rPr>
      </w:pPr>
      <w:bookmarkStart w:id="649" w:name="_Toc351203649"/>
      <w:r>
        <w:rPr>
          <w:rFonts w:hint="eastAsia" w:ascii="仿宋" w:hAnsi="仿宋" w:eastAsia="仿宋" w:cs="仿宋"/>
          <w:color w:val="auto"/>
          <w:sz w:val="24"/>
          <w:szCs w:val="24"/>
          <w:highlight w:val="none"/>
        </w:rPr>
        <w:t>17. 不可抗力</w:t>
      </w:r>
      <w:bookmarkEnd w:id="647"/>
      <w:bookmarkEnd w:id="649"/>
    </w:p>
    <w:p w14:paraId="37D6CB40">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17.1 不可抗力的确认</w:t>
      </w:r>
    </w:p>
    <w:p w14:paraId="30FBB037">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除通用合同条款约定的不可抗力事件之外，视为不可抗力的其他情形</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rPr>
        <w:t>执行通用条款</w:t>
      </w:r>
      <w:r>
        <w:rPr>
          <w:rFonts w:hint="eastAsia" w:ascii="仿宋" w:hAnsi="仿宋" w:eastAsia="仿宋" w:cs="仿宋"/>
          <w:color w:val="auto"/>
          <w:sz w:val="24"/>
          <w:szCs w:val="24"/>
          <w:highlight w:val="none"/>
        </w:rPr>
        <w:t>。</w:t>
      </w:r>
    </w:p>
    <w:p w14:paraId="3E32F8E8">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17.4 因不可抗力解除合同</w:t>
      </w:r>
    </w:p>
    <w:p w14:paraId="71F9B9D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合同解除后，发包人应在商定或确定发包人应支付款项后</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天内完成款项的支付。</w:t>
      </w:r>
    </w:p>
    <w:p w14:paraId="42E16073">
      <w:pPr>
        <w:keepNext/>
        <w:keepLines/>
        <w:spacing w:before="164" w:after="164" w:line="360" w:lineRule="auto"/>
        <w:outlineLvl w:val="1"/>
        <w:rPr>
          <w:rFonts w:hint="eastAsia" w:ascii="仿宋" w:hAnsi="仿宋" w:eastAsia="仿宋" w:cs="仿宋"/>
          <w:color w:val="auto"/>
          <w:sz w:val="24"/>
          <w:szCs w:val="24"/>
          <w:highlight w:val="none"/>
        </w:rPr>
      </w:pPr>
      <w:bookmarkStart w:id="650" w:name="_Toc351203650"/>
      <w:r>
        <w:rPr>
          <w:rFonts w:hint="eastAsia" w:ascii="仿宋" w:hAnsi="仿宋" w:eastAsia="仿宋" w:cs="仿宋"/>
          <w:color w:val="auto"/>
          <w:sz w:val="24"/>
          <w:szCs w:val="24"/>
          <w:highlight w:val="none"/>
        </w:rPr>
        <w:t>18. 保险</w:t>
      </w:r>
      <w:bookmarkEnd w:id="648"/>
      <w:bookmarkEnd w:id="650"/>
    </w:p>
    <w:p w14:paraId="0C619DBD">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 工程保险</w:t>
      </w:r>
    </w:p>
    <w:p w14:paraId="09A08161">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关于工程保险的特别约定：</w:t>
      </w:r>
      <w:r>
        <w:rPr>
          <w:rFonts w:hint="eastAsia" w:ascii="仿宋" w:hAnsi="仿宋" w:eastAsia="仿宋" w:cs="仿宋"/>
          <w:color w:val="auto"/>
          <w:sz w:val="24"/>
          <w:szCs w:val="24"/>
          <w:highlight w:val="none"/>
          <w:u w:val="single"/>
        </w:rPr>
        <w:t xml:space="preserve">  承包人应按照国家强制性规定和自身需要，以承包人或承包人和发包人共同名义投保有关险种，所需费用包含在投标报价中 </w:t>
      </w:r>
      <w:r>
        <w:rPr>
          <w:rFonts w:hint="eastAsia" w:ascii="仿宋" w:hAnsi="仿宋" w:eastAsia="仿宋" w:cs="仿宋"/>
          <w:color w:val="auto"/>
          <w:sz w:val="24"/>
          <w:szCs w:val="24"/>
          <w:highlight w:val="none"/>
        </w:rPr>
        <w:t>。</w:t>
      </w:r>
    </w:p>
    <w:p w14:paraId="126892D4">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18.3 其他保险</w:t>
      </w:r>
    </w:p>
    <w:p w14:paraId="47ECFF9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关于其他保险的约定：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45FF60B">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承包人是否应为其施工设备等办理财产保险：</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F704453">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18.4 通知义务</w:t>
      </w:r>
    </w:p>
    <w:p w14:paraId="7C8663B2">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关于变更保险合同时的通知义务的约定：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bookmarkEnd w:id="624"/>
      <w:bookmarkEnd w:id="625"/>
      <w:bookmarkEnd w:id="626"/>
      <w:bookmarkEnd w:id="627"/>
      <w:bookmarkEnd w:id="628"/>
      <w:bookmarkEnd w:id="629"/>
      <w:bookmarkEnd w:id="630"/>
      <w:bookmarkEnd w:id="631"/>
      <w:bookmarkEnd w:id="632"/>
      <w:bookmarkEnd w:id="633"/>
      <w:bookmarkEnd w:id="634"/>
      <w:bookmarkEnd w:id="635"/>
    </w:p>
    <w:p w14:paraId="5E023393">
      <w:pPr>
        <w:keepNext/>
        <w:keepLines/>
        <w:spacing w:before="164" w:after="164" w:line="360" w:lineRule="auto"/>
        <w:outlineLvl w:val="1"/>
        <w:rPr>
          <w:rFonts w:hint="eastAsia" w:ascii="仿宋" w:hAnsi="仿宋" w:eastAsia="仿宋" w:cs="仿宋"/>
          <w:color w:val="auto"/>
          <w:sz w:val="24"/>
          <w:szCs w:val="24"/>
          <w:highlight w:val="none"/>
        </w:rPr>
      </w:pPr>
      <w:bookmarkStart w:id="651" w:name="_Toc351203651"/>
      <w:r>
        <w:rPr>
          <w:rFonts w:hint="eastAsia" w:ascii="仿宋" w:hAnsi="仿宋" w:eastAsia="仿宋" w:cs="仿宋"/>
          <w:color w:val="auto"/>
          <w:sz w:val="24"/>
          <w:szCs w:val="24"/>
          <w:highlight w:val="none"/>
        </w:rPr>
        <w:t>19. 争议解决</w:t>
      </w:r>
      <w:bookmarkEnd w:id="636"/>
      <w:bookmarkEnd w:id="637"/>
      <w:bookmarkEnd w:id="651"/>
    </w:p>
    <w:p w14:paraId="7A47D969">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19.1 争</w:t>
      </w:r>
      <w:bookmarkEnd w:id="638"/>
      <w:r>
        <w:rPr>
          <w:rFonts w:hint="eastAsia" w:ascii="仿宋" w:hAnsi="仿宋" w:eastAsia="仿宋" w:cs="仿宋"/>
          <w:color w:val="auto"/>
          <w:sz w:val="24"/>
          <w:szCs w:val="24"/>
          <w:highlight w:val="none"/>
        </w:rPr>
        <w:t>议评审</w:t>
      </w:r>
    </w:p>
    <w:p w14:paraId="239780A1">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  </w:t>
      </w:r>
    </w:p>
    <w:p w14:paraId="1BBA5B00">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19.1.1 争议评审小组的确定</w:t>
      </w:r>
    </w:p>
    <w:p w14:paraId="4B57ED45">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争议评审小组成员的确定：</w:t>
      </w:r>
      <w:r>
        <w:rPr>
          <w:rFonts w:hint="eastAsia" w:ascii="仿宋" w:hAnsi="仿宋" w:eastAsia="仿宋" w:cs="仿宋"/>
          <w:color w:val="auto"/>
          <w:sz w:val="24"/>
          <w:szCs w:val="24"/>
          <w:highlight w:val="none"/>
          <w:u w:val="single"/>
        </w:rPr>
        <w:t xml:space="preserve">       不提交        </w:t>
      </w:r>
      <w:r>
        <w:rPr>
          <w:rFonts w:hint="eastAsia" w:ascii="仿宋" w:hAnsi="仿宋" w:eastAsia="仿宋" w:cs="仿宋"/>
          <w:color w:val="auto"/>
          <w:sz w:val="24"/>
          <w:szCs w:val="24"/>
          <w:highlight w:val="none"/>
        </w:rPr>
        <w:t>。</w:t>
      </w:r>
    </w:p>
    <w:p w14:paraId="3C7AF68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516BDB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BBB29C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F4C6E94">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19.1.2 争议评审小组的决定</w:t>
      </w:r>
    </w:p>
    <w:p w14:paraId="2C7BD95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合同当事人关于本项的约定：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1ED7106">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19.2 仲裁或诉讼</w:t>
      </w:r>
      <w:bookmarkEnd w:id="639"/>
    </w:p>
    <w:p w14:paraId="17545D19">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种方式解决：</w:t>
      </w:r>
    </w:p>
    <w:p w14:paraId="1DC6A5C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(1)向仲裁委员会申请仲裁；</w:t>
      </w:r>
    </w:p>
    <w:p w14:paraId="1A266C5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(2)向</w:t>
      </w:r>
      <w:r>
        <w:rPr>
          <w:rFonts w:hint="eastAsia" w:ascii="仿宋" w:hAnsi="仿宋" w:eastAsia="仿宋" w:cs="仿宋"/>
          <w:color w:val="auto"/>
          <w:sz w:val="24"/>
          <w:szCs w:val="24"/>
          <w:highlight w:val="none"/>
          <w:u w:val="single"/>
        </w:rPr>
        <w:t xml:space="preserve">   新沂市  </w:t>
      </w:r>
      <w:r>
        <w:rPr>
          <w:rFonts w:hint="eastAsia" w:ascii="仿宋" w:hAnsi="仿宋" w:eastAsia="仿宋" w:cs="仿宋"/>
          <w:color w:val="auto"/>
          <w:sz w:val="24"/>
          <w:szCs w:val="24"/>
          <w:highlight w:val="none"/>
        </w:rPr>
        <w:t>人民法院起诉。</w:t>
      </w:r>
      <w:bookmarkEnd w:id="640"/>
      <w:bookmarkEnd w:id="641"/>
      <w:bookmarkEnd w:id="642"/>
      <w:bookmarkEnd w:id="643"/>
      <w:bookmarkEnd w:id="644"/>
      <w:bookmarkEnd w:id="645"/>
      <w:bookmarkStart w:id="652" w:name="_Toc358569763"/>
    </w:p>
    <w:p w14:paraId="571CC5E5">
      <w:pPr>
        <w:pStyle w:val="337"/>
        <w:keepNext w:val="0"/>
        <w:keepLines w:val="0"/>
        <w:widowControl/>
        <w:spacing w:before="0" w:after="0" w:line="360" w:lineRule="auto"/>
        <w:outlineLvl w:val="9"/>
        <w:rPr>
          <w:rFonts w:hint="eastAsia" w:ascii="仿宋" w:hAnsi="仿宋" w:eastAsia="仿宋" w:cs="仿宋"/>
          <w:color w:val="auto"/>
          <w:sz w:val="24"/>
          <w:szCs w:val="24"/>
          <w:highlight w:val="none"/>
        </w:rPr>
      </w:pPr>
      <w:bookmarkStart w:id="653" w:name="_Toc2511"/>
      <w:bookmarkStart w:id="654" w:name="_Toc25273"/>
    </w:p>
    <w:p w14:paraId="124F697E">
      <w:pPr>
        <w:pStyle w:val="20"/>
        <w:ind w:left="0" w:firstLine="0"/>
        <w:rPr>
          <w:rFonts w:hint="eastAsia" w:ascii="仿宋" w:hAnsi="仿宋" w:eastAsia="仿宋" w:cs="仿宋"/>
          <w:color w:val="auto"/>
          <w:sz w:val="24"/>
          <w:szCs w:val="24"/>
          <w:highlight w:val="none"/>
        </w:rPr>
      </w:pPr>
    </w:p>
    <w:p w14:paraId="707519F2">
      <w:pPr>
        <w:rPr>
          <w:rFonts w:hint="eastAsia" w:ascii="仿宋" w:hAnsi="仿宋" w:eastAsia="仿宋" w:cs="仿宋"/>
          <w:color w:val="auto"/>
          <w:sz w:val="24"/>
          <w:szCs w:val="24"/>
          <w:highlight w:val="none"/>
        </w:rPr>
      </w:pPr>
    </w:p>
    <w:p w14:paraId="2C0F5D5C">
      <w:pPr>
        <w:pStyle w:val="65"/>
        <w:outlineLvl w:val="9"/>
        <w:rPr>
          <w:rFonts w:hint="eastAsia" w:ascii="仿宋" w:hAnsi="仿宋" w:eastAsia="仿宋" w:cs="仿宋"/>
          <w:color w:val="auto"/>
          <w:sz w:val="24"/>
          <w:szCs w:val="24"/>
          <w:highlight w:val="none"/>
        </w:rPr>
      </w:pPr>
    </w:p>
    <w:p w14:paraId="218F416D">
      <w:pPr>
        <w:rPr>
          <w:rFonts w:hint="eastAsia" w:ascii="仿宋" w:hAnsi="仿宋" w:eastAsia="仿宋" w:cs="仿宋"/>
          <w:color w:val="auto"/>
          <w:sz w:val="24"/>
          <w:szCs w:val="24"/>
          <w:highlight w:val="none"/>
        </w:rPr>
      </w:pPr>
    </w:p>
    <w:p w14:paraId="695B35D1">
      <w:pPr>
        <w:pStyle w:val="65"/>
        <w:outlineLvl w:val="9"/>
        <w:rPr>
          <w:rFonts w:hint="eastAsia" w:ascii="仿宋" w:hAnsi="仿宋" w:eastAsia="仿宋" w:cs="仿宋"/>
          <w:highlight w:val="none"/>
        </w:rPr>
      </w:pPr>
    </w:p>
    <w:p w14:paraId="324C0966">
      <w:pPr>
        <w:rPr>
          <w:rFonts w:hint="eastAsia" w:ascii="仿宋" w:hAnsi="仿宋" w:eastAsia="仿宋" w:cs="仿宋"/>
          <w:highlight w:val="none"/>
        </w:rPr>
      </w:pPr>
    </w:p>
    <w:p w14:paraId="1E49A9BD">
      <w:pPr>
        <w:rPr>
          <w:rFonts w:hint="eastAsia" w:ascii="仿宋" w:hAnsi="仿宋" w:eastAsia="仿宋" w:cs="仿宋"/>
          <w:highlight w:val="none"/>
        </w:rPr>
      </w:pPr>
    </w:p>
    <w:p w14:paraId="622A16BB">
      <w:pPr>
        <w:pStyle w:val="337"/>
        <w:keepNext w:val="0"/>
        <w:keepLines w:val="0"/>
        <w:widowControl/>
        <w:spacing w:before="0" w:after="0" w:line="360" w:lineRule="auto"/>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专用合同条件附件</w:t>
      </w:r>
      <w:bookmarkEnd w:id="653"/>
      <w:bookmarkEnd w:id="654"/>
    </w:p>
    <w:p w14:paraId="323C8632">
      <w:pPr>
        <w:rPr>
          <w:rFonts w:hint="eastAsia" w:ascii="仿宋" w:hAnsi="仿宋" w:eastAsia="仿宋" w:cs="仿宋"/>
          <w:color w:val="auto"/>
          <w:sz w:val="24"/>
          <w:szCs w:val="24"/>
          <w:highlight w:val="none"/>
        </w:rPr>
      </w:pPr>
    </w:p>
    <w:p w14:paraId="6158A48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附件1：工程质量保修书</w:t>
      </w:r>
    </w:p>
    <w:p w14:paraId="60F26AD8">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附件2：主要建设工程文件目录</w:t>
      </w:r>
    </w:p>
    <w:p w14:paraId="13919E9C">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附件3：承包人主要管理人员表</w:t>
      </w:r>
    </w:p>
    <w:p w14:paraId="3FCFE7DC">
      <w:pPr>
        <w:pStyle w:val="339"/>
        <w:outlineLvl w:val="9"/>
        <w:rPr>
          <w:rFonts w:hint="eastAsia" w:ascii="仿宋" w:hAnsi="仿宋" w:eastAsia="仿宋" w:cs="仿宋"/>
          <w:color w:val="auto"/>
          <w:sz w:val="24"/>
          <w:szCs w:val="24"/>
          <w:highlight w:val="none"/>
        </w:rPr>
      </w:pPr>
      <w:bookmarkStart w:id="655" w:name="_Toc20171895"/>
      <w:bookmarkStart w:id="656" w:name="_Toc32488"/>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4"/>
          <w:szCs w:val="24"/>
          <w:highlight w:val="none"/>
        </w:rPr>
        <w:t>附件1  工程质量保修书</w:t>
      </w:r>
      <w:bookmarkEnd w:id="655"/>
      <w:bookmarkEnd w:id="656"/>
    </w:p>
    <w:p w14:paraId="645FA6A9">
      <w:pPr>
        <w:spacing w:line="360" w:lineRule="auto"/>
        <w:ind w:firstLine="42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新沂市住房和城乡建设局</w:t>
      </w:r>
    </w:p>
    <w:p w14:paraId="2337FE13">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承包人（全称）：</w:t>
      </w:r>
    </w:p>
    <w:p w14:paraId="2CD533E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发包人和承包人根据《中华人民共和国建筑法》和《建设工程质量管理条例》，经协商一致就（工程全称）订立工程质量保修书。</w:t>
      </w:r>
    </w:p>
    <w:p w14:paraId="3711EAEC">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一、工程质量保修范围和内容</w:t>
      </w:r>
    </w:p>
    <w:p w14:paraId="6F5639A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承包人在质量保修期内，按照有关法律规定和合同约定，承担工程质量保修责任。</w:t>
      </w:r>
    </w:p>
    <w:p w14:paraId="3C8DF7FD">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8D1C53E">
      <w:pPr>
        <w:spacing w:line="360" w:lineRule="auto"/>
        <w:ind w:firstLine="42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二、质量保修期</w:t>
      </w:r>
    </w:p>
    <w:p w14:paraId="2F751B5D">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根据《建设工程质量管理条例》及有关规定，工程的质量保修期如下：</w:t>
      </w:r>
    </w:p>
    <w:p w14:paraId="0EC83311">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1．地基基础工程和主体结构工程为设计文件规定的工程合理使用年限；</w:t>
      </w:r>
    </w:p>
    <w:p w14:paraId="689947D2">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2．屋面防水工程、有防水要求的卫生间、房间和外墙面的防渗为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p>
    <w:p w14:paraId="02E3F62F">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3．装修工程为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年；</w:t>
      </w:r>
    </w:p>
    <w:p w14:paraId="131F449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4．电气管线、给排水管道、设备安装工程为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年；</w:t>
      </w:r>
    </w:p>
    <w:p w14:paraId="39292C08">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5．供热与供冷系统为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个采暖期、供冷期；</w:t>
      </w:r>
    </w:p>
    <w:p w14:paraId="29007DB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6．住宅小区内的给排水设施、道路等配套工程为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年；</w:t>
      </w:r>
    </w:p>
    <w:p w14:paraId="38B3EC4B">
      <w:pPr>
        <w:spacing w:line="360" w:lineRule="auto"/>
        <w:ind w:firstLine="420"/>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7．其他项目保修期限约定如下：。</w:t>
      </w:r>
    </w:p>
    <w:p w14:paraId="10145FBC">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质量保修期自工程竣工验收合格之日起计算。</w:t>
      </w:r>
    </w:p>
    <w:p w14:paraId="4F37E250">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三、缺陷责任期</w:t>
      </w:r>
    </w:p>
    <w:p w14:paraId="6F0555A9">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个月，缺陷责任期自工程通过竣工验收之日起计算。单位/区段工程先于全部工程进行验收，单位/区段工程缺陷责任期自单位/区段工程验收合格之日起算。</w:t>
      </w:r>
    </w:p>
    <w:p w14:paraId="56197B14">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四、质量保修责任</w:t>
      </w:r>
    </w:p>
    <w:p w14:paraId="29BB512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1．属于保修范围、内容的项目，承包人应当在接到保修通知之日起7天内派人保修。承包人不在约定期限内派人保修的，发包人可以委托他人修理。</w:t>
      </w:r>
    </w:p>
    <w:p w14:paraId="1E86036C">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2．发生紧急事故需抢修的，承包人在接到事故通知后，应当立即到达事故现场抢修。</w:t>
      </w:r>
    </w:p>
    <w:p w14:paraId="355D5FAA">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5AE0E95C">
      <w:pPr>
        <w:spacing w:line="360" w:lineRule="auto"/>
        <w:ind w:firstLine="420"/>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4．质量保修完成后，由发包人组织验收。</w:t>
      </w:r>
    </w:p>
    <w:p w14:paraId="12FED59C">
      <w:pPr>
        <w:spacing w:line="360" w:lineRule="auto"/>
        <w:ind w:firstLine="420"/>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五、保修费用</w:t>
      </w:r>
    </w:p>
    <w:p w14:paraId="4B7A348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保修费用由造成质量缺陷的责任方承担。</w:t>
      </w:r>
    </w:p>
    <w:p w14:paraId="728379E8">
      <w:pPr>
        <w:spacing w:line="360" w:lineRule="auto"/>
        <w:ind w:firstLine="420"/>
        <w:outlineLvl w:val="2"/>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六、双方约定的其他工程质量保修事项：。</w:t>
      </w:r>
    </w:p>
    <w:p w14:paraId="7054CDE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工程质量保修书由发包人、承包人在工程竣工验收前共同签署，作为工程总承包合同附件，其有效期限至保修期满。</w:t>
      </w:r>
    </w:p>
    <w:p w14:paraId="2D190431">
      <w:pPr>
        <w:spacing w:line="360" w:lineRule="auto"/>
        <w:ind w:firstLine="420"/>
        <w:rPr>
          <w:rFonts w:hint="eastAsia" w:ascii="仿宋" w:hAnsi="仿宋" w:eastAsia="仿宋" w:cs="仿宋"/>
          <w:color w:val="auto"/>
          <w:sz w:val="24"/>
          <w:szCs w:val="24"/>
          <w:highlight w:val="none"/>
        </w:rPr>
      </w:pPr>
    </w:p>
    <w:p w14:paraId="37B46875">
      <w:pPr>
        <w:pStyle w:val="336"/>
        <w:outlineLvl w:val="9"/>
        <w:rPr>
          <w:rFonts w:hint="eastAsia" w:ascii="仿宋" w:hAnsi="仿宋" w:eastAsia="仿宋" w:cs="仿宋"/>
          <w:color w:val="auto"/>
          <w:sz w:val="24"/>
          <w:szCs w:val="24"/>
          <w:highlight w:val="none"/>
        </w:rPr>
      </w:pPr>
    </w:p>
    <w:p w14:paraId="704E723D">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          </w:t>
      </w:r>
    </w:p>
    <w:p w14:paraId="1304D368">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地  址：       </w:t>
      </w:r>
    </w:p>
    <w:p w14:paraId="6C13E9E4">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                       法定代表人(签字)：       </w:t>
      </w:r>
    </w:p>
    <w:p w14:paraId="385E8E71">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委托代理人(签字)：                       委托代理人(签字)：       </w:t>
      </w:r>
    </w:p>
    <w:p w14:paraId="6258FEA9">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                                 电  话：</w:t>
      </w:r>
    </w:p>
    <w:p w14:paraId="2DE7AFD4">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传  真：  </w:t>
      </w:r>
    </w:p>
    <w:p w14:paraId="4B7B88B2">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                               开户银行：</w:t>
      </w:r>
    </w:p>
    <w:p w14:paraId="15264F33">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账  号： </w:t>
      </w:r>
    </w:p>
    <w:p w14:paraId="091A50FD">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                               邮政编码：</w:t>
      </w:r>
    </w:p>
    <w:p w14:paraId="4732C639">
      <w:pPr>
        <w:pStyle w:val="339"/>
        <w:outlineLvl w:val="9"/>
        <w:rPr>
          <w:rFonts w:hint="eastAsia" w:ascii="仿宋" w:hAnsi="仿宋" w:eastAsia="仿宋" w:cs="仿宋"/>
          <w:color w:val="auto"/>
          <w:sz w:val="24"/>
          <w:szCs w:val="24"/>
          <w:highlight w:val="none"/>
        </w:rPr>
      </w:pPr>
      <w:bookmarkStart w:id="657" w:name="_Toc9101"/>
      <w:bookmarkStart w:id="658" w:name="_Toc20171896"/>
    </w:p>
    <w:p w14:paraId="2810DA03">
      <w:pPr>
        <w:rPr>
          <w:rFonts w:hint="eastAsia" w:ascii="仿宋" w:hAnsi="仿宋" w:eastAsia="仿宋" w:cs="仿宋"/>
          <w:color w:val="auto"/>
          <w:sz w:val="24"/>
          <w:szCs w:val="24"/>
          <w:highlight w:val="none"/>
        </w:rPr>
      </w:pPr>
    </w:p>
    <w:p w14:paraId="67875264">
      <w:pPr>
        <w:pStyle w:val="339"/>
        <w:outlineLvl w:val="9"/>
        <w:rPr>
          <w:rFonts w:hint="eastAsia" w:ascii="仿宋" w:hAnsi="仿宋" w:eastAsia="仿宋" w:cs="仿宋"/>
          <w:color w:val="auto"/>
          <w:sz w:val="24"/>
          <w:szCs w:val="24"/>
          <w:highlight w:val="none"/>
        </w:rPr>
      </w:pPr>
    </w:p>
    <w:p w14:paraId="73EC7E4B">
      <w:pPr>
        <w:rPr>
          <w:rFonts w:hint="eastAsia" w:ascii="仿宋" w:hAnsi="仿宋" w:eastAsia="仿宋" w:cs="仿宋"/>
          <w:color w:val="auto"/>
          <w:highlight w:val="none"/>
        </w:rPr>
      </w:pPr>
    </w:p>
    <w:p w14:paraId="746F1F1B">
      <w:pPr>
        <w:pStyle w:val="339"/>
        <w:outlineLvl w:val="0"/>
        <w:rPr>
          <w:rFonts w:hint="eastAsia" w:ascii="仿宋" w:hAnsi="仿宋" w:eastAsia="仿宋" w:cs="仿宋"/>
          <w:color w:val="auto"/>
          <w:sz w:val="24"/>
          <w:szCs w:val="24"/>
          <w:highlight w:val="none"/>
        </w:rPr>
      </w:pPr>
      <w:bookmarkStart w:id="659" w:name="_Toc16795"/>
      <w:bookmarkStart w:id="660" w:name="_Toc7898"/>
      <w:r>
        <w:rPr>
          <w:rFonts w:hint="eastAsia" w:ascii="仿宋" w:hAnsi="仿宋" w:eastAsia="仿宋" w:cs="仿宋"/>
          <w:color w:val="auto"/>
          <w:sz w:val="24"/>
          <w:szCs w:val="24"/>
          <w:highlight w:val="none"/>
        </w:rPr>
        <w:t>附件2  主要建设工程文件目录</w:t>
      </w:r>
      <w:bookmarkEnd w:id="657"/>
      <w:bookmarkEnd w:id="658"/>
      <w:bookmarkEnd w:id="659"/>
      <w:bookmarkEnd w:id="660"/>
    </w:p>
    <w:tbl>
      <w:tblPr>
        <w:tblStyle w:val="38"/>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125"/>
        <w:gridCol w:w="1276"/>
        <w:gridCol w:w="1450"/>
        <w:gridCol w:w="1243"/>
        <w:gridCol w:w="1450"/>
        <w:gridCol w:w="1670"/>
      </w:tblGrid>
      <w:tr w14:paraId="7D100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exac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2413D648">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文件名称</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7D2B8A9">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套数</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0D99E0ED">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费用（元）</w:t>
            </w:r>
          </w:p>
        </w:tc>
        <w:tc>
          <w:tcPr>
            <w:tcW w:w="1243" w:type="dxa"/>
            <w:tcBorders>
              <w:top w:val="single" w:color="auto" w:sz="4" w:space="0"/>
              <w:left w:val="single" w:color="auto" w:sz="4" w:space="0"/>
              <w:bottom w:val="single" w:color="auto" w:sz="4" w:space="0"/>
              <w:right w:val="single" w:color="auto" w:sz="4" w:space="0"/>
            </w:tcBorders>
            <w:noWrap w:val="0"/>
            <w:vAlign w:val="center"/>
          </w:tcPr>
          <w:p w14:paraId="080E4C2D">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0226D4C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移交时间</w:t>
            </w:r>
          </w:p>
        </w:tc>
        <w:tc>
          <w:tcPr>
            <w:tcW w:w="1670" w:type="dxa"/>
            <w:tcBorders>
              <w:top w:val="single" w:color="auto" w:sz="4" w:space="0"/>
              <w:left w:val="single" w:color="auto" w:sz="4" w:space="0"/>
              <w:bottom w:val="single" w:color="auto" w:sz="4" w:space="0"/>
              <w:right w:val="single" w:color="auto" w:sz="4" w:space="0"/>
            </w:tcBorders>
            <w:noWrap w:val="0"/>
            <w:vAlign w:val="center"/>
          </w:tcPr>
          <w:p w14:paraId="78510E3C">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责任人</w:t>
            </w:r>
          </w:p>
        </w:tc>
      </w:tr>
      <w:tr w14:paraId="56044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exac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1A721A6A">
            <w:pPr>
              <w:pStyle w:val="17"/>
              <w:jc w:val="center"/>
              <w:rPr>
                <w:rFonts w:hint="eastAsia" w:ascii="仿宋" w:hAnsi="仿宋" w:eastAsia="仿宋" w:cs="仿宋"/>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76CB6BE">
            <w:pPr>
              <w:pStyle w:val="17"/>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3E4E661C">
            <w:pPr>
              <w:pStyle w:val="17"/>
              <w:jc w:val="center"/>
              <w:rPr>
                <w:rFonts w:hint="eastAsia" w:ascii="仿宋" w:hAnsi="仿宋" w:eastAsia="仿宋" w:cs="仿宋"/>
                <w:color w:val="auto"/>
                <w:sz w:val="24"/>
                <w:szCs w:val="24"/>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3EACB8BA">
            <w:pPr>
              <w:pStyle w:val="17"/>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07283BA5">
            <w:pPr>
              <w:pStyle w:val="17"/>
              <w:jc w:val="center"/>
              <w:rPr>
                <w:rFonts w:hint="eastAsia" w:ascii="仿宋" w:hAnsi="仿宋" w:eastAsia="仿宋" w:cs="仿宋"/>
                <w:color w:val="auto"/>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1815AADA">
            <w:pPr>
              <w:pStyle w:val="17"/>
              <w:jc w:val="center"/>
              <w:rPr>
                <w:rFonts w:hint="eastAsia" w:ascii="仿宋" w:hAnsi="仿宋" w:eastAsia="仿宋" w:cs="仿宋"/>
                <w:color w:val="auto"/>
                <w:sz w:val="24"/>
                <w:szCs w:val="24"/>
                <w:highlight w:val="none"/>
              </w:rPr>
            </w:pPr>
          </w:p>
        </w:tc>
      </w:tr>
      <w:tr w14:paraId="1D2C8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exac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2077DE42">
            <w:pPr>
              <w:pStyle w:val="17"/>
              <w:jc w:val="center"/>
              <w:rPr>
                <w:rFonts w:hint="eastAsia" w:ascii="仿宋" w:hAnsi="仿宋" w:eastAsia="仿宋" w:cs="仿宋"/>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122110A">
            <w:pPr>
              <w:pStyle w:val="17"/>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7386DC4F">
            <w:pPr>
              <w:pStyle w:val="17"/>
              <w:jc w:val="center"/>
              <w:rPr>
                <w:rFonts w:hint="eastAsia" w:ascii="仿宋" w:hAnsi="仿宋" w:eastAsia="仿宋" w:cs="仿宋"/>
                <w:color w:val="auto"/>
                <w:sz w:val="24"/>
                <w:szCs w:val="24"/>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5E96C51E">
            <w:pPr>
              <w:pStyle w:val="17"/>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500711C9">
            <w:pPr>
              <w:pStyle w:val="17"/>
              <w:jc w:val="center"/>
              <w:rPr>
                <w:rFonts w:hint="eastAsia" w:ascii="仿宋" w:hAnsi="仿宋" w:eastAsia="仿宋" w:cs="仿宋"/>
                <w:color w:val="auto"/>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46C9BCE3">
            <w:pPr>
              <w:pStyle w:val="17"/>
              <w:jc w:val="center"/>
              <w:rPr>
                <w:rFonts w:hint="eastAsia" w:ascii="仿宋" w:hAnsi="仿宋" w:eastAsia="仿宋" w:cs="仿宋"/>
                <w:color w:val="auto"/>
                <w:sz w:val="24"/>
                <w:szCs w:val="24"/>
                <w:highlight w:val="none"/>
              </w:rPr>
            </w:pPr>
          </w:p>
        </w:tc>
      </w:tr>
      <w:tr w14:paraId="73C00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exac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3EC086B6">
            <w:pPr>
              <w:pStyle w:val="17"/>
              <w:jc w:val="center"/>
              <w:rPr>
                <w:rFonts w:hint="eastAsia" w:ascii="仿宋" w:hAnsi="仿宋" w:eastAsia="仿宋" w:cs="仿宋"/>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5981A65">
            <w:pPr>
              <w:pStyle w:val="17"/>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10813B91">
            <w:pPr>
              <w:pStyle w:val="17"/>
              <w:jc w:val="center"/>
              <w:rPr>
                <w:rFonts w:hint="eastAsia" w:ascii="仿宋" w:hAnsi="仿宋" w:eastAsia="仿宋" w:cs="仿宋"/>
                <w:color w:val="auto"/>
                <w:sz w:val="24"/>
                <w:szCs w:val="24"/>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45CA3AAB">
            <w:pPr>
              <w:pStyle w:val="17"/>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7D97A5FF">
            <w:pPr>
              <w:pStyle w:val="17"/>
              <w:jc w:val="center"/>
              <w:rPr>
                <w:rFonts w:hint="eastAsia" w:ascii="仿宋" w:hAnsi="仿宋" w:eastAsia="仿宋" w:cs="仿宋"/>
                <w:color w:val="auto"/>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3D48E70B">
            <w:pPr>
              <w:pStyle w:val="17"/>
              <w:jc w:val="center"/>
              <w:rPr>
                <w:rFonts w:hint="eastAsia" w:ascii="仿宋" w:hAnsi="仿宋" w:eastAsia="仿宋" w:cs="仿宋"/>
                <w:color w:val="auto"/>
                <w:sz w:val="24"/>
                <w:szCs w:val="24"/>
                <w:highlight w:val="none"/>
              </w:rPr>
            </w:pPr>
          </w:p>
        </w:tc>
      </w:tr>
      <w:tr w14:paraId="33233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exac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4803D11A">
            <w:pPr>
              <w:pStyle w:val="17"/>
              <w:jc w:val="center"/>
              <w:rPr>
                <w:rFonts w:hint="eastAsia" w:ascii="仿宋" w:hAnsi="仿宋" w:eastAsia="仿宋" w:cs="仿宋"/>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7F0F2A1">
            <w:pPr>
              <w:pStyle w:val="17"/>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742573A4">
            <w:pPr>
              <w:pStyle w:val="17"/>
              <w:jc w:val="center"/>
              <w:rPr>
                <w:rFonts w:hint="eastAsia" w:ascii="仿宋" w:hAnsi="仿宋" w:eastAsia="仿宋" w:cs="仿宋"/>
                <w:color w:val="auto"/>
                <w:sz w:val="24"/>
                <w:szCs w:val="24"/>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7794259F">
            <w:pPr>
              <w:pStyle w:val="17"/>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06EEE351">
            <w:pPr>
              <w:pStyle w:val="17"/>
              <w:jc w:val="center"/>
              <w:rPr>
                <w:rFonts w:hint="eastAsia" w:ascii="仿宋" w:hAnsi="仿宋" w:eastAsia="仿宋" w:cs="仿宋"/>
                <w:color w:val="auto"/>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58891187">
            <w:pPr>
              <w:pStyle w:val="17"/>
              <w:jc w:val="center"/>
              <w:rPr>
                <w:rFonts w:hint="eastAsia" w:ascii="仿宋" w:hAnsi="仿宋" w:eastAsia="仿宋" w:cs="仿宋"/>
                <w:color w:val="auto"/>
                <w:sz w:val="24"/>
                <w:szCs w:val="24"/>
                <w:highlight w:val="none"/>
              </w:rPr>
            </w:pPr>
          </w:p>
        </w:tc>
      </w:tr>
      <w:tr w14:paraId="3D65C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exac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2D453B78">
            <w:pPr>
              <w:pStyle w:val="17"/>
              <w:jc w:val="center"/>
              <w:rPr>
                <w:rFonts w:hint="eastAsia" w:ascii="仿宋" w:hAnsi="仿宋" w:eastAsia="仿宋" w:cs="仿宋"/>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7DBC732">
            <w:pPr>
              <w:pStyle w:val="17"/>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0D41B67C">
            <w:pPr>
              <w:pStyle w:val="17"/>
              <w:jc w:val="center"/>
              <w:rPr>
                <w:rFonts w:hint="eastAsia" w:ascii="仿宋" w:hAnsi="仿宋" w:eastAsia="仿宋" w:cs="仿宋"/>
                <w:color w:val="auto"/>
                <w:sz w:val="24"/>
                <w:szCs w:val="24"/>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3EEF6B03">
            <w:pPr>
              <w:pStyle w:val="17"/>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4F7C8E73">
            <w:pPr>
              <w:pStyle w:val="17"/>
              <w:jc w:val="center"/>
              <w:rPr>
                <w:rFonts w:hint="eastAsia" w:ascii="仿宋" w:hAnsi="仿宋" w:eastAsia="仿宋" w:cs="仿宋"/>
                <w:color w:val="auto"/>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3E464338">
            <w:pPr>
              <w:pStyle w:val="17"/>
              <w:jc w:val="center"/>
              <w:rPr>
                <w:rFonts w:hint="eastAsia" w:ascii="仿宋" w:hAnsi="仿宋" w:eastAsia="仿宋" w:cs="仿宋"/>
                <w:color w:val="auto"/>
                <w:sz w:val="24"/>
                <w:szCs w:val="24"/>
                <w:highlight w:val="none"/>
              </w:rPr>
            </w:pPr>
          </w:p>
        </w:tc>
      </w:tr>
      <w:tr w14:paraId="332F0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exac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5398764C">
            <w:pPr>
              <w:pStyle w:val="17"/>
              <w:jc w:val="center"/>
              <w:rPr>
                <w:rFonts w:hint="eastAsia" w:ascii="仿宋" w:hAnsi="仿宋" w:eastAsia="仿宋" w:cs="仿宋"/>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ED5470C">
            <w:pPr>
              <w:pStyle w:val="17"/>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71E3F9CD">
            <w:pPr>
              <w:pStyle w:val="17"/>
              <w:jc w:val="center"/>
              <w:rPr>
                <w:rFonts w:hint="eastAsia" w:ascii="仿宋" w:hAnsi="仿宋" w:eastAsia="仿宋" w:cs="仿宋"/>
                <w:color w:val="auto"/>
                <w:sz w:val="24"/>
                <w:szCs w:val="24"/>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66C983C9">
            <w:pPr>
              <w:pStyle w:val="17"/>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4523527F">
            <w:pPr>
              <w:pStyle w:val="17"/>
              <w:jc w:val="center"/>
              <w:rPr>
                <w:rFonts w:hint="eastAsia" w:ascii="仿宋" w:hAnsi="仿宋" w:eastAsia="仿宋" w:cs="仿宋"/>
                <w:color w:val="auto"/>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2D47502F">
            <w:pPr>
              <w:pStyle w:val="17"/>
              <w:jc w:val="center"/>
              <w:rPr>
                <w:rFonts w:hint="eastAsia" w:ascii="仿宋" w:hAnsi="仿宋" w:eastAsia="仿宋" w:cs="仿宋"/>
                <w:color w:val="auto"/>
                <w:sz w:val="24"/>
                <w:szCs w:val="24"/>
                <w:highlight w:val="none"/>
              </w:rPr>
            </w:pPr>
          </w:p>
        </w:tc>
      </w:tr>
      <w:tr w14:paraId="5E355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exac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171FC635">
            <w:pPr>
              <w:pStyle w:val="17"/>
              <w:jc w:val="center"/>
              <w:rPr>
                <w:rFonts w:hint="eastAsia" w:ascii="仿宋" w:hAnsi="仿宋" w:eastAsia="仿宋" w:cs="仿宋"/>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7EDB351">
            <w:pPr>
              <w:pStyle w:val="17"/>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4EE1E88B">
            <w:pPr>
              <w:pStyle w:val="17"/>
              <w:jc w:val="center"/>
              <w:rPr>
                <w:rFonts w:hint="eastAsia" w:ascii="仿宋" w:hAnsi="仿宋" w:eastAsia="仿宋" w:cs="仿宋"/>
                <w:color w:val="auto"/>
                <w:sz w:val="24"/>
                <w:szCs w:val="24"/>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3BCB6C7B">
            <w:pPr>
              <w:pStyle w:val="17"/>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4A119214">
            <w:pPr>
              <w:pStyle w:val="17"/>
              <w:jc w:val="center"/>
              <w:rPr>
                <w:rFonts w:hint="eastAsia" w:ascii="仿宋" w:hAnsi="仿宋" w:eastAsia="仿宋" w:cs="仿宋"/>
                <w:color w:val="auto"/>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3B26872D">
            <w:pPr>
              <w:pStyle w:val="17"/>
              <w:jc w:val="center"/>
              <w:rPr>
                <w:rFonts w:hint="eastAsia" w:ascii="仿宋" w:hAnsi="仿宋" w:eastAsia="仿宋" w:cs="仿宋"/>
                <w:color w:val="auto"/>
                <w:sz w:val="24"/>
                <w:szCs w:val="24"/>
                <w:highlight w:val="none"/>
              </w:rPr>
            </w:pPr>
          </w:p>
        </w:tc>
      </w:tr>
      <w:tr w14:paraId="5F408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exac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75D0769F">
            <w:pPr>
              <w:pStyle w:val="17"/>
              <w:jc w:val="center"/>
              <w:rPr>
                <w:rFonts w:hint="eastAsia" w:ascii="仿宋" w:hAnsi="仿宋" w:eastAsia="仿宋" w:cs="仿宋"/>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FE37525">
            <w:pPr>
              <w:pStyle w:val="17"/>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60839E74">
            <w:pPr>
              <w:pStyle w:val="17"/>
              <w:jc w:val="center"/>
              <w:rPr>
                <w:rFonts w:hint="eastAsia" w:ascii="仿宋" w:hAnsi="仿宋" w:eastAsia="仿宋" w:cs="仿宋"/>
                <w:color w:val="auto"/>
                <w:sz w:val="24"/>
                <w:szCs w:val="24"/>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1273B518">
            <w:pPr>
              <w:pStyle w:val="17"/>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66392320">
            <w:pPr>
              <w:pStyle w:val="17"/>
              <w:jc w:val="center"/>
              <w:rPr>
                <w:rFonts w:hint="eastAsia" w:ascii="仿宋" w:hAnsi="仿宋" w:eastAsia="仿宋" w:cs="仿宋"/>
                <w:color w:val="auto"/>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34806B46">
            <w:pPr>
              <w:pStyle w:val="17"/>
              <w:jc w:val="center"/>
              <w:rPr>
                <w:rFonts w:hint="eastAsia" w:ascii="仿宋" w:hAnsi="仿宋" w:eastAsia="仿宋" w:cs="仿宋"/>
                <w:color w:val="auto"/>
                <w:sz w:val="24"/>
                <w:szCs w:val="24"/>
                <w:highlight w:val="none"/>
              </w:rPr>
            </w:pPr>
          </w:p>
        </w:tc>
      </w:tr>
      <w:tr w14:paraId="427D6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exac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0B94AB65">
            <w:pPr>
              <w:jc w:val="center"/>
              <w:rPr>
                <w:rFonts w:hint="eastAsia" w:ascii="仿宋" w:hAnsi="仿宋" w:eastAsia="仿宋" w:cs="仿宋"/>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57830C0">
            <w:pPr>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37169A2A">
            <w:pPr>
              <w:jc w:val="center"/>
              <w:rPr>
                <w:rFonts w:hint="eastAsia" w:ascii="仿宋" w:hAnsi="仿宋" w:eastAsia="仿宋" w:cs="仿宋"/>
                <w:color w:val="auto"/>
                <w:sz w:val="24"/>
                <w:szCs w:val="24"/>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76221B2C">
            <w:pPr>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3856DF93">
            <w:pPr>
              <w:jc w:val="center"/>
              <w:rPr>
                <w:rFonts w:hint="eastAsia" w:ascii="仿宋" w:hAnsi="仿宋" w:eastAsia="仿宋" w:cs="仿宋"/>
                <w:color w:val="auto"/>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6D770436">
            <w:pPr>
              <w:jc w:val="center"/>
              <w:rPr>
                <w:rFonts w:hint="eastAsia" w:ascii="仿宋" w:hAnsi="仿宋" w:eastAsia="仿宋" w:cs="仿宋"/>
                <w:color w:val="auto"/>
                <w:sz w:val="24"/>
                <w:szCs w:val="24"/>
                <w:highlight w:val="none"/>
              </w:rPr>
            </w:pPr>
          </w:p>
        </w:tc>
      </w:tr>
      <w:tr w14:paraId="5A50B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exac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3BCAB5E3">
            <w:pPr>
              <w:pStyle w:val="17"/>
              <w:jc w:val="center"/>
              <w:rPr>
                <w:rFonts w:hint="eastAsia" w:ascii="仿宋" w:hAnsi="仿宋" w:eastAsia="仿宋" w:cs="仿宋"/>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CDBC6AA">
            <w:pPr>
              <w:pStyle w:val="17"/>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55B756D1">
            <w:pPr>
              <w:pStyle w:val="17"/>
              <w:jc w:val="center"/>
              <w:rPr>
                <w:rFonts w:hint="eastAsia" w:ascii="仿宋" w:hAnsi="仿宋" w:eastAsia="仿宋" w:cs="仿宋"/>
                <w:color w:val="auto"/>
                <w:sz w:val="24"/>
                <w:szCs w:val="24"/>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0B4F3EFF">
            <w:pPr>
              <w:pStyle w:val="17"/>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3FD675B1">
            <w:pPr>
              <w:pStyle w:val="17"/>
              <w:jc w:val="center"/>
              <w:rPr>
                <w:rFonts w:hint="eastAsia" w:ascii="仿宋" w:hAnsi="仿宋" w:eastAsia="仿宋" w:cs="仿宋"/>
                <w:color w:val="auto"/>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03FC59D1">
            <w:pPr>
              <w:pStyle w:val="17"/>
              <w:jc w:val="center"/>
              <w:rPr>
                <w:rFonts w:hint="eastAsia" w:ascii="仿宋" w:hAnsi="仿宋" w:eastAsia="仿宋" w:cs="仿宋"/>
                <w:color w:val="auto"/>
                <w:sz w:val="24"/>
                <w:szCs w:val="24"/>
                <w:highlight w:val="none"/>
              </w:rPr>
            </w:pPr>
          </w:p>
        </w:tc>
      </w:tr>
      <w:tr w14:paraId="29C28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exac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507F2EAC">
            <w:pPr>
              <w:jc w:val="center"/>
              <w:rPr>
                <w:rFonts w:hint="eastAsia" w:ascii="仿宋" w:hAnsi="仿宋" w:eastAsia="仿宋" w:cs="仿宋"/>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86825B5">
            <w:pPr>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0F0C3F79">
            <w:pPr>
              <w:jc w:val="center"/>
              <w:rPr>
                <w:rFonts w:hint="eastAsia" w:ascii="仿宋" w:hAnsi="仿宋" w:eastAsia="仿宋" w:cs="仿宋"/>
                <w:color w:val="auto"/>
                <w:sz w:val="24"/>
                <w:szCs w:val="24"/>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27A8E0CF">
            <w:pPr>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5E7D49CD">
            <w:pPr>
              <w:jc w:val="center"/>
              <w:rPr>
                <w:rFonts w:hint="eastAsia" w:ascii="仿宋" w:hAnsi="仿宋" w:eastAsia="仿宋" w:cs="仿宋"/>
                <w:color w:val="auto"/>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386F4568">
            <w:pPr>
              <w:jc w:val="center"/>
              <w:rPr>
                <w:rFonts w:hint="eastAsia" w:ascii="仿宋" w:hAnsi="仿宋" w:eastAsia="仿宋" w:cs="仿宋"/>
                <w:color w:val="auto"/>
                <w:sz w:val="24"/>
                <w:szCs w:val="24"/>
                <w:highlight w:val="none"/>
              </w:rPr>
            </w:pPr>
          </w:p>
        </w:tc>
      </w:tr>
      <w:tr w14:paraId="11D11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exac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5FF19E1F">
            <w:pPr>
              <w:jc w:val="center"/>
              <w:rPr>
                <w:rFonts w:hint="eastAsia" w:ascii="仿宋" w:hAnsi="仿宋" w:eastAsia="仿宋" w:cs="仿宋"/>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A30930E">
            <w:pPr>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1F25A218">
            <w:pPr>
              <w:jc w:val="center"/>
              <w:rPr>
                <w:rFonts w:hint="eastAsia" w:ascii="仿宋" w:hAnsi="仿宋" w:eastAsia="仿宋" w:cs="仿宋"/>
                <w:color w:val="auto"/>
                <w:sz w:val="24"/>
                <w:szCs w:val="24"/>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10508985">
            <w:pPr>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04AD80F1">
            <w:pPr>
              <w:jc w:val="center"/>
              <w:rPr>
                <w:rFonts w:hint="eastAsia" w:ascii="仿宋" w:hAnsi="仿宋" w:eastAsia="仿宋" w:cs="仿宋"/>
                <w:color w:val="auto"/>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5A4795BA">
            <w:pPr>
              <w:jc w:val="center"/>
              <w:rPr>
                <w:rFonts w:hint="eastAsia" w:ascii="仿宋" w:hAnsi="仿宋" w:eastAsia="仿宋" w:cs="仿宋"/>
                <w:color w:val="auto"/>
                <w:sz w:val="24"/>
                <w:szCs w:val="24"/>
                <w:highlight w:val="none"/>
              </w:rPr>
            </w:pPr>
          </w:p>
        </w:tc>
      </w:tr>
      <w:tr w14:paraId="03F09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exac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3BECF09B">
            <w:pPr>
              <w:jc w:val="center"/>
              <w:rPr>
                <w:rFonts w:hint="eastAsia" w:ascii="仿宋" w:hAnsi="仿宋" w:eastAsia="仿宋" w:cs="仿宋"/>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B93436A">
            <w:pPr>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08649065">
            <w:pPr>
              <w:jc w:val="center"/>
              <w:rPr>
                <w:rFonts w:hint="eastAsia" w:ascii="仿宋" w:hAnsi="仿宋" w:eastAsia="仿宋" w:cs="仿宋"/>
                <w:color w:val="auto"/>
                <w:sz w:val="24"/>
                <w:szCs w:val="24"/>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10208521">
            <w:pPr>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70B6858B">
            <w:pPr>
              <w:jc w:val="center"/>
              <w:rPr>
                <w:rFonts w:hint="eastAsia" w:ascii="仿宋" w:hAnsi="仿宋" w:eastAsia="仿宋" w:cs="仿宋"/>
                <w:color w:val="auto"/>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0F1778F7">
            <w:pPr>
              <w:jc w:val="center"/>
              <w:rPr>
                <w:rFonts w:hint="eastAsia" w:ascii="仿宋" w:hAnsi="仿宋" w:eastAsia="仿宋" w:cs="仿宋"/>
                <w:color w:val="auto"/>
                <w:sz w:val="24"/>
                <w:szCs w:val="24"/>
                <w:highlight w:val="none"/>
              </w:rPr>
            </w:pPr>
          </w:p>
        </w:tc>
      </w:tr>
      <w:tr w14:paraId="028F2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exac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25C45750">
            <w:pPr>
              <w:jc w:val="center"/>
              <w:rPr>
                <w:rFonts w:hint="eastAsia" w:ascii="仿宋" w:hAnsi="仿宋" w:eastAsia="仿宋" w:cs="仿宋"/>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C1D562C">
            <w:pPr>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584BBBC4">
            <w:pPr>
              <w:jc w:val="center"/>
              <w:rPr>
                <w:rFonts w:hint="eastAsia" w:ascii="仿宋" w:hAnsi="仿宋" w:eastAsia="仿宋" w:cs="仿宋"/>
                <w:color w:val="auto"/>
                <w:sz w:val="24"/>
                <w:szCs w:val="24"/>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298D4856">
            <w:pPr>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54599664">
            <w:pPr>
              <w:jc w:val="center"/>
              <w:rPr>
                <w:rFonts w:hint="eastAsia" w:ascii="仿宋" w:hAnsi="仿宋" w:eastAsia="仿宋" w:cs="仿宋"/>
                <w:color w:val="auto"/>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192E1A84">
            <w:pPr>
              <w:jc w:val="center"/>
              <w:rPr>
                <w:rFonts w:hint="eastAsia" w:ascii="仿宋" w:hAnsi="仿宋" w:eastAsia="仿宋" w:cs="仿宋"/>
                <w:color w:val="auto"/>
                <w:sz w:val="24"/>
                <w:szCs w:val="24"/>
                <w:highlight w:val="none"/>
              </w:rPr>
            </w:pPr>
          </w:p>
        </w:tc>
      </w:tr>
      <w:tr w14:paraId="136DD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exac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6AEA42DD">
            <w:pPr>
              <w:jc w:val="center"/>
              <w:rPr>
                <w:rFonts w:hint="eastAsia" w:ascii="仿宋" w:hAnsi="仿宋" w:eastAsia="仿宋" w:cs="仿宋"/>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7420E9B">
            <w:pPr>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4C9FB360">
            <w:pPr>
              <w:jc w:val="center"/>
              <w:rPr>
                <w:rFonts w:hint="eastAsia" w:ascii="仿宋" w:hAnsi="仿宋" w:eastAsia="仿宋" w:cs="仿宋"/>
                <w:color w:val="auto"/>
                <w:sz w:val="24"/>
                <w:szCs w:val="24"/>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0BC64470">
            <w:pPr>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7B889AD1">
            <w:pPr>
              <w:jc w:val="center"/>
              <w:rPr>
                <w:rFonts w:hint="eastAsia" w:ascii="仿宋" w:hAnsi="仿宋" w:eastAsia="仿宋" w:cs="仿宋"/>
                <w:color w:val="auto"/>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077CA6D1">
            <w:pPr>
              <w:jc w:val="center"/>
              <w:rPr>
                <w:rFonts w:hint="eastAsia" w:ascii="仿宋" w:hAnsi="仿宋" w:eastAsia="仿宋" w:cs="仿宋"/>
                <w:color w:val="auto"/>
                <w:sz w:val="24"/>
                <w:szCs w:val="24"/>
                <w:highlight w:val="none"/>
              </w:rPr>
            </w:pPr>
          </w:p>
        </w:tc>
      </w:tr>
      <w:tr w14:paraId="61C4D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exac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0EA06D20">
            <w:pPr>
              <w:jc w:val="center"/>
              <w:rPr>
                <w:rFonts w:hint="eastAsia" w:ascii="仿宋" w:hAnsi="仿宋" w:eastAsia="仿宋" w:cs="仿宋"/>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8768171">
            <w:pPr>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06C1ADAA">
            <w:pPr>
              <w:jc w:val="center"/>
              <w:rPr>
                <w:rFonts w:hint="eastAsia" w:ascii="仿宋" w:hAnsi="仿宋" w:eastAsia="仿宋" w:cs="仿宋"/>
                <w:color w:val="auto"/>
                <w:sz w:val="24"/>
                <w:szCs w:val="24"/>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4E47749F">
            <w:pPr>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5E9891D6">
            <w:pPr>
              <w:jc w:val="center"/>
              <w:rPr>
                <w:rFonts w:hint="eastAsia" w:ascii="仿宋" w:hAnsi="仿宋" w:eastAsia="仿宋" w:cs="仿宋"/>
                <w:color w:val="auto"/>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5B74D0BA">
            <w:pPr>
              <w:jc w:val="center"/>
              <w:rPr>
                <w:rFonts w:hint="eastAsia" w:ascii="仿宋" w:hAnsi="仿宋" w:eastAsia="仿宋" w:cs="仿宋"/>
                <w:color w:val="auto"/>
                <w:sz w:val="24"/>
                <w:szCs w:val="24"/>
                <w:highlight w:val="none"/>
              </w:rPr>
            </w:pPr>
          </w:p>
        </w:tc>
      </w:tr>
      <w:tr w14:paraId="2D210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exac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62BC7F3E">
            <w:pPr>
              <w:jc w:val="center"/>
              <w:rPr>
                <w:rFonts w:hint="eastAsia" w:ascii="仿宋" w:hAnsi="仿宋" w:eastAsia="仿宋" w:cs="仿宋"/>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0A6BA64">
            <w:pPr>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7428D554">
            <w:pPr>
              <w:jc w:val="center"/>
              <w:rPr>
                <w:rFonts w:hint="eastAsia" w:ascii="仿宋" w:hAnsi="仿宋" w:eastAsia="仿宋" w:cs="仿宋"/>
                <w:color w:val="auto"/>
                <w:sz w:val="24"/>
                <w:szCs w:val="24"/>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0BBB2792">
            <w:pPr>
              <w:jc w:val="center"/>
              <w:rPr>
                <w:rFonts w:hint="eastAsia" w:ascii="仿宋" w:hAnsi="仿宋" w:eastAsia="仿宋" w:cs="仿宋"/>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6C79F76E">
            <w:pPr>
              <w:jc w:val="center"/>
              <w:rPr>
                <w:rFonts w:hint="eastAsia" w:ascii="仿宋" w:hAnsi="仿宋" w:eastAsia="仿宋" w:cs="仿宋"/>
                <w:color w:val="auto"/>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4EC8808C">
            <w:pPr>
              <w:jc w:val="center"/>
              <w:rPr>
                <w:rFonts w:hint="eastAsia" w:ascii="仿宋" w:hAnsi="仿宋" w:eastAsia="仿宋" w:cs="仿宋"/>
                <w:color w:val="auto"/>
                <w:sz w:val="24"/>
                <w:szCs w:val="24"/>
                <w:highlight w:val="none"/>
              </w:rPr>
            </w:pPr>
          </w:p>
        </w:tc>
      </w:tr>
    </w:tbl>
    <w:p w14:paraId="5F90CFED">
      <w:pPr>
        <w:rPr>
          <w:rFonts w:hint="eastAsia" w:ascii="仿宋" w:hAnsi="仿宋" w:eastAsia="仿宋" w:cs="仿宋"/>
          <w:color w:val="auto"/>
          <w:sz w:val="24"/>
          <w:szCs w:val="24"/>
          <w:highlight w:val="none"/>
        </w:rPr>
      </w:pPr>
    </w:p>
    <w:p w14:paraId="5E01C432">
      <w:pPr>
        <w:rPr>
          <w:rFonts w:hint="eastAsia" w:ascii="仿宋" w:hAnsi="仿宋" w:eastAsia="仿宋" w:cs="仿宋"/>
          <w:color w:val="auto"/>
          <w:sz w:val="24"/>
          <w:szCs w:val="24"/>
          <w:highlight w:val="none"/>
        </w:rPr>
      </w:pPr>
      <w:bookmarkStart w:id="661" w:name="_Toc16062"/>
      <w:bookmarkStart w:id="662" w:name="_Toc20171897"/>
    </w:p>
    <w:p w14:paraId="5D99C62E">
      <w:pPr>
        <w:pStyle w:val="339"/>
        <w:outlineLvl w:val="9"/>
        <w:rPr>
          <w:rFonts w:hint="eastAsia" w:ascii="仿宋" w:hAnsi="仿宋" w:eastAsia="仿宋" w:cs="仿宋"/>
          <w:color w:val="auto"/>
          <w:sz w:val="24"/>
          <w:szCs w:val="24"/>
          <w:highlight w:val="none"/>
        </w:rPr>
      </w:pPr>
    </w:p>
    <w:p w14:paraId="3904C514">
      <w:pPr>
        <w:pStyle w:val="339"/>
        <w:outlineLvl w:val="0"/>
        <w:rPr>
          <w:rFonts w:hint="eastAsia" w:ascii="仿宋" w:hAnsi="仿宋" w:eastAsia="仿宋" w:cs="仿宋"/>
          <w:highlight w:val="none"/>
        </w:rPr>
      </w:pPr>
      <w:bookmarkStart w:id="663" w:name="_Toc27181"/>
      <w:bookmarkStart w:id="664" w:name="_Toc21360"/>
      <w:r>
        <w:rPr>
          <w:rFonts w:hint="eastAsia" w:ascii="仿宋" w:hAnsi="仿宋" w:eastAsia="仿宋" w:cs="仿宋"/>
          <w:color w:val="auto"/>
          <w:sz w:val="24"/>
          <w:szCs w:val="24"/>
          <w:highlight w:val="none"/>
        </w:rPr>
        <w:t>附件3 承包人主要管理人员表</w:t>
      </w:r>
      <w:bookmarkEnd w:id="661"/>
      <w:bookmarkEnd w:id="662"/>
      <w:bookmarkEnd w:id="663"/>
      <w:bookmarkEnd w:id="664"/>
    </w:p>
    <w:tbl>
      <w:tblPr>
        <w:tblStyle w:val="38"/>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470"/>
        <w:gridCol w:w="1385"/>
        <w:gridCol w:w="1107"/>
        <w:gridCol w:w="1107"/>
        <w:gridCol w:w="3808"/>
      </w:tblGrid>
      <w:tr w14:paraId="33F70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exact"/>
          <w:jc w:val="center"/>
        </w:trPr>
        <w:tc>
          <w:tcPr>
            <w:tcW w:w="1470" w:type="dxa"/>
            <w:tcBorders>
              <w:top w:val="single" w:color="auto" w:sz="4" w:space="0"/>
              <w:left w:val="single" w:color="auto" w:sz="4" w:space="0"/>
              <w:bottom w:val="single" w:color="auto" w:sz="4" w:space="0"/>
              <w:right w:val="single" w:color="auto" w:sz="4" w:space="0"/>
            </w:tcBorders>
            <w:noWrap w:val="0"/>
            <w:vAlign w:val="center"/>
          </w:tcPr>
          <w:p w14:paraId="6A2571AB">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15B347D7">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107" w:type="dxa"/>
            <w:tcBorders>
              <w:top w:val="single" w:color="auto" w:sz="4" w:space="0"/>
              <w:left w:val="single" w:color="auto" w:sz="4" w:space="0"/>
              <w:bottom w:val="single" w:color="auto" w:sz="4" w:space="0"/>
              <w:right w:val="single" w:color="auto" w:sz="4" w:space="0"/>
            </w:tcBorders>
            <w:noWrap w:val="0"/>
            <w:vAlign w:val="center"/>
          </w:tcPr>
          <w:p w14:paraId="60F959F3">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1107" w:type="dxa"/>
            <w:tcBorders>
              <w:top w:val="single" w:color="auto" w:sz="4" w:space="0"/>
              <w:left w:val="single" w:color="auto" w:sz="4" w:space="0"/>
              <w:bottom w:val="single" w:color="auto" w:sz="4" w:space="0"/>
              <w:right w:val="single" w:color="auto" w:sz="4" w:space="0"/>
            </w:tcBorders>
            <w:noWrap w:val="0"/>
            <w:vAlign w:val="center"/>
          </w:tcPr>
          <w:p w14:paraId="16591B69">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3808" w:type="dxa"/>
            <w:tcBorders>
              <w:top w:val="single" w:color="auto" w:sz="4" w:space="0"/>
              <w:left w:val="single" w:color="auto" w:sz="4" w:space="0"/>
              <w:bottom w:val="single" w:color="auto" w:sz="4" w:space="0"/>
              <w:right w:val="single" w:color="auto" w:sz="4" w:space="0"/>
            </w:tcBorders>
            <w:noWrap w:val="0"/>
            <w:vAlign w:val="center"/>
          </w:tcPr>
          <w:p w14:paraId="0F76B5EE">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主要资历、经验及承担过的项目</w:t>
            </w:r>
          </w:p>
        </w:tc>
      </w:tr>
      <w:tr w14:paraId="24ED1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exact"/>
          <w:jc w:val="center"/>
        </w:trPr>
        <w:tc>
          <w:tcPr>
            <w:tcW w:w="8877" w:type="dxa"/>
            <w:gridSpan w:val="5"/>
            <w:tcBorders>
              <w:top w:val="single" w:color="auto" w:sz="4" w:space="0"/>
              <w:left w:val="single" w:color="auto" w:sz="4" w:space="0"/>
              <w:bottom w:val="single" w:color="auto" w:sz="4" w:space="0"/>
              <w:right w:val="single" w:color="auto" w:sz="4" w:space="0"/>
            </w:tcBorders>
            <w:noWrap w:val="0"/>
            <w:vAlign w:val="center"/>
          </w:tcPr>
          <w:p w14:paraId="3D3D19FF">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一、总部人员</w:t>
            </w:r>
          </w:p>
        </w:tc>
      </w:tr>
      <w:tr w14:paraId="0FA2B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exact"/>
          <w:jc w:val="center"/>
        </w:trPr>
        <w:tc>
          <w:tcPr>
            <w:tcW w:w="1470" w:type="dxa"/>
            <w:tcBorders>
              <w:top w:val="single" w:color="auto" w:sz="4" w:space="0"/>
              <w:left w:val="single" w:color="auto" w:sz="4" w:space="0"/>
              <w:bottom w:val="single" w:color="auto" w:sz="4" w:space="0"/>
              <w:right w:val="single" w:color="auto" w:sz="4" w:space="0"/>
            </w:tcBorders>
            <w:noWrap w:val="0"/>
            <w:vAlign w:val="center"/>
          </w:tcPr>
          <w:p w14:paraId="1F6B0937">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项目主管</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6903D87D">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34DC485C">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42D3FED4">
            <w:pPr>
              <w:pStyle w:val="17"/>
              <w:jc w:val="center"/>
              <w:rPr>
                <w:rFonts w:hint="eastAsia" w:ascii="仿宋" w:hAnsi="仿宋" w:eastAsia="仿宋" w:cs="仿宋"/>
                <w:color w:val="auto"/>
                <w:sz w:val="24"/>
                <w:szCs w:val="24"/>
                <w:highlight w:val="none"/>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094E7FB5">
            <w:pPr>
              <w:pStyle w:val="17"/>
              <w:jc w:val="center"/>
              <w:rPr>
                <w:rFonts w:hint="eastAsia" w:ascii="仿宋" w:hAnsi="仿宋" w:eastAsia="仿宋" w:cs="仿宋"/>
                <w:color w:val="auto"/>
                <w:sz w:val="24"/>
                <w:szCs w:val="24"/>
                <w:highlight w:val="none"/>
              </w:rPr>
            </w:pPr>
          </w:p>
        </w:tc>
      </w:tr>
      <w:tr w14:paraId="1205B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exact"/>
          <w:jc w:val="center"/>
        </w:trPr>
        <w:tc>
          <w:tcPr>
            <w:tcW w:w="1470" w:type="dxa"/>
            <w:tcBorders>
              <w:top w:val="single" w:color="auto" w:sz="4" w:space="0"/>
              <w:left w:val="single" w:color="auto" w:sz="4" w:space="0"/>
              <w:bottom w:val="single" w:color="auto" w:sz="4" w:space="0"/>
              <w:right w:val="single" w:color="auto" w:sz="4" w:space="0"/>
            </w:tcBorders>
            <w:noWrap w:val="0"/>
            <w:vAlign w:val="center"/>
          </w:tcPr>
          <w:p w14:paraId="0F2524C3">
            <w:pPr>
              <w:pStyle w:val="17"/>
              <w:jc w:val="center"/>
              <w:rPr>
                <w:rFonts w:hint="eastAsia" w:ascii="仿宋" w:hAnsi="仿宋" w:eastAsia="仿宋" w:cs="仿宋"/>
                <w:color w:val="auto"/>
                <w:sz w:val="24"/>
                <w:szCs w:val="24"/>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6F853C65">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5A7E449A">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78BAB453">
            <w:pPr>
              <w:pStyle w:val="17"/>
              <w:jc w:val="center"/>
              <w:rPr>
                <w:rFonts w:hint="eastAsia" w:ascii="仿宋" w:hAnsi="仿宋" w:eastAsia="仿宋" w:cs="仿宋"/>
                <w:color w:val="auto"/>
                <w:sz w:val="24"/>
                <w:szCs w:val="24"/>
                <w:highlight w:val="none"/>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3468A2EE">
            <w:pPr>
              <w:pStyle w:val="17"/>
              <w:jc w:val="center"/>
              <w:rPr>
                <w:rFonts w:hint="eastAsia" w:ascii="仿宋" w:hAnsi="仿宋" w:eastAsia="仿宋" w:cs="仿宋"/>
                <w:color w:val="auto"/>
                <w:sz w:val="24"/>
                <w:szCs w:val="24"/>
                <w:highlight w:val="none"/>
              </w:rPr>
            </w:pPr>
          </w:p>
        </w:tc>
      </w:tr>
      <w:tr w14:paraId="188F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exact"/>
          <w:jc w:val="center"/>
        </w:trPr>
        <w:tc>
          <w:tcPr>
            <w:tcW w:w="1470" w:type="dxa"/>
            <w:tcBorders>
              <w:top w:val="single" w:color="auto" w:sz="4" w:space="0"/>
              <w:left w:val="single" w:color="auto" w:sz="4" w:space="0"/>
              <w:bottom w:val="single" w:color="auto" w:sz="4" w:space="0"/>
              <w:right w:val="single" w:color="auto" w:sz="4" w:space="0"/>
            </w:tcBorders>
            <w:noWrap w:val="0"/>
            <w:vAlign w:val="center"/>
          </w:tcPr>
          <w:p w14:paraId="06736566">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其他人员</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42FDF47E">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7580CBCD">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71D8385F">
            <w:pPr>
              <w:pStyle w:val="17"/>
              <w:jc w:val="center"/>
              <w:rPr>
                <w:rFonts w:hint="eastAsia" w:ascii="仿宋" w:hAnsi="仿宋" w:eastAsia="仿宋" w:cs="仿宋"/>
                <w:color w:val="auto"/>
                <w:sz w:val="24"/>
                <w:szCs w:val="24"/>
                <w:highlight w:val="none"/>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7C4A55BF">
            <w:pPr>
              <w:pStyle w:val="17"/>
              <w:jc w:val="center"/>
              <w:rPr>
                <w:rFonts w:hint="eastAsia" w:ascii="仿宋" w:hAnsi="仿宋" w:eastAsia="仿宋" w:cs="仿宋"/>
                <w:color w:val="auto"/>
                <w:sz w:val="24"/>
                <w:szCs w:val="24"/>
                <w:highlight w:val="none"/>
              </w:rPr>
            </w:pPr>
          </w:p>
        </w:tc>
      </w:tr>
      <w:tr w14:paraId="11FA1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exact"/>
          <w:jc w:val="center"/>
        </w:trPr>
        <w:tc>
          <w:tcPr>
            <w:tcW w:w="1470" w:type="dxa"/>
            <w:tcBorders>
              <w:top w:val="single" w:color="auto" w:sz="4" w:space="0"/>
              <w:left w:val="single" w:color="auto" w:sz="4" w:space="0"/>
              <w:bottom w:val="single" w:color="auto" w:sz="4" w:space="0"/>
              <w:right w:val="single" w:color="auto" w:sz="4" w:space="0"/>
            </w:tcBorders>
            <w:noWrap w:val="0"/>
            <w:vAlign w:val="center"/>
          </w:tcPr>
          <w:p w14:paraId="485DF561">
            <w:pPr>
              <w:pStyle w:val="17"/>
              <w:jc w:val="center"/>
              <w:rPr>
                <w:rFonts w:hint="eastAsia" w:ascii="仿宋" w:hAnsi="仿宋" w:eastAsia="仿宋" w:cs="仿宋"/>
                <w:color w:val="auto"/>
                <w:sz w:val="24"/>
                <w:szCs w:val="24"/>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761A4CB8">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2E1C8803">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58541899">
            <w:pPr>
              <w:pStyle w:val="17"/>
              <w:jc w:val="center"/>
              <w:rPr>
                <w:rFonts w:hint="eastAsia" w:ascii="仿宋" w:hAnsi="仿宋" w:eastAsia="仿宋" w:cs="仿宋"/>
                <w:color w:val="auto"/>
                <w:sz w:val="24"/>
                <w:szCs w:val="24"/>
                <w:highlight w:val="none"/>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64A2EE1A">
            <w:pPr>
              <w:pStyle w:val="17"/>
              <w:jc w:val="center"/>
              <w:rPr>
                <w:rFonts w:hint="eastAsia" w:ascii="仿宋" w:hAnsi="仿宋" w:eastAsia="仿宋" w:cs="仿宋"/>
                <w:color w:val="auto"/>
                <w:sz w:val="24"/>
                <w:szCs w:val="24"/>
                <w:highlight w:val="none"/>
              </w:rPr>
            </w:pPr>
          </w:p>
        </w:tc>
      </w:tr>
      <w:tr w14:paraId="5A541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exact"/>
          <w:jc w:val="center"/>
        </w:trPr>
        <w:tc>
          <w:tcPr>
            <w:tcW w:w="8877" w:type="dxa"/>
            <w:gridSpan w:val="5"/>
            <w:tcBorders>
              <w:top w:val="single" w:color="auto" w:sz="4" w:space="0"/>
              <w:left w:val="single" w:color="auto" w:sz="4" w:space="0"/>
              <w:bottom w:val="single" w:color="auto" w:sz="4" w:space="0"/>
              <w:right w:val="single" w:color="auto" w:sz="4" w:space="0"/>
            </w:tcBorders>
            <w:noWrap w:val="0"/>
            <w:vAlign w:val="center"/>
          </w:tcPr>
          <w:p w14:paraId="4DBC7F59">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二、现场人员</w:t>
            </w:r>
          </w:p>
        </w:tc>
      </w:tr>
      <w:tr w14:paraId="67F02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2" w:hRule="exact"/>
          <w:jc w:val="center"/>
        </w:trPr>
        <w:tc>
          <w:tcPr>
            <w:tcW w:w="1470" w:type="dxa"/>
            <w:tcBorders>
              <w:top w:val="single" w:color="auto" w:sz="4" w:space="0"/>
              <w:left w:val="single" w:color="auto" w:sz="4" w:space="0"/>
              <w:bottom w:val="single" w:color="auto" w:sz="4" w:space="0"/>
              <w:right w:val="single" w:color="auto" w:sz="4" w:space="0"/>
            </w:tcBorders>
            <w:noWrap w:val="0"/>
            <w:vAlign w:val="center"/>
          </w:tcPr>
          <w:p w14:paraId="0F44B47A">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工程总承包</w:t>
            </w:r>
          </w:p>
          <w:p w14:paraId="64D11598">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项目经理</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3675AB92">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1B66E6CE">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6B6783DE">
            <w:pPr>
              <w:pStyle w:val="17"/>
              <w:jc w:val="center"/>
              <w:rPr>
                <w:rFonts w:hint="eastAsia" w:ascii="仿宋" w:hAnsi="仿宋" w:eastAsia="仿宋" w:cs="仿宋"/>
                <w:color w:val="auto"/>
                <w:sz w:val="24"/>
                <w:szCs w:val="24"/>
                <w:highlight w:val="none"/>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6E587964">
            <w:pPr>
              <w:pStyle w:val="17"/>
              <w:jc w:val="center"/>
              <w:rPr>
                <w:rFonts w:hint="eastAsia" w:ascii="仿宋" w:hAnsi="仿宋" w:eastAsia="仿宋" w:cs="仿宋"/>
                <w:color w:val="auto"/>
                <w:sz w:val="24"/>
                <w:szCs w:val="24"/>
                <w:highlight w:val="none"/>
              </w:rPr>
            </w:pPr>
          </w:p>
          <w:p w14:paraId="626E557D">
            <w:pPr>
              <w:pStyle w:val="17"/>
              <w:jc w:val="center"/>
              <w:rPr>
                <w:rFonts w:hint="eastAsia" w:ascii="仿宋" w:hAnsi="仿宋" w:eastAsia="仿宋" w:cs="仿宋"/>
                <w:color w:val="auto"/>
                <w:sz w:val="24"/>
                <w:szCs w:val="24"/>
                <w:highlight w:val="none"/>
              </w:rPr>
            </w:pPr>
          </w:p>
        </w:tc>
      </w:tr>
      <w:tr w14:paraId="64309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exact"/>
          <w:jc w:val="center"/>
        </w:trPr>
        <w:tc>
          <w:tcPr>
            <w:tcW w:w="1470" w:type="dxa"/>
            <w:tcBorders>
              <w:top w:val="single" w:color="auto" w:sz="4" w:space="0"/>
              <w:left w:val="single" w:color="auto" w:sz="4" w:space="0"/>
              <w:bottom w:val="single" w:color="auto" w:sz="4" w:space="0"/>
              <w:right w:val="single" w:color="auto" w:sz="4" w:space="0"/>
            </w:tcBorders>
            <w:noWrap w:val="0"/>
            <w:vAlign w:val="center"/>
          </w:tcPr>
          <w:p w14:paraId="397CD58A">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项目副经理</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1A8DF4D7">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481897D7">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51E0DC90">
            <w:pPr>
              <w:pStyle w:val="17"/>
              <w:jc w:val="center"/>
              <w:rPr>
                <w:rFonts w:hint="eastAsia" w:ascii="仿宋" w:hAnsi="仿宋" w:eastAsia="仿宋" w:cs="仿宋"/>
                <w:color w:val="auto"/>
                <w:sz w:val="24"/>
                <w:szCs w:val="24"/>
                <w:highlight w:val="none"/>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7065B8DB">
            <w:pPr>
              <w:pStyle w:val="17"/>
              <w:jc w:val="center"/>
              <w:rPr>
                <w:rFonts w:hint="eastAsia" w:ascii="仿宋" w:hAnsi="仿宋" w:eastAsia="仿宋" w:cs="仿宋"/>
                <w:color w:val="auto"/>
                <w:sz w:val="24"/>
                <w:szCs w:val="24"/>
                <w:highlight w:val="none"/>
              </w:rPr>
            </w:pPr>
          </w:p>
        </w:tc>
      </w:tr>
      <w:tr w14:paraId="31E8A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exact"/>
          <w:jc w:val="center"/>
        </w:trPr>
        <w:tc>
          <w:tcPr>
            <w:tcW w:w="1470" w:type="dxa"/>
            <w:tcBorders>
              <w:top w:val="single" w:color="auto" w:sz="4" w:space="0"/>
              <w:left w:val="single" w:color="auto" w:sz="4" w:space="0"/>
              <w:bottom w:val="single" w:color="auto" w:sz="4" w:space="0"/>
              <w:right w:val="single" w:color="auto" w:sz="4" w:space="0"/>
            </w:tcBorders>
            <w:noWrap w:val="0"/>
            <w:vAlign w:val="center"/>
          </w:tcPr>
          <w:p w14:paraId="687B9348">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设计负责人</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00FC8DE7">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08EADBA3">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0FA42DE8">
            <w:pPr>
              <w:pStyle w:val="17"/>
              <w:jc w:val="center"/>
              <w:rPr>
                <w:rFonts w:hint="eastAsia" w:ascii="仿宋" w:hAnsi="仿宋" w:eastAsia="仿宋" w:cs="仿宋"/>
                <w:color w:val="auto"/>
                <w:sz w:val="24"/>
                <w:szCs w:val="24"/>
                <w:highlight w:val="none"/>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226B24A1">
            <w:pPr>
              <w:pStyle w:val="17"/>
              <w:jc w:val="center"/>
              <w:rPr>
                <w:rFonts w:hint="eastAsia" w:ascii="仿宋" w:hAnsi="仿宋" w:eastAsia="仿宋" w:cs="仿宋"/>
                <w:color w:val="auto"/>
                <w:sz w:val="24"/>
                <w:szCs w:val="24"/>
                <w:highlight w:val="none"/>
              </w:rPr>
            </w:pPr>
          </w:p>
        </w:tc>
      </w:tr>
      <w:tr w14:paraId="1CB81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exact"/>
          <w:jc w:val="center"/>
        </w:trPr>
        <w:tc>
          <w:tcPr>
            <w:tcW w:w="1470" w:type="dxa"/>
            <w:tcBorders>
              <w:top w:val="single" w:color="auto" w:sz="4" w:space="0"/>
              <w:left w:val="single" w:color="auto" w:sz="4" w:space="0"/>
              <w:bottom w:val="single" w:color="auto" w:sz="4" w:space="0"/>
              <w:right w:val="single" w:color="auto" w:sz="4" w:space="0"/>
            </w:tcBorders>
            <w:noWrap w:val="0"/>
            <w:vAlign w:val="center"/>
          </w:tcPr>
          <w:p w14:paraId="24536E63">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采购负责人</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282670D6">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39F7E774">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203C1758">
            <w:pPr>
              <w:pStyle w:val="17"/>
              <w:jc w:val="center"/>
              <w:rPr>
                <w:rFonts w:hint="eastAsia" w:ascii="仿宋" w:hAnsi="仿宋" w:eastAsia="仿宋" w:cs="仿宋"/>
                <w:color w:val="auto"/>
                <w:sz w:val="24"/>
                <w:szCs w:val="24"/>
                <w:highlight w:val="none"/>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4E811409">
            <w:pPr>
              <w:pStyle w:val="17"/>
              <w:jc w:val="center"/>
              <w:rPr>
                <w:rFonts w:hint="eastAsia" w:ascii="仿宋" w:hAnsi="仿宋" w:eastAsia="仿宋" w:cs="仿宋"/>
                <w:color w:val="auto"/>
                <w:sz w:val="24"/>
                <w:szCs w:val="24"/>
                <w:highlight w:val="none"/>
              </w:rPr>
            </w:pPr>
          </w:p>
        </w:tc>
      </w:tr>
      <w:tr w14:paraId="0389E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exact"/>
          <w:jc w:val="center"/>
        </w:trPr>
        <w:tc>
          <w:tcPr>
            <w:tcW w:w="1470" w:type="dxa"/>
            <w:tcBorders>
              <w:top w:val="single" w:color="auto" w:sz="4" w:space="0"/>
              <w:left w:val="single" w:color="auto" w:sz="4" w:space="0"/>
              <w:bottom w:val="single" w:color="auto" w:sz="4" w:space="0"/>
              <w:right w:val="single" w:color="auto" w:sz="4" w:space="0"/>
            </w:tcBorders>
            <w:noWrap w:val="0"/>
            <w:vAlign w:val="center"/>
          </w:tcPr>
          <w:p w14:paraId="440B4D04">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施工负责人</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59D787EA">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26689127">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09FAB96D">
            <w:pPr>
              <w:pStyle w:val="17"/>
              <w:jc w:val="center"/>
              <w:rPr>
                <w:rFonts w:hint="eastAsia" w:ascii="仿宋" w:hAnsi="仿宋" w:eastAsia="仿宋" w:cs="仿宋"/>
                <w:color w:val="auto"/>
                <w:sz w:val="24"/>
                <w:szCs w:val="24"/>
                <w:highlight w:val="none"/>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13EE0AD2">
            <w:pPr>
              <w:pStyle w:val="17"/>
              <w:jc w:val="center"/>
              <w:rPr>
                <w:rFonts w:hint="eastAsia" w:ascii="仿宋" w:hAnsi="仿宋" w:eastAsia="仿宋" w:cs="仿宋"/>
                <w:color w:val="auto"/>
                <w:sz w:val="24"/>
                <w:szCs w:val="24"/>
                <w:highlight w:val="none"/>
              </w:rPr>
            </w:pPr>
          </w:p>
        </w:tc>
      </w:tr>
      <w:tr w14:paraId="1469A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exact"/>
          <w:jc w:val="center"/>
        </w:trPr>
        <w:tc>
          <w:tcPr>
            <w:tcW w:w="1470" w:type="dxa"/>
            <w:tcBorders>
              <w:top w:val="single" w:color="auto" w:sz="4" w:space="0"/>
              <w:left w:val="single" w:color="auto" w:sz="4" w:space="0"/>
              <w:bottom w:val="single" w:color="auto" w:sz="4" w:space="0"/>
              <w:right w:val="single" w:color="auto" w:sz="4" w:space="0"/>
            </w:tcBorders>
            <w:noWrap w:val="0"/>
            <w:vAlign w:val="center"/>
          </w:tcPr>
          <w:p w14:paraId="31E78F2E">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技术负责人</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0E6F9D3F">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4DBD42A7">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370C340A">
            <w:pPr>
              <w:pStyle w:val="17"/>
              <w:jc w:val="center"/>
              <w:rPr>
                <w:rFonts w:hint="eastAsia" w:ascii="仿宋" w:hAnsi="仿宋" w:eastAsia="仿宋" w:cs="仿宋"/>
                <w:color w:val="auto"/>
                <w:sz w:val="24"/>
                <w:szCs w:val="24"/>
                <w:highlight w:val="none"/>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75214E50">
            <w:pPr>
              <w:pStyle w:val="17"/>
              <w:jc w:val="center"/>
              <w:rPr>
                <w:rFonts w:hint="eastAsia" w:ascii="仿宋" w:hAnsi="仿宋" w:eastAsia="仿宋" w:cs="仿宋"/>
                <w:color w:val="auto"/>
                <w:sz w:val="24"/>
                <w:szCs w:val="24"/>
                <w:highlight w:val="none"/>
              </w:rPr>
            </w:pPr>
          </w:p>
        </w:tc>
      </w:tr>
      <w:tr w14:paraId="454DA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exact"/>
          <w:jc w:val="center"/>
        </w:trPr>
        <w:tc>
          <w:tcPr>
            <w:tcW w:w="1470" w:type="dxa"/>
            <w:tcBorders>
              <w:top w:val="single" w:color="auto" w:sz="4" w:space="0"/>
              <w:left w:val="single" w:color="auto" w:sz="4" w:space="0"/>
              <w:bottom w:val="single" w:color="auto" w:sz="4" w:space="0"/>
              <w:right w:val="single" w:color="auto" w:sz="4" w:space="0"/>
            </w:tcBorders>
            <w:noWrap w:val="0"/>
            <w:vAlign w:val="center"/>
          </w:tcPr>
          <w:p w14:paraId="64E3B735">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造价管理</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7A825A02">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4E550D60">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4EECCDF0">
            <w:pPr>
              <w:pStyle w:val="17"/>
              <w:jc w:val="center"/>
              <w:rPr>
                <w:rFonts w:hint="eastAsia" w:ascii="仿宋" w:hAnsi="仿宋" w:eastAsia="仿宋" w:cs="仿宋"/>
                <w:color w:val="auto"/>
                <w:sz w:val="24"/>
                <w:szCs w:val="24"/>
                <w:highlight w:val="none"/>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67285AE1">
            <w:pPr>
              <w:pStyle w:val="17"/>
              <w:jc w:val="center"/>
              <w:rPr>
                <w:rFonts w:hint="eastAsia" w:ascii="仿宋" w:hAnsi="仿宋" w:eastAsia="仿宋" w:cs="仿宋"/>
                <w:color w:val="auto"/>
                <w:sz w:val="24"/>
                <w:szCs w:val="24"/>
                <w:highlight w:val="none"/>
              </w:rPr>
            </w:pPr>
          </w:p>
        </w:tc>
      </w:tr>
      <w:tr w14:paraId="74E84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exact"/>
          <w:jc w:val="center"/>
        </w:trPr>
        <w:tc>
          <w:tcPr>
            <w:tcW w:w="1470" w:type="dxa"/>
            <w:tcBorders>
              <w:top w:val="single" w:color="auto" w:sz="4" w:space="0"/>
              <w:left w:val="single" w:color="auto" w:sz="4" w:space="0"/>
              <w:bottom w:val="single" w:color="auto" w:sz="4" w:space="0"/>
              <w:right w:val="single" w:color="auto" w:sz="4" w:space="0"/>
            </w:tcBorders>
            <w:noWrap w:val="0"/>
            <w:vAlign w:val="center"/>
          </w:tcPr>
          <w:p w14:paraId="636310B6">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质量管理</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270D2739">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468C063B">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4948DA0D">
            <w:pPr>
              <w:pStyle w:val="17"/>
              <w:jc w:val="center"/>
              <w:rPr>
                <w:rFonts w:hint="eastAsia" w:ascii="仿宋" w:hAnsi="仿宋" w:eastAsia="仿宋" w:cs="仿宋"/>
                <w:color w:val="auto"/>
                <w:sz w:val="24"/>
                <w:szCs w:val="24"/>
                <w:highlight w:val="none"/>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6A899538">
            <w:pPr>
              <w:pStyle w:val="17"/>
              <w:jc w:val="center"/>
              <w:rPr>
                <w:rFonts w:hint="eastAsia" w:ascii="仿宋" w:hAnsi="仿宋" w:eastAsia="仿宋" w:cs="仿宋"/>
                <w:color w:val="auto"/>
                <w:sz w:val="24"/>
                <w:szCs w:val="24"/>
                <w:highlight w:val="none"/>
              </w:rPr>
            </w:pPr>
          </w:p>
        </w:tc>
      </w:tr>
      <w:tr w14:paraId="4CB70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exact"/>
          <w:jc w:val="center"/>
        </w:trPr>
        <w:tc>
          <w:tcPr>
            <w:tcW w:w="1470" w:type="dxa"/>
            <w:tcBorders>
              <w:top w:val="single" w:color="auto" w:sz="4" w:space="0"/>
              <w:left w:val="single" w:color="auto" w:sz="4" w:space="0"/>
              <w:bottom w:val="single" w:color="auto" w:sz="4" w:space="0"/>
              <w:right w:val="single" w:color="auto" w:sz="4" w:space="0"/>
            </w:tcBorders>
            <w:noWrap w:val="0"/>
            <w:vAlign w:val="center"/>
          </w:tcPr>
          <w:p w14:paraId="6ED504E7">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计划管理</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0F4FB6DC">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21CE7078">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6338D0D8">
            <w:pPr>
              <w:pStyle w:val="17"/>
              <w:jc w:val="center"/>
              <w:rPr>
                <w:rFonts w:hint="eastAsia" w:ascii="仿宋" w:hAnsi="仿宋" w:eastAsia="仿宋" w:cs="仿宋"/>
                <w:color w:val="auto"/>
                <w:sz w:val="24"/>
                <w:szCs w:val="24"/>
                <w:highlight w:val="none"/>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28F5EF70">
            <w:pPr>
              <w:pStyle w:val="17"/>
              <w:jc w:val="center"/>
              <w:rPr>
                <w:rFonts w:hint="eastAsia" w:ascii="仿宋" w:hAnsi="仿宋" w:eastAsia="仿宋" w:cs="仿宋"/>
                <w:color w:val="auto"/>
                <w:sz w:val="24"/>
                <w:szCs w:val="24"/>
                <w:highlight w:val="none"/>
              </w:rPr>
            </w:pPr>
          </w:p>
        </w:tc>
      </w:tr>
      <w:tr w14:paraId="26371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exact"/>
          <w:jc w:val="center"/>
        </w:trPr>
        <w:tc>
          <w:tcPr>
            <w:tcW w:w="1470" w:type="dxa"/>
            <w:tcBorders>
              <w:top w:val="single" w:color="auto" w:sz="4" w:space="0"/>
              <w:left w:val="single" w:color="auto" w:sz="4" w:space="0"/>
              <w:bottom w:val="single" w:color="auto" w:sz="4" w:space="0"/>
              <w:right w:val="single" w:color="auto" w:sz="4" w:space="0"/>
            </w:tcBorders>
            <w:noWrap w:val="0"/>
            <w:vAlign w:val="center"/>
          </w:tcPr>
          <w:p w14:paraId="7B4BD623">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安全管理</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7075CB49">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130B2F82">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1839CEA5">
            <w:pPr>
              <w:pStyle w:val="17"/>
              <w:jc w:val="center"/>
              <w:rPr>
                <w:rFonts w:hint="eastAsia" w:ascii="仿宋" w:hAnsi="仿宋" w:eastAsia="仿宋" w:cs="仿宋"/>
                <w:color w:val="auto"/>
                <w:sz w:val="24"/>
                <w:szCs w:val="24"/>
                <w:highlight w:val="none"/>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310D10EC">
            <w:pPr>
              <w:pStyle w:val="17"/>
              <w:jc w:val="center"/>
              <w:rPr>
                <w:rFonts w:hint="eastAsia" w:ascii="仿宋" w:hAnsi="仿宋" w:eastAsia="仿宋" w:cs="仿宋"/>
                <w:color w:val="auto"/>
                <w:sz w:val="24"/>
                <w:szCs w:val="24"/>
                <w:highlight w:val="none"/>
              </w:rPr>
            </w:pPr>
          </w:p>
        </w:tc>
      </w:tr>
      <w:tr w14:paraId="6F6F8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exact"/>
          <w:jc w:val="center"/>
        </w:trPr>
        <w:tc>
          <w:tcPr>
            <w:tcW w:w="1470" w:type="dxa"/>
            <w:tcBorders>
              <w:top w:val="single" w:color="auto" w:sz="4" w:space="0"/>
              <w:left w:val="single" w:color="auto" w:sz="4" w:space="0"/>
              <w:bottom w:val="single" w:color="auto" w:sz="4" w:space="0"/>
              <w:right w:val="single" w:color="auto" w:sz="4" w:space="0"/>
            </w:tcBorders>
            <w:noWrap w:val="0"/>
            <w:vAlign w:val="center"/>
          </w:tcPr>
          <w:p w14:paraId="4E32E5F5">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环境管理</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051DEBF9">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1E12D5B1">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73897D98">
            <w:pPr>
              <w:pStyle w:val="17"/>
              <w:jc w:val="center"/>
              <w:rPr>
                <w:rFonts w:hint="eastAsia" w:ascii="仿宋" w:hAnsi="仿宋" w:eastAsia="仿宋" w:cs="仿宋"/>
                <w:color w:val="auto"/>
                <w:sz w:val="24"/>
                <w:szCs w:val="24"/>
                <w:highlight w:val="none"/>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74A52147">
            <w:pPr>
              <w:pStyle w:val="17"/>
              <w:jc w:val="center"/>
              <w:rPr>
                <w:rFonts w:hint="eastAsia" w:ascii="仿宋" w:hAnsi="仿宋" w:eastAsia="仿宋" w:cs="仿宋"/>
                <w:color w:val="auto"/>
                <w:sz w:val="24"/>
                <w:szCs w:val="24"/>
                <w:highlight w:val="none"/>
              </w:rPr>
            </w:pPr>
          </w:p>
        </w:tc>
      </w:tr>
      <w:tr w14:paraId="451AC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exact"/>
          <w:jc w:val="center"/>
        </w:trPr>
        <w:tc>
          <w:tcPr>
            <w:tcW w:w="1470" w:type="dxa"/>
            <w:tcBorders>
              <w:top w:val="single" w:color="auto" w:sz="4" w:space="0"/>
              <w:left w:val="single" w:color="auto" w:sz="4" w:space="0"/>
              <w:bottom w:val="single" w:color="auto" w:sz="4" w:space="0"/>
              <w:right w:val="single" w:color="auto" w:sz="4" w:space="0"/>
            </w:tcBorders>
            <w:noWrap w:val="0"/>
            <w:vAlign w:val="center"/>
          </w:tcPr>
          <w:p w14:paraId="143C1CB1">
            <w:pPr>
              <w:pStyle w:val="1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其他人员</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0728959A">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02672D6C">
            <w:pPr>
              <w:pStyle w:val="17"/>
              <w:jc w:val="center"/>
              <w:rPr>
                <w:rFonts w:hint="eastAsia" w:ascii="仿宋" w:hAnsi="仿宋" w:eastAsia="仿宋" w:cs="仿宋"/>
                <w:color w:val="auto"/>
                <w:sz w:val="24"/>
                <w:szCs w:val="24"/>
                <w:highlight w:val="none"/>
              </w:rPr>
            </w:pPr>
          </w:p>
          <w:bookmarkEnd w:id="652"/>
        </w:tc>
        <w:tc>
          <w:tcPr>
            <w:tcW w:w="1107" w:type="dxa"/>
            <w:tcBorders>
              <w:top w:val="single" w:color="auto" w:sz="4" w:space="0"/>
              <w:left w:val="single" w:color="auto" w:sz="4" w:space="0"/>
              <w:bottom w:val="single" w:color="auto" w:sz="4" w:space="0"/>
              <w:right w:val="single" w:color="auto" w:sz="4" w:space="0"/>
            </w:tcBorders>
            <w:noWrap w:val="0"/>
            <w:vAlign w:val="center"/>
          </w:tcPr>
          <w:p w14:paraId="3E7A9200">
            <w:pPr>
              <w:pStyle w:val="17"/>
              <w:jc w:val="center"/>
              <w:rPr>
                <w:rFonts w:hint="eastAsia" w:ascii="仿宋" w:hAnsi="仿宋" w:eastAsia="仿宋" w:cs="仿宋"/>
                <w:color w:val="auto"/>
                <w:sz w:val="24"/>
                <w:szCs w:val="24"/>
                <w:highlight w:val="none"/>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7A443D32">
            <w:pPr>
              <w:pStyle w:val="17"/>
              <w:jc w:val="center"/>
              <w:rPr>
                <w:rFonts w:hint="eastAsia" w:ascii="仿宋" w:hAnsi="仿宋" w:eastAsia="仿宋" w:cs="仿宋"/>
                <w:color w:val="auto"/>
                <w:sz w:val="24"/>
                <w:szCs w:val="24"/>
                <w:highlight w:val="none"/>
              </w:rPr>
            </w:pPr>
          </w:p>
        </w:tc>
      </w:tr>
      <w:tr w14:paraId="1B369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1" w:hRule="exact"/>
          <w:jc w:val="center"/>
        </w:trPr>
        <w:tc>
          <w:tcPr>
            <w:tcW w:w="1470" w:type="dxa"/>
            <w:tcBorders>
              <w:top w:val="single" w:color="auto" w:sz="4" w:space="0"/>
              <w:left w:val="single" w:color="auto" w:sz="4" w:space="0"/>
              <w:bottom w:val="single" w:color="auto" w:sz="4" w:space="0"/>
              <w:right w:val="single" w:color="auto" w:sz="4" w:space="0"/>
            </w:tcBorders>
            <w:noWrap w:val="0"/>
            <w:vAlign w:val="center"/>
          </w:tcPr>
          <w:p w14:paraId="7818E1A5">
            <w:pPr>
              <w:pStyle w:val="17"/>
              <w:jc w:val="center"/>
              <w:rPr>
                <w:rFonts w:hint="eastAsia" w:ascii="仿宋" w:hAnsi="仿宋" w:eastAsia="仿宋" w:cs="仿宋"/>
                <w:color w:val="auto"/>
                <w:sz w:val="24"/>
                <w:szCs w:val="24"/>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320F63F9">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4DF20D70">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44ACD493">
            <w:pPr>
              <w:pStyle w:val="17"/>
              <w:jc w:val="center"/>
              <w:rPr>
                <w:rFonts w:hint="eastAsia" w:ascii="仿宋" w:hAnsi="仿宋" w:eastAsia="仿宋" w:cs="仿宋"/>
                <w:color w:val="auto"/>
                <w:sz w:val="24"/>
                <w:szCs w:val="24"/>
                <w:highlight w:val="none"/>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21A800F4">
            <w:pPr>
              <w:pStyle w:val="17"/>
              <w:jc w:val="center"/>
              <w:rPr>
                <w:rFonts w:hint="eastAsia" w:ascii="仿宋" w:hAnsi="仿宋" w:eastAsia="仿宋" w:cs="仿宋"/>
                <w:color w:val="auto"/>
                <w:sz w:val="24"/>
                <w:szCs w:val="24"/>
                <w:highlight w:val="none"/>
              </w:rPr>
            </w:pPr>
          </w:p>
        </w:tc>
      </w:tr>
      <w:tr w14:paraId="5C376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48" w:hRule="atLeast"/>
          <w:jc w:val="center"/>
        </w:trPr>
        <w:tc>
          <w:tcPr>
            <w:tcW w:w="1470" w:type="dxa"/>
            <w:tcBorders>
              <w:top w:val="single" w:color="auto" w:sz="4" w:space="0"/>
              <w:left w:val="single" w:color="auto" w:sz="4" w:space="0"/>
              <w:bottom w:val="single" w:color="auto" w:sz="4" w:space="0"/>
              <w:right w:val="single" w:color="auto" w:sz="4" w:space="0"/>
            </w:tcBorders>
            <w:noWrap w:val="0"/>
            <w:vAlign w:val="center"/>
          </w:tcPr>
          <w:p w14:paraId="2729F818">
            <w:pPr>
              <w:pStyle w:val="17"/>
              <w:jc w:val="center"/>
              <w:rPr>
                <w:rFonts w:hint="eastAsia" w:ascii="仿宋" w:hAnsi="仿宋" w:eastAsia="仿宋" w:cs="仿宋"/>
                <w:color w:val="auto"/>
                <w:sz w:val="24"/>
                <w:szCs w:val="24"/>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52B956FE">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1A16B2B6">
            <w:pPr>
              <w:pStyle w:val="17"/>
              <w:jc w:val="center"/>
              <w:rPr>
                <w:rFonts w:hint="eastAsia" w:ascii="仿宋" w:hAnsi="仿宋" w:eastAsia="仿宋" w:cs="仿宋"/>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14:paraId="59153CE3">
            <w:pPr>
              <w:pStyle w:val="17"/>
              <w:jc w:val="center"/>
              <w:rPr>
                <w:rFonts w:hint="eastAsia" w:ascii="仿宋" w:hAnsi="仿宋" w:eastAsia="仿宋" w:cs="仿宋"/>
                <w:color w:val="auto"/>
                <w:sz w:val="24"/>
                <w:szCs w:val="24"/>
                <w:highlight w:val="none"/>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755DFA15">
            <w:pPr>
              <w:pStyle w:val="17"/>
              <w:jc w:val="center"/>
              <w:rPr>
                <w:rFonts w:hint="eastAsia" w:ascii="仿宋" w:hAnsi="仿宋" w:eastAsia="仿宋" w:cs="仿宋"/>
                <w:color w:val="auto"/>
                <w:sz w:val="24"/>
                <w:szCs w:val="24"/>
                <w:highlight w:val="none"/>
              </w:rPr>
            </w:pPr>
          </w:p>
        </w:tc>
      </w:tr>
    </w:tbl>
    <w:p w14:paraId="3F76A319">
      <w:pPr>
        <w:pStyle w:val="70"/>
        <w:keepNext w:val="0"/>
        <w:keepLines w:val="0"/>
        <w:pageBreakBefore w:val="0"/>
        <w:spacing w:line="360" w:lineRule="auto"/>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p>
    <w:sectPr>
      <w:pgSz w:w="11906" w:h="16838"/>
      <w:pgMar w:top="1440" w:right="1588" w:bottom="1440" w:left="1588" w:header="851" w:footer="992"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金山简黑体">
    <w:altName w:val="黑体"/>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E9D5F">
    <w:pPr>
      <w:pStyle w:val="26"/>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1C97F3">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71C97F3">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DDAEA">
    <w:pPr>
      <w:pStyle w:val="26"/>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20DCD0">
                          <w:pPr>
                            <w:pStyle w:val="26"/>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520DCD0">
                    <w:pPr>
                      <w:pStyle w:val="26"/>
                    </w:pPr>
                    <w:r>
                      <w:fldChar w:fldCharType="begin"/>
                    </w:r>
                    <w:r>
                      <w:instrText xml:space="preserve"> PAGE  \* MERGEFORMAT </w:instrText>
                    </w:r>
                    <w:r>
                      <w:fldChar w:fldCharType="separate"/>
                    </w:r>
                    <w:r>
                      <w:t>37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3"/>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55D7F"/>
    <w:rsid w:val="0ACF7216"/>
    <w:rsid w:val="15F35395"/>
    <w:rsid w:val="1CD34189"/>
    <w:rsid w:val="1FBB56D9"/>
    <w:rsid w:val="20E0724A"/>
    <w:rsid w:val="29037B8D"/>
    <w:rsid w:val="2B330712"/>
    <w:rsid w:val="34403A44"/>
    <w:rsid w:val="3FCB2D5B"/>
    <w:rsid w:val="46280A75"/>
    <w:rsid w:val="4F4641AC"/>
    <w:rsid w:val="504A33A8"/>
    <w:rsid w:val="53BD1FAA"/>
    <w:rsid w:val="56CF02A9"/>
    <w:rsid w:val="5DE5016A"/>
    <w:rsid w:val="60205E5D"/>
    <w:rsid w:val="69642993"/>
    <w:rsid w:val="6A8A25F6"/>
    <w:rsid w:val="78444171"/>
    <w:rsid w:val="7A385657"/>
    <w:rsid w:val="7A7C001C"/>
    <w:rsid w:val="7D695257"/>
    <w:rsid w:val="7E9E2A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iPriority="99"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qFormat="1" w:uiPriority="99" w:semiHidden="0" w:name="envelope return"/>
    <w:lsdException w:qFormat="1" w:unhideWhenUsed="0" w:uiPriority="0" w:semiHidden="0" w:name="footnote reference"/>
    <w:lsdException w:uiPriority="99"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hint="default" w:ascii="Calibri" w:hAnsi="Calibri" w:eastAsia="宋体" w:cs="Times New Roman"/>
      <w:lang w:val="en-US" w:eastAsia="zh-CN" w:bidi="ar-SA"/>
    </w:rPr>
  </w:style>
  <w:style w:type="paragraph" w:styleId="2">
    <w:name w:val="heading 1"/>
    <w:basedOn w:val="1"/>
    <w:next w:val="1"/>
    <w:qFormat/>
    <w:uiPriority w:val="0"/>
    <w:pPr>
      <w:keepNext/>
      <w:keepLines/>
      <w:spacing w:before="480" w:after="200"/>
      <w:outlineLvl w:val="0"/>
    </w:pPr>
    <w:rPr>
      <w:rFonts w:ascii="Arial" w:hAnsi="Arial" w:eastAsia="Arial" w:cs="Arial"/>
      <w:sz w:val="40"/>
      <w:szCs w:val="40"/>
    </w:rPr>
  </w:style>
  <w:style w:type="paragraph" w:styleId="3">
    <w:name w:val="heading 2"/>
    <w:basedOn w:val="1"/>
    <w:next w:val="4"/>
    <w:qFormat/>
    <w:uiPriority w:val="0"/>
    <w:pPr>
      <w:keepNext/>
      <w:keepLines/>
      <w:spacing w:before="360" w:after="200"/>
      <w:outlineLvl w:val="1"/>
    </w:pPr>
    <w:rPr>
      <w:rFonts w:ascii="Arial" w:hAnsi="Arial" w:eastAsia="Arial" w:cs="Arial"/>
      <w:sz w:val="34"/>
    </w:rPr>
  </w:style>
  <w:style w:type="paragraph" w:styleId="7">
    <w:name w:val="heading 3"/>
    <w:basedOn w:val="1"/>
    <w:next w:val="1"/>
    <w:qFormat/>
    <w:uiPriority w:val="0"/>
    <w:pPr>
      <w:keepNext/>
      <w:keepLines/>
      <w:spacing w:before="320" w:after="200"/>
      <w:outlineLvl w:val="2"/>
    </w:pPr>
    <w:rPr>
      <w:rFonts w:ascii="Arial" w:hAnsi="Arial" w:eastAsia="Arial" w:cs="Arial"/>
      <w:sz w:val="30"/>
      <w:szCs w:val="30"/>
      <w:lang w:val="en-US" w:eastAsia="zh-CN" w:bidi="ar-SA"/>
    </w:rPr>
  </w:style>
  <w:style w:type="paragraph" w:styleId="8">
    <w:name w:val="heading 4"/>
    <w:basedOn w:val="1"/>
    <w:next w:val="1"/>
    <w:qFormat/>
    <w:uiPriority w:val="0"/>
    <w:pPr>
      <w:keepNext/>
      <w:keepLines/>
      <w:spacing w:before="320" w:after="200"/>
      <w:outlineLvl w:val="3"/>
    </w:pPr>
    <w:rPr>
      <w:rFonts w:ascii="Arial" w:hAnsi="Arial" w:eastAsia="Arial" w:cs="Arial"/>
      <w:b/>
      <w:bCs/>
      <w:sz w:val="26"/>
      <w:szCs w:val="26"/>
    </w:rPr>
  </w:style>
  <w:style w:type="paragraph" w:styleId="9">
    <w:name w:val="heading 5"/>
    <w:next w:val="1"/>
    <w:qFormat/>
    <w:uiPriority w:val="0"/>
    <w:pPr>
      <w:keepNext/>
      <w:keepLines/>
      <w:spacing w:before="320" w:after="200"/>
      <w:outlineLvl w:val="4"/>
    </w:pPr>
    <w:rPr>
      <w:rFonts w:hint="default" w:ascii="Arial" w:hAnsi="Arial" w:eastAsia="Arial" w:cs="Arial"/>
      <w:b/>
      <w:bCs/>
      <w:sz w:val="24"/>
      <w:szCs w:val="24"/>
      <w:lang w:val="en-US" w:eastAsia="zh-CN" w:bidi="ar-SA"/>
    </w:rPr>
  </w:style>
  <w:style w:type="paragraph" w:styleId="10">
    <w:name w:val="heading 6"/>
    <w:next w:val="1"/>
    <w:qFormat/>
    <w:uiPriority w:val="0"/>
    <w:pPr>
      <w:keepNext/>
      <w:keepLines/>
      <w:spacing w:before="320" w:after="200"/>
      <w:outlineLvl w:val="5"/>
    </w:pPr>
    <w:rPr>
      <w:rFonts w:hint="default" w:ascii="Arial" w:hAnsi="Arial" w:eastAsia="Arial" w:cs="Arial"/>
      <w:b/>
      <w:bCs/>
      <w:sz w:val="22"/>
      <w:szCs w:val="22"/>
      <w:lang w:val="en-US" w:eastAsia="zh-CN" w:bidi="ar-SA"/>
    </w:rPr>
  </w:style>
  <w:style w:type="paragraph" w:styleId="11">
    <w:name w:val="heading 7"/>
    <w:next w:val="1"/>
    <w:qFormat/>
    <w:uiPriority w:val="0"/>
    <w:pPr>
      <w:keepNext/>
      <w:keepLines/>
      <w:spacing w:before="320" w:after="200"/>
      <w:outlineLvl w:val="6"/>
    </w:pPr>
    <w:rPr>
      <w:rFonts w:hint="default" w:ascii="Arial" w:hAnsi="Arial" w:eastAsia="Arial" w:cs="Arial"/>
      <w:b/>
      <w:bCs/>
      <w:i/>
      <w:iCs/>
      <w:sz w:val="22"/>
      <w:szCs w:val="22"/>
      <w:lang w:val="en-US" w:eastAsia="zh-CN" w:bidi="ar-SA"/>
    </w:rPr>
  </w:style>
  <w:style w:type="paragraph" w:styleId="12">
    <w:name w:val="heading 8"/>
    <w:next w:val="1"/>
    <w:qFormat/>
    <w:uiPriority w:val="0"/>
    <w:pPr>
      <w:keepNext/>
      <w:keepLines/>
      <w:spacing w:before="320" w:after="200"/>
      <w:outlineLvl w:val="7"/>
    </w:pPr>
    <w:rPr>
      <w:rFonts w:hint="default" w:ascii="Arial" w:hAnsi="Arial" w:eastAsia="Arial" w:cs="Arial"/>
      <w:i/>
      <w:iCs/>
      <w:sz w:val="22"/>
      <w:szCs w:val="22"/>
      <w:lang w:val="en-US" w:eastAsia="zh-CN" w:bidi="ar-SA"/>
    </w:rPr>
  </w:style>
  <w:style w:type="paragraph" w:styleId="13">
    <w:name w:val="heading 9"/>
    <w:next w:val="1"/>
    <w:qFormat/>
    <w:uiPriority w:val="0"/>
    <w:pPr>
      <w:keepNext/>
      <w:keepLines/>
      <w:spacing w:before="320" w:after="200"/>
      <w:outlineLvl w:val="8"/>
    </w:pPr>
    <w:rPr>
      <w:rFonts w:hint="default" w:ascii="Arial" w:hAnsi="Arial" w:eastAsia="Arial" w:cs="Arial"/>
      <w:i/>
      <w:iCs/>
      <w:sz w:val="21"/>
      <w:szCs w:val="21"/>
      <w:lang w:val="en-US" w:eastAsia="zh-CN" w:bidi="ar-SA"/>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5"/>
    <w:unhideWhenUsed/>
    <w:qFormat/>
    <w:uiPriority w:val="99"/>
    <w:pPr>
      <w:ind w:firstLine="420"/>
    </w:pPr>
  </w:style>
  <w:style w:type="paragraph" w:styleId="5">
    <w:name w:val="Body Text Indent"/>
    <w:basedOn w:val="1"/>
    <w:next w:val="6"/>
    <w:qFormat/>
    <w:uiPriority w:val="0"/>
    <w:pPr>
      <w:tabs>
        <w:tab w:val="left" w:pos="0"/>
        <w:tab w:val="left" w:pos="993"/>
        <w:tab w:val="left" w:pos="1134"/>
      </w:tabs>
      <w:spacing w:line="500" w:lineRule="exact"/>
      <w:ind w:firstLine="567"/>
    </w:pPr>
    <w:rPr>
      <w:rFonts w:ascii="宋体"/>
    </w:rPr>
  </w:style>
  <w:style w:type="paragraph" w:styleId="6">
    <w:name w:val="envelope return"/>
    <w:basedOn w:val="1"/>
    <w:unhideWhenUsed/>
    <w:qFormat/>
    <w:uiPriority w:val="99"/>
    <w:rPr>
      <w:rFonts w:ascii="Arial" w:hAnsi="Arial"/>
    </w:rPr>
  </w:style>
  <w:style w:type="paragraph" w:styleId="14">
    <w:name w:val="toc 7"/>
    <w:next w:val="1"/>
    <w:qFormat/>
    <w:uiPriority w:val="0"/>
    <w:pPr>
      <w:spacing w:after="57"/>
      <w:ind w:left="1701"/>
    </w:pPr>
    <w:rPr>
      <w:rFonts w:hint="default" w:ascii="Calibri" w:hAnsi="Calibri" w:eastAsia="宋体" w:cs="Times New Roman"/>
      <w:lang w:val="en-US" w:eastAsia="zh-CN" w:bidi="ar-SA"/>
    </w:rPr>
  </w:style>
  <w:style w:type="paragraph" w:styleId="15">
    <w:name w:val="caption"/>
    <w:next w:val="1"/>
    <w:qFormat/>
    <w:uiPriority w:val="0"/>
    <w:pPr>
      <w:spacing w:line="276" w:lineRule="auto"/>
    </w:pPr>
    <w:rPr>
      <w:rFonts w:hint="default" w:ascii="Calibri" w:hAnsi="Calibri" w:eastAsia="宋体" w:cs="Times New Roman"/>
      <w:b/>
      <w:bCs/>
      <w:color w:val="4F81BD"/>
      <w:sz w:val="18"/>
      <w:szCs w:val="18"/>
      <w:lang w:val="en-US" w:eastAsia="zh-CN" w:bidi="ar-SA"/>
    </w:rPr>
  </w:style>
  <w:style w:type="paragraph" w:styleId="16">
    <w:name w:val="annotation text"/>
    <w:basedOn w:val="1"/>
    <w:qFormat/>
    <w:uiPriority w:val="0"/>
    <w:pPr>
      <w:jc w:val="left"/>
    </w:pPr>
  </w:style>
  <w:style w:type="paragraph" w:styleId="17">
    <w:name w:val="Body Text"/>
    <w:basedOn w:val="1"/>
    <w:next w:val="18"/>
    <w:qFormat/>
    <w:uiPriority w:val="0"/>
    <w:pPr>
      <w:spacing w:after="120"/>
    </w:pPr>
    <w:rPr>
      <w:rFonts w:ascii="Times New Roman" w:hAnsi="Times New Roman"/>
    </w:rPr>
  </w:style>
  <w:style w:type="paragraph" w:styleId="18">
    <w:name w:val="Body Text First Indent"/>
    <w:basedOn w:val="17"/>
    <w:next w:val="19"/>
    <w:qFormat/>
    <w:uiPriority w:val="0"/>
    <w:pPr>
      <w:spacing w:line="360" w:lineRule="auto"/>
      <w:ind w:firstLine="200"/>
    </w:pPr>
    <w:rPr>
      <w:rFonts w:ascii="仿宋_GB2312" w:eastAsia="仿宋_GB2312"/>
      <w:sz w:val="30"/>
      <w:szCs w:val="30"/>
    </w:rPr>
  </w:style>
  <w:style w:type="paragraph" w:styleId="19">
    <w:name w:val="toc 6"/>
    <w:basedOn w:val="1"/>
    <w:next w:val="1"/>
    <w:qFormat/>
    <w:uiPriority w:val="0"/>
    <w:pPr>
      <w:spacing w:after="57"/>
      <w:ind w:left="1417"/>
    </w:pPr>
    <w:rPr>
      <w:rFonts w:hint="default" w:ascii="Calibri" w:hAnsi="Calibri" w:eastAsia="宋体" w:cs="Times New Roman"/>
      <w:lang w:val="en-US" w:eastAsia="zh-CN" w:bidi="ar-SA"/>
    </w:rPr>
  </w:style>
  <w:style w:type="paragraph" w:styleId="20">
    <w:name w:val="Block Text"/>
    <w:basedOn w:val="1"/>
    <w:next w:val="1"/>
    <w:qFormat/>
    <w:uiPriority w:val="0"/>
    <w:pPr>
      <w:ind w:left="256" w:right="6" w:firstLine="624"/>
    </w:pPr>
    <w:rPr>
      <w:rFonts w:ascii="Times New Roman" w:hAnsi="Times New Roman" w:eastAsia="仿宋_GB2312"/>
      <w:sz w:val="28"/>
    </w:rPr>
  </w:style>
  <w:style w:type="paragraph" w:styleId="21">
    <w:name w:val="toc 5"/>
    <w:next w:val="1"/>
    <w:qFormat/>
    <w:uiPriority w:val="0"/>
    <w:pPr>
      <w:spacing w:after="57"/>
      <w:ind w:left="1134"/>
    </w:pPr>
    <w:rPr>
      <w:rFonts w:hint="default" w:ascii="Calibri" w:hAnsi="Calibri" w:eastAsia="宋体" w:cs="Times New Roman"/>
      <w:lang w:val="en-US" w:eastAsia="zh-CN" w:bidi="ar-SA"/>
    </w:rPr>
  </w:style>
  <w:style w:type="paragraph" w:styleId="22">
    <w:name w:val="toc 3"/>
    <w:next w:val="1"/>
    <w:qFormat/>
    <w:uiPriority w:val="0"/>
    <w:pPr>
      <w:spacing w:after="57"/>
      <w:ind w:left="567"/>
    </w:pPr>
    <w:rPr>
      <w:rFonts w:hint="default" w:ascii="Calibri" w:hAnsi="Calibri" w:eastAsia="宋体" w:cs="Times New Roman"/>
      <w:lang w:val="en-US" w:eastAsia="zh-CN" w:bidi="ar-SA"/>
    </w:rPr>
  </w:style>
  <w:style w:type="paragraph" w:styleId="23">
    <w:name w:val="Plain Text"/>
    <w:basedOn w:val="1"/>
    <w:qFormat/>
    <w:uiPriority w:val="0"/>
    <w:rPr>
      <w:rFonts w:ascii="宋体"/>
    </w:rPr>
  </w:style>
  <w:style w:type="paragraph" w:styleId="24">
    <w:name w:val="toc 8"/>
    <w:next w:val="1"/>
    <w:qFormat/>
    <w:uiPriority w:val="0"/>
    <w:pPr>
      <w:spacing w:after="57"/>
      <w:ind w:left="1984"/>
    </w:pPr>
    <w:rPr>
      <w:rFonts w:hint="default" w:ascii="Calibri" w:hAnsi="Calibri" w:eastAsia="宋体" w:cs="Times New Roman"/>
      <w:lang w:val="en-US" w:eastAsia="zh-CN" w:bidi="ar-SA"/>
    </w:rPr>
  </w:style>
  <w:style w:type="paragraph" w:styleId="25">
    <w:name w:val="endnote text"/>
    <w:qFormat/>
    <w:uiPriority w:val="0"/>
    <w:rPr>
      <w:rFonts w:hint="default" w:ascii="Calibri" w:hAnsi="Calibri" w:eastAsia="宋体" w:cs="Times New Roman"/>
      <w:lang w:val="en-US" w:eastAsia="zh-CN" w:bidi="ar-SA"/>
    </w:rPr>
  </w:style>
  <w:style w:type="paragraph" w:styleId="26">
    <w:name w:val="footer"/>
    <w:basedOn w:val="1"/>
    <w:qFormat/>
    <w:uiPriority w:val="0"/>
    <w:pPr>
      <w:tabs>
        <w:tab w:val="center" w:pos="7143"/>
        <w:tab w:val="right" w:pos="14287"/>
      </w:tabs>
    </w:pPr>
    <w:rPr>
      <w:rFonts w:hint="default" w:ascii="Calibri" w:hAnsi="Calibri" w:eastAsia="宋体" w:cs="Times New Roman"/>
      <w:lang w:val="en-US" w:eastAsia="zh-CN" w:bidi="ar-SA"/>
    </w:rPr>
  </w:style>
  <w:style w:type="paragraph" w:styleId="27">
    <w:name w:val="header"/>
    <w:qFormat/>
    <w:uiPriority w:val="0"/>
    <w:pPr>
      <w:tabs>
        <w:tab w:val="center" w:pos="7143"/>
        <w:tab w:val="right" w:pos="14287"/>
      </w:tabs>
    </w:pPr>
    <w:rPr>
      <w:rFonts w:hint="default" w:ascii="Calibri" w:hAnsi="Calibri" w:eastAsia="宋体" w:cs="Times New Roman"/>
      <w:lang w:val="en-US" w:eastAsia="zh-CN" w:bidi="ar-SA"/>
    </w:rPr>
  </w:style>
  <w:style w:type="paragraph" w:styleId="28">
    <w:name w:val="toc 1"/>
    <w:next w:val="1"/>
    <w:qFormat/>
    <w:uiPriority w:val="0"/>
    <w:pPr>
      <w:spacing w:after="57"/>
    </w:pPr>
    <w:rPr>
      <w:rFonts w:hint="default" w:ascii="Calibri" w:hAnsi="Calibri" w:eastAsia="宋体" w:cs="Times New Roman"/>
      <w:lang w:val="en-US" w:eastAsia="zh-CN" w:bidi="ar-SA"/>
    </w:rPr>
  </w:style>
  <w:style w:type="paragraph" w:styleId="29">
    <w:name w:val="toc 4"/>
    <w:next w:val="1"/>
    <w:qFormat/>
    <w:uiPriority w:val="0"/>
    <w:pPr>
      <w:spacing w:after="57"/>
      <w:ind w:left="850"/>
    </w:pPr>
    <w:rPr>
      <w:rFonts w:hint="default" w:ascii="Calibri" w:hAnsi="Calibri" w:eastAsia="宋体" w:cs="Times New Roman"/>
      <w:lang w:val="en-US" w:eastAsia="zh-CN" w:bidi="ar-SA"/>
    </w:rPr>
  </w:style>
  <w:style w:type="paragraph" w:styleId="30">
    <w:name w:val="Subtitle"/>
    <w:qFormat/>
    <w:uiPriority w:val="0"/>
    <w:pPr>
      <w:spacing w:before="200" w:after="200"/>
    </w:pPr>
    <w:rPr>
      <w:rFonts w:hint="default" w:ascii="Calibri" w:hAnsi="Calibri" w:eastAsia="宋体" w:cs="Times New Roman"/>
      <w:sz w:val="24"/>
      <w:szCs w:val="24"/>
      <w:lang w:val="en-US" w:eastAsia="zh-CN" w:bidi="ar-SA"/>
    </w:rPr>
  </w:style>
  <w:style w:type="paragraph" w:styleId="31">
    <w:name w:val="footnote text"/>
    <w:qFormat/>
    <w:uiPriority w:val="0"/>
    <w:pPr>
      <w:spacing w:after="40"/>
    </w:pPr>
    <w:rPr>
      <w:rFonts w:hint="default" w:ascii="Calibri" w:hAnsi="Calibri" w:eastAsia="宋体" w:cs="Times New Roman"/>
      <w:sz w:val="18"/>
      <w:lang w:val="en-US" w:eastAsia="zh-CN" w:bidi="ar-SA"/>
    </w:rPr>
  </w:style>
  <w:style w:type="paragraph" w:styleId="32">
    <w:name w:val="table of figures"/>
    <w:next w:val="1"/>
    <w:qFormat/>
    <w:uiPriority w:val="0"/>
    <w:rPr>
      <w:rFonts w:hint="default" w:ascii="Calibri" w:hAnsi="Calibri" w:eastAsia="宋体" w:cs="Times New Roman"/>
      <w:lang w:val="en-US" w:eastAsia="zh-CN" w:bidi="ar-SA"/>
    </w:rPr>
  </w:style>
  <w:style w:type="paragraph" w:styleId="33">
    <w:name w:val="toc 2"/>
    <w:next w:val="1"/>
    <w:qFormat/>
    <w:uiPriority w:val="0"/>
    <w:pPr>
      <w:spacing w:after="57"/>
      <w:ind w:left="283"/>
    </w:pPr>
    <w:rPr>
      <w:rFonts w:hint="default" w:ascii="Calibri" w:hAnsi="Calibri" w:eastAsia="宋体" w:cs="Times New Roman"/>
      <w:lang w:val="en-US" w:eastAsia="zh-CN" w:bidi="ar-SA"/>
    </w:rPr>
  </w:style>
  <w:style w:type="paragraph" w:styleId="34">
    <w:name w:val="toc 9"/>
    <w:basedOn w:val="1"/>
    <w:next w:val="1"/>
    <w:qFormat/>
    <w:uiPriority w:val="0"/>
    <w:pPr>
      <w:spacing w:after="57"/>
      <w:ind w:left="2268"/>
    </w:pPr>
    <w:rPr>
      <w:rFonts w:hint="default" w:ascii="Calibri" w:hAnsi="Calibri" w:eastAsia="宋体" w:cs="Times New Roman"/>
      <w:lang w:val="en-US" w:eastAsia="zh-CN" w:bidi="ar-SA"/>
    </w:rPr>
  </w:style>
  <w:style w:type="paragraph" w:styleId="35">
    <w:name w:val="Body Text 2"/>
    <w:basedOn w:val="1"/>
    <w:qFormat/>
    <w:uiPriority w:val="0"/>
    <w:pPr>
      <w:spacing w:after="120" w:line="480" w:lineRule="auto"/>
    </w:pPr>
  </w:style>
  <w:style w:type="paragraph" w:styleId="36">
    <w:name w:val="Normal (Web)"/>
    <w:basedOn w:val="1"/>
    <w:qFormat/>
    <w:uiPriority w:val="0"/>
    <w:pPr>
      <w:spacing w:before="0" w:beforeAutospacing="1" w:after="0" w:afterAutospacing="1"/>
      <w:ind w:left="0" w:right="0"/>
      <w:jc w:val="left"/>
    </w:pPr>
    <w:rPr>
      <w:sz w:val="24"/>
      <w:lang w:val="en-US" w:eastAsia="zh-CN" w:bidi="ar"/>
    </w:rPr>
  </w:style>
  <w:style w:type="paragraph" w:styleId="37">
    <w:name w:val="Title"/>
    <w:basedOn w:val="1"/>
    <w:next w:val="1"/>
    <w:qFormat/>
    <w:uiPriority w:val="0"/>
    <w:pPr>
      <w:spacing w:before="300" w:after="200"/>
      <w:contextualSpacing/>
    </w:pPr>
    <w:rPr>
      <w:sz w:val="48"/>
      <w:szCs w:val="48"/>
    </w:rPr>
  </w:style>
  <w:style w:type="table" w:styleId="39">
    <w:name w:val="Table Grid"/>
    <w:basedOn w:val="38"/>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22"/>
    <w:rPr>
      <w:b/>
    </w:rPr>
  </w:style>
  <w:style w:type="character" w:styleId="42">
    <w:name w:val="endnote reference"/>
    <w:qFormat/>
    <w:uiPriority w:val="0"/>
    <w:rPr>
      <w:vertAlign w:val="superscript"/>
    </w:rPr>
  </w:style>
  <w:style w:type="character" w:styleId="43">
    <w:name w:val="page number"/>
    <w:basedOn w:val="40"/>
    <w:qFormat/>
    <w:uiPriority w:val="0"/>
  </w:style>
  <w:style w:type="character" w:styleId="44">
    <w:name w:val="Emphasis"/>
    <w:basedOn w:val="40"/>
    <w:qFormat/>
    <w:uiPriority w:val="0"/>
    <w:rPr>
      <w:color w:val="CC0033"/>
    </w:rPr>
  </w:style>
  <w:style w:type="character" w:styleId="45">
    <w:name w:val="Hyperlink"/>
    <w:qFormat/>
    <w:uiPriority w:val="0"/>
    <w:rPr>
      <w:color w:val="0000FF"/>
      <w:u w:val="single"/>
    </w:rPr>
  </w:style>
  <w:style w:type="character" w:styleId="46">
    <w:name w:val="footnote reference"/>
    <w:qFormat/>
    <w:uiPriority w:val="0"/>
    <w:rPr>
      <w:vertAlign w:val="superscript"/>
    </w:rPr>
  </w:style>
  <w:style w:type="paragraph" w:customStyle="1" w:styleId="47">
    <w:name w:val="正文文本缩进1"/>
    <w:basedOn w:val="48"/>
    <w:next w:val="66"/>
    <w:qFormat/>
    <w:uiPriority w:val="0"/>
    <w:pPr>
      <w:tabs>
        <w:tab w:val="left" w:pos="420"/>
      </w:tabs>
      <w:spacing w:after="120"/>
      <w:ind w:left="420"/>
    </w:pPr>
    <w:rPr>
      <w:rFonts w:ascii="Times New Roman" w:hAnsi="Times New Roman"/>
    </w:rPr>
  </w:style>
  <w:style w:type="paragraph" w:customStyle="1" w:styleId="48">
    <w:name w:val="正文1"/>
    <w:basedOn w:val="49"/>
    <w:next w:val="55"/>
    <w:qFormat/>
    <w:uiPriority w:val="0"/>
    <w:pPr>
      <w:tabs>
        <w:tab w:val="left" w:pos="420"/>
      </w:tabs>
      <w:spacing w:line="360" w:lineRule="auto"/>
      <w:ind w:firstLine="432"/>
    </w:pPr>
    <w:rPr>
      <w:rFonts w:ascii="宋体"/>
      <w:b/>
      <w:sz w:val="24"/>
    </w:rPr>
  </w:style>
  <w:style w:type="paragraph" w:customStyle="1" w:styleId="49">
    <w:name w:val="正文11"/>
    <w:next w:val="50"/>
    <w:link w:val="342"/>
    <w:qFormat/>
    <w:uiPriority w:val="0"/>
    <w:pPr>
      <w:widowControl w:val="0"/>
      <w:jc w:val="both"/>
    </w:pPr>
    <w:rPr>
      <w:rFonts w:hint="default" w:ascii="Calibri" w:hAnsi="Calibri" w:eastAsia="宋体" w:cs="Times New Roman"/>
      <w:sz w:val="21"/>
      <w:szCs w:val="24"/>
      <w:lang w:val="en-US" w:eastAsia="zh-CN" w:bidi="ar-SA"/>
    </w:rPr>
  </w:style>
  <w:style w:type="paragraph" w:customStyle="1" w:styleId="50">
    <w:name w:val="文本块1"/>
    <w:basedOn w:val="51"/>
    <w:next w:val="52"/>
    <w:qFormat/>
    <w:uiPriority w:val="0"/>
    <w:pPr>
      <w:ind w:left="256" w:right="6" w:firstLine="624"/>
    </w:pPr>
    <w:rPr>
      <w:rFonts w:ascii="Times New Roman" w:hAnsi="Times New Roman" w:eastAsia="仿宋_GB2312"/>
      <w:sz w:val="28"/>
    </w:rPr>
  </w:style>
  <w:style w:type="paragraph" w:customStyle="1" w:styleId="51">
    <w:name w:val="正文111"/>
    <w:next w:val="47"/>
    <w:qFormat/>
    <w:uiPriority w:val="0"/>
    <w:rPr>
      <w:rFonts w:hint="default" w:ascii="Calibri" w:hAnsi="Calibri" w:eastAsia="宋体" w:cs="Times New Roman"/>
      <w:lang w:val="en-US" w:eastAsia="zh-CN" w:bidi="ar-SA"/>
    </w:rPr>
  </w:style>
  <w:style w:type="paragraph" w:customStyle="1" w:styleId="52">
    <w:name w:val="标题 41"/>
    <w:basedOn w:val="53"/>
    <w:next w:val="49"/>
    <w:qFormat/>
    <w:uiPriority w:val="0"/>
    <w:pPr>
      <w:keepNext/>
      <w:keepLines/>
      <w:spacing w:before="280" w:after="290" w:line="377" w:lineRule="auto"/>
      <w:outlineLvl w:val="3"/>
    </w:pPr>
    <w:rPr>
      <w:rFonts w:ascii="Cambria" w:hAnsi="Cambria"/>
      <w:b/>
      <w:bCs/>
      <w:sz w:val="28"/>
      <w:szCs w:val="28"/>
    </w:rPr>
  </w:style>
  <w:style w:type="paragraph" w:customStyle="1" w:styleId="53">
    <w:name w:val="正文12"/>
    <w:next w:val="5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
    <w:name w:val="无间隔1"/>
    <w:qFormat/>
    <w:uiPriority w:val="0"/>
    <w:rPr>
      <w:rFonts w:hint="default" w:ascii="Calibri" w:hAnsi="Calibri" w:eastAsia="宋体" w:cs="Times New Roman"/>
      <w:lang w:val="en-US" w:eastAsia="zh-CN" w:bidi="ar-SA"/>
    </w:rPr>
  </w:style>
  <w:style w:type="paragraph" w:customStyle="1" w:styleId="55">
    <w:name w:val="目录 11"/>
    <w:basedOn w:val="56"/>
    <w:next w:val="53"/>
    <w:qFormat/>
    <w:uiPriority w:val="0"/>
    <w:pPr>
      <w:spacing w:after="57"/>
    </w:pPr>
    <w:rPr>
      <w:rFonts w:hint="default" w:ascii="Calibri" w:hAnsi="Calibri" w:eastAsia="宋体" w:cs="Times New Roman"/>
      <w:lang w:val="en-US" w:eastAsia="zh-CN" w:bidi="ar-SA"/>
    </w:rPr>
  </w:style>
  <w:style w:type="paragraph" w:customStyle="1" w:styleId="56">
    <w:name w:val="正文112"/>
    <w:next w:val="5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
    <w:name w:val="正文首行缩进1"/>
    <w:basedOn w:val="58"/>
    <w:next w:val="59"/>
    <w:qFormat/>
    <w:uiPriority w:val="0"/>
    <w:pPr>
      <w:tabs>
        <w:tab w:val="left" w:pos="180"/>
      </w:tabs>
      <w:ind w:firstLine="100"/>
    </w:pPr>
  </w:style>
  <w:style w:type="paragraph" w:customStyle="1" w:styleId="58">
    <w:name w:val="正文文本11"/>
    <w:basedOn w:val="56"/>
    <w:next w:val="51"/>
    <w:qFormat/>
    <w:uiPriority w:val="0"/>
    <w:pPr>
      <w:spacing w:after="120"/>
    </w:pPr>
    <w:rPr>
      <w:rFonts w:ascii="Times New Roman" w:hAnsi="Times New Roman"/>
    </w:rPr>
  </w:style>
  <w:style w:type="paragraph" w:customStyle="1" w:styleId="59">
    <w:name w:val="正文首行缩进 211"/>
    <w:basedOn w:val="60"/>
    <w:next w:val="56"/>
    <w:qFormat/>
    <w:uiPriority w:val="99"/>
    <w:pPr>
      <w:spacing w:after="0" w:line="360" w:lineRule="auto"/>
      <w:ind w:left="0" w:firstLine="420"/>
    </w:pPr>
    <w:rPr>
      <w:rFonts w:ascii="宋体" w:hAnsi="宋体"/>
    </w:rPr>
  </w:style>
  <w:style w:type="paragraph" w:customStyle="1" w:styleId="60">
    <w:name w:val="正文文本缩进11"/>
    <w:basedOn w:val="53"/>
    <w:next w:val="61"/>
    <w:unhideWhenUsed/>
    <w:qFormat/>
    <w:uiPriority w:val="99"/>
    <w:pPr>
      <w:spacing w:line="360" w:lineRule="auto"/>
      <w:ind w:firstLine="425"/>
      <w:jc w:val="both"/>
    </w:pPr>
    <w:rPr>
      <w:lang w:val="en-US" w:eastAsia="zh-CN"/>
    </w:rPr>
  </w:style>
  <w:style w:type="paragraph" w:customStyle="1" w:styleId="61">
    <w:name w:val="寄信人地址11"/>
    <w:basedOn w:val="62"/>
    <w:unhideWhenUsed/>
    <w:qFormat/>
    <w:uiPriority w:val="99"/>
    <w:rPr>
      <w:rFonts w:ascii="Arial" w:hAnsi="Arial"/>
    </w:rPr>
  </w:style>
  <w:style w:type="paragraph" w:customStyle="1" w:styleId="62">
    <w:name w:val="正文1111"/>
    <w:next w:val="6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
    <w:name w:val="文本块11"/>
    <w:basedOn w:val="64"/>
    <w:next w:val="65"/>
    <w:qFormat/>
    <w:uiPriority w:val="0"/>
    <w:pPr>
      <w:ind w:left="268" w:right="-24" w:firstLine="473"/>
    </w:pPr>
    <w:rPr>
      <w:bCs/>
    </w:rPr>
  </w:style>
  <w:style w:type="paragraph" w:customStyle="1" w:styleId="64">
    <w:name w:val="正文121"/>
    <w:next w:val="63"/>
    <w:qFormat/>
    <w:uiPriority w:val="0"/>
    <w:rPr>
      <w:rFonts w:hint="default" w:ascii="Times New Roman" w:hAnsi="Times New Roman" w:eastAsia="宋体" w:cs="Times New Roman"/>
      <w:lang w:val="en-US" w:eastAsia="zh-CN" w:bidi="ar-SA"/>
    </w:rPr>
  </w:style>
  <w:style w:type="paragraph" w:customStyle="1" w:styleId="65">
    <w:name w:val="标题 411"/>
    <w:basedOn w:val="53"/>
    <w:next w:val="1"/>
    <w:qFormat/>
    <w:uiPriority w:val="0"/>
    <w:pPr>
      <w:keepNext/>
      <w:keepLines/>
      <w:spacing w:before="320" w:after="200"/>
      <w:outlineLvl w:val="3"/>
    </w:pPr>
    <w:rPr>
      <w:rFonts w:ascii="Arial" w:hAnsi="Arial" w:eastAsia="Arial"/>
      <w:b/>
      <w:bCs/>
      <w:sz w:val="26"/>
      <w:szCs w:val="26"/>
    </w:rPr>
  </w:style>
  <w:style w:type="paragraph" w:customStyle="1" w:styleId="66">
    <w:name w:val="寄信人地址1"/>
    <w:basedOn w:val="53"/>
    <w:qFormat/>
    <w:uiPriority w:val="0"/>
    <w:rPr>
      <w:rFonts w:ascii="Arial" w:hAnsi="Arial"/>
    </w:rPr>
  </w:style>
  <w:style w:type="paragraph" w:customStyle="1" w:styleId="67">
    <w:name w:val="BodyText"/>
    <w:basedOn w:val="1"/>
    <w:next w:val="1"/>
    <w:qFormat/>
    <w:uiPriority w:val="0"/>
    <w:pPr>
      <w:spacing w:after="60" w:line="360" w:lineRule="atLeast"/>
      <w:ind w:left="72" w:right="30"/>
      <w:jc w:val="center"/>
    </w:pPr>
    <w:rPr>
      <w:szCs w:val="22"/>
    </w:rPr>
  </w:style>
  <w:style w:type="paragraph" w:customStyle="1" w:styleId="68">
    <w:name w:val="一级条标题"/>
    <w:basedOn w:val="69"/>
    <w:next w:val="70"/>
    <w:qFormat/>
    <w:uiPriority w:val="0"/>
    <w:pPr>
      <w:tabs>
        <w:tab w:val="left" w:pos="420"/>
        <w:tab w:val="left" w:pos="810"/>
        <w:tab w:val="left" w:pos="907"/>
        <w:tab w:val="left" w:pos="1265"/>
      </w:tabs>
      <w:spacing w:before="0" w:after="0"/>
      <w:ind w:left="907" w:hanging="907"/>
      <w:outlineLvl w:val="2"/>
    </w:pPr>
    <w:rPr>
      <w:sz w:val="20"/>
    </w:rPr>
  </w:style>
  <w:style w:type="paragraph" w:customStyle="1" w:styleId="69">
    <w:name w:val="章标题"/>
    <w:basedOn w:val="48"/>
    <w:next w:val="48"/>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2"/>
      <w:lang w:val="en-US" w:eastAsia="zh-CN" w:bidi="ar-SA"/>
    </w:rPr>
  </w:style>
  <w:style w:type="paragraph" w:customStyle="1" w:styleId="70">
    <w:name w:val="段"/>
    <w:basedOn w:val="56"/>
    <w:next w:val="48"/>
    <w:qFormat/>
    <w:uiPriority w:val="0"/>
    <w:pPr>
      <w:widowControl/>
      <w:ind w:firstLine="200"/>
    </w:pPr>
    <w:rPr>
      <w:rFonts w:ascii="宋体"/>
      <w:sz w:val="20"/>
      <w:szCs w:val="20"/>
    </w:rPr>
  </w:style>
  <w:style w:type="paragraph" w:customStyle="1" w:styleId="71">
    <w:name w:val="正文文本1"/>
    <w:basedOn w:val="48"/>
    <w:next w:val="72"/>
    <w:qFormat/>
    <w:uiPriority w:val="0"/>
    <w:rPr>
      <w:rFonts w:eastAsia="黑体"/>
      <w:bCs/>
      <w:spacing w:val="20"/>
      <w:sz w:val="56"/>
    </w:rPr>
  </w:style>
  <w:style w:type="paragraph" w:customStyle="1" w:styleId="72">
    <w:name w:val="正文文本 21"/>
    <w:basedOn w:val="1"/>
    <w:qFormat/>
    <w:uiPriority w:val="0"/>
    <w:pPr>
      <w:spacing w:after="120" w:line="480" w:lineRule="auto"/>
    </w:pPr>
    <w:rPr>
      <w:rFonts w:ascii="Calibri" w:hAnsi="Calibri" w:eastAsia="宋体"/>
      <w:szCs w:val="22"/>
    </w:rPr>
  </w:style>
  <w:style w:type="paragraph" w:customStyle="1" w:styleId="73">
    <w:name w:val="正文首行缩进 21"/>
    <w:basedOn w:val="47"/>
    <w:next w:val="1"/>
    <w:qFormat/>
    <w:uiPriority w:val="0"/>
    <w:pPr>
      <w:spacing w:after="0" w:line="360" w:lineRule="auto"/>
      <w:ind w:left="0" w:firstLine="420"/>
    </w:pPr>
    <w:rPr>
      <w:rFonts w:ascii="宋体"/>
      <w:sz w:val="20"/>
      <w:szCs w:val="20"/>
    </w:rPr>
  </w:style>
  <w:style w:type="paragraph" w:customStyle="1" w:styleId="74">
    <w:name w:val="脚注文本1"/>
    <w:basedOn w:val="48"/>
    <w:next w:val="75"/>
    <w:qFormat/>
    <w:uiPriority w:val="0"/>
    <w:pPr>
      <w:spacing w:after="40"/>
    </w:pPr>
    <w:rPr>
      <w:rFonts w:hint="default" w:ascii="Calibri" w:hAnsi="Calibri" w:eastAsia="宋体" w:cs="Times New Roman"/>
      <w:sz w:val="18"/>
      <w:lang w:val="en-US" w:eastAsia="zh-CN" w:bidi="ar-SA"/>
    </w:rPr>
  </w:style>
  <w:style w:type="paragraph" w:customStyle="1" w:styleId="75">
    <w:name w:val="索引 51"/>
    <w:basedOn w:val="53"/>
    <w:next w:val="48"/>
    <w:qFormat/>
    <w:uiPriority w:val="0"/>
    <w:pPr>
      <w:ind w:left="798"/>
      <w:jc w:val="left"/>
    </w:pPr>
  </w:style>
  <w:style w:type="paragraph" w:customStyle="1" w:styleId="76">
    <w:name w:val="标题 21"/>
    <w:basedOn w:val="53"/>
    <w:next w:val="53"/>
    <w:link w:val="235"/>
    <w:qFormat/>
    <w:uiPriority w:val="0"/>
    <w:pPr>
      <w:keepNext/>
      <w:keepLines/>
      <w:tabs>
        <w:tab w:val="left" w:pos="720"/>
      </w:tabs>
      <w:spacing w:before="260" w:after="260" w:line="415" w:lineRule="auto"/>
      <w:jc w:val="center"/>
      <w:outlineLvl w:val="1"/>
    </w:pPr>
    <w:rPr>
      <w:rFonts w:ascii="Cambria" w:hAnsi="Cambria"/>
      <w:b/>
      <w:bCs/>
      <w:sz w:val="28"/>
      <w:szCs w:val="32"/>
    </w:rPr>
  </w:style>
  <w:style w:type="paragraph" w:customStyle="1" w:styleId="77">
    <w:name w:val="正文首行缩进11"/>
    <w:basedOn w:val="71"/>
    <w:next w:val="59"/>
    <w:qFormat/>
    <w:uiPriority w:val="0"/>
    <w:pPr>
      <w:spacing w:line="360" w:lineRule="auto"/>
      <w:ind w:firstLine="200"/>
    </w:pPr>
    <w:rPr>
      <w:rFonts w:ascii="仿宋_GB2312" w:eastAsia="仿宋_GB2312"/>
      <w:sz w:val="30"/>
      <w:szCs w:val="30"/>
    </w:rPr>
  </w:style>
  <w:style w:type="paragraph" w:customStyle="1" w:styleId="78">
    <w:name w:val="正文缩进1"/>
    <w:basedOn w:val="56"/>
    <w:next w:val="49"/>
    <w:qFormat/>
    <w:uiPriority w:val="0"/>
    <w:pPr>
      <w:ind w:firstLine="420"/>
    </w:pPr>
  </w:style>
  <w:style w:type="paragraph" w:customStyle="1" w:styleId="79">
    <w:name w:val="正文首行缩进 22"/>
    <w:basedOn w:val="80"/>
    <w:next w:val="56"/>
    <w:qFormat/>
    <w:uiPriority w:val="0"/>
    <w:pPr>
      <w:ind w:firstLine="420"/>
    </w:pPr>
  </w:style>
  <w:style w:type="paragraph" w:customStyle="1" w:styleId="80">
    <w:name w:val="正文文本缩进2"/>
    <w:basedOn w:val="51"/>
    <w:qFormat/>
    <w:uiPriority w:val="0"/>
    <w:pPr>
      <w:spacing w:after="120"/>
      <w:ind w:left="420"/>
    </w:pPr>
  </w:style>
  <w:style w:type="character" w:customStyle="1" w:styleId="81">
    <w:name w:val="Heading 1 Char"/>
    <w:basedOn w:val="40"/>
    <w:qFormat/>
    <w:uiPriority w:val="9"/>
    <w:rPr>
      <w:rFonts w:ascii="Arial" w:hAnsi="Arial" w:eastAsia="Arial" w:cs="Arial"/>
      <w:sz w:val="40"/>
      <w:szCs w:val="40"/>
    </w:rPr>
  </w:style>
  <w:style w:type="paragraph" w:styleId="82">
    <w:name w:val="No Spacing"/>
    <w:qFormat/>
    <w:uiPriority w:val="1"/>
    <w:pPr>
      <w:spacing w:before="0" w:after="0" w:line="240" w:lineRule="auto"/>
    </w:pPr>
    <w:rPr>
      <w:rFonts w:hint="default" w:ascii="Times New Roman" w:hAnsi="Times New Roman" w:eastAsia="宋体" w:cs="Times New Roman"/>
    </w:rPr>
  </w:style>
  <w:style w:type="paragraph" w:styleId="83">
    <w:name w:val="Quote"/>
    <w:basedOn w:val="1"/>
    <w:next w:val="1"/>
    <w:qFormat/>
    <w:uiPriority w:val="29"/>
    <w:pPr>
      <w:ind w:left="720" w:right="720"/>
    </w:pPr>
    <w:rPr>
      <w:i/>
    </w:rPr>
  </w:style>
  <w:style w:type="paragraph" w:styleId="84">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table" w:customStyle="1" w:styleId="85">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6">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7">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8">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2">
    <w:name w:val="Grid Table 1 Light - Accent 1"/>
    <w:basedOn w:val="3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3">
    <w:name w:val="Grid Table 1 Light - Accent 2"/>
    <w:basedOn w:val="3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4">
    <w:name w:val="Grid Table 1 Light - Accent 3"/>
    <w:basedOn w:val="3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5">
    <w:name w:val="Grid Table 1 Light - Accent 4"/>
    <w:basedOn w:val="3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6">
    <w:name w:val="Grid Table 1 Light - Accent 5"/>
    <w:basedOn w:val="3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7">
    <w:name w:val="Grid Table 1 Light - Accent 6"/>
    <w:basedOn w:val="3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8">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2 - Accent 1"/>
    <w:basedOn w:val="3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2 - Accent 2"/>
    <w:basedOn w:val="3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2 - Accent 3"/>
    <w:basedOn w:val="3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2 - Accent 4"/>
    <w:basedOn w:val="3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2 - Accent 5"/>
    <w:basedOn w:val="3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2 - Accent 6"/>
    <w:basedOn w:val="3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3 - Accent 1"/>
    <w:basedOn w:val="3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3 - Accent 2"/>
    <w:basedOn w:val="3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3 - Accent 3"/>
    <w:basedOn w:val="3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3 - Accent 4"/>
    <w:basedOn w:val="3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3 - Accent 5"/>
    <w:basedOn w:val="3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3 - Accent 6"/>
    <w:basedOn w:val="3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4 - Accent 1"/>
    <w:basedOn w:val="3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4">
    <w:name w:val="Grid Table 4 - Accent 2"/>
    <w:basedOn w:val="3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4 - Accent 3"/>
    <w:basedOn w:val="3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4 - Accent 4"/>
    <w:basedOn w:val="3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4 - Accent 5"/>
    <w:basedOn w:val="3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4 - Accent 6"/>
    <w:basedOn w:val="3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0">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1">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2">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3">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4">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5">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6">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6 Colorful - Accent 1"/>
    <w:basedOn w:val="3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8">
    <w:name w:val="Grid Table 6 Colorful - Accent 2"/>
    <w:basedOn w:val="3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9">
    <w:name w:val="Grid Table 6 Colorful - Accent 3"/>
    <w:basedOn w:val="3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0">
    <w:name w:val="Grid Table 6 Colorful - Accent 4"/>
    <w:basedOn w:val="3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1">
    <w:name w:val="Grid Table 6 Colorful - Accent 5"/>
    <w:basedOn w:val="3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2">
    <w:name w:val="Grid Table 6 Colorful - Accent 6"/>
    <w:basedOn w:val="3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3">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7 Colorful - Accent 1"/>
    <w:basedOn w:val="3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5">
    <w:name w:val="Grid Table 7 Colorful - Accent 2"/>
    <w:basedOn w:val="3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6">
    <w:name w:val="Grid Table 7 Colorful - Accent 3"/>
    <w:basedOn w:val="3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7">
    <w:name w:val="Grid Table 7 Colorful - Accent 4"/>
    <w:basedOn w:val="3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8">
    <w:name w:val="Grid Table 7 Colorful - Accent 5"/>
    <w:basedOn w:val="3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9">
    <w:name w:val="Grid Table 7 Colorful - Accent 6"/>
    <w:basedOn w:val="3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0">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1">
    <w:name w:val="List Table 1 Light - Accent 1"/>
    <w:basedOn w:val="3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2">
    <w:name w:val="List Table 1 Light - Accent 2"/>
    <w:basedOn w:val="3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3">
    <w:name w:val="List Table 1 Light - Accent 3"/>
    <w:basedOn w:val="3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4">
    <w:name w:val="List Table 1 Light - Accent 4"/>
    <w:basedOn w:val="3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5">
    <w:name w:val="List Table 1 Light - Accent 5"/>
    <w:basedOn w:val="3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6">
    <w:name w:val="List Table 1 Light - Accent 6"/>
    <w:basedOn w:val="3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7">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2 - Accent 1"/>
    <w:basedOn w:val="3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2 - Accent 2"/>
    <w:basedOn w:val="3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2 - Accent 3"/>
    <w:basedOn w:val="3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2 - Accent 4"/>
    <w:basedOn w:val="3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2 - Accent 5"/>
    <w:basedOn w:val="3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2 - Accent 6"/>
    <w:basedOn w:val="3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5">
    <w:name w:val="List Table 3 - Accent 1"/>
    <w:basedOn w:val="3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6">
    <w:name w:val="List Table 3 - Accent 2"/>
    <w:basedOn w:val="3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7">
    <w:name w:val="List Table 3 - Accent 3"/>
    <w:basedOn w:val="3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8">
    <w:name w:val="List Table 3 - Accent 4"/>
    <w:basedOn w:val="3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9">
    <w:name w:val="List Table 3 - Accent 5"/>
    <w:basedOn w:val="3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0">
    <w:name w:val="List Table 3 - Accent 6"/>
    <w:basedOn w:val="3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1">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4 - Accent 1"/>
    <w:basedOn w:val="3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4 - Accent 2"/>
    <w:basedOn w:val="3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4 - Accent 3"/>
    <w:basedOn w:val="3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4 - Accent 4"/>
    <w:basedOn w:val="3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4 - Accent 5"/>
    <w:basedOn w:val="3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4 - Accent 6"/>
    <w:basedOn w:val="3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9">
    <w:name w:val="List Table 5 Dark - Accent 1"/>
    <w:basedOn w:val="3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0">
    <w:name w:val="List Table 5 Dark - Accent 2"/>
    <w:basedOn w:val="3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1">
    <w:name w:val="List Table 5 Dark - Accent 3"/>
    <w:basedOn w:val="3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2">
    <w:name w:val="List Table 5 Dark - Accent 4"/>
    <w:basedOn w:val="3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3">
    <w:name w:val="List Table 5 Dark - Accent 5"/>
    <w:basedOn w:val="3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4">
    <w:name w:val="List Table 5 Dark - Accent 6"/>
    <w:basedOn w:val="3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5">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6">
    <w:name w:val="List Table 6 Colorful - Accent 1"/>
    <w:basedOn w:val="3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7">
    <w:name w:val="List Table 6 Colorful - Accent 2"/>
    <w:basedOn w:val="3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List Table 6 Colorful - Accent 3"/>
    <w:basedOn w:val="3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9">
    <w:name w:val="List Table 6 Colorful - Accent 4"/>
    <w:basedOn w:val="3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List Table 6 Colorful - Accent 5"/>
    <w:basedOn w:val="3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1">
    <w:name w:val="List Table 6 Colorful - Accent 6"/>
    <w:basedOn w:val="3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2">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3">
    <w:name w:val="List Table 7 Colorful - Accent 1"/>
    <w:basedOn w:val="3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7 Colorful - Accent 2"/>
    <w:basedOn w:val="3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7 Colorful - Accent 3"/>
    <w:basedOn w:val="3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7 Colorful - Accent 4"/>
    <w:basedOn w:val="3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7 Colorful - Accent 5"/>
    <w:basedOn w:val="3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7 Colorful - Accent 6"/>
    <w:basedOn w:val="3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Lined - Accent 1"/>
    <w:basedOn w:val="3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Lined - Accent 2"/>
    <w:basedOn w:val="3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Lined - Accent 3"/>
    <w:basedOn w:val="3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Lined - Accent 4"/>
    <w:basedOn w:val="3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Lined - Accent 5"/>
    <w:basedOn w:val="3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Lined - Accent 6"/>
    <w:basedOn w:val="3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Bordered &amp; Lined - Accent 1"/>
    <w:basedOn w:val="3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Bordered &amp; Lined - Accent 2"/>
    <w:basedOn w:val="3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Bordered &amp; Lined - Accent 3"/>
    <w:basedOn w:val="3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Bordered &amp; Lined - Accent 4"/>
    <w:basedOn w:val="3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Bordered &amp; Lined - Accent 5"/>
    <w:basedOn w:val="3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Bordered &amp; Lined - Accent 6"/>
    <w:basedOn w:val="3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4">
    <w:name w:val="Bordered - Accent 1"/>
    <w:basedOn w:val="3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5">
    <w:name w:val="Bordered - Accent 2"/>
    <w:basedOn w:val="3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6">
    <w:name w:val="Bordered - Accent 3"/>
    <w:basedOn w:val="3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7">
    <w:name w:val="Bordered - Accent 4"/>
    <w:basedOn w:val="3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8">
    <w:name w:val="Bordered - Accent 5"/>
    <w:basedOn w:val="3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9">
    <w:name w:val="Bordered - Accent 6"/>
    <w:basedOn w:val="3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paragraph" w:customStyle="1" w:styleId="210">
    <w:name w:val="TOC Heading"/>
    <w:unhideWhenUsed/>
    <w:qFormat/>
    <w:uiPriority w:val="39"/>
    <w:rPr>
      <w:rFonts w:hint="default" w:ascii="Times New Roman" w:hAnsi="Times New Roman" w:eastAsia="宋体" w:cs="Times New Roman"/>
    </w:rPr>
  </w:style>
  <w:style w:type="paragraph" w:customStyle="1" w:styleId="211">
    <w:name w:val="样式 正文文本缩进 + 首行缩进:  2 字符 行距: 1.5 倍行距"/>
    <w:basedOn w:val="47"/>
    <w:qFormat/>
    <w:uiPriority w:val="0"/>
    <w:pPr>
      <w:spacing w:before="156"/>
      <w:ind w:firstLine="645"/>
    </w:pPr>
    <w:rPr>
      <w:rFonts w:ascii="Calibri" w:hAnsi="Calibri"/>
      <w:sz w:val="28"/>
    </w:rPr>
  </w:style>
  <w:style w:type="paragraph" w:customStyle="1" w:styleId="212">
    <w:name w:val="标题1"/>
    <w:basedOn w:val="53"/>
    <w:next w:val="213"/>
    <w:qFormat/>
    <w:uiPriority w:val="0"/>
    <w:pPr>
      <w:spacing w:before="240" w:after="60"/>
      <w:jc w:val="center"/>
      <w:outlineLvl w:val="0"/>
    </w:pPr>
    <w:rPr>
      <w:rFonts w:ascii="Cambria" w:hAnsi="Cambria"/>
      <w:b/>
      <w:bCs/>
      <w:sz w:val="32"/>
      <w:szCs w:val="32"/>
    </w:rPr>
  </w:style>
  <w:style w:type="paragraph" w:customStyle="1" w:styleId="213">
    <w:name w:val="纯文本1"/>
    <w:basedOn w:val="49"/>
    <w:qFormat/>
    <w:uiPriority w:val="0"/>
    <w:rPr>
      <w:rFonts w:ascii="宋体"/>
      <w:szCs w:val="21"/>
    </w:rPr>
  </w:style>
  <w:style w:type="character" w:customStyle="1" w:styleId="214">
    <w:name w:val="正文11 Char"/>
    <w:basedOn w:val="40"/>
    <w:link w:val="49"/>
    <w:qFormat/>
    <w:uiPriority w:val="0"/>
    <w:rPr>
      <w:rFonts w:ascii="Calibri" w:hAnsi="Calibri" w:eastAsia="宋体" w:cs="Times New Roman"/>
      <w:sz w:val="21"/>
      <w:szCs w:val="24"/>
      <w:lang w:val="en-US" w:eastAsia="zh-CN" w:bidi="ar-SA"/>
    </w:rPr>
  </w:style>
  <w:style w:type="character" w:customStyle="1" w:styleId="215">
    <w:name w:val="Heading 2 Char"/>
    <w:basedOn w:val="40"/>
    <w:qFormat/>
    <w:uiPriority w:val="0"/>
    <w:rPr>
      <w:rFonts w:ascii="Arial" w:hAnsi="Arial" w:eastAsia="Arial" w:cs="Arial"/>
      <w:sz w:val="34"/>
    </w:rPr>
  </w:style>
  <w:style w:type="character" w:customStyle="1" w:styleId="216">
    <w:name w:val="Heading 3 Char"/>
    <w:basedOn w:val="40"/>
    <w:qFormat/>
    <w:uiPriority w:val="0"/>
    <w:rPr>
      <w:rFonts w:ascii="Arial" w:hAnsi="Arial" w:eastAsia="Arial" w:cs="Arial"/>
      <w:sz w:val="30"/>
      <w:szCs w:val="30"/>
    </w:rPr>
  </w:style>
  <w:style w:type="character" w:customStyle="1" w:styleId="217">
    <w:name w:val="Heading 4 Char"/>
    <w:basedOn w:val="40"/>
    <w:qFormat/>
    <w:uiPriority w:val="0"/>
    <w:rPr>
      <w:rFonts w:ascii="Arial" w:hAnsi="Arial" w:eastAsia="Arial" w:cs="Arial"/>
      <w:b/>
      <w:bCs/>
      <w:sz w:val="26"/>
      <w:szCs w:val="26"/>
    </w:rPr>
  </w:style>
  <w:style w:type="character" w:customStyle="1" w:styleId="218">
    <w:name w:val="Heading 5 Char"/>
    <w:basedOn w:val="40"/>
    <w:qFormat/>
    <w:uiPriority w:val="0"/>
    <w:rPr>
      <w:rFonts w:ascii="Arial" w:hAnsi="Arial" w:eastAsia="Arial" w:cs="Arial"/>
      <w:b/>
      <w:bCs/>
      <w:sz w:val="24"/>
      <w:szCs w:val="24"/>
    </w:rPr>
  </w:style>
  <w:style w:type="character" w:customStyle="1" w:styleId="219">
    <w:name w:val="Heading 6 Char"/>
    <w:basedOn w:val="40"/>
    <w:qFormat/>
    <w:uiPriority w:val="0"/>
    <w:rPr>
      <w:rFonts w:ascii="Arial" w:hAnsi="Arial" w:eastAsia="Arial" w:cs="Arial"/>
      <w:b/>
      <w:bCs/>
      <w:sz w:val="22"/>
      <w:szCs w:val="22"/>
    </w:rPr>
  </w:style>
  <w:style w:type="character" w:customStyle="1" w:styleId="220">
    <w:name w:val="Heading 7 Char"/>
    <w:basedOn w:val="40"/>
    <w:qFormat/>
    <w:uiPriority w:val="0"/>
    <w:rPr>
      <w:rFonts w:ascii="Arial" w:hAnsi="Arial" w:eastAsia="Arial" w:cs="Arial"/>
      <w:b/>
      <w:bCs/>
      <w:i/>
      <w:iCs/>
      <w:sz w:val="22"/>
      <w:szCs w:val="22"/>
    </w:rPr>
  </w:style>
  <w:style w:type="character" w:customStyle="1" w:styleId="221">
    <w:name w:val="Heading 8 Char"/>
    <w:basedOn w:val="40"/>
    <w:qFormat/>
    <w:uiPriority w:val="0"/>
    <w:rPr>
      <w:rFonts w:ascii="Arial" w:hAnsi="Arial" w:eastAsia="Arial" w:cs="Arial"/>
      <w:i/>
      <w:iCs/>
      <w:sz w:val="22"/>
      <w:szCs w:val="22"/>
    </w:rPr>
  </w:style>
  <w:style w:type="character" w:customStyle="1" w:styleId="222">
    <w:name w:val="Heading 9 Char"/>
    <w:basedOn w:val="40"/>
    <w:qFormat/>
    <w:uiPriority w:val="0"/>
    <w:rPr>
      <w:rFonts w:ascii="Arial" w:hAnsi="Arial" w:eastAsia="Arial" w:cs="Arial"/>
      <w:i/>
      <w:iCs/>
      <w:sz w:val="21"/>
      <w:szCs w:val="21"/>
    </w:rPr>
  </w:style>
  <w:style w:type="character" w:customStyle="1" w:styleId="223">
    <w:name w:val="Title Char"/>
    <w:basedOn w:val="40"/>
    <w:qFormat/>
    <w:uiPriority w:val="0"/>
    <w:rPr>
      <w:sz w:val="48"/>
      <w:szCs w:val="48"/>
    </w:rPr>
  </w:style>
  <w:style w:type="character" w:customStyle="1" w:styleId="224">
    <w:name w:val="Subtitle Char"/>
    <w:basedOn w:val="40"/>
    <w:qFormat/>
    <w:uiPriority w:val="0"/>
    <w:rPr>
      <w:sz w:val="24"/>
      <w:szCs w:val="24"/>
    </w:rPr>
  </w:style>
  <w:style w:type="character" w:customStyle="1" w:styleId="225">
    <w:name w:val="Quote Char"/>
    <w:qFormat/>
    <w:uiPriority w:val="0"/>
    <w:rPr>
      <w:i/>
    </w:rPr>
  </w:style>
  <w:style w:type="character" w:customStyle="1" w:styleId="226">
    <w:name w:val="Intense Quote Char"/>
    <w:qFormat/>
    <w:uiPriority w:val="0"/>
    <w:rPr>
      <w:i/>
    </w:rPr>
  </w:style>
  <w:style w:type="character" w:customStyle="1" w:styleId="227">
    <w:name w:val="Header Char"/>
    <w:basedOn w:val="40"/>
    <w:qFormat/>
    <w:uiPriority w:val="0"/>
  </w:style>
  <w:style w:type="character" w:customStyle="1" w:styleId="228">
    <w:name w:val="Caption Char"/>
    <w:qFormat/>
    <w:uiPriority w:val="0"/>
  </w:style>
  <w:style w:type="character" w:customStyle="1" w:styleId="229">
    <w:name w:val="Footnote Text Char"/>
    <w:qFormat/>
    <w:uiPriority w:val="0"/>
    <w:rPr>
      <w:sz w:val="18"/>
    </w:rPr>
  </w:style>
  <w:style w:type="character" w:customStyle="1" w:styleId="230">
    <w:name w:val="Endnote Text Char"/>
    <w:qFormat/>
    <w:uiPriority w:val="0"/>
    <w:rPr>
      <w:sz w:val="20"/>
    </w:rPr>
  </w:style>
  <w:style w:type="paragraph" w:customStyle="1" w:styleId="231">
    <w:name w:val="TOC 标题1"/>
    <w:qFormat/>
    <w:uiPriority w:val="0"/>
    <w:rPr>
      <w:rFonts w:hint="default" w:ascii="Times New Roman" w:hAnsi="Times New Roman" w:eastAsia="宋体" w:cs="Times New Roman"/>
      <w:lang w:val="en-US" w:eastAsia="zh-CN" w:bidi="ar-SA"/>
    </w:rPr>
  </w:style>
  <w:style w:type="paragraph" w:customStyle="1" w:styleId="232">
    <w:name w:val="列出段落1"/>
    <w:next w:val="1"/>
    <w:qFormat/>
    <w:uiPriority w:val="0"/>
    <w:pPr>
      <w:ind w:left="720"/>
      <w:contextualSpacing/>
    </w:pPr>
    <w:rPr>
      <w:rFonts w:hint="default" w:ascii="Calibri" w:hAnsi="Calibri" w:eastAsia="宋体" w:cs="Times New Roman"/>
      <w:lang w:val="en-US" w:eastAsia="zh-CN" w:bidi="ar-SA"/>
    </w:rPr>
  </w:style>
  <w:style w:type="paragraph" w:customStyle="1" w:styleId="233">
    <w:name w:val="引用1"/>
    <w:qFormat/>
    <w:uiPriority w:val="0"/>
    <w:pPr>
      <w:ind w:left="720" w:right="720"/>
    </w:pPr>
    <w:rPr>
      <w:rFonts w:hint="default" w:ascii="Calibri" w:hAnsi="Calibri" w:eastAsia="宋体" w:cs="Times New Roman"/>
      <w:i/>
      <w:lang w:val="en-US" w:eastAsia="zh-CN" w:bidi="ar-SA"/>
    </w:rPr>
  </w:style>
  <w:style w:type="paragraph" w:customStyle="1" w:styleId="234">
    <w:name w:val="明显引用1"/>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hint="default" w:ascii="Calibri" w:hAnsi="Calibri" w:eastAsia="宋体" w:cs="Times New Roman"/>
      <w:i/>
      <w:lang w:val="en-US" w:eastAsia="zh-CN" w:bidi="ar-SA"/>
    </w:rPr>
  </w:style>
  <w:style w:type="character" w:customStyle="1" w:styleId="235">
    <w:name w:val="标题 21 Char"/>
    <w:basedOn w:val="214"/>
    <w:link w:val="76"/>
    <w:qFormat/>
    <w:uiPriority w:val="0"/>
    <w:rPr>
      <w:rFonts w:ascii="Cambria" w:hAnsi="Cambria" w:eastAsia="宋体" w:cs="Times New Roman"/>
      <w:b/>
      <w:bCs/>
      <w:sz w:val="28"/>
      <w:szCs w:val="32"/>
      <w:lang w:val="en-US" w:eastAsia="zh-CN" w:bidi="ar-SA"/>
    </w:rPr>
  </w:style>
  <w:style w:type="paragraph" w:customStyle="1" w:styleId="236">
    <w:name w:val="正文122"/>
    <w:next w:val="237"/>
    <w:qFormat/>
    <w:uiPriority w:val="0"/>
    <w:rPr>
      <w:rFonts w:hint="default" w:ascii="Times New Roman" w:hAnsi="Times New Roman" w:eastAsia="宋体" w:cs="Times New Roman"/>
      <w:lang w:val="en-US" w:eastAsia="zh-CN" w:bidi="ar-SA"/>
    </w:rPr>
  </w:style>
  <w:style w:type="paragraph" w:customStyle="1" w:styleId="237">
    <w:name w:val="目录 21"/>
    <w:basedOn w:val="51"/>
    <w:next w:val="236"/>
    <w:qFormat/>
    <w:uiPriority w:val="0"/>
    <w:pPr>
      <w:spacing w:after="57"/>
      <w:ind w:left="283"/>
    </w:pPr>
    <w:rPr>
      <w:rFonts w:ascii="Times New Roman" w:hAnsi="Times New Roman"/>
    </w:rPr>
  </w:style>
  <w:style w:type="paragraph" w:customStyle="1" w:styleId="238">
    <w:name w:val="列表 211"/>
    <w:basedOn w:val="236"/>
    <w:qFormat/>
    <w:uiPriority w:val="0"/>
    <w:pPr>
      <w:ind w:left="100" w:hanging="200"/>
    </w:pPr>
  </w:style>
  <w:style w:type="paragraph" w:customStyle="1" w:styleId="239">
    <w:name w:val="标题 111"/>
    <w:basedOn w:val="49"/>
    <w:next w:val="51"/>
    <w:qFormat/>
    <w:uiPriority w:val="0"/>
    <w:pPr>
      <w:spacing w:before="59"/>
      <w:ind w:left="1373"/>
      <w:jc w:val="left"/>
      <w:outlineLvl w:val="1"/>
    </w:pPr>
    <w:rPr>
      <w:rFonts w:ascii="仿宋" w:eastAsia="仿宋"/>
      <w:b/>
      <w:bCs/>
      <w:sz w:val="30"/>
      <w:szCs w:val="30"/>
      <w:lang w:val="zh-CN" w:bidi="zh-CN"/>
    </w:rPr>
  </w:style>
  <w:style w:type="paragraph" w:customStyle="1" w:styleId="240">
    <w:name w:val="标题 211"/>
    <w:next w:val="62"/>
    <w:qFormat/>
    <w:uiPriority w:val="0"/>
    <w:pPr>
      <w:keepNext/>
      <w:keepLines/>
      <w:spacing w:before="360" w:after="200"/>
      <w:outlineLvl w:val="1"/>
    </w:pPr>
    <w:rPr>
      <w:rFonts w:hint="default" w:ascii="Arial" w:hAnsi="Arial" w:eastAsia="Arial" w:cs="Times New Roman"/>
      <w:sz w:val="34"/>
      <w:lang w:val="en-US" w:eastAsia="zh-CN" w:bidi="ar-SA"/>
    </w:rPr>
  </w:style>
  <w:style w:type="paragraph" w:customStyle="1" w:styleId="241">
    <w:name w:val="标题 311"/>
    <w:next w:val="51"/>
    <w:qFormat/>
    <w:uiPriority w:val="0"/>
    <w:pPr>
      <w:keepNext/>
      <w:keepLines/>
      <w:spacing w:before="320" w:after="200"/>
      <w:outlineLvl w:val="2"/>
    </w:pPr>
    <w:rPr>
      <w:rFonts w:hint="default" w:ascii="Arial" w:hAnsi="Arial" w:eastAsia="Arial" w:cs="Times New Roman"/>
      <w:sz w:val="30"/>
      <w:szCs w:val="30"/>
      <w:lang w:val="en-US" w:eastAsia="zh-CN" w:bidi="ar-SA"/>
    </w:rPr>
  </w:style>
  <w:style w:type="paragraph" w:customStyle="1" w:styleId="242">
    <w:name w:val="标题 51"/>
    <w:next w:val="51"/>
    <w:qFormat/>
    <w:uiPriority w:val="0"/>
    <w:pPr>
      <w:keepNext/>
      <w:keepLines/>
      <w:spacing w:before="320" w:after="200"/>
      <w:outlineLvl w:val="4"/>
    </w:pPr>
    <w:rPr>
      <w:rFonts w:hint="default" w:ascii="Arial" w:hAnsi="Arial" w:eastAsia="Arial" w:cs="Times New Roman"/>
      <w:b/>
      <w:bCs/>
      <w:sz w:val="24"/>
      <w:szCs w:val="24"/>
      <w:lang w:val="en-US" w:eastAsia="zh-CN" w:bidi="ar-SA"/>
    </w:rPr>
  </w:style>
  <w:style w:type="paragraph" w:customStyle="1" w:styleId="243">
    <w:name w:val="标题 61"/>
    <w:next w:val="51"/>
    <w:qFormat/>
    <w:uiPriority w:val="0"/>
    <w:pPr>
      <w:keepNext/>
      <w:keepLines/>
      <w:spacing w:before="320" w:after="200"/>
      <w:outlineLvl w:val="5"/>
    </w:pPr>
    <w:rPr>
      <w:rFonts w:hint="default" w:ascii="Arial" w:hAnsi="Arial" w:eastAsia="Arial" w:cs="Times New Roman"/>
      <w:b/>
      <w:bCs/>
      <w:sz w:val="22"/>
      <w:szCs w:val="22"/>
      <w:lang w:val="en-US" w:eastAsia="zh-CN" w:bidi="ar-SA"/>
    </w:rPr>
  </w:style>
  <w:style w:type="paragraph" w:customStyle="1" w:styleId="244">
    <w:name w:val="标题 71"/>
    <w:next w:val="51"/>
    <w:qFormat/>
    <w:uiPriority w:val="0"/>
    <w:pPr>
      <w:keepNext/>
      <w:keepLines/>
      <w:spacing w:before="320" w:after="200"/>
      <w:outlineLvl w:val="6"/>
    </w:pPr>
    <w:rPr>
      <w:rFonts w:hint="default" w:ascii="Arial" w:hAnsi="Arial" w:eastAsia="Arial" w:cs="Times New Roman"/>
      <w:b/>
      <w:bCs/>
      <w:i/>
      <w:iCs/>
      <w:sz w:val="22"/>
      <w:szCs w:val="22"/>
      <w:lang w:val="en-US" w:eastAsia="zh-CN" w:bidi="ar-SA"/>
    </w:rPr>
  </w:style>
  <w:style w:type="paragraph" w:customStyle="1" w:styleId="245">
    <w:name w:val="标题 81"/>
    <w:next w:val="51"/>
    <w:qFormat/>
    <w:uiPriority w:val="0"/>
    <w:pPr>
      <w:keepNext/>
      <w:keepLines/>
      <w:spacing w:before="320" w:after="200"/>
      <w:outlineLvl w:val="7"/>
    </w:pPr>
    <w:rPr>
      <w:rFonts w:hint="default" w:ascii="Arial" w:hAnsi="Arial" w:eastAsia="Arial" w:cs="Times New Roman"/>
      <w:i/>
      <w:iCs/>
      <w:sz w:val="22"/>
      <w:szCs w:val="22"/>
      <w:lang w:val="en-US" w:eastAsia="zh-CN" w:bidi="ar-SA"/>
    </w:rPr>
  </w:style>
  <w:style w:type="paragraph" w:customStyle="1" w:styleId="246">
    <w:name w:val="标题 91"/>
    <w:next w:val="51"/>
    <w:qFormat/>
    <w:uiPriority w:val="0"/>
    <w:pPr>
      <w:keepNext/>
      <w:keepLines/>
      <w:spacing w:before="320" w:after="200"/>
      <w:outlineLvl w:val="8"/>
    </w:pPr>
    <w:rPr>
      <w:rFonts w:hint="default" w:ascii="Arial" w:hAnsi="Arial" w:eastAsia="Arial" w:cs="Times New Roman"/>
      <w:i/>
      <w:iCs/>
      <w:sz w:val="21"/>
      <w:szCs w:val="21"/>
      <w:lang w:val="en-US" w:eastAsia="zh-CN" w:bidi="ar-SA"/>
    </w:rPr>
  </w:style>
  <w:style w:type="character" w:customStyle="1" w:styleId="247">
    <w:name w:val="默认段落字体11"/>
    <w:qFormat/>
    <w:uiPriority w:val="0"/>
  </w:style>
  <w:style w:type="character" w:customStyle="1" w:styleId="248">
    <w:name w:val="脚注引用1"/>
    <w:qFormat/>
    <w:uiPriority w:val="0"/>
    <w:rPr>
      <w:vertAlign w:val="superscript"/>
    </w:rPr>
  </w:style>
  <w:style w:type="character" w:customStyle="1" w:styleId="249">
    <w:name w:val="强调11"/>
    <w:qFormat/>
    <w:uiPriority w:val="0"/>
    <w:rPr>
      <w:i/>
    </w:rPr>
  </w:style>
  <w:style w:type="character" w:customStyle="1" w:styleId="250">
    <w:name w:val="页码1"/>
    <w:basedOn w:val="251"/>
    <w:link w:val="49"/>
    <w:qFormat/>
    <w:uiPriority w:val="0"/>
    <w:rPr>
      <w:rFonts w:ascii="Times New Roman" w:hAnsi="Times New Roman" w:eastAsia="宋体"/>
    </w:rPr>
  </w:style>
  <w:style w:type="character" w:customStyle="1" w:styleId="251">
    <w:name w:val="默认段落字体1"/>
    <w:link w:val="49"/>
    <w:qFormat/>
    <w:uiPriority w:val="0"/>
    <w:rPr>
      <w:rFonts w:ascii="Times New Roman" w:hAnsi="Times New Roman" w:eastAsia="宋体"/>
    </w:rPr>
  </w:style>
  <w:style w:type="paragraph" w:customStyle="1" w:styleId="252">
    <w:name w:val="标题 11"/>
    <w:basedOn w:val="49"/>
    <w:next w:val="49"/>
    <w:qFormat/>
    <w:uiPriority w:val="0"/>
    <w:pPr>
      <w:keepNext/>
      <w:keepLines/>
      <w:spacing w:before="340" w:after="330" w:line="576" w:lineRule="auto"/>
      <w:outlineLvl w:val="0"/>
    </w:pPr>
    <w:rPr>
      <w:b/>
      <w:sz w:val="44"/>
      <w:szCs w:val="20"/>
    </w:rPr>
  </w:style>
  <w:style w:type="character" w:customStyle="1" w:styleId="253">
    <w:name w:val="HTML 引文1"/>
    <w:qFormat/>
    <w:uiPriority w:val="0"/>
    <w:rPr>
      <w:color w:val="008000"/>
    </w:rPr>
  </w:style>
  <w:style w:type="character" w:customStyle="1" w:styleId="254">
    <w:name w:val="已访问的超链接1"/>
    <w:qFormat/>
    <w:uiPriority w:val="0"/>
    <w:rPr>
      <w:color w:val="771CAA"/>
      <w:u w:val="none"/>
    </w:rPr>
  </w:style>
  <w:style w:type="paragraph" w:customStyle="1" w:styleId="255">
    <w:name w:val="批注框文本1"/>
    <w:basedOn w:val="49"/>
    <w:qFormat/>
    <w:uiPriority w:val="0"/>
    <w:rPr>
      <w:sz w:val="18"/>
      <w:szCs w:val="18"/>
    </w:rPr>
  </w:style>
  <w:style w:type="character" w:customStyle="1" w:styleId="256">
    <w:name w:val="font11"/>
    <w:qFormat/>
    <w:uiPriority w:val="0"/>
    <w:rPr>
      <w:rFonts w:ascii="宋体" w:eastAsia="宋体"/>
      <w:color w:val="000000"/>
      <w:sz w:val="28"/>
      <w:szCs w:val="28"/>
      <w:u w:val="none"/>
      <w:vertAlign w:val="superscript"/>
    </w:rPr>
  </w:style>
  <w:style w:type="paragraph" w:customStyle="1" w:styleId="257">
    <w:name w:val="页眉1"/>
    <w:basedOn w:val="49"/>
    <w:qFormat/>
    <w:uiPriority w:val="0"/>
    <w:pPr>
      <w:pBdr>
        <w:bottom w:val="single" w:color="000000" w:sz="6" w:space="1"/>
      </w:pBdr>
      <w:tabs>
        <w:tab w:val="center" w:pos="4153"/>
        <w:tab w:val="right" w:pos="8306"/>
      </w:tabs>
      <w:jc w:val="center"/>
    </w:pPr>
    <w:rPr>
      <w:sz w:val="18"/>
      <w:szCs w:val="18"/>
    </w:rPr>
  </w:style>
  <w:style w:type="paragraph" w:customStyle="1" w:styleId="258">
    <w:name w:val="无间隔11"/>
    <w:qFormat/>
    <w:uiPriority w:val="0"/>
    <w:rPr>
      <w:rFonts w:hint="default" w:ascii="Calibri" w:hAnsi="Calibri" w:eastAsia="宋体" w:cs="Times New Roman"/>
      <w:sz w:val="22"/>
      <w:szCs w:val="22"/>
      <w:lang w:val="en-US" w:eastAsia="zh-CN" w:bidi="ar-SA"/>
    </w:rPr>
  </w:style>
  <w:style w:type="paragraph" w:customStyle="1" w:styleId="259">
    <w:name w:val="批注文字1"/>
    <w:basedOn w:val="49"/>
    <w:qFormat/>
    <w:uiPriority w:val="0"/>
    <w:pPr>
      <w:jc w:val="left"/>
    </w:pPr>
  </w:style>
  <w:style w:type="character" w:customStyle="1" w:styleId="260">
    <w:name w:val="chewduserlogo"/>
    <w:qFormat/>
    <w:uiPriority w:val="0"/>
  </w:style>
  <w:style w:type="character" w:customStyle="1" w:styleId="261">
    <w:name w:val="HTML 定义1"/>
    <w:qFormat/>
    <w:uiPriority w:val="0"/>
  </w:style>
  <w:style w:type="paragraph" w:customStyle="1" w:styleId="262">
    <w:name w:val="批注主题1"/>
    <w:basedOn w:val="259"/>
    <w:next w:val="259"/>
    <w:qFormat/>
    <w:uiPriority w:val="0"/>
    <w:rPr>
      <w:b/>
      <w:bCs/>
    </w:rPr>
  </w:style>
  <w:style w:type="paragraph" w:customStyle="1" w:styleId="263">
    <w:name w:val="副标题1"/>
    <w:qFormat/>
    <w:uiPriority w:val="0"/>
    <w:pPr>
      <w:spacing w:before="200" w:after="200"/>
    </w:pPr>
    <w:rPr>
      <w:rFonts w:hint="default" w:ascii="Calibri" w:hAnsi="Calibri" w:eastAsia="宋体" w:cs="Times New Roman"/>
      <w:sz w:val="24"/>
      <w:szCs w:val="24"/>
      <w:lang w:val="en-US" w:eastAsia="zh-CN" w:bidi="ar-SA"/>
    </w:rPr>
  </w:style>
  <w:style w:type="character" w:customStyle="1" w:styleId="264">
    <w:name w:val="超链接11"/>
    <w:qFormat/>
    <w:uiPriority w:val="0"/>
    <w:rPr>
      <w:color w:val="0000FF"/>
      <w:u w:val="single"/>
    </w:rPr>
  </w:style>
  <w:style w:type="character" w:customStyle="1" w:styleId="265">
    <w:name w:val="尾注引用1"/>
    <w:qFormat/>
    <w:uiPriority w:val="0"/>
    <w:rPr>
      <w:vertAlign w:val="superscript"/>
    </w:rPr>
  </w:style>
  <w:style w:type="character" w:customStyle="1" w:styleId="266">
    <w:name w:val="hover27"/>
    <w:qFormat/>
    <w:uiPriority w:val="0"/>
    <w:rPr>
      <w:color w:val="315EFB"/>
    </w:rPr>
  </w:style>
  <w:style w:type="paragraph" w:customStyle="1" w:styleId="267">
    <w:name w:val="页脚11"/>
    <w:basedOn w:val="51"/>
    <w:qFormat/>
    <w:uiPriority w:val="0"/>
    <w:pPr>
      <w:tabs>
        <w:tab w:val="center" w:pos="7143"/>
        <w:tab w:val="right" w:pos="14287"/>
      </w:tabs>
    </w:pPr>
  </w:style>
  <w:style w:type="character" w:customStyle="1" w:styleId="268">
    <w:name w:val="hover26"/>
    <w:qFormat/>
    <w:uiPriority w:val="0"/>
  </w:style>
  <w:style w:type="paragraph" w:customStyle="1" w:styleId="269">
    <w:name w:val="页脚1"/>
    <w:basedOn w:val="49"/>
    <w:qFormat/>
    <w:uiPriority w:val="0"/>
    <w:pPr>
      <w:tabs>
        <w:tab w:val="center" w:pos="4153"/>
        <w:tab w:val="right" w:pos="8306"/>
      </w:tabs>
      <w:jc w:val="left"/>
    </w:pPr>
    <w:rPr>
      <w:sz w:val="18"/>
      <w:szCs w:val="18"/>
    </w:rPr>
  </w:style>
  <w:style w:type="character" w:customStyle="1" w:styleId="270">
    <w:name w:val="hover25"/>
    <w:qFormat/>
    <w:uiPriority w:val="0"/>
  </w:style>
  <w:style w:type="character" w:customStyle="1" w:styleId="271">
    <w:name w:val="awspan"/>
    <w:qFormat/>
    <w:uiPriority w:val="0"/>
  </w:style>
  <w:style w:type="character" w:customStyle="1" w:styleId="272">
    <w:name w:val="批注引用1"/>
    <w:qFormat/>
    <w:uiPriority w:val="0"/>
    <w:rPr>
      <w:rFonts w:ascii="Times New Roman" w:hAnsi="Times New Roman" w:eastAsia="宋体"/>
      <w:sz w:val="21"/>
      <w:szCs w:val="21"/>
    </w:rPr>
  </w:style>
  <w:style w:type="character" w:customStyle="1" w:styleId="273">
    <w:name w:val="Footer Char"/>
    <w:qFormat/>
    <w:uiPriority w:val="0"/>
  </w:style>
  <w:style w:type="paragraph" w:customStyle="1" w:styleId="274">
    <w:name w:val="引用11"/>
    <w:qFormat/>
    <w:uiPriority w:val="0"/>
    <w:pPr>
      <w:ind w:left="720" w:right="720"/>
    </w:pPr>
    <w:rPr>
      <w:rFonts w:hint="default" w:ascii="Calibri" w:hAnsi="Calibri" w:eastAsia="宋体" w:cs="Times New Roman"/>
      <w:i/>
      <w:lang w:val="en-US" w:eastAsia="zh-CN" w:bidi="ar-SA"/>
    </w:rPr>
  </w:style>
  <w:style w:type="character" w:customStyle="1" w:styleId="275">
    <w:name w:val="page-start"/>
    <w:qFormat/>
    <w:uiPriority w:val="0"/>
    <w:rPr>
      <w:color w:val="999999"/>
      <w:u w:val="none"/>
      <w:shd w:val="clear" w:color="auto" w:fill="FAFAFA"/>
    </w:rPr>
  </w:style>
  <w:style w:type="paragraph" w:customStyle="1" w:styleId="276">
    <w:name w:val="明显引用11"/>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hint="default" w:ascii="Calibri" w:hAnsi="Calibri" w:eastAsia="宋体" w:cs="Times New Roman"/>
      <w:i/>
      <w:lang w:val="en-US" w:eastAsia="zh-CN" w:bidi="ar-SA"/>
    </w:rPr>
  </w:style>
  <w:style w:type="character" w:customStyle="1" w:styleId="277">
    <w:name w:val="c-icon"/>
    <w:qFormat/>
    <w:uiPriority w:val="0"/>
  </w:style>
  <w:style w:type="paragraph" w:customStyle="1" w:styleId="278">
    <w:name w:val="标题11"/>
    <w:qFormat/>
    <w:uiPriority w:val="0"/>
    <w:pPr>
      <w:spacing w:before="300" w:after="200"/>
      <w:contextualSpacing/>
    </w:pPr>
    <w:rPr>
      <w:rFonts w:hint="default" w:ascii="Calibri" w:hAnsi="Calibri" w:eastAsia="宋体" w:cs="Times New Roman"/>
      <w:sz w:val="48"/>
      <w:szCs w:val="48"/>
      <w:lang w:val="en-US" w:eastAsia="zh-CN" w:bidi="ar-SA"/>
    </w:rPr>
  </w:style>
  <w:style w:type="paragraph" w:customStyle="1" w:styleId="279">
    <w:name w:val="尾注文本1"/>
    <w:qFormat/>
    <w:uiPriority w:val="0"/>
    <w:rPr>
      <w:rFonts w:hint="default" w:ascii="Calibri" w:hAnsi="Calibri" w:eastAsia="宋体" w:cs="Times New Roman"/>
      <w:lang w:val="en-US" w:eastAsia="zh-CN" w:bidi="ar-SA"/>
    </w:rPr>
  </w:style>
  <w:style w:type="character" w:customStyle="1" w:styleId="280">
    <w:name w:val="强调1"/>
    <w:qFormat/>
    <w:uiPriority w:val="0"/>
    <w:rPr>
      <w:color w:val="F73131"/>
    </w:rPr>
  </w:style>
  <w:style w:type="character" w:customStyle="1" w:styleId="281">
    <w:name w:val="hover24"/>
    <w:qFormat/>
    <w:uiPriority w:val="0"/>
    <w:rPr>
      <w:color w:val="315EFB"/>
    </w:rPr>
  </w:style>
  <w:style w:type="paragraph" w:customStyle="1" w:styleId="282">
    <w:name w:val="页眉11"/>
    <w:basedOn w:val="51"/>
    <w:qFormat/>
    <w:uiPriority w:val="0"/>
    <w:pPr>
      <w:tabs>
        <w:tab w:val="center" w:pos="7143"/>
        <w:tab w:val="right" w:pos="14287"/>
      </w:tabs>
    </w:pPr>
  </w:style>
  <w:style w:type="character" w:customStyle="1" w:styleId="283">
    <w:name w:val="超链接1"/>
    <w:qFormat/>
    <w:uiPriority w:val="0"/>
    <w:rPr>
      <w:color w:val="2440B3"/>
      <w:u w:val="none"/>
    </w:rPr>
  </w:style>
  <w:style w:type="character" w:customStyle="1" w:styleId="284">
    <w:name w:val="c-icon30"/>
    <w:qFormat/>
    <w:uiPriority w:val="0"/>
  </w:style>
  <w:style w:type="character" w:customStyle="1" w:styleId="285">
    <w:name w:val="page-cur"/>
    <w:qFormat/>
    <w:uiPriority w:val="0"/>
    <w:rPr>
      <w:color w:val="999999"/>
      <w:u w:val="none"/>
      <w:shd w:val="clear" w:color="auto" w:fill="FAFAFA"/>
    </w:rPr>
  </w:style>
  <w:style w:type="character" w:customStyle="1" w:styleId="286">
    <w:name w:val="awspan1"/>
    <w:qFormat/>
    <w:uiPriority w:val="0"/>
    <w:rPr>
      <w:color w:val="000000"/>
      <w:sz w:val="24"/>
      <w:szCs w:val="24"/>
    </w:rPr>
  </w:style>
  <w:style w:type="paragraph" w:customStyle="1" w:styleId="287">
    <w:name w:val="目录 31"/>
    <w:next w:val="51"/>
    <w:qFormat/>
    <w:uiPriority w:val="0"/>
    <w:pPr>
      <w:spacing w:after="57"/>
      <w:ind w:left="567"/>
    </w:pPr>
    <w:rPr>
      <w:rFonts w:hint="default" w:ascii="Calibri" w:hAnsi="Calibri" w:eastAsia="宋体" w:cs="Times New Roman"/>
      <w:lang w:val="en-US" w:eastAsia="zh-CN" w:bidi="ar-SA"/>
    </w:rPr>
  </w:style>
  <w:style w:type="paragraph" w:customStyle="1" w:styleId="288">
    <w:name w:val="目录 61"/>
    <w:next w:val="51"/>
    <w:qFormat/>
    <w:uiPriority w:val="0"/>
    <w:pPr>
      <w:spacing w:after="57"/>
      <w:ind w:left="1417"/>
    </w:pPr>
    <w:rPr>
      <w:rFonts w:hint="default" w:ascii="Calibri" w:hAnsi="Calibri" w:eastAsia="宋体" w:cs="Times New Roman"/>
      <w:lang w:val="en-US" w:eastAsia="zh-CN" w:bidi="ar-SA"/>
    </w:rPr>
  </w:style>
  <w:style w:type="paragraph" w:customStyle="1" w:styleId="289">
    <w:name w:val="目录 71"/>
    <w:next w:val="51"/>
    <w:qFormat/>
    <w:uiPriority w:val="0"/>
    <w:pPr>
      <w:spacing w:after="57"/>
      <w:ind w:left="1701"/>
    </w:pPr>
    <w:rPr>
      <w:rFonts w:hint="default" w:ascii="Calibri" w:hAnsi="Calibri" w:eastAsia="宋体" w:cs="Times New Roman"/>
      <w:lang w:val="en-US" w:eastAsia="zh-CN" w:bidi="ar-SA"/>
    </w:rPr>
  </w:style>
  <w:style w:type="paragraph" w:customStyle="1" w:styleId="290">
    <w:name w:val="纯文本11"/>
    <w:basedOn w:val="53"/>
    <w:qFormat/>
    <w:uiPriority w:val="0"/>
    <w:rPr>
      <w:rFonts w:ascii="宋体" w:hAnsi="宋体" w:eastAsia="仿宋_GB2312"/>
      <w:sz w:val="30"/>
    </w:rPr>
  </w:style>
  <w:style w:type="paragraph" w:customStyle="1" w:styleId="291">
    <w:name w:val="正文文本111"/>
    <w:basedOn w:val="51"/>
    <w:next w:val="53"/>
    <w:qFormat/>
    <w:uiPriority w:val="0"/>
    <w:rPr>
      <w:rFonts w:ascii="金山简黑体" w:eastAsia="金山简黑体"/>
      <w:b/>
      <w:spacing w:val="-8"/>
      <w:sz w:val="44"/>
    </w:rPr>
  </w:style>
  <w:style w:type="paragraph" w:customStyle="1" w:styleId="292">
    <w:name w:val="批注文字11"/>
    <w:basedOn w:val="51"/>
    <w:qFormat/>
    <w:uiPriority w:val="0"/>
    <w:rPr>
      <w:sz w:val="22"/>
      <w:szCs w:val="22"/>
    </w:rPr>
  </w:style>
  <w:style w:type="paragraph" w:customStyle="1" w:styleId="293">
    <w:name w:val="首行缩进"/>
    <w:basedOn w:val="49"/>
    <w:next w:val="49"/>
    <w:qFormat/>
    <w:uiPriority w:val="0"/>
    <w:pPr>
      <w:spacing w:line="360" w:lineRule="auto"/>
      <w:ind w:firstLine="480"/>
    </w:pPr>
    <w:rPr>
      <w:rFonts w:ascii="宋体"/>
      <w:sz w:val="24"/>
    </w:rPr>
  </w:style>
  <w:style w:type="paragraph" w:customStyle="1" w:styleId="294">
    <w:name w:val="+正文"/>
    <w:basedOn w:val="49"/>
    <w:qFormat/>
    <w:uiPriority w:val="0"/>
    <w:pPr>
      <w:spacing w:line="500" w:lineRule="exact"/>
      <w:ind w:firstLine="200"/>
      <w:jc w:val="left"/>
    </w:pPr>
    <w:rPr>
      <w:rFonts w:ascii="Times New Roman" w:hAnsi="Times New Roman"/>
      <w:sz w:val="24"/>
      <w:szCs w:val="28"/>
    </w:rPr>
  </w:style>
  <w:style w:type="paragraph" w:customStyle="1" w:styleId="295">
    <w:name w:val="Default"/>
    <w:qFormat/>
    <w:uiPriority w:val="0"/>
    <w:pPr>
      <w:widowControl w:val="0"/>
    </w:pPr>
    <w:rPr>
      <w:rFonts w:hint="default" w:ascii="Arial" w:hAnsi="Arial" w:eastAsia="宋体" w:cs="Times New Roman"/>
      <w:color w:val="000000"/>
      <w:sz w:val="24"/>
      <w:szCs w:val="24"/>
      <w:lang w:val="en-US" w:eastAsia="zh-CN" w:bidi="ar-SA"/>
    </w:rPr>
  </w:style>
  <w:style w:type="paragraph" w:customStyle="1" w:styleId="296">
    <w:name w:val="正文文本缩进 21"/>
    <w:basedOn w:val="49"/>
    <w:qFormat/>
    <w:uiPriority w:val="0"/>
    <w:pPr>
      <w:ind w:left="630" w:firstLine="645"/>
    </w:pPr>
    <w:rPr>
      <w:rFonts w:ascii="Arial" w:hAnsi="Arial" w:eastAsia="仿宋_GB2312"/>
      <w:sz w:val="32"/>
      <w:szCs w:val="32"/>
    </w:rPr>
  </w:style>
  <w:style w:type="paragraph" w:customStyle="1" w:styleId="297">
    <w:name w:val="列出段落11"/>
    <w:basedOn w:val="49"/>
    <w:qFormat/>
    <w:uiPriority w:val="0"/>
    <w:pPr>
      <w:spacing w:line="360" w:lineRule="atLeast"/>
      <w:ind w:firstLine="420"/>
      <w:jc w:val="left"/>
    </w:pPr>
    <w:rPr>
      <w:sz w:val="24"/>
    </w:rPr>
  </w:style>
  <w:style w:type="paragraph" w:customStyle="1" w:styleId="298">
    <w:name w:val="无间隔121"/>
    <w:qFormat/>
    <w:uiPriority w:val="0"/>
    <w:rPr>
      <w:rFonts w:hint="default" w:ascii="Calibri" w:hAnsi="Calibri" w:eastAsia="宋体" w:cs="Times New Roman"/>
      <w:lang w:val="en-US" w:eastAsia="zh-CN" w:bidi="ar-SA"/>
    </w:rPr>
  </w:style>
  <w:style w:type="paragraph" w:customStyle="1" w:styleId="299">
    <w:name w:val="表格文本"/>
    <w:basedOn w:val="49"/>
    <w:qFormat/>
    <w:uiPriority w:val="0"/>
    <w:pPr>
      <w:jc w:val="center"/>
    </w:pPr>
    <w:rPr>
      <w:rFonts w:ascii="宋体"/>
      <w:bCs/>
      <w:szCs w:val="21"/>
    </w:rPr>
  </w:style>
  <w:style w:type="paragraph" w:customStyle="1" w:styleId="300">
    <w:name w:val="表格文字"/>
    <w:basedOn w:val="49"/>
    <w:next w:val="58"/>
    <w:qFormat/>
    <w:uiPriority w:val="0"/>
    <w:pPr>
      <w:jc w:val="left"/>
    </w:pPr>
    <w:rPr>
      <w:bCs/>
      <w:spacing w:val="10"/>
      <w:sz w:val="20"/>
      <w:szCs w:val="20"/>
    </w:rPr>
  </w:style>
  <w:style w:type="paragraph" w:customStyle="1" w:styleId="301">
    <w:name w:val="题注1"/>
    <w:next w:val="51"/>
    <w:qFormat/>
    <w:uiPriority w:val="0"/>
    <w:pPr>
      <w:spacing w:line="276" w:lineRule="auto"/>
    </w:pPr>
    <w:rPr>
      <w:rFonts w:hint="default" w:ascii="Calibri" w:hAnsi="Calibri" w:eastAsia="宋体" w:cs="Times New Roman"/>
      <w:b/>
      <w:bCs/>
      <w:color w:val="4F81BD"/>
      <w:sz w:val="18"/>
      <w:szCs w:val="18"/>
      <w:lang w:val="en-US" w:eastAsia="zh-CN" w:bidi="ar-SA"/>
    </w:rPr>
  </w:style>
  <w:style w:type="paragraph" w:customStyle="1" w:styleId="302">
    <w:name w:val="普通(网站)11"/>
    <w:basedOn w:val="51"/>
    <w:qFormat/>
    <w:uiPriority w:val="0"/>
    <w:rPr>
      <w:sz w:val="24"/>
    </w:rPr>
  </w:style>
  <w:style w:type="paragraph" w:customStyle="1" w:styleId="303">
    <w:name w:val="目录 41"/>
    <w:next w:val="51"/>
    <w:qFormat/>
    <w:uiPriority w:val="0"/>
    <w:pPr>
      <w:spacing w:after="57"/>
      <w:ind w:left="850"/>
    </w:pPr>
    <w:rPr>
      <w:rFonts w:hint="default" w:ascii="Calibri" w:hAnsi="Calibri" w:eastAsia="宋体" w:cs="Times New Roman"/>
      <w:lang w:val="en-US" w:eastAsia="zh-CN" w:bidi="ar-SA"/>
    </w:rPr>
  </w:style>
  <w:style w:type="paragraph" w:customStyle="1" w:styleId="304">
    <w:name w:val="目录 81"/>
    <w:next w:val="51"/>
    <w:qFormat/>
    <w:uiPriority w:val="0"/>
    <w:pPr>
      <w:spacing w:after="57"/>
      <w:ind w:left="1984"/>
    </w:pPr>
    <w:rPr>
      <w:rFonts w:hint="default" w:ascii="Calibri" w:hAnsi="Calibri" w:eastAsia="宋体" w:cs="Times New Roman"/>
      <w:lang w:val="en-US" w:eastAsia="zh-CN" w:bidi="ar-SA"/>
    </w:rPr>
  </w:style>
  <w:style w:type="paragraph" w:customStyle="1" w:styleId="305">
    <w:name w:val="图表目录1"/>
    <w:next w:val="51"/>
    <w:qFormat/>
    <w:uiPriority w:val="0"/>
    <w:rPr>
      <w:rFonts w:hint="default" w:ascii="Calibri" w:hAnsi="Calibri" w:eastAsia="宋体" w:cs="Times New Roman"/>
      <w:lang w:val="en-US" w:eastAsia="zh-CN" w:bidi="ar-SA"/>
    </w:rPr>
  </w:style>
  <w:style w:type="paragraph" w:customStyle="1" w:styleId="306">
    <w:name w:val="寄信人地址2"/>
    <w:basedOn w:val="51"/>
    <w:qFormat/>
    <w:uiPriority w:val="0"/>
    <w:rPr>
      <w:rFonts w:ascii="Arial" w:hAnsi="Arial"/>
    </w:rPr>
  </w:style>
  <w:style w:type="paragraph" w:customStyle="1" w:styleId="307">
    <w:name w:val="目录 91"/>
    <w:basedOn w:val="51"/>
    <w:next w:val="51"/>
    <w:qFormat/>
    <w:uiPriority w:val="0"/>
    <w:pPr>
      <w:spacing w:after="57"/>
      <w:ind w:left="2268"/>
    </w:pPr>
    <w:rPr>
      <w:rFonts w:ascii="Times New Roman" w:hAnsi="Times New Roman"/>
    </w:rPr>
  </w:style>
  <w:style w:type="paragraph" w:customStyle="1" w:styleId="308">
    <w:name w:val="目录 51"/>
    <w:next w:val="51"/>
    <w:qFormat/>
    <w:uiPriority w:val="0"/>
    <w:pPr>
      <w:spacing w:after="57"/>
      <w:ind w:left="1134"/>
    </w:pPr>
    <w:rPr>
      <w:rFonts w:hint="default" w:ascii="Calibri" w:hAnsi="Calibri" w:eastAsia="宋体" w:cs="Times New Roman"/>
      <w:lang w:val="en-US" w:eastAsia="zh-CN" w:bidi="ar-SA"/>
    </w:rPr>
  </w:style>
  <w:style w:type="paragraph" w:customStyle="1" w:styleId="309">
    <w:name w:val="正文文本缩进 22"/>
    <w:basedOn w:val="51"/>
    <w:qFormat/>
    <w:uiPriority w:val="0"/>
    <w:pPr>
      <w:spacing w:after="120" w:line="480" w:lineRule="auto"/>
      <w:ind w:left="420"/>
    </w:pPr>
  </w:style>
  <w:style w:type="paragraph" w:customStyle="1" w:styleId="310">
    <w:name w:val="表格3"/>
    <w:basedOn w:val="49"/>
    <w:qFormat/>
    <w:uiPriority w:val="0"/>
    <w:pPr>
      <w:jc w:val="center"/>
    </w:pPr>
    <w:rPr>
      <w:rFonts w:ascii="Times New Roman" w:hAnsi="Times New Roman"/>
    </w:rPr>
  </w:style>
  <w:style w:type="paragraph" w:customStyle="1" w:styleId="311">
    <w:name w:val="Char"/>
    <w:basedOn w:val="49"/>
    <w:qFormat/>
    <w:uiPriority w:val="0"/>
    <w:pPr>
      <w:tabs>
        <w:tab w:val="left" w:pos="360"/>
      </w:tabs>
    </w:pPr>
    <w:rPr>
      <w:rFonts w:ascii="Times New Roman" w:hAnsi="Times New Roman"/>
      <w:sz w:val="24"/>
    </w:rPr>
  </w:style>
  <w:style w:type="paragraph" w:customStyle="1" w:styleId="312">
    <w:name w:val="样式"/>
    <w:basedOn w:val="49"/>
    <w:qFormat/>
    <w:uiPriority w:val="0"/>
    <w:pPr>
      <w:jc w:val="left"/>
    </w:pPr>
    <w:rPr>
      <w:rFonts w:ascii="宋体"/>
      <w:sz w:val="24"/>
    </w:rPr>
  </w:style>
  <w:style w:type="paragraph" w:customStyle="1" w:styleId="313">
    <w:name w:val="_Style 49"/>
    <w:basedOn w:val="51"/>
    <w:next w:val="290"/>
    <w:qFormat/>
    <w:uiPriority w:val="0"/>
    <w:rPr>
      <w:rFonts w:ascii="宋体"/>
      <w:sz w:val="24"/>
    </w:rPr>
  </w:style>
  <w:style w:type="paragraph" w:customStyle="1" w:styleId="314">
    <w:name w:val="默认段落字体 Para Char Char Char Char Char Char Char"/>
    <w:basedOn w:val="49"/>
    <w:qFormat/>
    <w:uiPriority w:val="0"/>
    <w:rPr>
      <w:rFonts w:ascii="Tahoma" w:hAnsi="Tahoma"/>
      <w:sz w:val="24"/>
      <w:szCs w:val="20"/>
    </w:rPr>
  </w:style>
  <w:style w:type="paragraph" w:customStyle="1" w:styleId="315">
    <w:name w:val="[基本段落]"/>
    <w:basedOn w:val="49"/>
    <w:qFormat/>
    <w:uiPriority w:val="0"/>
    <w:pPr>
      <w:spacing w:line="288" w:lineRule="auto"/>
    </w:pPr>
    <w:rPr>
      <w:rFonts w:ascii="宋体"/>
      <w:color w:val="000000"/>
      <w:sz w:val="24"/>
      <w:lang w:val="zh-CN"/>
    </w:rPr>
  </w:style>
  <w:style w:type="paragraph" w:customStyle="1" w:styleId="316">
    <w:name w:val="普通(网站)1"/>
    <w:basedOn w:val="49"/>
    <w:qFormat/>
    <w:uiPriority w:val="0"/>
    <w:pPr>
      <w:widowControl/>
      <w:spacing w:before="100" w:beforeAutospacing="1" w:after="100" w:afterAutospacing="1"/>
      <w:jc w:val="left"/>
    </w:pPr>
    <w:rPr>
      <w:rFonts w:ascii="宋体"/>
      <w:sz w:val="24"/>
    </w:rPr>
  </w:style>
  <w:style w:type="paragraph" w:customStyle="1" w:styleId="317">
    <w:name w:val="TOC 标题11"/>
    <w:qFormat/>
    <w:uiPriority w:val="0"/>
    <w:rPr>
      <w:rFonts w:hint="default" w:ascii="Calibri" w:hAnsi="Calibri" w:eastAsia="宋体" w:cs="Times New Roman"/>
      <w:lang w:val="en-US" w:eastAsia="zh-CN" w:bidi="ar-SA"/>
    </w:rPr>
  </w:style>
  <w:style w:type="paragraph" w:customStyle="1" w:styleId="318">
    <w:name w:val="样式 首行缩进:  2 字符"/>
    <w:basedOn w:val="49"/>
    <w:qFormat/>
    <w:uiPriority w:val="0"/>
    <w:pPr>
      <w:spacing w:line="400" w:lineRule="exact"/>
      <w:ind w:firstLine="200"/>
    </w:pPr>
    <w:rPr>
      <w:sz w:val="24"/>
    </w:rPr>
  </w:style>
  <w:style w:type="paragraph" w:customStyle="1" w:styleId="319">
    <w:name w:val="Table Paragraph"/>
    <w:basedOn w:val="49"/>
    <w:qFormat/>
    <w:uiPriority w:val="0"/>
    <w:pPr>
      <w:jc w:val="left"/>
    </w:pPr>
    <w:rPr>
      <w:rFonts w:ascii="仿宋" w:eastAsia="仿宋"/>
      <w:sz w:val="22"/>
      <w:szCs w:val="22"/>
      <w:lang w:val="zh-CN" w:bidi="zh-CN"/>
    </w:rPr>
  </w:style>
  <w:style w:type="paragraph" w:customStyle="1" w:styleId="320">
    <w:name w:val="Style1"/>
    <w:basedOn w:val="51"/>
    <w:qFormat/>
    <w:uiPriority w:val="0"/>
    <w:pPr>
      <w:tabs>
        <w:tab w:val="left" w:pos="-720"/>
      </w:tabs>
      <w:spacing w:after="120"/>
    </w:pPr>
    <w:rPr>
      <w:spacing w:val="-3"/>
      <w:sz w:val="24"/>
      <w:lang w:val="en-AU"/>
    </w:rPr>
  </w:style>
  <w:style w:type="paragraph" w:customStyle="1" w:styleId="321">
    <w:name w:val="列表 21"/>
    <w:basedOn w:val="49"/>
    <w:qFormat/>
    <w:uiPriority w:val="0"/>
    <w:pPr>
      <w:ind w:left="100" w:hanging="200"/>
    </w:pPr>
  </w:style>
  <w:style w:type="paragraph" w:customStyle="1" w:styleId="322">
    <w:name w:val="标题 31"/>
    <w:basedOn w:val="49"/>
    <w:next w:val="49"/>
    <w:qFormat/>
    <w:uiPriority w:val="0"/>
    <w:pPr>
      <w:spacing w:before="39"/>
      <w:ind w:left="50" w:right="31"/>
      <w:jc w:val="center"/>
      <w:outlineLvl w:val="2"/>
    </w:pPr>
    <w:rPr>
      <w:sz w:val="30"/>
      <w:szCs w:val="30"/>
    </w:rPr>
  </w:style>
  <w:style w:type="paragraph" w:customStyle="1" w:styleId="323">
    <w:name w:val="列表段落1"/>
    <w:basedOn w:val="49"/>
    <w:next w:val="1"/>
    <w:qFormat/>
    <w:uiPriority w:val="0"/>
    <w:pPr>
      <w:ind w:firstLine="420"/>
    </w:pPr>
    <w:rPr>
      <w:sz w:val="22"/>
      <w:szCs w:val="22"/>
    </w:rPr>
  </w:style>
  <w:style w:type="paragraph" w:customStyle="1" w:styleId="324">
    <w:name w:val="列出段落2"/>
    <w:basedOn w:val="51"/>
    <w:qFormat/>
    <w:uiPriority w:val="0"/>
    <w:pPr>
      <w:ind w:left="720"/>
      <w:contextualSpacing/>
    </w:pPr>
    <w:rPr>
      <w:rFonts w:ascii="Times New Roman" w:hAnsi="Times New Roman"/>
    </w:rPr>
  </w:style>
  <w:style w:type="paragraph" w:customStyle="1" w:styleId="325">
    <w:name w:val="WPSOffice手动目录 1"/>
    <w:qFormat/>
    <w:uiPriority w:val="0"/>
    <w:rPr>
      <w:rFonts w:hint="default" w:ascii="Calibri" w:hAnsi="Calibri" w:eastAsia="宋体" w:cs="Times New Roman"/>
      <w:lang w:val="en-US" w:eastAsia="zh-CN" w:bidi="ar-SA"/>
    </w:rPr>
  </w:style>
  <w:style w:type="paragraph" w:customStyle="1" w:styleId="326">
    <w:name w:val="无间隔1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7">
    <w:name w:val="footer1"/>
    <w:basedOn w:val="1"/>
    <w:qFormat/>
    <w:uiPriority w:val="0"/>
    <w:pPr>
      <w:tabs>
        <w:tab w:val="center" w:pos="4153"/>
        <w:tab w:val="right" w:pos="8306"/>
      </w:tabs>
      <w:spacing w:line="856" w:lineRule="atLeast"/>
    </w:pPr>
    <w:rPr>
      <w:rFonts w:ascii="Times New Roman" w:hAnsi="Times New Roman"/>
      <w:color w:val="000000"/>
      <w:sz w:val="18"/>
    </w:rPr>
  </w:style>
  <w:style w:type="paragraph" w:customStyle="1" w:styleId="328">
    <w:name w:val="段落文字"/>
    <w:basedOn w:val="1"/>
    <w:qFormat/>
    <w:uiPriority w:val="0"/>
    <w:pPr>
      <w:spacing w:line="360" w:lineRule="auto"/>
      <w:ind w:firstLine="200"/>
    </w:pPr>
    <w:rPr>
      <w:rFonts w:ascii="仿宋" w:eastAsia="仿宋"/>
      <w:sz w:val="28"/>
      <w:szCs w:val="28"/>
    </w:rPr>
  </w:style>
  <w:style w:type="character" w:customStyle="1" w:styleId="329">
    <w:name w:val="NormalCharacter1"/>
    <w:link w:val="49"/>
    <w:semiHidden/>
    <w:qFormat/>
    <w:uiPriority w:val="0"/>
    <w:rPr>
      <w:rFonts w:ascii="Times New Roman" w:hAnsi="Times New Roman" w:eastAsia="宋体" w:cs="Times New Roman"/>
      <w:sz w:val="21"/>
      <w:szCs w:val="24"/>
      <w:lang w:val="en-US" w:eastAsia="zh-CN" w:bidi="ar-SA"/>
    </w:rPr>
  </w:style>
  <w:style w:type="paragraph" w:styleId="330">
    <w:name w:val="List Paragraph"/>
    <w:basedOn w:val="1"/>
    <w:qFormat/>
    <w:uiPriority w:val="0"/>
    <w:pPr>
      <w:ind w:firstLine="420"/>
    </w:pPr>
    <w:rPr>
      <w:rFonts w:ascii="Calibri" w:hAnsi="Calibri" w:cstheme="minorBidi"/>
      <w:szCs w:val="22"/>
    </w:rPr>
  </w:style>
  <w:style w:type="paragraph" w:customStyle="1" w:styleId="331">
    <w:name w:val="Normal_0_3"/>
    <w:qFormat/>
    <w:uiPriority w:val="0"/>
    <w:rPr>
      <w:rFonts w:hint="default" w:ascii="Times New Roman" w:hAnsi="Times New Roman" w:eastAsia="Times New Roman" w:cs="Times New Roman"/>
      <w:sz w:val="24"/>
      <w:szCs w:val="24"/>
      <w:lang w:val="en-US" w:eastAsia="zh-CN" w:bidi="ar-SA"/>
    </w:rPr>
  </w:style>
  <w:style w:type="character" w:customStyle="1" w:styleId="332">
    <w:name w:val="font31"/>
    <w:basedOn w:val="40"/>
    <w:qFormat/>
    <w:uiPriority w:val="0"/>
    <w:rPr>
      <w:rFonts w:hint="eastAsia" w:ascii="宋体" w:hAnsi="宋体" w:eastAsia="宋体" w:cs="宋体"/>
      <w:color w:val="000000"/>
      <w:sz w:val="20"/>
      <w:szCs w:val="20"/>
      <w:u w:val="none"/>
    </w:rPr>
  </w:style>
  <w:style w:type="character" w:customStyle="1" w:styleId="333">
    <w:name w:val="font61"/>
    <w:basedOn w:val="40"/>
    <w:qFormat/>
    <w:uiPriority w:val="0"/>
    <w:rPr>
      <w:rFonts w:hint="default" w:ascii="Times New Roman" w:hAnsi="Times New Roman" w:cs="Times New Roman"/>
      <w:color w:val="000000"/>
      <w:sz w:val="20"/>
      <w:szCs w:val="20"/>
      <w:u w:val="none"/>
    </w:rPr>
  </w:style>
  <w:style w:type="paragraph" w:customStyle="1" w:styleId="334">
    <w:name w:val="文本块12"/>
    <w:basedOn w:val="1"/>
    <w:qFormat/>
    <w:uiPriority w:val="0"/>
    <w:pPr>
      <w:ind w:left="256" w:right="6" w:firstLine="624"/>
    </w:pPr>
    <w:rPr>
      <w:rFonts w:ascii="Times New Roman" w:hAnsi="Times New Roman" w:eastAsia="仿宋" w:cs="Times New Roman"/>
      <w:sz w:val="28"/>
      <w:szCs w:val="20"/>
    </w:rPr>
  </w:style>
  <w:style w:type="paragraph" w:customStyle="1" w:styleId="335">
    <w:name w:val="Heading 3"/>
    <w:basedOn w:val="1"/>
    <w:next w:val="1"/>
    <w:unhideWhenUsed/>
    <w:qFormat/>
    <w:uiPriority w:val="0"/>
    <w:pPr>
      <w:keepNext/>
      <w:keepLines/>
      <w:spacing w:line="415" w:lineRule="auto"/>
      <w:outlineLvl w:val="2"/>
    </w:pPr>
    <w:rPr>
      <w:b/>
      <w:sz w:val="32"/>
      <w:szCs w:val="32"/>
    </w:rPr>
  </w:style>
  <w:style w:type="paragraph" w:customStyle="1" w:styleId="336">
    <w:name w:val="Heading 4"/>
    <w:basedOn w:val="1"/>
    <w:next w:val="1"/>
    <w:unhideWhenUsed/>
    <w:qFormat/>
    <w:uiPriority w:val="0"/>
    <w:pPr>
      <w:keepNext/>
      <w:keepLines/>
      <w:spacing w:before="120" w:after="120"/>
      <w:outlineLvl w:val="3"/>
    </w:pPr>
    <w:rPr>
      <w:rFonts w:ascii="Arial" w:hAnsi="Arial" w:eastAsia="黑体"/>
      <w:b/>
      <w:sz w:val="20"/>
      <w:szCs w:val="20"/>
    </w:rPr>
  </w:style>
  <w:style w:type="paragraph" w:customStyle="1" w:styleId="337">
    <w:name w:val="TOC 标题2"/>
    <w:basedOn w:val="338"/>
    <w:next w:val="1"/>
    <w:unhideWhenUsed/>
    <w:qFormat/>
    <w:uiPriority w:val="0"/>
    <w:pPr>
      <w:spacing w:before="260" w:after="260" w:line="413" w:lineRule="auto"/>
      <w:jc w:val="center"/>
    </w:pPr>
    <w:rPr>
      <w:rFonts w:hint="eastAsia" w:ascii="宋体" w:hAnsi="宋体"/>
      <w:sz w:val="36"/>
      <w:lang w:val="zh-CN"/>
    </w:rPr>
  </w:style>
  <w:style w:type="paragraph" w:customStyle="1" w:styleId="338">
    <w:name w:val="Heading 1"/>
    <w:basedOn w:val="1"/>
    <w:next w:val="1"/>
    <w:unhideWhenUsed/>
    <w:qFormat/>
    <w:uiPriority w:val="0"/>
    <w:pPr>
      <w:keepNext/>
      <w:keepLines/>
      <w:spacing w:before="340" w:after="330" w:line="578" w:lineRule="auto"/>
      <w:outlineLvl w:val="0"/>
    </w:pPr>
    <w:rPr>
      <w:b/>
      <w:sz w:val="44"/>
      <w:szCs w:val="44"/>
    </w:rPr>
  </w:style>
  <w:style w:type="paragraph" w:customStyle="1" w:styleId="339">
    <w:name w:val="附件标题"/>
    <w:basedOn w:val="340"/>
    <w:next w:val="1"/>
    <w:unhideWhenUsed/>
    <w:qFormat/>
    <w:uiPriority w:val="0"/>
    <w:pPr>
      <w:widowControl/>
      <w:tabs>
        <w:tab w:val="left" w:pos="312"/>
        <w:tab w:val="left" w:pos="1134"/>
      </w:tabs>
      <w:spacing w:line="360" w:lineRule="auto"/>
      <w:jc w:val="center"/>
    </w:pPr>
    <w:rPr>
      <w:rFonts w:hint="eastAsia" w:ascii="黑体" w:hAnsi="黑体"/>
      <w:sz w:val="30"/>
      <w:szCs w:val="30"/>
    </w:rPr>
  </w:style>
  <w:style w:type="paragraph" w:customStyle="1" w:styleId="340">
    <w:name w:val="Heading 2"/>
    <w:basedOn w:val="1"/>
    <w:next w:val="1"/>
    <w:unhideWhenUsed/>
    <w:qFormat/>
    <w:uiPriority w:val="0"/>
    <w:pPr>
      <w:keepNext/>
      <w:keepLines/>
      <w:spacing w:line="415" w:lineRule="auto"/>
      <w:outlineLvl w:val="1"/>
    </w:pPr>
    <w:rPr>
      <w:rFonts w:ascii="Arial" w:hAnsi="Arial" w:eastAsia="黑体"/>
      <w:b/>
      <w:sz w:val="32"/>
      <w:szCs w:val="32"/>
    </w:rPr>
  </w:style>
  <w:style w:type="paragraph" w:customStyle="1" w:styleId="341">
    <w:name w:val="目录 1111"/>
    <w:basedOn w:val="1"/>
    <w:next w:val="1"/>
    <w:qFormat/>
    <w:uiPriority w:val="39"/>
  </w:style>
  <w:style w:type="character" w:customStyle="1" w:styleId="342">
    <w:name w:val="NormalCharacter"/>
    <w:link w:val="49"/>
    <w:semiHidden/>
    <w:qFormat/>
    <w:uiPriority w:val="0"/>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74</Pages>
  <Words>9932</Words>
  <Characters>10770</Characters>
  <TotalTime>10</TotalTime>
  <ScaleCrop>false</ScaleCrop>
  <LinksUpToDate>false</LinksUpToDate>
  <CharactersWithSpaces>10833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2023-07-07T04:13:00Z</dcterms:created>
  <dc:creator>无羡。</dc:creator>
  <cp:lastModifiedBy>小太阳</cp:lastModifiedBy>
  <dcterms:modified xsi:type="dcterms:W3CDTF">2026-07-15T04:09:13Z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2685ACB92CE647519D03CBDA603EA9F0_13</vt:lpwstr>
  </property>
  <property fmtid="{D5CDD505-2E9C-101B-9397-08002B2CF9AE}" pid="4" name="KSOTemplateDocerSaveRecord">
    <vt:lpwstr>eyJoZGlkIjoiMWUwNjE0ZTcxZjYzNzkwOTY1YTZmNjA1MGNmOTBmNWQiLCJ1c2VySWQiOiIxMjAyNTQxOTM2In0=</vt:lpwstr>
  </property>
</Properties>
</file>