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p>
      <w:pPr>
        <w:jc w:val="left"/>
        <w:rPr>
          <w:rFonts w:hint="eastAsia" w:ascii="宋体" w:hAnsi="宋体" w:eastAsia="宋体" w:cs="宋体"/>
          <w:color w:val="000000"/>
          <w:sz w:val="22"/>
          <w:szCs w:val="22"/>
        </w:rPr>
      </w:pPr>
      <w:r>
        <w:rPr>
          <w:rFonts w:hint="eastAsia" w:ascii="宋体" w:hAnsi="宋体" w:eastAsia="宋体" w:cs="宋体"/>
          <w:color w:val="000000"/>
          <w:sz w:val="22"/>
          <w:szCs w:val="22"/>
        </w:rPr>
      </w:r>
      <w:r/>
    </w:p>
    <w:p>
      <w:pPr>
        <w:jc w:val="center"/>
        <w:rPr>
          <w:rFonts w:hint="eastAsia" w:ascii="宋体" w:hAnsi="宋体" w:eastAsia="宋体" w:cs="宋体"/>
          <w:color w:val="000000"/>
          <w:spacing w:val="76"/>
          <w:sz w:val="28"/>
          <w:szCs w:val="28"/>
        </w:rPr>
      </w:pPr>
      <w:r>
        <w:rPr>
          <w:rFonts w:hint="eastAsia" w:ascii="宋体" w:hAnsi="宋体" w:eastAsia="宋体" w:cs="宋体"/>
          <w:color w:val="000000"/>
          <w:spacing w:val="76"/>
          <w:sz w:val="28"/>
          <w:szCs w:val="28"/>
        </w:rPr>
      </w:r>
      <w:r/>
    </w:p>
    <w:p>
      <w:pPr>
        <w:jc w:val="center"/>
        <w:rPr>
          <w:rFonts w:hint="eastAsia" w:ascii="宋体" w:hAnsi="宋体" w:eastAsia="宋体" w:cs="宋体"/>
          <w:color w:val="000000"/>
          <w:spacing w:val="76"/>
          <w:sz w:val="28"/>
          <w:szCs w:val="28"/>
        </w:rPr>
      </w:pPr>
      <w:r>
        <w:rPr>
          <w:rFonts w:hint="eastAsia" w:ascii="宋体" w:hAnsi="宋体" w:eastAsia="宋体" w:cs="宋体"/>
          <w:color w:val="000000"/>
          <w:spacing w:val="76"/>
          <w:sz w:val="28"/>
          <w:szCs w:val="28"/>
        </w:rPr>
      </w:r>
      <w:r/>
    </w:p>
    <w:p>
      <w:pPr>
        <w:jc w:val="center"/>
        <w:keepLines w:val="0"/>
        <w:keepNext w:val="0"/>
        <w:pageBreakBefore w:val="0"/>
        <w:spacing w:after="181"/>
        <w:widowControl w:val="off"/>
        <w:rPr>
          <w:rFonts w:hint="eastAsia" w:ascii="宋体" w:hAnsi="宋体" w:eastAsia="宋体" w:cs="宋体"/>
          <w:color w:val="000000"/>
          <w:sz w:val="24"/>
          <w:szCs w:val="24"/>
        </w:rPr>
      </w:pPr>
      <w:r>
        <w:rPr>
          <w:rFonts w:hint="eastAsia" w:ascii="宋体" w:hAnsi="宋体" w:eastAsia="宋体" w:cs="宋体"/>
          <w:color w:val="000000"/>
          <w:spacing w:val="76"/>
          <w:sz w:val="144"/>
          <w:szCs w:val="144"/>
        </w:rPr>
        <w:t xml:space="preserve">招标文件</w:t>
      </w:r>
      <w:r/>
    </w:p>
    <w:p>
      <w:pPr>
        <w:jc w:val="both"/>
        <w:keepLines w:val="0"/>
        <w:keepNext w:val="0"/>
        <w:pageBreakBefore w:val="0"/>
        <w:spacing w:line="360" w:lineRule="auto"/>
        <w:widowControl w:val="off"/>
        <w:rPr>
          <w:rFonts w:hint="eastAsia" w:ascii="宋体" w:hAnsi="宋体" w:eastAsia="宋体" w:cs="宋体"/>
          <w:color w:val="000000"/>
          <w:sz w:val="32"/>
          <w:szCs w:val="32"/>
        </w:rPr>
      </w:pPr>
      <w:r>
        <w:rPr>
          <w:rFonts w:hint="eastAsia"/>
          <w:sz w:val="48"/>
          <w:szCs w:val="48"/>
          <w:lang w:val="en-US" w:eastAsia="zh-CN"/>
        </w:rPr>
        <w:t xml:space="preserve">            </w:t>
      </w:r>
      <w:r>
        <w:rPr>
          <w:rFonts w:hint="eastAsia"/>
          <w:sz w:val="48"/>
          <w:szCs w:val="48"/>
        </w:rPr>
        <mc:AlternateContent>
          <mc:Choice Requires="wpg">
            <w:drawing>
              <wp:inline xmlns:wp="http://schemas.openxmlformats.org/drawingml/2006/wordprocessingDrawing" distT="0" distB="0" distL="0" distR="0">
                <wp:extent cx="1841500" cy="1804035"/>
                <wp:effectExtent l="0" t="0" r="254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4"/>
                        <a:stretch/>
                      </pic:blipFill>
                      <pic:spPr bwMode="auto">
                        <a:xfrm>
                          <a:off x="0" y="0"/>
                          <a:ext cx="1841500" cy="180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5.0pt;height:142.0pt;mso-wrap-distance-left:0.0pt;mso-wrap-distance-top:0.0pt;mso-wrap-distance-right:0.0pt;mso-wrap-distance-bottom:0.0pt;" stroked="f">
                <v:path textboxrect="0,0,0,0"/>
                <v:imagedata r:id="rId14" o:title=""/>
              </v:shape>
            </w:pict>
          </mc:Fallback>
        </mc:AlternateContent>
      </w:r>
      <w:r/>
    </w:p>
    <w:p>
      <w:pPr>
        <w:ind w:firstLine="960"/>
        <w:keepLines w:val="0"/>
        <w:keepNext w:val="0"/>
        <w:pageBreakBefore w:val="0"/>
        <w:spacing w:before="181" w:line="360" w:lineRule="auto"/>
        <w:widowControl w:val="off"/>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eastAsia="zh-CN"/>
        </w:rPr>
        <w:t xml:space="preserve">徐州经济技术开发区科技教育局“央馆人工智能课程”配套设备采购项目</w:t>
      </w:r>
      <w:r/>
    </w:p>
    <w:p>
      <w:pPr>
        <w:ind w:firstLine="1280"/>
        <w:keepLines w:val="0"/>
        <w:keepNext w:val="0"/>
        <w:pageBreakBefore w:val="0"/>
        <w:spacing w:before="181" w:line="360" w:lineRule="auto"/>
        <w:widowControl w:val="off"/>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项目编号：JSZC-320390-SDFY-G2026-0001</w:t>
      </w:r>
      <w:r/>
    </w:p>
    <w:p>
      <w:pPr>
        <w:ind w:firstLine="1280"/>
        <w:keepLines w:val="0"/>
        <w:keepNext w:val="0"/>
        <w:pageBreakBefore w:val="0"/>
        <w:spacing w:before="181" w:line="360" w:lineRule="auto"/>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 购 人：徐州经济技术开发区科技教育局</w:t>
      </w:r>
      <w:r/>
    </w:p>
    <w:p>
      <w:pPr>
        <w:ind w:firstLine="1280"/>
        <w:jc w:val="both"/>
        <w:keepLines w:val="0"/>
        <w:keepNext w:val="0"/>
        <w:pageBreakBefore w:val="0"/>
        <w:spacing w:before="181" w:line="360" w:lineRule="auto"/>
        <w:widowControl w:val="off"/>
        <w:rPr>
          <w:rFonts w:hint="default" w:ascii="宋体" w:hAnsi="宋体" w:eastAsia="宋体" w:cs="宋体"/>
          <w:color w:val="000000"/>
          <w:sz w:val="32"/>
          <w:szCs w:val="32"/>
          <w:highlight w:val="none"/>
          <w:lang w:val="en-US" w:eastAsia="zh-CN"/>
        </w:rPr>
      </w:pPr>
      <w:r>
        <w:rPr>
          <w:rFonts w:hint="eastAsia" w:ascii="宋体" w:hAnsi="宋体" w:eastAsia="宋体" w:cs="宋体"/>
          <w:color w:val="000000"/>
          <w:sz w:val="32"/>
          <w:szCs w:val="32"/>
        </w:rPr>
        <w:t xml:space="preserve">采购代理机构：</w:t>
      </w:r>
      <w:r>
        <w:rPr>
          <w:rFonts w:hint="eastAsia" w:ascii="宋体" w:hAnsi="宋体" w:eastAsia="宋体" w:cs="宋体"/>
          <w:color w:val="000000"/>
          <w:sz w:val="32"/>
          <w:szCs w:val="32"/>
          <w:lang w:val="en-US" w:eastAsia="zh-CN"/>
        </w:rPr>
        <w:t xml:space="preserve">山东方圆工程咨询有限公司</w:t>
      </w:r>
      <w:r/>
    </w:p>
    <w:p>
      <w:pPr>
        <w:pStyle w:val="928"/>
        <w:ind w:firstLine="0"/>
        <w:jc w:val="center"/>
        <w:keepLines w:val="0"/>
        <w:keepNext w:val="0"/>
        <w:pageBreakBefore w:val="0"/>
        <w:spacing w:before="181" w:line="360" w:lineRule="auto"/>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28"/>
        <w:ind w:firstLine="0"/>
        <w:jc w:val="center"/>
        <w:keepLines w:val="0"/>
        <w:keepNext w:val="0"/>
        <w:pageBreakBefore w:val="0"/>
        <w:spacing w:before="181" w:line="360" w:lineRule="auto"/>
        <w:widowControl w:val="off"/>
        <w:rPr>
          <w:rFonts w:hint="eastAsia" w:ascii="宋体" w:hAnsi="宋体" w:eastAsia="宋体" w:cs="宋体"/>
          <w:b/>
          <w:color w:val="000000"/>
          <w:sz w:val="32"/>
          <w:szCs w:val="32"/>
        </w:rPr>
      </w:pPr>
      <w:r>
        <w:rPr>
          <w:rFonts w:hint="eastAsia" w:ascii="宋体" w:hAnsi="宋体" w:eastAsia="宋体" w:cs="宋体"/>
          <w:color w:val="000000"/>
          <w:sz w:val="32"/>
          <w:szCs w:val="32"/>
        </w:rPr>
        <w:t xml:space="preserve">二〇二</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年</w:t>
      </w:r>
      <w:r>
        <w:rPr>
          <w:rFonts w:hint="eastAsia" w:ascii="宋体" w:hAnsi="宋体" w:eastAsia="宋体" w:cs="宋体"/>
          <w:color w:val="000000"/>
          <w:sz w:val="32"/>
          <w:szCs w:val="32"/>
          <w:lang w:val="en-US" w:eastAsia="zh-CN"/>
        </w:rPr>
        <w:t xml:space="preserve">八</w:t>
      </w:r>
      <w:r>
        <w:rPr>
          <w:rFonts w:hint="eastAsia" w:ascii="宋体" w:hAnsi="宋体" w:eastAsia="宋体" w:cs="宋体"/>
          <w:color w:val="000000"/>
          <w:sz w:val="32"/>
          <w:szCs w:val="32"/>
        </w:rPr>
        <w:t xml:space="preserve">月</w:t>
      </w:r>
      <w:r/>
    </w:p>
    <w:p>
      <w:pPr>
        <w:pStyle w:val="928"/>
        <w:ind w:firstLine="0"/>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8"/>
        <w:ind w:firstLine="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8"/>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8"/>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8"/>
        <w:ind w:firstLine="0"/>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8"/>
        <w:ind w:firstLine="0"/>
        <w:jc w:val="center"/>
        <w:rPr>
          <w:rFonts w:hint="eastAsia" w:ascii="宋体" w:hAnsi="宋体" w:eastAsia="宋体" w:cs="宋体"/>
          <w:b/>
          <w:bCs/>
          <w:color w:val="000000"/>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000000"/>
          <w:sz w:val="24"/>
          <w:szCs w:val="24"/>
        </w:rPr>
      </w:r>
      <w:r/>
    </w:p>
    <w:p>
      <w:pPr>
        <w:pStyle w:val="928"/>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8"/>
        <w:ind w:firstLine="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8"/>
        <w:ind w:firstLine="0"/>
        <w:jc w:val="center"/>
        <w:keepLines w:val="0"/>
        <w:keepNext w:val="0"/>
        <w:pageBreakBefore w:val="0"/>
        <w:spacing w:line="360" w:lineRule="auto"/>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8"/>
        <w:ind w:firstLine="0"/>
        <w:jc w:val="both"/>
        <w:keepLines w:val="0"/>
        <w:keepNext w:val="0"/>
        <w:pageBreakBefore w:val="0"/>
        <w:spacing w:line="360" w:lineRule="auto"/>
        <w:widowControl w:val="off"/>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8"/>
        <w:ind w:firstLine="0"/>
        <w:jc w:val="center"/>
        <w:keepLines w:val="0"/>
        <w:keepNext w:val="0"/>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目 录</w:t>
      </w:r>
      <w:r/>
    </w:p>
    <w:p>
      <w:pPr>
        <w:jc w:val="center"/>
        <w:keepLines w:val="0"/>
        <w:keepNext w:val="0"/>
        <w:pageBreakBefore w:val="0"/>
        <w:spacing w:line="360" w:lineRule="auto"/>
        <w:widowControl w:val="off"/>
        <w:rPr>
          <w:rFonts w:hint="eastAsia" w:ascii="宋体" w:hAnsi="宋体" w:eastAsia="宋体" w:cs="宋体"/>
          <w:b/>
          <w:color w:val="000000"/>
          <w:sz w:val="32"/>
          <w:szCs w:val="32"/>
        </w:rPr>
      </w:pPr>
      <w:r/>
      <w:bookmarkStart w:id="0" w:name="_Toc522790130"/>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b/>
          <w:color w:val="000000"/>
          <w:sz w:val="32"/>
          <w:szCs w:val="32"/>
        </w:rPr>
        <w:fldChar w:fldCharType="begin"/>
      </w:r>
      <w:r>
        <w:rPr>
          <w:rFonts w:hint="eastAsia" w:ascii="宋体" w:hAnsi="宋体" w:eastAsia="宋体" w:cs="宋体"/>
          <w:b/>
          <w:color w:val="000000"/>
          <w:sz w:val="32"/>
          <w:szCs w:val="32"/>
        </w:rPr>
        <w:instrText xml:space="preserve"> TOC \o "1-3" \h \z \u </w:instrText>
      </w:r>
      <w:r>
        <w:rPr>
          <w:rFonts w:hint="eastAsia" w:ascii="宋体" w:hAnsi="宋体" w:eastAsia="宋体" w:cs="宋体"/>
          <w:b/>
          <w:color w:val="000000"/>
          <w:sz w:val="32"/>
          <w:szCs w:val="32"/>
        </w:rPr>
        <w:fldChar w:fldCharType="separate"/>
      </w: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"_Toc523404695"</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第一章  投标邀请</w:t>
      </w:r>
      <w:r>
        <w:rPr>
          <w:rFonts w:hint="eastAsia" w:ascii="宋体" w:hAnsi="宋体" w:eastAsia="宋体" w:cs="宋体"/>
          <w:color w:val="000000"/>
          <w:sz w:val="32"/>
          <w:szCs w:val="32"/>
        </w:rPr>
        <w:fldChar w:fldCharType="end"/>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"_Toc523404696"</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第二章  投标人须知</w:t>
      </w:r>
      <w:r>
        <w:rPr>
          <w:rFonts w:hint="eastAsia" w:ascii="宋体" w:hAnsi="宋体" w:eastAsia="宋体" w:cs="宋体"/>
          <w:color w:val="000000"/>
          <w:sz w:val="32"/>
          <w:szCs w:val="32"/>
        </w:rPr>
        <w:fldChar w:fldCharType="end"/>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"_Toc523404697"</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第三章  投标资料表</w:t>
      </w:r>
      <w:r>
        <w:rPr>
          <w:rFonts w:hint="eastAsia" w:ascii="宋体" w:hAnsi="宋体" w:eastAsia="宋体" w:cs="宋体"/>
          <w:color w:val="000000"/>
          <w:sz w:val="32"/>
          <w:szCs w:val="32"/>
        </w:rPr>
        <w:fldChar w:fldCharType="end"/>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"_Toc523404698"</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第四章  评标标准</w:t>
      </w:r>
      <w:r>
        <w:rPr>
          <w:rFonts w:hint="eastAsia" w:ascii="宋体" w:hAnsi="宋体" w:eastAsia="宋体" w:cs="宋体"/>
          <w:color w:val="000000"/>
          <w:sz w:val="32"/>
          <w:szCs w:val="32"/>
        </w:rPr>
        <w:fldChar w:fldCharType="end"/>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"_Toc523404699"</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第五章  拟签订的合同文本</w:t>
      </w:r>
      <w:r>
        <w:rPr>
          <w:rFonts w:hint="eastAsia" w:ascii="宋体" w:hAnsi="宋体" w:eastAsia="宋体" w:cs="宋体"/>
          <w:color w:val="000000"/>
          <w:sz w:val="32"/>
          <w:szCs w:val="32"/>
        </w:rPr>
        <w:fldChar w:fldCharType="end"/>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"_Toc523404700"</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第六章  采购需求</w:t>
      </w:r>
      <w:r>
        <w:rPr>
          <w:rFonts w:hint="eastAsia" w:ascii="宋体" w:hAnsi="宋体" w:eastAsia="宋体" w:cs="宋体"/>
          <w:color w:val="000000"/>
          <w:sz w:val="32"/>
          <w:szCs w:val="32"/>
        </w:rPr>
        <w:fldChar w:fldCharType="end"/>
      </w:r>
      <w:r/>
    </w:p>
    <w:p>
      <w:pPr>
        <w:pStyle w:val="964"/>
        <w:keepLines w:val="0"/>
        <w:keepNext w:val="0"/>
        <w:pageBreakBefore w:val="0"/>
        <w:spacing w:line="360" w:lineRule="auto"/>
        <w:widowControl w:val="off"/>
        <w:tabs>
          <w:tab w:val="right" w:pos="8948" w:leader="dot"/>
        </w:tabs>
        <w:rPr>
          <w:rFonts w:hint="eastAsia" w:ascii="宋体" w:hAnsi="宋体" w:eastAsia="宋体" w:cs="宋体"/>
          <w:color w:val="000000"/>
          <w:sz w:val="32"/>
          <w:szCs w:val="32"/>
        </w:rPr>
      </w:pPr>
      <w:r>
        <w:rPr>
          <w:rFonts w:hint="eastAsia" w:ascii="宋体" w:hAnsi="宋体" w:eastAsia="宋体" w:cs="宋体"/>
          <w:color w:val="000000"/>
          <w:sz w:val="32"/>
          <w:szCs w:val="32"/>
        </w:rPr>
        <w:fldChar w:fldCharType="begin"/>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instrText xml:space="preserve">HYPERLINK \l "_Toc523404701"</w:instrText>
      </w:r>
      <w:r>
        <w:rPr>
          <w:rStyle w:val="979"/>
          <w:rFonts w:hint="eastAsia" w:ascii="宋体" w:hAnsi="宋体" w:eastAsia="宋体" w:cs="宋体"/>
          <w:color w:val="000000"/>
          <w:sz w:val="32"/>
          <w:szCs w:val="32"/>
        </w:rPr>
        <w:instrText xml:space="preserve"> </w:instrText>
      </w:r>
      <w:r>
        <w:rPr>
          <w:rFonts w:hint="eastAsia" w:ascii="宋体" w:hAnsi="宋体" w:eastAsia="宋体" w:cs="宋体"/>
          <w:color w:val="000000"/>
          <w:sz w:val="32"/>
          <w:szCs w:val="32"/>
        </w:rPr>
        <w:fldChar w:fldCharType="separate"/>
      </w:r>
      <w:r>
        <w:rPr>
          <w:rStyle w:val="979"/>
          <w:rFonts w:hint="eastAsia" w:ascii="宋体" w:hAnsi="宋体" w:eastAsia="宋体" w:cs="宋体"/>
          <w:color w:val="000000"/>
          <w:sz w:val="32"/>
          <w:szCs w:val="32"/>
        </w:rPr>
        <w:t xml:space="preserve">第七章  投标文件相关格</w:t>
      </w:r>
      <w:bookmarkStart w:id="1" w:name="_Hlt532911772"/>
      <w:r/>
      <w:bookmarkStart w:id="2" w:name="_Hlt532911771"/>
      <w:r>
        <w:rPr>
          <w:rStyle w:val="979"/>
          <w:rFonts w:hint="eastAsia" w:ascii="宋体" w:hAnsi="宋体" w:eastAsia="宋体" w:cs="宋体"/>
          <w:color w:val="000000"/>
          <w:sz w:val="32"/>
          <w:szCs w:val="32"/>
        </w:rPr>
        <w:t xml:space="preserve">式</w:t>
      </w:r>
      <w:bookmarkEnd w:id="1"/>
      <w:r/>
      <w:bookmarkEnd w:id="2"/>
      <w:r>
        <w:rPr>
          <w:rFonts w:hint="eastAsia" w:ascii="宋体" w:hAnsi="宋体" w:eastAsia="宋体" w:cs="宋体"/>
          <w:color w:val="000000"/>
          <w:sz w:val="32"/>
          <w:szCs w:val="32"/>
        </w:rPr>
        <w:fldChar w:fldCharType="end"/>
      </w:r>
      <w:r/>
    </w:p>
    <w:p>
      <w:pPr>
        <w:jc w:val="center"/>
        <w:keepLines w:val="0"/>
        <w:keepNext w:val="0"/>
        <w:pageBreakBefore w:val="0"/>
        <w:spacing w:line="360" w:lineRule="auto"/>
        <w:widowControl w:val="off"/>
        <w:rPr>
          <w:rFonts w:hint="eastAsia" w:ascii="宋体" w:hAnsi="宋体" w:eastAsia="宋体" w:cs="宋体"/>
          <w:b/>
          <w:color w:val="000000"/>
          <w:sz w:val="32"/>
          <w:szCs w:val="32"/>
        </w:rPr>
      </w:pPr>
      <w:r>
        <w:rPr>
          <w:rFonts w:hint="eastAsia" w:ascii="宋体" w:hAnsi="宋体" w:eastAsia="宋体" w:cs="宋体"/>
          <w:b/>
          <w:color w:val="000000"/>
          <w:sz w:val="32"/>
          <w:szCs w:val="32"/>
        </w:rPr>
        <w:fldChar w:fldCharType="end"/>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3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both"/>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pageBreakBefore w:val="0"/>
        <w:spacing w:line="36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徐州经济技术开发区科技教育局“央馆人工智能课程”配套设备采购项目</w:t>
      </w:r>
      <w:r/>
    </w:p>
    <w:p>
      <w:pPr>
        <w:jc w:val="center"/>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招标文件 </w:t>
      </w:r>
      <w:r/>
    </w:p>
    <w:p>
      <w:pPr>
        <w:ind w:firstLine="60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20"/>
        <w:keepLines/>
        <w:keepNext/>
        <w:pageBreakBefore w:val="0"/>
        <w:spacing w:line="360" w:lineRule="auto"/>
        <w:widowControl w:val="off"/>
        <w:rPr>
          <w:rFonts w:hint="eastAsia" w:ascii="宋体" w:hAnsi="宋体" w:eastAsia="宋体" w:cs="宋体"/>
          <w:color w:val="000000"/>
          <w:sz w:val="24"/>
          <w:szCs w:val="24"/>
        </w:rPr>
      </w:pPr>
      <w:r/>
      <w:bookmarkStart w:id="3" w:name="_Toc523404695"/>
      <w:r/>
      <w:r/>
    </w:p>
    <w:p>
      <w:pPr>
        <w:pStyle w:val="920"/>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  投标邀请</w:t>
      </w:r>
      <w:bookmarkEnd w:id="3"/>
      <w:r/>
      <w:r/>
    </w:p>
    <w:p>
      <w:pPr>
        <w:ind w:firstLine="60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山东方圆工程咨询有限公司</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进行公开招标采购，现邀请符合相关条件的供应商投标。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一、项目名称和项目编号</w:t>
      </w:r>
      <w:r/>
    </w:p>
    <w:p>
      <w:pPr>
        <w:ind w:firstLine="60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p>
    <w:p>
      <w:pPr>
        <w:ind w:firstLine="60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eastAsia="zh-CN"/>
        </w:rPr>
        <w:t xml:space="preserve">项目编号：JSZC-320390-SDFY-G2026-0001</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二、对投标人的资格要求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详见本项目公开招标公告。</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三、获取招标文件</w:t>
      </w:r>
      <w:bookmarkEnd w:id="0"/>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（1）潜在供应商访问电子招标投标交易平台的网络地址和方法：</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①登录 http://jszfcg.jsczt.cn/，或进入徐州政府采购网，点击“苏采云”进入系统。</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4"/>
          <w:szCs w:val="24"/>
          <w:lang w:val="en-US" w:eastAsia="zh-CN"/>
        </w:rPr>
        <w:t xml:space="preserve">办事指南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资料下载</w:t>
      </w:r>
      <w:r>
        <w:rPr>
          <w:rFonts w:hint="eastAsia" w:ascii="宋体" w:hAnsi="宋体" w:eastAsia="宋体" w:cs="宋体"/>
          <w:color w:val="000000"/>
          <w:sz w:val="24"/>
          <w:szCs w:val="24"/>
        </w:rPr>
        <w:t xml:space="preserve">”中的《“苏采云”系统政务CA办理材料、操作手册及控件下载》。</w:t>
      </w:r>
      <w:r/>
    </w:p>
    <w:p>
      <w:pPr>
        <w:ind w:firstLine="621"/>
        <w:pageBreakBefore w:val="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（2）采购代理机构将数据电文形式的招标文件加载至电子招标投标交易平台，供潜在供应商下载或者查阅</w:t>
      </w:r>
      <w:r>
        <w:rPr>
          <w:rFonts w:hint="eastAsia" w:ascii="宋体" w:hAnsi="宋体" w:eastAsia="宋体" w:cs="宋体"/>
          <w:bCs/>
          <w:color w:val="000000"/>
          <w:sz w:val="24"/>
          <w:szCs w:val="24"/>
        </w:rPr>
        <w:t xml:space="preserve">。</w:t>
      </w:r>
      <w:r/>
    </w:p>
    <w:p>
      <w:pPr>
        <w:ind w:firstLine="60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（3）售价：免费。 </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四、投标有关信息</w:t>
      </w:r>
      <w:r/>
    </w:p>
    <w:p>
      <w:pPr>
        <w:ind w:firstLine="60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（一）投标截止时间：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9月16</w:t>
      </w:r>
      <w:r>
        <w:rPr>
          <w:rFonts w:hint="eastAsia" w:ascii="宋体" w:hAnsi="宋体" w:eastAsia="宋体" w:cs="宋体"/>
          <w:color w:val="000000"/>
          <w:sz w:val="24"/>
          <w:szCs w:val="24"/>
          <w:highlight w:val="none"/>
        </w:rPr>
        <w:t xml:space="preserve">日北京时间9：30。</w:t>
      </w:r>
      <w:r/>
    </w:p>
    <w:p>
      <w:pPr>
        <w:ind w:firstLine="60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（二）开标时间：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9月16</w:t>
      </w:r>
      <w:r>
        <w:rPr>
          <w:rFonts w:hint="eastAsia" w:ascii="宋体" w:hAnsi="宋体" w:eastAsia="宋体" w:cs="宋体"/>
          <w:color w:val="000000"/>
          <w:sz w:val="24"/>
          <w:szCs w:val="24"/>
          <w:highlight w:val="none"/>
        </w:rPr>
        <w:t xml:space="preserve">日北京时间9：30。</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（三）开标地点：“苏采云”系统（网址： http://jszfcg.jsczt.cn/）“开标大厅”或进入徐州政府采购网（网址：</w:t>
      </w:r>
      <w:r>
        <w:rPr>
          <w:rFonts w:hint="eastAsia" w:ascii="宋体" w:hAnsi="宋体" w:eastAsia="宋体" w:cs="宋体"/>
          <w:color w:val="000000"/>
          <w:sz w:val="24"/>
          <w:szCs w:val="24"/>
          <w:lang w:eastAsia="zh-CN"/>
        </w:rPr>
        <w:t xml:space="preserve">https://czj.xz.gov.cn/zfcg/index.html?kw=cggg</w:t>
      </w:r>
      <w:r>
        <w:rPr>
          <w:rFonts w:hint="eastAsia" w:ascii="宋体" w:hAnsi="宋体" w:eastAsia="宋体" w:cs="宋体"/>
          <w:color w:val="000000"/>
          <w:sz w:val="24"/>
          <w:szCs w:val="24"/>
        </w:rPr>
        <w:t xml:space="preserve">），点击“苏采云”进入系统“开标大厅”。</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五、采购人</w:t>
      </w:r>
      <w:r/>
    </w:p>
    <w:p>
      <w:pPr>
        <w:ind w:firstLine="60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徐州经济技术开发区科技教育局</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（二）地址：</w:t>
      </w:r>
      <w:r>
        <w:rPr>
          <w:rFonts w:hint="eastAsia" w:ascii="宋体" w:hAnsi="宋体" w:eastAsia="宋体" w:cs="宋体"/>
          <w:color w:val="000000"/>
          <w:sz w:val="24"/>
          <w:szCs w:val="24"/>
          <w:lang w:eastAsia="zh-CN"/>
        </w:rPr>
        <w:t xml:space="preserve">徐州经济技术开发区</w:t>
      </w:r>
      <w:r>
        <w:rPr>
          <w:rFonts w:hint="eastAsia" w:ascii="宋体" w:hAnsi="宋体" w:eastAsia="宋体" w:cs="宋体"/>
          <w:color w:val="000000"/>
          <w:sz w:val="24"/>
          <w:szCs w:val="24"/>
        </w:rPr>
        <w:t xml:space="preserve">徐海路9号</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（三）联系方法：13852037973</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（四）采购项目联系人：张其标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六、采购代理机构</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山东方圆工程咨询有限公司</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（二）地址：徐州市云龙区绿地商务城（B7-2地块）商务办公楼B号楼</w:t>
      </w:r>
      <w:r/>
    </w:p>
    <w:p>
      <w:pPr>
        <w:ind w:firstLine="600"/>
        <w:pageBreakBefore w:val="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（三）联系方法：</w:t>
      </w:r>
      <w:r>
        <w:rPr>
          <w:rFonts w:hint="eastAsia" w:ascii="宋体" w:hAnsi="宋体" w:eastAsia="宋体" w:cs="宋体"/>
          <w:color w:val="000000"/>
          <w:sz w:val="24"/>
          <w:szCs w:val="24"/>
          <w:lang w:val="en-US" w:eastAsia="zh-CN"/>
        </w:rPr>
        <w:t xml:space="preserve">15996969874</w:t>
      </w:r>
      <w:r/>
    </w:p>
    <w:p>
      <w:pPr>
        <w:ind w:firstLine="600"/>
        <w:pageBreakBefore w:val="0"/>
        <w:spacing w:line="360" w:lineRule="auto"/>
        <w:rPr>
          <w:rFonts w:hint="default" w:ascii="宋体" w:hAnsi="宋体" w:eastAsia="宋体" w:cs="宋体"/>
          <w:color w:val="000000"/>
          <w:sz w:val="24"/>
          <w:szCs w:val="24"/>
          <w:lang w:val="en-US"/>
        </w:rPr>
      </w:pPr>
      <w:r>
        <w:rPr>
          <w:rFonts w:hint="eastAsia" w:ascii="宋体" w:hAnsi="宋体" w:eastAsia="宋体" w:cs="宋体"/>
          <w:color w:val="000000"/>
          <w:sz w:val="24"/>
          <w:szCs w:val="24"/>
        </w:rPr>
        <w:t xml:space="preserve">（四）采购项目联系人：</w:t>
      </w:r>
      <w:r>
        <w:rPr>
          <w:rFonts w:hint="eastAsia" w:ascii="宋体" w:hAnsi="宋体" w:eastAsia="宋体" w:cs="宋体"/>
          <w:color w:val="000000"/>
          <w:sz w:val="24"/>
          <w:szCs w:val="24"/>
          <w:lang w:val="en-US" w:eastAsia="zh-CN"/>
        </w:rPr>
        <w:t xml:space="preserve">马天婕</w:t>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bookmarkStart w:id="4" w:name="_Toc523404696"/>
      <w:r/>
      <w:bookmarkStart w:id="5" w:name="_Toc522790131"/>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ageBreakBefore w:val="0"/>
        <w:spacing w:line="360" w:lineRule="auto"/>
        <w:rPr>
          <w:rFonts w:hint="eastAsia"/>
        </w:rPr>
      </w:pPr>
      <w:r>
        <w:rPr>
          <w:rFonts w:hint="eastAsia"/>
        </w:rPr>
      </w:r>
      <w:r/>
    </w:p>
    <w:p>
      <w:pPr>
        <w:pageBreakBefore w:val="0"/>
        <w:spacing w:line="360" w:lineRule="auto"/>
        <w:rPr>
          <w:rFonts w:hint="eastAsia"/>
        </w:rPr>
      </w:pPr>
      <w:r>
        <w:rPr>
          <w:rFonts w:hint="eastAsia"/>
        </w:rPr>
      </w:r>
      <w:r/>
    </w:p>
    <w:p>
      <w:pPr>
        <w:pageBreakBefore w:val="0"/>
        <w:spacing w:line="360" w:lineRule="auto"/>
        <w:rPr>
          <w:rFonts w:hint="eastAsia"/>
        </w:rPr>
      </w:pPr>
      <w:r>
        <w:rPr>
          <w:rFonts w:hint="eastAsia"/>
        </w:rPr>
      </w:r>
      <w:r/>
    </w:p>
    <w:p>
      <w:pPr>
        <w:pageBreakBefore w:val="0"/>
        <w:spacing w:line="360" w:lineRule="auto"/>
        <w:rPr>
          <w:rFonts w:hint="eastAsia"/>
        </w:rPr>
      </w:pPr>
      <w:r>
        <w:rPr>
          <w:rFonts w:hint="eastAsia"/>
        </w:rPr>
      </w:r>
      <w:r/>
    </w:p>
    <w:p>
      <w:pPr>
        <w:pStyle w:val="920"/>
        <w:jc w:val="center"/>
        <w:keepLines/>
        <w:keepNex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  投标人须知</w:t>
      </w:r>
      <w:bookmarkEnd w:id="4"/>
      <w:r/>
      <w:bookmarkEnd w:id="5"/>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一、总则</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（六）投标人的资格条件：</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投标人是指响应招标、参加投标竞争的法人、其他组织或者自然人。</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2.投标人授权代表系指法定代表人或受法人委托的受托人。</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二、招标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（八）招标文件应包括以下内容：</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第一章，投标邀请；</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第二章，投标人须知；</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第三章，投标资料表；</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第四章，评标标准；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第五章，拟签订的合同文本；</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第六章，采购需求；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第七章，投标文件相关格式。</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（九）招标文件澄清或者修改：</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2.现场考察以本文件第三章《投标资料表》中的要求为准。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3.开标前答疑会以本文件第三章《投标资料表》中的要求为准。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三、投标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（十二）投标文件的构成：</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1.投标文件的构成以本文件第三章《投标资料表》中的要求为准。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（十三）投标函和价格表、商务条件、交货和提供服务的时间：</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2.商务条件以本文件第三章《投标资料表》中的要求为准。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3.交货和提供服务的时间，以本文件第三章《投标资料表》中所提要求为准。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（十四）投标报价要求：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1.投标人应按照招标文件的要求报出分项价格和总价。</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3.采购人不支付报价以外的任何费用。</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（十五）投标货币。以本文件第三章《投标资料表》中所提要求为准。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（十六）投标有效期：</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（十七）投标文件的编制要求和签署要求：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（1）投标人应由其法定代表人或法定代表人授权代表在规定的网上投标时间，凭 CA 证书</w:t>
      </w:r>
      <w:r>
        <w:rPr>
          <w:rFonts w:hint="eastAsia" w:ascii="宋体" w:hAnsi="宋体" w:eastAsia="宋体" w:cs="宋体"/>
          <w:color w:val="000000"/>
          <w:sz w:val="24"/>
          <w:szCs w:val="24"/>
          <w:lang w:eastAsia="zh-CN"/>
        </w:rPr>
        <w:t xml:space="preserve">登录</w:t>
      </w:r>
      <w:r>
        <w:rPr>
          <w:rFonts w:hint="eastAsia" w:ascii="宋体" w:hAnsi="宋体" w:eastAsia="宋体" w:cs="宋体"/>
          <w:color w:val="000000"/>
          <w:sz w:val="24"/>
          <w:szCs w:val="24"/>
        </w:rPr>
        <w:t xml:space="preserve">“苏采云”系统在线编制投标文件（电子数据），并在投标截止时间之前上传投标文件。</w:t>
      </w:r>
      <w:r/>
    </w:p>
    <w:p>
      <w:pPr>
        <w:ind w:firstLine="482"/>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2"/>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2"/>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（十八）投标文件的盖章要求：</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投标文件的盖章要求，以本文件第三章《投标资料表》中所提要求为准。</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（二十二）本项目不允许分包。</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（二十四）有下列情形之一的，其投标无效。</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1.不同投标人的投标文件，由同一单位或者个人编制；</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2.不同投标人委托同一单位或者个人办理投标事宜；</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3.不同投标人的投标文件中，所载明的项目管理成员或联系人为同一人；</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4.不同投标人的投标文件，异常一致或者投标报价呈规律性差异；</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5.不同投标人投标文件</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产品功能演示视频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存在</w:t>
      </w:r>
      <w:r>
        <w:rPr>
          <w:rFonts w:hint="eastAsia" w:ascii="宋体" w:hAnsi="宋体" w:eastAsia="宋体" w:cs="宋体"/>
          <w:color w:val="000000"/>
          <w:sz w:val="24"/>
          <w:szCs w:val="24"/>
        </w:rPr>
        <w:t xml:space="preserve">非正常一致、项目组成员出现同一人、投标文件中错误（ 或异常）一致或雷同、电子文档信息一致或雷同的、投标报价呈规律性差异的；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6.电子投标文件未按规定期限投标的；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7.电子投标文件未按招标文件要求签章的；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8.投标人未在规定时间内解密电子投标文件的；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9.投标文件未按招标文件规定的内容和要求填写的；没有在投标系统指定位置上传对应文件、材料的；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10.不具备招标文件中规定的资格要求的；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11.报价超过招标文件中规定的预算金额或者最高限价的；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12.投标文件含有采购人不能接受的附加条件的；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13.法律、法规和招标文件规定的其他无效情形。</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四、开标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（二十五）开标：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1.开标时间及地点。开标应当在招标文件确定的提交投标文件截止时间的同一时间公开进行；开标地点应当为招标文件中预先确定的地点。</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2.由电子招标投标交易平台主持，邀请投标人参加。</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3.所有投标单位使用 CA 证书在开标时间时，解密各自投标文件，由工作人员操作系统进行开标，投标人不足3家的，不得评标。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五、评标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1.评标工作由采购代理机构负责组织，并履行下列职责：</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（2）宣布评标纪律；</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（3）公布投标人名单，告知评审专家应当回避的情形；</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（4）组织评标委员会推选评标组长（采购人代表不得担任组长）；</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（5）在评标期间采取必要的通讯管理措施，保证评标活动不受外界干扰；</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（6）根据评标委员会的要求介绍政府采购相关政策法规、招标文件；</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政府采购</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（10）处理与评标有关的其他事项。</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2.评标委员会负责具体评标事务，并独立履行下列职责：</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（1）审查、评价投标文件是否符合招标文件的商务、技术等实质性要求；</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（2）要求投标人对投标文件有关事项作出澄清或者说明；</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（3）对投标文件进行比较和评价；</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（4）确定中标候选人名单，以及根据采购人委托直接确定投标人；</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（5）向采购人、采购代理机构或有关部门报告评标中发现的违法行为。</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（二十七）评标方法分为最低评标价法和综合评分法。</w:t>
      </w:r>
      <w:r/>
    </w:p>
    <w:p>
      <w:pPr>
        <w:ind w:firstLine="45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（二十八）评标</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1.评标工作程序：</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（1）投标文件初审。</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①资格性审查。</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②符合性审查。</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（2）澄清有关问题。</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（3）比较与评价。</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（4）推荐中标候选供应商名单。</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（5）编写评审报告（评标报告）。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最低评标价法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综合评分法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非单一产品采购项目，多家投标人提供的核心产品品牌相同的，按前两款规定处理。</w:t>
      </w:r>
      <w:r/>
    </w:p>
    <w:p>
      <w:pPr>
        <w:ind w:firstLine="601"/>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（二十九）投标文件报价出现前后不一致的，按照下列规定修正：</w:t>
      </w:r>
      <w:r/>
    </w:p>
    <w:p>
      <w:pPr>
        <w:ind w:firstLine="601"/>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2.大写金额和小写金额不一致的，以大写金额为准；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4.总价金额与按单价合计金额不一致的，以单价金额计算结果为准。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pageBreakBefore w:val="0"/>
        <w:spacing w:line="360" w:lineRule="auto"/>
        <w:widowControl/>
        <w:rPr>
          <w:rFonts w:hint="eastAsia" w:ascii="宋体" w:hAnsi="宋体" w:eastAsia="宋体" w:cs="宋体"/>
          <w:i/>
          <w:color w:val="000000"/>
          <w:sz w:val="24"/>
          <w:szCs w:val="24"/>
        </w:rPr>
      </w:pPr>
      <w:r>
        <w:rPr>
          <w:rFonts w:hint="eastAsia" w:ascii="宋体" w:hAnsi="宋体" w:eastAsia="宋体" w:cs="宋体"/>
          <w:color w:val="000000"/>
          <w:sz w:val="24"/>
          <w:szCs w:val="24"/>
        </w:rPr>
        <w:t xml:space="preserve">评标中需要投标人对投标文件澄清或者说明的，应当通过“苏采云”系统交换数据电文。在评标期间，请投标人保持在线。</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评审中出现下列情形之一的，评标委员会应当启动异常低价投标审查程序：</w:t>
      </w:r>
      <w:r/>
    </w:p>
    <w:p>
      <w:pPr>
        <w:ind w:firstLine="601"/>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1.投标（响应）报价低于全部通过符合性审查供应商投标（响应）报价平均值50%的，即投标（响应）报价&lt;全部通过符合性审查供应商投标（响应）报价平均值×50%；</w:t>
      </w:r>
      <w:r/>
    </w:p>
    <w:p>
      <w:pPr>
        <w:ind w:firstLine="601"/>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2.投标（响应）报价低于通过符合性审查的次低报价供应商投标（响应）报价50%的，即投标（响应）报价&lt;通过符合性审查的次低报价供应商投标（响应）报价×50%；</w:t>
      </w:r>
      <w:r/>
    </w:p>
    <w:p>
      <w:pPr>
        <w:ind w:firstLine="601"/>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3.投标（响应）报价低于采购项目最高限价（未设定最高限价的采购项目，以采购项目预算金额作为最高限价）45%的，即投标（响应）报价&lt;采购项目最高限价×45%；</w:t>
      </w:r>
      <w:r/>
    </w:p>
    <w:p>
      <w:pPr>
        <w:ind w:firstLine="601"/>
        <w:jc w:val="left"/>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4.评标委员会基于专业判断，认为供应商报价过低，有可能影响产品质量或者不能诚信履约的其他情形。</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相关法律法规对供应商报价有规定的，从其规定。</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rPr>
        <w:t xml:space="preserve">其中，属于第3项情形，供应商已随投标文件一并提交相关书面说明及必要的证明材料的，在评审现场可不再重复提交。</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（三十二）废标条款：</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出现下列情形之一的，应予废标。</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1.符合专业条件的供应商或者对招标文件作实质响应的供应商不足三家的；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3.投标人的报价均超过了采购预算，采购人不能支付的；</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4.因重大变故，采购任务取消的。</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六、定标</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（三十四）采购人应当自收到评标报告之日起5个工作日内，在评标报告确定的中标候选人名单中按顺序确定投标人。</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七、政府采购合同</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（三十六）签订政府采购合同（合同签订方式）：</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60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采购人不得向投标人提出任何不合理的要求作为签订合同的条件。</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2.中标或者投标人拒绝与采购人签订合同的，采购人可以按照评审报告推荐的中标或者成交候选人名单排序，确定下一个候选人为中标或者投标人，也可以重新开展政府采购活动。</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（三十七）采购人与投标人应当根据合同的约定依法履行合同义务。政府采购合同的履行、违约责任和解决争议的方法等，按《中华人民共和国</w:t>
      </w:r>
      <w:r>
        <w:rPr>
          <w:rFonts w:hint="eastAsia" w:ascii="宋体" w:hAnsi="宋体" w:eastAsia="宋体" w:cs="宋体"/>
          <w:color w:val="000000"/>
          <w:sz w:val="24"/>
          <w:szCs w:val="24"/>
          <w:lang w:val="en-US" w:eastAsia="zh-CN"/>
        </w:rPr>
        <w:t xml:space="preserve">民法典</w:t>
      </w:r>
      <w:r>
        <w:rPr>
          <w:rFonts w:hint="eastAsia" w:ascii="宋体" w:hAnsi="宋体" w:eastAsia="宋体" w:cs="宋体"/>
          <w:color w:val="000000"/>
          <w:sz w:val="24"/>
          <w:szCs w:val="24"/>
        </w:rPr>
        <w:t xml:space="preserve">》相关条款执行。</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（三十八）履约保证金：</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1.投标人应在政府采购合同签订后，向采购人提交本文件第三章《投标资料表》中规定金额的履约保证金。</w:t>
      </w:r>
      <w:r/>
    </w:p>
    <w:p>
      <w:pPr>
        <w:ind w:firstLine="60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601"/>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3.投标人凭采购人出具验收书的复印件及收款收据办理履约保证金退付手续。履约保证金在采购人处存放期间，不计利息。</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（三十九）腐败和欺诈行为：</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（1）腐败和欺诈行为的含义：</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②“欺诈行为”系指为了影响招标、采购和合同执行等过程，隐瞒事实</w:t>
      </w:r>
      <w:r>
        <w:rPr>
          <w:rFonts w:hint="eastAsia" w:ascii="宋体" w:hAnsi="宋体" w:eastAsia="宋体" w:cs="宋体"/>
          <w:color w:val="000000"/>
          <w:sz w:val="24"/>
          <w:szCs w:val="24"/>
          <w:lang w:val="en-US" w:eastAsia="zh-CN"/>
        </w:rPr>
        <w:t xml:space="preserve">真相</w:t>
      </w:r>
      <w:r>
        <w:rPr>
          <w:rFonts w:hint="eastAsia" w:ascii="宋体" w:hAnsi="宋体" w:eastAsia="宋体" w:cs="宋体"/>
          <w:color w:val="000000"/>
          <w:sz w:val="24"/>
          <w:szCs w:val="24"/>
        </w:rPr>
        <w:t xml:space="preserve">，给买方、卖方、采购代理机构及他人造成损害的行为，其中包括投标人之间的串通行为。</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（2）如果被推荐的投标人有腐败和欺诈行为，将取消其中标资格。</w:t>
      </w:r>
      <w:r/>
    </w:p>
    <w:p>
      <w:pPr>
        <w:ind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（3）如果投标人在任何时候，被法院及政府有关管理部门认定为有腐败和欺诈行为，采购代理机构有权拒绝其投标、取消其中标资格和撤消其已签署的合同。</w:t>
      </w:r>
      <w:r/>
    </w:p>
    <w:p>
      <w:pPr>
        <w:ind w:firstLine="60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八、询问和质疑</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（四十）询问和质疑</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询问和质疑由采购代理机构依法处理。</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九、电子招标投标交易平台</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（四十一）电子招标投标交易平台（即“苏采云”系统，网址：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 \o "http://jszfcg.jsczt.cn/"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http://jszfcg.jsczt.cn/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）相关要求是本招标文件的组成部分。</w:t>
      </w:r>
      <w:r/>
    </w:p>
    <w:p>
      <w:pPr>
        <w:ind w:firstLine="60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96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rPr>
        <w:t xml:space="preserve">第三章  投标资料表</w:t>
      </w:r>
      <w:r/>
    </w:p>
    <w:p>
      <w:pPr>
        <w:pStyle w:val="954"/>
        <w:ind w:firstLine="60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55"/>
        <w:tblW w:w="949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796"/>
      </w:tblGrid>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tabs>
                <w:tab w:val="center" w:pos="743"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条款项号</w:t>
            </w:r>
            <w:r>
              <w:rPr>
                <w:rFonts w:hint="eastAsia" w:ascii="宋体" w:hAnsi="宋体" w:eastAsia="宋体" w:cs="宋体"/>
                <w:sz w:val="24"/>
                <w:szCs w:val="24"/>
              </w:rPr>
              <w:tab/>
            </w:r>
            <w:r/>
          </w:p>
        </w:tc>
        <w:tc>
          <w:tcPr>
            <w:tcBorders>
              <w:left w:val="single" w:color="000000" w:sz="4" w:space="0"/>
              <w:bottom w:val="single" w:color="000000" w:sz="4" w:space="0"/>
            </w:tcBorders>
            <w:tcW w:w="7796" w:type="dxa"/>
            <w:vAlign w:val="top"/>
            <w:textDirection w:val="lrTb"/>
            <w:noWrap w:val="false"/>
          </w:tcPr>
          <w:p>
            <w:pPr>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徐州经济技术开发区科技教育局</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本项目采购代理机构：</w:t>
            </w:r>
            <w:r>
              <w:rPr>
                <w:rFonts w:hint="eastAsia" w:ascii="宋体" w:hAnsi="宋体" w:eastAsia="宋体" w:cs="宋体"/>
                <w:color w:val="000000"/>
                <w:sz w:val="24"/>
                <w:szCs w:val="24"/>
                <w:lang w:eastAsia="zh-CN"/>
              </w:rPr>
              <w:t xml:space="preserve">山东方圆工程咨询有限公司</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投标人的资格条件：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一、符合《中华人民共和国政府采购法》第二十二条的规定；</w:t>
            </w:r>
            <w:r/>
          </w:p>
          <w:p>
            <w:pPr>
              <w:spacing w:line="3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二、本项目不属于专门面向中小微企业采购的项目。</w:t>
            </w:r>
            <w:r/>
          </w:p>
          <w:p>
            <w:pPr>
              <w:spacing w:line="400" w:lineRule="exact"/>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三</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本项目的特定资格条件：无</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同时明确相关事项如下：</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一、本项目不接受联合体参与采购活动。</w:t>
            </w:r>
            <w:r/>
          </w:p>
          <w:p>
            <w:pPr>
              <w:ind w:left="56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四、查询及使用供应商信用记录：</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(一)由采购人查询信用信息。</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(二)查询渠道包括：</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1.“信用中国”网（</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"http://www.creditchina.gov.cn/"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2.中国政府采购网（</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"http://www.ccgp.gov.cn/"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www.ccgp.gov.cn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3.“信用江苏”网（http://credit.jiangsu.gov.cn）；</w:t>
            </w:r>
            <w:r/>
          </w:p>
          <w:p>
            <w:pPr>
              <w:ind w:firstLine="7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4.信用中国（江苏徐州）（http://www.xuzhoucredit.gov.cn）；</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(三)截止时点（查询环节）：开标后资格审查结束前。</w:t>
            </w:r>
            <w:r/>
          </w:p>
          <w:p>
            <w:pPr>
              <w:ind w:left="98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(五)信用信息的使用规则：</w:t>
            </w:r>
            <w:r/>
          </w:p>
          <w:p>
            <w:pPr>
              <w:ind w:left="89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default" w:ascii="宋体" w:hAnsi="宋体" w:eastAsia="宋体" w:cs="宋体"/>
                <w:color w:val="000000"/>
                <w:sz w:val="24"/>
                <w:szCs w:val="24"/>
                <w:lang w:val="en-US"/>
              </w:rPr>
            </w:pPr>
            <w:r>
              <w:rPr>
                <w:rFonts w:hint="eastAsia" w:ascii="宋体" w:hAnsi="宋体" w:eastAsia="宋体" w:cs="宋体"/>
                <w:color w:val="000000"/>
                <w:sz w:val="24"/>
                <w:szCs w:val="24"/>
                <w:highlight w:val="none"/>
                <w:lang w:val="en-US" w:eastAsia="zh-CN"/>
              </w:rPr>
              <w:t xml:space="preserve">本项目招标代理服务费20000元，由中标人在领取中标通知书前一次性支付至代理公司，各投标人在投标报价时应充分考虑在内。</w:t>
            </w:r>
            <w:bookmarkStart w:id="21" w:name="_GoBack"/>
            <w:r/>
            <w:bookmarkEnd w:id="21"/>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(九)1</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(九)2</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tabs>
                <w:tab w:val="left" w:pos="57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(九)3</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(十一)</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(十二)1</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(十二)2</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线上投标文件编制要求：</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请按照以下要求（包括但不限于以下要求）制作：</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一、基本目录</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1.《开标一览表》（加盖电子签章，政府采购客户端工具输入报价自动生成）；</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2.所投产品的环境标志产品认证证书原件的扫描件（如有）。</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3.所投产品的节能产品认证证书原件的扫描件（如有）。</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（2）节能产品认证证书是否符合要求，采购人评标时查询中国政府采购网（www.ccgp.gov.cn）相关内容后确定。</w:t>
            </w:r>
            <w:r/>
          </w:p>
          <w:p>
            <w:pPr>
              <w:spacing w:line="40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4.投标所需其他材料（如有）。</w:t>
            </w:r>
            <w:r/>
          </w:p>
          <w:p>
            <w:pP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二、资格条件（1-7必须提供，否则投标无效）</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Start w:id="6" w:name="OLE_LINK5"/>
            <w:r/>
            <w:bookmarkStart w:id="7" w:name="OLE_LINK12"/>
            <w:r>
              <w:rPr>
                <w:rFonts w:hint="eastAsia" w:ascii="宋体" w:hAnsi="宋体" w:eastAsia="宋体" w:cs="宋体"/>
                <w:color w:val="000000"/>
                <w:sz w:val="24"/>
                <w:szCs w:val="24"/>
              </w:rPr>
              <w:t xml:space="preserve">投标人合法有效的法人的营业执照扫描件，或事业单位法人证书扫描件，或民办非企业单位登记证书扫描件</w:t>
            </w:r>
            <w:bookmarkEnd w:id="6"/>
            <w:r>
              <w:rPr>
                <w:rFonts w:hint="eastAsia" w:ascii="宋体" w:hAnsi="宋体" w:eastAsia="宋体" w:cs="宋体"/>
                <w:color w:val="000000"/>
                <w:sz w:val="24"/>
                <w:szCs w:val="24"/>
              </w:rPr>
              <w:t xml:space="preserve">；</w:t>
            </w:r>
            <w:bookmarkEnd w:id="7"/>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bookmarkStart w:id="8" w:name="OLE_LINK6"/>
            <w:r/>
            <w:bookmarkStart w:id="9" w:name="OLE_LINK13"/>
            <w:r>
              <w:rPr>
                <w:rFonts w:hint="eastAsia" w:ascii="宋体" w:hAnsi="宋体" w:eastAsia="宋体" w:cs="宋体"/>
                <w:color w:val="000000"/>
                <w:sz w:val="24"/>
                <w:szCs w:val="24"/>
              </w:rPr>
              <w:t xml:space="preserve">财务状况报告（即提供投标人的本项目开标时间前6个月内</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宋体" w:hAnsi="宋体" w:eastAsia="宋体" w:cs="宋体"/>
                <w:color w:val="000000"/>
                <w:sz w:val="24"/>
                <w:szCs w:val="24"/>
              </w:rPr>
              <w:t xml:space="preserve">任何时间的资产负债表、利润表扫描件</w:t>
            </w:r>
            <w:r>
              <w:rPr>
                <w:rFonts w:hint="eastAsia" w:ascii="宋体" w:hAnsi="宋体" w:eastAsia="宋体" w:cs="宋体"/>
                <w:color w:val="000000"/>
                <w:sz w:val="24"/>
                <w:szCs w:val="24"/>
                <w:lang w:val="en-US" w:eastAsia="zh-CN"/>
              </w:rPr>
              <w:t xml:space="preserve">各</w:t>
            </w:r>
            <w:r>
              <w:rPr>
                <w:rFonts w:hint="eastAsia" w:ascii="宋体" w:hAnsi="宋体" w:eastAsia="宋体" w:cs="宋体"/>
                <w:color w:val="000000"/>
                <w:sz w:val="24"/>
                <w:szCs w:val="24"/>
              </w:rPr>
              <w:t xml:space="preserve">一份或提供投标人上年度</w:t>
            </w:r>
            <w:r>
              <w:rPr>
                <w:rFonts w:hint="eastAsia" w:ascii="宋体" w:hAnsi="宋体" w:eastAsia="宋体" w:cs="宋体"/>
                <w:color w:val="000000"/>
                <w:sz w:val="24"/>
                <w:szCs w:val="24"/>
                <w:lang w:val="en-US" w:eastAsia="zh-CN"/>
              </w:rPr>
              <w:t xml:space="preserve">经审计的</w:t>
            </w:r>
            <w:r>
              <w:rPr>
                <w:rFonts w:hint="eastAsia" w:ascii="宋体" w:hAnsi="宋体" w:eastAsia="宋体" w:cs="宋体"/>
                <w:color w:val="000000"/>
                <w:sz w:val="24"/>
                <w:szCs w:val="24"/>
              </w:rPr>
              <w:t xml:space="preserve">财务报告</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或投标人的本项目开标时间前6个月</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000000"/>
                <w:sz w:val="24"/>
                <w:szCs w:val="24"/>
              </w:rPr>
              <w:t xml:space="preserve">内银行出具的资信证明扫描件）</w:t>
            </w:r>
            <w:bookmarkEnd w:id="8"/>
            <w:r>
              <w:rPr>
                <w:rFonts w:hint="eastAsia" w:ascii="宋体" w:hAnsi="宋体" w:eastAsia="宋体" w:cs="宋体"/>
                <w:color w:val="000000"/>
                <w:sz w:val="24"/>
                <w:szCs w:val="24"/>
              </w:rPr>
              <w:t xml:space="preserve">；</w:t>
            </w:r>
            <w:bookmarkEnd w:id="9"/>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bookmarkStart w:id="10" w:name="OLE_LINK7"/>
            <w:r/>
            <w:bookmarkStart w:id="11" w:name="OLE_LINK14"/>
            <w:r>
              <w:rPr>
                <w:rFonts w:hint="eastAsia" w:ascii="宋体" w:hAnsi="宋体" w:eastAsia="宋体" w:cs="宋体"/>
                <w:color w:val="000000"/>
                <w:sz w:val="24"/>
                <w:szCs w:val="24"/>
              </w:rPr>
              <w:t xml:space="preserve">投标人的本项目开标时间前6个月内</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000000"/>
                <w:sz w:val="24"/>
                <w:szCs w:val="24"/>
              </w:rPr>
              <w:t xml:space="preserve">任何1个月的依法缴纳税收和社会保障资金的相关材料扫描件（依法免税或不需要缴纳社会保障资金的供应商,提供相应文件证明其依法免税或不需要缴纳社会保障资金)</w:t>
            </w:r>
            <w:bookmarkEnd w:id="10"/>
            <w:r>
              <w:rPr>
                <w:rFonts w:hint="eastAsia" w:ascii="宋体" w:hAnsi="宋体" w:eastAsia="宋体" w:cs="宋体"/>
                <w:color w:val="000000"/>
                <w:sz w:val="24"/>
                <w:szCs w:val="24"/>
              </w:rPr>
              <w:t xml:space="preserve">；</w:t>
            </w:r>
            <w:bookmarkEnd w:id="11"/>
            <w:r/>
            <w:r/>
          </w:p>
          <w:p>
            <w:pPr>
              <w:spacing w:line="400" w:lineRule="exact"/>
              <w:rPr>
                <w:rFonts w:hint="eastAsia" w:ascii="宋体" w:hAnsi="宋体" w:eastAsia="宋体" w:cs="宋体"/>
                <w:b w:val="0"/>
                <w:bCs w:val="0"/>
                <w:color w:val="000000"/>
                <w:sz w:val="24"/>
                <w:szCs w:val="24"/>
                <w:lang w:eastAsia="zh-CN"/>
              </w:rPr>
            </w:pPr>
            <w:r>
              <w:rPr>
                <w:rFonts w:hint="eastAsia" w:ascii="宋体" w:hAnsi="宋体" w:eastAsia="宋体" w:cs="宋体"/>
                <w:color w:val="000000"/>
                <w:sz w:val="24"/>
                <w:szCs w:val="24"/>
              </w:rPr>
              <w:t xml:space="preserve">4.</w:t>
            </w:r>
            <w:r>
              <w:rPr>
                <w:rFonts w:hint="eastAsia" w:asciiTheme="minorEastAsia" w:hAnsiTheme="minorEastAsia" w:eastAsiaTheme="minorEastAsia" w:cstheme="minorEastAsia"/>
                <w:sz w:val="24"/>
              </w:rPr>
              <w:t xml:space="preserve">具备履行合同所必需的设备和专业技术能力的证明材料。</w:t>
            </w:r>
            <w:r>
              <w:rPr>
                <w:rFonts w:hint="eastAsia" w:asciiTheme="minorEastAsia" w:hAnsiTheme="minorEastAsia" w:eastAsiaTheme="minorEastAsia" w:cstheme="minorEastAsia"/>
                <w:b w:val="0"/>
                <w:bCs w:val="0"/>
                <w:sz w:val="24"/>
              </w:rPr>
              <w:t xml:space="preserve">即提供《具备履行合同所必需的设备和专业技术能力的书面声明》（加盖电子签章，格式见招标文件第七章《投标文件相关格式》</w:t>
            </w:r>
            <w:r>
              <w:rPr>
                <w:rFonts w:hint="eastAsia" w:eastAsia="宋体" w:asciiTheme="minorEastAsia" w:hAnsiTheme="minorEastAsia" w:cstheme="minorEastAsia"/>
                <w:b w:val="0"/>
                <w:bCs w:val="0"/>
                <w:sz w:val="24"/>
                <w:lang w:eastAsia="zh-CN"/>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bookmarkStart w:id="12" w:name="OLE_LINK9"/>
            <w:r>
              <w:rPr>
                <w:rFonts w:hint="eastAsia" w:ascii="宋体" w:hAnsi="宋体" w:eastAsia="宋体" w:cs="宋体"/>
                <w:color w:val="000000"/>
                <w:sz w:val="24"/>
                <w:szCs w:val="24"/>
              </w:rPr>
              <w:t xml:space="preserve">投标人参加政府采购活动前3年内在经营活动中没有重大违法记录的书面声明（加盖电子签章，格式见招标文件第七章《投标文件相关格式》）</w:t>
            </w:r>
            <w:bookmarkEnd w:id="12"/>
            <w:r>
              <w:rPr>
                <w:rFonts w:hint="eastAsia" w:ascii="宋体" w:hAnsi="宋体" w:eastAsia="宋体" w:cs="宋体"/>
                <w:color w:val="000000"/>
                <w:sz w:val="24"/>
                <w:szCs w:val="24"/>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6.供应商关于单位负责人为同一人或者存在直接控股、管理关系的不同供应商，不得参加同一合同项下的政府采购活动的承诺。（加盖电子签章，格式见招标文件第七章《投标文件相关格式》）。</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7.供应商不是为本采购项目提供整体设计、规范编制或者项目管理、监理、检测等服务的供应商的书面声明。（加盖电子签章，格式见招标文件第七章《投标文件相关格式》）。</w:t>
            </w:r>
            <w:r/>
          </w:p>
          <w:p>
            <w:pP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三、符合条件（必须提供，否则投标无效）</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(一)报价</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《开标一览表》（加盖电子签章，政府采购客户端工具输入报价自动生成）；</w:t>
            </w:r>
            <w:r/>
          </w:p>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《分项价格表》（加盖电子签章，格式见招标文件第七章《投标文件相关格式》）</w:t>
            </w:r>
            <w:r>
              <w:rPr>
                <w:rFonts w:hint="eastAsia" w:ascii="宋体" w:hAnsi="宋体" w:eastAsia="宋体" w:cs="宋体"/>
                <w:color w:val="000000"/>
                <w:sz w:val="24"/>
                <w:szCs w:val="24"/>
                <w:lang w:eastAsia="zh-CN"/>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（二）商务资信</w:t>
            </w:r>
            <w:r/>
          </w:p>
          <w:p>
            <w:pPr>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1.《投标函》（加盖电子签章，格式见招标文件第七章《投标文件相关格式》）</w:t>
            </w:r>
            <w:r>
              <w:rPr>
                <w:rFonts w:hint="eastAsia" w:ascii="宋体" w:hAnsi="宋体" w:eastAsia="宋体" w:cs="宋体"/>
                <w:color w:val="000000"/>
                <w:sz w:val="24"/>
                <w:szCs w:val="24"/>
                <w:lang w:eastAsia="zh-CN"/>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2.《授权委托书》（提供原件的扫描件，格式见招标文件第七章《投标文件相关格式》）；</w:t>
            </w:r>
            <w:r/>
          </w:p>
          <w:p>
            <w:pPr>
              <w:spacing w:line="400" w:lineRule="exact"/>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3.法律、法规和招标文件规定的其他投标无效情形（无格式要求，投标人可自行拟定）。</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（三）技术响应</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《偏离表》（加盖电子签章，格式见招标文件第七章《投标文件相关格式》）</w:t>
            </w:r>
            <w:r/>
          </w:p>
          <w:p>
            <w:pPr>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四、综合评审评分项</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（一）技术部分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详见本文件第六章《采购需求》及第四章《评标标准》。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（二）商务部分</w:t>
            </w:r>
            <w:r/>
          </w:p>
          <w:p>
            <w:pPr>
              <w:pStyle w:val="10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详见本文件第四章《评标标准》。</w:t>
            </w:r>
            <w:r/>
          </w:p>
          <w:p>
            <w:pP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五、价格折扣文件格式</w:t>
            </w:r>
            <w:r/>
          </w:p>
          <w:p>
            <w:pPr>
              <w:pStyle w:val="1005"/>
              <w:spacing w:line="400" w:lineRule="exact"/>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一）本项目不属于专门面向中小微企业采购的项目，投标人如为中小微企业（含中型、小型、微型企业，下同），投标文件中提供《中小企业声明函》（加盖电子签章，填写完整。格式见本文件第七章《投标文件相关格式》，如不填写完整或未按要求填写的，视为不满足，非必须提供）。</w:t>
            </w:r>
            <w:r>
              <w:rPr>
                <w:rFonts w:hint="eastAsia" w:ascii="宋体" w:hAnsi="宋体" w:eastAsia="宋体" w:cs="宋体"/>
                <w:bCs/>
                <w:color w:val="000000"/>
                <w:sz w:val="24"/>
                <w:szCs w:val="24"/>
              </w:rPr>
              <w:t xml:space="preserve">《中小企业声明函》查询渠道参考工业和信息化部发布的中小企业规模自测小程序。中小企业规模自测小程序详见《中小企业声明函》。</w:t>
            </w:r>
            <w:r/>
          </w:p>
          <w:p>
            <w:pPr>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注：</w:t>
            </w:r>
            <w:r>
              <w:rPr>
                <w:rFonts w:hint="eastAsia" w:ascii="宋体" w:hAnsi="宋体" w:eastAsia="宋体" w:cs="宋体"/>
                <w:color w:val="000000"/>
                <w:sz w:val="24"/>
                <w:szCs w:val="24"/>
              </w:rPr>
              <w:t xml:space="preserve">具体以《政府采购促进中小企业发展管理办法》（财库〔202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〕46号）和《关于印发中小企业划型标准规定的通知》（工信部联企业[2011]300号）的规定为准。</w:t>
            </w:r>
            <w:r/>
          </w:p>
          <w:p>
            <w:pPr>
              <w:ind w:firstLine="562"/>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p>
            <w:pPr>
              <w:ind w:firstLine="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监狱企业和残疾人福利性单位等同于小微企业。</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具体以《财政部 司法部关于政府采购支持监狱企业发展有关问题的通知》（财库〔2014〕68号）的规定为准。</w:t>
            </w:r>
            <w:r/>
          </w:p>
          <w:p>
            <w:pPr>
              <w:ind w:firstLine="63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享受政府采购支持政策的残疾人福利性单位应当同时满足以下条件：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①安置的残疾人占本单位在职职工人数的比例不低于25%（含25%），并且安置的残疾人人数不少于10人（含10人）；</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②依法与安置的每位残疾人签订了一年以上（含一年）的劳动合同或服务协议；</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③为安置的每位残疾人按月足额缴纳了基本养老保险、基本医疗保险、失业保险、工伤保险和生育保险等社会保险费；</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numPr>
                <w:ilvl w:val="0"/>
                <w:numId w:val="0"/>
              </w:numPr>
              <w:spacing w:line="400" w:lineRule="exact"/>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val="en-US" w:eastAsia="zh-CN"/>
              </w:rPr>
              <w:t xml:space="preserve">（二）本国产品</w:t>
            </w:r>
            <w:r>
              <w:rPr>
                <w:rFonts w:hint="eastAsia" w:ascii="宋体" w:hAnsi="宋体" w:eastAsia="宋体" w:cs="宋体"/>
                <w:b/>
                <w:bCs/>
                <w:color w:val="000000"/>
                <w:sz w:val="24"/>
                <w:szCs w:val="24"/>
                <w:lang w:eastAsia="zh-CN"/>
              </w:rPr>
              <w:t xml:space="preserve">报价折扣证明：</w:t>
            </w:r>
            <w:r/>
          </w:p>
          <w:p>
            <w:pPr>
              <w:ind w:firstLine="560"/>
              <w:spacing w:line="40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投标人《关于符合本国产品标准的声明函》（填写完整，加盖</w:t>
            </w:r>
            <w:r>
              <w:rPr>
                <w:rFonts w:hint="eastAsia" w:ascii="宋体" w:hAnsi="宋体" w:eastAsia="宋体" w:cs="宋体"/>
                <w:b/>
                <w:bCs/>
                <w:color w:val="000000"/>
                <w:sz w:val="24"/>
                <w:szCs w:val="24"/>
                <w:lang w:val="en-US" w:eastAsia="zh-CN"/>
              </w:rPr>
              <w:t xml:space="preserve">电子签章</w:t>
            </w:r>
            <w:r>
              <w:rPr>
                <w:rFonts w:hint="eastAsia" w:ascii="宋体" w:hAnsi="宋体" w:eastAsia="宋体" w:cs="宋体"/>
                <w:b/>
                <w:bCs/>
                <w:color w:val="000000"/>
                <w:sz w:val="24"/>
                <w:szCs w:val="24"/>
                <w:lang w:eastAsia="zh-CN"/>
              </w:rPr>
              <w:t xml:space="preserve">，格式见招标文件第七章《投标文件相关格式》）（请填写完整，如不填写完整或未按要求填写的，视为非本国产品）。</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1、本国产品应当符合以下条件：</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（一）在中国境内生产</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产品应当在中国境内生产，即在中华人民共和国关境内实现从原材料、组件到产品的属性改变。</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属性改变是指经过制造、加工或者组装等工序，产生完全不同于原材料、组件的新产品，并具有新的名称和特征（用途）。属性改变不包括以下细微操作：</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1.为确保产品在运输或者储存期间保持某种状态而进行的操作；</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2.为产品运输或者销售进行的包装或者展示；</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3.在产品或者其包装上粘贴或者印刷品牌、标志、标识以及其他用于区别的标记；</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4.简单的上漆、磨光和分装；</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5.其他不属于属性改变的情形。</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（二）在中国境内生产的组件成本占比达到规定比例</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384175</wp:posOffset>
                      </wp:positionH>
                      <wp:positionV relativeFrom="paragraph">
                        <wp:posOffset>641350</wp:posOffset>
                      </wp:positionV>
                      <wp:extent cx="3505200" cy="523875"/>
                      <wp:effectExtent l="0" t="0" r="0" b="0"/>
                      <wp:wrapTopAndBottom/>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3505199"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0.2pt;mso-position-horizontal:absolute;mso-position-vertical-relative:text;margin-top:50.5pt;mso-position-vertical:absolute;width:276.0pt;height:41.2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eastAsia="宋体" w:cs="宋体"/>
                <w:color w:val="000000"/>
                <w:sz w:val="24"/>
                <w:szCs w:val="24"/>
                <w:lang w:eastAsia="zh-CN"/>
              </w:rPr>
              <w:t xml:space="preserve">产品在中国境内生产的组件成本占比应当达到规定比例，计算公式为：</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（三）特定产品的关键组件、关键工序符合相关要求</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2、本国产品标准的适用范围</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3、对本国产品的支持政策</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具体以《国务院办公厅关于在政府采购中实施本国产品标准及相关政策的通知》（国办发〔2025〕34号）规定为准。</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注：中国境内生产的组件成本核算基本规则</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一、产品的一级组件是指直接组成产品的组件。产品的二级组件是指直接组成产品一级组件的组件。一级组件不可分解的，视同二级组件。</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二、二级组件在中国境内生产的，其全部成本计入中国境内生产的组件成本；二级组件不在中国境内生产的，其成本不计入中国境内生产的组件成本。</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三、产品总成本和组件成本以相关会计核算数据、采购合同、进货记录等为基础进行计算。</w:t>
            </w:r>
            <w:r/>
          </w:p>
          <w:p>
            <w:pPr>
              <w:ind w:firstLine="56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备注：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1.投标人应对以上文件的合法性、真实性负责。</w:t>
            </w:r>
            <w:r/>
          </w:p>
          <w:p>
            <w:pPr>
              <w:spacing w:line="400" w:lineRule="exact"/>
              <w:rPr>
                <w:rFonts w:hint="eastAsia" w:ascii="宋体" w:hAnsi="宋体" w:eastAsia="宋体" w:cs="宋体"/>
                <w:bCs/>
                <w:color w:val="000000"/>
                <w:sz w:val="24"/>
                <w:szCs w:val="24"/>
                <w:highlight w:val="yellow"/>
              </w:rPr>
            </w:pPr>
            <w:r>
              <w:rPr>
                <w:rFonts w:hint="eastAsia" w:ascii="宋体" w:hAnsi="宋体" w:eastAsia="宋体" w:cs="宋体"/>
                <w:color w:val="000000"/>
                <w:sz w:val="24"/>
                <w:szCs w:val="24"/>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(十三)2</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商务条件见：</w:t>
            </w:r>
            <w:r/>
          </w:p>
          <w:p>
            <w:pP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一、本文件第四章《评标标准》中《评分细则》。</w:t>
            </w:r>
            <w:r/>
          </w:p>
          <w:p>
            <w:pPr>
              <w:spacing w:line="4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(十三)3</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(十四)3</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highlight w:val="none"/>
              </w:rPr>
              <w:t xml:space="preserve">本项目</w:t>
            </w:r>
            <w:r>
              <w:rPr>
                <w:rFonts w:hint="eastAsia" w:ascii="宋体" w:hAnsi="宋体" w:eastAsia="宋体" w:cs="宋体"/>
                <w:bCs/>
                <w:color w:val="000000"/>
                <w:sz w:val="24"/>
                <w:szCs w:val="24"/>
                <w:highlight w:val="none"/>
                <w:lang w:val="en-US" w:eastAsia="zh-CN"/>
              </w:rPr>
              <w:t xml:space="preserve">预算金额为298万元人民币，</w:t>
            </w:r>
            <w:r>
              <w:rPr>
                <w:rFonts w:hint="eastAsia" w:ascii="宋体" w:hAnsi="宋体" w:eastAsia="宋体" w:cs="宋体"/>
                <w:color w:val="000000"/>
                <w:sz w:val="24"/>
                <w:szCs w:val="24"/>
                <w:highlight w:val="none"/>
              </w:rPr>
              <w:t xml:space="preserve">投标人报价应包括但不限于货物制造、运输、保险、设备保管、税费、材料费、装卸费、安装调试费、人员培训、售后服务等费用。采购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不再支付其他任何额外费用。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（十七）</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线上要求：</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投标人应当通过“苏采云”系统提交数据电文形式的投标文件（即电子投标）。</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特别说明：通过“苏采云”系统提交政府采购客户端工具导出加密的投标文件（后缀名为zip）。投标文件不得超过150M！</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说明：本项目采用线上投标，即供应商投标文件从政府采购客户端工具制作通过“苏采云”系统提交，未提供线上投标文件的，投标无效。</w:t>
            </w:r>
            <w:r/>
          </w:p>
          <w:p>
            <w:pP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视频上传要求：投标人需按照招标文件规定的内容上传演示视频文件，视频文件的格式为*.mp4或*.avi，投标人须将视频文件分段压缩为*.zip文件上传（单个文件不得大于50M，所有文件总共不得大于300M）。</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(十八)4</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(十九)</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投标文投标文件的提交： </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1.投标文件提交时间：2026年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日北京时间9:30前。</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2.投标截止时间：2026年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日北京时间9:30。</w:t>
            </w:r>
            <w:r/>
          </w:p>
          <w:p>
            <w:pPr>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电子投标文件应由其法定代表人或法定代表人授权代表在规定的网上投标时间内，凭 CA 证书</w:t>
            </w:r>
            <w:r>
              <w:rPr>
                <w:rFonts w:hint="eastAsia" w:ascii="宋体" w:hAnsi="宋体" w:eastAsia="宋体" w:cs="宋体"/>
                <w:color w:val="000000"/>
                <w:sz w:val="24"/>
                <w:szCs w:val="24"/>
                <w:lang w:eastAsia="zh-CN"/>
              </w:rPr>
              <w:t xml:space="preserve">登录</w:t>
            </w:r>
            <w:r>
              <w:rPr>
                <w:rFonts w:hint="eastAsia" w:ascii="宋体" w:hAnsi="宋体" w:eastAsia="宋体" w:cs="宋体"/>
                <w:color w:val="000000"/>
                <w:sz w:val="24"/>
                <w:szCs w:val="24"/>
              </w:rPr>
              <w:t xml:space="preserve">“苏采云”系统在线编制投标文件（电子数据），并在投标截止时间之前上传投标文件。</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(二十五)1</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开标时间及地点：</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1.开标时间：</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日9：30（北京时间）</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2.开标地点：“苏采云”系统（网址： http://jszfcg.jsczt.cn/）“开标大厅”或进入徐州政府采购网（网址：</w:t>
            </w:r>
            <w:r>
              <w:rPr>
                <w:rFonts w:hint="eastAsia" w:ascii="宋体" w:hAnsi="宋体" w:eastAsia="宋体" w:cs="宋体"/>
                <w:color w:val="000000"/>
                <w:sz w:val="24"/>
                <w:szCs w:val="24"/>
                <w:lang w:eastAsia="zh-CN"/>
              </w:rPr>
              <w:t xml:space="preserve">https://czj.xz.gov.cn/zfcg/index.html?kw=cggg</w:t>
            </w:r>
            <w:r>
              <w:rPr>
                <w:rFonts w:hint="eastAsia" w:ascii="宋体" w:hAnsi="宋体" w:eastAsia="宋体" w:cs="宋体"/>
                <w:color w:val="000000"/>
                <w:sz w:val="24"/>
                <w:szCs w:val="24"/>
              </w:rPr>
              <w:t xml:space="preserve">）--业务工作--用户登录，点击“苏采云”进入系统“开标大厅”。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(二十五)3</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(二十七)</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(二十八)1</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(二十八)1（4）</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ind w:left="56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highlight w:val="none"/>
              </w:rPr>
              <w:t xml:space="preserve">、采用综合评分法的，按评审后得分由高到低顺序排列。得分相同的，按投标报价由低到高顺序排列。得分且投标报价相同的，按技术参数</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（二十九）</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eastAsia="宋体" w:cs="宋体"/>
                <w:color w:val="000000"/>
                <w:sz w:val="24"/>
                <w:szCs w:val="24"/>
                <w:lang w:eastAsia="zh-CN"/>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(三十七)1</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采购人与中标、投标人应当在中标、成交通知书发出之日起30日内，按照采购文件确定的事项签订政府采购合同。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（三十八）</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(四十一)</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供应商在法定质疑期内一次性提出针对同一采购程序环节的质疑。</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val="en-US" w:eastAsia="zh-CN"/>
              </w:rPr>
              <w:t xml:space="preserve">马天婕</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val="en-US" w:eastAsia="zh-CN"/>
              </w:rPr>
              <w:t xml:space="preserve">15996969874</w:t>
            </w:r>
            <w:r>
              <w:rPr>
                <w:rFonts w:hint="eastAsia" w:ascii="宋体" w:hAnsi="宋体" w:eastAsia="宋体" w:cs="宋体"/>
                <w:color w:val="000000"/>
                <w:sz w:val="24"/>
                <w:szCs w:val="24"/>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办公地址：徐州市云龙区绿地商务城（B7-2地块）商务办公楼B号楼</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附加说明</w:t>
            </w:r>
            <w:r/>
          </w:p>
        </w:tc>
        <w:tc>
          <w:tcPr>
            <w:tcBorders>
              <w:top w:val="single" w:color="000000" w:sz="4" w:space="0"/>
              <w:left w:val="single" w:color="000000" w:sz="4" w:space="0"/>
              <w:bottom w:val="single" w:color="000000" w:sz="4" w:space="0"/>
              <w:right w:val="single" w:color="000000" w:sz="4" w:space="0"/>
            </w:tcBorders>
            <w:tcW w:w="7796" w:type="dxa"/>
            <w:vAlign w:val="top"/>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投标人在收到中标通知书时，须向采购代理机构提交《开标一览表》和《分项价格表》的数据文件（WORD格式）。</w:t>
            </w:r>
            <w:r/>
          </w:p>
        </w:tc>
      </w:tr>
    </w:tbl>
    <w:p>
      <w:pPr>
        <w:ind w:firstLine="600"/>
        <w:spacing w:line="240" w:lineRule="exact"/>
        <w:widowControl/>
        <w:rPr>
          <w:rFonts w:hint="eastAsia" w:ascii="宋体" w:hAnsi="宋体" w:eastAsia="宋体" w:cs="宋体"/>
          <w:color w:val="000000"/>
          <w:sz w:val="24"/>
          <w:szCs w:val="24"/>
        </w:rPr>
      </w:pPr>
      <w:r/>
      <w:bookmarkStart w:id="13" w:name="_Toc522790133"/>
      <w:r/>
      <w:r/>
    </w:p>
    <w:p>
      <w:pPr>
        <w:ind w:firstLine="60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1"/>
        </w:numPr>
        <w:ind w:firstLine="420"/>
        <w:jc w:val="center"/>
        <w:spacing w:line="52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br w:type="page" w:clear="all"/>
      </w:r>
      <w:bookmarkStart w:id="14" w:name="_Toc523404698"/>
      <w:r>
        <w:rPr>
          <w:rFonts w:hint="eastAsia" w:ascii="宋体" w:hAnsi="宋体" w:eastAsia="宋体" w:cs="宋体"/>
          <w:b/>
          <w:bCs/>
          <w:color w:val="000000"/>
          <w:sz w:val="24"/>
          <w:szCs w:val="24"/>
        </w:rPr>
        <w:t xml:space="preserve"> 评标标准</w:t>
      </w:r>
      <w:bookmarkEnd w:id="13"/>
      <w:r/>
      <w:bookmarkEnd w:id="14"/>
      <w:r/>
      <w:r/>
    </w:p>
    <w:tbl>
      <w:tblPr>
        <w:tblStyle w:val="779"/>
        <w:tblW w:w="88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1246"/>
        <w:gridCol w:w="6188"/>
      </w:tblGrid>
      <w:tr>
        <w:trPr>
          <w:trHeight w:val="540"/>
        </w:trPr>
        <w:tc>
          <w:tcPr>
            <w:gridSpan w:val="2"/>
            <w:tcW w:w="2678" w:type="dxa"/>
            <w:vAlign w:val="center"/>
            <w:textDirection w:val="lrTb"/>
            <w:noWrap w:val="false"/>
          </w:tcPr>
          <w:p>
            <w:pPr>
              <w:ind w:left="0" w:firstLine="0"/>
              <w:jc w:val="center"/>
              <w:spacing w:after="0" w:line="240" w:lineRule="auto"/>
              <w:rPr>
                <w:rFonts w:hint="eastAsia" w:ascii="宋体" w:hAnsi="宋体" w:eastAsia="宋体" w:cs="宋体"/>
                <w:b/>
                <w:bCs/>
                <w:sz w:val="21"/>
                <w:szCs w:val="21"/>
                <w:vertAlign w:val="baseline"/>
                <w:lang w:val="en-US" w:eastAsia="zh-CN"/>
              </w:rPr>
            </w:pPr>
            <w:r>
              <w:rPr>
                <w:rFonts w:hint="eastAsia" w:asciiTheme="minorEastAsia" w:hAnsiTheme="minorEastAsia" w:eastAsiaTheme="minorEastAsia" w:cstheme="minorEastAsia"/>
                <w:b/>
                <w:bCs/>
                <w:sz w:val="21"/>
                <w:szCs w:val="21"/>
              </w:rPr>
              <w:t xml:space="preserve">评审因素</w:t>
            </w:r>
            <w:r/>
          </w:p>
        </w:tc>
        <w:tc>
          <w:tcPr>
            <w:tcW w:w="6188" w:type="dxa"/>
            <w:vAlign w:val="center"/>
            <w:textDirection w:val="lrTb"/>
            <w:noWrap w:val="false"/>
          </w:tcPr>
          <w:p>
            <w:pPr>
              <w:ind w:left="0" w:firstLine="0"/>
              <w:jc w:val="center"/>
              <w:spacing w:after="0"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评审因素细化和量化</w:t>
            </w:r>
            <w:r/>
          </w:p>
        </w:tc>
      </w:tr>
      <w:tr>
        <w:trPr/>
        <w:tc>
          <w:tcPr>
            <w:tcW w:w="1432" w:type="dxa"/>
            <w:vAlign w:val="center"/>
            <w:textDirection w:val="lrTb"/>
            <w:noWrap w:val="false"/>
          </w:tcPr>
          <w:p>
            <w:pPr>
              <w:numPr>
                <w:ilvl w:val="0"/>
                <w:numId w:val="0"/>
              </w:numPr>
              <w:jc w:val="both"/>
              <w:spacing w:after="0" w:line="36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价格部分（30分）</w:t>
            </w:r>
            <w:r/>
          </w:p>
        </w:tc>
        <w:tc>
          <w:tcPr>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价格（30分）</w:t>
            </w:r>
            <w:r/>
          </w:p>
        </w:tc>
        <w:tc>
          <w:tcPr>
            <w:tcW w:w="6188" w:type="dxa"/>
            <w:vAlign w:val="center"/>
            <w:textDirection w:val="lrTb"/>
            <w:noWrap w:val="false"/>
          </w:tcPr>
          <w:p>
            <w:pPr>
              <w:pStyle w:val="1006"/>
              <w:ind w:left="0" w:firstLine="0"/>
              <w:jc w:val="left"/>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价格分计算，即满足招标文件要求且投标价格最低的投标报价为评标基准价，其价格分为满分30分。其他投标人的价格分按照下列公式计算：投标报价得分=（评标基准价／投标报价）×30</w:t>
            </w:r>
            <w:r/>
          </w:p>
          <w:p>
            <w:pPr>
              <w:pStyle w:val="1006"/>
              <w:ind w:left="0" w:firstLine="0"/>
              <w:jc w:val="left"/>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（分值计算结果保留两位小数）</w:t>
            </w:r>
            <w:r/>
          </w:p>
          <w:p>
            <w:pPr>
              <w:pStyle w:val="1006"/>
              <w:numPr>
                <w:ilvl w:val="0"/>
                <w:numId w:val="0"/>
              </w:numPr>
              <w:jc w:val="left"/>
              <w:spacing w:after="0" w:line="360" w:lineRule="auto"/>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注：</w:t>
            </w:r>
            <w:r/>
          </w:p>
          <w:p>
            <w:pPr>
              <w:pStyle w:val="1006"/>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w:t>
            </w:r>
            <w:r/>
          </w:p>
          <w:p>
            <w:pPr>
              <w:pStyle w:val="1006"/>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该投标人的评审价格=《开标一览表》中的“总价”*（100%-10%）</w:t>
            </w:r>
            <w:r/>
          </w:p>
          <w:p>
            <w:pPr>
              <w:pStyle w:val="1006"/>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2、政府采购活动中既有本国产品又有非本国产品参与竞争的，依法对本国产品给予价格评审优惠，对本国产品的报价给予20%的价格扣除，用扣除后的价格参与评审。</w:t>
            </w:r>
            <w:r/>
          </w:p>
          <w:p>
            <w:pPr>
              <w:pStyle w:val="1006"/>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06"/>
              <w:numPr>
                <w:ilvl w:val="0"/>
                <w:numId w:val="0"/>
              </w:numPr>
              <w:jc w:val="left"/>
              <w:spacing w:after="0" w:line="36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该投标人的评审价格=《开标一览表》中的“总价”*（100%-20%）</w:t>
            </w:r>
            <w:r/>
          </w:p>
          <w:p>
            <w:pPr>
              <w:ind w:left="0" w:firstLine="0"/>
              <w:jc w:val="left"/>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b w:val="0"/>
                <w:bCs/>
                <w:color w:val="000000"/>
                <w:sz w:val="21"/>
                <w:szCs w:val="21"/>
              </w:rPr>
              <w:t xml:space="preserve">3、上述1、2项评审优惠可同时享受，分别在供应商报价基础上予以扣除，用扣除后的价格参与评审，即该投标人的评审价格=《开标一览表》中的“总价”*（100%-30%）。享受价格评审优惠不改变最终中标价格，政府采购合同仍按照中标供应商的报价签订。</w:t>
            </w:r>
            <w:r/>
          </w:p>
        </w:tc>
      </w:tr>
      <w:tr>
        <w:trPr/>
        <w:tc>
          <w:tcPr>
            <w:tcW w:w="1432" w:type="dxa"/>
            <w:vAlign w:val="center"/>
            <w:vMerge w:val="restart"/>
            <w:textDirection w:val="lrTb"/>
            <w:noWrap w:val="false"/>
          </w:tcPr>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numPr>
                <w:ilvl w:val="0"/>
                <w:numId w:val="0"/>
              </w:numPr>
              <w:jc w:val="both"/>
              <w:spacing w:after="0" w:line="360" w:lineRule="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技术部分（61分）</w:t>
            </w:r>
            <w:r/>
          </w:p>
        </w:tc>
        <w:tc>
          <w:tcPr>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技术参数响应</w:t>
            </w:r>
            <w:r/>
          </w:p>
          <w:p>
            <w:pPr>
              <w:ind w:left="0" w:firstLine="0"/>
              <w:jc w:val="center"/>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（25分）</w:t>
            </w:r>
            <w:r/>
          </w:p>
        </w:tc>
        <w:tc>
          <w:tcPr>
            <w:tcW w:w="6188" w:type="dxa"/>
            <w:vAlign w:val="center"/>
            <w:textDirection w:val="lrTb"/>
            <w:noWrap w:val="false"/>
          </w:tcPr>
          <w:p>
            <w:pPr>
              <w:numPr>
                <w:ilvl w:val="0"/>
                <w:numId w:val="0"/>
              </w:numPr>
              <w:ind w:left="0" w:firstLine="0"/>
              <w:jc w:val="both"/>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依据本项目招标文件技术参数要求，对投标文件技术响应情况进行逐项评审，完全响应所有技术参数要求的得满分25分。</w:t>
            </w:r>
            <w:r/>
          </w:p>
          <w:p>
            <w:pPr>
              <w:numPr>
                <w:ilvl w:val="0"/>
                <w:numId w:val="0"/>
              </w:numPr>
              <w:ind w:left="0" w:firstLine="0"/>
              <w:jc w:val="both"/>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1、招标文件标</w:t>
            </w:r>
            <w:r>
              <w:rPr>
                <w:rFonts w:hint="eastAsia" w:ascii="宋体" w:hAnsi="宋体" w:eastAsia="宋体" w:cs="宋体"/>
                <w:color w:val="000000"/>
                <w:sz w:val="21"/>
                <w:szCs w:val="21"/>
              </w:rPr>
              <w:t xml:space="preserve">注</w:t>
            </w:r>
            <w:r>
              <w:rPr>
                <w:rFonts w:hint="eastAsia" w:ascii="宋体" w:hAnsi="宋体" w:eastAsia="宋体" w:cs="宋体"/>
                <w:sz w:val="21"/>
                <w:szCs w:val="21"/>
                <w:highlight w:val="none"/>
                <w:vertAlign w:val="baseline"/>
                <w:lang w:val="en-US" w:eastAsia="zh-CN"/>
              </w:rPr>
              <w:t xml:space="preserve">▲的技术参数，投标人出现负偏离、未响应或佐证材料缺失、不符的，每存在一项负偏离扣1分；</w:t>
            </w:r>
            <w:r/>
          </w:p>
          <w:p>
            <w:pPr>
              <w:numPr>
                <w:ilvl w:val="0"/>
                <w:numId w:val="0"/>
              </w:numPr>
              <w:ind w:left="0" w:firstLine="0"/>
              <w:jc w:val="both"/>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2、招标文件普通技术参数，投标人出现负偏离、未响应的，每项扣0.5分；</w:t>
            </w:r>
            <w:r/>
          </w:p>
          <w:p>
            <w:pPr>
              <w:numPr>
                <w:ilvl w:val="0"/>
                <w:numId w:val="0"/>
              </w:numPr>
              <w:ind w:left="0" w:firstLine="0"/>
              <w:jc w:val="both"/>
              <w:spacing w:after="0"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3、投标人须完整填写《偏离表》，所有带▲标识参数须按要求提供完整佐证材料，无佐证、佐证无效或与参数要求不符的，一律视为负偏离；</w:t>
            </w:r>
            <w:r/>
          </w:p>
          <w:p>
            <w:pPr>
              <w:numPr>
                <w:ilvl w:val="0"/>
                <w:numId w:val="0"/>
              </w:numPr>
              <w:ind w:left="0" w:firstLine="0"/>
              <w:jc w:val="both"/>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highlight w:val="none"/>
                <w:vertAlign w:val="baseline"/>
                <w:lang w:val="en-US" w:eastAsia="zh-CN"/>
              </w:rPr>
              <w:t xml:space="preserve">4、本项分值扣完即止，不累计超额扣分。</w:t>
            </w:r>
            <w:r/>
          </w:p>
        </w:tc>
      </w:tr>
      <w:tr>
        <w:trPr/>
        <w:tc>
          <w:tcPr>
            <w:tcW w:w="1432" w:type="dxa"/>
            <w:vAlign w:val="center"/>
            <w:vMerge w:val="continue"/>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产品功能演示（18分）</w:t>
            </w:r>
            <w:r/>
          </w:p>
        </w:tc>
        <w:tc>
          <w:tcPr>
            <w:tcW w:w="6188" w:type="dxa"/>
            <w:vAlign w:val="center"/>
            <w:textDirection w:val="lrTb"/>
            <w:noWrap w:val="false"/>
          </w:tcPr>
          <w:p>
            <w:pPr>
              <w:ind w:left="0" w:firstLine="0"/>
              <w:jc w:val="both"/>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投标人须提供对应参数的真实设备、平台实操运行演示视频，严禁使用PPT、动画、虚拟仿真、静态图片等非实操形式演示，视频总时长不得超过15分钟。需演示内容共6项，每完整、合规提供1项有效演示视频得3分，本项满分18分。需演示的参数内容如下：</w:t>
            </w:r>
            <w:r/>
          </w:p>
          <w:p>
            <w:pPr>
              <w:ind w:left="0" w:firstLine="0"/>
              <w:jc w:val="both"/>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1、需支持屏幕回显，支持将屏幕回显至平板屏幕进行显示。</w:t>
            </w:r>
            <w:r/>
          </w:p>
          <w:p>
            <w:pPr>
              <w:ind w:left="0" w:firstLine="0"/>
              <w:jc w:val="both"/>
              <w:spacing w:after="0" w:line="360" w:lineRule="auto"/>
              <w:tabs>
                <w:tab w:val="left" w:pos="1075" w:leader="none"/>
              </w:tabs>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b w:val="0"/>
                <w:bCs w:val="0"/>
                <w:sz w:val="21"/>
                <w:szCs w:val="21"/>
                <w:vertAlign w:val="baseline"/>
                <w:lang w:val="en-US" w:eastAsia="zh-CN"/>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需支持响应语音合成AI能力调用，支持响应选择不同发音人和自主编辑合成的内容，让机器人用对应发音人声音说出对应内容。</w:t>
            </w:r>
            <w:r/>
          </w:p>
          <w:p>
            <w:pPr>
              <w:ind w:left="0" w:firstLine="0"/>
              <w:jc w:val="both"/>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3、需支持响应语音评测AI能力调用：支持响应设定中英文词语或句子，在机器人上实现中英文发音评测，并反馈评测得分</w:t>
            </w:r>
            <w:r>
              <w:rPr>
                <w:rFonts w:hint="eastAsia" w:ascii="宋体" w:hAnsi="宋体" w:eastAsia="宋体" w:cs="宋体"/>
                <w:b w:val="0"/>
                <w:bCs w:val="0"/>
                <w:sz w:val="21"/>
                <w:szCs w:val="21"/>
                <w:vertAlign w:val="baseline"/>
                <w:lang w:val="en-US" w:eastAsia="zh-CN"/>
              </w:rPr>
              <w:t xml:space="preserve">。</w:t>
            </w:r>
            <w:r/>
          </w:p>
          <w:p>
            <w:pPr>
              <w:ind w:left="0" w:firstLine="0"/>
              <w:jc w:val="both"/>
              <w:spacing w:after="0" w:line="360" w:lineRule="auto"/>
              <w:tabs>
                <w:tab w:val="left" w:pos="1075" w:leader="none"/>
              </w:tabs>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4、需支持响应语音转写AI能力调用：让机器人能够将语音转化为文字，并显示在屏幕上。</w:t>
            </w:r>
            <w:r/>
          </w:p>
          <w:p>
            <w:pPr>
              <w:ind w:left="0" w:firstLine="0"/>
              <w:jc w:val="both"/>
              <w:spacing w:after="0" w:line="360" w:lineRule="auto"/>
              <w:tabs>
                <w:tab w:val="left" w:pos="1075" w:leader="none"/>
              </w:tabs>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5、需支持响应人机对话AI能力调用：支持响应选择需要的人机对话技能，让机器人与用户能针对不同场景下对话，例如针对教育、生活等不同场景。</w:t>
            </w:r>
            <w:r/>
          </w:p>
          <w:p>
            <w:pPr>
              <w:ind w:left="0" w:firstLine="0"/>
              <w:jc w:val="left"/>
              <w:spacing w:after="0" w:line="360" w:lineRule="auto"/>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6、需支持响应AI文本模型分类训练：支持响应自主建立文本分类模型，输入文本数据，训练分类模型，让机器人对输入的文本进行模式识别，识别结果可在屏幕进行显示。</w:t>
            </w:r>
            <w:r/>
          </w:p>
          <w:p>
            <w:pPr>
              <w:ind w:left="0" w:firstLine="0"/>
              <w:jc w:val="left"/>
              <w:spacing w:after="0" w:line="360" w:lineRule="auto"/>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注：演示视频文件，按照规范要求上传到苏采云平台中。</w:t>
            </w:r>
            <w:r/>
          </w:p>
        </w:tc>
      </w:tr>
      <w:tr>
        <w:trPr/>
        <w:tc>
          <w:tcPr>
            <w:tcW w:w="1432" w:type="dxa"/>
            <w:vAlign w:val="center"/>
            <w:vMerge w:val="continue"/>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shd w:val="clear" w:color="auto" w:fill="auto"/>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实施方案</w:t>
            </w:r>
            <w:r/>
          </w:p>
          <w:p>
            <w:pPr>
              <w:ind w:left="0" w:firstLine="0"/>
              <w:jc w:val="center"/>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（6分）</w:t>
            </w:r>
            <w:r/>
          </w:p>
        </w:tc>
        <w:tc>
          <w:tcPr>
            <w:shd w:val="clear" w:color="auto" w:fill="auto"/>
            <w:tcW w:w="6188" w:type="dxa"/>
            <w:vAlign w:val="center"/>
            <w:textDirection w:val="lrTb"/>
            <w:noWrap w:val="false"/>
          </w:tcPr>
          <w:p>
            <w:p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评委根据投标人提供的项目实施方案（包括但不限于：实施计划、项目人员配置、质量管控措施、工期保障机制、风险防控及突发事件处置方案等内容）进行综合评分：</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w:t>
            </w:r>
            <w:r>
              <w:rPr>
                <w:rFonts w:hint="eastAsia" w:ascii="宋体" w:hAnsi="宋体" w:eastAsia="宋体" w:cs="宋体"/>
                <w:b w:val="0"/>
                <w:bCs w:val="0"/>
                <w:sz w:val="21"/>
                <w:szCs w:val="21"/>
                <w:vertAlign w:val="baseline"/>
                <w:lang w:val="en-US" w:eastAsia="zh-CN"/>
              </w:rPr>
              <w:t xml:space="preserve">优秀（6分）：实施方案结构完整、逻辑严谨、内容详实细化，包含完善的实施计划、人员配置、质量管控、工期保障、风险防控及应急处置机制，完全贴合本项目中小学人工智能实验室建设场景，落地性、针对性极强；</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2、良好（4分）：实施方案框架完整，核心实施内容齐全，具备基础的保障措施，基本贴合项目实施需求，无明显缺项、漏项；</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3、一般（2分）：实施方案内容简略、针对性薄弱，保障措施不完善，仅满足基础实施要求，需大幅优化方可落地；</w:t>
            </w:r>
            <w:r/>
          </w:p>
          <w:p>
            <w:pPr>
              <w:ind w:left="0" w:firstLine="0"/>
              <w:jc w:val="left"/>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4、不合格（1分）：未提供有效实施方案或方案内容空洞、脱离项目实际、无落地价值。未提供不得分。</w:t>
            </w:r>
            <w:r/>
          </w:p>
        </w:tc>
      </w:tr>
      <w:tr>
        <w:trPr/>
        <w:tc>
          <w:tcPr>
            <w:tcW w:w="1432" w:type="dxa"/>
            <w:vAlign w:val="center"/>
            <w:vMerge w:val="continue"/>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shd w:val="clear" w:color="auto" w:fill="auto"/>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售后服务保障方案</w:t>
            </w:r>
            <w:r/>
          </w:p>
          <w:p>
            <w:pPr>
              <w:ind w:left="0" w:firstLine="0"/>
              <w:jc w:val="center"/>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（6分）</w:t>
            </w:r>
            <w:r/>
          </w:p>
        </w:tc>
        <w:tc>
          <w:tcPr>
            <w:shd w:val="clear" w:color="auto" w:fill="auto"/>
            <w:tcW w:w="6188" w:type="dxa"/>
            <w:vAlign w:val="center"/>
            <w:textDirection w:val="lrTb"/>
            <w:noWrap w:val="false"/>
          </w:tcPr>
          <w:p>
            <w:p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评委根据投标人提供的专项售后服务保障方案（包括但不限于：结合服务响应时效、现场抵达时限、技术服务体系、本项目专属服务举措等内容）进行综合评分：</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w:t>
            </w:r>
            <w:r>
              <w:rPr>
                <w:rFonts w:hint="eastAsia" w:ascii="宋体" w:hAnsi="宋体" w:eastAsia="宋体" w:cs="宋体"/>
                <w:b w:val="0"/>
                <w:bCs w:val="0"/>
                <w:sz w:val="21"/>
                <w:szCs w:val="21"/>
                <w:vertAlign w:val="baseline"/>
                <w:lang w:val="en-US" w:eastAsia="zh-CN"/>
              </w:rPr>
              <w:t xml:space="preserve">优秀（6分）：售后服务体系健全、响应机制高效规范，明确服务响应时效、现场抵达时限、专属运维团队配置，针对本项目定制专属运维保障举措，售后保障全面、落地性极强，优于项目基本要求；</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2、良好（4分）：售后服务体系完整，响应流程清晰，具备常规运维保障措施，可满足项目基本售后运维需求，针对性尚可；</w:t>
            </w:r>
            <w:r/>
          </w:p>
          <w:p>
            <w:pPr>
              <w:numPr>
                <w:ilvl w:val="0"/>
                <w:numId w:val="0"/>
              </w:numPr>
              <w:ind w:left="0" w:firstLine="0"/>
              <w:jc w:val="left"/>
              <w:spacing w:after="0" w:line="360" w:lineRule="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3、一般（2分）：售后服务方案内容简略，服务机制、保障措施不完善，仅满足最低服务标准，针对性、专业性一般；</w:t>
            </w:r>
            <w:r/>
          </w:p>
          <w:p>
            <w:pPr>
              <w:ind w:left="0" w:firstLine="0"/>
              <w:jc w:val="left"/>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4、不合格（1分）：未提供有效售后服务方案或方案无效、无实际保障意义。未提供不得分。</w:t>
            </w:r>
            <w:r/>
          </w:p>
        </w:tc>
      </w:tr>
      <w:tr>
        <w:trPr/>
        <w:tc>
          <w:tcPr>
            <w:tcW w:w="1432" w:type="dxa"/>
            <w:vAlign w:val="center"/>
            <w:vMerge w:val="continue"/>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shd w:val="clear" w:color="auto" w:fill="auto"/>
            <w:tcW w:w="1246" w:type="dxa"/>
            <w:vAlign w:val="center"/>
            <w:textDirection w:val="lrTb"/>
            <w:noWrap w:val="false"/>
          </w:tcPr>
          <w:p>
            <w:pPr>
              <w:ind w:left="0" w:firstLine="0"/>
              <w:jc w:val="center"/>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培训方案（6分）</w:t>
            </w:r>
            <w:r/>
          </w:p>
        </w:tc>
        <w:tc>
          <w:tcPr>
            <w:shd w:val="clear" w:color="auto" w:fill="auto"/>
            <w:tcW w:w="6188" w:type="dxa"/>
            <w:vAlign w:val="center"/>
            <w:textDirection w:val="lrTb"/>
            <w:noWrap w:val="false"/>
          </w:tcPr>
          <w:p>
            <w:pPr>
              <w:ind w:left="0" w:firstLine="0"/>
              <w:jc w:val="both"/>
              <w:spacing w:after="0" w:line="360" w:lineRule="auto"/>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评委根据投标人提供的培训服务方案（包括但不限于：培训内容、培训周期、培训场地、培训目标、培训师资、培训形式、参训保障等维度）进行综合评分：</w:t>
            </w:r>
            <w:r/>
          </w:p>
          <w:p>
            <w:pPr>
              <w:numPr>
                <w:ilvl w:val="0"/>
                <w:numId w:val="0"/>
              </w:numPr>
              <w:ind w:left="0" w:firstLine="0"/>
              <w:jc w:val="both"/>
              <w:spacing w:after="0" w:line="360" w:lineRule="auto"/>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1、优秀（6分）：培训方案全面详实，明确培训内容、周期、场地、师资、形式、参训保障及考核目标，师资专业、形式灵活多样，贴合中小学师生教学实操需求，可操作性极强，优于项目要求；</w:t>
            </w:r>
            <w:r/>
          </w:p>
          <w:p>
            <w:pPr>
              <w:numPr>
                <w:ilvl w:val="0"/>
                <w:numId w:val="0"/>
              </w:numPr>
              <w:ind w:left="0" w:firstLine="0"/>
              <w:jc w:val="both"/>
              <w:spacing w:after="0" w:line="360" w:lineRule="auto"/>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2、良好（4分）：培训方案框架完整、流程规范，核心培训内容齐全，保障措施可行，可较好满足项目常态化教学培训需求；</w:t>
            </w:r>
            <w:r/>
          </w:p>
          <w:p>
            <w:pPr>
              <w:numPr>
                <w:ilvl w:val="0"/>
                <w:numId w:val="0"/>
              </w:numPr>
              <w:ind w:left="0" w:firstLine="0"/>
              <w:jc w:val="both"/>
              <w:spacing w:after="0" w:line="360" w:lineRule="auto"/>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3、一般（2分）：培训方案仅有基础框架，内容单薄简略，培训细则不完善，需优化后方可满足项目培训需求；</w:t>
            </w:r>
            <w:r/>
          </w:p>
          <w:p>
            <w:pPr>
              <w:ind w:left="0" w:firstLine="0"/>
              <w:jc w:val="both"/>
              <w:spacing w:after="0"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4、不合格（1分）：未提供有效培训方案或方案空洞、无实操价值。</w:t>
            </w:r>
            <w:r>
              <w:rPr>
                <w:rFonts w:hint="eastAsia" w:ascii="宋体" w:hAnsi="宋体" w:eastAsia="宋体" w:cs="宋体"/>
                <w:b w:val="0"/>
                <w:bCs w:val="0"/>
                <w:sz w:val="21"/>
                <w:szCs w:val="21"/>
                <w:vertAlign w:val="baseline"/>
                <w:lang w:val="en-US" w:eastAsia="zh-CN"/>
              </w:rPr>
              <w:t xml:space="preserve">未提供不得分。</w:t>
            </w:r>
            <w:r/>
          </w:p>
        </w:tc>
      </w:tr>
      <w:tr>
        <w:trPr/>
        <w:tc>
          <w:tcPr>
            <w:tcW w:w="1432" w:type="dxa"/>
            <w:vAlign w:val="center"/>
            <w:textDirection w:val="lrTb"/>
            <w:noWrap w:val="false"/>
          </w:tcPr>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numPr>
                <w:ilvl w:val="0"/>
                <w:numId w:val="0"/>
              </w:numPr>
              <w:jc w:val="center"/>
              <w:spacing w:after="0"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商务部分（9分）</w:t>
            </w:r>
            <w:r/>
          </w:p>
        </w:tc>
        <w:tc>
          <w:tcPr>
            <w:tcW w:w="1246" w:type="dxa"/>
            <w:vAlign w:val="center"/>
            <w:textDirection w:val="lrTb"/>
            <w:noWrap w:val="false"/>
          </w:tcPr>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企业信息安全与产品开发能力</w:t>
            </w:r>
            <w:r/>
          </w:p>
          <w:p>
            <w:pPr>
              <w:ind w:left="0" w:firstLine="0"/>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（9分）</w:t>
            </w:r>
            <w:r/>
          </w:p>
        </w:tc>
        <w:tc>
          <w:tcPr>
            <w:tcW w:w="6188" w:type="dxa"/>
            <w:vAlign w:val="center"/>
            <w:textDirection w:val="lrTb"/>
            <w:noWrap w:val="false"/>
          </w:tcPr>
          <w:p>
            <w:pPr>
              <w:ind w:left="0" w:firstLine="0"/>
              <w:jc w:val="left"/>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1、投标人或所投产品厂商具有有效的ISO9001质量管理体系认证证书、ISO20000信息技术服务管理体系认证证书、ISO27001信息安全管理体系认证证书、每提供1个得1分，本项最高得3分。</w:t>
            </w:r>
            <w:r/>
          </w:p>
          <w:p>
            <w:pPr>
              <w:ind w:left="0" w:firstLine="0"/>
              <w:jc w:val="left"/>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为确保应用于本项目的软件来源合规，无侵权风险，需提供人工智能实验室中软件系统（包含或者类似：教学系统、教学机器人软件、教师授课软件、学生学习软件等）的软件著作权证书和检测机构出具的具备CMA或CNAS标识的软件产品登记测试证书（或测试报告）。每提供1个得1分，满分4分。</w:t>
            </w:r>
            <w:r/>
          </w:p>
          <w:p>
            <w:pPr>
              <w:ind w:left="0" w:firstLine="0"/>
              <w:jc w:val="left"/>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为确保项目系统资源内容安全、健康，投标人或所投产品厂商需具有对互联网文本及音视频的不良信息进行安全监控的技术，提供国家认可的具备CMA或CNAS资质的第三方评测机构出具的检测报告。本项最高得2分，不满足不得分。</w:t>
            </w:r>
            <w:r/>
          </w:p>
        </w:tc>
      </w:tr>
    </w:tbl>
    <w:p>
      <w:pPr>
        <w:spacing w:line="400" w:lineRule="exact"/>
        <w:rPr>
          <w:rFonts w:hint="eastAsia" w:ascii="宋体" w:hAnsi="宋体" w:eastAsia="宋体" w:cs="宋体"/>
          <w:b/>
          <w:bCs/>
          <w:color w:val="000000"/>
          <w:sz w:val="24"/>
          <w:szCs w:val="24"/>
        </w:rPr>
      </w:pPr>
      <w:r/>
      <w:bookmarkStart w:id="15" w:name="_Toc522790134"/>
      <w:r/>
      <w:bookmarkStart w:id="16" w:name="_Toc523404699"/>
      <w:r/>
      <w:r/>
    </w:p>
    <w:p>
      <w:pPr>
        <w:ind w:firstLine="562"/>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本章说明：本项目采用综合评分法。</w:t>
      </w:r>
      <w:r/>
    </w:p>
    <w:p>
      <w:pPr>
        <w:pStyle w:val="9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20"/>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第五章  拟签订的合同文本</w:t>
      </w:r>
      <w:bookmarkEnd w:id="15"/>
      <w:r/>
      <w:bookmarkEnd w:id="16"/>
      <w:r/>
      <w:r/>
    </w:p>
    <w:p>
      <w:pPr>
        <w:pStyle w:val="945"/>
        <w:jc w:val="center"/>
        <w:rPr>
          <w:rFonts w:hint="eastAsia" w:ascii="宋体" w:hAnsi="宋体" w:eastAsia="宋体" w:cs="宋体"/>
          <w:b/>
          <w:bCs/>
          <w:color w:val="000000"/>
          <w:sz w:val="52"/>
          <w:szCs w:val="52"/>
        </w:rPr>
      </w:pPr>
      <w:r/>
      <w:bookmarkStart w:id="17" w:name="_Toc522790135"/>
      <w:r/>
      <w:bookmarkStart w:id="18" w:name="_Toc523404700"/>
      <w:r/>
      <w:r/>
    </w:p>
    <w:p>
      <w:pPr>
        <w:pStyle w:val="945"/>
        <w:jc w:val="center"/>
        <w:rPr>
          <w:rFonts w:hint="eastAsia" w:ascii="宋体" w:hAnsi="宋体" w:eastAsia="宋体" w:cs="宋体"/>
          <w:b/>
          <w:bCs/>
          <w:color w:val="000000"/>
          <w:sz w:val="52"/>
          <w:szCs w:val="52"/>
        </w:rPr>
      </w:pPr>
      <w:r>
        <w:rPr>
          <w:rFonts w:hint="eastAsia" w:ascii="宋体" w:hAnsi="宋体" w:eastAsia="宋体" w:cs="宋体"/>
          <w:b/>
          <w:bCs/>
          <w:color w:val="000000"/>
          <w:sz w:val="52"/>
          <w:szCs w:val="52"/>
        </w:rPr>
        <w:t xml:space="preserve">政 府 采 购 合 同</w:t>
      </w:r>
      <w:r/>
    </w:p>
    <w:p>
      <w:pPr>
        <w:pStyle w:val="94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rPr>
      </w:pPr>
      <w:r>
        <w:rPr>
          <w:rFonts w:hint="eastAsia"/>
        </w:rPr>
      </w:r>
      <w:r/>
    </w:p>
    <w:p>
      <w:pPr>
        <w:rPr>
          <w:rFonts w:hint="eastAsia"/>
        </w:rPr>
      </w:pPr>
      <w:r>
        <w:rPr>
          <w:rFonts w:hint="eastAsia"/>
        </w:rPr>
      </w:r>
      <w:r/>
    </w:p>
    <w:p>
      <w:pPr>
        <w:pStyle w:val="9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项目名称：徐州经济技术开发区</w:t>
      </w:r>
      <w:r>
        <w:rPr>
          <w:rFonts w:hint="eastAsia" w:ascii="宋体" w:hAnsi="宋体" w:eastAsia="宋体" w:cs="宋体"/>
          <w:color w:val="000000"/>
          <w:sz w:val="24"/>
          <w:szCs w:val="24"/>
          <w:lang w:eastAsia="zh-CN"/>
        </w:rPr>
        <w:t xml:space="preserve">科技教育局</w:t>
      </w:r>
      <w:r>
        <w:rPr>
          <w:rFonts w:hint="eastAsia" w:ascii="宋体" w:hAnsi="宋体" w:eastAsia="宋体" w:cs="宋体"/>
          <w:color w:val="000000"/>
          <w:sz w:val="24"/>
          <w:szCs w:val="24"/>
        </w:rPr>
        <w:t xml:space="preserve">“央馆人工智能课程”配套设备采购项目</w:t>
      </w:r>
      <w:r/>
    </w:p>
    <w:p>
      <w:pPr>
        <w:pStyle w:val="945"/>
        <w:jc w:val="both"/>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项目编号：JSZC-320390-SDFY-G2026-0001</w:t>
      </w:r>
      <w:r/>
    </w:p>
    <w:p>
      <w:pPr>
        <w:pStyle w:val="945"/>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 购 人：徐州经济技术开发区科技教育局</w:t>
      </w:r>
      <w:r/>
    </w:p>
    <w:p>
      <w:pPr>
        <w:pStyle w:val="945"/>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中 标 人</w:t>
      </w:r>
      <w:r>
        <w:rPr>
          <w:rFonts w:hint="eastAsia" w:ascii="宋体" w:hAnsi="宋体" w:eastAsia="宋体" w:cs="宋体"/>
          <w:color w:val="000000"/>
          <w:sz w:val="24"/>
          <w:szCs w:val="24"/>
        </w:rPr>
        <w:t xml:space="preserve">：</w:t>
      </w:r>
      <w:r/>
    </w:p>
    <w:p>
      <w:pPr>
        <w:pStyle w:val="945"/>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合同签订日期： 年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友情提醒：采购人与中标、投标人应当在中标、成交通知书发出之日起三十日内，按照采购文件确定的事项签订政府采购合同。</w:t>
      </w:r>
      <w:r/>
    </w:p>
    <w:p>
      <w:pPr>
        <w:ind w:firstLine="56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合同通用条款</w:t>
      </w:r>
      <w:r/>
    </w:p>
    <w:p>
      <w:pPr>
        <w:ind w:firstLine="600"/>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目录</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定义</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合同范围</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第三条    价格</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第四条    支付</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交货</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第六条    包装和标记</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第七条    技术资料</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第八条    安装</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第九条    验收</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第十条    售后服务和技术培训</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第十一条  索赔</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第十二条  不可抗力</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第十三条  合同的终止</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第十四条  争议的解决</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第十五条  适用法律</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第十六条  权利保证</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第十七条  保密</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第十八条  合同生效及其他</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合同通用条款</w:t>
      </w:r>
      <w:r/>
    </w:p>
    <w:p>
      <w:pPr>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第一条  定义</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除本合同上下文中另有规定外，下列各词语定义如下：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1.1“买方”见《合同专用条款》。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1.2“卖方”见《合同专用条款》。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1.3“工作现场”见《合同专用条款》。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1.4“合同标的”见合同附件4。</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1.5“技术资料”是指与合同标的的安装、试运行、验收、操作以及维修有关的技术指标、规格、图纸和文件。</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1.6“技术培训”是指在合同标的的安装、试运行、验收、操作、维修以及其他方面卖方给予买方的培训。</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1.7“安装”是指有关合同标的、备件和材料的安装工作。</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1.8“试运行”是指为验明合同标的的技术性能，在安装完毕后对合同标的进行的测试。</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1.10“合同货币”见《合同专用条款》。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1.11“合同价格”见合同附件4。</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1.12“合同生效日”见《合同协议书》（合同附件1）第5 条。</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1.13“日”是指日历天数。</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1.14“月”是指日历月数。</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第二条 合同范围</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2.1买方同意从卖方购买、卖方同意向买方出售和提供的合同标的以及相关售后服务、技术培训和技术资料。</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第三条 价格</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合同总价见《合同专用条款》。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合同总价是固定价格。</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第四条 支付</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4.1买方应按照《合同专用条款》的规定进行支付。如果卖方未能按照《合同专用条款》的要求提交支付文件，由此产生的所有责任和发生的所有费用，均由卖方承担。</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4.2卖方有义务根据合同的规定向买方支付违约金和/或赔偿金时。</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第五条 交货</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5.1交货期限、批次和交货条件见《合同专用条款》。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5.2交货地点见《合同专用条款》。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5.3在《合同专用条款》规定的期限内，卖方应将合同号、合同标的的名称、数量、金额、包装件数以及交货的时间以书面方式通知买方。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5.4卖方应按下列规定交付合同标的：</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5.4.1卖方负责将合同标的送至《合同专用条款》规定的交货地点。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5.4.2买方出具的收据日期是合同标的的实际交货日期。</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5.5如果卖方未能按照合同规定的交货期限交货，卖方应按《合同专用条款》的规定支付违约金或提供其他救济。</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第六条 包装与标记</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6.1除非合同中另有规定，合同标的应保持产品制造企业原包装完好。</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6.2在合同标的的每件包装中都应附有下列单据：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 装箱明细单；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 质量合格证；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 技术资料。</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第七条 技术资料</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技术资料交付的期限和方式见《合同专用条款》。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第八条 安装</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 合同标的的安装期限见《合同专用条款》。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第九条 验收</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9.1合同标的的试运行、验收见《合同专用条款》。</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9.2如果合同附件2 所规定的所有技术性能在验收中都已经达到，双方应在验收合格后5 日内签署验收书。</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9.3买方派出1-3名技术人员参加项目实施，卖方应积极配合甲方派出的1-3名技术人员监督管理。</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第十条 售后服务和技术培训</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10.1售后服务和技术培训见合同附件3。</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第十一条 索赔</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11.1如果合同标的在安装、试运行和验收中卖方未能履行其在本合同项下承担的义务，买方有权向卖方提出索赔并寻求《合同专用条款》中规定的救济方式，救济方式包括：</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A.卖方替换不符合合同规定的合同标的。</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B.按质量低劣的程度、买方受损害的程度及损失的数额对合同标的进行降价。</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C.拒收合同标的。</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D.赔偿由卖方违约引起的其他损失。</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第十二条 不可抗力</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第十三条 合同的终止</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A.卖方在合同规定的交货期限后未能按《合同专用条款》中规定的最终期限交付合同标的和/或技术资料；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B.合同标的未能达到合同附件2 规定的技术性能；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C.卖方未能履行合同项下任何其它义务，并且在收到买方违约通知后未能按《合同专用条款》中规定的期限对其违约行为作出补救。</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13.2如果一方破产或发生资不抵债的情况,合同另一方有权在任何时候发出书面通知终止合同。此种情况下合同的终止不妨碍或影响行使任何可能的其它救济手段。</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13.3如果买方认定卖方在投标或执行合同中有腐败或欺诈行为,买方有权在任何时候发出书面通知终止合同。</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A.“腐败行为”系指在招标、采购和合同执行等过程中，为谋求利益、影响相关人员而提供、给予、接受或索取任何有价物的行为。</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B.“欺诈行为”系指为了影响招标、采购和合同执行等过程而隐瞒事实，从而给买方造成损害的行为，其中包括投标人之间的串通行为。</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13.4在买方全部或部分终止合同的情况下，卖方应按《合同专用条款》的规定对买方给予补偿。</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第十四条 争议的解决</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14.1因执行本合同所发生的或者与本合同有关的一切争议由合同双方通过友好协商解决，如果不能协商一致，按《合同专用条款》规定的方式解决。</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第十五条 适用法律</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15.1本合同的执行和争议的解决适用中华人民共和国的法律并按中华人民共和国的法律进行解释。</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第十六条  权利保证</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16.1卖方应保证买方在使用合同标的时不受第三方提出侵犯其专利权、版权、商标权或其他权利的起诉。一旦出现侵权，卖方承担全部责任。</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第十七条  保密 </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17.2上述秘密，卖方只能用于本合同，而且只能由卖方相应的人员使用；没有必要接触的卖方人员，不得接触。</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17.3卖方应当采取适当有效的方式保护所获取的上述秘密。</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第十八条 合同生效及其他</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 本合同在合同协议书（合同附件1）规定的条件全部满足后生效。</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合同双方各自承担与本合同有关的应负税费。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18.4合同双方除非《合同专用条款》另有规定，所有合同文件及相关的修订和合同双方之间的书面联络，应使用中文书就并按中文解释。</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18.5对本合同的任何补充、增添或修改以书面方式进行。</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18.6没有另一方的事先书面同意，合同任何一方不得将合同项下的任何权利和义务转让给第三方。</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18.8合同条款中的标题和边注仅供参考使用，不应视为合同的一部分，也不影响本文的解释。</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18.9合同构成买方和卖方之间就合同主要内容方面的完整协议，并且取代合同签订前所有关于这方面的通讯、协商、协议(不论是书面的，还是口头的)。</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18.11合同双方之间的一切联络往来应以书面形式按《合同专用条款》中规定的通讯地址发往合同另一方。有关重要事项的传真应及时用挂号信或快件确认。</w:t>
      </w:r>
      <w:r/>
    </w:p>
    <w:p>
      <w:pPr>
        <w:ind w:firstLine="60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合同专用条款</w:t>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（合同协议书）</w:t>
      </w:r>
      <w:r/>
    </w:p>
    <w:p>
      <w:pPr>
        <w:ind w:firstLine="56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购货单位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徐州经济技术开发区科技教育局</w:t>
      </w:r>
      <w:r>
        <w:rPr>
          <w:rFonts w:hint="eastAsia" w:ascii="宋体" w:hAnsi="宋体" w:eastAsia="宋体" w:cs="宋体"/>
          <w:color w:val="000000"/>
          <w:sz w:val="24"/>
          <w:szCs w:val="24"/>
        </w:rPr>
        <w:t xml:space="preserve">（以下简称甲方） </w:t>
      </w:r>
      <w:r/>
    </w:p>
    <w:p>
      <w:pPr>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供货单位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（以下简称乙方） </w:t>
      </w:r>
      <w:r/>
    </w:p>
    <w:p>
      <w:pPr>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合同签署地点：</w:t>
      </w:r>
      <w:r>
        <w:rPr>
          <w:rFonts w:hint="eastAsia" w:ascii="宋体" w:hAnsi="宋体" w:eastAsia="宋体" w:cs="宋体"/>
          <w:color w:val="000000"/>
          <w:sz w:val="24"/>
          <w:szCs w:val="24"/>
        </w:rPr>
        <w:t xml:space="preserve">江苏省徐州市</w:t>
      </w:r>
      <w:r/>
    </w:p>
    <w:p>
      <w:pPr>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根据《中华人民共和国民法典》以及相关法律法规的规定，经双方协商一致，就甲方采购乙方设备事宜，双方自愿签订如下合同： </w:t>
      </w:r>
      <w:r/>
    </w:p>
    <w:p>
      <w:pPr>
        <w:numPr>
          <w:ilvl w:val="0"/>
          <w:numId w:val="0"/>
        </w:numPr>
        <w:ind w:firstLine="482"/>
        <w:keepLines w:val="0"/>
        <w:keepNext w:val="0"/>
        <w:pageBreakBefore w:val="0"/>
        <w:spacing w:line="560" w:lineRule="exact"/>
        <w:widowControl w:val="off"/>
        <w:rPr>
          <w:rFonts w:hint="eastAsia" w:ascii="宋体" w:hAnsi="宋体" w:eastAsia="宋体" w:cs="宋体"/>
          <w:bCs/>
          <w:color w:val="000000"/>
          <w:sz w:val="24"/>
          <w:szCs w:val="24"/>
        </w:rPr>
        <w:outlineLvl w:val="0"/>
      </w:pPr>
      <w:r>
        <w:rPr>
          <w:rFonts w:hint="eastAsia" w:ascii="宋体" w:hAnsi="宋体" w:eastAsia="宋体" w:cs="宋体"/>
          <w:b/>
          <w:color w:val="000000"/>
          <w:sz w:val="24"/>
          <w:szCs w:val="24"/>
          <w:highlight w:val="none"/>
        </w:rPr>
        <w:t xml:space="preserve">第一条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按</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规定条件进行供货，并送达到</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指定地点，经</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验收合格并交货完毕。价格包括</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履行本合同可能发生的所有费用，包括</w:t>
      </w:r>
      <w:r>
        <w:rPr>
          <w:rFonts w:hint="eastAsia" w:ascii="宋体" w:hAnsi="宋体" w:eastAsia="宋体" w:cs="宋体"/>
          <w:color w:val="000000"/>
          <w:sz w:val="24"/>
          <w:szCs w:val="24"/>
          <w:lang w:val="en-US" w:eastAsia="zh-CN"/>
        </w:rPr>
        <w:t xml:space="preserve">但</w:t>
      </w:r>
      <w:r>
        <w:rPr>
          <w:rFonts w:hint="eastAsia" w:ascii="宋体" w:hAnsi="宋体" w:eastAsia="宋体" w:cs="宋体"/>
          <w:color w:val="000000"/>
          <w:sz w:val="24"/>
          <w:szCs w:val="24"/>
        </w:rPr>
        <w:t xml:space="preserve">不限于货物制造、运输、保险、设备保管、税费、材料费、装卸费、安装调试费、人员培训、售后服务等费用。</w:t>
      </w:r>
      <w:r>
        <w:rPr>
          <w:rFonts w:hint="eastAsia" w:ascii="宋体" w:hAnsi="宋体" w:eastAsia="宋体" w:cs="宋体"/>
          <w:bCs/>
          <w:color w:val="000000"/>
          <w:sz w:val="24"/>
          <w:szCs w:val="24"/>
        </w:rPr>
        <w:t xml:space="preserve">详细配置以招标文件技术参数及</w:t>
      </w:r>
      <w:r>
        <w:rPr>
          <w:rFonts w:hint="eastAsia" w:ascii="宋体" w:hAnsi="宋体" w:eastAsia="宋体" w:cs="宋体"/>
          <w:bCs/>
          <w:color w:val="000000"/>
          <w:sz w:val="24"/>
          <w:szCs w:val="24"/>
          <w:lang w:val="en-US" w:eastAsia="zh-CN"/>
        </w:rPr>
        <w:t xml:space="preserve">采购目录</w:t>
      </w:r>
      <w:r>
        <w:rPr>
          <w:rFonts w:hint="eastAsia" w:ascii="宋体" w:hAnsi="宋体" w:eastAsia="宋体" w:cs="宋体"/>
          <w:bCs/>
          <w:color w:val="000000"/>
          <w:sz w:val="24"/>
          <w:szCs w:val="24"/>
        </w:rPr>
        <w:t xml:space="preserve">清单为准，乙方不得擅自变更核心组件品牌及供应商。</w:t>
      </w:r>
      <w:r/>
    </w:p>
    <w:p>
      <w:pPr>
        <w:ind w:firstLine="465"/>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第二条 交货方式与交货地点 </w:t>
      </w:r>
      <w:r/>
    </w:p>
    <w:p>
      <w:pPr>
        <w:ind w:firstLine="465"/>
        <w:jc w:val="left"/>
        <w:spacing w:line="520" w:lineRule="exact"/>
        <w:widowControl/>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rPr>
        <w:t xml:space="preserve">1、交货时间：</w:t>
      </w:r>
      <w:r>
        <w:rPr>
          <w:rFonts w:hint="eastAsia" w:ascii="宋体" w:hAnsi="宋体" w:eastAsia="宋体" w:cs="宋体"/>
          <w:bCs/>
          <w:color w:val="000000"/>
          <w:sz w:val="24"/>
          <w:szCs w:val="24"/>
          <w:highlight w:val="none"/>
        </w:rPr>
        <w:t xml:space="preserve">合同签订后</w:t>
      </w:r>
      <w:r>
        <w:rPr>
          <w:rFonts w:hint="eastAsia" w:ascii="宋体" w:hAnsi="宋体" w:eastAsia="宋体" w:cs="宋体"/>
          <w:b w:val="0"/>
          <w:bCs/>
          <w:color w:val="000000"/>
          <w:sz w:val="24"/>
          <w:szCs w:val="24"/>
          <w:highlight w:val="none"/>
          <w:u w:val="single"/>
          <w:lang w:val="en-US" w:eastAsia="zh-CN"/>
        </w:rPr>
        <w:t xml:space="preserve"> 21</w:t>
      </w:r>
      <w:r>
        <w:rPr>
          <w:rFonts w:hint="eastAsia" w:ascii="宋体" w:hAnsi="宋体" w:eastAsia="宋体" w:cs="宋体"/>
          <w:b w:val="0"/>
          <w:bCs/>
          <w:color w:val="000000"/>
          <w:sz w:val="24"/>
          <w:szCs w:val="24"/>
          <w:highlight w:val="none"/>
        </w:rPr>
        <w:t xml:space="preserve">日历天内</w:t>
      </w:r>
      <w:r>
        <w:rPr>
          <w:rFonts w:hint="eastAsia" w:ascii="宋体" w:hAnsi="宋体" w:eastAsia="宋体" w:cs="宋体"/>
          <w:bCs/>
          <w:color w:val="000000"/>
          <w:sz w:val="24"/>
          <w:szCs w:val="24"/>
          <w:highlight w:val="none"/>
        </w:rPr>
        <w:t xml:space="preserve">将合同标的全部交付并安装完毕。</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2、乙方负责将产品运至甲方指定地点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并承担运输、装卸、安装、税费等一切相关费用。</w:t>
      </w:r>
      <w:r/>
    </w:p>
    <w:p>
      <w:pPr>
        <w:ind w:left="480"/>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第三条 安装、调试与验收</w:t>
      </w:r>
      <w:r/>
    </w:p>
    <w:p>
      <w:pPr>
        <w:ind w:firstLine="482"/>
        <w:jc w:val="left"/>
        <w:spacing w:line="520" w:lineRule="exact"/>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rPr>
          <w:rFonts w:hint="eastAsia" w:ascii="宋体" w:hAnsi="宋体" w:eastAsia="宋体" w:cs="宋体"/>
          <w:bCs/>
          <w:color w:val="000000"/>
          <w:sz w:val="24"/>
          <w:szCs w:val="24"/>
        </w:rPr>
        <w:t xml:space="preserve">。</w:t>
      </w:r>
      <w:r/>
    </w:p>
    <w:p>
      <w:pPr>
        <w:ind w:firstLine="482"/>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验收标准：</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项目安装调试完毕，由中标人向采购人提交验收报告，采购人按照合同、招标文件和验收标准组织项目验收。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验收依据：招标文件、投标文件、厂家货物技术标准说明及国家有关的质量标准规定，均为验收依据。</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货物验收：货物运抵采购人处后由双方对照采购清单及技术要求进行验收。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系统验收：中标人根据招标要求进行设备安装、调试、测试后，由采购人或政府相关部门进行使用性能方面的验收。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采购人有权委托我国相关具有检验资质的部门、单位、机构针对中标货物的精度（软硬件）、性能进行检验。其检验结果将作为验收标准的组成部分之一。</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验收时中标人必须派代表参加。</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验收过程所发生的一切费用由中标人承担。</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中标人所提供的设备需满足采购清单的设备性能指标要求。</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要求提供的设备、产品、文件（装箱单、保修单、随箱介质等）满足招标要求及验收标准。</w:t>
      </w:r>
      <w:r/>
    </w:p>
    <w:p>
      <w:pPr>
        <w:ind w:firstLine="482"/>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2）质量符合国家法律法规规定的标准、招标文件和投标文件的要求。</w:t>
      </w:r>
      <w:r/>
    </w:p>
    <w:p>
      <w:pPr>
        <w:ind w:firstLine="562"/>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第四条</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付款方式（</w:t>
      </w:r>
      <w:r>
        <w:rPr>
          <w:rFonts w:hint="eastAsia" w:ascii="宋体" w:hAnsi="宋体" w:eastAsia="宋体" w:cs="宋体"/>
          <w:color w:val="000000"/>
          <w:sz w:val="24"/>
          <w:szCs w:val="24"/>
        </w:rPr>
        <w:t xml:space="preserve">采购资金的支付方式、时间、条件）</w:t>
      </w:r>
      <w:r/>
    </w:p>
    <w:p>
      <w:pPr>
        <w:ind w:firstLine="482"/>
        <w:jc w:val="left"/>
        <w:keepLines w:val="0"/>
        <w:keepNext w:val="0"/>
        <w:pageBreakBefore w:val="0"/>
        <w:spacing w:before="181" w:line="520" w:lineRule="exact"/>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本合同总金额为人民币大写金额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元（小写金额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元），经双方协商一致，选择以下第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种付款方式。</w:t>
      </w:r>
      <w:r/>
    </w:p>
    <w:p>
      <w:pPr>
        <w:ind w:firstLine="482"/>
        <w:jc w:val="left"/>
        <w:keepLines w:val="0"/>
        <w:keepNext w:val="0"/>
        <w:pageBreakBefore w:val="0"/>
        <w:spacing w:before="181"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（一）付款方式（提交预付款保函的） </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合同价款的百分之</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)元整，在双方签订合同，在双方签订合同后</w:t>
      </w:r>
      <w:r>
        <w:rPr>
          <w:rFonts w:hint="eastAsia" w:ascii="宋体" w:hAnsi="宋体" w:eastAsia="宋体" w:cs="宋体"/>
          <w:color w:val="000000"/>
          <w:sz w:val="24"/>
          <w:szCs w:val="24"/>
          <w:highlight w:val="none"/>
          <w:lang w:val="en-US" w:eastAsia="zh-CN"/>
        </w:rPr>
        <w:t xml:space="preserve">10个工作日内递交结算手续</w:t>
      </w:r>
      <w:r>
        <w:rPr>
          <w:rFonts w:hint="eastAsia" w:ascii="宋体" w:hAnsi="宋体" w:eastAsia="宋体" w:cs="宋体"/>
          <w:color w:val="000000"/>
          <w:sz w:val="24"/>
          <w:szCs w:val="24"/>
          <w:highlight w:val="none"/>
        </w:rPr>
        <w:t xml:space="preserve">，乙方向甲方出具等额预付款保函后，由甲方办理政府采购资金结算手续支付给乙方。 </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合同总价的百分之</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w:t>
      </w:r>
      <w:r>
        <w:rPr>
          <w:rFonts w:hint="eastAsia" w:ascii="宋体" w:hAnsi="宋体" w:eastAsia="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val="en-US" w:eastAsia="zh-CN"/>
        </w:rPr>
        <w:t xml:space="preserve">10个工作日内递交结算手续</w:t>
      </w:r>
      <w:r>
        <w:rPr>
          <w:rFonts w:hint="eastAsia" w:ascii="宋体" w:hAnsi="宋体" w:eastAsia="宋体" w:cs="宋体"/>
          <w:color w:val="000000"/>
          <w:sz w:val="24"/>
          <w:szCs w:val="24"/>
          <w:highlight w:val="none"/>
        </w:rPr>
        <w:t xml:space="preserve">，由甲方办理政府采购资金结算手续，经审核通过后支付给乙方。</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卖方需提交的支付文件包括：卖方出具的全额正式发票； </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（二）付款方式（不提交预付款保函的） </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合同价款的百分之</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w:t>
      </w:r>
      <w:r>
        <w:rPr>
          <w:rFonts w:hint="eastAsia" w:ascii="宋体" w:hAnsi="宋体" w:eastAsia="宋体" w:cs="宋体"/>
          <w:color w:val="000000"/>
          <w:sz w:val="24"/>
          <w:szCs w:val="24"/>
          <w:highlight w:val="none"/>
          <w:lang w:val="en-US" w:eastAsia="zh-CN"/>
        </w:rPr>
        <w:t xml:space="preserve">10个工作日内递交结算手续</w:t>
      </w:r>
      <w:r>
        <w:rPr>
          <w:rFonts w:hint="eastAsia" w:ascii="宋体" w:hAnsi="宋体" w:eastAsia="宋体" w:cs="宋体"/>
          <w:color w:val="000000"/>
          <w:sz w:val="24"/>
          <w:szCs w:val="24"/>
          <w:highlight w:val="none"/>
        </w:rPr>
        <w:t xml:space="preserve">，由甲方办理政府采购资金结算手续支付给乙方。</w:t>
      </w:r>
      <w:r/>
    </w:p>
    <w:p>
      <w:pPr>
        <w:ind w:firstLine="56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合同总价的百分之</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)元整,合同标的全部交付并安装完毕验收</w:t>
      </w:r>
      <w:r>
        <w:rPr>
          <w:rFonts w:hint="eastAsia" w:ascii="宋体"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val="en-US" w:eastAsia="zh-CN"/>
        </w:rPr>
        <w:t xml:space="preserve">10个工作日内递交结算手续</w:t>
      </w:r>
      <w:r>
        <w:rPr>
          <w:rFonts w:hint="eastAsia" w:ascii="宋体" w:hAnsi="宋体" w:eastAsia="宋体" w:cs="宋体"/>
          <w:color w:val="000000"/>
          <w:sz w:val="24"/>
          <w:szCs w:val="24"/>
          <w:highlight w:val="none"/>
        </w:rPr>
        <w:t xml:space="preserve">，由甲方办理政府采购资金结算手续，经审核通过后支付给乙方。</w:t>
      </w:r>
      <w:r/>
    </w:p>
    <w:p>
      <w:pPr>
        <w:numPr>
          <w:ilvl w:val="0"/>
          <w:numId w:val="2"/>
        </w:numPr>
        <w:ind w:firstLine="482"/>
        <w:jc w:val="left"/>
        <w:spacing w:line="52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在签订合同时，供应商明确表示无需预付款的，按以下付款方式支付。（注：此条符合苏财购〔2020〕52号文件要求）</w:t>
      </w:r>
      <w:r/>
    </w:p>
    <w:p>
      <w:pPr>
        <w:ind w:firstLine="560"/>
        <w:jc w:val="left"/>
        <w:spacing w:line="52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合同总价的百分之百(100%)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)元整，合同标的全部交付，安装调试完毕并验收合格后，</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rPr>
        <w:t xml:space="preserve">方提供对应金额的增值税发票后，由</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办理政府采购资金结算手续支付给</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乙方需提交的支付文件包括：乙方出具的全额正式发票。乙方未出具发票的，甲方有权拒绝付款且不承担违约责任，但乙方仍应按照约定履行合同义务。</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履约保证金退还的方式、时间、条件和不予退还的情形:无</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合同约定的卖方账户：</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银行账号</w:t>
      </w:r>
      <w:r>
        <w:rPr>
          <w:rFonts w:hint="eastAsia" w:ascii="宋体" w:hAnsi="宋体" w:eastAsia="宋体" w:cs="宋体"/>
          <w:color w:val="000000"/>
          <w:sz w:val="24"/>
          <w:szCs w:val="24"/>
        </w:rPr>
        <w:t xml:space="preserve">：</w:t>
      </w:r>
      <w:r/>
    </w:p>
    <w:p>
      <w:pPr>
        <w:ind w:firstLine="562"/>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第五条 质量保证、</w:t>
      </w:r>
      <w:r>
        <w:rPr>
          <w:rFonts w:hint="eastAsia" w:ascii="宋体" w:hAnsi="宋体" w:eastAsia="宋体" w:cs="宋体"/>
          <w:b/>
          <w:color w:val="000000"/>
          <w:sz w:val="24"/>
          <w:szCs w:val="24"/>
          <w:lang w:val="en-US" w:eastAsia="zh-CN"/>
        </w:rPr>
        <w:t xml:space="preserve">质保</w:t>
      </w:r>
      <w:r>
        <w:rPr>
          <w:rFonts w:hint="eastAsia" w:ascii="宋体" w:hAnsi="宋体" w:eastAsia="宋体" w:cs="宋体"/>
          <w:b/>
          <w:color w:val="000000"/>
          <w:sz w:val="24"/>
          <w:szCs w:val="24"/>
        </w:rPr>
        <w:t xml:space="preserve">期及服务承诺</w:t>
      </w:r>
      <w:r/>
    </w:p>
    <w:p>
      <w:pPr>
        <w:ind w:firstLine="56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56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2.产品的</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rPr>
        <w:t xml:space="preserve">期（以验收合格日算起）：</w:t>
      </w:r>
      <w:r>
        <w:rPr>
          <w:rFonts w:hint="eastAsia" w:ascii="宋体" w:hAnsi="宋体" w:eastAsia="宋体" w:cs="宋体"/>
          <w:color w:val="000000"/>
          <w:sz w:val="24"/>
          <w:szCs w:val="24"/>
          <w:u w:val="single"/>
          <w:lang w:val="en-US" w:eastAsia="zh-CN"/>
        </w:rPr>
        <w:t xml:space="preserve">3年</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质保</w:t>
      </w:r>
      <w:r>
        <w:rPr>
          <w:rFonts w:hint="eastAsia" w:ascii="宋体" w:hAnsi="宋体" w:eastAsia="宋体" w:cs="宋体"/>
          <w:color w:val="000000"/>
          <w:sz w:val="24"/>
          <w:szCs w:val="24"/>
        </w:rPr>
        <w:t xml:space="preserve">期内免费维修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免费升级</w:t>
      </w:r>
      <w:r>
        <w:rPr>
          <w:rFonts w:hint="eastAsia" w:ascii="宋体" w:hAnsi="宋体" w:eastAsia="宋体" w:cs="宋体"/>
          <w:color w:val="000000"/>
          <w:sz w:val="24"/>
          <w:szCs w:val="24"/>
        </w:rPr>
        <w:t xml:space="preserve">。乙方应按生产厂家的保修规定和投标文件说明的服务承诺，做好免费保修</w:t>
      </w:r>
      <w:r>
        <w:rPr>
          <w:rFonts w:hint="eastAsia" w:ascii="宋体" w:hAnsi="宋体" w:eastAsia="宋体" w:cs="宋体"/>
          <w:color w:val="000000"/>
          <w:sz w:val="24"/>
          <w:szCs w:val="24"/>
          <w:lang w:val="en-US" w:eastAsia="zh-CN"/>
        </w:rPr>
        <w:t xml:space="preserve">和升级</w:t>
      </w:r>
      <w:r>
        <w:rPr>
          <w:rFonts w:hint="eastAsia" w:ascii="宋体" w:hAnsi="宋体" w:eastAsia="宋体" w:cs="宋体"/>
          <w:color w:val="000000"/>
          <w:sz w:val="24"/>
          <w:szCs w:val="24"/>
        </w:rPr>
        <w:t xml:space="preserve">等服务。</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rPr>
        <w:t xml:space="preserve">期满后，乙方承诺仅收取维修配件的成本费，不得收取差旅费、上门费等额外费用。乙方提供的维修配件质保期自更换之日起重新计算，不得短于原设备剩余保修期。</w:t>
      </w:r>
      <w:r/>
    </w:p>
    <w:p>
      <w:pPr>
        <w:ind w:firstLine="56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维修配件质保期内免费提供，质保期后按投标文件承诺的优惠价格供应。</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第六条 违约责任 </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1．非乙方供货质量问题，甲方中途不得退货，否则甲方应按合同总额的</w:t>
      </w:r>
      <w:r>
        <w:rPr>
          <w:rFonts w:hint="eastAsia" w:ascii="宋体" w:hAnsi="宋体" w:eastAsia="宋体" w:cs="宋体"/>
          <w:color w:val="000000"/>
          <w:sz w:val="24"/>
          <w:szCs w:val="24"/>
          <w:u w:val="single"/>
        </w:rPr>
        <w:t xml:space="preserve">百分之一</w:t>
      </w:r>
      <w:r>
        <w:rPr>
          <w:rFonts w:hint="eastAsia" w:ascii="宋体" w:hAnsi="宋体" w:eastAsia="宋体" w:cs="宋体"/>
          <w:color w:val="000000"/>
          <w:sz w:val="24"/>
          <w:szCs w:val="24"/>
        </w:rPr>
        <w:t xml:space="preserve">向乙方支付违约金。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hint="eastAsia" w:ascii="宋体" w:hAnsi="宋体" w:eastAsia="宋体" w:cs="宋体"/>
          <w:color w:val="000000"/>
          <w:sz w:val="24"/>
          <w:szCs w:val="24"/>
          <w:u w:val="single"/>
        </w:rPr>
        <w:t xml:space="preserve">百分之十</w:t>
      </w:r>
      <w:r>
        <w:rPr>
          <w:rFonts w:hint="eastAsia" w:ascii="宋体" w:hAnsi="宋体" w:eastAsia="宋体" w:cs="宋体"/>
          <w:color w:val="000000"/>
          <w:sz w:val="24"/>
          <w:szCs w:val="24"/>
        </w:rPr>
        <w:t xml:space="preserve">向甲方支付违约金，并赔偿因此造成的损失。</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3.乙方所供产品如验收不合格，或者品种、型号、规格、花色质量不符合合同规定的，甲方有权拒绝付款。根据甲方的要求，乙方必须无条件换货或退货，由此引起的一切费用损失由乙方承担。</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4.乙方逾期供货，每逾期一日，按合同总金额的万分之三向甲方支付违约金。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5.乙方违反质量条款交付产品，乙方应在甲方书面通知七日内提供符合约定质量标准的产品，每逾期一日承担合同金额万分之三的违约金。</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6.乙方在</w:t>
      </w:r>
      <w:r>
        <w:rPr>
          <w:rFonts w:hint="eastAsia" w:ascii="宋体" w:hAnsi="宋体" w:eastAsia="宋体" w:cs="宋体"/>
          <w:color w:val="000000"/>
          <w:sz w:val="24"/>
          <w:szCs w:val="24"/>
          <w:lang w:val="en-US" w:eastAsia="zh-CN"/>
        </w:rPr>
        <w:t xml:space="preserve">产品安装期间</w:t>
      </w:r>
      <w:r>
        <w:rPr>
          <w:rFonts w:hint="eastAsia" w:ascii="宋体" w:hAnsi="宋体" w:eastAsia="宋体" w:cs="宋体"/>
          <w:color w:val="000000"/>
          <w:sz w:val="24"/>
          <w:szCs w:val="24"/>
        </w:rPr>
        <w:t xml:space="preserve">应严格遵守《中华人民共和国消防</w:t>
      </w:r>
      <w:r>
        <w:rPr>
          <w:rFonts w:hint="eastAsia" w:ascii="宋体" w:hAnsi="宋体" w:eastAsia="宋体" w:cs="宋体"/>
          <w:color w:val="000000"/>
          <w:sz w:val="24"/>
          <w:szCs w:val="24"/>
          <w:lang w:val="en-US" w:eastAsia="zh-CN"/>
        </w:rPr>
        <w:t xml:space="preserve">法</w:t>
      </w:r>
      <w:r>
        <w:rPr>
          <w:rFonts w:hint="eastAsia" w:ascii="宋体" w:hAnsi="宋体" w:eastAsia="宋体" w:cs="宋体"/>
          <w:color w:val="000000"/>
          <w:sz w:val="24"/>
          <w:szCs w:val="24"/>
        </w:rPr>
        <w:t xml:space="preserve">》和其他相关的法规、规范。</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7.乙方在</w:t>
      </w:r>
      <w:r>
        <w:rPr>
          <w:rFonts w:hint="eastAsia" w:ascii="宋体" w:hAnsi="宋体" w:eastAsia="宋体" w:cs="宋体"/>
          <w:color w:val="000000"/>
          <w:sz w:val="24"/>
          <w:szCs w:val="24"/>
          <w:lang w:val="en-US" w:eastAsia="zh-CN"/>
        </w:rPr>
        <w:t xml:space="preserve">产品安装</w:t>
      </w:r>
      <w:r>
        <w:rPr>
          <w:rFonts w:hint="eastAsia" w:ascii="宋体" w:hAnsi="宋体" w:eastAsia="宋体" w:cs="宋体"/>
          <w:color w:val="000000"/>
          <w:sz w:val="24"/>
          <w:szCs w:val="24"/>
        </w:rPr>
        <w:t xml:space="preserve">过程中违反有关安全操作规程、消防</w:t>
      </w:r>
      <w:r>
        <w:rPr>
          <w:rFonts w:hint="eastAsia" w:ascii="宋体" w:hAnsi="宋体" w:eastAsia="宋体" w:cs="宋体"/>
          <w:color w:val="000000"/>
          <w:sz w:val="24"/>
          <w:szCs w:val="24"/>
          <w:lang w:val="en-US" w:eastAsia="zh-CN"/>
        </w:rPr>
        <w:t xml:space="preserve">法</w:t>
      </w:r>
      <w:r>
        <w:rPr>
          <w:rFonts w:hint="eastAsia" w:ascii="宋体" w:hAnsi="宋体" w:eastAsia="宋体" w:cs="宋体"/>
          <w:color w:val="000000"/>
          <w:sz w:val="24"/>
          <w:szCs w:val="24"/>
        </w:rPr>
        <w:t xml:space="preserve">和防火规范，导致发生安全或火灾事故，乙方应承担由此产生的一切经济损失；在</w:t>
      </w:r>
      <w:r>
        <w:rPr>
          <w:rFonts w:hint="eastAsia" w:ascii="宋体" w:hAnsi="宋体" w:eastAsia="宋体" w:cs="宋体"/>
          <w:color w:val="000000"/>
          <w:sz w:val="24"/>
          <w:szCs w:val="24"/>
          <w:lang w:val="en-US" w:eastAsia="zh-CN"/>
        </w:rPr>
        <w:t xml:space="preserve">产品安装</w:t>
      </w:r>
      <w:r>
        <w:rPr>
          <w:rFonts w:hint="eastAsia" w:ascii="宋体" w:hAnsi="宋体" w:eastAsia="宋体" w:cs="宋体"/>
          <w:color w:val="000000"/>
          <w:sz w:val="24"/>
          <w:szCs w:val="24"/>
        </w:rPr>
        <w:t xml:space="preserve">过程中，如发生人员伤亡事故，所产生的一切损失，由乙方自行承担。</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8.甲方未按合同规定的时间和要求提供相应的场地技术资料等，交货日期经双方协商可相应顺延。</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第七条 不可抗力</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第八条 争议解决方法</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甲、乙双方因履行本合同发生争议时，应友好协商；协商不成时，可向甲方所在地人民法院提出诉讼。</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第九条 合同附件</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firstLine="482"/>
        <w:jc w:val="left"/>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第十条</w:t>
      </w:r>
      <w:r>
        <w:rPr>
          <w:rFonts w:hint="eastAsia" w:ascii="宋体" w:hAnsi="宋体" w:eastAsia="宋体" w:cs="宋体"/>
          <w:color w:val="000000"/>
          <w:sz w:val="24"/>
          <w:szCs w:val="24"/>
        </w:rPr>
        <w:t xml:space="preserve"> 甲方招标文件、乙方投标文件及乙方投标最终报价单、承诺等附属内容均为本合同一部分。</w:t>
      </w:r>
      <w:r/>
    </w:p>
    <w:p>
      <w:pPr>
        <w:ind w:firstLine="472"/>
        <w:jc w:val="left"/>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第十一条 其它</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1.本合同未尽事宜，由甲乙双方另行签订补充协议，补充协议是本合同的组成部分，与本合同具有同等法律效力。</w:t>
      </w:r>
      <w:r/>
    </w:p>
    <w:p>
      <w:pPr>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2.本合同壹式肆份，甲方执叁份，乙方执壹份。自双方签字、盖章之日生效。</w:t>
      </w:r>
      <w:r/>
    </w:p>
    <w:p>
      <w:pPr>
        <w:jc w:val="left"/>
        <w:keepLines w:val="0"/>
        <w:keepNext w:val="0"/>
        <w:pageBreakBefore w:val="0"/>
        <w:spacing w:before="156" w:after="156"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left"/>
        <w:keepLines w:val="0"/>
        <w:keepNext w:val="0"/>
        <w:pageBreakBefore w:val="0"/>
        <w:spacing w:before="156" w:after="156"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甲方：</w:t>
      </w:r>
      <w:r>
        <w:rPr>
          <w:rFonts w:hint="eastAsia" w:ascii="宋体" w:hAnsi="宋体" w:eastAsia="宋体" w:cs="宋体"/>
          <w:b/>
          <w:color w:val="000000"/>
          <w:sz w:val="24"/>
          <w:szCs w:val="24"/>
          <w:u w:val="single"/>
          <w:lang w:eastAsia="zh-CN"/>
        </w:rPr>
        <w:t xml:space="preserve">徐州经济技术开发区科技教育局</w:t>
      </w:r>
      <w:r>
        <w:rPr>
          <w:rFonts w:hint="eastAsia" w:ascii="宋体" w:hAnsi="宋体" w:eastAsia="宋体" w:cs="宋体"/>
          <w:b/>
          <w:color w:val="000000"/>
          <w:sz w:val="24"/>
          <w:szCs w:val="24"/>
        </w:rPr>
        <w:t xml:space="preserve">（盖章）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乙方：</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（盖章）</w:t>
      </w:r>
      <w:r/>
    </w:p>
    <w:p>
      <w:pPr>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b/>
          <w:color w:val="000000"/>
          <w:sz w:val="24"/>
          <w:szCs w:val="24"/>
        </w:rPr>
        <w:t xml:space="preserve">法定代表人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ab/>
      </w:r>
      <w:r/>
    </w:p>
    <w:p>
      <w:pPr>
        <w:jc w:val="left"/>
        <w:keepLines w:val="0"/>
        <w:keepNext w:val="0"/>
        <w:pageBreakBefore w:val="0"/>
        <w:spacing w:line="360" w:lineRule="auto"/>
        <w:widowControl/>
        <w:rPr>
          <w:rFonts w:hint="default" w:ascii="宋体" w:hAnsi="宋体" w:eastAsia="宋体" w:cs="宋体"/>
          <w:color w:val="000000"/>
          <w:sz w:val="24"/>
          <w:szCs w:val="24"/>
          <w:u w:val="single"/>
          <w:lang w:val="en-US" w:eastAsia="zh-CN"/>
        </w:rPr>
      </w:pPr>
      <w:r>
        <w:rPr>
          <w:rFonts w:hint="eastAsia" w:ascii="宋体" w:hAnsi="宋体" w:eastAsia="宋体" w:cs="宋体"/>
          <w:b/>
          <w:color w:val="000000"/>
          <w:sz w:val="24"/>
          <w:szCs w:val="24"/>
        </w:rPr>
        <w:t xml:space="preserve">委托代表人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b/>
          <w:color w:val="000000"/>
          <w:sz w:val="24"/>
          <w:szCs w:val="24"/>
        </w:rPr>
        <w:t xml:space="preserve">委托代表人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ab/>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开户银行</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b/>
          <w:color w:val="000000"/>
          <w:sz w:val="24"/>
          <w:szCs w:val="24"/>
        </w:rPr>
        <w:t xml:space="preserve">开户银行</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single"/>
        </w:rPr>
        <w:tab/>
      </w:r>
      <w:r>
        <w:rPr>
          <w:rFonts w:hint="eastAsia" w:ascii="宋体" w:hAnsi="宋体" w:eastAsia="宋体" w:cs="宋体"/>
          <w:color w:val="000000"/>
          <w:sz w:val="24"/>
          <w:szCs w:val="24"/>
          <w:u w:val="single"/>
        </w:rPr>
        <w:t xml:space="preserve">       </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帐    号</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none"/>
        </w:rPr>
        <w:t xml:space="preserve">   </w:t>
      </w:r>
      <w:r>
        <w:rPr>
          <w:rFonts w:hint="eastAsia" w:ascii="宋体" w:hAnsi="宋体" w:eastAsia="宋体" w:cs="宋体"/>
          <w:b/>
          <w:bCs/>
          <w:color w:val="000000"/>
          <w:sz w:val="24"/>
          <w:szCs w:val="24"/>
          <w:u w:val="none"/>
          <w:lang w:val="en-US" w:eastAsia="zh-CN"/>
        </w:rPr>
        <w:t xml:space="preserve">         </w:t>
      </w:r>
      <w:r>
        <w:rPr>
          <w:rFonts w:hint="eastAsia" w:ascii="宋体" w:hAnsi="宋体" w:eastAsia="宋体" w:cs="宋体"/>
          <w:b/>
          <w:color w:val="000000"/>
          <w:sz w:val="24"/>
          <w:szCs w:val="24"/>
        </w:rPr>
        <w:t xml:space="preserve">帐    号</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rPr>
          <w:rFonts w:hint="eastAsia" w:ascii="宋体" w:hAnsi="宋体" w:eastAsia="宋体" w:cs="宋体"/>
          <w:b/>
          <w:bCs/>
          <w:color w:val="000000"/>
          <w:sz w:val="24"/>
          <w:szCs w:val="24"/>
          <w:u w:val="single"/>
        </w:rPr>
        <w:tab/>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日    期</w:t>
      </w:r>
      <w:r>
        <w:rPr>
          <w:rFonts w:hint="eastAsia" w:ascii="宋体" w:hAnsi="宋体" w:eastAsia="宋体" w:cs="宋体"/>
          <w:color w:val="000000"/>
          <w:sz w:val="24"/>
          <w:szCs w:val="24"/>
        </w:rPr>
        <w:t xml:space="preserve">：   年   月  日           </w:t>
      </w:r>
      <w:r>
        <w:rPr>
          <w:rFonts w:hint="eastAsia" w:ascii="宋体" w:hAnsi="宋体" w:eastAsia="宋体" w:cs="宋体"/>
          <w:color w:val="000000"/>
          <w:sz w:val="24"/>
          <w:szCs w:val="24"/>
          <w:lang w:val="en-US" w:eastAsia="zh-CN"/>
        </w:rPr>
        <w:t xml:space="preserve">        </w:t>
      </w:r>
      <w:r>
        <w:rPr>
          <w:rFonts w:hint="eastAsia" w:ascii="宋体" w:hAnsi="宋体" w:eastAsia="宋体" w:cs="宋体"/>
          <w:b/>
          <w:color w:val="000000"/>
          <w:sz w:val="24"/>
          <w:szCs w:val="24"/>
        </w:rPr>
        <w:t xml:space="preserve">日    期</w:t>
      </w:r>
      <w:r>
        <w:rPr>
          <w:rFonts w:hint="eastAsia" w:ascii="宋体" w:hAnsi="宋体" w:eastAsia="宋体" w:cs="宋体"/>
          <w:color w:val="000000"/>
          <w:sz w:val="24"/>
          <w:szCs w:val="24"/>
        </w:rPr>
        <w:t xml:space="preserve">：  年   月   日</w:t>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合同附件</w:t>
      </w:r>
      <w:r/>
    </w:p>
    <w:p>
      <w:pPr>
        <w:ind w:firstLine="560"/>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目录</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合同附件1：合同协议书</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合同附件2：技术规格和技术性能</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(要求见招标文件第六章《采购需求》；合同见卖方投标文件。)</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合同附件3：售后服务和技术培训</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(要求见招标文件第六章《采购需求》；合同见卖方投标文件。)</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合同附件4：供货范围和价格清单</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(要求见招标文件第七章《投标文件相关格式》中《开标一览表》和《分项价格表》；合同见卖方投标文件。)</w:t>
      </w:r>
      <w:r/>
    </w:p>
    <w:p>
      <w:pPr>
        <w:ind w:firstLine="56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bookmarkEnd w:id="17"/>
      <w:r/>
      <w:bookmarkEnd w:id="18"/>
      <w:r/>
      <w:r/>
    </w:p>
    <w:p>
      <w:pPr>
        <w:pStyle w:val="920"/>
        <w:rPr>
          <w:rFonts w:hint="eastAsia" w:ascii="宋体" w:hAnsi="宋体" w:eastAsia="宋体" w:cs="宋体"/>
          <w:color w:val="000000"/>
          <w:sz w:val="24"/>
          <w:szCs w:val="24"/>
        </w:rPr>
      </w:pPr>
      <w:r/>
      <w:bookmarkStart w:id="19" w:name="_Toc522790136"/>
      <w:r/>
      <w:bookmarkStart w:id="20" w:name="_Toc523404701"/>
      <w:r>
        <w:rPr>
          <w:rFonts w:hint="eastAsia" w:ascii="宋体" w:hAnsi="宋体" w:eastAsia="宋体" w:cs="宋体"/>
          <w:color w:val="000000"/>
          <w:sz w:val="24"/>
          <w:szCs w:val="24"/>
        </w:rPr>
        <w:t xml:space="preserve">第六章  采购需求</w:t>
      </w:r>
      <w:r/>
    </w:p>
    <w:p>
      <w:pPr>
        <w:pStyle w:val="1005"/>
        <w:ind w:firstLine="60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一、采购标的</w:t>
      </w:r>
      <w:r/>
    </w:p>
    <w:p>
      <w:pPr>
        <w:ind w:firstLine="56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p>
    <w:p>
      <w:pPr>
        <w:ind w:firstLine="56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2.需求概况：</w:t>
      </w:r>
      <w:r>
        <w:rPr>
          <w:rFonts w:hint="eastAsia" w:ascii="宋体" w:hAnsi="宋体" w:eastAsia="宋体" w:cs="宋体"/>
          <w:color w:val="000000"/>
          <w:sz w:val="24"/>
          <w:szCs w:val="24"/>
          <w:lang w:eastAsia="zh-CN"/>
        </w:rPr>
        <w:t xml:space="preserve">结合我区入选第四批“央馆人工智能课程”规模化应用试点区(培育)工作部署，同步做好江苏省人工智能赋能教育行动试点区域申报准备工作，为桃园路小学等八所试点学校采购人工智能教育相关服务。主要采购内容包括:人工智能课程资源与教学平台服务、人工智能实验室及配套软硬件设施、教师AI教学能力培训服务、人工智能教育应用场景开发与技术支持等，确保试点学校具备开展人工智能教育教学的完整条件。</w:t>
      </w:r>
      <w:r/>
    </w:p>
    <w:p>
      <w:pPr>
        <w:ind w:firstLine="56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.本项目</w:t>
      </w:r>
      <w:r>
        <w:rPr>
          <w:rFonts w:hint="eastAsia" w:ascii="宋体" w:hAnsi="宋体" w:eastAsia="宋体" w:cs="宋体"/>
          <w:b/>
          <w:bCs/>
          <w:color w:val="000000"/>
          <w:sz w:val="24"/>
          <w:szCs w:val="24"/>
        </w:rPr>
        <w:t xml:space="preserve">不属于</w:t>
      </w:r>
      <w:r>
        <w:rPr>
          <w:rFonts w:hint="eastAsia" w:ascii="宋体" w:hAnsi="宋体" w:eastAsia="宋体" w:cs="宋体"/>
          <w:color w:val="000000"/>
          <w:sz w:val="24"/>
          <w:szCs w:val="24"/>
        </w:rPr>
        <w:t xml:space="preserve">专门面向中小企业采购的项目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且本项目采购的是</w:t>
      </w:r>
      <w:r>
        <w:rPr>
          <w:rFonts w:hint="eastAsia" w:ascii="宋体" w:hAnsi="宋体" w:eastAsia="宋体" w:cs="宋体"/>
          <w:b/>
          <w:bCs/>
          <w:color w:val="000000"/>
          <w:sz w:val="24"/>
          <w:szCs w:val="24"/>
          <w:lang w:val="en-US" w:eastAsia="zh-CN"/>
        </w:rPr>
        <w:t xml:space="preserve">非进口</w:t>
      </w:r>
      <w:r>
        <w:rPr>
          <w:rFonts w:hint="eastAsia" w:ascii="宋体" w:hAnsi="宋体" w:eastAsia="宋体" w:cs="宋体"/>
          <w:color w:val="000000"/>
          <w:sz w:val="24"/>
          <w:szCs w:val="24"/>
          <w:lang w:val="en-US" w:eastAsia="zh-CN"/>
        </w:rPr>
        <w:t xml:space="preserve">产品。</w:t>
      </w:r>
      <w:r/>
    </w:p>
    <w:p>
      <w:pPr>
        <w:pStyle w:val="1005"/>
        <w:ind w:firstLine="600"/>
        <w:spacing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二、采购项目预算金额</w:t>
      </w:r>
      <w:r>
        <w:rPr>
          <w:rFonts w:hint="eastAsia" w:ascii="宋体" w:hAnsi="宋体" w:eastAsia="宋体" w:cs="宋体"/>
          <w:b/>
          <w:bCs/>
          <w:color w:val="000000"/>
          <w:sz w:val="24"/>
          <w:szCs w:val="24"/>
          <w:lang w:val="en-US" w:eastAsia="zh-CN"/>
        </w:rPr>
        <w:t xml:space="preserve">要求</w:t>
      </w:r>
      <w:r/>
    </w:p>
    <w:p>
      <w:pPr>
        <w:pStyle w:val="1005"/>
        <w:ind w:firstLine="562"/>
        <w:keepLines w:val="0"/>
        <w:keepNext w:val="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（一）</w:t>
      </w:r>
      <w:r>
        <w:rPr>
          <w:rFonts w:hint="eastAsia" w:ascii="宋体" w:hAnsi="宋体" w:cs="宋体"/>
          <w:b w:val="0"/>
          <w:bCs/>
          <w:color w:val="000000"/>
          <w:sz w:val="24"/>
          <w:szCs w:val="24"/>
          <w:highlight w:val="none"/>
          <w:lang w:val="en-US" w:eastAsia="zh-CN"/>
        </w:rPr>
        <w:t xml:space="preserve">本项目预算金额为</w:t>
      </w:r>
      <w:r>
        <w:rPr>
          <w:rFonts w:hint="eastAsia" w:ascii="宋体" w:hAnsi="宋体" w:cs="宋体"/>
          <w:b/>
          <w:bCs w:val="0"/>
          <w:color w:val="000000"/>
          <w:sz w:val="24"/>
          <w:szCs w:val="24"/>
          <w:highlight w:val="none"/>
          <w:lang w:val="en-US" w:eastAsia="zh-CN"/>
        </w:rPr>
        <w:t xml:space="preserve">298万元</w:t>
      </w:r>
      <w:r>
        <w:rPr>
          <w:rFonts w:hint="eastAsia" w:ascii="宋体" w:hAnsi="宋体" w:cs="宋体"/>
          <w:b w:val="0"/>
          <w:bCs/>
          <w:color w:val="000000"/>
          <w:sz w:val="24"/>
          <w:szCs w:val="24"/>
          <w:highlight w:val="none"/>
          <w:lang w:val="en-US" w:eastAsia="zh-CN"/>
        </w:rPr>
        <w:t xml:space="preserve">人民币，</w:t>
      </w:r>
      <w:r>
        <w:rPr>
          <w:rFonts w:hint="eastAsia" w:ascii="宋体" w:hAnsi="宋体" w:eastAsia="宋体" w:cs="宋体"/>
          <w:b w:val="0"/>
          <w:bCs/>
          <w:color w:val="000000"/>
          <w:sz w:val="24"/>
          <w:szCs w:val="24"/>
          <w:highlight w:val="none"/>
        </w:rPr>
        <w:t xml:space="preserve">投标人报价应包括但不限于货物制造、运输、保险、设备保管、税费、材料费、装卸费、安装调试费、人员培训、售后服务等费用。采购人不再支付其他任何额外费用。</w:t>
      </w:r>
      <w:r/>
    </w:p>
    <w:p>
      <w:pPr>
        <w:pStyle w:val="1013"/>
        <w:ind w:firstLine="562"/>
        <w:keepLines w:val="0"/>
        <w:keepNext w:val="0"/>
        <w:pageBreakBefore w:val="0"/>
        <w:spacing w:line="52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特别提醒：该项目要求投标人按采购</w:t>
      </w:r>
      <w:r>
        <w:rPr>
          <w:rFonts w:hint="eastAsia" w:ascii="宋体" w:hAnsi="宋体" w:eastAsia="宋体" w:cs="宋体"/>
          <w:bCs/>
          <w:color w:val="000000"/>
          <w:sz w:val="24"/>
          <w:szCs w:val="24"/>
          <w:lang w:val="en-US" w:eastAsia="zh-CN"/>
        </w:rPr>
        <w:t xml:space="preserve">目录</w:t>
      </w:r>
      <w:r>
        <w:rPr>
          <w:rFonts w:hint="eastAsia" w:ascii="宋体" w:hAnsi="宋体" w:eastAsia="宋体" w:cs="宋体"/>
          <w:bCs/>
          <w:color w:val="000000"/>
          <w:sz w:val="24"/>
          <w:szCs w:val="24"/>
        </w:rPr>
        <w:t xml:space="preserve">清单报价；投标报价为采购清单总价。</w:t>
      </w:r>
      <w:r/>
    </w:p>
    <w:p>
      <w:pPr>
        <w:numPr>
          <w:ilvl w:val="0"/>
          <w:numId w:val="0"/>
        </w:numPr>
        <w:ind w:firstLine="482"/>
        <w:keepLines w:val="0"/>
        <w:keepNext w:val="0"/>
        <w:pageBreakBefore w:val="0"/>
        <w:spacing w:line="560" w:lineRule="exact"/>
        <w:widowControl w:val="off"/>
        <w:rPr>
          <w:rFonts w:hint="eastAsia" w:ascii="仿宋" w:hAnsi="仿宋" w:eastAsia="仿宋" w:cs="仿宋"/>
          <w:i w:val="0"/>
          <w:iCs w:val="0"/>
          <w:color w:val="000000"/>
          <w:sz w:val="24"/>
          <w:szCs w:val="24"/>
          <w:u w:val="none"/>
          <w:lang w:val="en-US" w:eastAsia="zh-CN" w:bidi="ar"/>
        </w:rPr>
        <w:outlineLvl w:val="0"/>
      </w:pPr>
      <w:r>
        <w:rPr>
          <w:rFonts w:hint="eastAsia" w:ascii="宋体" w:hAnsi="宋体" w:eastAsia="宋体" w:cs="宋体"/>
          <w:b/>
          <w:bCs w:val="0"/>
          <w:color w:val="000000"/>
          <w:sz w:val="24"/>
          <w:szCs w:val="24"/>
          <w:lang w:val="en-US" w:eastAsia="zh-CN" w:bidi="ar-SA"/>
        </w:rPr>
        <w:t xml:space="preserve">三、采购目录清单</w:t>
      </w:r>
      <w:r/>
    </w:p>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小学AI实验室</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bl>
      <w:tblPr>
        <w:tblStyle w:val="75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16"/>
        <w:gridCol w:w="4668"/>
        <w:gridCol w:w="1218"/>
        <w:gridCol w:w="1420"/>
      </w:tblGrid>
      <w:tr>
        <w:trPr>
          <w:jc w:val="center"/>
          <w:trHeight w:val="454"/>
          <w:tblHeader/>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单位</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人工智能教材（入门）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人工智能教材（基础）</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人工智能教学应用系统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人工智能主题课程-小学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AI智慧黑板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AI教学平板（教师机）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AI教学平板（学生机）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综合实践开源硬件-I</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开源硬件系统软件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机器人拼接地图板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智能助教机器人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四足机器人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可编程空中飞行器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AI智能交互教学终端</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无线路由器</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bl>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中学AI实验室</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bl>
      <w:tblPr>
        <w:tblStyle w:val="75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16"/>
        <w:gridCol w:w="4668"/>
        <w:gridCol w:w="1218"/>
        <w:gridCol w:w="1420"/>
      </w:tblGrid>
      <w:tr>
        <w:trPr>
          <w:jc w:val="center"/>
          <w:trHeight w:val="454"/>
          <w:tblHeader/>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单位</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人工智能教材（进阶）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人工智能教学应用系统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人工智能主题课程-初中</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AI智慧黑板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AI教学平板（教师机）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AI教学平板（学生机）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综合实践开源硬件-II</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开源硬件系统软件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机器人拼接地图板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赛事套装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四足机器人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可编程空中飞行器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AI智能交互教学终端</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4669"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无线路由器</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bl>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一贯制学校AI实验室</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bl>
      <w:tblPr>
        <w:tblStyle w:val="755"/>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16"/>
        <w:gridCol w:w="4668"/>
        <w:gridCol w:w="1218"/>
        <w:gridCol w:w="1420"/>
      </w:tblGrid>
      <w:tr>
        <w:trPr>
          <w:jc w:val="center"/>
          <w:trHeight w:val="454"/>
          <w:tblHeader/>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
              </w:rPr>
              <w:suppressLineNumbers w:val="0"/>
            </w:pPr>
            <w:r>
              <w:rPr>
                <w:rFonts w:hint="eastAsia" w:ascii="宋体" w:hAnsi="宋体" w:eastAsia="宋体" w:cs="宋体"/>
                <w:b/>
                <w:i w:val="0"/>
                <w:iCs w:val="0"/>
                <w:color w:val="000000"/>
                <w:sz w:val="21"/>
                <w:szCs w:val="21"/>
                <w:u w:val="none"/>
                <w:lang w:val="en-US" w:eastAsia="zh-CN" w:bidi="ar"/>
              </w:rPr>
              <w:t xml:space="preserve">单位</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人工智能教材（入门）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人工智能教材（基础）</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人工智能教材（进阶）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人工智能教学应用系统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人工智能主题课程-一贯制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AI智慧黑板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AI教学平板（教师机）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AI教学平板（学生机）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学生机AI教学平板软件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综合实践开源硬件-II</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开源硬件系统软件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教学机器人软件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机器人拼接地图板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智能驾驶小车系统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综合拼接地图板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赛事套装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四足机器人</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可编程空中飞行器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AI智能交互教学终端</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jc w:val="center"/>
          <w:trHeight w:val="454"/>
        </w:trPr>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466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无线路由器</w:t>
            </w:r>
            <w:r/>
          </w:p>
        </w:tc>
        <w:tc>
          <w:tcPr>
            <w:shd w:val="clear" w:color="auto" w:fill="auto"/>
            <w:tcBorders>
              <w:top w:val="single" w:color="000000" w:sz="4" w:space="0"/>
              <w:left w:val="single" w:color="000000" w:sz="4" w:space="0"/>
              <w:bottom w:val="single" w:color="auto" w:sz="4" w:space="0"/>
              <w:right w:val="none" w:color="000000" w:sz="4" w:space="0"/>
            </w:tcBorders>
            <w:tcMar>
              <w:left w:w="-1" w:type="dxa"/>
              <w:top w:w="-1" w:type="dxa"/>
              <w:right w:w="-1" w:type="dxa"/>
              <w:bottom w:w="-1" w:type="dxa"/>
            </w:tcMar>
            <w:tcW w:w="121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Mar>
              <w:left w:w="-1" w:type="dxa"/>
              <w:top w:w="-1" w:type="dxa"/>
              <w:right w:w="-1" w:type="dxa"/>
              <w:bottom w:w="-1" w:type="dxa"/>
            </w:tcMar>
            <w:tcW w:w="14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bl>
    <w:p>
      <w:pPr>
        <w:rPr>
          <w:rFonts w:hint="eastAsia"/>
          <w:lang w:val="en-US" w:eastAsia="zh-CN"/>
        </w:rPr>
      </w:pPr>
      <w:r>
        <w:rPr>
          <w:rFonts w:hint="eastAsia"/>
          <w:lang w:val="en-US" w:eastAsia="zh-CN"/>
        </w:rPr>
      </w:r>
      <w:r/>
    </w:p>
    <w:p>
      <w:pPr>
        <w:pStyle w:val="1005"/>
        <w:numPr>
          <w:ilvl w:val="0"/>
          <w:numId w:val="3"/>
        </w:numPr>
        <w:ind w:firstLine="723"/>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p>
    <w:p>
      <w:pPr>
        <w:pStyle w:val="1012"/>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26"/>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46"/>
        <w:ind w:firstLine="480"/>
        <w:keepLines/>
        <w:keepNext/>
        <w:pageBreakBefore w:val="0"/>
        <w:spacing w:before="120" w:after="181" w:line="360" w:lineRule="auto"/>
        <w:widowControl w:val="off"/>
        <w:rPr>
          <w:rFonts w:hint="default"/>
          <w:sz w:val="24"/>
          <w:szCs w:val="24"/>
          <w:lang w:val="en-US" w:eastAsia="zh-CN"/>
        </w:rPr>
      </w:pPr>
      <w:r>
        <w:rPr>
          <w:rFonts w:hint="eastAsia"/>
          <w:sz w:val="24"/>
          <w:szCs w:val="24"/>
          <w:lang w:val="en-US" w:eastAsia="zh-CN"/>
        </w:rPr>
        <w:t xml:space="preserve">4.1小学人工智能实验室</w:t>
      </w:r>
      <w:r/>
    </w:p>
    <w:tbl>
      <w:tblPr>
        <w:tblStyle w:val="779"/>
        <w:tblW w:w="50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984"/>
        <w:gridCol w:w="1180"/>
        <w:gridCol w:w="5705"/>
      </w:tblGrid>
      <w:tr>
        <w:trPr/>
        <w:tc>
          <w:tcPr>
            <w:tcW w:w="463" w:type="pct"/>
            <w:vAlign w:val="center"/>
            <w:textDirection w:val="lrTb"/>
            <w:noWrap w:val="false"/>
          </w:tcPr>
          <w:p>
            <w:pPr>
              <w:ind w:left="0" w:firstLine="0"/>
              <w:jc w:val="center"/>
              <w:spacing w:after="0"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序号</w:t>
            </w:r>
            <w:r/>
          </w:p>
        </w:tc>
        <w:tc>
          <w:tcPr>
            <w:tcW w:w="567" w:type="pct"/>
            <w:vAlign w:val="center"/>
            <w:textDirection w:val="lrTb"/>
            <w:noWrap w:val="false"/>
          </w:tcPr>
          <w:p>
            <w:pPr>
              <w:ind w:left="0" w:firstLine="0"/>
              <w:jc w:val="center"/>
              <w:spacing w:after="0"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建设场景</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建设内容</w:t>
            </w:r>
            <w:r/>
          </w:p>
        </w:tc>
        <w:tc>
          <w:tcPr>
            <w:tcW w:w="3287" w:type="pct"/>
            <w:vAlign w:val="center"/>
            <w:textDirection w:val="lrTb"/>
            <w:noWrap w:val="false"/>
          </w:tcPr>
          <w:p>
            <w:pPr>
              <w:ind w:left="0" w:firstLine="0"/>
              <w:jc w:val="center"/>
              <w:spacing w:after="0"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功能参数</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人工智能通识学习</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人工智能教材（入门）</w:t>
            </w:r>
            <w:r/>
          </w:p>
        </w:tc>
        <w:tc>
          <w:tcPr>
            <w:tcW w:w="3287" w:type="pct"/>
            <w:vAlign w:val="center"/>
            <w:textDirection w:val="lrTb"/>
            <w:noWrap w:val="false"/>
          </w:tcPr>
          <w:p>
            <w:pPr>
              <w:ind w:left="0" w:firstLine="0"/>
              <w:jc w:val="both"/>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1、课本需经出版社出版发行，具有标准书号；</w:t>
            </w:r>
            <w:r/>
          </w:p>
          <w:p>
            <w:pPr>
              <w:ind w:left="0" w:firstLine="0"/>
              <w:jc w:val="both"/>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2、课本内容需涵盖生活中的人工智能、社会中的人工智能、智能语音技术、智能学伴、智能小助理等。</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人工智能教材（基础）</w:t>
            </w:r>
            <w:r/>
          </w:p>
        </w:tc>
        <w:tc>
          <w:tcPr>
            <w:tcW w:w="3287" w:type="pct"/>
            <w:vAlign w:val="center"/>
            <w:textDirection w:val="lrTb"/>
            <w:noWrap w:val="false"/>
          </w:tcPr>
          <w:p>
            <w:pPr>
              <w:ind w:left="0" w:firstLine="0"/>
              <w:jc w:val="both"/>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sz w:val="21"/>
                <w:szCs w:val="21"/>
                <w:highlight w:val="none"/>
                <w:vertAlign w:val="baseline"/>
                <w:lang w:val="en-US" w:eastAsia="zh-CN"/>
              </w:rPr>
              <w:t xml:space="preserve">课本需经出版社出版发行，具有标准书号；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2、课本内容需涵盖计算机视觉技术、声纹识别与超声避障等。</w:t>
            </w:r>
            <w:r/>
          </w:p>
        </w:tc>
      </w:tr>
      <w:tr>
        <w:trPr>
          <w:trHeight w:val="7771"/>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人工智能教学应用系统</w:t>
            </w:r>
            <w:r/>
          </w:p>
        </w:tc>
        <w:tc>
          <w:tcPr>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平台功能需具有课程中心管理、 AI 编程、项目设计管理、师训中心管理、 AI 大讲堂管理、 AI 班级管理、信息统计等应用模块。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一、课程中心管理：需具有资源上传、资源下载、资源预览、资源检索功能：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1、资源上传：需支持文档类文件、图片类文件、视频类文件的上传与播放浏览；</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2、资源下载：需支持下载单个资源到本地和打包下载一节课下的所有资源（除视频）到本地；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3、资源预览：需支持文档类文件与视频类文件的在线预览与播放；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4、资源检索：需支持通过关键词检索资源。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二、 A I 编程至少提供图形化、 Python 编程界面，需支持师生根据需要选择编程方式，进行拼接、移动、组合完成编程作品。同时支持将编 程好的成果发送给机器设备软件接收并运行。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▲1、编程能力需包括基础能力（运动、外观、声音、运算、变量、流程等）和 AI 能力（文字识别、人脸识别、物体识别、机器 翻译、人机对话等人工智能能力）供编程调用；</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2、具有编程成果管理系统，需支持将编程成果进行分类存储保存在云端；支持对编程成果重新命名、保存、删除、复制、分享；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3、具有编程样例，需支持在线编辑、修改并保存到自己的成果中，供老师参考教学。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三、项目设计管理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2、项目修改：平台需支持教师端使用模板创建项目，重新选择适用年级、关联课程、可使用的编程硬件、需要关联的实验等信息；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3、项目发布：平台需支持快速发布项目、创建项目小组、查看项目详情；</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4、项目查看：平台需支持教师查看班级中小组参与项目的完成度；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5、评价与反思: 平台需支持教师查看项目及评价情况，支持学生查看项目情况与即时评价与反思。</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四、师训中心管理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1、师训课程资源：提供人工智能师训课程，课程以视频形式呈现。课程主题需包含机器学习、深度学习、语音合成、语音识别、声纹识别、语音评测、文字识别、人脸识别。</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2、课程筛选：平台需提供师训课程筛选服务，可根据学段、分类等信息进行筛选。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3、课程推荐：需提供师训课程浏览和推荐服务。未完成的课程可先收藏后继续学习。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五、 AI 讲堂管理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1、资源类型：包含但不限于 AI 技术探究、AI应用学习、AI前沿发展；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2、资源领域：≥12 种，包含但不限于大数据、机器视觉、开发技术、智能硬件、人机交互、语音转写、 AI 体育、 AI 游戏、 AI 生活、 AI 医疗、 AI 人才、 AI 教育；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3、资源难度：需支持按初级、中级、高级三个难度等级进行筛选；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4、资源查询：提供 AI 讲堂资源查询服务，支持用户登录平台后根据关键词（如：语音唤醒、语音转写、声纹识别、机器翻译等）进行课 程查询；</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5、资源评论：需提供资源评论服务，在每节资源下方设置评论模块，支持用户发表文字评论；</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6、资源推荐：需提供推荐服务，支持根据用户学习内容推荐相关资源；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六、 AI 班级管理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需支持按班级名称、班级 ID 以及创建时间实施教师创建、加入管理 AI 班级，可查看学生成果数量，管理班级中的其他教师和学生。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七、信息统计：需支持对累计备授课数、线上培训、学生人数、学生成果等多维度数据进行实时统计展示。</w:t>
            </w:r>
            <w:r/>
          </w:p>
        </w:tc>
      </w:tr>
      <w:tr>
        <w:trPr>
          <w:trHeight w:val="3087"/>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人工智能主题课程-小学</w:t>
            </w:r>
            <w:r/>
          </w:p>
        </w:tc>
        <w:tc>
          <w:tcPr>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1、需提供小学阶段≥38课时人工智能主题相关的教学资源，包含但不限于：教学设计、课件、视频、学习单、教师手册等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2、课程内容包含但不限于：生活中的人工智能、社会中的人工智能、声纹识别与超声避障、计算机视觉技术的发展与应用、人工智能对学习的发展和影响等。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▲3、课程配套的感知实验≥5个，以微课视频形式展现，包括但不限于：社会中的AI、学习中的AI、生活中的AI、问答系统、机器翻译等。</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tc>
      </w:tr>
      <w:tr>
        <w:trPr>
          <w:trHeight w:val="11068"/>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教师授课</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AI智慧黑板</w:t>
            </w:r>
            <w:r/>
          </w:p>
        </w:tc>
        <w:tc>
          <w:tcPr>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一、整机参数</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整机屏幕采用UHD超高清A规LED液晶屏，屏幕显示尺寸≥86英寸，16:9显示比例，屏幕物理分辨率≥3840×2160；采用红外触控技术，支持手指、书写笔等非透明物体触控书写；双系统下支持≥50点同步触控与书写，触摸分辨率≥32768×32768。</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整机屏幕采用全物理钢化防眩光玻璃，玻璃厚度≤4mm，表面硬度≥9H、莫氏硬度≥7级，抗冲击、防刮耐磨，适配校园高频使用、运输及日常运维场景，有效保护屏幕显示效果。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3、整机背光系统支持DC无级调光，多级亮度可调，无频闪、无画面闪烁，闪烁等级≤-30dB（60Hz），完全符合《GB 40070-2021儿童青少年学习用品近视防控卫生要求》，护眼防疲劳。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4、整机前置非转接物理接口数量≥5个，包含≥1路HDMI接口、≥2路USB3.0双通道接口（双系统均可识别使用）、≥1路全功能Type-C接口（支持数据传输、充电）、≥1路Touch触摸专用USB-Type-B接口。</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整机需具有前置按键，数量≥6个，包含开关机、护眼、主页、音量+、音量-、多功能。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6、整机搭载嵌入式智能系统，系统版本≥Android 13，CPU为八核及以上处理器，运行内存≥4GB，机身存储≥32GB，硬件配置满足教学软件运行、资源缓存、多任务后台运行需求，运行稳定流畅。</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整机内置2.2声道立体声音响系统，下边框一体式出音设计，配置全频+高音组合扬声器，最大峰值功率≥80W，语言清晰度（STI-PA）≥0.8；100%音量状态下，1米处声压级≥90dB、10米处声压级≥85dB，全域声场均匀，适配教室整体扩声教学场景，无杂音、无远近响度明显差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整机需内置高清广角摄像头，结构采用非独立设计；像素≥5000万像素，需支持输出8192×6144pix的照片；需支持3D降噪算法，图像信噪比≥40db，支持输出MJPG视频格式；摄像头需支持生物特征识别，如面部识别功能，支持AI识别人像，最大距离≥10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9、整机需内置非独立外扩展麦克风阵列，麦克风数量≥8个，180°广角拾音，有效拾音距离≥12m。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10、整机前置面板配备隐藏式针孔Windows系统一键还原按键，无需专业人员即可修复电脑系统故障，规避误触问题。</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11、整机支持一网通功能，单根网线即可实现Windows、嵌入式双系统同时上网；搭载WiFi6模块，支持2.4G、5GHz双频WiFi，满足IEEE 802.11 a/b/g/n/ac/ax协议；内置蓝牙5.4及以上模块，无线工作距离≥12m。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12、整机双系统下，需支持在任意信号源通道下，都可调出侧边栏快捷菜单，菜单含中控导航、系统切换、小工具、快捷设置、亮度/音量调节；整机侧边栏小工具包括但不限于：批注、截屏、计时、降半屏、冻屏、投票器、日历、聚光灯、放大。</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13、</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整机配备全局悬浮菜单，单指可调用至屏幕任意位置，任意信号源通道均可唤起，支持批注、擦除、信号源快速切换，悬浮菜单信号源支持自定义修改、一键直达。</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14、整机系统下，书写白板需支持迷你白板，从底部向上划，可以快速唤出迷你白板，功能包括画笔、擦除、二维码、最小化功能。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二、内置OPS电脑</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1、整机架构:为降低电脑模块维护成本，接口需严格遵循通用OPS相关规范,针脚数为行业通用≥80Pin ,与大屏无单独接线。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2、整机OPS电脑安装结构需支持按压式卡扣或螺丝固定模式，抽拉式安装，无需工具就可快速拆卸电脑模块。</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3、CPU需支持：≥8核12线程，主频≥2GHz，内存≥8G，硬盘≥256G SSD。</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4、USB接口要求：USB3.0和USB2.0 不少于6个。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5、其他接口要求：需支持网络接口不少于1个，DP输出接口不少于1个，HDMI不少于1个，耳机输出接口不少于1个，麦克风输入接口不少于1个。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6、Wi-Fi 6：需支持802.11b/g/n/ac/ax；蓝牙需支持Bluetooth 4.2及以上。</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三、两开拼接黑板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两边各一块平板与一体机平齐装配，板与一体机之间需有搭扣锁或收紧装置收紧缝隙 ，视觉上具备一体化视觉效果。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2、书写板面：采用树脂漆烤漆钢板，厚度≥0.35mm。双面涂层，表面附有无色透明保护膜，表面光滑，不反光、耐刮、耐磨、不变形、不打滑，天地盖四面折边整板无拼接。</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3、书写面颜色为哑光黑色。光泽度≤6%，在灯光下没有明显眩光。</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4、内芯材料：采用高强度铝蜂窝板，铝蜂窝锌规格A5*0.04*10mm。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5、采用绿板专用环保双组份聚氨酯胶水作为胶黏剂，粘合强度高，不易脱胶。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6、背板：0.3mm厚镀锌钢板（铅铬镉汞砷等重金属检测符合GB 21027-2020《学生用品的安全通用要求》）。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7、蜂窝板折弯工艺：天地盖四面折边整板无拼接。看面≤1mm挤塑包边与面背板卡扣连接装饰，保护边缘转角，防止磕碰变形。</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8、挂架可前后、上下调节，通过梅花或蝴蝶柄螺丝锁止，达到与一体机完美契合、解决因墙面不平整造成无法与一体机齐平的问题。</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shd w:val="clear" w:color="auto" w:fill="auto"/>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AI教学平板（教师机）</w:t>
            </w:r>
            <w:r/>
          </w:p>
        </w:tc>
        <w:tc>
          <w:tcPr>
            <w:shd w:val="clear" w:color="auto" w:fill="auto"/>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1、CPU：八核心，最高主频≥2.8 GHz;</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3、存储容量：≥256GB；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4、屏幕尺寸：≥11英寸，屏幕分辨率：≥1920*1200；</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10、标配皮套与手写笔。</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教师机AI教学平板软件</w:t>
            </w:r>
            <w:r/>
          </w:p>
        </w:tc>
        <w:tc>
          <w:tcPr>
            <w:tcW w:w="3287"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1.需提供教师操控界面，提供自由编程系统、成果管理系统。</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学生编程</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AI教学平板（学生机）</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4、屏幕尺寸：≥10英寸，屏幕分辨率：≥1920*1200；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学生机AI教学平板软件</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1.需提供学生操控界面，提供自由编程系统、成果管理系统。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互动教具</w:t>
            </w:r>
            <w:r/>
          </w:p>
        </w:tc>
        <w:tc>
          <w:tcPr>
            <w:shd w:val="clear" w:color="auto" w:fill="auto"/>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综合实践开源硬件-I</w:t>
            </w:r>
            <w:r/>
          </w:p>
        </w:tc>
        <w:tc>
          <w:tcPr>
            <w:shd w:val="clear" w:color="auto" w:fill="auto"/>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1、需提供≥6种传感器，包含但不限于土壤温度传感器（≥1个）、土壤湿度传感器（≥1个）、光敏传感器（≥2个）、环境温湿度传感器（≥1个）、颜色传感器（≥1个）、红外传感器（≥1个）；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2、其他组件需包含：AI能力集成板（≥1个）、编码电机（≥2个）、伺服电机（≥1个）、循线板（≥1个）、摄像头（≥1个）、LED灯（≥2个）；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开源硬件系统软件</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1、需支持响应平板和电脑完成的编程，支持搭建完成的不同形态硬件响应AI图形化编程和Python编程结果。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2、需支持响应教学平板和电脑的AI能力编程调用，与用户进行交互，展现包含但不限于文字识别、人脸识别、物体识别等人工智能能力；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●3、需支持屏幕回显，支持将屏幕回显至平板屏幕进行显示。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教学机器人</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2、存储空间：≥2GB RAM，≥16GB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3、摄像头： ≥500万像素；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4、显示屏： ≥5.9英寸，LCD屏；屏幕分辨率≥1440*720；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5、电池容量：≥ 3200mAh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6、拾音距离：≥2m；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7、具备移动功能；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8、需支持外接传感器及积木件，且需支持接口混插，实现教具间功能互通；</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教学机器人软件</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提供用户主动设置WiFi的入口，支持通过WiFi与平板教学软件进行连接；</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需支持响应平板完成的编程程序在机器人上运行，包含基础能力运行（如：运动、外观、声音、运算等），也包含AI能力运行，其中AI能力需满足：</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（1）需支持响应语音唤醒AI能力调用：支持响应所选择唤醒词，用语音将机器人从待机状态唤醒；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●（2）需支持响应语音合成AI能力调用，支持响应选择不同发音人和自主编辑合成的内容，让机器人用对应发音人声音说出对应内容；</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●（3）需支持响应语音评测AI能力调用：支持响应设定中英文词语或句子，在机器人上实现中英文发音评测，并反馈评测得分；</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▲（4）需支持响应机器翻译AI能力调用：支持响应将中文翻译成英文，也支持响应将英文翻译成中文，并将翻译结果显示在屏幕上；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（5）需支持响应声纹识别AI能力调用：支持注册声纹信息，让机器人能够通过声纹识别出用户信息；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●（6）需支持响应语音转写AI能力调用：让机器人能够将语音转化为文字，并显示在屏幕上；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▲（7）需支持响应文字识别AI能力调用：让机器人能够通过拍照手写体的英文或数字，并识别后转写成印刷体，在屏幕上进行显示；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▲（8）需支持响应人脸识别AI能力调用：支持注册人脸信息，让机器人能够通过人脸识别出用户信息，识别结果可以在屏幕上进行显示；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▲（9）需支持响应物体识别AI能力调用：支持机器人利用摄像头，自动识别出现在取景框里的物体名称，识别结果可在屏幕进行显示；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●（10）需支持响应人机对话AI能力调用：支持响应选择需要的人机对话技能，让机器人与用户能针对不同场景下对话，例如针对教育、生活等不同场景；</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●（11）需支持响应AI文本模型分类训练：支持响应自主建立文本分类模型，输入文本数据，训练分类模型，让机器人对输入的文本进行模式识别，识别结果可在屏幕进行显示。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机器人拼接地图板</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1、循线地图板≥28块：每块尺寸≥230*230*4mm，正面：黑色线条，反面：纯色无线条；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2、长条贴纸≥15张，方格贴纸≥100张：贴纸共四种颜色，每个颜色九张完整纸张。每个颜色包含5排方格贴纸，2排长条贴纸。</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智能驾驶小车</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1、处理器：≥八核，≥2.4GHz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2、麦克风：≥环形6麦克风阵列，灵敏度-38dB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3、扬声器：≥4Ω3W，外磁</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4、WIFI：≥2.4G/5G双频段，IEEE 802.11a/b/g/n/ac WLANs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5、电池：≥2600mAh;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6、摄像头：超广角≥200万像素，输出分辨率≥1080P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7、无刷直流电机：≥4组，空载转速≥300 rpm，堵转扭矩：≥10kg·cm或同等性能;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8、麦克纳姆轮：ABS轮毂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9、激光雷达：三角测距，探测距离0.28-16m；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10：存储：≥8GB RAM+64GB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11、IMU（惯性测量单元）：三轴陀螺仪，三轴加速度计，三轴磁力计</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智能驾驶小车系统</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1、需支持利用APP控制AI小车行驶运动，同时支持响应图形化和Python编程，实时控制AI小车和进行AI模型训练/AI能力调用。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基于SLAM导航训练：支持智能AI小车通过激光雷达扫描当前环境并实时构建地图，并支持智能小车在已完成雷达扫描建图的区域，规划导航行驶至任意指定点位，并可通过扫描模型进行自动到达指定点位的路径规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基于视觉的巡道训练：支持智能AI小车通过摄像头采集跑道数据、使用APP应用进行标记数据、并基于嵌入式GPU算力进行算法模型训练，可在已完成训练的跑道上按照训练模型的推理自动行驶，可搭配停止、左转、右转巡道标识牌实现更加多样、好玩的自动驾驶模拟体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4、需支持响应目标检测、目标跟随应用：支持智能AI小车通过摄像头实时检测实景画面，并将检测目标进行框定选择，可实现针对框定目标进行实时跟随运动。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5、需支持响应APP完成的编程程序在AI小车上运行，包含AI能力调用，与用户进行交互，AI能力包括：</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（1）需支持响应语音唤醒AI能力调用：支持响应所选择唤醒词，用语音将AI小车从待机状态唤醒；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（2）需支持响应语音合成AI能力调用，支持响应选择不同发音人和自主编辑合成的内容，让AI小车用对应发音人声音说出对应内容；</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（3）需支持响应语音评测AI能力调用：支持响应设定中英文词语或句子，在AI小车上实现中英文发音评测，并反馈评测得分；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（4）需支持响应声纹识别AI能力调用：支持注册声纹信息，让AI小车能够通过声纹识别出用户信息；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（5）需支持响应语音转写AI能力调用：让AI小车能够将听到的语音转化为文字，并显示在屏幕上；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（6）需支持响应文字识别AI能力调用：让AI小车能够通过拍照手写体的英文或数字，并识别后转写成印刷体，在屏幕上进行显示；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（7）需支持响应人脸识别AI能力调用：支持注册人脸信息，让AI小车能够通过人脸识别出用户信息，识别结果可以在屏幕上进行显示；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（8）需支持响应物体识别AI能力调用：支持AI小车利用摄像头，自动识别出现在取景框里的物体名称，识别结果可在屏幕进行显示；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（9）需支持响应人机对话AI能力调用：支持响应选择需要的人机对话技能，让AI小车与用户能针对不同场景下对话，例如针对教育、生活等不同场景；</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综合拼接地图板</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1、循线地图板≥64块：每块尺寸≥230*230*4mm，正面：黑色线条，反面：黄色线条；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2、贴纸≥12张：贴纸共四种颜色，每个颜色三张完整纸张。每个颜色包含5排方格贴纸，3排长条贴纸；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3、标签卡片≥8张：尺寸≥170*140mm</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shd w:val="clear" w:color="auto" w:fill="auto"/>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智能助教机器人</w:t>
            </w:r>
            <w:r/>
          </w:p>
        </w:tc>
        <w:tc>
          <w:tcPr>
            <w:shd w:val="clear" w:color="auto" w:fill="auto"/>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助教机器人需充当老师的智能助教，对比教学机器人的小巧灵活,助教机器人具有高度优势(≥1.2米),结合语音合成、人脸识别、物体识别、机器翻译、人及对话等人工智能能力的应用,可以作为“智能小学生”,帮助老师班级进行指令传达、小组纪律管控、班级智能门卫等等,也可以作为学生的智能学伴。</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1.操作方式：语音控制；触控；APP远程控制；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2.机身重量：≥5KG；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3.内存：≥4GB；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4.摄像头：≥1000万像素摄像头、3D摄像头；</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5.屏幕：≥10英寸LED，1280*800分辨率；</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6.无线连接：Wifi802.11AC、蓝牙BT4.0、红外线；</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7.传感器：防跌落传感器、超声波测距传感器、触控传感器；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8.续航能力：不少于18小时，持续使用不少于4小时不间断。</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四足机器人</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一、功能描述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1、需可实现AI边缘计算编程，例如骨骼识别，手势识别，人脸检测，语音识别等常用AI程序。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2、需可实现物体抓取，全向移动，六维姿态控制，多种运动步态及运动叠加，内置陀螺仪，可保持身体自平衡。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3、需配套编程示例，可以通过无线wifi对</w:t>
            </w:r>
            <w:r>
              <w:rPr>
                <w:rFonts w:hint="eastAsia" w:ascii="宋体" w:hAnsi="宋体" w:eastAsia="宋体" w:cs="宋体"/>
                <w:sz w:val="21"/>
                <w:szCs w:val="21"/>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进行AI编程。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4、伺服舵机需具有关节角度回读功能，可用于机器人示教。</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二、配置要求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ascii="宋体" w:hAnsi="宋体" w:eastAsia="宋体" w:cs="宋体"/>
                <w:sz w:val="21"/>
                <w:szCs w:val="21"/>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套件需包含不少于15个总线舵机；AI模组；机器狗驱动和钣金件；无线遥控器。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w:t>
            </w:r>
            <w:r>
              <w:rPr>
                <w:rFonts w:hint="eastAsia" w:ascii="宋体" w:hAnsi="宋体" w:eastAsia="宋体" w:cs="宋体"/>
                <w:sz w:val="21"/>
                <w:szCs w:val="21"/>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零件材质需为铝合金材质，阳极氧化上色，安全无毒。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3、定制串口总线伺服舵机，可实现精准动作的控制及表达。</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三、技术参数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1、舵机参数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（1）型号：串口总线舵机或同等类型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（2）输出扭矩：≥2.3KG•CM；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（3）转速（S/60°）：≥0.12 S/60°；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（4）精度：≥0.2</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（5）工作电压范围：4.8V～7.4V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（6）工作温度：-20℃～ +60℃；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（7）角度范围：0~300°；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（8）重量：13±1g。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（9）马达类型：铁芯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2、AI模组参数：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（1）内存模块：≥4GB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（2）屏幕：全彩≥2.0 TFT屏幕，可显示视频，图片及文字。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（3）喇叭：≥8欧2W</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（4）麦克风：双MEMS数字麦克风</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（5）按键：≥4个可编程按键。</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（6）摄像头：≥200万像素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（7）外接：串口，需支持mini hdmi和usb等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3、电源系统：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（1）充电器：≥5V/1A</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（2）电池：≥2500毫安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4、整机系统：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（1）尺寸：≥20*10*15CM；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（2）重量：≥520g；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（3）结构：≥1mm阳极氧化铝合金"</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可编程空中飞行器</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一、具体参数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1、高度：≥42mm；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2、产品重量：≥70g；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3、轴数：≥4；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4、螺旋桨：</w:t>
            </w:r>
            <w:r>
              <w:rPr>
                <w:rFonts w:ascii="宋体" w:hAnsi="宋体" w:eastAsia="宋体"/>
                <w:b w:val="0"/>
                <w:sz w:val="20"/>
                <w:highlight w:val="none"/>
              </w:rPr>
              <w:t xml:space="preserve">尺寸≥65mm</w:t>
            </w:r>
            <w:r>
              <w:rPr>
                <w:rFonts w:hint="eastAsia" w:ascii="宋体" w:hAnsi="宋体" w:eastAsia="宋体"/>
                <w:b w:val="0"/>
                <w:sz w:val="20"/>
                <w:highlight w:val="none"/>
                <w:lang w:eastAsia="zh-CN"/>
              </w:rPr>
              <w:t xml:space="preserve">；</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5、马达：空心杯电机；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6、轴距：≥120 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7、气压计：有；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8、飞行时间：8-10min；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9、LED：机身上下，4 个马达下各一个；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10、电池容量：≥1200mAh；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11、电压：4.35V；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12、电池类型：高压锂电池；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13、电源适配器：12V/3A 运行环境：需支持在 1 平米的范围内进行编程舞蹈；</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14、基本功能：需支持进行多机编队编舞灯光秀；</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15、飞行环境：需支持在室内黑暗环境下运行；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16、其他特点：灯光控制需支持编程、语音控制；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17、控制方式：需支持用安卓手机编程控制；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二、教学软件基本功能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1、菜单项需包含工程新建、打开、保存、另存为；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2、动作时间轴需包含动作组编辑、无人机添加、无人机状态显示、无人机舞蹈音乐；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3、控件区需包含基本功能控件、基础动作控件、显示控件、循环控件；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4、主程序区，图形化编程主程序拼接区，需支持通过拖拽图形化模块完成编程；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5、源码区，需支持实时显示主程序区的图形化编程代码 Python；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6、预览区，需支持对编程内容在三维空间进行 3D 预览展示，方便联机前反复优化编排预览效果。</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大模型互动平台</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AI 智能交互教学终端</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硬件：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1.屏幕尺寸：≥55英寸，屏幕分辨率：≥3840×2160，屏幕刷新率≥60Hz；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2.CPU：八核心，最高主频≥2.4GHz；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5.屏幕：需采用钢化玻璃，可视角度：≥178°（上下左右），全白场中心亮度≥350cd/m²；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6.触屏方式：≥5点触摸，响应时间≤20ms；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7.麦克风：≥8阵列，支持定向拾音、定距拾音、回音消除、环境抑噪、混响去除；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8.扬声器：需内置2声道扬声器，清晰度：STI≥0.65；在100%音量下，1米处声音响度≥78dB；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9.网络及通信：需支持千兆以太网，双频WiFi，需内置2.4G+5GHz双频频段；需内置蓝牙模块，支持蓝牙5.0标准；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10.系统：自带操作系统；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11.工作环境：产品使用寿命≥50000小时，工作温度：-10°C～50°C，存储温度：-20°C～60°C，保护开关：支持漏电保护；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12.物理形态：落地立式，高强度固定支架；</w:t>
            </w:r>
            <w:r/>
          </w:p>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配套软件：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1.需支持通过语音识别、语音合成、数字人技术，结合认知大模型与虚拟名人进行对话互动；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2.需提供不同类型的切换方式，应提供点击人物直接切换、屏幕左右滑动切换；</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▲3.虚拟人物形象需采用立体设计方案，人物形象应具有真实立体感，不同人物角色具有与其人物特征匹配的背景渲染；</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4.需提供适龄化的语言表达，如采用比喻或类比方式回应问题；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5.在与虚拟人互动时，虚拟人需具有动态口型效果；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6.需根据不同虚拟名人的人格属性，在回答同一问题时采用不同的思维角度进行差异化回答；</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7.需根据不同风格的虚拟人的属性，提供与匹配的拟人音色；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▲8.需提供≥10位不同风格的虚拟人物形象，包含但不限于科学探索、工程技术、文学艺术、哲学思辨、励志榜样、个性创意等方向；</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9.虚拟名人需有至少2种不同人物风格形象，应包括卡通类风格人物和拟人类（标准）风格的人物形象；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▲10.需支持智能分析并提取学生和虚拟人对话中产生的好问题，并将产生的好问题进行公开展示；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▲11.需提供AI绘画功能，支持通过语音交互对话，生成相应的AI绘画图片；</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12.需支持待机时展示科学领域素材；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13.需支持意见反馈，包括但不限于选择标签快捷反馈和录音反馈方式；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▲14.需支持对软件当前环境进行检测，包含网络测速检查与麦克风设备检查；</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15.需支持待机、重新启动、关机操作；需支持自定义进入待机时长；需支持自定义定时关机、定时开机、定时重启任务，支持自定义时间点和重复方式；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16.需支持系统内直接设置硬件亮度、声音等；需支持自动下载新版软件进行升级；</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17.需支持通过名称、人设等要素自定义创建不同的静态虚拟形象；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18.需支持自主上传自定义知识库，用于回答特定领域问题；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19.需支持自主上传展示素材，素材配置格式支持包含但不限于JPG、PNG、MP4；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20.需支持查看互动数据，包含提问、绘画、好问题的统计和明细。</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restart"/>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配套硬件</w:t>
            </w:r>
            <w:r/>
          </w:p>
        </w:tc>
        <w:tc>
          <w:tcPr>
            <w:tcW w:w="680" w:type="pct"/>
            <w:vAlign w:val="center"/>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充电车</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1、支持≥ 50 台及以上配套的平板电脑同时充电；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2、材质：需采用钢板材质，全封闭，安全防盗；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3、安全要求：电源开关需设有高压强电保护、漏电保护、过载保护。</w:t>
            </w:r>
            <w:r/>
          </w:p>
        </w:tc>
      </w:tr>
      <w:tr>
        <w:trPr/>
        <w:tc>
          <w:tcPr>
            <w:tcW w:w="463" w:type="pct"/>
            <w:vAlign w:val="center"/>
            <w:textDirection w:val="lrTb"/>
            <w:noWrap w:val="false"/>
          </w:tcPr>
          <w:p>
            <w:pPr>
              <w:numPr>
                <w:ilvl w:val="0"/>
                <w:numId w:val="4"/>
              </w:num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567" w:type="pct"/>
            <w:vAlign w:val="center"/>
            <w:vMerge w:val="continue"/>
            <w:textDirection w:val="lrTb"/>
            <w:noWrap w:val="false"/>
          </w:tcPr>
          <w:p>
            <w:pPr>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80" w:type="pct"/>
            <w:vAlign w:val="center"/>
            <w:textDirection w:val="lrTb"/>
            <w:noWrap w:val="false"/>
          </w:tcPr>
          <w:p>
            <w:pPr>
              <w:ind w:left="0" w:firstLine="0"/>
              <w:jc w:val="center"/>
              <w:spacing w:after="0" w:line="240" w:lineRule="auto"/>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无线路由器</w:t>
            </w:r>
            <w:r/>
          </w:p>
        </w:tc>
        <w:tc>
          <w:tcPr>
            <w:tcW w:w="3287"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1、以太网接口≥2个；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2、PoE: 802.3bt/at 供电；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3、内置物联网:需内置蓝牙 5.1/RFID/Zigbee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4、本地供电：需支持 54V DC；</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5、物联网扩展：需支持链式物联网扩展能力，最大需支持不少于 8 个 BLE、RFID、ZigBee 等全制式物联网扩展；</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6、发射功率(单路最大)：≥20dBm；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7、可调功率粒度：≥1dBm；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8、每射频最大接入用户数：≥510(整机最大接入用户数 1500）；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 AP≥40。</w:t>
            </w:r>
            <w:r/>
          </w:p>
        </w:tc>
      </w:tr>
    </w:tbl>
    <w:p>
      <w:pPr>
        <w:rPr>
          <w:rFonts w:hint="default"/>
          <w:lang w:val="en-US" w:eastAsia="zh-CN"/>
        </w:rPr>
      </w:pPr>
      <w:r>
        <w:rPr>
          <w:rFonts w:hint="default"/>
          <w:lang w:val="en-US" w:eastAsia="zh-CN"/>
        </w:rPr>
      </w:r>
      <w:r/>
    </w:p>
    <w:p>
      <w:pPr>
        <w:pStyle w:val="746"/>
        <w:spacing w:before="0" w:after="0"/>
        <w:rPr>
          <w:rFonts w:hint="eastAsia"/>
          <w:sz w:val="24"/>
          <w:szCs w:val="24"/>
          <w:lang w:val="en-US" w:eastAsia="zh-CN"/>
        </w:rPr>
      </w:pPr>
      <w:r>
        <w:rPr>
          <w:rFonts w:hint="eastAsia"/>
          <w:sz w:val="24"/>
          <w:szCs w:val="24"/>
          <w:lang w:val="en-US" w:eastAsia="zh-CN"/>
        </w:rPr>
      </w:r>
      <w:r/>
    </w:p>
    <w:p>
      <w:pPr>
        <w:pStyle w:val="746"/>
        <w:spacing w:before="0" w:after="0"/>
        <w:rPr>
          <w:rFonts w:hint="eastAsia"/>
          <w:sz w:val="24"/>
          <w:szCs w:val="24"/>
          <w:lang w:val="en-US" w:eastAsia="zh-CN"/>
        </w:rPr>
      </w:pPr>
      <w:r>
        <w:rPr>
          <w:rFonts w:hint="eastAsia"/>
          <w:sz w:val="24"/>
          <w:szCs w:val="24"/>
          <w:lang w:val="en-US" w:eastAsia="zh-CN"/>
        </w:rPr>
      </w:r>
      <w:r/>
    </w:p>
    <w:p>
      <w:pPr>
        <w:pStyle w:val="746"/>
        <w:spacing w:before="0" w:after="0"/>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lang w:val="en-US" w:eastAsia="zh-CN"/>
        </w:rPr>
      </w:pPr>
      <w:r>
        <w:rPr>
          <w:rFonts w:hint="eastAsia"/>
          <w:lang w:val="en-US" w:eastAsia="zh-CN"/>
        </w:rPr>
      </w:r>
      <w:r/>
    </w:p>
    <w:p>
      <w:pPr>
        <w:keepLines w:val="0"/>
        <w:keepNext w:val="0"/>
        <w:pageBreakBefore w:val="0"/>
        <w:spacing w:before="181"/>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4.2初中人工智能实验室</w:t>
      </w:r>
      <w:r/>
    </w:p>
    <w:tbl>
      <w:tblPr>
        <w:tblStyle w:val="7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985"/>
        <w:gridCol w:w="1181"/>
        <w:gridCol w:w="5544"/>
      </w:tblGrid>
      <w:tr>
        <w:trPr/>
        <w:tc>
          <w:tcPr>
            <w:tcW w:w="473"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序号</w:t>
            </w:r>
            <w:r/>
          </w:p>
        </w:tc>
        <w:tc>
          <w:tcPr>
            <w:tcW w:w="578"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建设场景</w:t>
            </w:r>
            <w:r/>
          </w:p>
        </w:tc>
        <w:tc>
          <w:tcPr>
            <w:tcW w:w="693"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建设内容</w:t>
            </w:r>
            <w:r/>
          </w:p>
        </w:tc>
        <w:tc>
          <w:tcPr>
            <w:tcW w:w="3254"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功能参数</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人工智能通识学习</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人工智能教材（进阶）</w:t>
            </w:r>
            <w:r/>
          </w:p>
        </w:tc>
        <w:tc>
          <w:tcPr>
            <w:tcW w:w="3254" w:type="pct"/>
            <w:vAlign w:val="center"/>
            <w:textDirection w:val="lrTb"/>
            <w:noWrap w:val="false"/>
          </w:tcPr>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1、课本</w:t>
            </w:r>
            <w:r>
              <w:rPr>
                <w:rFonts w:hint="eastAsia"/>
                <w:highlight w:val="none"/>
                <w:vertAlign w:val="baseline"/>
                <w:lang w:val="en-US" w:eastAsia="zh-CN"/>
              </w:rPr>
              <w:t xml:space="preserve">需</w:t>
            </w:r>
            <w:r>
              <w:rPr>
                <w:rFonts w:hint="eastAsia" w:ascii="Times New Roman" w:hAnsi="Times New Roman" w:eastAsia="宋体"/>
                <w:highlight w:val="none"/>
                <w:vertAlign w:val="baseline"/>
                <w:lang w:val="en-US" w:eastAsia="zh-CN"/>
              </w:rPr>
              <w:t xml:space="preserve">经出版社出版发行，具有标准书号；</w:t>
            </w:r>
            <w:r/>
          </w:p>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2、课本内容</w:t>
            </w:r>
            <w:r>
              <w:rPr>
                <w:rFonts w:hint="eastAsia"/>
                <w:highlight w:val="none"/>
                <w:vertAlign w:val="baseline"/>
                <w:lang w:val="en-US" w:eastAsia="zh-CN"/>
              </w:rPr>
              <w:t xml:space="preserve">需</w:t>
            </w:r>
            <w:r>
              <w:rPr>
                <w:rFonts w:hint="eastAsia" w:ascii="Times New Roman" w:hAnsi="Times New Roman" w:eastAsia="宋体"/>
                <w:highlight w:val="none"/>
                <w:vertAlign w:val="baseline"/>
                <w:lang w:val="en-US" w:eastAsia="zh-CN"/>
              </w:rPr>
              <w:t xml:space="preserve">涵盖大数据技术、机器学习技术、计算机视觉技术、智能语音技术、自然语言处理技术等基础知识点。</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人工智能教学应用系统</w:t>
            </w:r>
            <w:r/>
          </w:p>
        </w:tc>
        <w:tc>
          <w:tcPr>
            <w:tcW w:w="3254"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平台功能需具有课程中心管理、 AI 编程、项目设计管理、师训中心管理、 AI 大讲堂管理、 AI 班级管理、信息统计等应用模块。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一、课程中心管理：需具有资源上传、资源下载、资源预览、资源检索功能：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1、资源上传：需支持文档类文件、图片类文件、视频类文件的上传与播放浏览；</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2、资源下载：需支持下载单个资源到本地和打包下载一节课下的所有资源（除视频）到本地；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3、资源预览：需支持文档类文件与视频类文件的在线预览与播放；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4、资源检索：需支持通过关键词检索资源。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二、 A I 编程至少提供图形化、 Python 编程界面，需支持师生根据需要选择编程方式，进行拼接、移动、组合完成编程作品。同时支持将编 程好的成果发送给机器设备软件接收并运行。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▲1、编程能力需包括基础能力（运动、外观、声音、运算、变量、流程等）和 AI 能力（文字识别、人脸识别、物体识别、机器 翻译、人机对话等人工智能能力）供编程调用；</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2、具有编程成果管理系统，需支持将编程成果进行分类存储保存在云端；支持对编程成果重新命名、保存、删除、复制、分享；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3、具有编程样例，需支持在线编辑、修改并保存到自己的成果中，供老师参考教学。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三、项目设计管理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2、项目修改：平台需支持教师端使用模板创建项目，重新选择适用年级、关联课程、可使用的编程硬件、需要关联的实验等信息；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3、项目发布：平台需支持快速发布项目、创建项目小组、查看项目详情；</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4、项目查看：平台需支持教师查看班级中小组参与项目的完成度；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5、评价与反思: 平台需支持教师查看项目及评价情况，支持学生查看项目情况与即时评价与反思。</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四、师训中心管理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1、师训课程资源：提供人工智能师训课程，课程以视频形式呈现。课程主题需包含机器学习、深度学习、语音合成、语音识别、声纹识别、语音评测、文字识别、人脸识别。</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2、课程筛选：平台需提供师训课程筛选服务，可根据学段、分类等信息进行筛选。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3、课程推荐：需提供师训课程浏览和推荐服务。未完成的课程可先收藏后继续学习。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五、 AI 讲堂管理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1、资源类型：包含但不限于 AI 技术探究、AI应用学习、AI前沿发展；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2、资源领域：≥12 种，包含但不限于大数据、机器视觉、开发技术、智能硬件、人机交互、语音转写、 AI 体育、 AI 游戏、 AI 生活、 AI 医疗、 AI 人才、 AI 教育；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3、资源难度：需支持按初级、中级、高级三个难度等级进行筛选；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4、资源查询：提供 AI 讲堂资源查询服务，支持用户登录平台后根据关键词（如：语音唤醒、语音转写、声纹识别、机器翻译等）进行课 程查询；</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5、资源评论：需提供资源评论服务，在每节资源下方设置评论模块，支持用户发表文字评论；</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6、资源推荐：需提供推荐服务，支持根据用户学习内容推荐相关资源；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六、 AI 班级管理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需支持按班级名称、班级 ID 以及创建时间实施教师创建、加入管理 AI 班级，可查看学生成果数量，管理班级中的其他教师和学生。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七、信息统计：需支持对累计备授课数、线上培训、学生人数、学生成果等多维度数据进行实时统计展示。</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人工智能主题课程-初中</w:t>
            </w:r>
            <w:r/>
          </w:p>
        </w:tc>
        <w:tc>
          <w:tcPr>
            <w:tcW w:w="3254"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1、需提供初中阶段≥38课时人工智能主题相关的教学资源，包含但不限于：教学设计、课件、视频、学习单、教师手册等；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内容包含但不限于：人工智能技术的特点、人工智能的发展历史与应用、大数据技术的工作流程、大数据技术的发展与应用、机器学习技术的原理、机器学习技术的发展与应用、计算机视觉技术的原理、计算机视觉技术应用方案设计、智能语音技术的基本原理、智能语音应用方案设计、自然语言处理的基本方法、文档分类方案设计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配套的验证实验≥8个，支持师生通过简单的数据输入、参数修改等方式，辅助理解人工智能相关原理，以可视化交互形式展示，内容包括但不限于：大数据应用、机器学习、语音转换、语音分类、图像分类应用、人脸识别、机器识别、认识图像等；</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教师授课</w:t>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highlight w:val="none"/>
                <w:vertAlign w:val="baseline"/>
                <w:lang w:val="en-US" w:eastAsia="zh-CN"/>
              </w:rPr>
              <w:t xml:space="preserve">AI智慧黑板</w:t>
            </w:r>
            <w:r/>
          </w:p>
        </w:tc>
        <w:tc>
          <w:tcPr>
            <w:shd w:val="clear" w:color="auto" w:fill="auto"/>
            <w:tcW w:w="3254" w:type="pct"/>
            <w:vAlign w:val="center"/>
            <w:textDirection w:val="lrTb"/>
            <w:noWrap w:val="false"/>
          </w:tcPr>
          <w:p>
            <w:pPr>
              <w:ind w:left="0" w:firstLine="0"/>
              <w:jc w:val="both"/>
              <w:spacing w:after="0" w:line="240" w:lineRule="auto"/>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一、整机参数</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整机屏幕采用UHD超高清A规LED液晶屏，屏幕显示尺寸≥86英寸，16:9显示比例，屏幕物理分辨率≥3840×2160；采用红外触控技术，支持手指、书写笔等非透明物体触控书写；双系统下支持≥50点同步触控与书写，触摸分辨率≥32768×32768。</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整机屏幕采用全物理钢化防眩光玻璃，玻璃厚度≤4mm，表面硬度≥9H、莫氏硬度≥7级，抗冲击、防刮耐磨，适配校园高频使用、运输及日常运维场景，有效保护屏幕显示效果。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整机背光系统支持DC无级调光，多级亮度可调，无频闪、无画面闪烁，闪烁等级≤-30dB（60Hz），完全符合《GB 40070-2021儿童青少年学习用品近视防控卫生要求》，护眼防疲劳。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整机前置非转接物理接口数量≥5个，包含≥1路HDMI接口、≥2路USB3.0双通道接口（双系统均可识别使用）、≥1路全功能Type-C接口（支持数据传输、充电）、≥1路Touch触摸专用USB-Type-B接口。</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整机需具有前置按键，数量≥6个，包含开关机、护眼、主页、音量+、音量-、多功能。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整机搭载嵌入式智能系统，系统版本≥Android 13，CPU为八核及以上处理器，运行内存≥4GB，机身存储≥32GB，硬件配置满足教学软件运行、资源缓存、多任务后台运行需求，运行稳定流畅。</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内置2.2声道立体声音响系统，下边框一体式出音设计，配置全频+高音组合扬声器，最大峰值功率≥80W，语言清晰度（STI-PA）≥0.8；100%音量状态下，1米处声压级≥90dB、10米处声压级≥85dB，全域声场均匀，适配教室整体扩声教学场景，无杂音、无远近响度明显差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需内置高清广角摄像头，结构采用非独立设计；像素≥5000万像素，需支持输出8192×6144pix的照片；需支持3D降噪算法，图像信噪比≥40db，支持输出MJPG视频格式；摄像头需支持生物特征识别，如面部识别功能，支持AI识别人像，最大距离≥10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9、</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内置非独立外扩展麦克风阵列，麦克风数量≥8个，180°广角拾音，有效拾音距离≥12m。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10、</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整机前置面板配备隐藏式针孔Windows系统一键还原按键，无需专业人员即可修复电脑系统故障，规避误触问题。</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整机支持一网通功能，单根网线即可实现Windows、嵌入式双系统同时上网；搭载WiFi6模块，支持2.4G、5GHz双频WiFi，满足IEEE 802.11 a/b/g/n/ac/ax协议；内置蓝牙5.4及以上模块，无线工作距离≥12m。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双系统下，需支持在任意信号源通道下，都可调出侧边栏快捷菜单，菜单含中控导航、系统切换、小工具、快捷设置、亮度/音量调节；整机侧边栏小工具包括但不限于：批注、截屏、计时、降半屏、冻屏、投票器、日历、聚光灯、放大。</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13、</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整机配备全局悬浮菜单，单指可调用至屏幕任意位置，任意信号源通道均可唤起，支持批注、擦除、信号源快速切换，悬浮菜单信号源支持自定义修改、一键直达。</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整机系统下，书写白板需支持迷你白板，从底部向上划，可以快速唤出迷你白板，功能包括画笔、擦除、二维码、最小化功能。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二、内置OPS电脑</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1、整机架构:为降低电脑模块维护成本，接口需严格遵循通用OPS相关规范,针脚数为行业通用≥80Pin ,与大屏无单独接线。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2、整机OPS电脑安装结构需支持按压式卡扣或螺丝固定模式，抽拉式安装，无需工具就可快速拆卸电脑模块。</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3、CPU需支持：≥8核12线程，主频≥2GHz，内存≥8G，硬盘≥256G SSD。</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4、USB接口要求：USB3.0和USB2.0 不少于6个。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5、其他接口要求：需支持网络接口不少于1个，DP输出接口不少于1个，HDMI不少于1个，耳机输出接口不少于1个，麦克风输入接口不少于1个。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6、Wi-Fi 6：需支持802.11b/g/n/ac/ax；蓝牙需支持Bluetooth 4.2及以上。</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三、两开拼接黑板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两边各一块平板与一体机平齐装配，板与一体机之间需有搭扣锁或收紧装置收紧缝隙 ，视觉上具备一体化视觉效果。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2、书写板面：采用树脂漆烤漆钢板，厚度≥0.35mm。双面涂层，表面附有无色透明保护膜，表面光滑，不反光、耐刮、耐磨、不变形、不打滑，天地盖四面折边整板无拼接。</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3、书写面颜色为哑光黑色。光泽度≤6%，在灯光下没有明显眩光。</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4、内芯材料：采用高强度铝蜂窝板，铝蜂窝锌规格A5*0.04*10mm。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5、采用绿板专用环保双组份聚氨酯胶水作为胶黏剂，粘合强度高，不易脱胶。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6、背板：0.3mm厚镀锌钢板（铅铬镉汞砷等重金属检测符合GB 21027-2020《学生用品的安全通用要求》）。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7、蜂窝板折弯工艺：天地盖四面折边整板无拼接。看面≤1mm挤塑包边与面背板卡扣连接装饰，保护边缘转角，防止磕碰变形。</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8、挂架可前后、上下调节，通过梅花或蝴蝶柄螺丝锁止，达到与一体机完美契合、解决因墙面不平整造成无法与一体机齐平的问题。</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AI教学平板（教师机）</w:t>
            </w:r>
            <w:r/>
          </w:p>
        </w:tc>
        <w:tc>
          <w:tcPr>
            <w:shd w:val="clear" w:color="auto" w:fill="auto"/>
            <w:tcW w:w="3254"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1、CPU：八核心，最高主频≥2.8 GHz;</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3、存储容量：≥256GB；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4、屏幕尺寸：≥11英寸，屏幕分辨率：≥1920*1200；</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10、标配皮套与手写笔。</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教师机AI教学平板软件</w:t>
            </w:r>
            <w:r/>
          </w:p>
        </w:tc>
        <w:tc>
          <w:tcPr>
            <w:tcW w:w="3254"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1.需提供教师操控界面，提供自由编程系统、成果管理系统。</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学生编程</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AI教学平板（学生机）</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4、屏幕尺寸：≥10英寸，屏幕分辨率：≥1920*1200；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学生机AI教学平板软件</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1.需提供学生操控界面，提供自由编程系统、成果管理系统。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互动教具</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综合实践开源硬件-II</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2个）、循线板（≥1个）、摄像头（≥1个）、LED灯（≥2个）、蓝牙手柄（≥1个）、雨水传感器（≥1个）、水泵（≥1个）、超声波传感器（≥1个）、旋钮/可变电阻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（1）屏幕尺寸：≥2.4英寸；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开源硬件系统软件</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1、需支持响应平板和电脑完成的编程，支持搭建完成的不同形态硬件响应AI图形化编程和Python编程结果。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2、需支持响应教学平板和电脑的AI能力编程调用，与用户进行交互，展现包含但不限于文字识别、人脸识别、物体识别等人工智能能力；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●3、需支持屏幕回显，支持将屏幕回显至平板屏幕进行显示。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教学机器人</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2、存储空间：≥2GB RAM，≥16GB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3、摄像头： ≥500万像素；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4、显示屏： ≥5.9英寸，LCD屏；屏幕分辨率≥1440*720；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5、电池容量：≥ 3200mAh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6、拾音距离：≥2m；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7、具备移动功能；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8、需支持外接传感器及积木件，且需支持接口混插，实现教具间功能互通；</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教学机器人软件</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提供用户主动设置WiFi的入口，支持通过WiFi与平板教学软件进行连接；</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需支持响应平板完成的编程程序在机器人上运行，包含基础能力运行（如：运动、外观、声音、运算等），也包含AI能力运行，其中AI能力需满足：</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（1）需支持响应语音唤醒AI能力调用：支持响应所选择唤醒词，用语音将机器人从待机状态唤醒；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●（2）需支持响应语音合成AI能力调用，支持响应选择不同发音人和自主编辑合成的内容，让机器人用对应发音人声音说出对应内容；</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●（3）需支持响应语音评测AI能力调用：支持响应设定中英文词语或句子，在机器人上实现中英文发音评测，并反馈评测得分；</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▲（4）需支持响应机器翻译AI能力调用：支持响应将中文翻译成英文，也支持响应将英文翻译成中文，并将翻译结果显示在屏幕上；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（5）需支持响应声纹识别AI能力调用：支持注册声纹信息，让机器人能够通过声纹识别出用户信息；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●（6）需支持响应语音转写AI能力调用：让机器人能够将语音转化为文字，并显示在屏幕上；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▲（7）需支持响应文字识别AI能力调用：让机器人能够通过拍照手写体的英文或数字，并识别后转写成印刷体，在屏幕上进行显示；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▲（8）需支持响应人脸识别AI能力调用：支持注册人脸信息，让机器人能够通过人脸识别出用户信息，识别结果可以在屏幕上进行显示；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▲（9）需支持响应物体识别AI能力调用：支持机器人利用摄像头，自动识别出现在取景框里的物体名称，识别结果可在屏幕进行显示；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●（10）需支持响应人机对话AI能力调用：支持响应选择需要的人机对话技能，让机器人与用户能针对不同场景下对话，例如针对教育、生活等不同场景；</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●（11）需支持响应AI文本模型分类训练：支持响应自主建立文本分类模型，输入文本数据，训练分类模型，让机器人对输入的文本进行模式识别，识别结果可在屏幕进行显示。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机器人拼接地图板</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1、循线地图板≥28块：每块尺寸≥230*230*4mm，正面：黑色线条，反面：纯色无线条；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2、长条贴纸≥15张，方格贴纸≥100张：贴纸共四种颜色，每个颜色九张完整纸张。每个颜色包含5排方格贴纸，2排长条贴纸。</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智能驾驶小车</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1、处理器：≥八核，≥2.4GHz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2、麦克风：≥环形6麦克风阵列，灵敏度-38dB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3、扬声器：≥4Ω3W，外磁</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4、WIFI：≥2.4G/5G双频段，IEEE 802.11a/b/g/n/ac WLANs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5、电池：≥2600mAh;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6、摄像头：超广角≥200万像素，输出分辨率≥1080P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7、无刷直流电机：≥4组，空载转速≥300 rpm，堵转扭矩：≥10kg·cm或同等性能;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8、麦克纳姆轮：ABS轮毂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9、激光雷达：三角测距，探测距离0.28-16m；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10：存储：≥8GB RAM+64GB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11、IMU（惯性测量单元）：三轴陀螺仪，三轴加速度计，三轴磁力计</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智能驾驶小车系统</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1、需支持利用APP控制AI小车行驶运动，同时支持响应图形化和Python编程，实时控制AI小车和进行AI模型训练/AI能力调用。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基于SLAM导航训练：支持智能AI小车通过激光雷达扫描当前环境并实时构建地图，并支持智能小车在已完成雷达扫描建图的区域，规划导航行驶至任意指定点位，并可通过扫描模型进行自动到达指定点位的路径规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基于视觉的巡道训练：支持智能AI小车通过摄像头采集跑道数据、使用APP应用进行标记数据、并基于嵌入式GPU算力进行算法模型训练，可在已完成训练的跑道上按照训练模型的推理自动行驶，可搭配停止、左转、右转巡道标识牌实现更加多样、好玩的自动驾驶模拟体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4、需支持响应目标检测、目标跟随应用：支持智能AI小车通过摄像头实时检测实景画面，并将检测目标进行框定选择，可实现针对框定目标进行实时跟随运动。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5、需支持响应APP完成的编程程序在AI小车上运行，包含AI能力调用，与用户进行交互，AI能力包括：</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（1）需支持响应语音唤醒AI能力调用：支持响应所选择唤醒词，用语音将AI小车从待机状态唤醒；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（2）需支持响应语音合成AI能力调用，支持响应选择不同发音人和自主编辑合成的内容，让AI小车用对应发音人声音说出对应内容；</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（3）需支持响应语音评测AI能力调用：支持响应设定中英文词语或句子，在AI小车上实现中英文发音评测，并反馈评测得分；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（4）需支持响应声纹识别AI能力调用：支持注册声纹信息，让AI小车能够通过声纹识别出用户信息；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（5）需支持响应语音转写AI能力调用：让AI小车能够将听到的语音转化为文字，并显示在屏幕上；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（6）需支持响应文字识别AI能力调用：让AI小车能够通过拍照手写体的英文或数字，并识别后转写成印刷体，在屏幕上进行显示；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（7）需支持响应人脸识别AI能力调用：支持注册人脸信息，让AI小车能够通过人脸识别出用户信息，识别结果可以在屏幕上进行显示；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（8）需支持响应物体识别AI能力调用：支持AI小车利用摄像头，自动识别出现在取景框里的物体名称，识别结果可在屏幕进行显示；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（9）需支持响应人机对话AI能力调用：支持响应选择需要的人机对话技能，让AI小车与用户能针对不同场景下对话，例如针对教育、生活等不同场景；</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综合拼接地图板</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1、循线地图板≥64块：每块尺寸≥230*230*4mm，正面：黑色线条，反面：黄色线条；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2、贴纸≥12张：贴纸共四种颜色，每个颜色三张完整纸张。每个颜色包含5排方格贴纸，3排长条贴纸；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3、标签卡片≥8张：尺寸≥170*140mm</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赛事套装</w:t>
            </w:r>
            <w:r/>
          </w:p>
        </w:tc>
        <w:tc>
          <w:tcPr>
            <w:shd w:val="clear" w:color="auto" w:fill="auto"/>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一、综合实践开源硬件-II</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2个）、循线板（≥1个）、摄像头（≥1个）、LED灯（≥2个）、蓝牙手柄（≥1个）、雨水传感器（≥1个）、水泵（≥1个）、超声波传感器（≥1个）、旋钮/可变电阻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（1）屏幕尺寸：≥2.4英寸；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二、配套摄像头</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1.CPU：双核处理器，主频不低于 1.6GHz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2.内存：≥1GB LPDDR4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3.存储：≥4GB TF存储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4.摄像头：≥180万像素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5.屏幕：≥2.0英寸触摸屏，分辨率≥600×400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6.音频：需内置麦克风、扬声器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7.通信：需支持2.4GHz Wi-Fi</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8.接口：Type-C、TF卡、UART接口</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9.需支持积木扩展、需支持1/4螺纹接口</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四足机器人</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一、功能描述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1、需可实现AI边缘计算编程，例如骨骼识别，手势识别，人脸检测，语音识别等常用AI程序。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2、需可实现物体抓取，全向移动，六维姿态控制，多种运动步态及运动叠加，内置陀螺仪，可保持身体自平衡。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3、需配套编程示例，可以通过无线wifi对</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进行AI编程。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4、伺服舵机需具有关节角度回读功能，可用于机器人示教。</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二、配置要求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套件需包含不少于15个总线舵机；AI模组；机器狗驱动和钣金件；无线遥控器。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零件材质需为铝合金材质，阳极氧化上色，安全无毒。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3、定制串口总线伺服舵机，可实现精准动作的控制及表达。</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三、技术参数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1、舵机参数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（1）型号：串口总线舵机或同等类型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（2）输出扭矩：≥2.3KG•CM；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（3）转速（S/60°）：≥0.12 S/60°；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（4）精度：≥0.2</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（5）工作电压范围：4.8V～7.4V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（6）工作温度：-20℃～ +60℃；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（7）角度范围：0~300°；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（8）重量：13±1g。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（9）马达类型：铁芯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2、AI模组参数：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内存</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模块：≥4GB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（2）屏幕：全彩≥2.0 TFT屏幕，可显示视频，图片及文字。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（3）喇叭：≥8欧2W</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（4）麦克风：双MEMS数字麦克风</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（5）按键：≥4个可编程按键。</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（6）摄像头：≥200W像素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（7）外接：串口，需支持mini hdmi和usb等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3、电源系统：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（1）充电器：≥5V/1A</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（2）电池：≥2500毫安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4、整机系统：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（1）尺寸：≥20*10*15CM；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（2）重量：≥520g；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（3）结构：≥1mm阳极氧化铝合金"</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可编程空中飞行器</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一、具体参数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1、高度：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2、产品重量：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3、轴数：</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4、螺旋桨：</w:t>
            </w:r>
            <w:r>
              <w:rPr>
                <w:rFonts w:ascii="宋体" w:hAnsi="宋体" w:eastAsia="宋体"/>
                <w:b w:val="0"/>
                <w:sz w:val="20"/>
                <w:highlight w:val="none"/>
              </w:rPr>
              <w:t xml:space="preserve">尺寸≥65mm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5、马达：空心杯电机；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6、轴距：</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 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7、气压计：有；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8、飞行时间：8-10min；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9、LED：机身上下，4 个马达下各一个；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10、电池容量：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11、电压：4.35V；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12、电池类型：高压锂电池；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13、电源适配器：12V/3A 运行环境：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 1 平米的范围内进行编程舞蹈；</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14、基本功能：</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进行多机编队编舞灯光秀；</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15、飞行环境：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在室内黑暗环境下运行；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、其他特点：灯光控制</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编程、语音控制；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、控制方式：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用安卓手机编程控制；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二、教学软件基本功能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1、菜单项</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包含工程新建、打开、保存、另存为；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2、动作时间轴</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包含动作组编辑、无人机添加、无人机状态显示、无人机舞蹈音乐；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3、控件区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包含基本功能控件、基础动作控件、显示控件、循环控件；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4、主程序区，图形化编程主程序拼接区，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通过拖拽图形化模块完成编程；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5、源码区，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实时显示主程序区的图形化编程代码 Python；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6、预览区，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对编程内容在三维空间进行 3D 预览展示，方便联机前反复优化编排预览效果。</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大模型互动平台</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highlight w:val="none"/>
                <w:vertAlign w:val="baseline"/>
                <w:lang w:val="en-US" w:eastAsia="zh-CN"/>
              </w:rPr>
              <w:t xml:space="preserve">AI 智能交互教学终端</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硬件：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1.屏幕尺寸：≥55英寸，屏幕分辨率：≥3840×2160，屏幕刷新率≥60Hz；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2.CPU：八核心，最高主频≥2.4GHz；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5.屏幕：需采用钢化玻璃，可视角度：≥178°（上下左右），全白场中心亮度≥350cd/m²；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6.触屏方式：≥5点触摸，响应时间≤20ms；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7.麦克风：≥8阵列，支持定向拾音、定距拾音、回音消除、环境抑噪、混响去除；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8.扬声器：需内置2声道扬声器，清晰度：STI≥0.65；在100%音量下，1米处声音响度≥78dB；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9.网络及通信：需支持千兆以太网，双频WiFi，需内置2.4G+5GHz双频频段；需内置蓝牙模块，支持蓝牙5.0标准；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10.系统：自带操作系统；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11.工作环境：产品使用寿命≥50000小时，工作温度：-10°C～50°C，存储温度：-20°C～60°C，保护开关：支持漏电保护；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12.物理形态：落地立式，高强度固定支架；</w:t>
            </w:r>
            <w:r/>
          </w:p>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配套软件：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1.需支持通过语音识别、语音合成、数字人技术，结合认知大模型与虚拟名人进行对话互动；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2.需提供不同类型的切换方式，应提供点击人物直接切换、屏幕左右滑动切换；</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▲3.虚拟人物形象需采用立体设计方案，人物形象应具有真实立体感，不同人物角色具有与其人物特征匹配的背景渲染；</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4.需提供适龄化的语言表达，如采用比喻或类比方式回应问题；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5.在与虚拟人互动时，虚拟人需具有动态口型效果；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6.需根据不同虚拟名人的人格属性，在回答同一问题时采用不同的思维角度进行差异化回答；</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7.需根据不同风格的虚拟人的属性，提供与匹配的拟人音色；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▲8.需提供≥10位不同风格的虚拟人物形象，包含但不限于科学探索、工程技术、文学艺术、哲学思辨、励志榜样、个性创意等方向；</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9.虚拟名人需有至少2种不同人物风格形象，应包括卡通类风格人物和拟人类（标准）风格的人物形象；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▲10.需支持智能分析并提取学生和虚拟人对话中产生的好问题，并将产生的好问题进行公开展示；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▲11.需提供AI绘画功能，支持通过语音交互对话，生成相应的AI绘画图片；</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12.需支持待机时展示科学领域素材；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13.需支持意见反馈，包括但不限于选择标签快捷反馈和录音反馈方式；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▲14.需支持对软件当前环境进行检测，包含网络测速检查与麦克风设备检查；</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15.需支持待机、重新启动、关机操作；需支持自定义进入待机时长；需支持自定义定时关机、定时开机、定时重启任务，支持自定义时间点和重复方式；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16.需支持系统内直接设置硬件亮度、声音等；需支持自动下载新版软件进行升级；</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17.需支持通过名称、人设等要素自定义创建不同的静态虚拟形象；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18.需支持自主上传自定义知识库，用于回答特定领域问题；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19.需支持自主上传展示素材，素材配置格式支持包含但不限于JPG、PNG、MP4；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20.需支持查看互动数据，包含提问、绘画、好问题的统计和明细。</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配套硬件</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充电车</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1、支持≥ 50 台及以上配套的平板电脑同时充电；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2、材质：需采用钢板材质，全封闭，安全防盗；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3、安全要求：电源开关需设有高压强电保护、漏电保护、过载保护。</w:t>
            </w:r>
            <w:r/>
          </w:p>
        </w:tc>
      </w:tr>
      <w:tr>
        <w:trPr/>
        <w:tc>
          <w:tcPr>
            <w:tcW w:w="473" w:type="pct"/>
            <w:vAlign w:val="center"/>
            <w:textDirection w:val="lrTb"/>
            <w:noWrap w:val="false"/>
          </w:tcPr>
          <w:p>
            <w:pPr>
              <w:numPr>
                <w:ilvl w:val="0"/>
                <w:numId w:val="5"/>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无线路由器</w:t>
            </w:r>
            <w:r/>
          </w:p>
        </w:tc>
        <w:tc>
          <w:tcPr>
            <w:tcW w:w="3254"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1、以太网接口≥2个；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2、PoE: 802.3bt/at 供电；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3、内置物联网:需内置蓝牙 5.1/RFID/Zigbee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4、本地供电：需支持 54V DC；</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5、物联网扩展：需支持链式物联网扩展能力，最大需支持不少于 8 个 BLE、RFID、ZigBee 等全制式物联网扩展；</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6、发射功率(单路最大)：≥20dBm；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7、可调功率粒度：≥1dBm；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8、每射频最大接入用户数：≥510(整机最大接入用户数 1500）；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 AP≥40。</w:t>
            </w:r>
            <w:r/>
          </w:p>
        </w:tc>
      </w:tr>
    </w:tbl>
    <w:p>
      <w:pPr>
        <w:rPr>
          <w:rFonts w:hint="default"/>
          <w:lang w:val="en-US" w:eastAsia="zh-CN"/>
        </w:rPr>
      </w:pPr>
      <w:r>
        <w:rPr>
          <w:rFonts w:hint="default"/>
          <w:lang w:val="en-US" w:eastAsia="zh-CN"/>
        </w:rPr>
      </w:r>
      <w:r/>
    </w:p>
    <w:p>
      <w:pPr>
        <w:pStyle w:val="746"/>
        <w:rPr>
          <w:rFonts w:hint="default"/>
          <w:sz w:val="24"/>
          <w:szCs w:val="24"/>
          <w:lang w:val="en-US" w:eastAsia="zh-CN"/>
        </w:rPr>
      </w:pPr>
      <w:r>
        <w:rPr>
          <w:rFonts w:hint="eastAsia"/>
          <w:sz w:val="24"/>
          <w:szCs w:val="24"/>
          <w:lang w:val="en-US" w:eastAsia="zh-CN"/>
        </w:rPr>
        <w:t xml:space="preserve">4.3</w:t>
      </w:r>
      <w:r>
        <w:rPr>
          <w:rFonts w:hint="default"/>
          <w:sz w:val="24"/>
          <w:szCs w:val="24"/>
          <w:lang w:val="en-US" w:eastAsia="zh-CN"/>
        </w:rPr>
        <w:t xml:space="preserve">一贯制</w:t>
      </w:r>
      <w:r>
        <w:rPr>
          <w:rFonts w:hint="eastAsia"/>
          <w:sz w:val="24"/>
          <w:szCs w:val="24"/>
          <w:lang w:val="en-US" w:eastAsia="zh-CN"/>
        </w:rPr>
        <w:t xml:space="preserve">人工智能</w:t>
      </w:r>
      <w:r>
        <w:rPr>
          <w:rFonts w:hint="default"/>
          <w:sz w:val="24"/>
          <w:szCs w:val="24"/>
          <w:lang w:val="en-US" w:eastAsia="zh-CN"/>
        </w:rPr>
        <w:t xml:space="preserve">实验室</w:t>
      </w:r>
      <w:r/>
    </w:p>
    <w:tbl>
      <w:tblPr>
        <w:tblStyle w:val="7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985"/>
        <w:gridCol w:w="1181"/>
        <w:gridCol w:w="5546"/>
      </w:tblGrid>
      <w:tr>
        <w:trPr/>
        <w:tc>
          <w:tcPr>
            <w:tcW w:w="472"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序号</w:t>
            </w:r>
            <w:r/>
          </w:p>
        </w:tc>
        <w:tc>
          <w:tcPr>
            <w:tcW w:w="578"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建设场景</w:t>
            </w:r>
            <w:r/>
          </w:p>
        </w:tc>
        <w:tc>
          <w:tcPr>
            <w:tcW w:w="693"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建设内容</w:t>
            </w:r>
            <w:r/>
          </w:p>
        </w:tc>
        <w:tc>
          <w:tcPr>
            <w:tcW w:w="3255" w:type="pct"/>
            <w:vAlign w:val="center"/>
            <w:textDirection w:val="lrTb"/>
            <w:noWrap w:val="false"/>
          </w:tcPr>
          <w:p>
            <w:pPr>
              <w:ind w:left="0" w:firstLine="0"/>
              <w:jc w:val="center"/>
              <w:spacing w:after="0" w:line="240" w:lineRule="auto"/>
              <w:rPr>
                <w:rFonts w:hint="default" w:ascii="Times New Roman" w:hAnsi="Times New Roman" w:eastAsia="宋体"/>
                <w:b/>
                <w:bCs/>
                <w:highlight w:val="none"/>
                <w:vertAlign w:val="baseline"/>
                <w:lang w:val="en-US" w:eastAsia="zh-CN"/>
              </w:rPr>
            </w:pPr>
            <w:r>
              <w:rPr>
                <w:rFonts w:hint="eastAsia" w:ascii="Times New Roman" w:hAnsi="Times New Roman" w:eastAsia="宋体"/>
                <w:b/>
                <w:bCs/>
                <w:highlight w:val="none"/>
                <w:vertAlign w:val="baseline"/>
                <w:lang w:val="en-US" w:eastAsia="zh-CN"/>
              </w:rPr>
              <w:t xml:space="preserve">功能参数</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人工智能通识学习</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人工智能教材（入门）</w:t>
            </w:r>
            <w:r/>
          </w:p>
        </w:tc>
        <w:tc>
          <w:tcPr>
            <w:tcW w:w="3255" w:type="pct"/>
            <w:vAlign w:val="center"/>
            <w:textDirection w:val="lrTb"/>
            <w:noWrap w:val="false"/>
          </w:tcPr>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1、课本需经出版社出版发行，具有标准书号；</w:t>
            </w:r>
            <w:r/>
          </w:p>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2、课本内容需涵盖生活中的人工智能、社会中的人工智能、智能语音技术、智能学伴、智能小助理等。</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人工智能教材（基础）</w:t>
            </w:r>
            <w:r/>
          </w:p>
        </w:tc>
        <w:tc>
          <w:tcPr>
            <w:tcW w:w="3255" w:type="pct"/>
            <w:vAlign w:val="center"/>
            <w:textDirection w:val="lrTb"/>
            <w:noWrap w:val="false"/>
          </w:tcPr>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1、课本需经出版社出版发行，具有标准书号；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2、课本内容需涵盖计算机视觉技术、声纹识别与超声避障等。</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人工智能教材（进阶）</w:t>
            </w:r>
            <w:r/>
          </w:p>
        </w:tc>
        <w:tc>
          <w:tcPr>
            <w:shd w:val="clear" w:color="auto" w:fill="auto"/>
            <w:tcW w:w="3255" w:type="pct"/>
            <w:vAlign w:val="center"/>
            <w:textDirection w:val="lrTb"/>
            <w:noWrap w:val="false"/>
          </w:tcPr>
          <w:p>
            <w:pPr>
              <w:ind w:left="0" w:firstLine="0"/>
              <w:jc w:val="both"/>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1、课本</w:t>
            </w:r>
            <w:r>
              <w:rPr>
                <w:rFonts w:hint="eastAsia"/>
                <w:highlight w:val="none"/>
                <w:vertAlign w:val="baseline"/>
                <w:lang w:val="en-US" w:eastAsia="zh-CN"/>
              </w:rPr>
              <w:t xml:space="preserve">需</w:t>
            </w:r>
            <w:r>
              <w:rPr>
                <w:rFonts w:hint="eastAsia" w:ascii="Times New Roman" w:hAnsi="Times New Roman" w:eastAsia="宋体"/>
                <w:highlight w:val="none"/>
                <w:vertAlign w:val="baseline"/>
                <w:lang w:val="en-US" w:eastAsia="zh-CN"/>
              </w:rPr>
              <w:t xml:space="preserve">经出版社出版发行，具有标准书号；</w:t>
            </w:r>
            <w:r/>
          </w:p>
          <w:p>
            <w:pPr>
              <w:ind w:left="0" w:firstLine="0"/>
              <w:jc w:val="both"/>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2、课本内容</w:t>
            </w:r>
            <w:r>
              <w:rPr>
                <w:rFonts w:hint="eastAsia"/>
                <w:highlight w:val="none"/>
                <w:vertAlign w:val="baseline"/>
                <w:lang w:val="en-US" w:eastAsia="zh-CN"/>
              </w:rPr>
              <w:t xml:space="preserve">需</w:t>
            </w:r>
            <w:r>
              <w:rPr>
                <w:rFonts w:hint="eastAsia" w:ascii="Times New Roman" w:hAnsi="Times New Roman" w:eastAsia="宋体"/>
                <w:highlight w:val="none"/>
                <w:vertAlign w:val="baseline"/>
                <w:lang w:val="en-US" w:eastAsia="zh-CN"/>
              </w:rPr>
              <w:t xml:space="preserve">涵盖大数据技术、机器学习技术、计算机视觉技术、智能语音技术、自然语言处理技术等基础知识点。</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人工智能教学应用系统</w:t>
            </w:r>
            <w:r/>
          </w:p>
        </w:tc>
        <w:tc>
          <w:tcPr>
            <w:tcW w:w="3255"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平台功能需具有课程中心管理、 AI 编程、项目设计管理、师训中心管理、 AI 大讲堂管理、 AI 班级管理、信息统计等应用模块。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一、课程中心管理：需具有资源上传、资源下载、资源预览、资源检索功能：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1、资源上传：需支持文档类文件、图片类文件、视频类文件的上传与播放浏览；</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2、资源下载：需支持下载单个资源到本地和打包下载一节课下的所有资源（除视频）到本地；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3、资源预览：需支持文档类文件与视频类文件的在线预览与播放；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4、资源检索：需支持通过关键词检索资源。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二、 A I 编程至少提供图形化、 Python 编程界面，需支持师生根据需要选择编程方式，进行拼接、移动、组合完成编程作品。同时支持将编 程好的成果发送给机器设备软件接收并运行。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▲1、编程能力需包括基础能力（运动、外观、声音、运算、变量、流程等）和 AI 能力（文字识别、人脸识别、物体识别、机器 翻译、人机对话等人工智能能力）供编程调用；</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2、具有编程成果管理系统，需支持将编程成果进行分类存储保存在云端；支持对编程成果重新命名、保存、删除、复制、分享；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3、具有编程样例，需支持在线编辑、修改并保存到自己的成果中，供老师参考教学。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三、项目设计管理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2、项目修改：平台需支持教师端使用模板创建项目，重新选择适用年级、关联课程、可使用的编程硬件、需要关联的实验等信息；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3、项目发布：平台需支持快速发布项目、创建项目小组、查看项目详情；</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4、项目查看：平台需支持教师查看班级中小组参与项目的完成度；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5、评价与反思: 平台需支持教师查看项目及评价情况，支持学生查看项目情况与即时评价与反思。</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四、师训中心管理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1、师训课程资源：提供人工智能师训课程，课程以视频形式呈现。课程主题需包含机器学习、深度学习、语音合成、语音识别、声纹识别、语音评测、文字识别、人脸识别。</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2、课程筛选：平台需提供师训课程筛选服务，可根据学段、分类等信息进行筛选。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3、课程推荐：需提供师训课程浏览和推荐服务。未完成的课程可先收藏后继续学习。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五、 AI 讲堂管理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1、资源类型：包含但不限于 AI 技术探究、AI应用学习、AI前沿发展；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2、资源领域：≥12 种，包含但不限于大数据、机器视觉、开发技术、智能硬件、人机交互、语音转写、 AI 体育、 AI 游戏、 AI 生活、 AI 医疗、 AI 人才、 AI 教育；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3、资源难度：需支持按初级、中级、高级三个难度等级进行筛选；</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4、资源查询：提供 AI 讲堂资源查询服务，支持用户登录平台后根据关键词（如：语音唤醒、语音转写、声纹识别、机器翻译等）进行课 程查询；</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5、资源评论：需提供资源评论服务，在每节资源下方设置评论模块，支持用户发表文字评论；</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6、资源推荐：需提供推荐服务，支持根据用户学习内容推荐相关资源； </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六、 AI 班级管理</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需支持按班级名称、班级 ID 以及创建时间实施教师创建、加入管理 AI 班级，可查看学生成果数量，管理班级中的其他教师和学生。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七、信息统计：需支持对累计备授课数、线上培训、学生人数、学生成果等多维度数据进行实时统计展示。</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人工智能主题课程-</w:t>
            </w:r>
            <w:r>
              <w:rPr>
                <w:rFonts w:hint="eastAsia"/>
                <w:highlight w:val="none"/>
                <w:vertAlign w:val="baseline"/>
                <w:lang w:val="en-US" w:eastAsia="zh-CN"/>
              </w:rPr>
              <w:t xml:space="preserve">一贯制</w:t>
            </w:r>
            <w:r/>
          </w:p>
        </w:tc>
        <w:tc>
          <w:tcPr>
            <w:shd w:val="clear" w:color="auto" w:fill="auto"/>
            <w:tcW w:w="3255" w:type="pct"/>
            <w:vAlign w:val="center"/>
            <w:textDirection w:val="lrTb"/>
            <w:noWrap w:val="false"/>
          </w:tcPr>
          <w:p>
            <w:pPr>
              <w:numPr>
                <w:ilvl w:val="0"/>
                <w:numId w:val="0"/>
              </w:numPr>
              <w:ind w:left="0" w:firstLine="0"/>
              <w:jc w:val="both"/>
              <w:spacing w:after="0" w:line="240" w:lineRule="auto"/>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lang w:val="en-US" w:eastAsia="zh-CN" w:bidi="ar"/>
                <w14:textFill>
                  <w14:solidFill>
                    <w14:schemeClr w14:val="tx1"/>
                  </w14:solidFill>
                </w14:textFill>
              </w:rPr>
              <w:t xml:space="preserve">一、</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小学学段</w:t>
            </w:r>
            <w:r/>
          </w:p>
          <w:p>
            <w:pPr>
              <w:numPr>
                <w:ilvl w:val="0"/>
                <w:numId w:val="0"/>
              </w:num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1、需提供小学阶段≥38课时人工智能主题相关的教学资源，包含但不限于：教学设计、课件、视频、学习单、教师手册等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2、课程内容包含但不限于：生活中的人工智能、社会中的人工智能、声纹识别与超声避障、计算机视觉技术的发展与应用、人工智能对学习的发展和影响等。</w:t>
            </w:r>
            <w:r/>
          </w:p>
          <w:p>
            <w:pPr>
              <w:ind w:left="0" w:firstLine="0"/>
              <w:jc w:val="both"/>
              <w:spacing w:after="0" w:line="240" w:lineRule="auto"/>
              <w:rPr>
                <w:rFonts w:hint="eastAsia" w:ascii="宋体" w:hAnsi="宋体" w:eastAsia="宋体" w:cs="宋体"/>
                <w:b/>
                <w:bCs w:val="0"/>
                <w:sz w:val="21"/>
                <w:szCs w:val="21"/>
                <w:highlight w:val="none"/>
                <w:lang w:val="en-US" w:eastAsia="zh-CN"/>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▲3、课程配套的感知实验≥5个，以微课视频形式展现，包括但不限于：社会中的AI、学习中的AI、生活中的AI、问答系统、机器翻译等。</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numPr>
                <w:ilvl w:val="0"/>
                <w:numId w:val="0"/>
              </w:numPr>
              <w:ind w:left="0" w:firstLine="0"/>
              <w:jc w:val="both"/>
              <w:spacing w:after="0" w:line="240" w:lineRule="auto"/>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sz w:val="21"/>
                <w:szCs w:val="21"/>
                <w:lang w:val="en-US" w:eastAsia="zh-CN" w:bidi="ar"/>
                <w14:textFill>
                  <w14:solidFill>
                    <w14:schemeClr w14:val="tx1"/>
                  </w14:solidFill>
                </w14:textFill>
              </w:rPr>
              <w:t xml:space="preserve">二</w:t>
            </w:r>
            <w:r>
              <w:rPr>
                <w:rFonts w:hint="eastAsia" w:ascii="宋体" w:hAnsi="宋体" w:eastAsia="宋体" w:cs="宋体"/>
                <w:i w:val="0"/>
                <w:iCs w:val="0"/>
                <w:color w:val="000000" w:themeColor="text1"/>
                <w:sz w:val="21"/>
                <w:szCs w:val="21"/>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初中学段</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1、需提供初中阶段≥38课时人工智能主题相关的教学资源，包含但不限于：教学设计、课件、视频、学习单、教师手册等；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课程内容包含但不限于：人工智能技术的特点、人工智能的发展历史与应用、大数据技术的工作流程、大数据技术的发展与应用、机器学习技术的原理、机器学习技术的发展与应用、计算机视觉技术的原理、计算机视觉技术应用方案设计、智能语音技术的基本原理、智能语音应用方案设计、自然语言处理的基本方法、文档分类方案设计等；</w:t>
            </w:r>
            <w:r/>
          </w:p>
          <w:p>
            <w:pPr>
              <w:ind w:left="0" w:firstLine="0"/>
              <w:jc w:val="both"/>
              <w:spacing w:after="0" w:line="240" w:lineRule="auto"/>
              <w:rPr>
                <w:rFonts w:hint="eastAsia" w:ascii="宋体" w:hAnsi="宋体" w:eastAsia="宋体" w:cs="宋体"/>
                <w:b/>
                <w:bCs w:val="0"/>
                <w:sz w:val="21"/>
                <w:szCs w:val="21"/>
                <w:highlight w:val="none"/>
                <w:lang w:val="en-US" w:eastAsia="zh-CN"/>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课程配套的验证实验≥8个，支持师生通过简单的数据输入、参数修改等方式，辅助理解人工智能相关原理，以可视化交互形式展示，内容包括但不限于：大数据应用、机器学习、语音转换、语音分类、图像分类应用、人脸识别、机器识别、认识图像等；</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教师授课</w:t>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highlight w:val="none"/>
                <w:vertAlign w:val="baseline"/>
                <w:lang w:val="en-US" w:eastAsia="zh-CN"/>
              </w:rPr>
              <w:t xml:space="preserve">AI智慧黑板</w:t>
            </w:r>
            <w:r/>
          </w:p>
        </w:tc>
        <w:tc>
          <w:tcPr>
            <w:shd w:val="clear" w:color="auto" w:fill="auto"/>
            <w:tcW w:w="3255" w:type="pct"/>
            <w:vAlign w:val="center"/>
            <w:textDirection w:val="lrTb"/>
            <w:noWrap w:val="false"/>
          </w:tcPr>
          <w:p>
            <w:pPr>
              <w:ind w:left="0" w:firstLine="0"/>
              <w:jc w:val="both"/>
              <w:spacing w:after="0" w:line="240" w:lineRule="auto"/>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一、整机参数</w:t>
            </w:r>
            <w:r/>
          </w:p>
          <w:p>
            <w:pPr>
              <w:ind w:left="0" w:firstLine="0"/>
              <w:jc w:val="both"/>
              <w:spacing w:after="0" w:line="240" w:lineRule="auto"/>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整机屏幕采用UHD超高清A规LED液晶屏，屏幕显示尺寸≥86英寸，16:9显示比例，屏幕物理分辨率≥3840×2160；采用红外触控技术，支持手指、书写笔等非透明物体触控书写；双系统下支持≥50点同步触控与书写，触摸分辨率≥32768×32768。</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整机屏幕采用全物理钢化防眩光玻璃，玻璃厚度≤4mm，表面硬度≥9H、莫氏硬度≥7级，抗冲击、防刮耐磨，适配校园高频使用、运输及日常运维场景，有效保护屏幕显示效果。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整机背光系统支持DC无级调光，多级亮度可调，无频闪、无画面闪烁，闪烁等级≤-30dB（60Hz），完全符合《GB 40070-2021儿童青少年学习用品近视防控卫生要求》，护眼防疲劳。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整机前置非转接物理接口数量≥5个，包含≥1路HDMI接口、≥2路USB3.0双通道接口（双系统均可识别使用）、≥1路全功能Type-C接口（支持数据传输、充电）、≥1路Touch触摸专用USB-Type-B接口。</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整机需具有前置按键，数量≥6个，包含开关机、护眼、主页、音量+、音量-、多功能。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6、整机搭载嵌入式智能系统，系统版本≥Android 13，CPU为八核及以上处理器，运行内存≥4GB，机身存储≥32GB，硬件配置满足教学软件运行、资源缓存、多任务后台运行需求，运行稳定流畅。</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整机内置2.2声道立体声音响系统，下边框一体式出音设计，配置全频+高音组合扬声器，最大峰值功率≥80W，语言清晰度（STI-PA）≥0.8；100%音量状态下，1米处声压级≥90dB、10米处声压级≥85dB，全域声场均匀，适配教室整体扩声教学场景，无杂音、无远近响度明显差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整机需内置高清广角摄像头，结构采用非独立设计；像素≥5000万像素，需支持输出8192×6144pix的照片；需支持3D降噪算法，图像信噪比≥40db，支持输出MJPG视频格式；摄像头需支持生物特征识别，如面部识别功能，支持AI识别人像，最大距离≥10米。</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9、整机需内置非独立外扩展麦克风阵列，麦克风数量≥8个，180°广角拾音，有效拾音距离≥12m。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10、整机前置面板配备隐藏式针孔Windows系统一键还原按键，无需专业人员即可修复电脑系统故障，规避误触问题。</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11、整机支持一网通功能，单根网线即可实现Windows、嵌入式双系统同时上网；搭载WiFi6模块，支持2.4G、5GHz双频WiFi，满足IEEE 802.11 a/b/g/n/ac/ax协议；内置蓝牙5.4及以上模块，无线工作距离≥12m。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12、整机双系统下，需支持在任意信号源通道下，都可调出侧边栏快捷菜单，菜单含中控导航、系统切换、小工具、快捷设置、亮度/音量调节；整机侧边栏小工具包括但不限于：批注、截屏、计时、降半屏、冻屏、投票器、日历、聚光灯、放大。</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(需提供CMA或CNAS认证检测机构出具的检测报告扫描件)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13、</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整机配备全局悬浮菜单，单指可调用至屏幕任意位置，任意信号源通道均可唤起，支持批注、擦除、信号源快速切换，悬浮菜单信号源支持自定义修改、一键直达。</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14、整机系统下，书写白板需支持迷你白板，从底部向上划，可以快速唤出迷你白板，功能包括画笔、擦除、二维码、最小化功能。</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二、内置OPS电脑</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1、整机架构:为降低电脑模块维护成本，接口需严格遵循通用OPS相关规范,针脚数为行业通用≥80Pin ,与大屏无单独接线。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2、整机OPS电脑安装结构需支持按压式卡扣或螺丝固定模式，抽拉式安装，无需工具就可快速拆卸电脑模块。</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3、CPU需支持：≥8核12线程，主频≥2GHz，内存≥8G，硬盘≥256G SSD。</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4、USB接口要求：USB3.0和USB2.0 不少于6个。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5、其他接口要求：需支持网络接口不少于1个，DP输出接口不少于1个，HDMI不少于1个，耳机输出接口不少于1个，麦克风输入接口不少于1个。</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6、Wi-Fi 6：需支持802.11b/g/n/ac/ax；蓝牙需支持Bluetooth 4.2及以上。</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三、两开拼接黑板</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两边各一块平板与一体机平齐装配，板与一体机之间需有搭扣锁或收紧装置收紧缝隙 ，视觉上具备一体化视觉效果。</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2、书写板面：采用树脂漆烤漆钢板，厚度≥0.35mm。双面涂层，表面附有无色透明保护膜，表面光滑，不反光、耐刮、耐磨、不变形、不打滑，天地盖四面折边整板无拼接。</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3、书写面颜色为哑光黑色。光泽度≤6%，在灯光下没有明显眩光。</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4、内芯材料：采用高强度铝蜂窝板，铝蜂窝锌规格A5*0.04*10mm。</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5、采用绿板专用环保双组份聚氨酯胶水作为胶黏剂，粘合强度高，不易脱胶。</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6、背板：0.3mm厚镀锌钢板（铅铬镉汞砷等重金属检测符合GB 21027-2020《学生用品的安全通用要求》）。</w:t>
            </w:r>
            <w:r/>
          </w:p>
          <w:p>
            <w:pPr>
              <w:numPr>
                <w:ilvl w:val="0"/>
                <w:numId w:val="0"/>
              </w:numPr>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7、蜂窝板折弯工艺：天地盖四面折边整板无拼接。看面≤1mm挤塑包边与面背板卡扣连接装饰，保护边缘转角，防止磕碰变形。</w:t>
            </w:r>
            <w:r/>
          </w:p>
          <w:p>
            <w:pPr>
              <w:numPr>
                <w:ilvl w:val="0"/>
                <w:numId w:val="0"/>
              </w:numPr>
              <w:ind w:left="0" w:firstLine="0"/>
              <w:jc w:val="both"/>
              <w:spacing w:after="0" w:line="240" w:lineRule="auto"/>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21"/>
                <w:szCs w:val="21"/>
                <w:highlight w:val="none"/>
                <w:u w:val="none"/>
                <w:lang w:val="en-US" w:eastAsia="zh-CN" w:bidi="ar"/>
                <w14:textFill>
                  <w14:solidFill>
                    <w14:schemeClr w14:val="tx1"/>
                  </w14:solidFill>
                </w14:textFill>
              </w:rPr>
              <w:t xml:space="preserve">8、挂架可前后、上下调节，通过梅花或蝴蝶柄螺丝锁止，达到与一体机完美契合、解决因墙面不平整造成无法与一体机齐平的问题。</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shd w:val="clear" w:color="auto" w:fill="auto"/>
            <w:tcW w:w="693" w:type="pct"/>
            <w:vAlign w:val="center"/>
            <w:textDirection w:val="lrTb"/>
            <w:noWrap w:val="false"/>
          </w:tcPr>
          <w:p>
            <w:pPr>
              <w:ind w:left="0" w:firstLine="0"/>
              <w:jc w:val="center"/>
              <w:spacing w:after="0" w:line="240" w:lineRule="auto"/>
              <w:rPr>
                <w:rFonts w:hint="eastAsia" w:ascii="Times New Roman" w:hAnsi="Times New Roman" w:eastAsia="宋体" w:cstheme="minorBidi"/>
                <w:sz w:val="21"/>
                <w:szCs w:val="24"/>
                <w:highlight w:val="none"/>
                <w:vertAlign w:val="baseline"/>
                <w:lang w:val="en-US" w:eastAsia="zh-CN" w:bidi="ar-SA"/>
              </w:rPr>
            </w:pPr>
            <w:r>
              <w:rPr>
                <w:rFonts w:hint="eastAsia" w:ascii="Times New Roman" w:hAnsi="Times New Roman" w:eastAsia="宋体"/>
                <w:highlight w:val="none"/>
                <w:vertAlign w:val="baseline"/>
                <w:lang w:val="en-US" w:eastAsia="zh-CN"/>
              </w:rPr>
              <w:t xml:space="preserve">AI教学平板（教师机）</w:t>
            </w:r>
            <w:r/>
          </w:p>
        </w:tc>
        <w:tc>
          <w:tcPr>
            <w:shd w:val="clear" w:color="auto" w:fill="auto"/>
            <w:tcW w:w="3255"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1、CPU：八核心，最高主频≥2.8 GHz;</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3、存储容量：≥256GB；</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4、屏幕尺寸：≥11英寸，屏幕分辨率：≥1920*1200；</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10、标配皮套与手写笔。</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教师机AI教学平板软件</w:t>
            </w:r>
            <w:r/>
          </w:p>
        </w:tc>
        <w:tc>
          <w:tcPr>
            <w:tcW w:w="3255" w:type="pct"/>
            <w:vAlign w:val="center"/>
            <w:textDirection w:val="lrTb"/>
            <w:noWrap w:val="false"/>
          </w:tcPr>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1.需提供教师操控界面，提供自由编程系统、成果管理系统。</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学生编程</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AI教学平板（学生机）</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1、CPU：八核心，最高主频≥1.8GHz;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4、屏幕尺寸：≥10英寸，屏幕分辨率：≥1920*1200；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5、操作系统：Android 13操作系统及以上；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6、摄像头：双摄像头，前置≥800万像素，后置≥1300万像素；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7、网络支持：支持WiFi5；</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8、功能支持：Bluetooth 5.1及以上；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9、电池容量：≥7000mAh锂聚合物电池；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10、标配皮套</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学生机AI教学平板软件</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1.需提供学生操控界面，提供自由编程系统、成果管理系统。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2.需具备自由编程系统，提供图形化、拖拽式编程界面，需支持师生根据需要拖拽、拼接、复制、删除拼接模块，完成编程操作，向AI机器设备赋能;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3.需支持平板在连接机器设备后，将平板上编辑好的程序发送到机器设备上运行，实现对机器设备的AI赋能，使其具备人工智能特性；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4.需支持编程成果存储在云端，更换平板进行账号登录后，编程结果不会丢失；</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5.需支持对编程成果重新命名并保存；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6.需支持删除掉已保存的编程成果。删除后，在其他平板上登录，也不会再看到该成果。</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互动教具</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综合实践开源硬件-II</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2个）、循线板（≥1个）、摄像头（≥1个）、LED灯（≥2个）、蓝牙手柄（≥1个）、雨水传感器（≥1个）、水泵（≥1个）、超声波传感器（≥1个）、旋钮/可变电阻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（1）屏幕尺寸：≥2.4英寸；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开源硬件系统软件</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1、需支持响应平板和电脑完成的编程，支持搭建完成的不同形态硬件响应AI图形化编程和Python编程结果。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2、需支持响应教学平板和电脑的AI能力编程调用，与用户进行交互，展现包含但不限于文字识别、人脸识别、物体识别等人工智能能力；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●3、需支持屏幕回显，支持将屏幕回显至平板屏幕进行显示。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教学机器人</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2、存储空间：≥2GB RAM，≥16GB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3、摄像头： ≥500万像素；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4、显示屏： ≥5.9英寸，LCD屏；屏幕分辨率≥1440*720；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5、电池容量：≥ 3200mAh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6、拾音距离：≥2m；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7、具备移动功能；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8、需支持外接传感器及积木件，且需支持接口混插，实现教具间功能互通；</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教学机器人软件</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提供用户主动设置WiFi的入口，支持通过WiFi与平板教学软件进行连接；</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需支持响应平板完成的编程程序在机器人上运行，包含基础能力运行（如：运动、外观、声音、运算等），也包含AI能力运行，其中AI能力需满足：</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（1）需支持响应语音唤醒AI能力调用：支持响应所选择唤醒词，用语音将机器人从待机状态唤醒；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●（2）需支持响应语音合成AI能力调用，支持响应选择不同发音人和自主编辑合成的内容，让机器人用对应发音人声音说出对应内容；</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●（3）需支持响应语音评测AI能力调用：支持响应设定中英文词语或句子，在机器人上实现中英文发音评测，并反馈评测得分；</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▲（4）需支持响应机器翻译AI能力调用：支持响应将中文翻译成英文，也支持响应将英文翻译成中文，并将翻译结果显示在屏幕上；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（5）需支持响应声纹识别AI能力调用：支持注册声纹信息，让机器人能够通过声纹识别出用户信息；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●（6）需支持响应语音转写AI能力调用：让机器人能够将语音转化为文字，并显示在屏幕上；</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▲（7）需支持响应文字识别AI能力调用：让机器人能够通过拍照手写体的英文或数字，并识别后转写成印刷体，在屏幕上进行显示；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▲（8）需支持响应人脸识别AI能力调用：支持注册人脸信息，让机器人能够通过人脸识别出用户信息，识别结果可以在屏幕上进行显示；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▲（9）需支持响应物体识别AI能力调用：支持机器人利用摄像头，自动识别出现在取景框里的物体名称，识别结果可在屏幕进行显示；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●（10）需支持响应人机对话AI能力调用：支持响应选择需要的人机对话技能，让机器人与用户能针对不同场景下对话，例如针对教育、生活等不同场景；</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●（11）需支持响应AI文本模型分类训练：支持响应自主建立文本分类模型，输入文本数据，训练分类模型，让机器人对输入的文本进行模式识别，识别结果可在屏幕进行显示。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（需提供真实环境运行下的视频演示）</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机器人拼接地图板</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1、循线地图板≥28块：每块尺寸≥230*230*4mm，正面：黑色线条，反面：纯色无线条；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2、长条贴纸≥15张，方格贴纸≥100张：贴纸共四种颜色，每个颜色九张完整纸张。每个颜色包含5排方格贴纸，2排长条贴纸。</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智能驾驶小车</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1、处理器：≥八核，≥2.4GHz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2、麦克风：≥环形6麦克风阵列，灵敏度-38dB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3、扬声器：≥4Ω3W，外磁</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4、WIFI：≥2.4G/5G双频段，IEEE 802.11a/b/g/n/ac WLANs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5、电池：≥2600mAh;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6、摄像头：超广角≥200万像素，输出分辨率≥1080P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7、无刷直流电机：≥4组，空载转速≥300 rpm，堵转扭矩：≥10kg·cm或同等性能;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8、麦克纳姆轮：ABS轮毂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9、激光雷达：三角测距，探测距离0.28-16m；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10：存储：≥8GB RAM+64GB ROM；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11、IMU（惯性测量单元）：三轴陀螺仪，三轴加速度计，三轴磁力计</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智能驾驶小车系统</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1、需支持利用APP控制AI小车行驶运动，同时支持响应图形化和Python编程，实时控制AI小车和进行AI模型训练/AI能力调用。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基于SLAM导航训练：支持智能AI小车通过激光雷达扫描当前环境并实时构建地图，并支持智能小车在已完成雷达扫描建图的区域，规划导航行驶至任意指定点位，并可通过扫描模型进行自动到达指定点位的路径规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基于视觉的巡道训练：支持智能AI小车通过摄像头采集跑道数据、使用APP应用进行标记数据、并基于嵌入式GPU算力进行算法模型训练，可在已完成训练的跑道上按照训练模型的推理自动行驶，可搭配停止、左转、右转巡道标识牌实现更加多样、好玩的自动驾驶模拟体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4、需支持响应目标检测、目标跟随应用：支持智能AI小车通过摄像头实时检测实景画面，并将检测目标进行框定选择，可实现针对框定目标进行实时跟随运动。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5、需支持响应APP完成的编程程序在AI小车上运行，包含AI能力调用，与用户进行交互，AI能力包括：</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（1）需支持响应语音唤醒AI能力调用：支持响应所选择唤醒词，用语音将AI小车从待机状态唤醒；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（2）需支持响应语音合成AI能力调用，支持响应选择不同发音人和自主编辑合成的内容，让AI小车用对应发音人声音说出对应内容；</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（3）需支持响应语音评测AI能力调用：支持响应设定中英文词语或句子，在AI小车上实现中英文发音评测，并反馈评测得分；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（4）需支持响应声纹识别AI能力调用：支持注册声纹信息，让AI小车能够通过声纹识别出用户信息；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（5）需支持响应语音转写AI能力调用：让AI小车能够将听到的语音转化为文字，并显示在屏幕上；</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（6）需支持响应文字识别AI能力调用：让AI小车能够通过拍照手写体的英文或数字，并识别后转写成印刷体，在屏幕上进行显示；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（7）需支持响应人脸识别AI能力调用：支持注册人脸信息，让AI小车能够通过人脸识别出用户信息，识别结果可以在屏幕上进行显示；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（8）需支持响应物体识别AI能力调用：支持AI小车利用摄像头，自动识别出现在取景框里的物体名称，识别结果可在屏幕进行显示；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（9）需支持响应人机对话AI能力调用：支持响应选择需要的人机对话技能，让AI小车与用户能针对不同场景下对话，例如针对教育、生活等不同场景；</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综合拼接地图板</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1、循线地图板≥64块：每块尺寸≥230*230*4mm，正面：黑色线条，反面：黄色线条；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2、贴纸≥12张：贴纸共四种颜色，每个颜色三张完整纸张。每个颜色包含5排方格贴纸，3排长条贴纸；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3、标签卡片≥8张：尺寸≥170*140mm</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highlight w:val="none"/>
                <w:vertAlign w:val="baseline"/>
                <w:lang w:val="en-US" w:eastAsia="zh-CN"/>
              </w:rPr>
              <w:t xml:space="preserve">赛事套装</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highlight w:val="none"/>
                <w:vertAlign w:val="baseline"/>
                <w:lang w:val="en-US" w:eastAsia="zh-CN"/>
              </w:rPr>
            </w:pPr>
            <w:r>
              <w:rPr>
                <w:rFonts w:hint="eastAsia"/>
                <w:highlight w:val="none"/>
                <w:vertAlign w:val="baseline"/>
                <w:lang w:val="en-US" w:eastAsia="zh-CN"/>
              </w:rPr>
              <w:t xml:space="preserve">一</w:t>
            </w:r>
            <w:r>
              <w:rPr>
                <w:rFonts w:hint="eastAsia" w:ascii="宋体" w:hAnsi="宋体" w:eastAsia="宋体" w:cs="宋体"/>
                <w:highlight w:val="none"/>
                <w:vertAlign w:val="baseline"/>
                <w:lang w:val="en-US" w:eastAsia="zh-CN"/>
              </w:rPr>
              <w:t xml:space="preserve">、综合实践开源硬件-II</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其他组件需包含：AI能力集成板（≥1个）、编码电机（≥2个）、伺服电机（≥2个）、循线板（≥1个）、摄像头（≥1个）、LED灯（≥2个）、蓝牙手柄（≥1个）、雨水传感器（≥1个）、水泵（≥1个）、超声波传感器（≥1个）、旋钮/可变电阻器（≥1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AI能力集成板需满足以下要求：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（1）屏幕尺寸：≥2.4英寸； </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（2）屏幕分辨率≥320*240；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（3）CPU≥四核，主频≥1.8GHz；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（4）运行内存：≥2GB；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（5）机身存储 ：≥16GB；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（6）电池容量：≥1600mAh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二、配套摄像头</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1.CPU：双核处理器，主频不低于 1.6GHz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2.内存：≥1GB LPDDR4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3.存储：≥4GB TF存储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4.摄像头：≥180万像素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5.屏幕：≥2.0英寸触摸屏，分辨率≥600×400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6.音频：需内置麦克风、扬声器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7.通信：需支持2.4GHz Wi-Fi</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8.接口：Type-C、TF卡、UART接口</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9.需支持积木扩展、需支持1/4螺纹接口</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四足机器人</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一、功能描述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1、需可实现AI边缘计算编程，例如骨骼识别，手势识别，人脸检测，语音识别等常用AI程序。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2、需可实现物体抓取，全向移动，六维姿态控制，多种运动步态及运动叠加，内置陀螺仪，可保持身体自平衡。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3、需配套编程示例，可以通过无线wifi对</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进行AI编程。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4、伺服舵机需具有关节角度回读功能，可用于机器人示教。</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二、配置要求</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套件需包含不少于15个总线舵机；AI模组；机器狗驱动和钣金件；无线遥控器。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w:t>
            </w:r>
            <w:r>
              <w:rPr>
                <w:rFonts w:hint="eastAsia"/>
                <w:highlight w:val="none"/>
                <w:vertAlign w:val="baseline"/>
                <w:lang w:val="en-US" w:eastAsia="zh-CN"/>
              </w:rPr>
              <w:t xml:space="preserve">四足机器人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零件材质需为铝合金材质，阳极氧化上色，安全无毒。</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3、定制串口总线伺服舵机，可实现精准动作的控制及表达。</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三、技术参数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1、舵机参数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（1）型号：串口总线舵机或同等类型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（2）输出扭矩：≥2.3KG•CM；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（3）转速（S/60°）：≥0.12 S/60°；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（4）精度：≥0.2</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（5）工作电压范围：4.8V～7.4V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（6）工作温度：-20℃～ +60℃；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（7）角度范围：0~300°；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（8）重量：13±1g。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（9）马达类型：铁芯</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2、AI模组参数：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内存</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模块：≥4GB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（2）屏幕：全彩≥2.0 TFT屏幕，可显示视频，图片及文字。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（3）喇叭：≥8欧2W</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（4）麦克风：双MEMS数字麦克风</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（5）按键：≥4个可编程按键。</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（6）摄像头：≥200W像素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（7）外接：串口，需支持mini hdmi和usb等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3、电源系统：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（1）充电器：≥5V/1A</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（2）电池：≥2500毫安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4、整机系统：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（1）尺寸：≥20*10*15CM；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（2）重量：≥520g；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（3）结构：≥1mm阳极氧化铝合金"</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可编程空中飞行器</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一、具体参数</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1、高度：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2、产品重量：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70g；</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3、轴数：</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4、螺旋桨：</w:t>
            </w:r>
            <w:r>
              <w:rPr>
                <w:rFonts w:ascii="宋体" w:hAnsi="宋体" w:eastAsia="宋体"/>
                <w:b w:val="0"/>
                <w:sz w:val="20"/>
                <w:highlight w:val="none"/>
              </w:rPr>
              <w:t xml:space="preserve">尺寸≥65mm</w:t>
            </w:r>
            <w:r>
              <w:rPr>
                <w:rFonts w:hint="eastAsia" w:ascii="宋体" w:hAnsi="宋体" w:eastAsia="宋体"/>
                <w:b w:val="0"/>
                <w:sz w:val="20"/>
                <w:highlight w:val="none"/>
                <w:lang w:eastAsia="zh-CN"/>
              </w:rPr>
              <w:t xml:space="preserve">；</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5、马达：空心杯电机；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6、轴距：</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 mm；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7、气压计：有；</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8、飞行时间：8-10min；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9、LED：机身上下，4 个马达下各一个；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10、电池容量：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1200mAh；</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11、电压：4.35V；</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12、电池类型：高压锂电池；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13、电源适配器：12V/3A 运行环境：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 1 平米的范围内进行编程舞蹈；</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14、基本功能：</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进行多机编队编舞灯光秀；</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15、飞行环境：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在室内黑暗环境下运行；</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、其他特点：灯光控制</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编程、语音控制；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、控制方式：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用安卓手机编程控制；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二、教学软件基本功能</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1、菜单项</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包含工程新建、打开、保存、另存为；</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2、动作时间轴</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包含动作组编辑、无人机添加、无人机状态显示、无人机舞蹈音乐；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3、控件区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包含基本功能控件、基础动作控件、显示控件、循环控件；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4、主程序区，图形化编程主程序拼接区，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通过拖拽图形化模块完成编程；</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5、源码区，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实时显示主程序区的图形化编程代码 Python；</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6、预览区，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需支持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对编程内容在三维空间进行 3D 预览展示，方便联机前反复优化编排预览效果。</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大模型互动平台</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highlight w:val="none"/>
                <w:vertAlign w:val="baseline"/>
                <w:lang w:val="en-US" w:eastAsia="zh-CN"/>
              </w:rPr>
              <w:t xml:space="preserve">AI 智能交互教学终端</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硬件：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1.屏幕尺寸：≥55英寸，屏幕分辨率：≥3840×2160，屏幕刷新率≥60Hz；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2.CPU：八核心，最高主频≥2.4GHz；</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3.运行内存：≥8GB；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4.存储容量：≥128GB；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5.屏幕：需采用钢化玻璃，可视角度：≥178°（上下左右），全白场中心亮度≥350cd/m²；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6.触屏方式：≥5点触摸，响应时间≤20ms；</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7.麦克风：≥8阵列，支持定向拾音、定距拾音、回音消除、环境抑噪、混响去除；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8.扬声器：需内置2声道扬声器，清晰度：STI≥0.65；在100%音量下，1米处声音响度≥78dB；</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9.网络及通信：需支持千兆以太网，双频WiFi，需内置2.4G+5GHz双频频段；需内置蓝牙模块，支持蓝牙5.0标准；</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10.系统：自带操作系统；</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11.工作环境：产品使用寿命≥50000小时，工作温度：-10°C～50°C，存储温度：-20°C～60°C，保护开关：支持漏电保护；</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12.物理形态：落地立式，高强度固定支架；</w:t>
            </w:r>
            <w:r/>
          </w:p>
          <w:p>
            <w:pPr>
              <w:ind w:left="0" w:firstLine="0"/>
              <w:jc w:val="both"/>
              <w:spacing w:after="0" w:line="240" w:lineRule="auto"/>
              <w:tabs>
                <w:tab w:val="left" w:pos="1075" w:leader="none"/>
              </w:tabs>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配套软件：</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1.需支持通过语音识别、语音合成、数字人技术，结合认知大模型与虚拟名人进行对话互动；</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2.需提供不同类型的切换方式，应提供点击人物直接切换、屏幕左右滑动切换；</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▲3.虚拟人物形象需采用立体设计方案，人物形象应具有真实立体感，不同人物角色具有与其人物特征匹配的背景渲染；</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4.需提供适龄化的语言表达，如采用比喻或类比方式回应问题；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5.在与虚拟人互动时，虚拟人需具有动态口型效果；</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6.需根据不同虚拟名人的人格属性，在回答同一问题时采用不同的思维角度进行差异化回答；</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7.需根据不同风格的虚拟人的属性，提供与匹配的拟人音色；</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▲8.需提供≥10位不同风格的虚拟人物形象，包含但不限于科学探索、工程技术、文学艺术、哲学思辨、励志榜样、个性创意等方向；</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9.虚拟名人需有至少2种不同人物风格形象，应包括卡通类风格人物和拟人类（标准）风格的人物形象；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▲10.需支持智能分析并提取学生和虚拟人对话中产生的好问题，并将产生的好问题进行公开展示；</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▲11.需提供AI绘画功能，支持通过语音交互对话，生成相应的AI绘画图片；</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12.需支持待机时展示科学领域素材；</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13.需支持意见反馈，包括但不限于选择标签快捷反馈和录音反馈方式；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▲14.需支持对软件当前环境进行检测，包含网络测速检查与麦克风设备检查；</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（需</w:t>
            </w:r>
            <w:r>
              <w:rPr>
                <w:rFonts w:hint="eastAsia" w:ascii="宋体" w:hAnsi="宋体" w:eastAsia="宋体" w:cs="宋体"/>
                <w:b/>
                <w:bCs w:val="0"/>
                <w:sz w:val="21"/>
                <w:szCs w:val="21"/>
                <w:highlight w:val="none"/>
                <w:lang w:val="en-US" w:eastAsia="zh-CN"/>
              </w:rPr>
              <w:t xml:space="preserve">提供产品功能界面截图并加盖投标人电子签章）</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15.需支持待机、重新启动、关机操作；需支持自定义进入待机时长；需支持自定义定时关机、定时开机、定时重启任务，支持自定义时间点和重复方式；</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16.需支持系统内直接设置硬件亮度、声音等；需支持自动下载新版软件进行升级；</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17.需支持通过名称、人设等要素自定义创建不同的静态虚拟形象；</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18.需支持自主上传自定义知识库，用于回答特定领域问题；</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19.需支持自主上传展示素材，素材配置格式支持包含但不限于JPG、PNG、MP4；</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20.需支持查看互动数据，包含提问、绘画、好问题的统计和明细。</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restart"/>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配套硬件</w:t>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充电车</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1、支持≥ 50 台及以上配套的平板电脑同时充电；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2、材质：需采用钢板材质，全封闭，安全防盗；</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3、安全要求：电源开关需设有高压强电保护、漏电保护、过载保护。</w:t>
            </w:r>
            <w:r/>
          </w:p>
        </w:tc>
      </w:tr>
      <w:tr>
        <w:trPr/>
        <w:tc>
          <w:tcPr>
            <w:tcW w:w="472" w:type="pct"/>
            <w:vAlign w:val="center"/>
            <w:textDirection w:val="lrTb"/>
            <w:noWrap w:val="false"/>
          </w:tcPr>
          <w:p>
            <w:pPr>
              <w:numPr>
                <w:ilvl w:val="0"/>
                <w:numId w:val="6"/>
              </w:num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578" w:type="pct"/>
            <w:vAlign w:val="center"/>
            <w:vMerge w:val="continue"/>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r>
            <w:r/>
          </w:p>
        </w:tc>
        <w:tc>
          <w:tcPr>
            <w:tcW w:w="693" w:type="pct"/>
            <w:vAlign w:val="center"/>
            <w:textDirection w:val="lrTb"/>
            <w:noWrap w:val="false"/>
          </w:tcPr>
          <w:p>
            <w:pPr>
              <w:ind w:left="0" w:firstLine="0"/>
              <w:jc w:val="center"/>
              <w:spacing w:after="0" w:line="240" w:lineRule="auto"/>
              <w:rPr>
                <w:rFonts w:hint="eastAsia" w:ascii="Times New Roman" w:hAnsi="Times New Roman" w:eastAsia="宋体"/>
                <w:highlight w:val="none"/>
                <w:vertAlign w:val="baseline"/>
                <w:lang w:val="en-US" w:eastAsia="zh-CN"/>
              </w:rPr>
            </w:pPr>
            <w:r>
              <w:rPr>
                <w:rFonts w:hint="eastAsia" w:ascii="Times New Roman" w:hAnsi="Times New Roman" w:eastAsia="宋体"/>
                <w:highlight w:val="none"/>
                <w:vertAlign w:val="baseline"/>
                <w:lang w:val="en-US" w:eastAsia="zh-CN"/>
              </w:rPr>
              <w:t xml:space="preserve">无线路由器</w:t>
            </w:r>
            <w:r/>
          </w:p>
        </w:tc>
        <w:tc>
          <w:tcPr>
            <w:tcW w:w="3255" w:type="pct"/>
            <w:vAlign w:val="center"/>
            <w:textDirection w:val="lrTb"/>
            <w:noWrap w:val="false"/>
          </w:tcPr>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1、以太网接口≥2个；</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2、PoE: 802.3bt/at 供电；</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3、内置物联网:需内置蓝牙 5.1/RFID/Zigbee；</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4、本地供电：需支持 54V DC；</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5、物联网扩展：需支持链式物联网扩展能力，最大需支持不少于 8 个 BLE、RFID、ZigBee 等全制式物联网扩展；</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6、发射功率(单路最大)：≥20dBm；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7、可调功率粒度：≥1dBm；</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8、每射频最大接入用户数：≥510(整机最大接入用户数 1500）；</w:t>
            </w:r>
            <w:r/>
          </w:p>
          <w:p>
            <w:pPr>
              <w:ind w:left="0" w:firstLine="0"/>
              <w:jc w:val="both"/>
              <w:spacing w:after="0" w:line="240" w:lineRule="auto"/>
              <w:tabs>
                <w:tab w:val="left" w:pos="1075" w:leader="none"/>
              </w:tabs>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9、虚拟 AP≥40。</w:t>
            </w:r>
            <w:r/>
          </w:p>
        </w:tc>
      </w:tr>
    </w:tbl>
    <w:p>
      <w:pPr>
        <w:rPr>
          <w:rFonts w:hint="default"/>
          <w:lang w:val="en-US" w:eastAsia="zh-CN"/>
        </w:rPr>
      </w:pPr>
      <w:r>
        <w:rPr>
          <w:rFonts w:hint="default"/>
          <w:lang w:val="en-US" w:eastAsia="zh-CN"/>
        </w:rPr>
      </w:r>
      <w:r/>
    </w:p>
    <w:p>
      <w:pPr>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、项目实施要求</w:t>
      </w:r>
      <w:r/>
    </w:p>
    <w:p>
      <w:pPr>
        <w:ind w:right="2" w:firstLine="562"/>
        <w:jc w:val="left"/>
        <w:spacing w:line="440" w:lineRule="exact"/>
        <w:rPr>
          <w:rFonts w:hint="default" w:ascii="宋体" w:hAnsi="宋体" w:eastAsia="宋体" w:cs="宋体"/>
          <w:b/>
          <w:bCs w:val="0"/>
          <w:color w:val="000000"/>
          <w:sz w:val="24"/>
          <w:szCs w:val="24"/>
          <w:highlight w:val="none"/>
          <w:lang w:val="en-US" w:eastAsia="zh-CN"/>
        </w:rP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rPr>
        <w:t xml:space="preserve">投标人所投产品应能够达到以上技术参数要求</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highlight w:val="none"/>
          <w:lang w:val="en-US" w:eastAsia="zh-CN"/>
        </w:rPr>
        <w:t xml:space="preserve">并承诺三年内不能落后于行业平均水平</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本项为</w:t>
      </w:r>
      <w:r>
        <w:rPr>
          <w:rFonts w:hint="eastAsia" w:ascii="宋体" w:hAnsi="宋体" w:eastAsia="宋体" w:cs="宋体"/>
          <w:b/>
          <w:bCs w:val="0"/>
          <w:color w:val="000000"/>
          <w:sz w:val="24"/>
          <w:szCs w:val="24"/>
          <w:highlight w:val="none"/>
          <w:lang w:eastAsia="zh-CN"/>
        </w:rPr>
        <w:t xml:space="preserve">不允许偏离的实质性要求和条件，如有偏离，在符合性审查时按照无效响应文件处理。</w:t>
      </w:r>
      <w:r>
        <w:rPr>
          <w:rFonts w:hint="eastAsia" w:ascii="宋体" w:hAnsi="宋体" w:eastAsia="宋体" w:cs="宋体"/>
          <w:b/>
          <w:bCs w:val="0"/>
          <w:color w:val="000000"/>
          <w:sz w:val="24"/>
          <w:szCs w:val="24"/>
          <w:highlight w:val="none"/>
          <w:lang w:val="en-US" w:eastAsia="zh-CN"/>
        </w:rPr>
        <w:t xml:space="preserve">投标文件里须提供承诺书，格式自拟，未提供视为未响应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rPr>
        <w:t xml:space="preserve">投标人必须承诺招标文件中提出的全部技术规格与要求，如果以其中某些条款不响应时，应在文件中逐条列出，未列出的视同响应。</w:t>
      </w:r>
      <w:r/>
    </w:p>
    <w:p>
      <w:pPr>
        <w:ind w:right="2" w:firstLine="560"/>
        <w:jc w:val="left"/>
        <w:spacing w:line="440" w:lineRule="exact"/>
        <w:rPr>
          <w:rFonts w:hint="eastAsia" w:ascii="宋体" w:hAnsi="宋体" w:eastAsia="宋体" w:cs="宋体"/>
          <w:b w:val="0"/>
          <w:bCs/>
          <w:color w:val="000000"/>
          <w:sz w:val="24"/>
          <w:szCs w:val="24"/>
          <w:highlight w:val="yellow"/>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交付时间：合同生效后，</w:t>
      </w: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日历天内完成交付并安装调试</w:t>
      </w:r>
      <w:r>
        <w:rPr>
          <w:rFonts w:hint="eastAsia" w:ascii="宋体" w:hAnsi="宋体" w:eastAsia="宋体" w:cs="宋体"/>
          <w:b w:val="0"/>
          <w:bCs/>
          <w:color w:val="000000"/>
          <w:sz w:val="24"/>
          <w:szCs w:val="24"/>
          <w:highlight w:val="none"/>
          <w:lang w:val="en-US" w:eastAsia="zh-CN"/>
        </w:rPr>
        <w:t xml:space="preserve">集成</w:t>
      </w:r>
      <w:r>
        <w:rPr>
          <w:rFonts w:hint="eastAsia" w:ascii="宋体" w:hAnsi="宋体" w:eastAsia="宋体" w:cs="宋体"/>
          <w:b w:val="0"/>
          <w:bCs/>
          <w:color w:val="000000"/>
          <w:sz w:val="24"/>
          <w:szCs w:val="24"/>
          <w:highlight w:val="none"/>
        </w:rPr>
        <w:t xml:space="preserve">完毕并投入使用。</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验收时需提供全部的技术资料（产品中/英文说明书、中文操作手册和产品合格证书）。</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7.</w:t>
      </w:r>
      <w:r>
        <w:rPr>
          <w:rFonts w:hint="eastAsia" w:ascii="宋体" w:hAnsi="宋体" w:eastAsia="宋体" w:cs="宋体"/>
          <w:b w:val="0"/>
          <w:bCs/>
          <w:color w:val="000000"/>
          <w:sz w:val="24"/>
          <w:szCs w:val="24"/>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right="2" w:firstLine="560"/>
        <w:jc w:val="left"/>
        <w:spacing w:line="44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投标人安装调试时采取必要的安全措施，如有意外或事故发生，由中标人（合同卖方）负全部责任。</w:t>
      </w:r>
      <w:r>
        <w:rPr>
          <w:rFonts w:hint="eastAsia" w:ascii="宋体" w:hAnsi="宋体" w:eastAsia="宋体" w:cs="宋体"/>
          <w:b w:val="0"/>
          <w:bCs/>
          <w:color w:val="000000"/>
          <w:sz w:val="24"/>
          <w:szCs w:val="24"/>
          <w:lang w:val="en-US" w:eastAsia="zh-CN"/>
        </w:rPr>
        <w:t xml:space="preserve">采购人如需要移机，需提供免费移机一次。</w:t>
      </w:r>
      <w:r/>
    </w:p>
    <w:p>
      <w:pPr>
        <w:ind w:right="2" w:firstLine="560"/>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9.</w:t>
      </w:r>
      <w:r>
        <w:rPr>
          <w:rFonts w:hint="eastAsia" w:ascii="宋体" w:hAnsi="宋体" w:eastAsia="宋体" w:cs="宋体"/>
          <w:b w:val="0"/>
          <w:bCs/>
          <w:color w:val="000000"/>
          <w:sz w:val="24"/>
          <w:szCs w:val="24"/>
        </w:rPr>
        <w:t xml:space="preserve">投标人应指派专人全面负责项目的管理、项目协调、项目控制、质量监督等各项管理工作。</w:t>
      </w:r>
      <w:r/>
    </w:p>
    <w:p>
      <w:pPr>
        <w:ind w:right="2" w:firstLine="562"/>
        <w:jc w:val="left"/>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、售后服务要求及培训要求</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（一）售后服务要求</w:t>
      </w:r>
      <w:r/>
    </w:p>
    <w:p>
      <w:pPr>
        <w:ind w:right="2" w:firstLine="562"/>
        <w:jc w:val="left"/>
        <w:spacing w:line="440" w:lineRule="exact"/>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1、质保期要求：从验收合格之日起，提供不少于</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年免费质保（含软件免费升级服务）。</w:t>
      </w:r>
      <w:r/>
    </w:p>
    <w:p>
      <w:pPr>
        <w:ind w:right="2" w:firstLine="562"/>
        <w:jc w:val="left"/>
        <w:spacing w:line="440" w:lineRule="exact"/>
        <w:rPr>
          <w:rFonts w:hint="eastAsia" w:ascii="宋体" w:hAnsi="宋体" w:eastAsia="宋体" w:cs="宋体"/>
          <w:b/>
          <w:bCs w:val="0"/>
          <w:color w:val="000000"/>
          <w:sz w:val="24"/>
          <w:szCs w:val="24"/>
          <w:highlight w:val="none"/>
          <w:lang w:eastAsia="zh-CN"/>
        </w:rPr>
      </w:pPr>
      <w:r>
        <w:rPr>
          <w:rFonts w:hint="eastAsia" w:ascii="宋体" w:hAnsi="宋体" w:eastAsia="宋体" w:cs="宋体"/>
          <w:b w:val="0"/>
          <w:bCs/>
          <w:color w:val="000000"/>
          <w:sz w:val="24"/>
          <w:szCs w:val="24"/>
          <w:highlight w:val="none"/>
        </w:rPr>
        <w:t xml:space="preserve">说明：</w:t>
      </w:r>
      <w:r>
        <w:rPr>
          <w:rFonts w:hint="eastAsia" w:ascii="宋体" w:hAnsi="宋体" w:eastAsia="宋体" w:cs="宋体"/>
          <w:b/>
          <w:bCs w:val="0"/>
          <w:color w:val="000000"/>
          <w:sz w:val="24"/>
          <w:szCs w:val="24"/>
          <w:highlight w:val="none"/>
        </w:rPr>
        <w:t xml:space="preserve">本“1、质保期要求”为不允许偏离的实质性要求和条件，如有偏离，在符合性审查时按照无效投标处理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投标文件里须提供承诺书，格式自拟，未提供视为未响应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2、售后服务具体要求</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（1）质保期内，中标人应提供人员配置清单、中标人应免费提供软</w:t>
      </w:r>
      <w:r>
        <w:rPr>
          <w:rFonts w:hint="eastAsia" w:ascii="宋体" w:hAnsi="宋体" w:eastAsia="宋体" w:cs="宋体"/>
          <w:b w:val="0"/>
          <w:bCs/>
          <w:color w:val="000000"/>
          <w:sz w:val="24"/>
          <w:szCs w:val="24"/>
          <w:lang w:val="en-US" w:eastAsia="zh-CN"/>
        </w:rPr>
        <w:t xml:space="preserve">硬</w:t>
      </w:r>
      <w:r>
        <w:rPr>
          <w:rFonts w:hint="eastAsia" w:ascii="宋体" w:hAnsi="宋体" w:eastAsia="宋体" w:cs="宋体"/>
          <w:b w:val="0"/>
          <w:bCs/>
          <w:color w:val="000000"/>
          <w:sz w:val="24"/>
          <w:szCs w:val="24"/>
        </w:rPr>
        <w:t xml:space="preserve">件日常维护、培训、性能优化等服务。中标人应提供电话技术支持、上门服务、定期的系统检查等多种服务形式，并提供完善的售后服务方案。</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（2）质保期内，若系统出现故障，中标人需立即做出响应和安排，并安排专业人员在4小时内到达现场，24小时内解决问题；需要立即提供故障处理、维修方案、应急措施、应急方案。</w:t>
      </w:r>
      <w:r/>
    </w:p>
    <w:p>
      <w:pPr>
        <w:ind w:right="2" w:firstLine="562"/>
        <w:jc w:val="left"/>
        <w:spacing w:line="440" w:lineRule="exact"/>
        <w:rPr>
          <w:rFonts w:hint="eastAsia" w:ascii="宋体" w:hAnsi="宋体" w:eastAsia="宋体" w:cs="宋体"/>
          <w:b/>
          <w:color w:val="000000"/>
          <w:sz w:val="24"/>
          <w:szCs w:val="24"/>
        </w:rPr>
      </w:pPr>
      <w:r>
        <w:rPr>
          <w:rFonts w:hint="eastAsia" w:ascii="宋体" w:hAnsi="宋体" w:eastAsia="宋体" w:cs="宋体"/>
          <w:b w:val="0"/>
          <w:bCs/>
          <w:color w:val="000000"/>
          <w:sz w:val="24"/>
          <w:szCs w:val="24"/>
        </w:rPr>
        <w:t xml:space="preserve">（3）质保期外，投标人应根据项目特点提供服务响应方式及时间、故障处理、维修方案、应急措施和应急方案。</w:t>
      </w:r>
      <w:r/>
    </w:p>
    <w:p>
      <w:pPr>
        <w:ind w:right="2" w:firstLine="562"/>
        <w:jc w:val="left"/>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二</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项目培训要求</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中标人</w:t>
      </w:r>
      <w:r>
        <w:rPr>
          <w:rFonts w:hint="eastAsia" w:ascii="宋体" w:hAnsi="宋体" w:eastAsia="宋体" w:cs="宋体"/>
          <w:bCs/>
          <w:color w:val="000000"/>
          <w:sz w:val="24"/>
          <w:szCs w:val="24"/>
        </w:rPr>
        <w:t xml:space="preserve">供货时应免费向最终用户提供现场技术培训，或根据最终用户要求对所有需要参加培训的人员免费进行上门培训。培训方案至少应当包括：培训内容、培训周期、培训场地、培训目标、培训师资、培训形式、参训保障等维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培训时间按照最终用户要求。</w:t>
      </w:r>
      <w:r/>
    </w:p>
    <w:p>
      <w:pPr>
        <w:ind w:right="2" w:firstLine="560"/>
        <w:jc w:val="left"/>
        <w:spacing w:line="44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七</w:t>
      </w:r>
      <w:r>
        <w:rPr>
          <w:rFonts w:hint="eastAsia" w:ascii="宋体" w:hAnsi="宋体" w:eastAsia="宋体" w:cs="宋体"/>
          <w:b/>
          <w:bCs w:val="0"/>
          <w:color w:val="000000"/>
          <w:sz w:val="24"/>
          <w:szCs w:val="24"/>
        </w:rPr>
        <w:t xml:space="preserve">、验收标准（验收要求、验收标准和程序）要求</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项目安装调试完毕，由中标人向采购人提交验收报告，采购人按照合同、招标文件和验收标准组织项目验收。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验收依据：招标文件、投标文件、厂家货物技术标准说明及国家有关的质量标准规定，均为验收依据。</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货物验收：货物运抵采购人处后由双方对照采购清单及技术要求进行验收。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系统验收：中标人根据招标要求进行设备安装、调试、测试后，由采购人或政府相关部门进行使用性能方面的验收。</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采购人有权委托我国相关具有检验资质的部门、单位、机构针对中标货物的精度（软硬件）、性能进行检验。其检验结果将作为验收标准的组成部分之一。</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验收时中标人必须派代表参加。</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验收过程所发生的一切费用由中标人承担。</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中标人所提供的设备需满足采购清单的设备性能指标要求。</w:t>
      </w:r>
      <w:r/>
    </w:p>
    <w:p>
      <w:pPr>
        <w:ind w:right="2" w:firstLine="560"/>
        <w:jc w:val="left"/>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要求提供的设备、产品、文件（装箱单、保修单、随箱介质等）满足招标要求及验收标准。</w:t>
      </w:r>
      <w:r/>
    </w:p>
    <w:p>
      <w:pPr>
        <w:pStyle w:val="1021"/>
        <w:ind w:left="0" w:firstLine="600"/>
        <w:jc w:val="both"/>
        <w:spacing w:line="38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八、</w:t>
      </w:r>
      <w:r>
        <w:rPr>
          <w:rFonts w:hint="eastAsia" w:ascii="宋体" w:hAnsi="宋体" w:eastAsia="宋体" w:cs="宋体"/>
          <w:bCs/>
          <w:color w:val="000000"/>
          <w:sz w:val="24"/>
          <w:szCs w:val="24"/>
        </w:rPr>
        <w:t xml:space="preserve">其他要求：见招标文件第五章《拟签订的合同文本》</w:t>
      </w:r>
      <w:r>
        <w:rPr>
          <w:rFonts w:hint="eastAsia" w:ascii="宋体" w:hAnsi="宋体" w:eastAsia="宋体" w:cs="宋体"/>
          <w:bCs/>
          <w:color w:val="000000"/>
          <w:sz w:val="24"/>
          <w:szCs w:val="24"/>
          <w:lang w:eastAsia="zh-CN"/>
        </w:rPr>
        <w:t xml:space="preserve">。</w:t>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60"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right="2"/>
        <w:jc w:val="center"/>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第七章  投标文件相关格式</w:t>
      </w:r>
      <w:bookmarkEnd w:id="19"/>
      <w:r/>
      <w:bookmarkEnd w:id="20"/>
      <w:r/>
      <w:r/>
    </w:p>
    <w:p>
      <w:pPr>
        <w:ind w:firstLine="64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一、投标函格式</w:t>
      </w:r>
      <w:r/>
    </w:p>
    <w:p>
      <w:pPr>
        <w:spacing w:line="42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山东方圆工程咨询有限公司</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徐州经济技术开发区科技教育局“央馆人工智能课程”配套设备采购项目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项目编号：JSZC-320390-SDFY-G2026-0001</w:t>
      </w:r>
      <w:r>
        <w:rPr>
          <w:rFonts w:hint="eastAsia" w:ascii="宋体" w:hAnsi="宋体" w:eastAsia="宋体" w:cs="宋体"/>
          <w:color w:val="000000"/>
          <w:sz w:val="24"/>
          <w:szCs w:val="24"/>
        </w:rPr>
        <w:t xml:space="preserve">]招标文件，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据此函，投标人承诺并同意如下： </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投标人唯一投标报价见《开标一览表》。</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投标人将按招标文件的规定履行合同责任和义务。</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投标有效期为开标之日后90天。</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投标人同意提供按照贵方可能要求的与其投标有关的一切数据或资料，完全理解贵方不一定接受最低价的投标或收到的任何投标。</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投标人同意在授予合同后，按照有关规定支付公证费(如有)。</w:t>
      </w:r>
      <w:r/>
    </w:p>
    <w:p>
      <w:pPr>
        <w:ind w:right="29"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投标人同意在授予中标通知书时，按照招标文件规定支付招标代理费。</w:t>
      </w:r>
      <w:r/>
    </w:p>
    <w:p>
      <w:pPr>
        <w:ind w:right="29"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w:t>
      </w:r>
      <w:r>
        <w:rPr>
          <w:rFonts w:hint="eastAsia" w:ascii="宋体" w:hAnsi="宋体" w:eastAsia="宋体" w:cs="宋体"/>
          <w:color w:val="000000"/>
          <w:sz w:val="24"/>
          <w:szCs w:val="24"/>
          <w:lang w:eastAsia="zh-CN"/>
        </w:rPr>
        <w:t xml:space="preserve">山东方圆工程咨询有限公司</w:t>
      </w:r>
      <w:r>
        <w:rPr>
          <w:rFonts w:hint="eastAsia" w:ascii="宋体" w:hAnsi="宋体" w:eastAsia="宋体" w:cs="宋体"/>
          <w:color w:val="000000"/>
          <w:sz w:val="24"/>
          <w:szCs w:val="24"/>
        </w:rPr>
        <w:t xml:space="preserve">有权将我单位本项目的《开标一览表》和《分项价格表》予以公示，公示的方式由</w:t>
      </w:r>
      <w:r>
        <w:rPr>
          <w:rFonts w:hint="eastAsia" w:ascii="宋体" w:hAnsi="宋体" w:eastAsia="宋体" w:cs="宋体"/>
          <w:color w:val="000000"/>
          <w:sz w:val="24"/>
          <w:szCs w:val="24"/>
          <w:lang w:eastAsia="zh-CN"/>
        </w:rPr>
        <w:t xml:space="preserve">山东方圆工程咨询有限公司</w:t>
      </w:r>
      <w:r>
        <w:rPr>
          <w:rFonts w:hint="eastAsia" w:ascii="宋体" w:hAnsi="宋体" w:eastAsia="宋体" w:cs="宋体"/>
          <w:color w:val="000000"/>
          <w:sz w:val="24"/>
          <w:szCs w:val="24"/>
        </w:rPr>
        <w:t xml:space="preserve">确定。</w:t>
      </w:r>
      <w:r/>
    </w:p>
    <w:p>
      <w:pPr>
        <w:ind w:right="29"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与本投标有关的一切正式往来信函请寄：</w:t>
      </w:r>
      <w:r/>
    </w:p>
    <w:p>
      <w:pPr>
        <w:ind w:firstLine="12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p>
    <w:p>
      <w:pPr>
        <w:ind w:firstLine="12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 </w:t>
      </w:r>
      <w:r/>
    </w:p>
    <w:p>
      <w:pPr>
        <w:ind w:firstLine="12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传真：</w:t>
      </w:r>
      <w:r/>
    </w:p>
    <w:p>
      <w:pP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7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50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r/>
    </w:p>
    <w:p>
      <w:pPr>
        <w:ind w:firstLine="64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二、开标一览表</w:t>
      </w:r>
      <w:r/>
    </w:p>
    <w:p>
      <w:pPr>
        <w:ind w:firstLine="600"/>
        <w:spacing w:line="52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p>
    <w:p>
      <w:pPr>
        <w:ind w:firstLine="600"/>
        <w:spacing w:line="52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项目编号：JSZC-320390-SDFY-G2026-0001</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520" w:lineRule="exact"/>
        <w:rPr>
          <w:rFonts w:hint="eastAsia" w:ascii="宋体" w:hAnsi="宋体" w:eastAsia="宋体" w:cs="宋体"/>
          <w:i/>
          <w:iCs/>
          <w:color w:val="000000"/>
          <w:sz w:val="24"/>
          <w:szCs w:val="24"/>
          <w:u w:val="single"/>
        </w:rPr>
      </w:pPr>
      <w:r>
        <w:rPr>
          <w:rFonts w:hint="eastAsia" w:ascii="宋体" w:hAnsi="宋体" w:eastAsia="宋体" w:cs="宋体"/>
          <w:b/>
          <w:bCs/>
          <w:i w:val="0"/>
          <w:iCs w:val="0"/>
          <w:color w:val="000000"/>
          <w:sz w:val="24"/>
          <w:szCs w:val="24"/>
          <w:u w:val="none"/>
        </w:rPr>
        <w:t xml:space="preserve">具体以苏采云系统内格式为准</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76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1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39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9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三、分项价格表</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  </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项目编号：JSZC-320390-SDFY-G2026-0001</w:t>
      </w:r>
      <w:r>
        <w:rPr>
          <w:rFonts w:hint="eastAsia" w:ascii="宋体" w:hAnsi="宋体" w:eastAsia="宋体" w:cs="宋体"/>
          <w:color w:val="000000"/>
          <w:sz w:val="24"/>
          <w:szCs w:val="24"/>
        </w:rPr>
        <w:t xml:space="preserve">   </w:t>
      </w:r>
      <w:r/>
    </w:p>
    <w:p>
      <w:pPr>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货币单位：人民币元</w:t>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55"/>
        <w:tblW w:w="9404"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99"/>
        <w:gridCol w:w="1068"/>
        <w:gridCol w:w="1104"/>
        <w:gridCol w:w="1272"/>
        <w:gridCol w:w="1879"/>
        <w:gridCol w:w="784"/>
        <w:gridCol w:w="708"/>
        <w:gridCol w:w="743"/>
        <w:gridCol w:w="947"/>
      </w:tblGrid>
      <w:tr>
        <w:trPr>
          <w:jc w:val="center"/>
          <w:trHeight w:val="1220"/>
          <w:tblHeader/>
        </w:trPr>
        <w:tc>
          <w:tcPr>
            <w:shd w:val="clear" w:color="auto" w:fill="c0c0c0"/>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shd w:val="clear" w:color="auto" w:fill="c0c0c0"/>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w:t>
            </w:r>
            <w:r/>
          </w:p>
        </w:tc>
        <w:tc>
          <w:tcPr>
            <w:shd w:val="clear" w:color="auto" w:fill="c0c0c0"/>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如有</w:t>
            </w:r>
            <w:r>
              <w:rPr>
                <w:rFonts w:hint="eastAsia" w:ascii="仿宋" w:hAnsi="仿宋" w:eastAsia="仿宋" w:cs="仿宋"/>
                <w:sz w:val="24"/>
                <w:szCs w:val="24"/>
                <w:highlight w:val="none"/>
                <w:lang w:eastAsia="zh-CN"/>
              </w:rPr>
              <w:t xml:space="preserve">）</w:t>
            </w:r>
            <w:r/>
          </w:p>
        </w:tc>
        <w:tc>
          <w:tcPr>
            <w:shd w:val="clear" w:color="auto" w:fill="c0c0c0"/>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规格</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p>
        </w:tc>
        <w:tc>
          <w:tcPr>
            <w:shd w:val="clear" w:color="auto" w:fill="c0c0c0"/>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产品制造企业名称（全称）</w:t>
            </w:r>
            <w:r/>
          </w:p>
        </w:tc>
        <w:tc>
          <w:tcPr>
            <w:shd w:val="clear" w:color="auto" w:fill="c0c0c0"/>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shd w:val="clear" w:color="auto" w:fill="c0c0c0"/>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shd w:val="clear" w:color="auto" w:fill="c0c0c0"/>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单价</w:t>
            </w:r>
            <w:r/>
          </w:p>
        </w:tc>
        <w:tc>
          <w:tcPr>
            <w:shd w:val="clear" w:color="auto" w:fill="c0c0c0"/>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总价</w:t>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Mar>
              <w:left w:w="15" w:type="dxa"/>
              <w:top w:w="15" w:type="dxa"/>
              <w:right w:w="15" w:type="dxa"/>
              <w:bottom w:w="0" w:type="dxa"/>
            </w:tcMar>
            <w:tcW w:w="89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6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10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27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879"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84"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8"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43"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47"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gridSpan w:val="5"/>
            <w:tcMar>
              <w:left w:w="15" w:type="dxa"/>
              <w:top w:w="15" w:type="dxa"/>
              <w:right w:w="15" w:type="dxa"/>
              <w:bottom w:w="0" w:type="dxa"/>
            </w:tcMar>
            <w:tcW w:w="622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总价合计（即《开标一览表》中的“总价”）</w:t>
            </w:r>
            <w:r/>
          </w:p>
        </w:tc>
        <w:tc>
          <w:tcPr>
            <w:gridSpan w:val="4"/>
            <w:tcMar>
              <w:left w:w="15" w:type="dxa"/>
              <w:top w:w="15" w:type="dxa"/>
              <w:right w:w="15" w:type="dxa"/>
              <w:bottom w:w="0" w:type="dxa"/>
            </w:tcMar>
            <w:tcW w:w="3182" w:type="dxa"/>
            <w:vAlign w:val="center"/>
            <w:textDirection w:val="lrTb"/>
            <w:noWrap w:val="false"/>
          </w:tcPr>
          <w:p>
            <w:pPr>
              <w:pStyle w:val="1005"/>
              <w:ind w:left="0" w:right="0" w:firstLine="0"/>
              <w:jc w:val="center"/>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39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left="1496" w:hanging="900"/>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注：①如果不提供详细分项报价的，将视为没有实质性响应招标</w:t>
      </w:r>
      <w:r>
        <w:rPr>
          <w:rFonts w:hint="eastAsia" w:ascii="宋体" w:hAnsi="宋体" w:eastAsia="宋体" w:cs="宋体"/>
          <w:color w:val="000000"/>
          <w:sz w:val="24"/>
          <w:szCs w:val="24"/>
          <w:lang w:val="en-US" w:eastAsia="zh-CN"/>
        </w:rPr>
        <w:t xml:space="preserve">文件</w:t>
      </w:r>
      <w:r/>
    </w:p>
    <w:p>
      <w:pPr>
        <w:ind w:left="1493" w:hanging="3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②投标人对以上数据的真实性负责。</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山东方圆工程咨询有限公司</w:t>
      </w:r>
      <w:r>
        <w:rPr>
          <w:rFonts w:hint="eastAsia" w:ascii="宋体" w:hAnsi="宋体" w:eastAsia="宋体" w:cs="宋体"/>
          <w:color w:val="000000"/>
          <w:sz w:val="24"/>
          <w:szCs w:val="24"/>
        </w:rPr>
        <w:t xml:space="preserve">有权将以上内容进行公示。</w:t>
      </w:r>
      <w:r/>
    </w:p>
    <w:p>
      <w:pPr>
        <w:ind w:firstLine="56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四、偏离表</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徐州经济技术开发区科技教育局“央馆人工智能课程”配套设备采购项目</w:t>
      </w:r>
      <w:r/>
    </w:p>
    <w:p>
      <w:pPr>
        <w:ind w:firstLine="600"/>
        <w:spacing w:line="48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 xml:space="preserve">项目编号：JSZC-320390-SDFY-G2026-0001</w:t>
      </w:r>
      <w:r/>
    </w:p>
    <w:p>
      <w:pP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bl>
      <w:tblPr>
        <w:tblStyle w:val="75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olor w:val="000000"/>
                <w:sz w:val="24"/>
                <w:szCs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olor w:val="000000"/>
                <w:sz w:val="24"/>
                <w:szCs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000000"/>
                <w:sz w:val="24"/>
                <w:szCs w:val="24"/>
              </w:rPr>
            </w:pPr>
            <w:r>
              <w:rPr>
                <w:rFonts w:hint="eastAsia" w:ascii="宋体" w:hAnsi="宋体" w:eastAsia="宋体" w:cs="宋体"/>
                <w:caps/>
                <w:color w:val="000000"/>
                <w:sz w:val="24"/>
                <w:szCs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ind w:firstLine="56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39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sz w:val="24"/>
          <w:szCs w:val="24"/>
        </w:rPr>
      </w:pPr>
      <w:r>
        <w:rPr>
          <w:rFonts w:hint="eastAsia" w:ascii="宋体" w:hAnsi="宋体" w:eastAsia="宋体" w:cs="宋体"/>
          <w:bCs/>
          <w:color w:val="000000"/>
          <w:sz w:val="24"/>
          <w:szCs w:val="24"/>
          <w:highlight w:val="none"/>
        </w:rPr>
        <w:br w:type="page" w:clear="all"/>
      </w:r>
      <w:r/>
    </w:p>
    <w:p>
      <w:pPr>
        <w:ind w:firstLine="60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rPr>
        <w:t xml:space="preserve">五、法定代表人授权书</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委托人：</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法定代表人（负责人）：               职务：</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统一社会信用代码：</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受托人：                   性别：</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男（女）  </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  岁                 民族：   族</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职务：</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兹委托（      ）全权代表我企业（公司）参与（</w:t>
      </w:r>
      <w:r>
        <w:rPr>
          <w:rFonts w:hint="eastAsia" w:ascii="宋体" w:hAnsi="宋体" w:eastAsia="宋体" w:cs="宋体"/>
          <w:color w:val="000000"/>
          <w:sz w:val="24"/>
          <w:szCs w:val="24"/>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eastAsia="zh-CN"/>
        </w:rPr>
        <w:t xml:space="preserve">项目编号：JSZC-320390-SDFY-G2026-0001</w:t>
      </w:r>
      <w:r>
        <w:rPr>
          <w:rFonts w:hint="eastAsia" w:ascii="宋体" w:hAnsi="宋体" w:eastAsia="宋体" w:cs="宋体"/>
          <w:color w:val="000000"/>
          <w:sz w:val="24"/>
          <w:szCs w:val="24"/>
        </w:rPr>
        <w:t xml:space="preserve">）的招、投标活动及签订合同。（         ）以我企业（公司）名义所为的法律行为及签署的文件，我企业（公司）均予以认可。有关法律责任均由我企业（公司）承担。</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）无转委托权。委托期限自   年  月  日起至  年  月    日止。</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委托人（电子签章）：               受托人（签字或盖章）：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法定代表人（签字或盖章）： </w:t>
      </w:r>
      <w:r/>
    </w:p>
    <w:p>
      <w:pPr>
        <w:ind w:right="600" w:firstLine="61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 </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(受托人身份证复印件附后)</w:t>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7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r/>
    </w:p>
    <w:p>
      <w:pPr>
        <w:jc w:val="center"/>
        <w:spacing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六、</w:t>
      </w:r>
      <w:r>
        <w:rPr>
          <w:rFonts w:hint="eastAsia" w:ascii="宋体" w:hAnsi="宋体" w:eastAsia="宋体" w:cs="宋体"/>
          <w:b w:val="0"/>
          <w:bCs w:val="0"/>
          <w:color w:val="auto"/>
          <w:sz w:val="24"/>
          <w:szCs w:val="24"/>
        </w:rPr>
        <w:t xml:space="preserve">具备履行合同所必需的设备和专业技术能力的书面声明（附证明材料扫描件）</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徐州经济技术开发区科技教育局“央馆人工智能课程”配套设备采购项目</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项目编号：JSZC-320390-SDFY-G2026-0001</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投标人郑重声明：投标人具备履行合同（项目名称：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徐州经济技术开发区科技教育局“央馆人工智能课程”配套设备采购项目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项目编号：JSZC-320390-SDFY-G2026-0001</w:t>
      </w:r>
      <w:r>
        <w:rPr>
          <w:rFonts w:hint="eastAsia" w:ascii="宋体" w:hAnsi="宋体" w:eastAsia="宋体" w:cs="宋体"/>
          <w:color w:val="auto"/>
          <w:sz w:val="24"/>
          <w:szCs w:val="24"/>
        </w:rPr>
        <w:t xml:space="preserve">所必需的设备和专业技术能力， 具体为：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（证明材料扫描件附后）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（证明材料扫描件附后）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（证明材料扫描件附后）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（证明材料扫描件附后）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投标人对上述声明的真实性负责。如有虚假，将依法承担相应责任。</w:t>
      </w:r>
      <w:r/>
    </w:p>
    <w:p>
      <w:pPr>
        <w:ind w:right="29"/>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right="29"/>
        <w:jc w:val="right"/>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投标人（电子签章）：</w:t>
      </w:r>
      <w:r/>
    </w:p>
    <w:p>
      <w:pPr>
        <w:jc w:val="right"/>
        <w:spacing w:line="360" w:lineRule="auto"/>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val="0"/>
          <w:color w:val="auto"/>
          <w:sz w:val="24"/>
          <w:szCs w:val="24"/>
        </w:rPr>
        <w:t xml:space="preserve">日期：  年  月  </w:t>
      </w:r>
      <w:r>
        <w:rPr>
          <w:rFonts w:hint="eastAsia" w:ascii="宋体" w:hAnsi="宋体" w:eastAsia="宋体" w:cs="宋体"/>
          <w:b w:val="0"/>
          <w:bCs w:val="0"/>
          <w:color w:val="auto"/>
          <w:sz w:val="24"/>
          <w:szCs w:val="24"/>
          <w:lang w:val="en-US" w:eastAsia="zh-CN"/>
        </w:rPr>
        <w:t xml:space="preserve">日</w:t>
      </w:r>
      <w:r/>
    </w:p>
    <w:p>
      <w:pPr>
        <w:jc w:val="center"/>
        <w:spacing w:before="100" w:beforeAutospacing="1" w:after="100" w:afterAutospacing="1"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lang w:val="en-US" w:eastAsia="zh-CN"/>
        </w:rPr>
        <w:t xml:space="preserve">七</w:t>
      </w:r>
      <w:r>
        <w:rPr>
          <w:rFonts w:hint="eastAsia" w:ascii="宋体" w:hAnsi="宋体" w:eastAsia="宋体" w:cs="宋体"/>
          <w:b w:val="0"/>
          <w:bCs w:val="0"/>
          <w:color w:val="000000"/>
          <w:sz w:val="24"/>
          <w:szCs w:val="24"/>
        </w:rPr>
        <w:t xml:space="preserve">、中小企业声明函</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如有</w:t>
      </w:r>
      <w:r>
        <w:rPr>
          <w:rFonts w:hint="eastAsia" w:ascii="宋体" w:hAnsi="宋体" w:eastAsia="宋体" w:cs="宋体"/>
          <w:b w:val="0"/>
          <w:bCs w:val="0"/>
          <w:color w:val="000000"/>
          <w:sz w:val="24"/>
          <w:szCs w:val="24"/>
          <w:lang w:eastAsia="zh-CN"/>
        </w:rPr>
        <w:t xml:space="preserve">）</w:t>
      </w:r>
      <w:r/>
    </w:p>
    <w:p>
      <w:pPr>
        <w:pStyle w:val="1005"/>
        <w:ind w:firstLine="560"/>
        <w:spacing w:line="40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项目名称：</w:t>
      </w:r>
      <w:r>
        <w:rPr>
          <w:rFonts w:hint="eastAsia" w:ascii="宋体" w:hAnsi="宋体" w:cs="宋体"/>
          <w:color w:val="000000"/>
          <w:sz w:val="24"/>
          <w:szCs w:val="24"/>
          <w:u w:val="single"/>
          <w:lang w:eastAsia="zh-CN"/>
        </w:rPr>
        <w:t xml:space="preserve">徐州经济技术开发区科技教育局“央馆人工智能课程”配套设备采购项目</w:t>
      </w:r>
      <w:r/>
    </w:p>
    <w:p>
      <w:pPr>
        <w:pStyle w:val="1005"/>
        <w:ind w:firstLine="56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项目编号：JSZC-320390-SDFY-G2026-0001</w:t>
      </w:r>
      <w:r>
        <w:rPr>
          <w:rFonts w:hint="eastAsia" w:ascii="宋体" w:hAnsi="宋体" w:cs="宋体"/>
          <w:color w:val="000000"/>
          <w:sz w:val="24"/>
          <w:szCs w:val="24"/>
          <w:lang w:val="en-US" w:eastAsia="zh-CN"/>
        </w:rPr>
        <w:t xml:space="preserve"> </w:t>
      </w:r>
      <w:r/>
    </w:p>
    <w:p>
      <w:pPr>
        <w:pStyle w:val="1005"/>
        <w:ind w:firstLine="5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郑重声明，根据《政府采购促进中小企业发展管理办法》（财库〔202</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rPr>
        <w:t xml:space="preserve">〕46号）的规定，本公司参加（</w:t>
      </w:r>
      <w:r>
        <w:rPr>
          <w:rFonts w:hint="eastAsia" w:ascii="宋体" w:hAnsi="宋体" w:cs="宋体"/>
          <w:color w:val="000000"/>
          <w:sz w:val="24"/>
          <w:szCs w:val="24"/>
          <w:lang w:eastAsia="zh-CN"/>
        </w:rPr>
        <w:t xml:space="preserve">徐州经济技术开发区科技教育局</w:t>
      </w:r>
      <w:r>
        <w:rPr>
          <w:rFonts w:hint="eastAsia" w:ascii="宋体" w:hAnsi="宋体" w:eastAsia="宋体" w:cs="宋体"/>
          <w:color w:val="000000"/>
          <w:sz w:val="24"/>
          <w:szCs w:val="24"/>
        </w:rPr>
        <w:t xml:space="preserve">）的（</w:t>
      </w:r>
      <w:r>
        <w:rPr>
          <w:rFonts w:hint="eastAsia" w:ascii="宋体" w:hAnsi="宋体" w:cs="宋体"/>
          <w:color w:val="000000"/>
          <w:sz w:val="24"/>
          <w:szCs w:val="24"/>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）项目采购活动，提供的货物全部由符合政策要求的中小企业制造。相关企业的具体情况如下：</w:t>
      </w:r>
      <w:r/>
    </w:p>
    <w:p>
      <w:pPr>
        <w:pStyle w:val="1005"/>
        <w:ind w:firstLine="560"/>
        <w:spacing w:line="440" w:lineRule="exact"/>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u w:val="single"/>
          <w:lang w:val="en-US" w:eastAsia="zh-CN"/>
        </w:rPr>
        <w:t xml:space="preserve"> （标的名称）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 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b w:val="0"/>
          <w:bCs w:val="0"/>
          <w:color w:val="000000"/>
          <w:sz w:val="24"/>
          <w:szCs w:val="24"/>
          <w:highlight w:val="none"/>
        </w:rPr>
        <w:t xml:space="preserve">属于（□中型企业、</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小型企业、□微型企业，请勾选！)。</w:t>
      </w:r>
      <w:r/>
    </w:p>
    <w:p>
      <w:pPr>
        <w:pStyle w:val="1005"/>
        <w:ind w:firstLine="56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05"/>
        <w:numPr>
          <w:ilvl w:val="0"/>
          <w:numId w:val="7"/>
        </w:numPr>
        <w:ind w:firstLine="560"/>
        <w:spacing w:line="440" w:lineRule="exact"/>
        <w:rPr>
          <w:rFonts w:hint="eastAsia" w:ascii="宋体" w:hAnsi="宋体" w:eastAsia="宋体" w:cs="宋体"/>
          <w:b w:val="0"/>
          <w:bCs w:val="0"/>
          <w:color w:val="000000"/>
          <w:sz w:val="24"/>
          <w:szCs w:val="24"/>
        </w:rPr>
      </w:pPr>
      <w:r>
        <w:rPr>
          <w:rFonts w:hint="eastAsia" w:ascii="宋体" w:hAnsi="宋体" w:cs="宋体"/>
          <w:color w:val="000000"/>
          <w:sz w:val="24"/>
          <w:szCs w:val="24"/>
          <w:highlight w:val="none"/>
          <w:u w:val="single"/>
          <w:lang w:val="en-US" w:eastAsia="zh-CN"/>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行</w:t>
      </w:r>
      <w:r>
        <w:rPr>
          <w:rFonts w:hint="eastAsia" w:ascii="宋体" w:hAnsi="宋体" w:eastAsia="宋体" w:cs="宋体"/>
          <w:color w:val="000000"/>
          <w:sz w:val="24"/>
          <w:szCs w:val="24"/>
        </w:rPr>
        <w:t xml:space="preserve">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 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val="0"/>
          <w:bCs w:val="0"/>
          <w:color w:val="000000"/>
          <w:sz w:val="24"/>
          <w:szCs w:val="24"/>
        </w:rPr>
        <w:t xml:space="preserve">属于（□中型企业、□小型企业、□微型企业，请勾选！)。</w:t>
      </w:r>
      <w:r/>
    </w:p>
    <w:p>
      <w:pPr>
        <w:pStyle w:val="1012"/>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b w:val="0"/>
          <w:bCs w:val="0"/>
          <w:sz w:val="24"/>
          <w:szCs w:val="24"/>
          <w:lang w:val="en-US" w:eastAsia="zh-CN"/>
        </w:rPr>
        <w:t xml:space="preserve">  …………</w:t>
      </w:r>
      <w:r/>
    </w:p>
    <w:p>
      <w:pPr>
        <w:pStyle w:val="1005"/>
        <w:ind w:firstLine="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05"/>
        <w:ind w:firstLine="5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pStyle w:val="1005"/>
        <w:ind w:firstLine="560"/>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pStyle w:val="1005"/>
        <w:ind w:firstLine="560"/>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（电子签章）</w:t>
      </w:r>
      <w:r/>
    </w:p>
    <w:p>
      <w:pPr>
        <w:pStyle w:val="1005"/>
        <w:ind w:right="480" w:firstLine="56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  年  月  日</w:t>
      </w:r>
      <w:r/>
    </w:p>
    <w:p>
      <w:pPr>
        <w:pStyle w:val="1012"/>
        <w:rPr>
          <w:rFonts w:hint="eastAsia"/>
        </w:rPr>
      </w:pPr>
      <w:r>
        <w:rPr>
          <w:rFonts w:hint="eastAsia"/>
        </w:rPr>
      </w:r>
      <w:r/>
    </w:p>
    <w:p>
      <w:pPr>
        <w:pStyle w:val="1005"/>
        <w:ind w:firstLine="562"/>
        <w:spacing w:line="400" w:lineRule="exac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w:t>
      </w:r>
      <w:r/>
    </w:p>
    <w:p>
      <w:pPr>
        <w:pStyle w:val="1005"/>
        <w:numPr>
          <w:ilvl w:val="0"/>
          <w:numId w:val="0"/>
        </w:numPr>
        <w:ind w:firstLine="723"/>
        <w:spacing w:line="400" w:lineRule="exact"/>
        <w:rPr>
          <w:rFonts w:hint="default" w:eastAsia="宋体"/>
          <w:b/>
          <w:bCs/>
          <w:lang w:val="en-US" w:eastAsia="zh-CN"/>
        </w:rPr>
      </w:pPr>
      <w:r>
        <w:rPr>
          <w:rFonts w:hint="eastAsia" w:hAnsi="宋体" w:cs="宋体"/>
          <w:b/>
          <w:bCs/>
          <w:color w:val="000000"/>
          <w:sz w:val="24"/>
          <w:szCs w:val="24"/>
          <w:highlight w:val="none"/>
          <w:lang w:val="en-US" w:eastAsia="zh-CN"/>
        </w:rPr>
        <w:t xml:space="preserve">1</w:t>
      </w:r>
      <w:r>
        <w:rPr>
          <w:rFonts w:hint="eastAsia" w:hAnsi="宋体" w:eastAsia="宋体" w:cs="宋体"/>
          <w:b/>
          <w:bCs/>
          <w:color w:val="000000"/>
          <w:sz w:val="24"/>
          <w:szCs w:val="24"/>
          <w:highlight w:val="none"/>
          <w:lang w:val="en-US" w:eastAsia="zh-CN"/>
        </w:rPr>
        <w:t xml:space="preserve">.须按招标文件第六章《采购需求》三、项目采购清单中的产品依次填写。如填写不完整或不一致或填写有误或未提供此声明函，</w:t>
      </w:r>
      <w:r>
        <w:rPr>
          <w:rFonts w:hint="eastAsia" w:hAnsi="宋体" w:cs="宋体"/>
          <w:b/>
          <w:bCs/>
          <w:color w:val="000000"/>
          <w:sz w:val="24"/>
          <w:szCs w:val="24"/>
          <w:highlight w:val="none"/>
          <w:lang w:val="en-US" w:eastAsia="zh-CN"/>
        </w:rPr>
        <w:t xml:space="preserve">视为</w:t>
      </w:r>
      <w:r>
        <w:rPr>
          <w:rFonts w:hint="eastAsia" w:hAnsi="宋体" w:eastAsia="宋体" w:cs="宋体"/>
          <w:b/>
          <w:bCs/>
          <w:color w:val="000000"/>
          <w:sz w:val="24"/>
          <w:szCs w:val="24"/>
          <w:highlight w:val="none"/>
          <w:lang w:val="en-US" w:eastAsia="zh-CN"/>
        </w:rPr>
        <w:t xml:space="preserve">不满足</w:t>
      </w:r>
      <w:r>
        <w:rPr>
          <w:rFonts w:hint="eastAsia" w:hAnsi="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lang w:val="en-US" w:eastAsia="zh-CN"/>
        </w:rPr>
        <w:t xml:space="preserve">将不享受扶持政策</w:t>
      </w:r>
      <w:r>
        <w:rPr>
          <w:rFonts w:hint="eastAsia" w:hAnsi="宋体" w:cs="宋体"/>
          <w:b/>
          <w:bCs/>
          <w:color w:val="000000"/>
          <w:sz w:val="24"/>
          <w:szCs w:val="24"/>
          <w:highlight w:val="none"/>
          <w:lang w:val="en-US" w:eastAsia="zh-CN"/>
        </w:rPr>
        <w:t xml:space="preserve">。</w:t>
      </w:r>
      <w:r/>
    </w:p>
    <w:p>
      <w:pPr>
        <w:pStyle w:val="1005"/>
        <w:spacing w:line="400" w:lineRule="exac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pStyle w:val="1005"/>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备注：</w:t>
      </w:r>
      <w:r/>
    </w:p>
    <w:p>
      <w:pPr>
        <w:pStyle w:val="1005"/>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1.中小微企业的划分具体以《政府采购促进中小企业发展管理办法》（财库</w:t>
      </w:r>
      <w:r>
        <w:rPr>
          <w:rFonts w:hint="eastAsia" w:ascii="宋体" w:hAnsi="宋体" w:eastAsia="宋体" w:cs="宋体"/>
          <w:color w:val="000000"/>
          <w:sz w:val="24"/>
          <w:szCs w:val="24"/>
        </w:rPr>
        <w:t xml:space="preserve">〔202</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rPr>
        <w:t xml:space="preserve">〕</w:t>
      </w:r>
      <w:r>
        <w:rPr>
          <w:rFonts w:hint="eastAsia" w:ascii="宋体" w:hAnsi="宋体" w:eastAsia="宋体" w:cs="宋体"/>
          <w:b w:val="0"/>
          <w:bCs w:val="0"/>
          <w:color w:val="000000"/>
          <w:sz w:val="24"/>
          <w:szCs w:val="24"/>
          <w:highlight w:val="white"/>
        </w:rPr>
        <w:t xml:space="preserve">46号）和《工业和信息化部、国家统计局、国家发展和改革委员会、财政部关于印发中小企业划型标准规定的通知》（工信部联企业[2011]300号）的规定为准。</w:t>
      </w:r>
      <w:r/>
    </w:p>
    <w:p>
      <w:pPr>
        <w:pStyle w:val="1005"/>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2.从业人员、营业收入、资产总额填报供应商上一年度数据，无上一年度数据的新成立企业可不填报。</w:t>
      </w:r>
      <w:r/>
    </w:p>
    <w:p>
      <w:pPr>
        <w:pStyle w:val="1005"/>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3.</w:t>
      </w:r>
      <w:r>
        <w:rPr>
          <w:rFonts w:hint="eastAsia" w:ascii="宋体" w:hAnsi="宋体" w:cs="宋体"/>
          <w:b w:val="0"/>
          <w:bCs w:val="0"/>
          <w:color w:val="000000"/>
          <w:sz w:val="24"/>
          <w:szCs w:val="24"/>
          <w:highlight w:val="white"/>
          <w:lang w:val="en-US" w:eastAsia="zh-CN"/>
        </w:rPr>
        <w:t xml:space="preserve">中标</w:t>
      </w:r>
      <w:r>
        <w:rPr>
          <w:rFonts w:hint="eastAsia" w:ascii="宋体" w:hAnsi="宋体" w:eastAsia="宋体" w:cs="宋体"/>
          <w:b w:val="0"/>
          <w:bCs w:val="0"/>
          <w:color w:val="000000"/>
          <w:sz w:val="24"/>
          <w:szCs w:val="24"/>
          <w:highlight w:val="white"/>
          <w:lang w:val="en-US" w:eastAsia="zh-CN"/>
        </w:rPr>
        <w:t xml:space="preserve">供应商所投产品的制造商为</w:t>
      </w:r>
      <w:r>
        <w:rPr>
          <w:rFonts w:hint="eastAsia" w:ascii="宋体" w:hAnsi="宋体" w:eastAsia="宋体" w:cs="宋体"/>
          <w:b w:val="0"/>
          <w:bCs w:val="0"/>
          <w:color w:val="000000"/>
          <w:sz w:val="24"/>
          <w:szCs w:val="24"/>
          <w:highlight w:val="white"/>
        </w:rPr>
        <w:t xml:space="preserve">小型、微型企业的，采购人或者其委托的采购代理机构有权随中标、成交结果同时公告其《中小企业声明函》，接受社会监督。</w:t>
      </w:r>
      <w:r/>
    </w:p>
    <w:p>
      <w:pPr>
        <w:pStyle w:val="1005"/>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4.执行江苏省财政厅关于进一步加大政府采购支持中小企业力度的通知（苏财购〔2022〕45号）的规定。</w:t>
      </w:r>
      <w:r/>
    </w:p>
    <w:p>
      <w:pPr>
        <w:pStyle w:val="1005"/>
        <w:ind w:firstLine="562"/>
        <w:spacing w:line="400" w:lineRule="exact"/>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5.供应商提供的《中小企业声明函》与事实不符的，依照《政府采购法》第七十七条第一款的规定追究法律责任。</w:t>
      </w:r>
      <w:r/>
    </w:p>
    <w:p>
      <w:pPr>
        <w:pStyle w:val="1005"/>
        <w:ind w:firstLine="562"/>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highlight w:val="white"/>
        </w:rPr>
        <w:t xml:space="preserve">6.《中小企业声明函》查询渠道用微信搜索“中小企业规模类型自测小程序”。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b w:val="0"/>
          <w:bCs w:val="0"/>
          <w:color w:val="000000"/>
          <w:sz w:val="24"/>
          <w:szCs w:val="24"/>
          <w:highlight w:val="white"/>
          <w:lang w:eastAsia="zh-CN"/>
        </w:rPr>
        <w:t xml:space="preserve">。</w:t>
      </w:r>
      <w:r/>
    </w:p>
    <w:p>
      <w:pPr>
        <w:ind w:firstLine="600"/>
        <w:jc w:val="center"/>
        <w:spacing w:line="480" w:lineRule="exact"/>
        <w:rPr>
          <w:rFonts w:hint="eastAsia" w:ascii="宋体" w:hAnsi="宋体" w:eastAsia="宋体" w:cs="宋体"/>
          <w:b/>
          <w:color w:val="000000"/>
          <w:spacing w:val="6"/>
          <w:sz w:val="24"/>
          <w:szCs w:val="24"/>
          <w:lang w:eastAsia="zh-CN"/>
        </w:rPr>
      </w:pPr>
      <w:r>
        <w:rPr>
          <w:rFonts w:hint="eastAsia" w:ascii="宋体" w:hAnsi="宋体" w:eastAsia="宋体" w:cs="宋体"/>
          <w:b/>
          <w:bCs/>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2042160</wp:posOffset>
                </wp:positionH>
                <wp:positionV relativeFrom="paragraph">
                  <wp:posOffset>76200</wp:posOffset>
                </wp:positionV>
                <wp:extent cx="2459990" cy="4483735"/>
                <wp:effectExtent l="0" t="0" r="8890" b="12065"/>
                <wp:wrapTopAndBottom/>
                <wp:docPr id="5"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rcRect l="0" t="4498" r="0" b="0"/>
                        <a:stretch/>
                      </pic:blipFill>
                      <pic:spPr bwMode="auto">
                        <a:xfrm>
                          <a:off x="0" y="0"/>
                          <a:ext cx="2459990" cy="448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0.8pt;mso-position-horizontal:absolute;mso-position-vertical-relative:text;margin-top:6.0pt;mso-position-vertical:absolute;width:193.7pt;height:353.1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eastAsia="宋体" w:cs="宋体"/>
          <w:color w:val="000000"/>
          <w:sz w:val="24"/>
          <w:szCs w:val="24"/>
        </w:rPr>
        <w:br w:type="page" w:clear="all"/>
      </w:r>
      <w:r>
        <w:rPr>
          <w:rFonts w:hint="eastAsia" w:ascii="宋体" w:hAnsi="宋体" w:eastAsia="宋体" w:cs="宋体"/>
          <w:b w:val="0"/>
          <w:bCs w:val="0"/>
          <w:color w:val="000000"/>
          <w:sz w:val="24"/>
          <w:szCs w:val="24"/>
          <w:lang w:val="en-US" w:eastAsia="zh-CN"/>
        </w:rPr>
        <w:t xml:space="preserve">八</w:t>
      </w:r>
      <w:r>
        <w:rPr>
          <w:rFonts w:hint="eastAsia" w:ascii="宋体" w:hAnsi="宋体" w:eastAsia="宋体" w:cs="宋体"/>
          <w:b w:val="0"/>
          <w:bCs w:val="0"/>
          <w:color w:val="000000"/>
          <w:sz w:val="24"/>
          <w:szCs w:val="24"/>
        </w:rPr>
        <w:t xml:space="preserve">、残疾人福利性单位声明函</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如有</w:t>
      </w:r>
      <w:r>
        <w:rPr>
          <w:rFonts w:hint="eastAsia" w:ascii="宋体" w:hAnsi="宋体" w:eastAsia="宋体" w:cs="宋体"/>
          <w:b w:val="0"/>
          <w:bCs w:val="0"/>
          <w:color w:val="000000"/>
          <w:sz w:val="24"/>
          <w:szCs w:val="24"/>
          <w:lang w:eastAsia="zh-CN"/>
        </w:rPr>
        <w:t xml:space="preserve">）</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项目名称：</w:t>
      </w:r>
      <w:r>
        <w:rPr>
          <w:rFonts w:hint="eastAsia" w:ascii="宋体" w:hAnsi="宋体" w:eastAsia="宋体" w:cs="宋体"/>
          <w:color w:val="000000"/>
          <w:spacing w:val="6"/>
          <w:sz w:val="24"/>
          <w:szCs w:val="24"/>
          <w:lang w:eastAsia="zh-CN"/>
        </w:rPr>
        <w:t xml:space="preserve">徐州经济技术开发区科技教育局“央馆人工智能课程”配套设备采购项目</w:t>
      </w:r>
      <w:r>
        <w:rPr>
          <w:rFonts w:hint="eastAsia" w:ascii="宋体" w:hAnsi="宋体" w:eastAsia="宋体" w:cs="宋体"/>
          <w:color w:val="000000"/>
          <w:spacing w:val="6"/>
          <w:sz w:val="24"/>
          <w:szCs w:val="24"/>
        </w:rPr>
        <w:t xml:space="preserve"> </w:t>
      </w:r>
      <w:r/>
    </w:p>
    <w:p>
      <w:pPr>
        <w:ind w:firstLine="624"/>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项目编号：JSZC-320390-SDFY-G2026-0001</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〔2017〕141</w:t>
      </w:r>
      <w:r>
        <w:rPr>
          <w:rFonts w:hint="eastAsia" w:ascii="宋体" w:hAnsi="宋体" w:eastAsia="宋体" w:cs="宋体"/>
          <w:color w:val="000000"/>
          <w:spacing w:val="6"/>
          <w:sz w:val="24"/>
          <w:szCs w:val="24"/>
        </w:rPr>
        <w:t xml:space="preserve">号）的规定，本单位为符合条件的残疾人福利性单位，且本单位参加</w:t>
      </w:r>
      <w:r>
        <w:rPr>
          <w:rFonts w:hint="eastAsia" w:ascii="宋体" w:hAnsi="宋体" w:eastAsia="宋体" w:cs="宋体"/>
          <w:color w:val="000000"/>
          <w:sz w:val="24"/>
          <w:szCs w:val="24"/>
        </w:rPr>
        <w:t xml:space="preserve">______</w:t>
      </w:r>
      <w:r>
        <w:rPr>
          <w:rFonts w:hint="eastAsia" w:ascii="宋体" w:hAnsi="宋体" w:eastAsia="宋体" w:cs="宋体"/>
          <w:color w:val="000000"/>
          <w:spacing w:val="6"/>
          <w:sz w:val="24"/>
          <w:szCs w:val="24"/>
        </w:rPr>
        <w:t xml:space="preserve">单位的</w:t>
      </w:r>
      <w:r>
        <w:rPr>
          <w:rFonts w:hint="eastAsia" w:ascii="宋体" w:hAnsi="宋体" w:eastAsia="宋体" w:cs="宋体"/>
          <w:color w:val="000000"/>
          <w:sz w:val="24"/>
          <w:szCs w:val="24"/>
        </w:rPr>
        <w:t xml:space="preserve">______</w:t>
      </w:r>
      <w:r>
        <w:rPr>
          <w:rFonts w:hint="eastAsia" w:ascii="宋体" w:hAnsi="宋体" w:eastAsia="宋体" w:cs="宋体"/>
          <w:color w:val="000000"/>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本单位对上述声明的真实性负责。如有虚假，将依法承担相应责任。</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25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val="0"/>
          <w:bCs w:val="0"/>
          <w:color w:val="000000"/>
          <w:sz w:val="24"/>
          <w:szCs w:val="24"/>
          <w:lang w:val="en-US" w:eastAsia="zh-CN"/>
        </w:rPr>
        <w:t xml:space="preserve">九</w:t>
      </w:r>
      <w:r>
        <w:rPr>
          <w:rFonts w:hint="eastAsia" w:ascii="宋体" w:hAnsi="宋体" w:eastAsia="宋体" w:cs="宋体"/>
          <w:b w:val="0"/>
          <w:bCs w:val="0"/>
          <w:color w:val="000000"/>
          <w:sz w:val="24"/>
          <w:szCs w:val="24"/>
        </w:rPr>
        <w:t xml:space="preserve">、投标人参加政府采购活动前3年内在经营活动中没有重大违法记录的书面声明格式</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我单位在参加</w:t>
      </w:r>
      <w:r>
        <w:rPr>
          <w:rFonts w:hint="eastAsia" w:ascii="宋体" w:hAnsi="宋体" w:eastAsia="宋体" w:cs="宋体"/>
          <w:color w:val="000000"/>
          <w:sz w:val="24"/>
          <w:szCs w:val="24"/>
          <w:u w:val="single"/>
          <w:lang w:eastAsia="zh-CN"/>
        </w:rPr>
        <w:t xml:space="preserve">徐州经济技术开发区科技教育局“央馆人工智能课程”配套设备采购项目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项目编号：JSZC-320390-SDFY-G2026-0001</w:t>
      </w:r>
      <w:r>
        <w:rPr>
          <w:rFonts w:hint="eastAsia" w:ascii="宋体" w:hAnsi="宋体" w:eastAsia="宋体" w:cs="宋体"/>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968"/>
        <w:ind w:firstLine="600"/>
        <w:spacing w:before="0" w:beforeAutospacing="0" w:after="0" w:afterAutospacing="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我单位对上述声明的真实性负责。如有虚假，将依法承担相应责任。</w:t>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8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5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95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005"/>
        <w:ind w:firstLine="562"/>
        <w:jc w:val="center"/>
        <w:widowControl/>
        <w:rPr>
          <w:rFonts w:hint="eastAsia" w:ascii="宋体" w:hAnsi="宋体" w:eastAsia="宋体" w:cs="宋体"/>
          <w:bCs/>
          <w:color w:val="000000"/>
          <w:sz w:val="24"/>
          <w:szCs w:val="24"/>
        </w:rPr>
      </w:pPr>
      <w:r>
        <w:rPr>
          <w:rFonts w:hint="eastAsia" w:ascii="宋体" w:hAnsi="宋体" w:eastAsia="宋体" w:cs="宋体"/>
          <w:b/>
          <w:color w:val="000000"/>
          <w:sz w:val="24"/>
          <w:szCs w:val="24"/>
        </w:rPr>
        <w:br w:type="page" w:clear="all"/>
      </w:r>
      <w:r>
        <w:rPr>
          <w:rFonts w:hint="eastAsia" w:ascii="宋体" w:hAnsi="宋体" w:cs="宋体"/>
          <w:b w:val="0"/>
          <w:bCs/>
          <w:color w:val="000000"/>
          <w:spacing w:val="6"/>
          <w:sz w:val="24"/>
          <w:szCs w:val="24"/>
          <w:lang w:val="en-US" w:eastAsia="zh-CN"/>
        </w:rPr>
        <w:t xml:space="preserve">十</w:t>
      </w:r>
      <w:r>
        <w:rPr>
          <w:rFonts w:hint="eastAsia" w:ascii="宋体" w:hAnsi="宋体" w:eastAsia="宋体" w:cs="宋体"/>
          <w:b w:val="0"/>
          <w:bCs/>
          <w:color w:val="000000"/>
          <w:spacing w:val="6"/>
          <w:sz w:val="24"/>
          <w:szCs w:val="24"/>
        </w:rPr>
        <w:t xml:space="preserve">、投标人相关承诺</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项目名称：</w:t>
      </w:r>
      <w:r>
        <w:rPr>
          <w:rFonts w:hint="eastAsia" w:ascii="宋体" w:hAnsi="宋体" w:eastAsia="宋体" w:cs="宋体"/>
          <w:color w:val="000000"/>
          <w:spacing w:val="6"/>
          <w:sz w:val="24"/>
          <w:szCs w:val="24"/>
          <w:lang w:eastAsia="zh-CN"/>
        </w:rPr>
        <w:t xml:space="preserve">徐州经济技术开发区科技教育局“央馆人工智能课程”配套设备采购项目</w:t>
      </w:r>
      <w:r>
        <w:rPr>
          <w:rFonts w:hint="eastAsia" w:ascii="宋体" w:hAnsi="宋体" w:eastAsia="宋体" w:cs="宋体"/>
          <w:color w:val="000000"/>
          <w:spacing w:val="6"/>
          <w:sz w:val="24"/>
          <w:szCs w:val="24"/>
        </w:rPr>
        <w:t xml:space="preserve"> </w:t>
      </w:r>
      <w:r/>
    </w:p>
    <w:p>
      <w:pPr>
        <w:ind w:firstLine="624"/>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项目编号：JSZC-320390-SDFY-G2026-0001</w:t>
      </w:r>
      <w:r/>
    </w:p>
    <w:p>
      <w:pPr>
        <w:pStyle w:val="1005"/>
        <w:ind w:firstLine="584"/>
        <w:spacing w:line="588"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pStyle w:val="1005"/>
        <w:ind w:firstLine="62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我单位承诺：</w:t>
      </w:r>
      <w:r/>
    </w:p>
    <w:p>
      <w:pPr>
        <w:pStyle w:val="1005"/>
        <w:ind w:firstLine="62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pStyle w:val="1005"/>
        <w:ind w:firstLine="62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pStyle w:val="1005"/>
        <w:ind w:firstLine="62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我单位对上述承诺负责，并依法承担相应责任。</w:t>
      </w:r>
      <w:r/>
    </w:p>
    <w:p>
      <w:pPr>
        <w:pStyle w:val="1038"/>
        <w:ind w:left="0" w:firstLine="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p>
      <w:pPr>
        <w:pStyle w:val="1005"/>
        <w:ind w:firstLine="3120"/>
        <w:spacing w:line="30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投标人（电子签章）： </w:t>
      </w:r>
      <w:r/>
    </w:p>
    <w:p>
      <w:pPr>
        <w:pStyle w:val="1005"/>
        <w:ind w:firstLine="3120"/>
        <w:spacing w:line="36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日期：   年  月  日</w:t>
      </w:r>
      <w:r/>
    </w:p>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5"/>
        <w:ind w:firstLine="7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5"/>
        <w:ind w:firstLine="56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十</w:t>
      </w:r>
      <w:r>
        <w:rPr>
          <w:rFonts w:hint="eastAsia" w:ascii="宋体" w:hAnsi="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、投标人</w:t>
      </w:r>
      <w:r>
        <w:rPr>
          <w:rFonts w:hint="eastAsia" w:ascii="宋体" w:hAnsi="宋体" w:eastAsia="宋体" w:cs="宋体"/>
          <w:b/>
          <w:bCs/>
          <w:color w:val="000000"/>
          <w:spacing w:val="6"/>
          <w:sz w:val="24"/>
          <w:szCs w:val="24"/>
        </w:rPr>
        <w:t xml:space="preserve">书面声明</w:t>
      </w:r>
      <w:r/>
    </w:p>
    <w:p>
      <w:pPr>
        <w:ind w:firstLine="624"/>
        <w:spacing w:line="48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项目名称：</w:t>
      </w:r>
      <w:r>
        <w:rPr>
          <w:rFonts w:hint="eastAsia" w:ascii="宋体" w:hAnsi="宋体" w:eastAsia="宋体" w:cs="宋体"/>
          <w:color w:val="000000"/>
          <w:spacing w:val="6"/>
          <w:sz w:val="24"/>
          <w:szCs w:val="24"/>
          <w:lang w:eastAsia="zh-CN"/>
        </w:rPr>
        <w:t xml:space="preserve">徐州经济技术开发区科技教育局“央馆人工智能课程”配套设备采购项目</w:t>
      </w:r>
      <w:r>
        <w:rPr>
          <w:rFonts w:hint="eastAsia" w:ascii="宋体" w:hAnsi="宋体" w:eastAsia="宋体" w:cs="宋体"/>
          <w:color w:val="000000"/>
          <w:spacing w:val="6"/>
          <w:sz w:val="24"/>
          <w:szCs w:val="24"/>
        </w:rPr>
        <w:t xml:space="preserve"> </w:t>
      </w:r>
      <w:r/>
    </w:p>
    <w:p>
      <w:pPr>
        <w:ind w:firstLine="624"/>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项目编号：JSZC-320390-SDFY-G2026-0001</w:t>
      </w:r>
      <w:r/>
    </w:p>
    <w:p>
      <w:pPr>
        <w:pStyle w:val="1005"/>
        <w:ind w:firstLine="48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5"/>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我单位不是为本采购项目提供整体设计、规范编制或者项目管理、监理、检测等服务的供应商。</w:t>
      </w:r>
      <w:r/>
    </w:p>
    <w:p>
      <w:pPr>
        <w:pStyle w:val="1005"/>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特此声明。</w:t>
      </w:r>
      <w:r/>
    </w:p>
    <w:p>
      <w:pPr>
        <w:pStyle w:val="1005"/>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我单位对上述声明的真实性负责。如有虚假，将依法承担相应责任。</w:t>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11"/>
        <w:ind w:firstLine="28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投标人（电子签章）：</w:t>
      </w:r>
      <w:r/>
    </w:p>
    <w:p>
      <w:pPr>
        <w:pStyle w:val="1011"/>
        <w:ind w:firstLine="28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560"/>
        <w:spacing w:line="4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br w:type="page" w:clear="all"/>
      </w:r>
      <w:r/>
    </w:p>
    <w:p>
      <w:pPr>
        <w:ind w:firstLine="600"/>
        <w:jc w:val="center"/>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、预付款保函支付条款模板</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符合条件一：提交预付款保函的</w:t>
      </w:r>
      <w:r/>
    </w:p>
    <w:p>
      <w:pPr>
        <w:ind w:firstLine="602"/>
        <w:spacing w:line="4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（1）合同签订且卖方向买方出具预付款保函后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个工作日内，买方应支付合同价款的百分之</w:t>
      </w:r>
      <w:r>
        <w:rPr>
          <w:rFonts w:hint="eastAsia" w:ascii="宋体" w:hAnsi="宋体" w:eastAsia="宋体" w:cs="宋体"/>
          <w:color w:val="000000"/>
          <w:sz w:val="24"/>
          <w:szCs w:val="24"/>
          <w:u w:val="single"/>
        </w:rPr>
        <w:t xml:space="preserve">        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卖方需提交的支付文件：卖方出具的全额正式发票。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个工作日内，买方应支付合同价款的百分之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符合条件二：不提交预付款保函的</w:t>
      </w:r>
      <w:r/>
    </w:p>
    <w:p>
      <w:pPr>
        <w:ind w:firstLine="602"/>
        <w:spacing w:line="48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个工作日内，买方应支付合同价款的百分之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卖方需提交的支付文件：卖方出具的全额正式发票。</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个工作日内，买方应支付合同价款的百分之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p>
    <w:p>
      <w:pPr>
        <w:ind w:left="140" w:firstLine="605"/>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w:t>
      </w:r>
      <w:r/>
    </w:p>
    <w:p>
      <w:pPr>
        <w:ind w:firstLine="600"/>
        <w:jc w:val="center"/>
        <w:spacing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lang w:val="en-US" w:eastAsia="zh-CN"/>
        </w:rPr>
        <w:t xml:space="preserve">十三、关于符合本国产品标准的声明函</w:t>
      </w:r>
      <w:r/>
    </w:p>
    <w:p>
      <w:pPr>
        <w:pStyle w:val="776"/>
        <w:ind w:left="0" w:firstLine="420"/>
        <w:keepLines w:val="0"/>
        <w:keepNext w:val="0"/>
        <w:spacing w:before="15" w:beforeAutospacing="0" w:after="15" w:afterAutospacing="0"/>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776"/>
        <w:ind w:left="0" w:firstLine="420"/>
        <w:keepLines w:val="0"/>
        <w:keepNext w:val="0"/>
        <w:spacing w:before="0" w:beforeAutospacing="0" w:after="0" w:afterAutospacing="0" w:line="360" w:lineRule="auto"/>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6"/>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1.</w:t>
      </w:r>
      <w:r>
        <w:rPr>
          <w:rFonts w:hint="eastAsia" w:ascii="宋体" w:hAnsi="宋体" w:eastAsia="宋体" w:cs="宋体"/>
          <w:color w:val="auto"/>
          <w:sz w:val="24"/>
          <w:szCs w:val="24"/>
          <w:u w:val="single"/>
          <w:shd w:val="clear" w:color="auto" w:fill="ffffff"/>
        </w:rPr>
        <w:t xml:space="preserve">（产品名称1）</w:t>
      </w:r>
      <w:r>
        <w:rPr>
          <w:rFonts w:hint="eastAsia" w:ascii="宋体" w:hAnsi="宋体" w:eastAsia="仿宋" w:cs="宋体"/>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仿宋" w:cs="宋体"/>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776"/>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2.</w:t>
      </w:r>
      <w:r>
        <w:rPr>
          <w:rFonts w:hint="eastAsia" w:ascii="宋体" w:hAnsi="宋体" w:eastAsia="宋体" w:cs="宋体"/>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在中国境内完成。</w:t>
      </w:r>
      <w:r/>
    </w:p>
    <w:p>
      <w:pPr>
        <w:pStyle w:val="776"/>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w:t>
      </w:r>
      <w:r/>
    </w:p>
    <w:p>
      <w:pPr>
        <w:pStyle w:val="776"/>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76"/>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776"/>
        <w:jc w:val="center"/>
        <w:keepLines w:val="0"/>
        <w:keepNext w:val="0"/>
        <w:spacing w:before="30" w:beforeAutospacing="0" w:after="30" w:afterAutospacing="0" w:line="360" w:lineRule="auto"/>
        <w:shd w:val="clear" w:color="auto" w:fill="ffffff"/>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w:t>
      </w:r>
      <w:r/>
    </w:p>
    <w:p>
      <w:pPr>
        <w:pStyle w:val="1011"/>
        <w:ind w:firstLine="28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投标人（电子签章）：</w:t>
      </w:r>
      <w:r/>
    </w:p>
    <w:p>
      <w:pPr>
        <w:pStyle w:val="1011"/>
        <w:ind w:firstLine="28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注：</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1.产品如有型号，请在“产品名称”栏一并填写。</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2.生产厂名与厂址应与生产厂营业执照载明的相关信息保持一致。</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3.该产品的中国境内生产的组件成本占比相关要求实施前，“规定比例”栏可不填，下同。</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4.该产品的关键组件要求实施前，“关键组件”栏可不填，下同。</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5.该产品的关键工序要求实施前，“关键工序”栏可不填，下同。</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lang w:val="en-US" w:eastAsia="zh-CN" w:bidi="ar-SA"/>
        </w:rPr>
        <w:t xml:space="preserve">6.《声明函》中标注“</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lang w:val="en-US" w:eastAsia="zh-CN" w:bidi="ar-SA"/>
        </w:rPr>
        <w:t xml:space="preserve"> ”的地方无需填写。</w:t>
      </w:r>
      <w:r>
        <w:rPr>
          <w:rFonts w:hint="eastAsia" w:ascii="宋体" w:hAnsi="宋体" w:eastAsia="宋体" w:cs="宋体"/>
          <w:b w:val="0"/>
          <w:bCs w:val="0"/>
          <w:color w:val="000000"/>
          <w:sz w:val="24"/>
          <w:szCs w:val="24"/>
          <w:highlight w:val="none"/>
          <w:lang w:val="en-US" w:eastAsia="zh-CN" w:bidi="ar-SA"/>
        </w:rPr>
        <w:br w:type="page" w:clear="all"/>
      </w:r>
      <w:r/>
    </w:p>
    <w:p>
      <w:pPr>
        <w:pStyle w:val="968"/>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68"/>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中国境内生产的组件成本核算基本规则</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一、产品的一级组件是指直接组成产品的组件。产品的二级组件是指直接组成产品一级组件的组件。一级组件不可分解的，视同二级组件。</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三、产品总成本和组件成本以相关会计核算数据、采购合同、进货记录等为基础进行计算。</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四、需要对成本核算规则予以进一步明确的其他有关事项，由财政部会同有关部门另行规定。</w:t>
      </w:r>
      <w:r/>
    </w:p>
    <w:sectPr>
      <w:headerReference w:type="default" r:id="rId9"/>
      <w:footerReference w:type="default" r:id="rId11"/>
      <w:footerReference w:type="even" r:id="rId12"/>
      <w:footnotePr/>
      <w:endnotePr/>
      <w:type w:val="nextPage"/>
      <w:pgSz w:w="11906" w:h="16838" w:orient="portrait"/>
      <w:pgMar w:top="1440" w:right="1644"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Calibri Light">
    <w:panose1 w:val="020F0302020204030204"/>
  </w:font>
  <w:font w:name="Courier New">
    <w:panose1 w:val="02070309020205020404"/>
  </w:font>
  <w:font w:name="仿宋_GB2312">
    <w:panose1 w:val="02010609060101010101"/>
  </w:font>
  <w:font w:name="黑体">
    <w:panose1 w:val="02010609060101010101"/>
  </w:font>
  <w:font w:name="Cambria">
    <w:panose1 w:val="02040503050406030204"/>
  </w:font>
  <w:font w:name="Symbol">
    <w:panose1 w:val="05050102010706020507"/>
  </w:font>
  <w:font w:name="新宋体">
    <w:panose1 w:val="02010609030101010101"/>
  </w:font>
  <w:font w:name="Calibri">
    <w:panose1 w:val="020F0502020204030204"/>
  </w:font>
  <w:font w:name="Microsoft YaHei UI">
    <w:panose1 w:val="020B0503020204020204"/>
  </w:font>
  <w:font w:name="Arial">
    <w:panose1 w:val="020B0604020202020204"/>
  </w:font>
  <w:font w:name="等线">
    <w:panose1 w:val="02010600030101010101"/>
  </w:font>
  <w:font w:name="仿宋">
    <w:panose1 w:val="02010609060101010101"/>
  </w:font>
  <w:font w:name="等线 Light">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2806982</wp:posOffset>
              </wp:positionH>
              <wp:positionV relativeFrom="paragraph">
                <wp:posOffset>-30170</wp:posOffset>
              </wp:positionV>
              <wp:extent cx="162166" cy="249147"/>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62166" cy="24914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1.0pt;mso-position-horizontal:absolute;mso-position-vertical-relative:text;margin-top:-2.4pt;mso-position-vertical:absolute;width:12.8pt;height:19.6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2426094</wp:posOffset>
              </wp:positionH>
              <wp:positionV relativeFrom="paragraph">
                <wp:posOffset>-6106</wp:posOffset>
              </wp:positionV>
              <wp:extent cx="132250" cy="154818"/>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flipH="0" flipV="0">
                        <a:off x="0" y="0"/>
                        <a:ext cx="132249" cy="15481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rPr>
                              <w:rStyle w:val="977"/>
                            </w:rPr>
                          </w:pPr>
                          <w:r>
                            <w:fldChar w:fldCharType="begin"/>
                          </w:r>
                          <w:r>
                            <w:rPr>
                              <w:rStyle w:val="977"/>
                            </w:rPr>
                            <w:instrText xml:space="preserve">PAGE  </w:instrText>
                          </w:r>
                          <w:r>
                            <w:fldChar w:fldCharType="separate"/>
                          </w:r>
                          <w:r>
                            <w:rPr>
                              <w:rStyle w:val="977"/>
                            </w:rPr>
                            <w:t xml:space="preserve">38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191.0pt;mso-position-horizontal:absolute;mso-position-vertical-relative:text;margin-top:-0.5pt;mso-position-vertical:absolute;width:10.4pt;height:12.2pt;mso-wrap-distance-left:9.0pt;mso-wrap-distance-top:0.0pt;mso-wrap-distance-right:9.0pt;mso-wrap-distance-bottom:0.0pt;v-text-anchor:top;visibility:visible;" filled="f" stroked="f" strokeweight="0.50pt">
              <v:textbox inset="0,0,0,0">
                <w:txbxContent>
                  <w:p>
                    <w:pPr>
                      <w:pStyle w:val="960"/>
                      <w:rPr>
                        <w:rStyle w:val="977"/>
                      </w:rPr>
                    </w:pPr>
                    <w:r>
                      <w:fldChar w:fldCharType="begin"/>
                    </w:r>
                    <w:r>
                      <w:rPr>
                        <w:rStyle w:val="977"/>
                      </w:rPr>
                      <w:instrText xml:space="preserve">PAGE  </w:instrText>
                    </w:r>
                    <w:r>
                      <w:fldChar w:fldCharType="separate"/>
                    </w:r>
                    <w:r>
                      <w:rPr>
                        <w:rStyle w:val="977"/>
                      </w:rP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77"/>
      </w:rPr>
      <w:framePr w:wrap="around" w:vAnchor="text" w:hAnchor="margin" w:xAlign="center" w:y="1"/>
    </w:pPr>
    <w:r>
      <w:fldChar w:fldCharType="begin"/>
    </w:r>
    <w:r>
      <w:rPr>
        <w:rStyle w:val="977"/>
      </w:rPr>
      <w:instrText xml:space="preserve">PAGE  </w:instrText>
    </w:r>
    <w:r>
      <w:fldChar w:fldCharType="end"/>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center"/>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center"/>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center"/>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3"/>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001"/>
    <w:uiPriority w:val="0"/>
    <w:qFormat/>
    <w:pPr>
      <w:jc w:val="both"/>
      <w:widowControl w:val="off"/>
    </w:pPr>
    <w:rPr>
      <w:rFonts w:hint="default" w:ascii="等线" w:hAnsi="等线" w:eastAsia="等线" w:cs="宋体"/>
      <w:sz w:val="21"/>
      <w:szCs w:val="24"/>
      <w:lang w:val="en-US" w:eastAsia="zh-CN" w:bidi="ar-SA"/>
    </w:rPr>
  </w:style>
  <w:style w:type="paragraph" w:styleId="745">
    <w:name w:val="Heading 1"/>
    <w:basedOn w:val="744"/>
    <w:next w:val="744"/>
    <w:uiPriority w:val="9"/>
    <w:qFormat/>
    <w:pPr>
      <w:keepLines/>
      <w:keepNext/>
      <w:spacing w:before="480" w:after="200"/>
      <w:outlineLvl w:val="0"/>
    </w:pPr>
    <w:rPr>
      <w:rFonts w:ascii="Arial" w:hAnsi="Arial" w:eastAsia="Arial" w:cs="Arial"/>
      <w:sz w:val="40"/>
      <w:szCs w:val="40"/>
    </w:rPr>
  </w:style>
  <w:style w:type="paragraph" w:styleId="746">
    <w:name w:val="Heading 2"/>
    <w:basedOn w:val="745"/>
    <w:next w:val="744"/>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83"/>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8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85"/>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right="0" w:firstLine="0"/>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annotation text"/>
    <w:basedOn w:val="744"/>
    <w:uiPriority w:val="0"/>
    <w:qFormat/>
    <w:pPr>
      <w:jc w:val="left"/>
    </w:pPr>
  </w:style>
  <w:style w:type="paragraph" w:styleId="759">
    <w:name w:val="Body Text Indent"/>
    <w:basedOn w:val="744"/>
    <w:next w:val="760"/>
    <w:uiPriority w:val="0"/>
    <w:qFormat/>
    <w:pPr>
      <w:ind w:left="420"/>
      <w:spacing w:after="120"/>
    </w:pPr>
    <w:rPr>
      <w:rFonts w:ascii="Calibri" w:hAnsi="Calibri"/>
    </w:rPr>
  </w:style>
  <w:style w:type="paragraph" w:styleId="760">
    <w:name w:val="envelope return"/>
    <w:basedOn w:val="744"/>
    <w:uiPriority w:val="0"/>
    <w:qFormat/>
    <w:rPr>
      <w:rFonts w:ascii="Arial" w:hAnsi="Arial"/>
    </w:rPr>
  </w:style>
  <w:style w:type="paragraph" w:styleId="761">
    <w:name w:val="toc 5"/>
    <w:basedOn w:val="744"/>
    <w:next w:val="744"/>
    <w:uiPriority w:val="39"/>
    <w:unhideWhenUsed/>
    <w:qFormat/>
    <w:pPr>
      <w:ind w:left="1134" w:right="0" w:firstLine="0"/>
      <w:spacing w:after="57"/>
    </w:pPr>
  </w:style>
  <w:style w:type="paragraph" w:styleId="762">
    <w:name w:val="toc 3"/>
    <w:basedOn w:val="744"/>
    <w:next w:val="744"/>
    <w:uiPriority w:val="39"/>
    <w:unhideWhenUsed/>
    <w:qFormat/>
    <w:pPr>
      <w:ind w:left="567" w:right="0" w:firstLine="0"/>
      <w:spacing w:after="57"/>
    </w:pPr>
  </w:style>
  <w:style w:type="paragraph" w:styleId="763">
    <w:name w:val="toc 8"/>
    <w:basedOn w:val="744"/>
    <w:next w:val="744"/>
    <w:uiPriority w:val="39"/>
    <w:unhideWhenUsed/>
    <w:qFormat/>
    <w:pPr>
      <w:ind w:left="1984" w:right="0" w:firstLine="0"/>
      <w:spacing w:after="57"/>
    </w:pPr>
  </w:style>
  <w:style w:type="paragraph" w:styleId="764">
    <w:name w:val="endnote text"/>
    <w:basedOn w:val="744"/>
    <w:link w:val="919"/>
    <w:uiPriority w:val="99"/>
    <w:semiHidden/>
    <w:unhideWhenUsed/>
    <w:qFormat/>
    <w:pPr>
      <w:spacing w:after="0" w:line="240" w:lineRule="auto"/>
    </w:pPr>
    <w:rPr>
      <w:sz w:val="20"/>
    </w:rPr>
  </w:style>
  <w:style w:type="paragraph" w:styleId="765">
    <w:name w:val="Footer"/>
    <w:basedOn w:val="744"/>
    <w:link w:val="792"/>
    <w:uiPriority w:val="99"/>
    <w:unhideWhenUsed/>
    <w:qFormat/>
    <w:pPr>
      <w:spacing w:after="0" w:line="240" w:lineRule="auto"/>
      <w:tabs>
        <w:tab w:val="center" w:pos="7143" w:leader="none"/>
        <w:tab w:val="right" w:pos="14287" w:leader="none"/>
      </w:tabs>
    </w:pPr>
  </w:style>
  <w:style w:type="paragraph" w:styleId="766">
    <w:name w:val="Header"/>
    <w:basedOn w:val="744"/>
    <w:uiPriority w:val="99"/>
    <w:unhideWhenUsed/>
    <w:qFormat/>
    <w:pPr>
      <w:spacing w:after="0" w:line="240" w:lineRule="auto"/>
      <w:tabs>
        <w:tab w:val="center" w:pos="7143" w:leader="none"/>
        <w:tab w:val="right" w:pos="14287" w:leader="none"/>
      </w:tabs>
    </w:pPr>
  </w:style>
  <w:style w:type="paragraph" w:styleId="767">
    <w:name w:val="toc 1"/>
    <w:basedOn w:val="744"/>
    <w:next w:val="744"/>
    <w:uiPriority w:val="39"/>
    <w:unhideWhenUsed/>
    <w:qFormat/>
    <w:pPr>
      <w:ind w:left="0" w:right="0" w:firstLine="0"/>
      <w:spacing w:after="57"/>
    </w:pPr>
  </w:style>
  <w:style w:type="paragraph" w:styleId="768">
    <w:name w:val="toc 4"/>
    <w:basedOn w:val="744"/>
    <w:next w:val="744"/>
    <w:uiPriority w:val="39"/>
    <w:unhideWhenUsed/>
    <w:qFormat/>
    <w:pPr>
      <w:ind w:left="850" w:right="0" w:firstLine="0"/>
      <w:spacing w:after="57"/>
    </w:pPr>
  </w:style>
  <w:style w:type="paragraph" w:styleId="769">
    <w:name w:val="Subtitle"/>
    <w:basedOn w:val="744"/>
    <w:next w:val="744"/>
    <w:link w:val="787"/>
    <w:uiPriority w:val="11"/>
    <w:qFormat/>
    <w:pPr>
      <w:spacing w:before="200" w:after="200"/>
    </w:pPr>
    <w:rPr>
      <w:sz w:val="24"/>
      <w:szCs w:val="24"/>
    </w:rPr>
  </w:style>
  <w:style w:type="paragraph" w:styleId="770">
    <w:name w:val="List"/>
    <w:basedOn w:val="744"/>
    <w:uiPriority w:val="99"/>
    <w:qFormat/>
    <w:pPr>
      <w:contextualSpacing/>
      <w:ind w:left="200" w:hanging="200"/>
      <w:spacing w:line="360" w:lineRule="auto"/>
    </w:pPr>
    <w:rPr>
      <w:rFonts w:ascii="Calibri" w:hAnsi="Calibri"/>
      <w:szCs w:val="20"/>
    </w:rPr>
  </w:style>
  <w:style w:type="paragraph" w:styleId="771">
    <w:name w:val="footnote text"/>
    <w:basedOn w:val="744"/>
    <w:link w:val="918"/>
    <w:uiPriority w:val="99"/>
    <w:semiHidden/>
    <w:unhideWhenUsed/>
    <w:qFormat/>
    <w:pPr>
      <w:spacing w:after="40" w:line="240" w:lineRule="auto"/>
    </w:pPr>
    <w:rPr>
      <w:sz w:val="18"/>
    </w:rPr>
  </w:style>
  <w:style w:type="paragraph" w:styleId="772">
    <w:name w:val="toc 6"/>
    <w:basedOn w:val="744"/>
    <w:next w:val="744"/>
    <w:uiPriority w:val="39"/>
    <w:unhideWhenUsed/>
    <w:qFormat/>
    <w:pPr>
      <w:ind w:left="1417" w:right="0" w:firstLine="0"/>
      <w:spacing w:after="57"/>
    </w:pPr>
  </w:style>
  <w:style w:type="paragraph" w:styleId="773">
    <w:name w:val="table of figures"/>
    <w:basedOn w:val="744"/>
    <w:next w:val="744"/>
    <w:uiPriority w:val="99"/>
    <w:unhideWhenUsed/>
    <w:qFormat/>
    <w:pPr>
      <w:spacing w:after="0" w:afterAutospacing="0"/>
    </w:pPr>
  </w:style>
  <w:style w:type="paragraph" w:styleId="774">
    <w:name w:val="toc 2"/>
    <w:basedOn w:val="744"/>
    <w:next w:val="744"/>
    <w:uiPriority w:val="39"/>
    <w:unhideWhenUsed/>
    <w:qFormat/>
    <w:pPr>
      <w:ind w:left="283" w:right="0" w:firstLine="0"/>
      <w:spacing w:after="57"/>
    </w:pPr>
  </w:style>
  <w:style w:type="paragraph" w:styleId="775">
    <w:name w:val="toc 9"/>
    <w:basedOn w:val="744"/>
    <w:next w:val="744"/>
    <w:uiPriority w:val="39"/>
    <w:unhideWhenUsed/>
    <w:qFormat/>
    <w:pPr>
      <w:ind w:left="2268" w:right="0" w:firstLine="0"/>
      <w:spacing w:after="57"/>
    </w:pPr>
  </w:style>
  <w:style w:type="paragraph" w:styleId="776">
    <w:name w:val="Normal (Web)"/>
    <w:basedOn w:val="744"/>
    <w:uiPriority w:val="99"/>
    <w:semiHidden/>
    <w:unhideWhenUsed/>
    <w:qFormat/>
    <w:pPr>
      <w:ind w:left="0" w:right="0"/>
      <w:jc w:val="left"/>
      <w:spacing w:before="0" w:beforeAutospacing="1" w:after="0" w:afterAutospacing="1"/>
    </w:pPr>
    <w:rPr>
      <w:sz w:val="24"/>
      <w:lang w:val="en-US" w:eastAsia="zh-CN" w:bidi="ar"/>
    </w:rPr>
  </w:style>
  <w:style w:type="paragraph" w:styleId="777">
    <w:name w:val="Title"/>
    <w:basedOn w:val="744"/>
    <w:next w:val="744"/>
    <w:link w:val="786"/>
    <w:uiPriority w:val="10"/>
    <w:qFormat/>
    <w:pPr>
      <w:contextualSpacing/>
      <w:spacing w:before="300" w:after="200"/>
    </w:pPr>
    <w:rPr>
      <w:sz w:val="48"/>
      <w:szCs w:val="48"/>
    </w:rPr>
  </w:style>
  <w:style w:type="paragraph" w:styleId="778">
    <w:name w:val="Body Text First Indent 2"/>
    <w:basedOn w:val="759"/>
    <w:next w:val="770"/>
    <w:uiPriority w:val="0"/>
    <w:qFormat/>
    <w:pPr>
      <w:ind w:left="0" w:firstLine="420"/>
      <w:spacing w:after="0" w:line="360" w:lineRule="auto"/>
    </w:pPr>
    <w:rPr>
      <w:rFonts w:ascii="宋体" w:hAnsi="宋体" w:eastAsia="宋体" w:cs="Times New Roman"/>
      <w:sz w:val="20"/>
      <w:szCs w:val="20"/>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footnote reference"/>
    <w:uiPriority w:val="99"/>
    <w:unhideWhenUsed/>
    <w:qFormat/>
    <w:rPr>
      <w:vertAlign w:val="superscript"/>
    </w:rPr>
  </w:style>
  <w:style w:type="character" w:styleId="783" w:customStyle="1">
    <w:name w:val="Heading 6 Char"/>
    <w:link w:val="750"/>
    <w:uiPriority w:val="9"/>
    <w:qFormat/>
    <w:rPr>
      <w:rFonts w:ascii="Arial" w:hAnsi="Arial" w:eastAsia="Arial" w:cs="Arial"/>
      <w:b/>
      <w:bCs/>
      <w:sz w:val="22"/>
      <w:szCs w:val="22"/>
    </w:rPr>
  </w:style>
  <w:style w:type="character" w:styleId="784" w:customStyle="1">
    <w:name w:val="Heading 8 Char"/>
    <w:link w:val="752"/>
    <w:uiPriority w:val="9"/>
    <w:qFormat/>
    <w:rPr>
      <w:rFonts w:ascii="Arial" w:hAnsi="Arial" w:eastAsia="Arial" w:cs="Arial"/>
      <w:i/>
      <w:iCs/>
      <w:sz w:val="22"/>
      <w:szCs w:val="22"/>
    </w:rPr>
  </w:style>
  <w:style w:type="character" w:styleId="785" w:customStyle="1">
    <w:name w:val="Heading 9 Char"/>
    <w:link w:val="753"/>
    <w:uiPriority w:val="9"/>
    <w:qFormat/>
    <w:rPr>
      <w:rFonts w:ascii="Arial" w:hAnsi="Arial" w:eastAsia="Arial" w:cs="Arial"/>
      <w:i/>
      <w:iCs/>
      <w:sz w:val="21"/>
      <w:szCs w:val="21"/>
    </w:rPr>
  </w:style>
  <w:style w:type="character" w:styleId="786" w:customStyle="1">
    <w:name w:val="Title Char"/>
    <w:link w:val="777"/>
    <w:uiPriority w:val="10"/>
    <w:qFormat/>
    <w:rPr>
      <w:sz w:val="48"/>
      <w:szCs w:val="48"/>
    </w:rPr>
  </w:style>
  <w:style w:type="character" w:styleId="787" w:customStyle="1">
    <w:name w:val="Subtitle Char"/>
    <w:link w:val="769"/>
    <w:uiPriority w:val="11"/>
    <w:qFormat/>
    <w:rPr>
      <w:sz w:val="24"/>
      <w:szCs w:val="24"/>
    </w:rPr>
  </w:style>
  <w:style w:type="paragraph" w:styleId="788">
    <w:name w:val="Quote"/>
    <w:basedOn w:val="744"/>
    <w:next w:val="744"/>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44"/>
    <w:next w:val="744"/>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Caption Char"/>
    <w:link w:val="765"/>
    <w:uiPriority w:val="99"/>
    <w:qFormat/>
  </w:style>
  <w:style w:type="table" w:styleId="7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71"/>
    <w:uiPriority w:val="99"/>
    <w:qFormat/>
    <w:rPr>
      <w:sz w:val="18"/>
    </w:rPr>
  </w:style>
  <w:style w:type="character" w:styleId="919" w:customStyle="1">
    <w:name w:val="Endnote Text Char"/>
    <w:link w:val="764"/>
    <w:uiPriority w:val="99"/>
    <w:qFormat/>
    <w:rPr>
      <w:sz w:val="20"/>
    </w:rPr>
  </w:style>
  <w:style w:type="paragraph" w:styleId="920" w:customStyle="1">
    <w:name w:val="标题 11"/>
    <w:basedOn w:val="744"/>
    <w:next w:val="744"/>
    <w:link w:val="933"/>
    <w:uiPriority w:val="0"/>
    <w:qFormat/>
    <w:pPr>
      <w:jc w:val="center"/>
      <w:keepLines/>
      <w:keepNext/>
      <w:spacing w:line="578" w:lineRule="auto"/>
      <w:outlineLvl w:val="0"/>
    </w:pPr>
    <w:rPr>
      <w:rFonts w:eastAsia="新宋体"/>
      <w:b/>
      <w:bCs/>
      <w:sz w:val="30"/>
      <w:szCs w:val="44"/>
    </w:rPr>
  </w:style>
  <w:style w:type="paragraph" w:styleId="921" w:customStyle="1">
    <w:name w:val="标题 211"/>
    <w:basedOn w:val="744"/>
    <w:next w:val="744"/>
    <w:link w:val="934"/>
    <w:uiPriority w:val="9"/>
    <w:qFormat/>
    <w:pPr>
      <w:keepLines/>
      <w:keepNext/>
      <w:spacing w:before="260" w:after="260" w:line="416" w:lineRule="auto"/>
      <w:outlineLvl w:val="1"/>
    </w:pPr>
    <w:rPr>
      <w:rFonts w:ascii="Cambria" w:hAnsi="Cambria"/>
      <w:b/>
      <w:bCs/>
      <w:sz w:val="32"/>
      <w:szCs w:val="32"/>
    </w:rPr>
  </w:style>
  <w:style w:type="paragraph" w:styleId="922" w:customStyle="1">
    <w:name w:val="标题 31"/>
    <w:basedOn w:val="744"/>
    <w:next w:val="744"/>
    <w:link w:val="935"/>
    <w:uiPriority w:val="0"/>
    <w:qFormat/>
    <w:pPr>
      <w:keepLines/>
      <w:keepNext/>
      <w:spacing w:before="260" w:after="260" w:line="416" w:lineRule="auto"/>
      <w:outlineLvl w:val="2"/>
    </w:pPr>
    <w:rPr>
      <w:b/>
      <w:bCs/>
      <w:sz w:val="32"/>
      <w:szCs w:val="32"/>
    </w:rPr>
  </w:style>
  <w:style w:type="paragraph" w:styleId="923" w:customStyle="1">
    <w:name w:val="标题 411"/>
    <w:basedOn w:val="924"/>
    <w:next w:val="926"/>
    <w:link w:val="936"/>
    <w:uiPriority w:val="9"/>
    <w:qFormat/>
    <w:pPr>
      <w:keepLines/>
      <w:keepNext/>
      <w:spacing w:before="280" w:after="290" w:line="376" w:lineRule="auto"/>
      <w:outlineLvl w:val="3"/>
    </w:pPr>
    <w:rPr>
      <w:rFonts w:ascii="Arial" w:hAnsi="Arial" w:eastAsia="黑体"/>
      <w:b/>
      <w:bCs/>
      <w:sz w:val="28"/>
      <w:szCs w:val="28"/>
    </w:rPr>
  </w:style>
  <w:style w:type="paragraph" w:styleId="924" w:customStyle="1">
    <w:name w:val="正文12"/>
    <w:next w:val="925"/>
    <w:uiPriority w:val="0"/>
    <w:qFormat/>
    <w:pPr>
      <w:ind w:firstLine="723"/>
      <w:jc w:val="both"/>
      <w:spacing w:line="360" w:lineRule="auto"/>
      <w:widowControl w:val="off"/>
    </w:pPr>
    <w:rPr>
      <w:rFonts w:hint="default" w:ascii="等线" w:hAnsi="等线" w:eastAsia="等线" w:cs="宋体"/>
      <w:sz w:val="24"/>
      <w:szCs w:val="24"/>
      <w:lang w:val="en-US" w:eastAsia="zh-CN" w:bidi="ar-SA"/>
    </w:rPr>
  </w:style>
  <w:style w:type="paragraph" w:styleId="925" w:customStyle="1">
    <w:name w:val="正文文本111"/>
    <w:basedOn w:val="924"/>
    <w:next w:val="924"/>
    <w:uiPriority w:val="0"/>
    <w:qFormat/>
  </w:style>
  <w:style w:type="paragraph" w:styleId="926" w:customStyle="1">
    <w:name w:val="正文11"/>
    <w:next w:val="927"/>
    <w:uiPriority w:val="0"/>
    <w:qFormat/>
    <w:pPr>
      <w:jc w:val="both"/>
      <w:widowControl w:val="off"/>
    </w:pPr>
    <w:rPr>
      <w:rFonts w:hint="default" w:ascii="等线" w:hAnsi="等线" w:eastAsia="等线" w:cs="宋体"/>
      <w:sz w:val="21"/>
      <w:szCs w:val="24"/>
      <w:lang w:val="en-US" w:eastAsia="zh-CN" w:bidi="ar-SA"/>
    </w:rPr>
  </w:style>
  <w:style w:type="paragraph" w:styleId="927" w:customStyle="1">
    <w:name w:val="标题 21"/>
    <w:basedOn w:val="924"/>
    <w:next w:val="926"/>
    <w:uiPriority w:val="99"/>
    <w:qFormat/>
    <w:pPr>
      <w:jc w:val="center"/>
      <w:keepLines/>
      <w:keepNext/>
      <w:spacing w:before="260" w:after="260" w:line="360" w:lineRule="auto"/>
      <w:outlineLvl w:val="1"/>
    </w:pPr>
    <w:rPr>
      <w:rFonts w:ascii="Arial" w:hAnsi="Arial" w:eastAsia="仿宋"/>
      <w:bCs/>
      <w:sz w:val="24"/>
      <w:szCs w:val="32"/>
    </w:rPr>
  </w:style>
  <w:style w:type="paragraph" w:styleId="928" w:customStyle="1">
    <w:name w:val="正文缩进11"/>
    <w:basedOn w:val="744"/>
    <w:link w:val="939"/>
    <w:uiPriority w:val="0"/>
    <w:qFormat/>
    <w:pPr>
      <w:ind w:firstLine="420"/>
    </w:pPr>
  </w:style>
  <w:style w:type="paragraph" w:styleId="929" w:customStyle="1">
    <w:name w:val="标题 51"/>
    <w:basedOn w:val="744"/>
    <w:next w:val="744"/>
    <w:link w:val="937"/>
    <w:uiPriority w:val="0"/>
    <w:qFormat/>
    <w:pPr>
      <w:keepLines/>
      <w:keepNext/>
      <w:spacing w:before="280" w:after="290" w:line="376" w:lineRule="auto"/>
      <w:outlineLvl w:val="4"/>
    </w:pPr>
    <w:rPr>
      <w:b/>
      <w:bCs/>
      <w:sz w:val="28"/>
      <w:szCs w:val="28"/>
    </w:rPr>
  </w:style>
  <w:style w:type="paragraph" w:styleId="930" w:customStyle="1">
    <w:name w:val="标题 71"/>
    <w:basedOn w:val="744"/>
    <w:next w:val="744"/>
    <w:link w:val="938"/>
    <w:uiPriority w:val="9"/>
    <w:qFormat/>
    <w:pPr>
      <w:keepLines/>
      <w:keepNext/>
      <w:spacing w:before="240" w:after="64" w:line="320" w:lineRule="auto"/>
      <w:outlineLvl w:val="6"/>
    </w:pPr>
    <w:rPr>
      <w:rFonts w:ascii="Calibri" w:hAnsi="Calibri"/>
      <w:b/>
      <w:bCs/>
      <w:sz w:val="24"/>
    </w:rPr>
  </w:style>
  <w:style w:type="character" w:styleId="931" w:customStyle="1">
    <w:name w:val="默认段落字体1"/>
    <w:link w:val="744"/>
    <w:uiPriority w:val="0"/>
    <w:semiHidden/>
    <w:qFormat/>
  </w:style>
  <w:style w:type="table" w:styleId="932" w:customStyle="1">
    <w:name w:val="普通表格11"/>
    <w:uiPriority w:val="0"/>
    <w:semiHidden/>
    <w:qFormat/>
    <w:tblPr/>
  </w:style>
  <w:style w:type="character" w:styleId="933" w:customStyle="1">
    <w:name w:val="Heading 1 Char"/>
    <w:link w:val="920"/>
    <w:uiPriority w:val="0"/>
    <w:qFormat/>
    <w:rPr>
      <w:rFonts w:eastAsia="新宋体"/>
      <w:b/>
      <w:bCs/>
      <w:sz w:val="30"/>
      <w:szCs w:val="44"/>
    </w:rPr>
  </w:style>
  <w:style w:type="character" w:styleId="934" w:customStyle="1">
    <w:name w:val="Heading 2 Char"/>
    <w:link w:val="921"/>
    <w:uiPriority w:val="9"/>
    <w:qFormat/>
    <w:rPr>
      <w:rFonts w:ascii="Cambria" w:hAnsi="Cambria"/>
      <w:b/>
      <w:bCs/>
      <w:sz w:val="32"/>
      <w:szCs w:val="32"/>
    </w:rPr>
  </w:style>
  <w:style w:type="character" w:styleId="935" w:customStyle="1">
    <w:name w:val="Heading 3 Char"/>
    <w:link w:val="922"/>
    <w:uiPriority w:val="0"/>
    <w:semiHidden/>
    <w:qFormat/>
    <w:rPr>
      <w:b/>
      <w:bCs/>
      <w:sz w:val="32"/>
      <w:szCs w:val="32"/>
    </w:rPr>
  </w:style>
  <w:style w:type="character" w:styleId="936" w:customStyle="1">
    <w:name w:val="Heading 4 Char"/>
    <w:link w:val="923"/>
    <w:uiPriority w:val="9"/>
    <w:semiHidden/>
    <w:qFormat/>
    <w:rPr>
      <w:rFonts w:ascii="Cambria" w:hAnsi="Cambria"/>
      <w:b/>
      <w:bCs/>
      <w:sz w:val="28"/>
      <w:szCs w:val="28"/>
    </w:rPr>
  </w:style>
  <w:style w:type="character" w:styleId="937" w:customStyle="1">
    <w:name w:val="Heading 5 Char"/>
    <w:link w:val="929"/>
    <w:uiPriority w:val="0"/>
    <w:semiHidden/>
    <w:qFormat/>
    <w:rPr>
      <w:b/>
      <w:bCs/>
      <w:sz w:val="28"/>
      <w:szCs w:val="28"/>
    </w:rPr>
  </w:style>
  <w:style w:type="character" w:styleId="938" w:customStyle="1">
    <w:name w:val="Heading 7 Char"/>
    <w:link w:val="930"/>
    <w:uiPriority w:val="9"/>
    <w:semiHidden/>
    <w:qFormat/>
    <w:rPr>
      <w:rFonts w:ascii="Calibri" w:hAnsi="Calibri"/>
      <w:b/>
      <w:bCs/>
      <w:sz w:val="24"/>
      <w:szCs w:val="24"/>
    </w:rPr>
  </w:style>
  <w:style w:type="character" w:styleId="939" w:customStyle="1">
    <w:name w:val="Normal Indent Char"/>
    <w:link w:val="928"/>
    <w:uiPriority w:val="0"/>
    <w:qFormat/>
    <w:rPr>
      <w:sz w:val="21"/>
      <w:szCs w:val="24"/>
      <w:lang w:bidi="ar-SA"/>
    </w:rPr>
  </w:style>
  <w:style w:type="paragraph" w:styleId="940" w:customStyle="1">
    <w:name w:val="索引 512"/>
    <w:basedOn w:val="744"/>
    <w:next w:val="744"/>
    <w:uiPriority w:val="0"/>
    <w:qFormat/>
    <w:pPr>
      <w:ind w:left="798"/>
      <w:jc w:val="left"/>
    </w:pPr>
    <w:rPr>
      <w:rFonts w:ascii="Calibri" w:hAnsi="Calibri"/>
    </w:rPr>
  </w:style>
  <w:style w:type="paragraph" w:styleId="941" w:customStyle="1">
    <w:name w:val="文档结构图1"/>
    <w:basedOn w:val="744"/>
    <w:link w:val="942"/>
    <w:uiPriority w:val="99"/>
    <w:unhideWhenUsed/>
    <w:qFormat/>
    <w:rPr>
      <w:rFonts w:ascii="宋体" w:hAnsi="Calibri"/>
      <w:sz w:val="18"/>
      <w:szCs w:val="18"/>
    </w:rPr>
  </w:style>
  <w:style w:type="character" w:styleId="942" w:customStyle="1">
    <w:name w:val="Document Map Char"/>
    <w:link w:val="941"/>
    <w:uiPriority w:val="99"/>
    <w:qFormat/>
    <w:rPr>
      <w:rFonts w:ascii="宋体" w:hAnsi="Calibri"/>
      <w:sz w:val="18"/>
      <w:szCs w:val="18"/>
    </w:rPr>
  </w:style>
  <w:style w:type="paragraph" w:styleId="943" w:customStyle="1">
    <w:name w:val="批注文字1"/>
    <w:basedOn w:val="744"/>
    <w:link w:val="944"/>
    <w:uiPriority w:val="0"/>
    <w:qFormat/>
    <w:pPr>
      <w:jc w:val="left"/>
    </w:pPr>
  </w:style>
  <w:style w:type="character" w:styleId="944" w:customStyle="1">
    <w:name w:val="Comment Text Char"/>
    <w:link w:val="943"/>
    <w:uiPriority w:val="0"/>
    <w:qFormat/>
    <w:rPr>
      <w:sz w:val="21"/>
      <w:szCs w:val="24"/>
    </w:rPr>
  </w:style>
  <w:style w:type="paragraph" w:styleId="945" w:customStyle="1">
    <w:name w:val="正文文本11"/>
    <w:basedOn w:val="744"/>
    <w:next w:val="744"/>
    <w:link w:val="946"/>
    <w:uiPriority w:val="1"/>
    <w:qFormat/>
    <w:pPr>
      <w:spacing w:after="120"/>
    </w:pPr>
    <w:rPr>
      <w:rFonts w:ascii="Calibri" w:hAnsi="Calibri"/>
    </w:rPr>
  </w:style>
  <w:style w:type="character" w:styleId="946" w:customStyle="1">
    <w:name w:val="Body Text Char"/>
    <w:link w:val="945"/>
    <w:uiPriority w:val="1"/>
    <w:qFormat/>
    <w:rPr>
      <w:rFonts w:ascii="Calibri" w:hAnsi="Calibri"/>
      <w:sz w:val="21"/>
      <w:szCs w:val="24"/>
    </w:rPr>
  </w:style>
  <w:style w:type="paragraph" w:styleId="947" w:customStyle="1">
    <w:name w:val="正文文本缩进111"/>
    <w:basedOn w:val="744"/>
    <w:next w:val="948"/>
    <w:link w:val="949"/>
    <w:uiPriority w:val="99"/>
    <w:qFormat/>
    <w:pPr>
      <w:ind w:left="420"/>
      <w:spacing w:after="120"/>
    </w:pPr>
    <w:rPr>
      <w:rFonts w:ascii="Calibri" w:hAnsi="Calibri"/>
    </w:rPr>
  </w:style>
  <w:style w:type="paragraph" w:styleId="948" w:customStyle="1">
    <w:name w:val="寄信人地址11"/>
    <w:basedOn w:val="744"/>
    <w:uiPriority w:val="0"/>
    <w:qFormat/>
    <w:rPr>
      <w:rFonts w:ascii="Arial" w:hAnsi="Arial"/>
    </w:rPr>
  </w:style>
  <w:style w:type="character" w:styleId="949" w:customStyle="1">
    <w:name w:val="Body Text Indent Char"/>
    <w:link w:val="947"/>
    <w:uiPriority w:val="99"/>
    <w:qFormat/>
    <w:rPr>
      <w:rFonts w:ascii="Calibri" w:hAnsi="Calibri"/>
      <w:sz w:val="21"/>
      <w:szCs w:val="24"/>
    </w:rPr>
  </w:style>
  <w:style w:type="paragraph" w:styleId="950" w:customStyle="1">
    <w:name w:val="文本块12"/>
    <w:basedOn w:val="744"/>
    <w:uiPriority w:val="99"/>
    <w:qFormat/>
    <w:pPr>
      <w:ind w:left="420" w:right="33"/>
      <w:jc w:val="left"/>
    </w:pPr>
    <w:rPr>
      <w:sz w:val="24"/>
      <w:szCs w:val="20"/>
    </w:rPr>
  </w:style>
  <w:style w:type="paragraph" w:styleId="951" w:customStyle="1">
    <w:name w:val="索引 41"/>
    <w:basedOn w:val="744"/>
    <w:next w:val="744"/>
    <w:uiPriority w:val="99"/>
    <w:unhideWhenUsed/>
    <w:qFormat/>
    <w:pPr>
      <w:ind w:left="600"/>
    </w:pPr>
    <w:rPr>
      <w:rFonts w:ascii="Calibri" w:hAnsi="Calibri"/>
      <w:szCs w:val="22"/>
    </w:rPr>
  </w:style>
  <w:style w:type="paragraph" w:styleId="952" w:customStyle="1">
    <w:name w:val="纯文本11"/>
    <w:basedOn w:val="744"/>
    <w:link w:val="953"/>
    <w:uiPriority w:val="0"/>
    <w:qFormat/>
    <w:rPr>
      <w:rFonts w:ascii="宋体" w:hAnsi="Courier New"/>
      <w:szCs w:val="20"/>
    </w:rPr>
  </w:style>
  <w:style w:type="character" w:styleId="953" w:customStyle="1">
    <w:name w:val="Plain Text Char"/>
    <w:link w:val="952"/>
    <w:uiPriority w:val="0"/>
    <w:qFormat/>
    <w:rPr>
      <w:rFonts w:ascii="宋体" w:hAnsi="Courier New"/>
      <w:sz w:val="21"/>
    </w:rPr>
  </w:style>
  <w:style w:type="paragraph" w:styleId="954" w:customStyle="1">
    <w:name w:val="日期1"/>
    <w:basedOn w:val="744"/>
    <w:next w:val="744"/>
    <w:link w:val="955"/>
    <w:uiPriority w:val="99"/>
    <w:qFormat/>
    <w:rPr>
      <w:rFonts w:eastAsia="仿宋_GB2312"/>
      <w:sz w:val="28"/>
      <w:szCs w:val="20"/>
    </w:rPr>
  </w:style>
  <w:style w:type="character" w:styleId="955" w:customStyle="1">
    <w:name w:val="Date Char"/>
    <w:link w:val="954"/>
    <w:uiPriority w:val="99"/>
    <w:qFormat/>
    <w:rPr>
      <w:rFonts w:eastAsia="仿宋_GB2312"/>
      <w:sz w:val="28"/>
    </w:rPr>
  </w:style>
  <w:style w:type="paragraph" w:styleId="956" w:customStyle="1">
    <w:name w:val="正文文本缩进 21"/>
    <w:basedOn w:val="744"/>
    <w:link w:val="957"/>
    <w:uiPriority w:val="0"/>
    <w:qFormat/>
    <w:pPr>
      <w:ind w:firstLine="475"/>
      <w:spacing w:line="10" w:lineRule="atLeast"/>
    </w:pPr>
    <w:rPr>
      <w:rFonts w:ascii="仿宋_GB2312" w:eastAsia="仿宋_GB2312"/>
      <w:sz w:val="24"/>
    </w:rPr>
  </w:style>
  <w:style w:type="character" w:styleId="957" w:customStyle="1">
    <w:name w:val="Body Text Indent 2 Char"/>
    <w:link w:val="956"/>
    <w:uiPriority w:val="0"/>
    <w:qFormat/>
    <w:rPr>
      <w:rFonts w:ascii="仿宋_GB2312" w:eastAsia="仿宋_GB2312"/>
      <w:sz w:val="24"/>
      <w:szCs w:val="24"/>
      <w:lang w:bidi="ar-SA"/>
    </w:rPr>
  </w:style>
  <w:style w:type="paragraph" w:styleId="958" w:customStyle="1">
    <w:name w:val="批注框文本1"/>
    <w:basedOn w:val="744"/>
    <w:link w:val="959"/>
    <w:uiPriority w:val="0"/>
    <w:qFormat/>
    <w:rPr>
      <w:sz w:val="18"/>
      <w:szCs w:val="18"/>
    </w:rPr>
  </w:style>
  <w:style w:type="character" w:styleId="959" w:customStyle="1">
    <w:name w:val="Balloon Text Char"/>
    <w:link w:val="958"/>
    <w:uiPriority w:val="0"/>
    <w:qFormat/>
    <w:rPr>
      <w:sz w:val="18"/>
      <w:szCs w:val="18"/>
    </w:rPr>
  </w:style>
  <w:style w:type="paragraph" w:styleId="960" w:customStyle="1">
    <w:name w:val="页脚1"/>
    <w:basedOn w:val="744"/>
    <w:link w:val="961"/>
    <w:uiPriority w:val="99"/>
    <w:qFormat/>
    <w:pPr>
      <w:jc w:val="left"/>
      <w:tabs>
        <w:tab w:val="center" w:pos="4153" w:leader="none"/>
        <w:tab w:val="right" w:pos="8306" w:leader="none"/>
      </w:tabs>
    </w:pPr>
    <w:rPr>
      <w:sz w:val="18"/>
      <w:szCs w:val="18"/>
    </w:rPr>
  </w:style>
  <w:style w:type="character" w:styleId="961" w:customStyle="1">
    <w:name w:val="Footer Char"/>
    <w:link w:val="960"/>
    <w:uiPriority w:val="99"/>
    <w:qFormat/>
    <w:rPr>
      <w:sz w:val="18"/>
      <w:szCs w:val="18"/>
    </w:rPr>
  </w:style>
  <w:style w:type="paragraph" w:styleId="962" w:customStyle="1">
    <w:name w:val="页眉1"/>
    <w:basedOn w:val="744"/>
    <w:link w:val="963"/>
    <w:uiPriority w:val="0"/>
    <w:qFormat/>
    <w:pPr>
      <w:jc w:val="center"/>
      <w:tabs>
        <w:tab w:val="center" w:pos="4153" w:leader="none"/>
        <w:tab w:val="right" w:pos="8306" w:leader="none"/>
      </w:tabs>
      <w:pBdr>
        <w:bottom w:val="single" w:color="000000" w:sz="6" w:space="1"/>
      </w:pBdr>
    </w:pPr>
    <w:rPr>
      <w:sz w:val="18"/>
      <w:szCs w:val="18"/>
    </w:rPr>
  </w:style>
  <w:style w:type="character" w:styleId="963" w:customStyle="1">
    <w:name w:val="Header Char"/>
    <w:link w:val="962"/>
    <w:uiPriority w:val="0"/>
    <w:qFormat/>
    <w:rPr>
      <w:sz w:val="18"/>
      <w:szCs w:val="18"/>
    </w:rPr>
  </w:style>
  <w:style w:type="paragraph" w:styleId="964" w:customStyle="1">
    <w:name w:val="目录 1111"/>
    <w:basedOn w:val="744"/>
    <w:next w:val="744"/>
    <w:uiPriority w:val="39"/>
    <w:qFormat/>
  </w:style>
  <w:style w:type="paragraph" w:styleId="965" w:customStyle="1">
    <w:name w:val="脚注文本111"/>
    <w:basedOn w:val="744"/>
    <w:next w:val="940"/>
    <w:uiPriority w:val="0"/>
    <w:qFormat/>
    <w:pPr>
      <w:jc w:val="left"/>
    </w:pPr>
    <w:rPr>
      <w:rFonts w:ascii="宋体" w:eastAsia="Times New Roman"/>
      <w:sz w:val="18"/>
      <w:szCs w:val="18"/>
    </w:rPr>
  </w:style>
  <w:style w:type="paragraph" w:styleId="966" w:customStyle="1">
    <w:name w:val="图表目录1"/>
    <w:basedOn w:val="744"/>
    <w:next w:val="744"/>
    <w:uiPriority w:val="0"/>
    <w:qFormat/>
    <w:pPr>
      <w:ind w:left="200" w:hanging="200"/>
    </w:pPr>
  </w:style>
  <w:style w:type="paragraph" w:styleId="967" w:customStyle="1">
    <w:name w:val="HTML 预设格式1"/>
    <w:basedOn w:val="74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68" w:customStyle="1">
    <w:name w:val="普通(网站)1"/>
    <w:basedOn w:val="744"/>
    <w:uiPriority w:val="99"/>
    <w:qFormat/>
    <w:pPr>
      <w:jc w:val="left"/>
      <w:spacing w:before="100" w:beforeAutospacing="1" w:after="100" w:afterAutospacing="1"/>
      <w:widowControl/>
    </w:pPr>
    <w:rPr>
      <w:rFonts w:ascii="宋体" w:hAnsi="宋体" w:cs="宋体"/>
      <w:sz w:val="24"/>
    </w:rPr>
  </w:style>
  <w:style w:type="paragraph" w:styleId="969" w:customStyle="1">
    <w:name w:val="批注主题1"/>
    <w:basedOn w:val="943"/>
    <w:next w:val="943"/>
    <w:link w:val="970"/>
    <w:uiPriority w:val="0"/>
    <w:qFormat/>
    <w:rPr>
      <w:b/>
      <w:bCs/>
    </w:rPr>
  </w:style>
  <w:style w:type="character" w:styleId="970" w:customStyle="1">
    <w:name w:val="Comment Subject Char"/>
    <w:link w:val="969"/>
    <w:uiPriority w:val="0"/>
    <w:qFormat/>
    <w:rPr>
      <w:b/>
      <w:bCs/>
      <w:sz w:val="21"/>
      <w:szCs w:val="24"/>
    </w:rPr>
  </w:style>
  <w:style w:type="paragraph" w:styleId="971" w:customStyle="1">
    <w:name w:val="正文首行缩进1"/>
    <w:basedOn w:val="945"/>
    <w:next w:val="972"/>
    <w:link w:val="973"/>
    <w:uiPriority w:val="0"/>
    <w:qFormat/>
    <w:pPr>
      <w:ind w:firstLine="420"/>
    </w:pPr>
    <w:rPr>
      <w:rFonts w:ascii="仿宋_GB2312" w:hAnsi="Times New Roman" w:eastAsia="仿宋_GB2312"/>
      <w:sz w:val="30"/>
      <w:szCs w:val="30"/>
    </w:rPr>
  </w:style>
  <w:style w:type="paragraph" w:styleId="972" w:customStyle="1">
    <w:name w:val="正文首行缩进 211"/>
    <w:basedOn w:val="947"/>
    <w:next w:val="744"/>
    <w:link w:val="974"/>
    <w:uiPriority w:val="0"/>
    <w:qFormat/>
    <w:pPr>
      <w:ind w:firstLine="420"/>
    </w:pPr>
    <w:rPr>
      <w:rFonts w:ascii="Times New Roman" w:hAnsi="Times New Roman"/>
    </w:rPr>
  </w:style>
  <w:style w:type="character" w:styleId="973" w:customStyle="1">
    <w:name w:val="Body Text First Indent Char"/>
    <w:link w:val="971"/>
    <w:uiPriority w:val="0"/>
    <w:qFormat/>
    <w:rPr>
      <w:rFonts w:ascii="仿宋_GB2312" w:hAnsi="Times New Roman" w:eastAsia="仿宋_GB2312"/>
      <w:sz w:val="30"/>
      <w:szCs w:val="30"/>
    </w:rPr>
  </w:style>
  <w:style w:type="character" w:styleId="974" w:customStyle="1">
    <w:name w:val="Body Text First Indent 2 Char"/>
    <w:link w:val="972"/>
    <w:uiPriority w:val="0"/>
    <w:qFormat/>
  </w:style>
  <w:style w:type="table" w:styleId="975" w:customStyle="1">
    <w:name w:val="网格型12"/>
    <w:basedOn w:val="932"/>
    <w:uiPriority w:val="59"/>
    <w:qFormat/>
    <w:pPr>
      <w:jc w:val="both"/>
      <w:widowControl w:val="off"/>
    </w:pPr>
    <w:tblPr/>
  </w:style>
  <w:style w:type="character" w:styleId="976" w:customStyle="1">
    <w:name w:val="要点1"/>
    <w:link w:val="744"/>
    <w:uiPriority w:val="22"/>
    <w:qFormat/>
    <w:rPr>
      <w:b/>
      <w:bCs/>
    </w:rPr>
  </w:style>
  <w:style w:type="character" w:styleId="977" w:customStyle="1">
    <w:name w:val="页码1"/>
    <w:link w:val="744"/>
    <w:uiPriority w:val="0"/>
    <w:qFormat/>
  </w:style>
  <w:style w:type="character" w:styleId="978" w:customStyle="1">
    <w:name w:val="强调1"/>
    <w:link w:val="744"/>
    <w:uiPriority w:val="0"/>
    <w:qFormat/>
    <w:rPr>
      <w:i/>
    </w:rPr>
  </w:style>
  <w:style w:type="character" w:styleId="979" w:customStyle="1">
    <w:name w:val="超链接1"/>
    <w:link w:val="744"/>
    <w:uiPriority w:val="0"/>
    <w:unhideWhenUsed/>
    <w:qFormat/>
    <w:rPr>
      <w:color w:val="0000ff"/>
      <w:u w:val="single"/>
    </w:rPr>
  </w:style>
  <w:style w:type="character" w:styleId="980" w:customStyle="1">
    <w:name w:val="批注引用1"/>
    <w:link w:val="744"/>
    <w:uiPriority w:val="0"/>
    <w:qFormat/>
    <w:rPr>
      <w:sz w:val="21"/>
      <w:szCs w:val="21"/>
    </w:rPr>
  </w:style>
  <w:style w:type="character" w:styleId="981" w:customStyle="1">
    <w:name w:val="font21"/>
    <w:link w:val="744"/>
    <w:uiPriority w:val="0"/>
    <w:qFormat/>
    <w:rPr>
      <w:rFonts w:hint="eastAsia" w:ascii="宋体" w:hAnsi="宋体" w:eastAsia="宋体" w:cs="Times New Roman"/>
      <w:sz w:val="28"/>
      <w:szCs w:val="28"/>
      <w:lang w:val="en-US" w:eastAsia="zh-CN" w:bidi="ar-SA"/>
    </w:rPr>
  </w:style>
  <w:style w:type="character" w:styleId="982" w:customStyle="1">
    <w:name w:val="标题 1 Char"/>
    <w:link w:val="744"/>
    <w:uiPriority w:val="9"/>
    <w:qFormat/>
    <w:rPr>
      <w:b/>
      <w:bCs/>
      <w:sz w:val="44"/>
      <w:szCs w:val="44"/>
    </w:rPr>
  </w:style>
  <w:style w:type="character" w:styleId="983" w:customStyle="1">
    <w:name w:val="正文文本 Char"/>
    <w:link w:val="744"/>
    <w:uiPriority w:val="99"/>
    <w:qFormat/>
    <w:rPr>
      <w:sz w:val="21"/>
      <w:szCs w:val="24"/>
    </w:rPr>
  </w:style>
  <w:style w:type="character" w:styleId="984" w:customStyle="1">
    <w:name w:val="页眉 Char"/>
    <w:link w:val="744"/>
    <w:uiPriority w:val="99"/>
    <w:qFormat/>
    <w:rPr>
      <w:sz w:val="18"/>
      <w:szCs w:val="18"/>
    </w:rPr>
  </w:style>
  <w:style w:type="character" w:styleId="985" w:customStyle="1">
    <w:name w:val="NormalCharacter11"/>
    <w:link w:val="744"/>
    <w:uiPriority w:val="0"/>
    <w:semiHidden/>
    <w:qFormat/>
    <w:rPr>
      <w:rFonts w:ascii="Times New Roman" w:hAnsi="Times New Roman"/>
      <w:sz w:val="21"/>
      <w:szCs w:val="24"/>
      <w:lang w:val="en-US" w:eastAsia="zh-CN" w:bidi="ar-SA"/>
    </w:rPr>
  </w:style>
  <w:style w:type="character" w:styleId="986" w:customStyle="1">
    <w:name w:val="标题 3 Char"/>
    <w:link w:val="744"/>
    <w:uiPriority w:val="9"/>
    <w:qFormat/>
    <w:rPr>
      <w:rFonts w:ascii="Arial" w:hAnsi="Arial" w:eastAsia="宋体" w:cs="Times New Roman"/>
      <w:b/>
      <w:sz w:val="32"/>
      <w:szCs w:val="20"/>
    </w:rPr>
  </w:style>
  <w:style w:type="character" w:styleId="987" w:customStyle="1">
    <w:name w:val="正文首行缩进 2 字符"/>
    <w:link w:val="988"/>
    <w:uiPriority w:val="99"/>
    <w:qFormat/>
    <w:rPr>
      <w:sz w:val="21"/>
      <w:szCs w:val="24"/>
    </w:rPr>
  </w:style>
  <w:style w:type="paragraph" w:styleId="988" w:customStyle="1">
    <w:name w:val="_Style 63"/>
    <w:basedOn w:val="947"/>
    <w:next w:val="744"/>
    <w:link w:val="987"/>
    <w:uiPriority w:val="99"/>
    <w:unhideWhenUsed/>
    <w:qFormat/>
    <w:pPr>
      <w:ind w:firstLine="420"/>
    </w:pPr>
    <w:rPr>
      <w:rFonts w:ascii="Times New Roman" w:hAnsi="Times New Roman"/>
    </w:rPr>
  </w:style>
  <w:style w:type="character" w:styleId="989" w:customStyle="1">
    <w:name w:val="apple-converted-space"/>
    <w:link w:val="744"/>
    <w:uiPriority w:val="0"/>
    <w:qFormat/>
  </w:style>
  <w:style w:type="character" w:styleId="990" w:customStyle="1">
    <w:name w:val="批注框文本 Char"/>
    <w:link w:val="744"/>
    <w:uiPriority w:val="99"/>
    <w:semiHidden/>
    <w:qFormat/>
    <w:rPr>
      <w:sz w:val="18"/>
      <w:szCs w:val="18"/>
    </w:rPr>
  </w:style>
  <w:style w:type="character" w:styleId="991" w:customStyle="1">
    <w:name w:val="正文文本首行缩进 字符"/>
    <w:link w:val="744"/>
    <w:uiPriority w:val="0"/>
    <w:qFormat/>
  </w:style>
  <w:style w:type="character" w:styleId="992" w:customStyle="1">
    <w:name w:val="标题 2 字符"/>
    <w:link w:val="744"/>
    <w:uiPriority w:val="0"/>
    <w:semiHidden/>
    <w:qFormat/>
    <w:rPr>
      <w:rFonts w:ascii="等线 Light" w:hAnsi="等线 Light" w:eastAsia="等线 Light" w:cs="Times New Roman"/>
      <w:b/>
      <w:bCs/>
      <w:sz w:val="32"/>
      <w:szCs w:val="32"/>
    </w:rPr>
  </w:style>
  <w:style w:type="character" w:styleId="993" w:customStyle="1">
    <w:name w:val="文档结构图 字符"/>
    <w:link w:val="744"/>
    <w:uiPriority w:val="0"/>
    <w:qFormat/>
    <w:rPr>
      <w:rFonts w:ascii="Microsoft YaHei UI" w:eastAsia="Microsoft YaHei UI"/>
      <w:sz w:val="18"/>
      <w:szCs w:val="18"/>
    </w:rPr>
  </w:style>
  <w:style w:type="character" w:styleId="994" w:customStyle="1">
    <w:name w:val="页脚 Char"/>
    <w:link w:val="744"/>
    <w:uiPriority w:val="99"/>
    <w:qFormat/>
    <w:rPr>
      <w:sz w:val="18"/>
      <w:szCs w:val="18"/>
    </w:rPr>
  </w:style>
  <w:style w:type="character" w:styleId="995" w:customStyle="1">
    <w:name w:val="font132"/>
    <w:link w:val="744"/>
    <w:uiPriority w:val="0"/>
    <w:qFormat/>
    <w:rPr>
      <w:rFonts w:ascii="Times New Roman" w:hAnsi="Times New Roman" w:cs="Times New Roman"/>
      <w:color w:val="000000"/>
      <w:sz w:val="36"/>
      <w:szCs w:val="36"/>
      <w:u w:val="none"/>
    </w:rPr>
  </w:style>
  <w:style w:type="character" w:styleId="996" w:customStyle="1">
    <w:name w:val="NormalCharacter1"/>
    <w:link w:val="744"/>
    <w:uiPriority w:val="0"/>
    <w:semiHidden/>
    <w:qFormat/>
    <w:rPr>
      <w:sz w:val="21"/>
      <w:szCs w:val="24"/>
      <w:lang w:val="en-US" w:eastAsia="zh-CN" w:bidi="ar-SA"/>
    </w:rPr>
  </w:style>
  <w:style w:type="character" w:styleId="997" w:customStyle="1">
    <w:name w:val="NormalCharacter12"/>
    <w:link w:val="744"/>
    <w:uiPriority w:val="0"/>
    <w:semiHidden/>
    <w:qFormat/>
    <w:rPr>
      <w:sz w:val="28"/>
      <w:lang w:val="en-US" w:eastAsia="zh-CN" w:bidi="ar-SA"/>
    </w:rPr>
  </w:style>
  <w:style w:type="character" w:styleId="998" w:customStyle="1">
    <w:name w:val="标题 4 字符"/>
    <w:link w:val="744"/>
    <w:uiPriority w:val="0"/>
    <w:semiHidden/>
    <w:qFormat/>
    <w:rPr>
      <w:rFonts w:ascii="等线 Light" w:hAnsi="等线 Light" w:eastAsia="等线 Light" w:cs="Times New Roman"/>
      <w:b/>
      <w:bCs/>
      <w:sz w:val="28"/>
      <w:szCs w:val="28"/>
    </w:rPr>
  </w:style>
  <w:style w:type="character" w:styleId="999" w:customStyle="1">
    <w:name w:val="纯文本 Char"/>
    <w:link w:val="744"/>
    <w:uiPriority w:val="99"/>
    <w:semiHidden/>
    <w:qFormat/>
    <w:rPr>
      <w:rFonts w:ascii="宋体" w:hAnsi="Courier New" w:eastAsia="宋体" w:cs="Courier New"/>
      <w:szCs w:val="21"/>
    </w:rPr>
  </w:style>
  <w:style w:type="character" w:styleId="1000" w:customStyle="1">
    <w:name w:val="纯文本 Char1"/>
    <w:link w:val="744"/>
    <w:uiPriority w:val="0"/>
    <w:qFormat/>
    <w:rPr>
      <w:rFonts w:ascii="宋体" w:hAnsi="Courier New" w:eastAsia="宋体" w:cs="Times New Roman"/>
      <w:szCs w:val="20"/>
    </w:rPr>
  </w:style>
  <w:style w:type="character" w:styleId="1001" w:customStyle="1">
    <w:name w:val="font91"/>
    <w:link w:val="744"/>
    <w:uiPriority w:val="0"/>
    <w:qFormat/>
    <w:rPr>
      <w:rFonts w:hint="eastAsia" w:ascii="等线" w:hAnsi="等线" w:eastAsia="等线" w:cs="等线"/>
      <w:color w:val="000000"/>
      <w:sz w:val="36"/>
      <w:szCs w:val="36"/>
      <w:u w:val="none"/>
    </w:rPr>
  </w:style>
  <w:style w:type="paragraph" w:styleId="1002" w:customStyle="1">
    <w:name w:val="索引 511"/>
    <w:basedOn w:val="744"/>
    <w:next w:val="744"/>
    <w:uiPriority w:val="0"/>
    <w:qFormat/>
    <w:pPr>
      <w:ind w:left="798"/>
      <w:jc w:val="left"/>
    </w:pPr>
    <w:rPr>
      <w:rFonts w:ascii="Calibri" w:hAnsi="Calibri"/>
    </w:rPr>
  </w:style>
  <w:style w:type="paragraph" w:styleId="1003" w:customStyle="1">
    <w:name w:val="文本块11"/>
    <w:basedOn w:val="924"/>
    <w:uiPriority w:val="99"/>
    <w:qFormat/>
    <w:pPr>
      <w:ind w:left="420" w:right="33"/>
      <w:jc w:val="left"/>
    </w:pPr>
    <w:rPr>
      <w:szCs w:val="20"/>
    </w:rPr>
  </w:style>
  <w:style w:type="paragraph" w:styleId="1004" w:customStyle="1">
    <w:name w:val="正文文本缩进1"/>
    <w:basedOn w:val="1005"/>
    <w:next w:val="1009"/>
    <w:uiPriority w:val="0"/>
    <w:qFormat/>
    <w:pPr>
      <w:ind w:left="420"/>
      <w:spacing w:after="120"/>
    </w:pPr>
    <w:rPr>
      <w:rFonts w:ascii="Calibri" w:hAnsi="Calibri"/>
    </w:rPr>
  </w:style>
  <w:style w:type="paragraph" w:styleId="1005" w:customStyle="1">
    <w:name w:val="正文1"/>
    <w:basedOn w:val="926"/>
    <w:next w:val="1006"/>
    <w:uiPriority w:val="0"/>
    <w:qFormat/>
    <w:pPr>
      <w:jc w:val="both"/>
      <w:widowControl w:val="off"/>
    </w:pPr>
    <w:rPr>
      <w:rFonts w:ascii="Times New Roman" w:hAnsi="Times New Roman" w:eastAsia="宋体" w:cs="Times New Roman"/>
      <w:sz w:val="21"/>
      <w:szCs w:val="24"/>
      <w:lang w:val="en-US" w:eastAsia="zh-CN" w:bidi="ar-SA"/>
    </w:rPr>
  </w:style>
  <w:style w:type="paragraph" w:styleId="1006" w:customStyle="1">
    <w:name w:val="脚注文本1"/>
    <w:basedOn w:val="1007"/>
    <w:next w:val="1008"/>
    <w:uiPriority w:val="0"/>
    <w:qFormat/>
    <w:pPr>
      <w:jc w:val="left"/>
    </w:pPr>
    <w:rPr>
      <w:rFonts w:ascii="宋体" w:eastAsia="Times New Roman"/>
      <w:sz w:val="18"/>
      <w:szCs w:val="18"/>
    </w:rPr>
  </w:style>
  <w:style w:type="paragraph" w:styleId="1007" w:customStyle="1">
    <w:name w:val="正文1111"/>
    <w:next w:val="10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索引 51"/>
    <w:basedOn w:val="1005"/>
    <w:next w:val="1005"/>
    <w:uiPriority w:val="0"/>
    <w:qFormat/>
    <w:pPr>
      <w:ind w:left="798"/>
      <w:jc w:val="left"/>
    </w:pPr>
    <w:rPr>
      <w:rFonts w:ascii="Calibri" w:hAnsi="Calibri"/>
    </w:rPr>
  </w:style>
  <w:style w:type="paragraph" w:styleId="1009" w:customStyle="1">
    <w:name w:val="寄信人地址1"/>
    <w:basedOn w:val="926"/>
    <w:uiPriority w:val="0"/>
    <w:qFormat/>
    <w:rPr>
      <w:rFonts w:ascii="Arial" w:hAnsi="Arial"/>
    </w:rPr>
  </w:style>
  <w:style w:type="paragraph" w:styleId="1010" w:customStyle="1">
    <w:name w:val="正文111"/>
    <w:next w:val="1011"/>
    <w:uiPriority w:val="0"/>
    <w:qFormat/>
    <w:pPr>
      <w:jc w:val="both"/>
      <w:widowControl w:val="off"/>
    </w:pPr>
    <w:rPr>
      <w:rFonts w:hint="default" w:ascii="等线" w:hAnsi="等线" w:eastAsia="等线" w:cs="宋体"/>
      <w:sz w:val="21"/>
      <w:szCs w:val="24"/>
      <w:lang w:val="en-US" w:eastAsia="zh-CN" w:bidi="ar-SA"/>
    </w:rPr>
  </w:style>
  <w:style w:type="paragraph" w:styleId="1011" w:customStyle="1">
    <w:name w:val="文本块1"/>
    <w:basedOn w:val="926"/>
    <w:next w:val="923"/>
    <w:uiPriority w:val="0"/>
    <w:qFormat/>
    <w:pPr>
      <w:ind w:left="1440" w:right="1440"/>
      <w:spacing w:after="120"/>
    </w:pPr>
  </w:style>
  <w:style w:type="paragraph" w:styleId="1012" w:customStyle="1">
    <w:name w:val="正文文本1"/>
    <w:basedOn w:val="926"/>
    <w:next w:val="926"/>
    <w:uiPriority w:val="0"/>
    <w:qFormat/>
    <w:pPr>
      <w:spacing w:after="120"/>
    </w:pPr>
    <w:rPr>
      <w:rFonts w:ascii="Calibri" w:hAnsi="Calibri"/>
    </w:rPr>
  </w:style>
  <w:style w:type="paragraph" w:styleId="1013" w:customStyle="1">
    <w:name w:val="目录 11"/>
    <w:basedOn w:val="926"/>
    <w:next w:val="1010"/>
    <w:uiPriority w:val="0"/>
    <w:qFormat/>
  </w:style>
  <w:style w:type="paragraph" w:styleId="1014" w:customStyle="1">
    <w:name w:val="目录 111"/>
    <w:basedOn w:val="1010"/>
    <w:next w:val="744"/>
    <w:uiPriority w:val="0"/>
    <w:qFormat/>
  </w:style>
  <w:style w:type="paragraph" w:styleId="1015" w:customStyle="1">
    <w:name w:val="UserStyle_0"/>
    <w:uiPriority w:val="0"/>
    <w:qFormat/>
    <w:rPr>
      <w:rFonts w:hint="default" w:ascii="等线" w:hAnsi="等线" w:eastAsia="等线" w:cs="宋体"/>
      <w:color w:val="000000"/>
      <w:sz w:val="24"/>
      <w:szCs w:val="24"/>
      <w:lang w:val="en-US" w:eastAsia="zh-CN" w:bidi="ar-SA"/>
    </w:rPr>
  </w:style>
  <w:style w:type="paragraph" w:styleId="1016" w:customStyle="1">
    <w:name w:val="列表段落1"/>
    <w:basedOn w:val="744"/>
    <w:uiPriority w:val="34"/>
    <w:qFormat/>
    <w:pPr>
      <w:ind w:firstLine="420"/>
    </w:pPr>
  </w:style>
  <w:style w:type="paragraph" w:styleId="1017" w:customStyle="1">
    <w:name w:val="标题 41"/>
    <w:basedOn w:val="1005"/>
    <w:next w:val="926"/>
    <w:uiPriority w:val="0"/>
    <w:qFormat/>
    <w:pPr>
      <w:keepLines/>
      <w:keepNext/>
      <w:spacing w:before="280" w:after="290" w:line="376" w:lineRule="auto"/>
      <w:outlineLvl w:val="3"/>
    </w:pPr>
    <w:rPr>
      <w:rFonts w:ascii="Cambria" w:hAnsi="Cambria"/>
      <w:b/>
      <w:bCs/>
      <w:sz w:val="28"/>
      <w:szCs w:val="28"/>
    </w:rPr>
  </w:style>
  <w:style w:type="paragraph" w:styleId="1018" w:customStyle="1">
    <w:name w:val="Heading21"/>
    <w:basedOn w:val="744"/>
    <w:next w:val="744"/>
    <w:uiPriority w:val="0"/>
    <w:qFormat/>
    <w:pPr>
      <w:jc w:val="left"/>
      <w:keepLines/>
      <w:keepNext/>
      <w:spacing w:before="260" w:after="260" w:line="416" w:lineRule="auto"/>
    </w:pPr>
    <w:rPr>
      <w:rFonts w:ascii="Calibri Light" w:hAnsi="Calibri Light"/>
      <w:b/>
      <w:bCs/>
      <w:sz w:val="24"/>
      <w:szCs w:val="32"/>
    </w:rPr>
  </w:style>
  <w:style w:type="paragraph" w:styleId="1019" w:customStyle="1">
    <w:name w:val="_Style 2"/>
    <w:basedOn w:val="744"/>
    <w:uiPriority w:val="34"/>
    <w:qFormat/>
    <w:pPr>
      <w:ind w:firstLine="420"/>
    </w:pPr>
    <w:rPr>
      <w:szCs w:val="24"/>
    </w:rPr>
  </w:style>
  <w:style w:type="paragraph" w:styleId="1020" w:customStyle="1">
    <w:name w:val="正文（缩进）"/>
    <w:basedOn w:val="744"/>
    <w:uiPriority w:val="0"/>
    <w:unhideWhenUsed/>
    <w:qFormat/>
    <w:rPr>
      <w:rFonts w:hint="eastAsia" w:ascii="宋体" w:hAnsi="Times New Roman"/>
      <w:szCs w:val="21"/>
    </w:rPr>
  </w:style>
  <w:style w:type="paragraph" w:styleId="1021">
    <w:name w:val="List Paragraph"/>
    <w:basedOn w:val="744"/>
    <w:uiPriority w:val="99"/>
    <w:qFormat/>
    <w:pPr>
      <w:ind w:firstLine="420"/>
    </w:pPr>
  </w:style>
  <w:style w:type="paragraph" w:styleId="1022" w:customStyle="1">
    <w:name w:val="Other|1"/>
    <w:basedOn w:val="744"/>
    <w:uiPriority w:val="0"/>
    <w:qFormat/>
    <w:pPr>
      <w:ind w:firstLine="400"/>
      <w:spacing w:line="418" w:lineRule="auto"/>
    </w:pPr>
    <w:rPr>
      <w:rFonts w:ascii="宋体" w:hAnsi="宋体" w:cs="宋体"/>
      <w:sz w:val="30"/>
      <w:szCs w:val="30"/>
      <w:lang w:val="zh-TW" w:eastAsia="zh-TW" w:bidi="zh-TW"/>
    </w:rPr>
  </w:style>
  <w:style w:type="paragraph" w:styleId="1023" w:customStyle="1">
    <w:name w:val="段"/>
    <w:basedOn w:val="744"/>
    <w:next w:val="744"/>
    <w:uiPriority w:val="0"/>
    <w:qFormat/>
    <w:pPr>
      <w:ind w:firstLine="200"/>
      <w:widowControl/>
    </w:pPr>
    <w:rPr>
      <w:rFonts w:hint="eastAsia" w:ascii="宋体"/>
      <w:szCs w:val="20"/>
    </w:rPr>
  </w:style>
  <w:style w:type="paragraph" w:styleId="1024" w:customStyle="1">
    <w:name w:val="正文缩进1"/>
    <w:basedOn w:val="744"/>
    <w:uiPriority w:val="0"/>
    <w:qFormat/>
    <w:pPr>
      <w:ind w:firstLine="420"/>
    </w:pPr>
  </w:style>
  <w:style w:type="paragraph" w:styleId="1025" w:customStyle="1">
    <w:name w:val="Table Text"/>
    <w:basedOn w:val="744"/>
    <w:uiPriority w:val="0"/>
    <w:semiHidden/>
    <w:qFormat/>
    <w:rPr>
      <w:rFonts w:ascii="宋体" w:hAnsi="宋体" w:eastAsia="宋体" w:cs="宋体"/>
      <w:sz w:val="32"/>
      <w:szCs w:val="32"/>
      <w:lang w:val="en-US" w:eastAsia="en-US" w:bidi="ar-SA"/>
    </w:rPr>
  </w:style>
  <w:style w:type="paragraph" w:styleId="1026" w:customStyle="1">
    <w:name w:val="179"/>
    <w:basedOn w:val="744"/>
    <w:uiPriority w:val="0"/>
    <w:qFormat/>
    <w:pPr>
      <w:ind w:firstLine="420"/>
      <w:jc w:val="left"/>
      <w:widowControl/>
    </w:pPr>
    <w:rPr>
      <w:rFonts w:ascii="宋体" w:hAnsi="宋体"/>
      <w:sz w:val="24"/>
    </w:rPr>
  </w:style>
  <w:style w:type="paragraph" w:styleId="102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28" w:customStyle="1">
    <w:name w:val="文本块111"/>
    <w:basedOn w:val="744"/>
    <w:next w:val="744"/>
    <w:uiPriority w:val="99"/>
    <w:qFormat/>
    <w:pPr>
      <w:ind w:left="420" w:right="33"/>
      <w:jc w:val="left"/>
    </w:pPr>
    <w:rPr>
      <w:sz w:val="24"/>
      <w:szCs w:val="20"/>
    </w:rPr>
  </w:style>
  <w:style w:type="paragraph" w:styleId="1029" w:customStyle="1">
    <w:name w:val="纯文本1"/>
    <w:basedOn w:val="744"/>
    <w:uiPriority w:val="0"/>
    <w:qFormat/>
    <w:rPr>
      <w:rFonts w:ascii="宋体" w:hAnsi="Courier New"/>
      <w:szCs w:val="20"/>
    </w:rPr>
  </w:style>
  <w:style w:type="paragraph" w:styleId="1030"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等线" w:eastAsia="黑体" w:cs="宋体"/>
      <w:sz w:val="21"/>
      <w:szCs w:val="22"/>
      <w:lang w:val="en-US" w:eastAsia="zh-CN" w:bidi="ar-SA"/>
    </w:rPr>
  </w:style>
  <w:style w:type="paragraph" w:styleId="1031" w:customStyle="1">
    <w:name w:val="BodyTextIndent1"/>
    <w:basedOn w:val="744"/>
    <w:uiPriority w:val="0"/>
    <w:qFormat/>
    <w:pPr>
      <w:ind w:left="420"/>
      <w:spacing w:after="120"/>
    </w:pPr>
    <w:rPr>
      <w:sz w:val="28"/>
      <w:szCs w:val="20"/>
    </w:rPr>
  </w:style>
  <w:style w:type="paragraph" w:styleId="1032" w:customStyle="1">
    <w:name w:val="_Style 8"/>
    <w:basedOn w:val="744"/>
    <w:next w:val="1021"/>
    <w:uiPriority w:val="0"/>
    <w:qFormat/>
    <w:pPr>
      <w:ind w:firstLine="420"/>
    </w:pPr>
    <w:rPr>
      <w:rFonts w:ascii="Calibri" w:hAnsi="Calibri" w:eastAsia="宋体" w:cs="Times New Roman"/>
    </w:rPr>
  </w:style>
  <w:style w:type="paragraph" w:styleId="1033" w:customStyle="1">
    <w:name w:val="TOC Heading"/>
    <w:basedOn w:val="920"/>
    <w:next w:val="744"/>
    <w:uiPriority w:val="39"/>
    <w:qFormat/>
    <w:pPr>
      <w:jc w:val="left"/>
      <w:spacing w:before="480" w:line="276" w:lineRule="auto"/>
      <w:widowControl/>
      <w:outlineLvl w:val="9"/>
    </w:pPr>
    <w:rPr>
      <w:rFonts w:ascii="Cambria" w:hAnsi="Cambria" w:eastAsia="宋体"/>
      <w:color w:val="365f91"/>
      <w:sz w:val="28"/>
      <w:szCs w:val="28"/>
    </w:rPr>
  </w:style>
  <w:style w:type="paragraph" w:styleId="1034" w:customStyle="1">
    <w:name w:val="列出段落1"/>
    <w:basedOn w:val="744"/>
    <w:uiPriority w:val="34"/>
    <w:qFormat/>
    <w:pPr>
      <w:ind w:firstLine="420"/>
    </w:pPr>
    <w:rPr>
      <w:rFonts w:ascii="Calibri" w:hAnsi="Calibri"/>
    </w:rPr>
  </w:style>
  <w:style w:type="paragraph" w:styleId="1035" w:customStyle="1">
    <w:name w:val="正文文本缩进11"/>
    <w:basedOn w:val="1010"/>
    <w:uiPriority w:val="0"/>
    <w:qFormat/>
    <w:pPr>
      <w:ind w:firstLine="425"/>
      <w:spacing w:line="360" w:lineRule="auto"/>
    </w:pPr>
  </w:style>
  <w:style w:type="paragraph" w:styleId="1036" w:customStyle="1">
    <w:name w:val="Table Paragraph"/>
    <w:basedOn w:val="744"/>
    <w:uiPriority w:val="1"/>
    <w:qFormat/>
  </w:style>
  <w:style w:type="paragraph" w:styleId="1037" w:customStyle="1">
    <w:name w:val="Default"/>
    <w:next w:val="966"/>
    <w:uiPriority w:val="0"/>
    <w:qFormat/>
    <w:pPr>
      <w:widowControl w:val="off"/>
    </w:pPr>
    <w:rPr>
      <w:rFonts w:hint="default" w:ascii="宋体" w:hAnsi="等线" w:eastAsia="等线" w:cs="宋体"/>
      <w:color w:val="000000"/>
      <w:sz w:val="24"/>
      <w:szCs w:val="24"/>
      <w:lang w:val="en-US" w:eastAsia="zh-CN" w:bidi="ar-SA"/>
    </w:rPr>
  </w:style>
  <w:style w:type="paragraph" w:styleId="1038" w:customStyle="1">
    <w:name w:val="正文首行缩进 21"/>
    <w:basedOn w:val="1004"/>
    <w:uiPriority w:val="0"/>
    <w:qFormat/>
    <w:pPr>
      <w:ind w:firstLine="420"/>
    </w:pPr>
  </w:style>
  <w:style w:type="paragraph" w:styleId="1039" w:customStyle="1">
    <w:name w:val="one-p"/>
    <w:basedOn w:val="744"/>
    <w:uiPriority w:val="0"/>
    <w:qFormat/>
    <w:pPr>
      <w:jc w:val="left"/>
      <w:spacing w:before="100" w:beforeAutospacing="1" w:after="100" w:afterAutospacing="1"/>
      <w:widowControl/>
    </w:pPr>
    <w:rPr>
      <w:rFonts w:ascii="宋体" w:hAnsi="宋体" w:cs="宋体"/>
      <w:sz w:val="24"/>
    </w:rPr>
  </w:style>
  <w:style w:type="paragraph" w:styleId="1040" w:customStyle="1">
    <w:name w:val="首行缩进"/>
    <w:basedOn w:val="744"/>
    <w:uiPriority w:val="0"/>
    <w:qFormat/>
    <w:pPr>
      <w:ind w:firstLine="480"/>
    </w:pPr>
    <w:rPr>
      <w:szCs w:val="20"/>
      <w:lang w:val="zh-CN"/>
    </w:rPr>
  </w:style>
  <w:style w:type="paragraph" w:styleId="1041" w:customStyle="1">
    <w:name w:val="UserStyle_1"/>
    <w:basedOn w:val="744"/>
    <w:uiPriority w:val="0"/>
    <w:qFormat/>
    <w:pPr>
      <w:ind w:left="-6" w:hanging="99"/>
      <w:jc w:val="left"/>
    </w:pPr>
    <w:rPr>
      <w:rFonts w:ascii="宋体"/>
      <w:b/>
    </w:rPr>
  </w:style>
  <w:style w:type="paragraph" w:styleId="1042">
    <w:name w:val="No Spacing"/>
    <w:uiPriority w:val="1"/>
    <w:qFormat/>
    <w:rPr>
      <w:rFonts w:hint="default" w:ascii="等线" w:hAnsi="等线" w:eastAsia="等线" w:cs="宋体"/>
      <w:lang w:val="en-US" w:eastAsia="zh-CN" w:bidi="ar-SA"/>
    </w:rPr>
  </w:style>
  <w:style w:type="paragraph" w:styleId="1043" w:customStyle="1">
    <w:name w:val="p0"/>
    <w:basedOn w:val="744"/>
    <w:uiPriority w:val="0"/>
    <w:qFormat/>
    <w:pPr>
      <w:widowControl/>
    </w:pPr>
    <w:rPr>
      <w:szCs w:val="21"/>
    </w:rPr>
  </w:style>
  <w:style w:type="paragraph" w:styleId="1044" w:customStyle="1">
    <w:name w:val="脚注文本11"/>
    <w:basedOn w:val="744"/>
    <w:next w:val="1002"/>
    <w:uiPriority w:val="0"/>
    <w:unhideWhenUsed/>
    <w:qFormat/>
    <w:pPr>
      <w:spacing w:after="40"/>
    </w:pPr>
    <w:rPr>
      <w:sz w:val="18"/>
    </w:rPr>
  </w:style>
  <w:style w:type="paragraph" w:styleId="1045" w:customStyle="1">
    <w:name w:val="一级条标题"/>
    <w:basedOn w:val="1030"/>
    <w:next w:val="1023"/>
    <w:uiPriority w:val="0"/>
    <w:qFormat/>
    <w:pPr>
      <w:ind w:left="907" w:hanging="907"/>
      <w:spacing w:before="0" w:after="0"/>
      <w:tabs>
        <w:tab w:val="left" w:pos="907" w:leader="none"/>
      </w:tabs>
      <w:outlineLvl w:val="2"/>
    </w:pPr>
    <w:rPr>
      <w:rFonts w:hAnsi="宋体"/>
      <w:sz w:val="20"/>
      <w:szCs w:val="20"/>
    </w:rPr>
  </w:style>
  <w:style w:type="paragraph" w:styleId="1046" w:customStyle="1">
    <w:name w:val="_Style 15"/>
    <w:basedOn w:val="744"/>
    <w:next w:val="1021"/>
    <w:uiPriority w:val="34"/>
    <w:qFormat/>
    <w:pPr>
      <w:ind w:firstLine="420"/>
    </w:pPr>
    <w:rPr>
      <w:rFonts w:ascii="Calibri" w:hAnsi="Calibri"/>
      <w:szCs w:val="22"/>
    </w:rPr>
  </w:style>
  <w:style w:type="paragraph" w:styleId="1047" w:customStyle="1">
    <w:name w:val="投标文件正文"/>
    <w:basedOn w:val="744"/>
    <w:uiPriority w:val="0"/>
    <w:qFormat/>
    <w:pPr>
      <w:ind w:firstLine="200"/>
      <w:spacing w:before="40" w:after="40" w:line="400" w:lineRule="exact"/>
    </w:pPr>
    <w:rPr>
      <w:sz w:val="24"/>
    </w:rPr>
  </w:style>
  <w:style w:type="table" w:styleId="1048" w:customStyle="1">
    <w:name w:val="网格型11"/>
    <w:basedOn w:val="1049"/>
    <w:uiPriority w:val="59"/>
    <w:qFormat/>
    <w:pPr>
      <w:jc w:val="both"/>
      <w:widowControl w:val="off"/>
    </w:pPr>
    <w:tblPr/>
  </w:style>
  <w:style w:type="table" w:styleId="1049" w:customStyle="1">
    <w:name w:val="普通表格1"/>
    <w:uiPriority w:val="0"/>
    <w:semiHidden/>
    <w:qFormat/>
    <w:rPr>
      <w:lang w:val="en-US" w:eastAsia="zh-CN" w:bidi="ar-SA"/>
    </w:rPr>
    <w:tblPr/>
  </w:style>
  <w:style w:type="table" w:styleId="1050" w:customStyle="1">
    <w:name w:val="Table Normal1"/>
    <w:uiPriority w:val="0"/>
    <w:unhideWhenUsed/>
    <w:qFormat/>
    <w:rPr>
      <w:lang w:val="en-US" w:eastAsia="zh-CN" w:bidi="ar-SA"/>
    </w:rPr>
    <w:tblPr/>
  </w:style>
  <w:style w:type="table" w:styleId="1051" w:customStyle="1">
    <w:name w:val="网格型1"/>
    <w:basedOn w:val="932"/>
    <w:uiPriority w:val="59"/>
    <w:qFormat/>
    <w:pPr>
      <w:jc w:val="both"/>
      <w:widowControl w:val="off"/>
    </w:pPr>
    <w:tbl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山东方圆工程咨询有限公司徐州分公司</cp:lastModifiedBy>
  <cp:revision>8</cp:revision>
  <dcterms:created xsi:type="dcterms:W3CDTF">2019-03-28T00:21:00Z</dcterms:created>
  <dcterms:modified xsi:type="dcterms:W3CDTF">2026-08-24T09:16:45Z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DF1F381FD45E46D290D3F232C04AD136_13</vt:lpwstr>
  </property>
  <property fmtid="{D5CDD505-2E9C-101B-9397-08002B2CF9AE}" pid="4" name="KSOTemplateDocerSaveRecord">
    <vt:lpwstr>eyJoZGlkIjoiMWM4YzgyOWZjN2FkNjlkOWE3MDg2MWQ2NzZlODBiM2MiLCJ1c2VySWQiOiIxMDIwODY3ODE4In0=</vt:lpwstr>
  </property>
</Properties>
</file>