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289D4">
      <w:pPr>
        <w:pageBreakBefore w:val="0"/>
        <w:kinsoku/>
        <w:wordWrap/>
        <w:overflowPunct/>
        <w:topLinePunct w:val="0"/>
        <w:autoSpaceDE/>
        <w:autoSpaceDN/>
        <w:bidi w:val="0"/>
        <w:adjustRightInd/>
        <w:snapToGrid/>
        <w:spacing w:beforeAutospacing="0" w:afterAutospacing="0"/>
        <w:jc w:val="center"/>
        <w:rPr>
          <w:rFonts w:ascii="宋体" w:hAnsi="宋体" w:cs="宋体"/>
          <w:b/>
          <w:color w:val="auto"/>
          <w:spacing w:val="76"/>
          <w:sz w:val="24"/>
          <w:highlight w:val="none"/>
        </w:rPr>
      </w:pPr>
    </w:p>
    <w:p w14:paraId="76159067">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0" w:beforeAutospacing="0" w:after="0" w:afterAutospacing="0" w:line="288" w:lineRule="auto"/>
        <w:ind w:left="0" w:right="0" w:firstLine="560"/>
        <w:textAlignment w:val="auto"/>
        <w:outlineLvl w:val="9"/>
        <w:rPr>
          <w:rFonts w:hint="eastAsia" w:ascii="宋体" w:hAnsi="宋体" w:eastAsia="宋体" w:cs="宋体"/>
          <w:color w:val="000000"/>
          <w:sz w:val="28"/>
          <w:szCs w:val="28"/>
          <w:highlight w:val="none"/>
        </w:rPr>
        <w:sectPr>
          <w:headerReference r:id="rId3" w:type="default"/>
          <w:footerReference r:id="rId4" w:type="default"/>
          <w:pgSz w:w="11907" w:h="16839"/>
          <w:pgMar w:top="1118" w:right="1331" w:bottom="1153" w:left="1445" w:header="877" w:footer="993" w:gutter="0"/>
          <w:cols w:space="1701" w:num="1"/>
          <w:docGrid w:linePitch="360" w:charSpace="0"/>
        </w:sectPr>
      </w:pPr>
      <w:bookmarkStart w:id="0" w:name="_Toc17335"/>
      <w:bookmarkStart w:id="1" w:name="_Toc522790136"/>
      <w:r>
        <w:rPr>
          <w:rFonts w:hint="eastAsia" w:ascii="宋体" w:hAnsi="宋体" w:eastAsia="宋体" w:cs="宋体"/>
          <w:color w:val="000000"/>
          <w:sz w:val="28"/>
          <w:szCs w:val="28"/>
          <w:highlight w:val="none"/>
        </w:rPr>
        <w:t>如有建议或意见，请以书面形式并加盖公章、注明联系人、联系方式，于202</w:t>
      </w:r>
      <w:r>
        <w:rPr>
          <w:rFonts w:hint="eastAsia" w:ascii="宋体" w:hAnsi="宋体" w:eastAsia="宋体" w:cs="宋体"/>
          <w:color w:val="000000"/>
          <w:sz w:val="28"/>
          <w:szCs w:val="28"/>
          <w:highlight w:val="none"/>
          <w:lang w:val="en-US" w:eastAsia="zh-CN"/>
        </w:rPr>
        <w:t>6</w:t>
      </w:r>
      <w:r>
        <w:rPr>
          <w:rFonts w:hint="eastAsia" w:ascii="宋体" w:hAnsi="宋体" w:eastAsia="宋体" w:cs="宋体"/>
          <w:color w:val="000000"/>
          <w:sz w:val="28"/>
          <w:szCs w:val="28"/>
          <w:highlight w:val="none"/>
        </w:rPr>
        <w:t>年</w:t>
      </w:r>
      <w:r>
        <w:rPr>
          <w:rFonts w:hint="eastAsia" w:eastAsia="宋体" w:cs="宋体"/>
          <w:color w:val="000000"/>
          <w:sz w:val="28"/>
          <w:szCs w:val="28"/>
          <w:highlight w:val="none"/>
          <w:lang w:val="en-US" w:eastAsia="zh-CN"/>
        </w:rPr>
        <w:t>8</w:t>
      </w:r>
      <w:r>
        <w:rPr>
          <w:rFonts w:hint="eastAsia" w:ascii="宋体" w:hAnsi="宋体" w:eastAsia="宋体" w:cs="宋体"/>
          <w:color w:val="000000"/>
          <w:sz w:val="28"/>
          <w:szCs w:val="28"/>
          <w:highlight w:val="none"/>
        </w:rPr>
        <w:t>月</w:t>
      </w:r>
      <w:r>
        <w:rPr>
          <w:rFonts w:hint="eastAsia" w:eastAsia="宋体" w:cs="宋体"/>
          <w:color w:val="000000"/>
          <w:sz w:val="28"/>
          <w:szCs w:val="28"/>
          <w:highlight w:val="none"/>
          <w:lang w:val="en-US" w:eastAsia="zh-CN"/>
        </w:rPr>
        <w:t>2</w:t>
      </w:r>
      <w:r>
        <w:rPr>
          <w:rFonts w:hint="eastAsia" w:cs="宋体"/>
          <w:color w:val="000000"/>
          <w:sz w:val="28"/>
          <w:szCs w:val="28"/>
          <w:highlight w:val="none"/>
          <w:lang w:val="en-US" w:eastAsia="zh-CN"/>
        </w:rPr>
        <w:t>8</w:t>
      </w:r>
      <w:bookmarkStart w:id="5" w:name="_GoBack"/>
      <w:bookmarkEnd w:id="5"/>
      <w:r>
        <w:rPr>
          <w:rFonts w:hint="eastAsia" w:ascii="宋体" w:hAnsi="宋体" w:eastAsia="宋体" w:cs="宋体"/>
          <w:color w:val="000000"/>
          <w:sz w:val="28"/>
          <w:szCs w:val="28"/>
          <w:highlight w:val="none"/>
        </w:rPr>
        <w:t>日17:00之前送至我单位，逾期不受理（如邮寄，202</w:t>
      </w:r>
      <w:r>
        <w:rPr>
          <w:rFonts w:hint="eastAsia" w:ascii="宋体" w:hAnsi="宋体" w:eastAsia="宋体" w:cs="宋体"/>
          <w:color w:val="000000"/>
          <w:sz w:val="28"/>
          <w:szCs w:val="28"/>
          <w:highlight w:val="none"/>
          <w:lang w:val="en-US" w:eastAsia="zh-CN"/>
        </w:rPr>
        <w:t>6</w:t>
      </w:r>
      <w:r>
        <w:rPr>
          <w:rFonts w:hint="eastAsia" w:ascii="宋体" w:hAnsi="宋体" w:eastAsia="宋体" w:cs="宋体"/>
          <w:color w:val="000000"/>
          <w:sz w:val="28"/>
          <w:szCs w:val="28"/>
          <w:highlight w:val="none"/>
        </w:rPr>
        <w:t>年</w:t>
      </w:r>
      <w:r>
        <w:rPr>
          <w:rFonts w:hint="eastAsia" w:eastAsia="宋体" w:cs="宋体"/>
          <w:color w:val="000000"/>
          <w:sz w:val="28"/>
          <w:szCs w:val="28"/>
          <w:highlight w:val="none"/>
          <w:lang w:val="en-US" w:eastAsia="zh-CN"/>
        </w:rPr>
        <w:t>8</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lang w:val="en-US" w:eastAsia="zh-CN"/>
        </w:rPr>
        <w:t>2</w:t>
      </w:r>
      <w:r>
        <w:rPr>
          <w:rFonts w:hint="eastAsia" w:cs="宋体"/>
          <w:color w:val="000000"/>
          <w:sz w:val="28"/>
          <w:szCs w:val="28"/>
          <w:highlight w:val="none"/>
          <w:lang w:val="en-US" w:eastAsia="zh-CN"/>
        </w:rPr>
        <w:t>8</w:t>
      </w:r>
      <w:r>
        <w:rPr>
          <w:rFonts w:hint="eastAsia" w:ascii="宋体" w:hAnsi="宋体" w:eastAsia="宋体" w:cs="宋体"/>
          <w:color w:val="000000"/>
          <w:sz w:val="28"/>
          <w:szCs w:val="28"/>
          <w:highlight w:val="none"/>
        </w:rPr>
        <w:t>日17：00之后到达本单位的邮件将不再受理）。</w:t>
      </w:r>
    </w:p>
    <w:p w14:paraId="22277CCA">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0" w:beforeAutospacing="0" w:after="0" w:afterAutospacing="0" w:line="288" w:lineRule="auto"/>
        <w:ind w:left="0" w:right="0" w:firstLine="560"/>
        <w:textAlignment w:val="auto"/>
        <w:outlineLvl w:val="9"/>
        <w:rPr>
          <w:rFonts w:hint="eastAsia" w:ascii="宋体" w:hAnsi="宋体" w:eastAsia="宋体" w:cs="宋体"/>
          <w:color w:val="000000"/>
          <w:sz w:val="28"/>
          <w:szCs w:val="28"/>
          <w:highlight w:val="none"/>
        </w:rPr>
      </w:pPr>
    </w:p>
    <w:p w14:paraId="02E8B02C">
      <w:pPr>
        <w:pageBreakBefore w:val="0"/>
        <w:kinsoku/>
        <w:wordWrap/>
        <w:overflowPunct/>
        <w:topLinePunct w:val="0"/>
        <w:autoSpaceDE/>
        <w:autoSpaceDN/>
        <w:bidi w:val="0"/>
        <w:adjustRightInd/>
        <w:snapToGrid/>
        <w:spacing w:beforeAutospacing="0" w:afterAutospacing="0" w:line="360" w:lineRule="auto"/>
        <w:ind w:left="3103"/>
        <w:rPr>
          <w:rFonts w:hint="eastAsia" w:ascii="宋体" w:hAnsi="宋体" w:eastAsia="宋体" w:cs="宋体"/>
          <w:color w:val="auto"/>
          <w:sz w:val="36"/>
          <w:szCs w:val="36"/>
          <w:highlight w:val="none"/>
        </w:rPr>
      </w:pPr>
    </w:p>
    <w:p w14:paraId="64E13C73">
      <w:pPr>
        <w:pageBreakBefore w:val="0"/>
        <w:kinsoku/>
        <w:wordWrap/>
        <w:overflowPunct/>
        <w:topLinePunct w:val="0"/>
        <w:autoSpaceDE/>
        <w:autoSpaceDN/>
        <w:bidi w:val="0"/>
        <w:adjustRightInd/>
        <w:snapToGrid/>
        <w:spacing w:beforeAutospacing="0" w:afterAutospacing="0" w:line="360" w:lineRule="auto"/>
        <w:ind w:left="3103"/>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第六章  采购需求</w:t>
      </w:r>
    </w:p>
    <w:p w14:paraId="1660F635">
      <w:pPr>
        <w:pageBreakBefore w:val="0"/>
        <w:kinsoku/>
        <w:wordWrap/>
        <w:overflowPunct/>
        <w:topLinePunct w:val="0"/>
        <w:autoSpaceDE/>
        <w:autoSpaceDN/>
        <w:bidi w:val="0"/>
        <w:adjustRightInd/>
        <w:snapToGrid/>
        <w:spacing w:beforeAutospacing="0" w:afterAutospacing="0" w:line="360" w:lineRule="auto"/>
        <w:ind w:left="42"/>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一、项目名称</w:t>
      </w:r>
    </w:p>
    <w:p w14:paraId="4FD2FEA6">
      <w:pPr>
        <w:pageBreakBefore w:val="0"/>
        <w:kinsoku/>
        <w:wordWrap/>
        <w:overflowPunct/>
        <w:topLinePunct w:val="0"/>
        <w:autoSpaceDE/>
        <w:autoSpaceDN/>
        <w:bidi w:val="0"/>
        <w:adjustRightInd/>
        <w:snapToGrid/>
        <w:spacing w:beforeAutospacing="0" w:afterAutospacing="0" w:line="360" w:lineRule="auto"/>
        <w:ind w:left="5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2026年度徐州高新区市政排水设施市场化养护项目</w:t>
      </w:r>
      <w:r>
        <w:rPr>
          <w:rFonts w:hint="eastAsia" w:ascii="宋体" w:hAnsi="宋体" w:eastAsia="宋体" w:cs="宋体"/>
          <w:color w:val="auto"/>
          <w:sz w:val="24"/>
          <w:szCs w:val="24"/>
          <w:highlight w:val="none"/>
        </w:rPr>
        <w:t>。</w:t>
      </w:r>
    </w:p>
    <w:p w14:paraId="2C13B385">
      <w:pPr>
        <w:pageBreakBefore w:val="0"/>
        <w:kinsoku/>
        <w:wordWrap/>
        <w:overflowPunct/>
        <w:topLinePunct w:val="0"/>
        <w:autoSpaceDE/>
        <w:autoSpaceDN/>
        <w:bidi w:val="0"/>
        <w:adjustRightInd/>
        <w:snapToGrid/>
        <w:spacing w:beforeAutospacing="0" w:afterAutospacing="0" w:line="360" w:lineRule="auto"/>
        <w:ind w:left="42"/>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二、采购项目预算金额</w:t>
      </w:r>
    </w:p>
    <w:p w14:paraId="7C17F7B0">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1、本项目总体预算金额为</w:t>
      </w:r>
      <w:r>
        <w:rPr>
          <w:rFonts w:hint="eastAsia" w:ascii="宋体" w:hAnsi="宋体" w:cs="宋体"/>
          <w:color w:val="auto"/>
          <w:sz w:val="24"/>
          <w:szCs w:val="24"/>
          <w:highlight w:val="none"/>
          <w:lang w:val="en-US" w:eastAsia="zh-CN"/>
        </w:rPr>
        <w:t xml:space="preserve"> 210.722135</w:t>
      </w:r>
      <w:r>
        <w:rPr>
          <w:rFonts w:hint="eastAsia" w:ascii="宋体" w:hAnsi="宋体" w:cs="宋体"/>
          <w:color w:val="auto"/>
          <w:sz w:val="24"/>
          <w:szCs w:val="24"/>
          <w:highlight w:val="none"/>
          <w:lang w:eastAsia="zh-CN"/>
        </w:rPr>
        <w:t>万元人民币(</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年整体项目服务费用金额)。</w:t>
      </w:r>
    </w:p>
    <w:p w14:paraId="2937B383">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采购包一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2026年度徐州高新区市政排水设施市场化养护项目</w:t>
      </w:r>
      <w:r>
        <w:rPr>
          <w:rFonts w:hint="eastAsia" w:ascii="宋体" w:hAnsi="宋体" w:eastAsia="宋体" w:cs="宋体"/>
          <w:color w:val="auto"/>
          <w:sz w:val="24"/>
          <w:szCs w:val="24"/>
          <w:highlight w:val="none"/>
        </w:rPr>
        <w:t>-京沪铁路以西(具体范围详见“徐州高新区道路排水设施清单”附件1)，本</w:t>
      </w:r>
      <w:r>
        <w:rPr>
          <w:rFonts w:hint="eastAsia" w:ascii="宋体" w:hAnsi="宋体" w:cs="宋体"/>
          <w:color w:val="auto"/>
          <w:sz w:val="24"/>
          <w:szCs w:val="24"/>
          <w:highlight w:val="none"/>
          <w:lang w:eastAsia="zh-CN"/>
        </w:rPr>
        <w:t>采购包</w:t>
      </w:r>
      <w:r>
        <w:rPr>
          <w:rFonts w:hint="eastAsia" w:ascii="宋体" w:hAnsi="宋体" w:eastAsia="宋体" w:cs="宋体"/>
          <w:color w:val="auto"/>
          <w:sz w:val="24"/>
          <w:szCs w:val="24"/>
          <w:highlight w:val="none"/>
        </w:rPr>
        <w:t>不接受超过</w:t>
      </w:r>
      <w:r>
        <w:rPr>
          <w:rFonts w:hint="eastAsia"/>
          <w:color w:val="auto"/>
          <w:highlight w:val="none"/>
        </w:rPr>
        <w:t>99.688796</w:t>
      </w:r>
      <w:r>
        <w:rPr>
          <w:rFonts w:hint="eastAsia" w:ascii="宋体" w:hAnsi="宋体" w:eastAsia="宋体" w:cs="宋体"/>
          <w:color w:val="auto"/>
          <w:sz w:val="24"/>
          <w:szCs w:val="24"/>
          <w:highlight w:val="none"/>
        </w:rPr>
        <w:t>万元/</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年的投标报价；</w:t>
      </w:r>
    </w:p>
    <w:p w14:paraId="133DA77E">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采购包二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2026年度徐州高新区市政排水设施市场化养护项目</w:t>
      </w:r>
      <w:r>
        <w:rPr>
          <w:rFonts w:hint="eastAsia" w:ascii="宋体" w:hAnsi="宋体" w:eastAsia="宋体" w:cs="宋体"/>
          <w:color w:val="auto"/>
          <w:sz w:val="24"/>
          <w:szCs w:val="24"/>
          <w:highlight w:val="none"/>
        </w:rPr>
        <w:t>-京沪铁路以东(具体范围详见“徐州高新区道路排水设施清单”附件1)；本</w:t>
      </w:r>
      <w:r>
        <w:rPr>
          <w:rFonts w:hint="eastAsia" w:ascii="宋体" w:hAnsi="宋体" w:cs="宋体"/>
          <w:color w:val="auto"/>
          <w:sz w:val="24"/>
          <w:szCs w:val="24"/>
          <w:highlight w:val="none"/>
          <w:lang w:eastAsia="zh-CN"/>
        </w:rPr>
        <w:t>采购包</w:t>
      </w:r>
      <w:r>
        <w:rPr>
          <w:rFonts w:hint="eastAsia" w:ascii="宋体" w:hAnsi="宋体" w:eastAsia="宋体" w:cs="宋体"/>
          <w:color w:val="auto"/>
          <w:sz w:val="24"/>
          <w:szCs w:val="24"/>
          <w:highlight w:val="none"/>
        </w:rPr>
        <w:t>不接受超过</w:t>
      </w:r>
      <w:r>
        <w:rPr>
          <w:rFonts w:hint="eastAsia"/>
          <w:color w:val="auto"/>
          <w:highlight w:val="none"/>
        </w:rPr>
        <w:t>111.033339</w:t>
      </w:r>
      <w:r>
        <w:rPr>
          <w:rFonts w:hint="eastAsia" w:ascii="宋体" w:hAnsi="宋体" w:eastAsia="宋体" w:cs="宋体"/>
          <w:color w:val="auto"/>
          <w:sz w:val="24"/>
          <w:szCs w:val="24"/>
          <w:highlight w:val="none"/>
        </w:rPr>
        <w:t>万元/</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年的投标报价；</w:t>
      </w:r>
    </w:p>
    <w:p w14:paraId="39B0A55F">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39" w:right="91" w:firstLine="483"/>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投标报价包括材料、机械、人工、税费、验收、保险、售后服务、投标人的利润、代理服务等全部费用。采购人不再支付报价以外的任何费用。</w:t>
      </w:r>
      <w:r>
        <w:rPr>
          <w:rFonts w:hint="eastAsia" w:ascii="宋体" w:hAnsi="宋体" w:cs="宋体"/>
          <w:color w:val="auto"/>
          <w:sz w:val="24"/>
          <w:highlight w:val="none"/>
          <w:lang w:val="en-US" w:eastAsia="zh-CN"/>
        </w:rPr>
        <w:t>投标</w:t>
      </w:r>
      <w:r>
        <w:rPr>
          <w:rFonts w:hint="eastAsia" w:ascii="宋体" w:hAnsi="宋体" w:cs="宋体"/>
          <w:color w:val="auto"/>
          <w:sz w:val="24"/>
          <w:highlight w:val="none"/>
        </w:rPr>
        <w:t>报价包括</w:t>
      </w:r>
      <w:r>
        <w:rPr>
          <w:rFonts w:hint="eastAsia" w:ascii="宋体" w:hAnsi="宋体"/>
          <w:color w:val="auto"/>
          <w:sz w:val="24"/>
          <w:highlight w:val="none"/>
        </w:rPr>
        <w:t>排水设施巡查、工单处置、检查井清淤、收水井清淤、雨污水管道清淤疏通、窨井修复、应急处置（污水外溢、污水入河、排水设施造成的路面塌陷围挡等）、防汛、淤泥外运处置、防坠网（板）补充和更换、</w:t>
      </w:r>
      <w:r>
        <w:rPr>
          <w:rFonts w:hint="eastAsia" w:ascii="宋体" w:hAnsi="宋体"/>
          <w:b/>
          <w:bCs/>
          <w:color w:val="auto"/>
          <w:sz w:val="24"/>
          <w:highlight w:val="none"/>
          <w:lang w:val="en-US" w:eastAsia="zh-CN"/>
        </w:rPr>
        <w:t>协助</w:t>
      </w:r>
      <w:r>
        <w:rPr>
          <w:rFonts w:hint="eastAsia" w:ascii="宋体" w:hAnsi="宋体"/>
          <w:b/>
          <w:bCs/>
          <w:color w:val="auto"/>
          <w:sz w:val="24"/>
          <w:highlight w:val="none"/>
        </w:rPr>
        <w:t>施工排水监管、</w:t>
      </w:r>
      <w:r>
        <w:rPr>
          <w:rFonts w:hint="eastAsia" w:ascii="宋体" w:hAnsi="宋体"/>
          <w:b/>
          <w:bCs/>
          <w:color w:val="auto"/>
          <w:sz w:val="24"/>
          <w:highlight w:val="none"/>
          <w:lang w:val="en-US" w:eastAsia="zh-CN"/>
        </w:rPr>
        <w:t>协助新建管网工程验收及接管养护</w:t>
      </w:r>
      <w:r>
        <w:rPr>
          <w:rFonts w:hint="eastAsia" w:ascii="宋体" w:hAnsi="宋体"/>
          <w:color w:val="auto"/>
          <w:sz w:val="24"/>
          <w:highlight w:val="none"/>
          <w:lang w:val="en-US" w:eastAsia="zh-CN"/>
        </w:rPr>
        <w:t>、</w:t>
      </w:r>
      <w:r>
        <w:rPr>
          <w:rFonts w:hint="eastAsia" w:ascii="宋体" w:hAnsi="宋体"/>
          <w:color w:val="auto"/>
          <w:sz w:val="24"/>
          <w:highlight w:val="none"/>
        </w:rPr>
        <w:t>养护措施费用、税金等全部费用，采购人不再支付报价以外的任何费用。</w:t>
      </w:r>
    </w:p>
    <w:p w14:paraId="456FA668">
      <w:pPr>
        <w:pageBreakBefore w:val="0"/>
        <w:kinsoku/>
        <w:wordWrap/>
        <w:overflowPunct/>
        <w:topLinePunct w:val="0"/>
        <w:autoSpaceDE/>
        <w:autoSpaceDN/>
        <w:bidi w:val="0"/>
        <w:adjustRightInd/>
        <w:snapToGrid/>
        <w:spacing w:beforeAutospacing="0" w:afterAutospacing="0" w:line="360" w:lineRule="auto"/>
        <w:ind w:left="37" w:right="173" w:firstLine="483"/>
        <w:rPr>
          <w:rFonts w:hint="eastAsia" w:ascii="宋体" w:hAnsi="宋体" w:eastAsia="宋体" w:cs="宋体"/>
          <w:color w:val="auto"/>
          <w:sz w:val="24"/>
          <w:szCs w:val="24"/>
          <w:highlight w:val="none"/>
        </w:rPr>
      </w:pPr>
    </w:p>
    <w:p w14:paraId="439CE723">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bookmarkStart w:id="2" w:name="OLE_LINK58"/>
      <w:bookmarkStart w:id="3" w:name="OLE_LINK57"/>
      <w:r>
        <w:rPr>
          <w:rFonts w:hint="eastAsia" w:ascii="宋体" w:hAnsi="宋体" w:eastAsia="宋体" w:cs="宋体"/>
          <w:b/>
          <w:bCs/>
          <w:color w:val="auto"/>
          <w:sz w:val="24"/>
          <w:szCs w:val="24"/>
          <w:highlight w:val="none"/>
        </w:rPr>
        <w:t>本项目共分2个采购包,兼投不兼中。每个投标人可以参与多个采购包的评审，但只允许成为一个采购包的中标人。本项目按照采购包1、采购包2的顺序进行评审定标。在前一采购包被确定为中标人的，可以参与下一采购包的评审，但不得再次成为中标人，不再作为后续采购包的有效投标人。且各采购包的有效投标人数量不得少于3家，否则该采购包按废标处理。</w:t>
      </w:r>
      <w:bookmarkEnd w:id="2"/>
      <w:bookmarkEnd w:id="3"/>
    </w:p>
    <w:p w14:paraId="47E29D69">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p>
    <w:p w14:paraId="3B80A3B5">
      <w:pPr>
        <w:pageBreakBefore w:val="0"/>
        <w:kinsoku/>
        <w:wordWrap/>
        <w:overflowPunct/>
        <w:topLinePunct w:val="0"/>
        <w:autoSpaceDE/>
        <w:autoSpaceDN/>
        <w:bidi w:val="0"/>
        <w:adjustRightInd/>
        <w:snapToGrid/>
        <w:spacing w:beforeAutospacing="0" w:afterAutospacing="0" w:line="360" w:lineRule="auto"/>
        <w:ind w:left="5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2、项目地点：</w:t>
      </w:r>
      <w:r>
        <w:rPr>
          <w:rFonts w:hint="eastAsia" w:ascii="宋体" w:hAnsi="宋体" w:eastAsia="宋体" w:cs="宋体"/>
          <w:color w:val="auto"/>
          <w:sz w:val="24"/>
          <w:szCs w:val="24"/>
          <w:highlight w:val="none"/>
          <w:u w:val="single"/>
        </w:rPr>
        <w:t>徐州高新区境内</w:t>
      </w:r>
      <w:r>
        <w:rPr>
          <w:rFonts w:hint="eastAsia" w:ascii="宋体" w:hAnsi="宋体" w:eastAsia="宋体" w:cs="宋体"/>
          <w:color w:val="auto"/>
          <w:sz w:val="24"/>
          <w:szCs w:val="24"/>
          <w:highlight w:val="none"/>
        </w:rPr>
        <w:t>。</w:t>
      </w:r>
    </w:p>
    <w:p w14:paraId="3FD104DE">
      <w:pPr>
        <w:pageBreakBefore w:val="0"/>
        <w:kinsoku/>
        <w:wordWrap/>
        <w:overflowPunct/>
        <w:topLinePunct w:val="0"/>
        <w:autoSpaceDE/>
        <w:autoSpaceDN/>
        <w:bidi w:val="0"/>
        <w:adjustRightInd/>
        <w:snapToGrid/>
        <w:spacing w:beforeAutospacing="0" w:afterAutospacing="0" w:line="360" w:lineRule="auto"/>
        <w:ind w:left="5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3、服务期限：</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rPr>
        <w:t>。</w:t>
      </w:r>
    </w:p>
    <w:p w14:paraId="7DB416B6">
      <w:pPr>
        <w:pageBreakBefore w:val="0"/>
        <w:kinsoku/>
        <w:wordWrap/>
        <w:overflowPunct/>
        <w:topLinePunct w:val="0"/>
        <w:autoSpaceDE/>
        <w:autoSpaceDN/>
        <w:bidi w:val="0"/>
        <w:adjustRightInd/>
        <w:snapToGrid/>
        <w:spacing w:beforeAutospacing="0" w:afterAutospacing="0" w:line="360" w:lineRule="auto"/>
        <w:ind w:left="38"/>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三、具有履行合同所必备的设备和稳定的管网维护队伍(单个</w:t>
      </w:r>
      <w:r>
        <w:rPr>
          <w:rFonts w:hint="eastAsia" w:ascii="宋体" w:hAnsi="宋体" w:cs="宋体"/>
          <w:color w:val="auto"/>
          <w:sz w:val="24"/>
          <w:szCs w:val="24"/>
          <w:highlight w:val="none"/>
          <w:lang w:eastAsia="zh-CN"/>
        </w:rPr>
        <w:t>采购包</w:t>
      </w:r>
      <w:r>
        <w:rPr>
          <w:rFonts w:hint="eastAsia" w:ascii="宋体" w:hAnsi="宋体" w:eastAsia="宋体" w:cs="宋体"/>
          <w:color w:val="auto"/>
          <w:sz w:val="24"/>
          <w:szCs w:val="24"/>
          <w:highlight w:val="none"/>
        </w:rPr>
        <w:t>)要求：</w:t>
      </w:r>
    </w:p>
    <w:p w14:paraId="1CECAC24">
      <w:pPr>
        <w:pageBreakBefore w:val="0"/>
        <w:kinsoku/>
        <w:wordWrap/>
        <w:overflowPunct/>
        <w:topLinePunct w:val="0"/>
        <w:autoSpaceDE/>
        <w:autoSpaceDN/>
        <w:bidi w:val="0"/>
        <w:adjustRightInd/>
        <w:snapToGrid/>
        <w:spacing w:beforeAutospacing="0" w:afterAutospacing="0" w:line="360" w:lineRule="auto"/>
        <w:ind w:left="40" w:right="244" w:firstLine="48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采购包</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工作人员配备要求(以下人数为最低标准，投标人可根据自身情况增加)。</w:t>
      </w:r>
    </w:p>
    <w:tbl>
      <w:tblPr>
        <w:tblStyle w:val="34"/>
        <w:tblW w:w="91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85"/>
        <w:gridCol w:w="1755"/>
        <w:gridCol w:w="2577"/>
        <w:gridCol w:w="2541"/>
      </w:tblGrid>
      <w:tr w14:paraId="54BD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285" w:type="dxa"/>
            <w:vMerge w:val="restart"/>
            <w:tcBorders>
              <w:top w:val="single" w:color="000000" w:sz="8" w:space="0"/>
              <w:left w:val="single" w:color="000000" w:sz="8" w:space="0"/>
              <w:bottom w:val="single" w:color="000000" w:sz="8" w:space="0"/>
              <w:right w:val="nil"/>
            </w:tcBorders>
            <w:shd w:val="clear" w:color="auto" w:fill="auto"/>
            <w:vAlign w:val="center"/>
          </w:tcPr>
          <w:p w14:paraId="63B57D3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项目负责人兼技术员</w:t>
            </w:r>
          </w:p>
        </w:tc>
        <w:tc>
          <w:tcPr>
            <w:tcW w:w="175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2D271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安全员</w:t>
            </w:r>
          </w:p>
        </w:tc>
        <w:tc>
          <w:tcPr>
            <w:tcW w:w="2577" w:type="dxa"/>
            <w:tcBorders>
              <w:top w:val="single" w:color="000000" w:sz="8" w:space="0"/>
              <w:left w:val="single" w:color="000000" w:sz="8" w:space="0"/>
              <w:bottom w:val="nil"/>
              <w:right w:val="single" w:color="000000" w:sz="8" w:space="0"/>
            </w:tcBorders>
            <w:shd w:val="clear" w:color="auto" w:fill="auto"/>
            <w:vAlign w:val="center"/>
          </w:tcPr>
          <w:p w14:paraId="5DA1E8A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现场作业人员最低人数</w:t>
            </w:r>
          </w:p>
        </w:tc>
        <w:tc>
          <w:tcPr>
            <w:tcW w:w="254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CA272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防汛应急抢险</w:t>
            </w:r>
          </w:p>
        </w:tc>
      </w:tr>
      <w:tr w14:paraId="090F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285" w:type="dxa"/>
            <w:vMerge w:val="continue"/>
            <w:tcBorders>
              <w:top w:val="single" w:color="000000" w:sz="8" w:space="0"/>
              <w:left w:val="single" w:color="000000" w:sz="8" w:space="0"/>
              <w:bottom w:val="single" w:color="000000" w:sz="8" w:space="0"/>
              <w:right w:val="nil"/>
            </w:tcBorders>
            <w:shd w:val="clear" w:color="auto" w:fill="auto"/>
            <w:vAlign w:val="center"/>
          </w:tcPr>
          <w:p w14:paraId="57CAA9E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c>
          <w:tcPr>
            <w:tcW w:w="175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24C5E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c>
          <w:tcPr>
            <w:tcW w:w="2577" w:type="dxa"/>
            <w:tcBorders>
              <w:top w:val="nil"/>
              <w:left w:val="single" w:color="000000" w:sz="8" w:space="0"/>
              <w:bottom w:val="single" w:color="000000" w:sz="8" w:space="0"/>
              <w:right w:val="single" w:color="000000" w:sz="8" w:space="0"/>
            </w:tcBorders>
            <w:shd w:val="clear" w:color="auto" w:fill="auto"/>
            <w:vAlign w:val="center"/>
          </w:tcPr>
          <w:p w14:paraId="764ED3E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（巡查、养护、维修）</w:t>
            </w:r>
          </w:p>
        </w:tc>
        <w:tc>
          <w:tcPr>
            <w:tcW w:w="254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7FBC4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BEEC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2285" w:type="dxa"/>
            <w:tcBorders>
              <w:top w:val="nil"/>
              <w:left w:val="single" w:color="000000" w:sz="8" w:space="0"/>
              <w:bottom w:val="single" w:color="000000" w:sz="8" w:space="0"/>
              <w:right w:val="single" w:color="000000" w:sz="8" w:space="0"/>
            </w:tcBorders>
            <w:shd w:val="clear" w:color="auto" w:fill="auto"/>
            <w:vAlign w:val="center"/>
          </w:tcPr>
          <w:p w14:paraId="66312A4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1人</w:t>
            </w:r>
          </w:p>
        </w:tc>
        <w:tc>
          <w:tcPr>
            <w:tcW w:w="1755" w:type="dxa"/>
            <w:tcBorders>
              <w:top w:val="nil"/>
              <w:left w:val="single" w:color="000000" w:sz="8" w:space="0"/>
              <w:bottom w:val="single" w:color="000000" w:sz="8" w:space="0"/>
              <w:right w:val="single" w:color="000000" w:sz="8" w:space="0"/>
            </w:tcBorders>
            <w:shd w:val="clear" w:color="auto" w:fill="auto"/>
            <w:vAlign w:val="center"/>
          </w:tcPr>
          <w:p w14:paraId="21902CE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1人</w:t>
            </w:r>
          </w:p>
        </w:tc>
        <w:tc>
          <w:tcPr>
            <w:tcW w:w="2577" w:type="dxa"/>
            <w:tcBorders>
              <w:top w:val="nil"/>
              <w:left w:val="single" w:color="000000" w:sz="8" w:space="0"/>
              <w:bottom w:val="single" w:color="000000" w:sz="8" w:space="0"/>
              <w:right w:val="single" w:color="000000" w:sz="8" w:space="0"/>
            </w:tcBorders>
            <w:shd w:val="clear" w:color="auto" w:fill="auto"/>
            <w:vAlign w:val="center"/>
          </w:tcPr>
          <w:p w14:paraId="51AC6C0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7人</w:t>
            </w:r>
          </w:p>
        </w:tc>
        <w:tc>
          <w:tcPr>
            <w:tcW w:w="2541" w:type="dxa"/>
            <w:tcBorders>
              <w:top w:val="nil"/>
              <w:left w:val="single" w:color="000000" w:sz="8" w:space="0"/>
              <w:bottom w:val="single" w:color="000000" w:sz="8" w:space="0"/>
              <w:right w:val="single" w:color="000000" w:sz="8" w:space="0"/>
            </w:tcBorders>
            <w:shd w:val="clear" w:color="auto" w:fill="auto"/>
            <w:vAlign w:val="center"/>
          </w:tcPr>
          <w:p w14:paraId="5B8EA5E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8</w:t>
            </w:r>
            <w:r>
              <w:rPr>
                <w:rFonts w:hint="eastAsia" w:ascii="宋体" w:hAnsi="宋体" w:eastAsia="宋体" w:cs="宋体"/>
                <w:i w:val="0"/>
                <w:iCs w:val="0"/>
                <w:color w:val="auto"/>
                <w:kern w:val="0"/>
                <w:sz w:val="24"/>
                <w:szCs w:val="24"/>
                <w:highlight w:val="none"/>
                <w:u w:val="none"/>
                <w:lang w:val="en-US" w:eastAsia="zh-CN" w:bidi="ar"/>
              </w:rPr>
              <w:t>人</w:t>
            </w:r>
          </w:p>
        </w:tc>
      </w:tr>
      <w:tr w14:paraId="3D139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2285" w:type="dxa"/>
            <w:tcBorders>
              <w:top w:val="nil"/>
              <w:left w:val="single" w:color="000000" w:sz="8" w:space="0"/>
              <w:bottom w:val="single" w:color="000000" w:sz="8" w:space="0"/>
              <w:right w:val="single" w:color="000000" w:sz="8" w:space="0"/>
            </w:tcBorders>
            <w:shd w:val="clear" w:color="auto" w:fill="auto"/>
            <w:vAlign w:val="center"/>
          </w:tcPr>
          <w:p w14:paraId="7707C3F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项目服务总人数</w:t>
            </w:r>
          </w:p>
        </w:tc>
        <w:tc>
          <w:tcPr>
            <w:tcW w:w="6873" w:type="dxa"/>
            <w:gridSpan w:val="3"/>
            <w:tcBorders>
              <w:top w:val="nil"/>
              <w:left w:val="single" w:color="000000" w:sz="8" w:space="0"/>
              <w:bottom w:val="single" w:color="000000" w:sz="8" w:space="0"/>
              <w:right w:val="single" w:color="000000" w:sz="8" w:space="0"/>
            </w:tcBorders>
            <w:shd w:val="clear" w:color="auto" w:fill="auto"/>
            <w:vAlign w:val="center"/>
          </w:tcPr>
          <w:p w14:paraId="489E3C3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17</w:t>
            </w:r>
            <w:r>
              <w:rPr>
                <w:rFonts w:hint="eastAsia" w:ascii="宋体" w:hAnsi="宋体" w:eastAsia="宋体" w:cs="宋体"/>
                <w:i w:val="0"/>
                <w:iCs w:val="0"/>
                <w:color w:val="auto"/>
                <w:kern w:val="0"/>
                <w:sz w:val="24"/>
                <w:szCs w:val="24"/>
                <w:highlight w:val="none"/>
                <w:u w:val="none"/>
                <w:lang w:val="en-US" w:eastAsia="zh-CN" w:bidi="ar"/>
              </w:rPr>
              <w:t>人</w:t>
            </w:r>
          </w:p>
        </w:tc>
      </w:tr>
    </w:tbl>
    <w:p w14:paraId="65E5F8C4">
      <w:pPr>
        <w:pageBreakBefore w:val="0"/>
        <w:kinsoku/>
        <w:wordWrap/>
        <w:overflowPunct/>
        <w:topLinePunct w:val="0"/>
        <w:autoSpaceDE/>
        <w:autoSpaceDN/>
        <w:bidi w:val="0"/>
        <w:adjustRightInd/>
        <w:snapToGrid/>
        <w:spacing w:beforeAutospacing="0" w:afterAutospacing="0" w:line="360" w:lineRule="auto"/>
        <w:ind w:left="40" w:right="244" w:firstLine="48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）采购包</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工作人员配备要求(以下人数为最低标准，投标人可根据自身情况增加)</w:t>
      </w:r>
    </w:p>
    <w:tbl>
      <w:tblPr>
        <w:tblStyle w:val="34"/>
        <w:tblW w:w="91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85"/>
        <w:gridCol w:w="1755"/>
        <w:gridCol w:w="2577"/>
        <w:gridCol w:w="2541"/>
      </w:tblGrid>
      <w:tr w14:paraId="44C46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285" w:type="dxa"/>
            <w:vMerge w:val="restart"/>
            <w:tcBorders>
              <w:top w:val="single" w:color="000000" w:sz="8" w:space="0"/>
              <w:left w:val="single" w:color="000000" w:sz="8" w:space="0"/>
              <w:bottom w:val="single" w:color="000000" w:sz="8" w:space="0"/>
              <w:right w:val="nil"/>
            </w:tcBorders>
            <w:shd w:val="clear" w:color="auto" w:fill="auto"/>
            <w:vAlign w:val="center"/>
          </w:tcPr>
          <w:p w14:paraId="50900B9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项目负责人兼技术员</w:t>
            </w:r>
          </w:p>
        </w:tc>
        <w:tc>
          <w:tcPr>
            <w:tcW w:w="175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AEEBF0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安全员</w:t>
            </w:r>
          </w:p>
        </w:tc>
        <w:tc>
          <w:tcPr>
            <w:tcW w:w="2577" w:type="dxa"/>
            <w:tcBorders>
              <w:top w:val="single" w:color="000000" w:sz="8" w:space="0"/>
              <w:left w:val="single" w:color="000000" w:sz="8" w:space="0"/>
              <w:bottom w:val="nil"/>
              <w:right w:val="single" w:color="000000" w:sz="8" w:space="0"/>
            </w:tcBorders>
            <w:shd w:val="clear" w:color="auto" w:fill="auto"/>
            <w:vAlign w:val="center"/>
          </w:tcPr>
          <w:p w14:paraId="262BF69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现场作业人员最低人数</w:t>
            </w:r>
          </w:p>
        </w:tc>
        <w:tc>
          <w:tcPr>
            <w:tcW w:w="254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7BE39F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防汛应急抢险</w:t>
            </w:r>
          </w:p>
        </w:tc>
      </w:tr>
      <w:tr w14:paraId="5D47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285" w:type="dxa"/>
            <w:vMerge w:val="continue"/>
            <w:tcBorders>
              <w:top w:val="single" w:color="000000" w:sz="8" w:space="0"/>
              <w:left w:val="single" w:color="000000" w:sz="8" w:space="0"/>
              <w:bottom w:val="single" w:color="000000" w:sz="8" w:space="0"/>
              <w:right w:val="nil"/>
            </w:tcBorders>
            <w:shd w:val="clear" w:color="auto" w:fill="auto"/>
            <w:vAlign w:val="center"/>
          </w:tcPr>
          <w:p w14:paraId="2F14EB8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c>
          <w:tcPr>
            <w:tcW w:w="175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848A2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c>
          <w:tcPr>
            <w:tcW w:w="2577" w:type="dxa"/>
            <w:tcBorders>
              <w:top w:val="nil"/>
              <w:left w:val="single" w:color="000000" w:sz="8" w:space="0"/>
              <w:bottom w:val="single" w:color="000000" w:sz="8" w:space="0"/>
              <w:right w:val="single" w:color="000000" w:sz="8" w:space="0"/>
            </w:tcBorders>
            <w:shd w:val="clear" w:color="auto" w:fill="auto"/>
            <w:vAlign w:val="center"/>
          </w:tcPr>
          <w:p w14:paraId="734C16D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（巡查、养护、维修）</w:t>
            </w:r>
          </w:p>
        </w:tc>
        <w:tc>
          <w:tcPr>
            <w:tcW w:w="254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6EC90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D54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2285" w:type="dxa"/>
            <w:tcBorders>
              <w:top w:val="nil"/>
              <w:left w:val="single" w:color="000000" w:sz="8" w:space="0"/>
              <w:bottom w:val="single" w:color="000000" w:sz="8" w:space="0"/>
              <w:right w:val="single" w:color="000000" w:sz="8" w:space="0"/>
            </w:tcBorders>
            <w:shd w:val="clear" w:color="auto" w:fill="auto"/>
            <w:vAlign w:val="center"/>
          </w:tcPr>
          <w:p w14:paraId="622A62A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1人</w:t>
            </w:r>
          </w:p>
        </w:tc>
        <w:tc>
          <w:tcPr>
            <w:tcW w:w="1755" w:type="dxa"/>
            <w:tcBorders>
              <w:top w:val="nil"/>
              <w:left w:val="single" w:color="000000" w:sz="8" w:space="0"/>
              <w:bottom w:val="single" w:color="000000" w:sz="8" w:space="0"/>
              <w:right w:val="single" w:color="000000" w:sz="8" w:space="0"/>
            </w:tcBorders>
            <w:shd w:val="clear" w:color="auto" w:fill="auto"/>
            <w:vAlign w:val="center"/>
          </w:tcPr>
          <w:p w14:paraId="31C0A8B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1人</w:t>
            </w:r>
          </w:p>
        </w:tc>
        <w:tc>
          <w:tcPr>
            <w:tcW w:w="2577" w:type="dxa"/>
            <w:tcBorders>
              <w:top w:val="nil"/>
              <w:left w:val="single" w:color="000000" w:sz="8" w:space="0"/>
              <w:bottom w:val="single" w:color="000000" w:sz="8" w:space="0"/>
              <w:right w:val="single" w:color="000000" w:sz="8" w:space="0"/>
            </w:tcBorders>
            <w:shd w:val="clear" w:color="auto" w:fill="auto"/>
            <w:vAlign w:val="center"/>
          </w:tcPr>
          <w:p w14:paraId="2101CCB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7人</w:t>
            </w:r>
          </w:p>
        </w:tc>
        <w:tc>
          <w:tcPr>
            <w:tcW w:w="2541" w:type="dxa"/>
            <w:tcBorders>
              <w:top w:val="nil"/>
              <w:left w:val="single" w:color="000000" w:sz="8" w:space="0"/>
              <w:bottom w:val="single" w:color="000000" w:sz="8" w:space="0"/>
              <w:right w:val="single" w:color="000000" w:sz="8" w:space="0"/>
            </w:tcBorders>
            <w:shd w:val="clear" w:color="auto" w:fill="auto"/>
            <w:vAlign w:val="center"/>
          </w:tcPr>
          <w:p w14:paraId="3855C09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12</w:t>
            </w:r>
            <w:r>
              <w:rPr>
                <w:rFonts w:hint="eastAsia" w:ascii="宋体" w:hAnsi="宋体" w:eastAsia="宋体" w:cs="宋体"/>
                <w:i w:val="0"/>
                <w:iCs w:val="0"/>
                <w:color w:val="auto"/>
                <w:kern w:val="0"/>
                <w:sz w:val="24"/>
                <w:szCs w:val="24"/>
                <w:highlight w:val="none"/>
                <w:u w:val="none"/>
                <w:lang w:val="en-US" w:eastAsia="zh-CN" w:bidi="ar"/>
              </w:rPr>
              <w:t>人</w:t>
            </w:r>
          </w:p>
        </w:tc>
      </w:tr>
      <w:tr w14:paraId="21176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2285" w:type="dxa"/>
            <w:tcBorders>
              <w:top w:val="nil"/>
              <w:left w:val="single" w:color="000000" w:sz="8" w:space="0"/>
              <w:bottom w:val="single" w:color="000000" w:sz="8" w:space="0"/>
              <w:right w:val="single" w:color="000000" w:sz="8" w:space="0"/>
            </w:tcBorders>
            <w:shd w:val="clear" w:color="auto" w:fill="auto"/>
            <w:vAlign w:val="center"/>
          </w:tcPr>
          <w:p w14:paraId="20721C4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项目服务总人数</w:t>
            </w:r>
          </w:p>
        </w:tc>
        <w:tc>
          <w:tcPr>
            <w:tcW w:w="6873" w:type="dxa"/>
            <w:gridSpan w:val="3"/>
            <w:tcBorders>
              <w:top w:val="nil"/>
              <w:left w:val="single" w:color="000000" w:sz="8" w:space="0"/>
              <w:bottom w:val="single" w:color="000000" w:sz="8" w:space="0"/>
              <w:right w:val="single" w:color="000000" w:sz="8" w:space="0"/>
            </w:tcBorders>
            <w:shd w:val="clear" w:color="auto" w:fill="auto"/>
            <w:vAlign w:val="center"/>
          </w:tcPr>
          <w:p w14:paraId="16884B2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21</w:t>
            </w:r>
            <w:r>
              <w:rPr>
                <w:rFonts w:hint="eastAsia" w:ascii="宋体" w:hAnsi="宋体" w:eastAsia="宋体" w:cs="宋体"/>
                <w:i w:val="0"/>
                <w:iCs w:val="0"/>
                <w:color w:val="auto"/>
                <w:kern w:val="0"/>
                <w:sz w:val="24"/>
                <w:szCs w:val="24"/>
                <w:highlight w:val="none"/>
                <w:u w:val="none"/>
                <w:lang w:val="en-US" w:eastAsia="zh-CN" w:bidi="ar"/>
              </w:rPr>
              <w:t>人</w:t>
            </w:r>
          </w:p>
        </w:tc>
      </w:tr>
    </w:tbl>
    <w:p w14:paraId="27404D06">
      <w:pPr>
        <w:pStyle w:val="309"/>
        <w:pageBreakBefore w:val="0"/>
        <w:kinsoku/>
        <w:wordWrap/>
        <w:overflowPunct/>
        <w:topLinePunct w:val="0"/>
        <w:autoSpaceDE/>
        <w:autoSpaceDN/>
        <w:bidi w:val="0"/>
        <w:adjustRightInd/>
        <w:snapToGrid/>
        <w:spacing w:beforeAutospacing="0" w:afterAutospacing="0"/>
        <w:ind w:firstLine="480"/>
        <w:rPr>
          <w:rFonts w:hint="eastAsia" w:ascii="宋体" w:hAnsi="宋体" w:eastAsia="宋体" w:cs="宋体"/>
          <w:color w:val="auto"/>
          <w:sz w:val="24"/>
          <w:szCs w:val="24"/>
          <w:highlight w:val="none"/>
        </w:rPr>
      </w:pPr>
    </w:p>
    <w:p w14:paraId="40635E1A">
      <w:pPr>
        <w:pStyle w:val="309"/>
        <w:pageBreakBefore w:val="0"/>
        <w:kinsoku/>
        <w:wordWrap/>
        <w:overflowPunct/>
        <w:topLinePunct w:val="0"/>
        <w:autoSpaceDE/>
        <w:autoSpaceDN/>
        <w:bidi w:val="0"/>
        <w:adjustRightInd/>
        <w:snapToGrid/>
        <w:spacing w:beforeAutospacing="0" w:afterAutospacing="0" w:line="360" w:lineRule="auto"/>
        <w:ind w:firstLine="480"/>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(2)拟承担每个</w:t>
      </w:r>
      <w:r>
        <w:rPr>
          <w:rFonts w:hint="eastAsia" w:ascii="宋体" w:hAnsi="宋体" w:cs="宋体"/>
          <w:b/>
          <w:bCs/>
          <w:color w:val="auto"/>
          <w:sz w:val="24"/>
          <w:szCs w:val="24"/>
          <w:highlight w:val="none"/>
          <w:lang w:eastAsia="zh-CN"/>
        </w:rPr>
        <w:t>采购包</w:t>
      </w:r>
      <w:r>
        <w:rPr>
          <w:rFonts w:hint="eastAsia" w:ascii="宋体" w:hAnsi="宋体" w:eastAsia="宋体" w:cs="宋体"/>
          <w:b/>
          <w:bCs/>
          <w:color w:val="auto"/>
          <w:sz w:val="24"/>
          <w:szCs w:val="24"/>
          <w:highlight w:val="none"/>
        </w:rPr>
        <w:t>项目负责人(注册建造师)具备市政公用工程专业贰级建造师资格(在本企业注册)，同时具有《建筑施工企业安全生产考核合格证书》(B证)安全员具有相应的资格证书；项目负责人在合同期内不得擅自更换，投标文件中提供项目负责人、安全员资格证书复印件和距开标截止时间前3个月的个人社保证明复印件(复印件加盖公章)，投标时提供项目负责人、安全员的资格证书原件</w:t>
      </w:r>
      <w:r>
        <w:rPr>
          <w:rFonts w:hint="eastAsia" w:ascii="宋体" w:hAnsi="宋体" w:eastAsia="宋体" w:cs="宋体"/>
          <w:b/>
          <w:bCs/>
          <w:color w:val="auto"/>
          <w:sz w:val="24"/>
          <w:szCs w:val="24"/>
          <w:highlight w:val="none"/>
          <w:lang w:eastAsia="zh-CN"/>
        </w:rPr>
        <w:t>扫描件</w:t>
      </w:r>
      <w:r>
        <w:rPr>
          <w:rFonts w:hint="eastAsia" w:ascii="宋体" w:hAnsi="宋体" w:eastAsia="宋体" w:cs="宋体"/>
          <w:b/>
          <w:bCs/>
          <w:color w:val="auto"/>
          <w:sz w:val="24"/>
          <w:szCs w:val="24"/>
          <w:highlight w:val="none"/>
        </w:rPr>
        <w:t>，且提供项目负责人、安全员距开标截止时间前3个月的个人社保证明原件</w:t>
      </w:r>
      <w:r>
        <w:rPr>
          <w:rFonts w:hint="eastAsia" w:ascii="宋体" w:hAnsi="宋体" w:eastAsia="宋体" w:cs="宋体"/>
          <w:b/>
          <w:bCs/>
          <w:color w:val="auto"/>
          <w:sz w:val="24"/>
          <w:szCs w:val="24"/>
          <w:highlight w:val="none"/>
          <w:lang w:eastAsia="zh-CN"/>
        </w:rPr>
        <w:t>扫描件</w:t>
      </w:r>
      <w:r>
        <w:rPr>
          <w:rFonts w:hint="eastAsia" w:ascii="宋体" w:hAnsi="宋体" w:eastAsia="宋体" w:cs="宋体"/>
          <w:b/>
          <w:bCs/>
          <w:color w:val="auto"/>
          <w:sz w:val="24"/>
          <w:szCs w:val="24"/>
          <w:highlight w:val="none"/>
        </w:rPr>
        <w:t>，不提供按无效标处理。</w:t>
      </w:r>
    </w:p>
    <w:p w14:paraId="59AB0619">
      <w:pPr>
        <w:pStyle w:val="309"/>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bidi="ar-SA"/>
        </w:rPr>
        <w:t>每个</w:t>
      </w:r>
      <w:r>
        <w:rPr>
          <w:rFonts w:hint="eastAsia" w:ascii="宋体" w:hAnsi="宋体" w:cs="宋体"/>
          <w:color w:val="auto"/>
          <w:sz w:val="24"/>
          <w:szCs w:val="24"/>
          <w:highlight w:val="none"/>
          <w:lang w:eastAsia="zh-CN"/>
        </w:rPr>
        <w:t>采购包</w:t>
      </w:r>
      <w:r>
        <w:rPr>
          <w:rFonts w:hint="eastAsia" w:ascii="宋体" w:hAnsi="宋体" w:eastAsia="宋体" w:cs="宋体"/>
          <w:color w:val="auto"/>
          <w:sz w:val="24"/>
          <w:szCs w:val="24"/>
          <w:highlight w:val="none"/>
          <w:lang w:val="en-US" w:eastAsia="zh-CN" w:bidi="ar-SA"/>
        </w:rPr>
        <w:t>项养护管理机械机具设备配置要求(以下数量和设备种类为最低标准，投标人可根据自身情况增加)：高压疏通车1辆、吸污车1辆设备，</w:t>
      </w:r>
      <w:r>
        <w:rPr>
          <w:rFonts w:hint="eastAsia" w:ascii="宋体" w:hAnsi="宋体" w:cs="宋体"/>
          <w:b/>
          <w:bCs/>
          <w:color w:val="auto"/>
          <w:sz w:val="24"/>
          <w:szCs w:val="24"/>
          <w:highlight w:val="none"/>
          <w:lang w:val="en-US" w:eastAsia="zh-CN" w:bidi="ar-SA"/>
        </w:rPr>
        <w:t>6寸及</w:t>
      </w:r>
      <w:r>
        <w:rPr>
          <w:rFonts w:hint="eastAsia" w:ascii="宋体" w:hAnsi="宋体" w:eastAsia="宋体" w:cs="宋体"/>
          <w:b/>
          <w:bCs/>
          <w:color w:val="auto"/>
          <w:sz w:val="24"/>
          <w:szCs w:val="24"/>
          <w:highlight w:val="none"/>
          <w:lang w:val="en-US" w:eastAsia="zh-CN" w:bidi="ar-SA"/>
        </w:rPr>
        <w:t>以上抽水泵2台</w:t>
      </w:r>
      <w:r>
        <w:rPr>
          <w:rFonts w:hint="eastAsia" w:ascii="宋体" w:hAnsi="宋体" w:cs="宋体"/>
          <w:b/>
          <w:bCs/>
          <w:color w:val="auto"/>
          <w:sz w:val="24"/>
          <w:highlight w:val="none"/>
          <w:lang w:eastAsia="zh-CN"/>
        </w:rPr>
        <w:t>、</w:t>
      </w:r>
      <w:r>
        <w:rPr>
          <w:rFonts w:hint="eastAsia" w:ascii="宋体" w:hAnsi="宋体" w:cs="宋体"/>
          <w:color w:val="auto"/>
          <w:sz w:val="24"/>
          <w:szCs w:val="24"/>
          <w:highlight w:val="none"/>
        </w:rPr>
        <w:t>下井安全装备</w:t>
      </w:r>
      <w:r>
        <w:rPr>
          <w:rFonts w:hint="eastAsia" w:ascii="宋体" w:hAnsi="宋体" w:cs="宋体"/>
          <w:color w:val="auto"/>
          <w:sz w:val="24"/>
          <w:szCs w:val="24"/>
          <w:highlight w:val="none"/>
          <w:lang w:val="en-US" w:eastAsia="zh-CN"/>
        </w:rPr>
        <w:t>1套</w:t>
      </w:r>
      <w:r>
        <w:rPr>
          <w:rFonts w:hint="eastAsia" w:ascii="宋体" w:hAnsi="宋体" w:cs="宋体"/>
          <w:color w:val="auto"/>
          <w:sz w:val="24"/>
          <w:szCs w:val="24"/>
          <w:highlight w:val="none"/>
        </w:rPr>
        <w:t>（主要包括：通风设备、长管式呼吸器、潜水设备、气体检测仪、全身式安全带、救援三角架）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CCTV检测设备</w:t>
      </w:r>
      <w:r>
        <w:rPr>
          <w:rFonts w:hint="eastAsia" w:ascii="宋体" w:hAnsi="宋体" w:cs="宋体"/>
          <w:color w:val="auto"/>
          <w:sz w:val="24"/>
          <w:szCs w:val="24"/>
          <w:highlight w:val="none"/>
          <w:lang w:val="en-US" w:eastAsia="zh-CN"/>
        </w:rPr>
        <w:t>1套</w:t>
      </w:r>
      <w:r>
        <w:rPr>
          <w:rFonts w:hint="eastAsia" w:ascii="宋体" w:hAnsi="宋体" w:cs="宋体"/>
          <w:color w:val="auto"/>
          <w:sz w:val="24"/>
          <w:szCs w:val="24"/>
          <w:highlight w:val="none"/>
        </w:rPr>
        <w:t>、QV检测设备</w:t>
      </w:r>
      <w:r>
        <w:rPr>
          <w:rFonts w:hint="eastAsia" w:ascii="宋体" w:hAnsi="宋体" w:cs="宋体"/>
          <w:color w:val="auto"/>
          <w:sz w:val="24"/>
          <w:szCs w:val="24"/>
          <w:highlight w:val="none"/>
          <w:lang w:val="en-US" w:eastAsia="zh-CN"/>
        </w:rPr>
        <w:t>1套、</w:t>
      </w:r>
      <w:r>
        <w:rPr>
          <w:rFonts w:hint="eastAsia" w:ascii="宋体" w:hAnsi="宋体" w:eastAsia="宋体" w:cs="宋体"/>
          <w:color w:val="auto"/>
          <w:sz w:val="24"/>
          <w:szCs w:val="24"/>
          <w:highlight w:val="none"/>
          <w:lang w:val="en-US" w:eastAsia="zh-CN" w:bidi="ar-SA"/>
        </w:rPr>
        <w:t>投标文件中提供设备购买发票复印件和车辆行驶证复印件(加盖公章)，不提供按无效标处理。</w:t>
      </w:r>
    </w:p>
    <w:p w14:paraId="7B8DA356">
      <w:pPr>
        <w:pageBreakBefore w:val="0"/>
        <w:kinsoku/>
        <w:wordWrap/>
        <w:overflowPunct/>
        <w:topLinePunct w:val="0"/>
        <w:autoSpaceDE/>
        <w:autoSpaceDN/>
        <w:bidi w:val="0"/>
        <w:adjustRightInd/>
        <w:snapToGrid/>
        <w:spacing w:beforeAutospacing="0" w:afterAutospacing="0"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FD99275">
      <w:pPr>
        <w:pageBreakBefore w:val="0"/>
        <w:kinsoku/>
        <w:wordWrap/>
        <w:overflowPunct/>
        <w:topLinePunct w:val="0"/>
        <w:autoSpaceDE/>
        <w:autoSpaceDN/>
        <w:bidi w:val="0"/>
        <w:adjustRightInd/>
        <w:snapToGrid/>
        <w:spacing w:beforeAutospacing="0" w:afterAutospacing="0"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1.投标人承诺中标后按需求配备</w:t>
      </w:r>
      <w:r>
        <w:rPr>
          <w:rFonts w:hint="eastAsia" w:ascii="宋体" w:hAnsi="宋体" w:eastAsia="宋体" w:cs="宋体"/>
          <w:color w:val="auto"/>
          <w:sz w:val="24"/>
          <w:szCs w:val="24"/>
          <w:highlight w:val="none"/>
          <w:lang w:eastAsia="zh-CN"/>
        </w:rPr>
        <w:t>以上</w:t>
      </w:r>
      <w:r>
        <w:rPr>
          <w:rFonts w:hint="eastAsia" w:ascii="宋体" w:hAnsi="宋体" w:eastAsia="宋体" w:cs="宋体"/>
          <w:color w:val="auto"/>
          <w:sz w:val="24"/>
          <w:szCs w:val="24"/>
          <w:highlight w:val="none"/>
        </w:rPr>
        <w:t>设备</w:t>
      </w:r>
      <w:r>
        <w:rPr>
          <w:rFonts w:hint="eastAsia" w:ascii="宋体" w:hAnsi="宋体" w:eastAsia="宋体" w:cs="宋体"/>
          <w:color w:val="auto"/>
          <w:sz w:val="24"/>
          <w:szCs w:val="24"/>
          <w:highlight w:val="none"/>
          <w:lang w:eastAsia="zh-CN"/>
        </w:rPr>
        <w:t>的（承诺采购的设备须</w:t>
      </w:r>
      <w:r>
        <w:rPr>
          <w:rFonts w:hint="eastAsia" w:ascii="宋体" w:hAnsi="宋体" w:eastAsia="宋体" w:cs="宋体"/>
          <w:color w:val="auto"/>
          <w:sz w:val="24"/>
          <w:szCs w:val="24"/>
          <w:highlight w:val="none"/>
        </w:rPr>
        <w:t>为</w:t>
      </w:r>
      <w:r>
        <w:rPr>
          <w:rFonts w:hint="eastAsia" w:ascii="宋体" w:hAnsi="宋体" w:cs="宋体"/>
          <w:b/>
          <w:bCs/>
          <w:color w:val="auto"/>
          <w:sz w:val="24"/>
          <w:szCs w:val="24"/>
          <w:highlight w:val="none"/>
          <w:lang w:val="en-US" w:eastAsia="zh-CN"/>
        </w:rPr>
        <w:t>2023</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月1日后出厂</w:t>
      </w:r>
      <w:r>
        <w:rPr>
          <w:rFonts w:hint="eastAsia" w:ascii="宋体" w:hAnsi="宋体" w:eastAsia="宋体" w:cs="宋体"/>
          <w:color w:val="auto"/>
          <w:sz w:val="24"/>
          <w:szCs w:val="24"/>
          <w:highlight w:val="none"/>
          <w:lang w:eastAsia="zh-CN"/>
        </w:rPr>
        <w:t>），视为有效</w:t>
      </w:r>
      <w:r>
        <w:rPr>
          <w:rFonts w:hint="eastAsia" w:ascii="宋体" w:hAnsi="宋体" w:eastAsia="宋体" w:cs="宋体"/>
          <w:color w:val="auto"/>
          <w:sz w:val="24"/>
          <w:szCs w:val="24"/>
          <w:highlight w:val="none"/>
        </w:rPr>
        <w:t>。</w:t>
      </w:r>
    </w:p>
    <w:p w14:paraId="1888D276">
      <w:pPr>
        <w:pageBreakBefore w:val="0"/>
        <w:kinsoku/>
        <w:wordWrap/>
        <w:overflowPunct/>
        <w:topLinePunct w:val="0"/>
        <w:autoSpaceDE/>
        <w:autoSpaceDN/>
        <w:bidi w:val="0"/>
        <w:adjustRightInd/>
        <w:snapToGrid/>
        <w:spacing w:beforeAutospacing="0" w:afterAutospacing="0"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2.投标人自有</w:t>
      </w:r>
      <w:r>
        <w:rPr>
          <w:rFonts w:hint="eastAsia" w:ascii="宋体" w:hAnsi="宋体" w:eastAsia="宋体" w:cs="宋体"/>
          <w:color w:val="auto"/>
          <w:sz w:val="24"/>
          <w:szCs w:val="24"/>
          <w:highlight w:val="none"/>
          <w:lang w:eastAsia="zh-CN"/>
        </w:rPr>
        <w:t>上述设备</w:t>
      </w:r>
      <w:r>
        <w:rPr>
          <w:rFonts w:hint="eastAsia" w:ascii="宋体" w:hAnsi="宋体" w:eastAsia="宋体" w:cs="宋体"/>
          <w:color w:val="auto"/>
          <w:sz w:val="24"/>
          <w:szCs w:val="24"/>
          <w:highlight w:val="none"/>
        </w:rPr>
        <w:t>须为</w:t>
      </w:r>
      <w:r>
        <w:rPr>
          <w:rFonts w:hint="eastAsia" w:ascii="宋体" w:hAnsi="宋体" w:eastAsia="宋体" w:cs="宋体"/>
          <w:b/>
          <w:bCs/>
          <w:color w:val="auto"/>
          <w:sz w:val="24"/>
          <w:szCs w:val="24"/>
          <w:highlight w:val="none"/>
        </w:rPr>
        <w:t>20</w:t>
      </w:r>
      <w:r>
        <w:rPr>
          <w:rFonts w:hint="eastAsia" w:ascii="宋体" w:hAnsi="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月1日</w:t>
      </w:r>
      <w:r>
        <w:rPr>
          <w:rFonts w:hint="eastAsia" w:ascii="宋体" w:hAnsi="宋体" w:eastAsia="宋体" w:cs="宋体"/>
          <w:color w:val="auto"/>
          <w:sz w:val="24"/>
          <w:szCs w:val="24"/>
          <w:highlight w:val="none"/>
        </w:rPr>
        <w:t>后出厂并取得机动车行驶证。</w:t>
      </w:r>
    </w:p>
    <w:p w14:paraId="4717C206">
      <w:pPr>
        <w:pageBreakBefore w:val="0"/>
        <w:kinsoku/>
        <w:wordWrap/>
        <w:overflowPunct/>
        <w:topLinePunct w:val="0"/>
        <w:autoSpaceDE/>
        <w:autoSpaceDN/>
        <w:bidi w:val="0"/>
        <w:adjustRightInd/>
        <w:snapToGrid/>
        <w:spacing w:beforeAutospacing="0" w:afterAutospacing="0" w:line="360" w:lineRule="auto"/>
        <w:ind w:left="5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★为实质性要求，不接受负偏离。</w:t>
      </w:r>
    </w:p>
    <w:p w14:paraId="3167C6DC">
      <w:pPr>
        <w:pageBreakBefore w:val="0"/>
        <w:kinsoku/>
        <w:wordWrap/>
        <w:overflowPunct/>
        <w:topLinePunct w:val="0"/>
        <w:autoSpaceDE/>
        <w:autoSpaceDN/>
        <w:bidi w:val="0"/>
        <w:adjustRightInd/>
        <w:snapToGrid/>
        <w:spacing w:beforeAutospacing="0" w:afterAutospacing="0" w:line="360" w:lineRule="auto"/>
        <w:ind w:left="6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四、项目内容</w:t>
      </w:r>
    </w:p>
    <w:p w14:paraId="6A8286B3">
      <w:pPr>
        <w:pageBreakBefore w:val="0"/>
        <w:kinsoku/>
        <w:wordWrap/>
        <w:overflowPunct/>
        <w:topLinePunct w:val="0"/>
        <w:autoSpaceDE/>
        <w:autoSpaceDN/>
        <w:bidi w:val="0"/>
        <w:adjustRightInd/>
        <w:snapToGrid/>
        <w:spacing w:beforeAutospacing="0" w:afterAutospacing="0" w:line="360" w:lineRule="auto"/>
        <w:ind w:left="37" w:right="401"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本项目主要实施范围包含徐州高新区范围内以下排水设施：</w:t>
      </w:r>
    </w:p>
    <w:p w14:paraId="21BDE7A7">
      <w:pPr>
        <w:pageBreakBefore w:val="0"/>
        <w:kinsoku/>
        <w:wordWrap/>
        <w:overflowPunct/>
        <w:topLinePunct w:val="0"/>
        <w:autoSpaceDE/>
        <w:autoSpaceDN/>
        <w:bidi w:val="0"/>
        <w:adjustRightInd/>
        <w:snapToGrid/>
        <w:spacing w:beforeAutospacing="0" w:afterAutospacing="0" w:line="360" w:lineRule="auto"/>
        <w:ind w:left="37" w:right="401" w:firstLine="484"/>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徐州高新技术产业开发区公共事业管理服务中心负责徐州高新区雨污水管道的长效管理，</w:t>
      </w:r>
      <w:r>
        <w:rPr>
          <w:rFonts w:hint="eastAsia" w:ascii="宋体" w:hAnsi="宋体" w:cs="宋体"/>
          <w:b/>
          <w:bCs/>
          <w:color w:val="auto"/>
          <w:sz w:val="24"/>
          <w:szCs w:val="24"/>
          <w:highlight w:val="none"/>
          <w:lang w:eastAsia="zh-CN"/>
        </w:rPr>
        <w:t>采购包</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约</w:t>
      </w:r>
      <w:r>
        <w:rPr>
          <w:rFonts w:hint="eastAsia" w:ascii="宋体" w:hAnsi="宋体" w:cs="宋体"/>
          <w:b/>
          <w:bCs/>
          <w:color w:val="auto"/>
          <w:sz w:val="24"/>
          <w:szCs w:val="24"/>
          <w:highlight w:val="none"/>
          <w:lang w:val="en-US" w:eastAsia="zh-CN"/>
        </w:rPr>
        <w:t>132</w:t>
      </w:r>
      <w:r>
        <w:rPr>
          <w:rFonts w:hint="eastAsia" w:ascii="宋体" w:hAnsi="宋体" w:eastAsia="宋体" w:cs="宋体"/>
          <w:b/>
          <w:bCs/>
          <w:color w:val="auto"/>
          <w:sz w:val="24"/>
          <w:szCs w:val="24"/>
          <w:highlight w:val="none"/>
        </w:rPr>
        <w:t>公里及其附属设施，</w:t>
      </w:r>
      <w:r>
        <w:rPr>
          <w:rFonts w:hint="eastAsia" w:ascii="宋体" w:hAnsi="宋体" w:cs="宋体"/>
          <w:b/>
          <w:bCs/>
          <w:color w:val="auto"/>
          <w:sz w:val="24"/>
          <w:szCs w:val="24"/>
          <w:highlight w:val="none"/>
          <w:lang w:val="en-US" w:eastAsia="zh-CN"/>
        </w:rPr>
        <w:t>采购包二</w:t>
      </w:r>
      <w:r>
        <w:rPr>
          <w:rFonts w:hint="eastAsia" w:ascii="宋体" w:hAnsi="宋体" w:eastAsia="宋体" w:cs="宋体"/>
          <w:b/>
          <w:bCs/>
          <w:color w:val="auto"/>
          <w:sz w:val="24"/>
          <w:szCs w:val="24"/>
          <w:highlight w:val="none"/>
        </w:rPr>
        <w:t>约</w:t>
      </w:r>
      <w:r>
        <w:rPr>
          <w:rFonts w:hint="eastAsia" w:ascii="宋体" w:hAnsi="宋体" w:cs="宋体"/>
          <w:b/>
          <w:bCs/>
          <w:color w:val="auto"/>
          <w:sz w:val="24"/>
          <w:szCs w:val="24"/>
          <w:highlight w:val="none"/>
          <w:lang w:val="en-US" w:eastAsia="zh-CN"/>
        </w:rPr>
        <w:t>148</w:t>
      </w:r>
      <w:r>
        <w:rPr>
          <w:rFonts w:hint="eastAsia" w:ascii="宋体" w:hAnsi="宋体" w:eastAsia="宋体" w:cs="宋体"/>
          <w:b/>
          <w:bCs/>
          <w:color w:val="auto"/>
          <w:sz w:val="24"/>
          <w:szCs w:val="24"/>
          <w:highlight w:val="none"/>
        </w:rPr>
        <w:t>公里及其附属设施。具体清单详见附件1《徐州高新区排水设施清单》。</w:t>
      </w:r>
    </w:p>
    <w:p w14:paraId="43D70E77">
      <w:pPr>
        <w:pageBreakBefore w:val="0"/>
        <w:kinsoku/>
        <w:wordWrap/>
        <w:overflowPunct/>
        <w:topLinePunct w:val="0"/>
        <w:autoSpaceDE/>
        <w:autoSpaceDN/>
        <w:bidi w:val="0"/>
        <w:adjustRightInd/>
        <w:snapToGrid/>
        <w:spacing w:beforeAutospacing="0" w:afterAutospacing="0" w:line="360" w:lineRule="auto"/>
        <w:ind w:left="37" w:right="401"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五、服务内容及要求：</w:t>
      </w:r>
    </w:p>
    <w:p w14:paraId="3BC269EE">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1、招标文件范围内所有雨污水管道、检查井、收水口(平、侧)、地道排水横截沟及边沟、出水口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泵站前池</w:t>
      </w:r>
      <w:r>
        <w:rPr>
          <w:rFonts w:hint="eastAsia" w:ascii="宋体" w:hAnsi="宋体" w:eastAsia="宋体" w:cs="宋体"/>
          <w:color w:val="auto"/>
          <w:sz w:val="24"/>
          <w:szCs w:val="24"/>
          <w:highlight w:val="none"/>
        </w:rPr>
        <w:t>等设施的清掏及清疏工作。</w:t>
      </w:r>
    </w:p>
    <w:p w14:paraId="63CAE907">
      <w:pPr>
        <w:pageBreakBefore w:val="0"/>
        <w:kinsoku/>
        <w:wordWrap/>
        <w:overflowPunct/>
        <w:topLinePunct w:val="0"/>
        <w:autoSpaceDE/>
        <w:autoSpaceDN/>
        <w:bidi w:val="0"/>
        <w:adjustRightInd/>
        <w:snapToGrid/>
        <w:spacing w:beforeAutospacing="0" w:afterAutospacing="0" w:line="360" w:lineRule="auto"/>
        <w:ind w:left="38" w:right="96"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2、招标文件范围内所有雨污水管道、检查井、收水口(平、侧)、地道排水横截沟及边沟、出水口</w:t>
      </w:r>
      <w:r>
        <w:rPr>
          <w:rFonts w:hint="eastAsia" w:ascii="宋体" w:hAnsi="宋体" w:eastAsia="宋体" w:cs="宋体"/>
          <w:color w:val="auto"/>
          <w:sz w:val="24"/>
          <w:szCs w:val="24"/>
          <w:highlight w:val="none"/>
          <w:lang w:val="en-US" w:eastAsia="zh-CN"/>
        </w:rPr>
        <w:t>及其他设施</w:t>
      </w:r>
      <w:r>
        <w:rPr>
          <w:rFonts w:hint="eastAsia" w:ascii="宋体" w:hAnsi="宋体" w:eastAsia="宋体" w:cs="宋体"/>
          <w:color w:val="auto"/>
          <w:sz w:val="24"/>
          <w:szCs w:val="24"/>
          <w:highlight w:val="none"/>
        </w:rPr>
        <w:t>的日常巡查和设施保护工作。</w:t>
      </w:r>
    </w:p>
    <w:p w14:paraId="4C98C079">
      <w:pPr>
        <w:pageBreakBefore w:val="0"/>
        <w:kinsoku/>
        <w:wordWrap/>
        <w:overflowPunct/>
        <w:topLinePunct w:val="0"/>
        <w:autoSpaceDE/>
        <w:autoSpaceDN/>
        <w:bidi w:val="0"/>
        <w:adjustRightInd/>
        <w:snapToGrid/>
        <w:spacing w:beforeAutospacing="0" w:afterAutospacing="0" w:line="360" w:lineRule="auto"/>
        <w:ind w:left="38" w:right="96"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3、招标文件范围内所有雨污水管道、检查井、收水口(平、侧)、地道排水横截沟及边沟泵池等设施清掏出的垃圾清运处理工作。</w:t>
      </w:r>
    </w:p>
    <w:p w14:paraId="71B0D4A6">
      <w:pPr>
        <w:pageBreakBefore w:val="0"/>
        <w:kinsoku/>
        <w:wordWrap/>
        <w:overflowPunct/>
        <w:topLinePunct w:val="0"/>
        <w:autoSpaceDE/>
        <w:autoSpaceDN/>
        <w:bidi w:val="0"/>
        <w:adjustRightInd/>
        <w:snapToGrid/>
        <w:spacing w:beforeAutospacing="0" w:afterAutospacing="0" w:line="360" w:lineRule="auto"/>
        <w:ind w:left="38" w:right="96"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4、招标文件范围内检查井、收水口的井盖、座维修更换及防坠设施安装工作。</w:t>
      </w:r>
    </w:p>
    <w:p w14:paraId="50DC15CA">
      <w:pPr>
        <w:pageBreakBefore w:val="0"/>
        <w:kinsoku/>
        <w:wordWrap/>
        <w:overflowPunct/>
        <w:topLinePunct w:val="0"/>
        <w:autoSpaceDE/>
        <w:autoSpaceDN/>
        <w:bidi w:val="0"/>
        <w:adjustRightInd/>
        <w:snapToGrid/>
        <w:spacing w:beforeAutospacing="0" w:afterAutospacing="0" w:line="360" w:lineRule="auto"/>
        <w:ind w:left="38" w:right="96"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5、招标文件范围内雨污水管道的(根据实际需要)开展视频检测工作，出具检测报告、提供影像资料。</w:t>
      </w:r>
    </w:p>
    <w:p w14:paraId="38BCFC39">
      <w:pPr>
        <w:pageBreakBefore w:val="0"/>
        <w:kinsoku/>
        <w:wordWrap/>
        <w:overflowPunct/>
        <w:topLinePunct w:val="0"/>
        <w:autoSpaceDE/>
        <w:autoSpaceDN/>
        <w:bidi w:val="0"/>
        <w:adjustRightInd/>
        <w:snapToGrid/>
        <w:spacing w:beforeAutospacing="0" w:afterAutospacing="0" w:line="360" w:lineRule="auto"/>
        <w:ind w:left="5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6、招标文件范围内防汛应急工作。</w:t>
      </w:r>
    </w:p>
    <w:p w14:paraId="637481E0">
      <w:pPr>
        <w:pageBreakBefore w:val="0"/>
        <w:kinsoku/>
        <w:wordWrap/>
        <w:overflowPunct/>
        <w:topLinePunct w:val="0"/>
        <w:autoSpaceDE/>
        <w:autoSpaceDN/>
        <w:bidi w:val="0"/>
        <w:adjustRightInd/>
        <w:snapToGrid/>
        <w:spacing w:beforeAutospacing="0" w:afterAutospacing="0" w:line="360" w:lineRule="auto"/>
        <w:ind w:left="37" w:right="104" w:firstLine="4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7、招标文件范围所有雨污水管道、检查井、收水口(平、侧)、地道排水横截沟及边沟、出水口、泵站、闸门等设施缺陷上报工作。</w:t>
      </w:r>
    </w:p>
    <w:p w14:paraId="073C066D">
      <w:pPr>
        <w:pageBreakBefore w:val="0"/>
        <w:kinsoku/>
        <w:wordWrap/>
        <w:overflowPunct/>
        <w:topLinePunct w:val="0"/>
        <w:autoSpaceDE/>
        <w:autoSpaceDN/>
        <w:bidi w:val="0"/>
        <w:adjustRightInd/>
        <w:snapToGrid/>
        <w:spacing w:beforeAutospacing="0" w:afterAutospacing="0" w:line="360" w:lineRule="auto"/>
        <w:ind w:left="40" w:firstLine="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8、招标文件范围内应急抢修工作(连接管维修更换、绿化或路面覆盖的检查井抬升、应急封堵导流、污水冒溢处置、积水点增加收水井、封堵墙拆除、雨污错接封堵、污水进河处置等)。</w:t>
      </w:r>
    </w:p>
    <w:p w14:paraId="3FA75D52">
      <w:pPr>
        <w:pageBreakBefore w:val="0"/>
        <w:kinsoku/>
        <w:wordWrap/>
        <w:overflowPunct/>
        <w:topLinePunct w:val="0"/>
        <w:autoSpaceDE/>
        <w:autoSpaceDN/>
        <w:bidi w:val="0"/>
        <w:adjustRightInd/>
        <w:snapToGrid/>
        <w:spacing w:beforeAutospacing="0" w:afterAutospacing="0" w:line="360" w:lineRule="auto"/>
        <w:ind w:left="5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9、招标文件范围内泵站、闸门、微型水质自动监测站的巡查、看护工作。</w:t>
      </w:r>
    </w:p>
    <w:p w14:paraId="7B9318A2">
      <w:pPr>
        <w:pageBreakBefore w:val="0"/>
        <w:kinsoku/>
        <w:wordWrap/>
        <w:overflowPunct/>
        <w:topLinePunct w:val="0"/>
        <w:autoSpaceDE/>
        <w:autoSpaceDN/>
        <w:bidi w:val="0"/>
        <w:adjustRightInd/>
        <w:snapToGrid/>
        <w:spacing w:beforeAutospacing="0" w:afterAutospacing="0" w:line="360" w:lineRule="auto"/>
        <w:ind w:left="40" w:right="86"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10、建立24小时服务热线电话，对合同范围内市民、媒体、12319热线、12345热线、污染防治平台等反映的问题必须按各平台考核要求及时处理，并协助招标人做好现场处理工作。</w:t>
      </w:r>
    </w:p>
    <w:p w14:paraId="1AE97A40">
      <w:pPr>
        <w:pageBreakBefore w:val="0"/>
        <w:kinsoku/>
        <w:wordWrap/>
        <w:overflowPunct/>
        <w:topLinePunct w:val="0"/>
        <w:autoSpaceDE/>
        <w:autoSpaceDN/>
        <w:bidi w:val="0"/>
        <w:adjustRightInd/>
        <w:snapToGrid/>
        <w:spacing w:beforeAutospacing="0" w:afterAutospacing="0" w:line="360" w:lineRule="auto"/>
        <w:ind w:left="38" w:right="85" w:firstLine="4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11、熟练掌握和运用排水设施管理的相关法律、法规、规章，熟悉巡查范围内设施数量和运行状况，对施工工地影响或破坏排水设施安全的行为进行制止，并协助招标人做好现场处理工作。</w:t>
      </w:r>
    </w:p>
    <w:p w14:paraId="1FF0D3C9">
      <w:pPr>
        <w:pageBreakBefore w:val="0"/>
        <w:kinsoku/>
        <w:wordWrap/>
        <w:overflowPunct/>
        <w:topLinePunct w:val="0"/>
        <w:autoSpaceDE/>
        <w:autoSpaceDN/>
        <w:bidi w:val="0"/>
        <w:adjustRightInd/>
        <w:snapToGrid/>
        <w:spacing w:beforeAutospacing="0" w:afterAutospacing="0" w:line="360" w:lineRule="auto"/>
        <w:ind w:left="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12、必须具备全天候24小时作业能力。</w:t>
      </w:r>
    </w:p>
    <w:p w14:paraId="48658CF8">
      <w:pPr>
        <w:pageBreakBefore w:val="0"/>
        <w:kinsoku/>
        <w:wordWrap/>
        <w:overflowPunct/>
        <w:topLinePunct w:val="0"/>
        <w:autoSpaceDE/>
        <w:autoSpaceDN/>
        <w:bidi w:val="0"/>
        <w:adjustRightInd/>
        <w:snapToGrid/>
        <w:spacing w:beforeAutospacing="0" w:afterAutospacing="0" w:line="360" w:lineRule="auto"/>
        <w:ind w:right="85"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13、协助招标人对新建、大修、改扩建等工程新增移交市政养护的排水设施进行视频检测、测绘和验收（中标人对新增市政管网的抽检比例不低于10%）。</w:t>
      </w:r>
    </w:p>
    <w:p w14:paraId="7C84DDAF">
      <w:pPr>
        <w:pageBreakBefore w:val="0"/>
        <w:kinsoku/>
        <w:wordWrap/>
        <w:overflowPunct/>
        <w:topLinePunct w:val="0"/>
        <w:autoSpaceDE/>
        <w:autoSpaceDN/>
        <w:bidi w:val="0"/>
        <w:adjustRightInd/>
        <w:snapToGrid/>
        <w:spacing w:beforeAutospacing="0" w:afterAutospacing="0" w:line="360" w:lineRule="auto"/>
        <w:ind w:left="38" w:right="85" w:firstLine="4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14、配合做好项目区排水设施的验收工作。</w:t>
      </w:r>
    </w:p>
    <w:p w14:paraId="2CD15543">
      <w:pPr>
        <w:pageBreakBefore w:val="0"/>
        <w:kinsoku/>
        <w:wordWrap/>
        <w:overflowPunct/>
        <w:topLinePunct w:val="0"/>
        <w:autoSpaceDE/>
        <w:autoSpaceDN/>
        <w:bidi w:val="0"/>
        <w:adjustRightInd/>
        <w:snapToGrid/>
        <w:spacing w:beforeAutospacing="0" w:afterAutospacing="0" w:line="360" w:lineRule="auto"/>
        <w:ind w:left="4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六、具体要求</w:t>
      </w:r>
    </w:p>
    <w:p w14:paraId="4D966B1B">
      <w:pPr>
        <w:pageBreakBefore w:val="0"/>
        <w:kinsoku/>
        <w:wordWrap/>
        <w:overflowPunct/>
        <w:topLinePunct w:val="0"/>
        <w:autoSpaceDE/>
        <w:autoSpaceDN/>
        <w:bidi w:val="0"/>
        <w:adjustRightInd/>
        <w:snapToGrid/>
        <w:spacing w:beforeAutospacing="0" w:afterAutospacing="0" w:line="360" w:lineRule="auto"/>
        <w:ind w:left="480"/>
        <w:outlineLvl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1、日常巡查养护：</w:t>
      </w:r>
    </w:p>
    <w:p w14:paraId="5D2C1460">
      <w:pPr>
        <w:pageBreakBefore w:val="0"/>
        <w:kinsoku/>
        <w:wordWrap/>
        <w:overflowPunct/>
        <w:topLinePunct w:val="0"/>
        <w:autoSpaceDE/>
        <w:autoSpaceDN/>
        <w:bidi w:val="0"/>
        <w:adjustRightInd/>
        <w:snapToGrid/>
        <w:spacing w:beforeAutospacing="0" w:afterAutospacing="0" w:line="360" w:lineRule="auto"/>
        <w:ind w:left="38" w:right="85"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投标人对日常巡查实行定人、定路段、定职责、定标准，确保养护范围内排水设施每天巡查到位，养护到位，日常巡查不留死角，做到发现问题要早、处理问题要快、确保养护范围内排水设施排水通畅。</w:t>
      </w:r>
    </w:p>
    <w:p w14:paraId="2058F38D">
      <w:pPr>
        <w:pageBreakBefore w:val="0"/>
        <w:kinsoku/>
        <w:wordWrap/>
        <w:overflowPunct/>
        <w:topLinePunct w:val="0"/>
        <w:autoSpaceDE/>
        <w:autoSpaceDN/>
        <w:bidi w:val="0"/>
        <w:adjustRightInd/>
        <w:snapToGrid/>
        <w:spacing w:beforeAutospacing="0" w:afterAutospacing="0" w:line="360" w:lineRule="auto"/>
        <w:ind w:left="34" w:firstLine="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排足额定量的固定专职人员做好白天巡查(合同范围内所有排水设施必须巡查每天一遍)和夜间值班。配备必要的交通巡查工具和电子设备，确保雨污水管、窨井、收水口、排放口等排水设施有专人巡查养护，节假日不间断，并做好巡查台账记录，做到发现问题第一时间报告招标人。</w:t>
      </w:r>
    </w:p>
    <w:p w14:paraId="429329D4">
      <w:pPr>
        <w:pageBreakBefore w:val="0"/>
        <w:kinsoku/>
        <w:wordWrap/>
        <w:overflowPunct/>
        <w:topLinePunct w:val="0"/>
        <w:autoSpaceDE/>
        <w:autoSpaceDN/>
        <w:bidi w:val="0"/>
        <w:adjustRightInd/>
        <w:snapToGrid/>
        <w:spacing w:beforeAutospacing="0" w:afterAutospacing="0" w:line="360" w:lineRule="auto"/>
        <w:ind w:left="39" w:right="85"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及时发现并制止违反排水许可、损害管网设施等行为。在巡查养护过程中，发现违章接管、偷排、擅自施工影响管网设施安全等行为，应立即制止，拍摄记录好相关违法、违章、损坏等证据，保护好现场并于半小时之内通知招标人，招标人将协助投标人督促违法单位及时整改。若未及时发现此类问题，雨污水管、井内的垃圾由投标人自行清理。</w:t>
      </w:r>
    </w:p>
    <w:p w14:paraId="4C24FDC9">
      <w:pPr>
        <w:pageBreakBefore w:val="0"/>
        <w:kinsoku/>
        <w:wordWrap/>
        <w:overflowPunct/>
        <w:topLinePunct w:val="0"/>
        <w:autoSpaceDE/>
        <w:autoSpaceDN/>
        <w:bidi w:val="0"/>
        <w:adjustRightInd/>
        <w:snapToGrid/>
        <w:spacing w:beforeAutospacing="0" w:afterAutospacing="0" w:line="360" w:lineRule="auto"/>
        <w:ind w:left="39" w:right="100"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(3)在巡查养护雨污水管网时，发现设施缺陷时应及时告知招标人；派员协助招标人做好缺陷的现场踏勘工作。</w:t>
      </w:r>
    </w:p>
    <w:p w14:paraId="210BEED4">
      <w:pPr>
        <w:pageBreakBefore w:val="0"/>
        <w:kinsoku/>
        <w:wordWrap/>
        <w:overflowPunct/>
        <w:topLinePunct w:val="0"/>
        <w:autoSpaceDE/>
        <w:autoSpaceDN/>
        <w:bidi w:val="0"/>
        <w:adjustRightInd/>
        <w:snapToGrid/>
        <w:spacing w:beforeAutospacing="0" w:afterAutospacing="0" w:line="360" w:lineRule="auto"/>
        <w:ind w:left="42" w:right="86" w:firstLine="48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(4)巡视、养护人员统一整洁着装(有明确的单位标识)，有安全反光标识，要熟练掌握和运用排水设施管理的相关法律、法规、规章，熟悉巡查范围内设施数量和运行状况。</w:t>
      </w:r>
    </w:p>
    <w:p w14:paraId="0DE55FC9">
      <w:pPr>
        <w:pageBreakBefore w:val="0"/>
        <w:kinsoku/>
        <w:wordWrap/>
        <w:overflowPunct/>
        <w:topLinePunct w:val="0"/>
        <w:autoSpaceDE/>
        <w:autoSpaceDN/>
        <w:bidi w:val="0"/>
        <w:adjustRightInd/>
        <w:snapToGrid/>
        <w:spacing w:beforeAutospacing="0" w:afterAutospacing="0" w:line="360" w:lineRule="auto"/>
        <w:ind w:left="123" w:right="345"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(5)建立24小时服务热线电话，对市民、媒体、12319热线、12345热线、污染防治平台等反映的问题必须按各平台考核要求及时处理，并协助招标人做好现场处理工作。</w:t>
      </w:r>
    </w:p>
    <w:p w14:paraId="1D585B0F">
      <w:pPr>
        <w:pageBreakBefore w:val="0"/>
        <w:kinsoku/>
        <w:wordWrap/>
        <w:overflowPunct/>
        <w:topLinePunct w:val="0"/>
        <w:autoSpaceDE/>
        <w:autoSpaceDN/>
        <w:bidi w:val="0"/>
        <w:adjustRightInd/>
        <w:snapToGrid/>
        <w:spacing w:beforeAutospacing="0" w:afterAutospacing="0" w:line="360" w:lineRule="auto"/>
        <w:ind w:left="123" w:right="345" w:firstLine="485"/>
        <w:rPr>
          <w:rFonts w:hint="eastAsia"/>
          <w:b/>
          <w:bCs/>
          <w:color w:val="auto"/>
          <w:highlight w:val="none"/>
          <w:lang w:val="en-US" w:eastAsia="zh-CN"/>
        </w:rPr>
      </w:pPr>
      <w:r>
        <w:rPr>
          <w:rFonts w:hint="eastAsia" w:ascii="宋体" w:hAnsi="宋体" w:eastAsia="宋体" w:cs="宋体"/>
          <w:color w:val="auto"/>
          <w:sz w:val="24"/>
          <w:szCs w:val="24"/>
          <w:highlight w:val="none"/>
        </w:rPr>
        <w:t>2、疏通维护工作：负责雨污水管网设施的日常管理养护，按计划进行疏通，保障管网畅通正常运行，在发现外溢、管道堵塞、井盖破损缺失等情况后，及时进行疏通和更换，所需更换的检查井、收水井座、盖均由甲方负责提供，严格按照徐州市井盖办《窨井盖维修工作规程》(试行)维修更换。</w:t>
      </w:r>
      <w:r>
        <w:rPr>
          <w:rFonts w:hint="eastAsia" w:ascii="宋体" w:hAnsi="宋体" w:cs="宋体"/>
          <w:b/>
          <w:bCs/>
          <w:color w:val="auto"/>
          <w:sz w:val="24"/>
          <w:szCs w:val="24"/>
          <w:highlight w:val="none"/>
        </w:rPr>
        <w:t>乙方承担雨污水管道、井室内部零星小修小补</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不包含井盖维修、调平</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：单次维修包干费用≤5000 元（含税全费用），每年最多承担10次包干维修</w:t>
      </w:r>
      <w:r>
        <w:rPr>
          <w:rFonts w:hint="eastAsia" w:ascii="宋体" w:hAnsi="宋体" w:cs="宋体"/>
          <w:b/>
          <w:bCs/>
          <w:color w:val="auto"/>
          <w:sz w:val="24"/>
          <w:szCs w:val="24"/>
          <w:highlight w:val="none"/>
          <w:lang w:eastAsia="zh-CN"/>
        </w:rPr>
        <w:t>。</w:t>
      </w:r>
    </w:p>
    <w:p w14:paraId="77DBC9C1">
      <w:pPr>
        <w:pageBreakBefore w:val="0"/>
        <w:kinsoku/>
        <w:wordWrap/>
        <w:overflowPunct/>
        <w:topLinePunct w:val="0"/>
        <w:autoSpaceDE/>
        <w:autoSpaceDN/>
        <w:bidi w:val="0"/>
        <w:adjustRightInd/>
        <w:snapToGrid/>
        <w:spacing w:beforeAutospacing="0" w:afterAutospacing="0" w:line="360" w:lineRule="auto"/>
        <w:ind w:left="123" w:right="360" w:firstLine="485"/>
        <w:rPr>
          <w:rFonts w:hint="eastAsia" w:ascii="宋体" w:hAnsi="宋体" w:eastAsia="宋体" w:cs="宋体"/>
          <w:color w:val="auto"/>
          <w:highlight w:val="none"/>
        </w:rPr>
      </w:pPr>
      <w:r>
        <w:rPr>
          <w:rFonts w:hint="eastAsia" w:ascii="宋体" w:hAnsi="宋体" w:eastAsia="宋体" w:cs="宋体"/>
          <w:color w:val="auto"/>
          <w:sz w:val="24"/>
          <w:szCs w:val="24"/>
          <w:highlight w:val="none"/>
        </w:rPr>
        <w:t>(1)雨污水管网维护(疏通、清理)：投标人根据《江苏省城市排水防涝工作考核标准细则》及《城镇排水管渠与泵站运行、维护及安全技术规程》CJJ68-2016要求执行。</w:t>
      </w:r>
    </w:p>
    <w:p w14:paraId="2364614F">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按上述要求自行编排年度养护计划并上报招标人，其中每年5月31日前必须完成所有收水口、支管、雨水管清疏通一遍的任务，每年10月-12月必须完成所有收水口、支管、雨污水管清疏通一遍的任务，每月10号前按照当年年度计划分解上报雨污水管网的月度养护工作计划，由招标人审定后按计划进行，做到及时清理、疏通。在日常养护中做到井座与路面平整、井座与井盖完整，井盖安放平稳严密，井内无淤积物，保证排水管网畅通运行。养护过程中，详细记录雨水检查井、雨水收水口、污水检查井挖淤个数，疏通管网长度。月底汇总统计形成报告上报招标人。招标人随时对现场作业情况进行监督。</w:t>
      </w:r>
    </w:p>
    <w:p w14:paraId="74E61070">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雨污水管网疏通、清理包括：雨污水主支管道、雨水连接管、窨井、雨水收水口的疏通和清理，垃圾、淤泥的外运等。所清运的垃圾和淤泥运输必须符合环保、卫生、城管等部门的管理要求。雨污水管网疏通、清理要求包括：疏通后雨污水管积淤量不超过管径的1/5，雨污水检查井的积淤量不超过5cm，雨水收水口无垃圾、树叶遮挡，平蓖口井积淤量不超过5cm。验收要求参照《城镇排水管渠与泵站运行、维护及安全技术规程》CJJ68-2016</w:t>
      </w:r>
      <w:r>
        <w:rPr>
          <w:rFonts w:hint="eastAsia" w:ascii="宋体" w:hAnsi="宋体" w:cs="宋体"/>
          <w:color w:val="auto"/>
          <w:sz w:val="24"/>
          <w:szCs w:val="24"/>
          <w:highlight w:val="none"/>
          <w:lang w:eastAsia="zh-CN"/>
        </w:rPr>
        <w:t>。</w:t>
      </w:r>
    </w:p>
    <w:p w14:paraId="746FAF0E">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(3)养护质量检查的方式：①招标人采取随机</w:t>
      </w:r>
      <w:r>
        <w:rPr>
          <w:rFonts w:hint="eastAsia" w:ascii="宋体" w:hAnsi="宋体" w:eastAsia="宋体" w:cs="宋体"/>
          <w:color w:val="auto"/>
          <w:sz w:val="24"/>
          <w:szCs w:val="24"/>
          <w:highlight w:val="none"/>
          <w:lang w:val="en-US" w:eastAsia="zh-CN"/>
        </w:rPr>
        <w:t>模式进行</w:t>
      </w:r>
      <w:r>
        <w:rPr>
          <w:rFonts w:hint="eastAsia" w:ascii="宋体" w:hAnsi="宋体" w:eastAsia="宋体" w:cs="宋体"/>
          <w:color w:val="auto"/>
          <w:sz w:val="24"/>
          <w:szCs w:val="24"/>
          <w:highlight w:val="none"/>
        </w:rPr>
        <w:t>抽检。②招标人指定管段进行CCTV检查，每年不超过5%，检查所用的CCTV，临时封堵、导水等设备、措施均由投标人提供，不再另计费用。</w:t>
      </w:r>
    </w:p>
    <w:p w14:paraId="2668B482">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巡查发现和市民、媒体、12319热线、12345热线等反映的井盖缺损，应立即指派专业人员现场设置警示标志，2小时内更换到位并做好详细记录(更换前后的对比照片、路段及井号)并上报招标人。由于投标人更换不及时造成事故由投标人承担全部责任并进行赔偿。</w:t>
      </w:r>
    </w:p>
    <w:p w14:paraId="0CF871CE">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养护作业安全考核：投标人养护作业人员需严格按照《城镇排水管渠与泵站运行、维护及安全技术规程》CJJ68-2016、《城镇排水管道维护安全技术规程》CJJ6-2009，进行日常维护，在日常维护中要求施工作业现场设置作业护栏、标志等安全措施，夜间作业应符合相关安全规定，保证有足够的照明亮度，作业人员必须</w:t>
      </w:r>
      <w:r>
        <w:rPr>
          <w:rFonts w:hint="eastAsia" w:ascii="宋体" w:hAnsi="宋体" w:eastAsia="宋体" w:cs="宋体"/>
          <w:color w:val="auto"/>
          <w:sz w:val="24"/>
          <w:szCs w:val="24"/>
          <w:highlight w:val="none"/>
          <w:lang w:eastAsia="zh-CN"/>
        </w:rPr>
        <w:t>佩戴</w:t>
      </w:r>
      <w:r>
        <w:rPr>
          <w:rFonts w:hint="eastAsia" w:ascii="宋体" w:hAnsi="宋体" w:eastAsia="宋体" w:cs="宋体"/>
          <w:color w:val="auto"/>
          <w:sz w:val="24"/>
          <w:szCs w:val="24"/>
          <w:highlight w:val="none"/>
        </w:rPr>
        <w:t>头灯、反光背心、作业场地必须设置安全警示灯。下井作业时必须严格执行外部申报与内部审批制度，填写书面《有限空间作业安全票》，具体参照《徐州高新区有限空间作业安全管理办法》执行(详见附件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)。施工结束及时清理现场，恢复原状，不得影响行人和交通的安全。</w:t>
      </w:r>
    </w:p>
    <w:p w14:paraId="362D0547">
      <w:pPr>
        <w:pageBreakBefore w:val="0"/>
        <w:kinsoku/>
        <w:wordWrap/>
        <w:overflowPunct/>
        <w:topLinePunct w:val="0"/>
        <w:autoSpaceDE/>
        <w:autoSpaceDN/>
        <w:bidi w:val="0"/>
        <w:adjustRightInd/>
        <w:snapToGrid/>
        <w:spacing w:beforeAutospacing="0" w:afterAutospacing="0" w:line="360" w:lineRule="auto"/>
        <w:ind w:left="39" w:right="91" w:firstLine="483"/>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(6)投标人定期对养护泵站的垃圾(包括集水井池面漂浮物打捞等)进行清理、外运处置。</w:t>
      </w:r>
      <w:r>
        <w:rPr>
          <w:rFonts w:hint="eastAsia" w:ascii="宋体" w:hAnsi="宋体" w:eastAsia="宋体" w:cs="宋体"/>
          <w:b/>
          <w:bCs/>
          <w:color w:val="auto"/>
          <w:sz w:val="24"/>
          <w:szCs w:val="24"/>
          <w:highlight w:val="none"/>
        </w:rPr>
        <w:t>所清运的垃圾和淤泥运输</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处置</w:t>
      </w:r>
      <w:r>
        <w:rPr>
          <w:rFonts w:hint="eastAsia" w:ascii="宋体" w:hAnsi="宋体" w:eastAsia="宋体" w:cs="宋体"/>
          <w:b/>
          <w:bCs/>
          <w:color w:val="auto"/>
          <w:sz w:val="24"/>
          <w:szCs w:val="24"/>
          <w:highlight w:val="none"/>
        </w:rPr>
        <w:t>必须符合环保、卫生、城管等部门的管理要求</w:t>
      </w:r>
      <w:r>
        <w:rPr>
          <w:rFonts w:hint="eastAsia" w:ascii="宋体" w:hAnsi="宋体" w:eastAsia="宋体" w:cs="宋体"/>
          <w:b/>
          <w:bCs/>
          <w:color w:val="auto"/>
          <w:sz w:val="24"/>
          <w:szCs w:val="24"/>
          <w:highlight w:val="none"/>
          <w:lang w:eastAsia="zh-CN"/>
        </w:rPr>
        <w:t>。</w:t>
      </w:r>
    </w:p>
    <w:p w14:paraId="7A4A7544">
      <w:pPr>
        <w:pageBreakBefore w:val="0"/>
        <w:kinsoku/>
        <w:wordWrap/>
        <w:overflowPunct/>
        <w:topLinePunct w:val="0"/>
        <w:autoSpaceDE/>
        <w:autoSpaceDN/>
        <w:bidi w:val="0"/>
        <w:adjustRightInd/>
        <w:snapToGrid/>
        <w:spacing w:beforeAutospacing="0" w:afterAutospacing="0" w:line="360" w:lineRule="auto"/>
        <w:ind w:left="39" w:right="91" w:firstLine="483"/>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3、防汛应急工作</w:t>
      </w:r>
    </w:p>
    <w:p w14:paraId="5CEF3708">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主要负责养护范围内道路积水，雨水管道漫溢的巡查工作，及配合招标人进行管网抢险、维修工作</w:t>
      </w:r>
      <w:r>
        <w:rPr>
          <w:rFonts w:hint="eastAsia" w:ascii="宋体" w:hAnsi="宋体" w:cs="宋体"/>
          <w:color w:val="auto"/>
          <w:sz w:val="24"/>
          <w:szCs w:val="24"/>
          <w:highlight w:val="none"/>
          <w:lang w:eastAsia="zh-CN"/>
        </w:rPr>
        <w:t>，</w:t>
      </w:r>
      <w:r>
        <w:rPr>
          <w:rFonts w:hint="eastAsia" w:ascii="宋体" w:hAnsi="宋体" w:cs="宋体"/>
          <w:b/>
          <w:bCs/>
          <w:color w:val="auto"/>
          <w:sz w:val="24"/>
          <w:szCs w:val="24"/>
          <w:highlight w:val="none"/>
          <w:lang w:val="en-US" w:eastAsia="zh-CN"/>
        </w:rPr>
        <w:t>每个标段提供80套检查井（收水井）警示筐(含爆闪灯)</w:t>
      </w:r>
      <w:r>
        <w:rPr>
          <w:rFonts w:hint="eastAsia" w:ascii="宋体" w:hAnsi="宋体" w:eastAsia="宋体" w:cs="宋体"/>
          <w:color w:val="auto"/>
          <w:sz w:val="24"/>
          <w:szCs w:val="24"/>
          <w:highlight w:val="none"/>
        </w:rPr>
        <w:t>。</w:t>
      </w:r>
    </w:p>
    <w:p w14:paraId="12E19221">
      <w:pPr>
        <w:pageBreakBefore w:val="0"/>
        <w:numPr>
          <w:ilvl w:val="-1"/>
          <w:numId w:val="0"/>
        </w:numPr>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制定科学合理的汛期值班、巡查及应急制度，成立应急抢险小组。汛期暴雨恶劣天气期间，应急小组要以雨为令及时上岗到位，24小时值班人员不少于2人，道路巡视人员不少于</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人。可根据道路积水情况自行增加防汛人员。</w:t>
      </w:r>
    </w:p>
    <w:p w14:paraId="53FF8AB8">
      <w:pPr>
        <w:pageBreakBefore w:val="0"/>
        <w:numPr>
          <w:ilvl w:val="-1"/>
          <w:numId w:val="0"/>
        </w:numPr>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负责承包范围内雨水检查井、收水口的清掏、排水管(渠)的清疏。对积水严重的地区或路段进行应急排水，控制积水和淹水的蔓延，防止事态扩大。在积水严重的地区设置警示标志并派专人看守，疏导群众。必要时组织抢险队集中投入排水抢险</w:t>
      </w:r>
      <w:r>
        <w:rPr>
          <w:rFonts w:hint="eastAsia" w:ascii="宋体" w:hAnsi="宋体" w:cs="宋体"/>
          <w:color w:val="auto"/>
          <w:sz w:val="24"/>
          <w:szCs w:val="24"/>
          <w:highlight w:val="none"/>
          <w:lang w:eastAsia="zh-CN"/>
        </w:rPr>
        <w:t>。</w:t>
      </w:r>
    </w:p>
    <w:p w14:paraId="48100DF4">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(3)负责记录并反馈招标人积水时间、地点、面积、水深，查找积水的原因，并能提出科学合理的整改方案。</w:t>
      </w:r>
    </w:p>
    <w:p w14:paraId="164F1017">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(4)由于承担合同范围区域的排水防涝责任</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汛期、非汛期大到暴雨</w:t>
      </w:r>
      <w:r>
        <w:rPr>
          <w:rFonts w:hint="eastAsia" w:ascii="宋体" w:hAnsi="宋体" w:eastAsia="宋体" w:cs="宋体"/>
          <w:color w:val="auto"/>
          <w:sz w:val="24"/>
          <w:szCs w:val="24"/>
          <w:highlight w:val="none"/>
        </w:rPr>
        <w:t>投标人需要组建至少1标</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人，2标</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rPr>
        <w:t>人的项目组</w:t>
      </w:r>
      <w:r>
        <w:rPr>
          <w:rFonts w:hint="eastAsia" w:ascii="宋体" w:hAnsi="宋体" w:cs="宋体"/>
          <w:color w:val="auto"/>
          <w:sz w:val="24"/>
          <w:szCs w:val="24"/>
          <w:highlight w:val="none"/>
          <w:lang w:val="en-US" w:eastAsia="zh-CN"/>
        </w:rPr>
        <w:t>根据</w:t>
      </w:r>
      <w:r>
        <w:rPr>
          <w:rFonts w:hint="eastAsia" w:ascii="宋体" w:hAnsi="宋体" w:eastAsia="宋体" w:cs="宋体"/>
          <w:color w:val="auto"/>
          <w:sz w:val="24"/>
          <w:szCs w:val="24"/>
          <w:highlight w:val="none"/>
        </w:rPr>
        <w:t>实际情况增加人员配置</w:t>
      </w:r>
      <w:r>
        <w:rPr>
          <w:rFonts w:hint="eastAsia" w:ascii="宋体" w:hAnsi="宋体" w:cs="宋体"/>
          <w:color w:val="auto"/>
          <w:sz w:val="24"/>
          <w:szCs w:val="24"/>
          <w:highlight w:val="none"/>
          <w:lang w:eastAsia="zh-CN"/>
        </w:rPr>
        <w:t>。</w:t>
      </w:r>
    </w:p>
    <w:p w14:paraId="7D762E88">
      <w:pPr>
        <w:pageBreakBefore w:val="0"/>
        <w:kinsoku/>
        <w:wordWrap/>
        <w:overflowPunct/>
        <w:topLinePunct w:val="0"/>
        <w:autoSpaceDE/>
        <w:autoSpaceDN/>
        <w:bidi w:val="0"/>
        <w:adjustRightInd/>
        <w:snapToGrid/>
        <w:spacing w:beforeAutospacing="0" w:afterAutospacing="0" w:line="360" w:lineRule="auto"/>
        <w:ind w:left="639"/>
        <w:outlineLvl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4、其他履约要求：</w:t>
      </w:r>
    </w:p>
    <w:p w14:paraId="509592C6">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(1)投标人须承诺中标后1个月内完成作业基地的设置(基地必须设置在徐州高新区)。延迟1个月(含)扣除当年养护费10万元。延迟2个月(含)招标人有权终止合同，并由投标人承担违约后果。</w:t>
      </w:r>
    </w:p>
    <w:p w14:paraId="04781CCA">
      <w:pPr>
        <w:pageBreakBefore w:val="0"/>
        <w:kinsoku/>
        <w:wordWrap/>
        <w:overflowPunct/>
        <w:topLinePunct w:val="0"/>
        <w:autoSpaceDE/>
        <w:autoSpaceDN/>
        <w:bidi w:val="0"/>
        <w:adjustRightInd/>
        <w:snapToGrid/>
        <w:spacing w:beforeAutospacing="0" w:afterAutospacing="0" w:line="360" w:lineRule="auto"/>
        <w:ind w:left="39" w:right="91"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(2)汛期、暴雨等情况，投标人必须无条件服从防汛部门及招标人的要求，积极配备人员、设施、排涝设备，做好养护范围的防汛排涝工作</w:t>
      </w:r>
      <w:r>
        <w:rPr>
          <w:rFonts w:hint="eastAsia" w:ascii="宋体" w:hAnsi="宋体" w:eastAsia="宋体" w:cs="宋体"/>
          <w:color w:val="auto"/>
          <w:sz w:val="24"/>
          <w:szCs w:val="24"/>
          <w:highlight w:val="none"/>
          <w:lang w:eastAsia="zh-CN"/>
        </w:rPr>
        <w:t>。</w:t>
      </w:r>
    </w:p>
    <w:p w14:paraId="6422B505">
      <w:pPr>
        <w:pageBreakBefore w:val="0"/>
        <w:kinsoku/>
        <w:wordWrap/>
        <w:overflowPunct/>
        <w:topLinePunct w:val="0"/>
        <w:autoSpaceDE/>
        <w:autoSpaceDN/>
        <w:bidi w:val="0"/>
        <w:adjustRightInd/>
        <w:snapToGrid/>
        <w:spacing w:beforeAutospacing="0" w:afterAutospacing="0" w:line="360" w:lineRule="auto"/>
        <w:ind w:left="38" w:right="33" w:firstLine="486"/>
        <w:rPr>
          <w:rFonts w:hint="eastAsia" w:ascii="宋体" w:hAnsi="宋体" w:eastAsia="宋体" w:cs="宋体"/>
          <w:color w:val="auto"/>
          <w:sz w:val="24"/>
          <w:szCs w:val="24"/>
          <w:highlight w:val="none"/>
        </w:rPr>
      </w:pPr>
    </w:p>
    <w:p w14:paraId="1B110158">
      <w:pPr>
        <w:pageBreakBefore w:val="0"/>
        <w:kinsoku/>
        <w:wordWrap/>
        <w:overflowPunct/>
        <w:topLinePunct w:val="0"/>
        <w:autoSpaceDE/>
        <w:autoSpaceDN/>
        <w:bidi w:val="0"/>
        <w:adjustRightInd/>
        <w:snapToGrid/>
        <w:spacing w:beforeAutospacing="0" w:afterAutospacing="0" w:line="360" w:lineRule="auto"/>
        <w:ind w:right="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p>
    <w:p w14:paraId="29E0E38F">
      <w:pPr>
        <w:pageBreakBefore w:val="0"/>
        <w:kinsoku/>
        <w:wordWrap/>
        <w:overflowPunct/>
        <w:topLinePunct w:val="0"/>
        <w:autoSpaceDE/>
        <w:autoSpaceDN/>
        <w:bidi w:val="0"/>
        <w:adjustRightInd/>
        <w:snapToGrid/>
        <w:spacing w:beforeAutospacing="0" w:afterAutospacing="0" w:line="360" w:lineRule="auto"/>
        <w:ind w:left="55"/>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附件</w:t>
      </w:r>
      <w:r>
        <w:rPr>
          <w:rFonts w:hint="eastAsia" w:ascii="宋体" w:hAnsi="宋体" w:eastAsia="宋体" w:cs="宋体"/>
          <w:b/>
          <w:bCs/>
          <w:color w:val="auto"/>
          <w:sz w:val="24"/>
          <w:szCs w:val="24"/>
          <w:highlight w:val="none"/>
        </w:rPr>
        <w:t>1.《徐州高新区排水设施清单》</w:t>
      </w:r>
    </w:p>
    <w:p w14:paraId="50625B60">
      <w:pPr>
        <w:pageBreakBefore w:val="0"/>
        <w:kinsoku/>
        <w:wordWrap/>
        <w:overflowPunct/>
        <w:topLinePunct w:val="0"/>
        <w:autoSpaceDE/>
        <w:autoSpaceDN/>
        <w:bidi w:val="0"/>
        <w:adjustRightInd/>
        <w:snapToGrid/>
        <w:spacing w:beforeAutospacing="0" w:afterAutospacing="0" w:line="360" w:lineRule="auto"/>
        <w:ind w:left="4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附件2</w:t>
      </w:r>
      <w:r>
        <w:rPr>
          <w:rFonts w:hint="eastAsia" w:ascii="宋体" w:hAnsi="宋体" w:eastAsia="宋体" w:cs="宋体"/>
          <w:b/>
          <w:bCs/>
          <w:color w:val="auto"/>
          <w:sz w:val="24"/>
          <w:szCs w:val="24"/>
          <w:highlight w:val="none"/>
          <w:lang w:val="en-US" w:eastAsia="zh-CN"/>
        </w:rPr>
        <w:t>徐州高新区</w:t>
      </w:r>
      <w:r>
        <w:rPr>
          <w:rFonts w:hint="eastAsia" w:ascii="宋体" w:hAnsi="宋体" w:eastAsia="宋体" w:cs="宋体"/>
          <w:b/>
          <w:bCs/>
          <w:color w:val="auto"/>
          <w:sz w:val="24"/>
          <w:szCs w:val="24"/>
          <w:highlight w:val="none"/>
        </w:rPr>
        <w:t>排水设施市场化运行与养护内容及标准（细则）</w:t>
      </w:r>
    </w:p>
    <w:p w14:paraId="4AB47739">
      <w:pPr>
        <w:pageBreakBefore w:val="0"/>
        <w:kinsoku/>
        <w:wordWrap/>
        <w:overflowPunct/>
        <w:topLinePunct w:val="0"/>
        <w:autoSpaceDE/>
        <w:autoSpaceDN/>
        <w:bidi w:val="0"/>
        <w:adjustRightInd/>
        <w:snapToGrid/>
        <w:spacing w:beforeAutospacing="0" w:afterAutospacing="0" w:line="360" w:lineRule="auto"/>
        <w:ind w:left="55"/>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附件3</w:t>
      </w:r>
      <w:r>
        <w:rPr>
          <w:rFonts w:hint="eastAsia" w:ascii="宋体" w:hAnsi="宋体" w:eastAsia="宋体" w:cs="宋体"/>
          <w:b/>
          <w:bCs/>
          <w:color w:val="auto"/>
          <w:sz w:val="24"/>
          <w:szCs w:val="24"/>
          <w:highlight w:val="none"/>
        </w:rPr>
        <w:t>.《徐州高新区排水设施养护考核评分表》</w:t>
      </w:r>
    </w:p>
    <w:p w14:paraId="786BAEC2">
      <w:pPr>
        <w:pageBreakBefore w:val="0"/>
        <w:kinsoku/>
        <w:wordWrap/>
        <w:overflowPunct/>
        <w:topLinePunct w:val="0"/>
        <w:autoSpaceDE/>
        <w:autoSpaceDN/>
        <w:bidi w:val="0"/>
        <w:adjustRightInd/>
        <w:snapToGrid/>
        <w:spacing w:beforeAutospacing="0" w:afterAutospacing="0" w:line="360" w:lineRule="auto"/>
        <w:ind w:left="37"/>
        <w:outlineLvl w:val="0"/>
        <w:rPr>
          <w:rFonts w:hint="eastAsia" w:ascii="宋体" w:hAnsi="宋体" w:eastAsia="宋体" w:cs="宋体"/>
          <w:color w:val="auto"/>
          <w:sz w:val="24"/>
          <w:szCs w:val="24"/>
          <w:highlight w:val="none"/>
        </w:rPr>
      </w:pPr>
      <w:bookmarkStart w:id="4" w:name="_bookmark7"/>
      <w:bookmarkEnd w:id="4"/>
      <w:r>
        <w:rPr>
          <w:rFonts w:hint="eastAsia" w:ascii="宋体" w:hAnsi="宋体" w:eastAsia="宋体" w:cs="宋体"/>
          <w:color w:val="auto"/>
          <w:sz w:val="24"/>
          <w:szCs w:val="24"/>
          <w:highlight w:val="none"/>
        </w:rPr>
        <w:t>七、其他要求</w:t>
      </w:r>
    </w:p>
    <w:p w14:paraId="72EC5401">
      <w:pPr>
        <w:pageBreakBefore w:val="0"/>
        <w:kinsoku/>
        <w:wordWrap/>
        <w:overflowPunct/>
        <w:topLinePunct w:val="0"/>
        <w:autoSpaceDE/>
        <w:autoSpaceDN/>
        <w:bidi w:val="0"/>
        <w:adjustRightInd/>
        <w:snapToGrid/>
        <w:spacing w:beforeAutospacing="0" w:afterAutospacing="0" w:line="360" w:lineRule="auto"/>
        <w:ind w:left="5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见招标文件第五章《拟签订的合同文本》。</w:t>
      </w:r>
    </w:p>
    <w:p w14:paraId="262BB147">
      <w:pPr>
        <w:pageBreakBefore w:val="0"/>
        <w:kinsoku/>
        <w:wordWrap/>
        <w:overflowPunct/>
        <w:topLinePunct w:val="0"/>
        <w:autoSpaceDE/>
        <w:autoSpaceDN/>
        <w:bidi w:val="0"/>
        <w:adjustRightInd/>
        <w:snapToGrid/>
        <w:spacing w:beforeAutospacing="0" w:afterAutospacing="0" w:line="360" w:lineRule="auto"/>
        <w:rPr>
          <w:rFonts w:hint="eastAsia" w:ascii="宋体" w:hAnsi="宋体" w:eastAsia="宋体" w:cs="宋体"/>
          <w:color w:val="auto"/>
          <w:highlight w:val="none"/>
        </w:rPr>
        <w:sectPr>
          <w:pgSz w:w="11907" w:h="16839"/>
          <w:pgMar w:top="1118" w:right="1331" w:bottom="1153" w:left="1445" w:header="877" w:footer="993" w:gutter="0"/>
          <w:cols w:space="1701" w:num="1"/>
          <w:docGrid w:linePitch="360" w:charSpace="0"/>
        </w:sectPr>
      </w:pPr>
    </w:p>
    <w:p w14:paraId="4FB8DCC9">
      <w:pPr>
        <w:pageBreakBefore w:val="0"/>
        <w:kinsoku/>
        <w:wordWrap/>
        <w:overflowPunct/>
        <w:topLinePunct w:val="0"/>
        <w:autoSpaceDE/>
        <w:autoSpaceDN/>
        <w:bidi w:val="0"/>
        <w:adjustRightInd/>
        <w:snapToGrid/>
        <w:spacing w:beforeAutospacing="0" w:afterAutospacing="0"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 w:val="31"/>
          <w:szCs w:val="31"/>
          <w:highlight w:val="none"/>
        </w:rPr>
        <w:t>附件1</w:t>
      </w:r>
    </w:p>
    <w:tbl>
      <w:tblPr>
        <w:tblStyle w:val="34"/>
        <w:tblW w:w="9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4"/>
        <w:gridCol w:w="2032"/>
        <w:gridCol w:w="2326"/>
        <w:gridCol w:w="2289"/>
        <w:gridCol w:w="1619"/>
      </w:tblGrid>
      <w:tr w14:paraId="6AC9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220" w:type="dxa"/>
            <w:gridSpan w:val="5"/>
            <w:tcBorders>
              <w:top w:val="nil"/>
              <w:left w:val="nil"/>
              <w:bottom w:val="nil"/>
              <w:right w:val="nil"/>
            </w:tcBorders>
            <w:shd w:val="clear" w:color="auto" w:fill="auto"/>
            <w:noWrap/>
            <w:vAlign w:val="center"/>
          </w:tcPr>
          <w:p w14:paraId="0DD6E58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ascii="方正小标宋简体" w:hAnsi="方正小标宋简体" w:eastAsia="方正小标宋简体" w:cs="方正小标宋简体"/>
                <w:i w:val="0"/>
                <w:iCs w:val="0"/>
                <w:color w:val="auto"/>
                <w:sz w:val="32"/>
                <w:szCs w:val="32"/>
                <w:highlight w:val="none"/>
                <w:u w:val="none"/>
              </w:rPr>
            </w:pPr>
            <w:r>
              <w:rPr>
                <w:rFonts w:hint="eastAsia" w:ascii="方正小标宋简体" w:hAnsi="方正小标宋简体" w:eastAsia="方正小标宋简体" w:cs="方正小标宋简体"/>
                <w:i w:val="0"/>
                <w:iCs w:val="0"/>
                <w:color w:val="auto"/>
                <w:kern w:val="0"/>
                <w:sz w:val="32"/>
                <w:szCs w:val="32"/>
                <w:highlight w:val="none"/>
                <w:u w:val="none"/>
                <w:lang w:val="en-US" w:eastAsia="zh-CN" w:bidi="ar"/>
              </w:rPr>
              <w:t>徐州高新区排水设施清单（采购包一）</w:t>
            </w:r>
          </w:p>
        </w:tc>
      </w:tr>
      <w:tr w14:paraId="2CB4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8B8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2B6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沟管名称</w:t>
            </w:r>
          </w:p>
        </w:tc>
        <w:tc>
          <w:tcPr>
            <w:tcW w:w="2322" w:type="dxa"/>
            <w:tcBorders>
              <w:top w:val="single" w:color="000000" w:sz="4" w:space="0"/>
              <w:left w:val="single" w:color="000000" w:sz="4" w:space="0"/>
              <w:bottom w:val="single" w:color="000000" w:sz="4" w:space="0"/>
              <w:right w:val="nil"/>
            </w:tcBorders>
            <w:shd w:val="clear" w:color="auto" w:fill="auto"/>
            <w:vAlign w:val="center"/>
          </w:tcPr>
          <w:p w14:paraId="3E94D5E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雨水长度</w:t>
            </w:r>
            <w:r>
              <w:rPr>
                <w:rFonts w:hint="eastAsia" w:ascii="黑体" w:hAnsi="宋体" w:eastAsia="黑体" w:cs="黑体"/>
                <w:i w:val="0"/>
                <w:iCs w:val="0"/>
                <w:color w:val="auto"/>
                <w:kern w:val="0"/>
                <w:sz w:val="22"/>
                <w:szCs w:val="22"/>
                <w:highlight w:val="none"/>
                <w:u w:val="none"/>
                <w:lang w:val="en-US" w:eastAsia="zh-CN" w:bidi="ar"/>
              </w:rPr>
              <w:br w:type="textWrapping"/>
            </w:r>
            <w:r>
              <w:rPr>
                <w:rFonts w:hint="eastAsia" w:ascii="黑体" w:hAnsi="宋体" w:eastAsia="黑体" w:cs="黑体"/>
                <w:i w:val="0"/>
                <w:iCs w:val="0"/>
                <w:color w:val="auto"/>
                <w:kern w:val="0"/>
                <w:sz w:val="22"/>
                <w:szCs w:val="22"/>
                <w:highlight w:val="none"/>
                <w:u w:val="none"/>
                <w:lang w:val="en-US" w:eastAsia="zh-CN" w:bidi="ar"/>
              </w:rPr>
              <w:t>（米）</w:t>
            </w:r>
          </w:p>
        </w:tc>
        <w:tc>
          <w:tcPr>
            <w:tcW w:w="2271" w:type="dxa"/>
            <w:tcBorders>
              <w:top w:val="single" w:color="000000" w:sz="4" w:space="0"/>
              <w:left w:val="single" w:color="000000" w:sz="4" w:space="0"/>
              <w:bottom w:val="single" w:color="000000" w:sz="4" w:space="0"/>
              <w:right w:val="nil"/>
            </w:tcBorders>
            <w:shd w:val="clear" w:color="auto" w:fill="auto"/>
            <w:vAlign w:val="center"/>
          </w:tcPr>
          <w:p w14:paraId="1CF182B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污水长度</w:t>
            </w:r>
            <w:r>
              <w:rPr>
                <w:rFonts w:hint="eastAsia" w:ascii="黑体" w:hAnsi="宋体" w:eastAsia="黑体" w:cs="黑体"/>
                <w:i w:val="0"/>
                <w:iCs w:val="0"/>
                <w:color w:val="auto"/>
                <w:kern w:val="0"/>
                <w:sz w:val="22"/>
                <w:szCs w:val="22"/>
                <w:highlight w:val="none"/>
                <w:u w:val="none"/>
                <w:lang w:val="en-US" w:eastAsia="zh-CN" w:bidi="ar"/>
              </w:rPr>
              <w:br w:type="textWrapping"/>
            </w:r>
            <w:r>
              <w:rPr>
                <w:rFonts w:hint="eastAsia" w:ascii="黑体" w:hAnsi="宋体" w:eastAsia="黑体" w:cs="黑体"/>
                <w:i w:val="0"/>
                <w:iCs w:val="0"/>
                <w:color w:val="auto"/>
                <w:kern w:val="0"/>
                <w:sz w:val="22"/>
                <w:szCs w:val="22"/>
                <w:highlight w:val="none"/>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A30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备注</w:t>
            </w:r>
          </w:p>
        </w:tc>
      </w:tr>
      <w:tr w14:paraId="1F3C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6B5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02E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银山路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CCF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7067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D19E5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4043</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1001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含检查井、收水井</w:t>
            </w:r>
            <w:r>
              <w:rPr>
                <w:rFonts w:hint="eastAsia" w:ascii="宋体" w:hAnsi="宋体" w:cs="宋体"/>
                <w:i w:val="0"/>
                <w:iCs w:val="0"/>
                <w:color w:val="auto"/>
                <w:kern w:val="0"/>
                <w:sz w:val="24"/>
                <w:szCs w:val="24"/>
                <w:highlight w:val="none"/>
                <w:u w:val="none"/>
                <w:lang w:val="en-US" w:eastAsia="zh-CN" w:bidi="ar"/>
              </w:rPr>
              <w:t>、支管</w:t>
            </w:r>
            <w:r>
              <w:rPr>
                <w:rFonts w:hint="eastAsia" w:ascii="宋体" w:hAnsi="宋体" w:eastAsia="宋体" w:cs="宋体"/>
                <w:i w:val="0"/>
                <w:iCs w:val="0"/>
                <w:color w:val="auto"/>
                <w:kern w:val="0"/>
                <w:sz w:val="24"/>
                <w:szCs w:val="24"/>
                <w:highlight w:val="none"/>
                <w:u w:val="none"/>
                <w:lang w:val="en-US" w:eastAsia="zh-CN" w:bidi="ar"/>
              </w:rPr>
              <w:t>等附属设施</w:t>
            </w:r>
          </w:p>
        </w:tc>
      </w:tr>
      <w:tr w14:paraId="7677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B0D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28D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漓江路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A51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1636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384260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694</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D1BE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474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53A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3D8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钱江路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BD2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3970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B8B01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2167</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4A96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96C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45F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795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银河路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702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3946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1AFA0C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1941</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1254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B21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C41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D4F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闽江路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827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2482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395B15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1910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2A9D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2B78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BCC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941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昆仑路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334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3773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778E5C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2002</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94C6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EBDC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EFA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585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连霍北路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35F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5860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143737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3123</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218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788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FD6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9FD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北京南路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3AA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3148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9F9371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3230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0A7D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3CA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088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1F7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五环路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A1E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4181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993050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3696</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2B58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118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FDD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866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南沙路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4AC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7464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D6CE90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2204</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2573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5880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9BE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68E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连城路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234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5754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331EB3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3723</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6A04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A41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C8E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B29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大学路南延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FB7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6488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2B23C4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3526</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EDD8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9C8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E4D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738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黄浦路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FAC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1489</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9D05DE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DC8F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EC8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E0B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CCF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长江东路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933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8AA047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721</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F35F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DF8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214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D59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浦江路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0E5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1424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AC1CBE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8F02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3724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20B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FD8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娇山路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47C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F98DBF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527</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4F1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7A46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DE1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213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淮河东路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126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2D0FD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496</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11A1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1DFC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18D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DE1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安科园五号路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C44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3389</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755C67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1842</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9B0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AA4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297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9BE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楚河路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1FE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2785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8CC35C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2565</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C711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040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209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875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E93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2791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67B115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2989</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817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8E7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005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8A7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泰中路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060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2727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27F5F0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1899</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16B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0630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19A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BE3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徐宿快速路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242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1455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CB94B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2661</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4C53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B898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C2B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43D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赣江路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EBB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818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B8641D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DB66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128E1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9F7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2338" w:type="dxa"/>
            <w:tcBorders>
              <w:top w:val="single" w:color="000000" w:sz="4" w:space="0"/>
              <w:left w:val="single" w:color="000000" w:sz="4" w:space="0"/>
              <w:bottom w:val="nil"/>
              <w:right w:val="single" w:color="000000" w:sz="4" w:space="0"/>
            </w:tcBorders>
            <w:shd w:val="clear" w:color="auto" w:fill="auto"/>
            <w:vAlign w:val="center"/>
          </w:tcPr>
          <w:p w14:paraId="1157FCC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丰田4s店道路</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FCC440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289</w:t>
            </w:r>
          </w:p>
        </w:tc>
        <w:tc>
          <w:tcPr>
            <w:tcW w:w="0" w:type="auto"/>
            <w:tcBorders>
              <w:top w:val="single" w:color="000000" w:sz="4" w:space="0"/>
              <w:left w:val="single" w:color="000000" w:sz="4" w:space="0"/>
              <w:bottom w:val="nil"/>
              <w:right w:val="nil"/>
            </w:tcBorders>
            <w:shd w:val="clear" w:color="auto" w:fill="auto"/>
            <w:noWrap/>
            <w:vAlign w:val="center"/>
          </w:tcPr>
          <w:p w14:paraId="78931D7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298</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48F3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D77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640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04E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彭祖东路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326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7AAB6A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542</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A380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695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B35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73D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漓江路东延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EA5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7A4E9F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4B9B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DBA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DF8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4D0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珠江西路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E5B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3177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38AC9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2963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1041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2F6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2C3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同创路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8EA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1085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FECD67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1116</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6BAA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683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F64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457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黄山路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DA8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1305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5D3A5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616</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E747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077C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B29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338" w:type="dxa"/>
            <w:tcBorders>
              <w:top w:val="single" w:color="000000" w:sz="4" w:space="0"/>
              <w:left w:val="single" w:color="000000" w:sz="4" w:space="0"/>
              <w:bottom w:val="nil"/>
              <w:right w:val="single" w:color="000000" w:sz="4" w:space="0"/>
            </w:tcBorders>
            <w:shd w:val="clear" w:color="auto" w:fill="auto"/>
            <w:vAlign w:val="center"/>
          </w:tcPr>
          <w:p w14:paraId="31455DD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先导路</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60844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731</w:t>
            </w:r>
          </w:p>
        </w:tc>
        <w:tc>
          <w:tcPr>
            <w:tcW w:w="0" w:type="auto"/>
            <w:tcBorders>
              <w:top w:val="single" w:color="000000" w:sz="4" w:space="0"/>
              <w:left w:val="single" w:color="000000" w:sz="4" w:space="0"/>
              <w:bottom w:val="nil"/>
              <w:right w:val="nil"/>
            </w:tcBorders>
            <w:shd w:val="clear" w:color="auto" w:fill="auto"/>
            <w:noWrap/>
            <w:vAlign w:val="center"/>
          </w:tcPr>
          <w:p w14:paraId="6882D4E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5A09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129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78B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474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经七路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2F0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39FC8A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477</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ABF8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29C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249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2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C1D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二堡安置房道路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F25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C9C9B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20D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DDE3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123DB9E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小计</w:t>
            </w:r>
          </w:p>
        </w:tc>
        <w:tc>
          <w:tcPr>
            <w:tcW w:w="2322" w:type="dxa"/>
            <w:tcBorders>
              <w:top w:val="nil"/>
              <w:left w:val="single" w:color="000000" w:sz="4" w:space="0"/>
              <w:bottom w:val="single" w:color="000000" w:sz="4" w:space="0"/>
              <w:right w:val="single" w:color="000000" w:sz="4" w:space="0"/>
            </w:tcBorders>
            <w:shd w:val="clear" w:color="auto" w:fill="auto"/>
            <w:vAlign w:val="center"/>
          </w:tcPr>
          <w:p w14:paraId="03BAFB8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83384</w:t>
            </w:r>
          </w:p>
        </w:tc>
        <w:tc>
          <w:tcPr>
            <w:tcW w:w="2271" w:type="dxa"/>
            <w:tcBorders>
              <w:top w:val="nil"/>
              <w:left w:val="single" w:color="000000" w:sz="4" w:space="0"/>
              <w:bottom w:val="single" w:color="000000" w:sz="4" w:space="0"/>
              <w:right w:val="nil"/>
            </w:tcBorders>
            <w:shd w:val="clear" w:color="auto" w:fill="auto"/>
            <w:vAlign w:val="center"/>
          </w:tcPr>
          <w:p w14:paraId="3717046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49535</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00B7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6FA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2030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管网长度合计</w:t>
            </w:r>
          </w:p>
        </w:tc>
        <w:tc>
          <w:tcPr>
            <w:tcW w:w="0" w:type="auto"/>
            <w:gridSpan w:val="2"/>
            <w:tcBorders>
              <w:top w:val="single" w:color="000000" w:sz="4" w:space="0"/>
              <w:left w:val="single" w:color="000000" w:sz="4" w:space="0"/>
              <w:bottom w:val="single" w:color="000000" w:sz="4" w:space="0"/>
              <w:right w:val="nil"/>
            </w:tcBorders>
            <w:shd w:val="clear" w:color="auto" w:fill="auto"/>
            <w:noWrap/>
            <w:vAlign w:val="center"/>
          </w:tcPr>
          <w:p w14:paraId="789DE74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132918</w:t>
            </w: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0BAB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bl>
    <w:p w14:paraId="1C720B58">
      <w:pPr>
        <w:pStyle w:val="318"/>
        <w:pageBreakBefore w:val="0"/>
        <w:kinsoku/>
        <w:wordWrap/>
        <w:overflowPunct/>
        <w:topLinePunct w:val="0"/>
        <w:autoSpaceDE/>
        <w:autoSpaceDN/>
        <w:bidi w:val="0"/>
        <w:adjustRightInd/>
        <w:snapToGrid/>
        <w:spacing w:beforeAutospacing="0" w:afterAutospacing="0" w:line="360" w:lineRule="auto"/>
        <w:rPr>
          <w:rFonts w:hint="eastAsia" w:ascii="宋体" w:hAnsi="宋体" w:eastAsia="宋体" w:cs="宋体"/>
          <w:color w:val="auto"/>
          <w:highlight w:val="none"/>
        </w:rPr>
      </w:pPr>
    </w:p>
    <w:p w14:paraId="422DCB85">
      <w:pPr>
        <w:pStyle w:val="309"/>
        <w:pageBreakBefore w:val="0"/>
        <w:kinsoku/>
        <w:wordWrap/>
        <w:overflowPunct/>
        <w:topLinePunct w:val="0"/>
        <w:autoSpaceDE/>
        <w:autoSpaceDN/>
        <w:bidi w:val="0"/>
        <w:adjustRightInd/>
        <w:snapToGrid/>
        <w:spacing w:beforeAutospacing="0" w:afterAutospacing="0"/>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8"/>
          <w:szCs w:val="28"/>
          <w:highlight w:val="none"/>
        </w:rPr>
        <w:t>备注：含微型水质检测设备</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水闸</w:t>
      </w:r>
      <w:r>
        <w:rPr>
          <w:rFonts w:hint="eastAsia" w:ascii="宋体" w:hAnsi="宋体" w:eastAsia="宋体" w:cs="宋体"/>
          <w:color w:val="auto"/>
          <w:sz w:val="28"/>
          <w:szCs w:val="28"/>
          <w:highlight w:val="none"/>
        </w:rPr>
        <w:t>的巡查，三堡污水泵站、城南污水泵站</w:t>
      </w:r>
      <w:r>
        <w:rPr>
          <w:rFonts w:hint="eastAsia" w:ascii="宋体" w:hAnsi="宋体" w:eastAsia="宋体" w:cs="宋体"/>
          <w:color w:val="auto"/>
          <w:sz w:val="28"/>
          <w:szCs w:val="28"/>
          <w:highlight w:val="none"/>
          <w:lang w:val="en-US" w:eastAsia="zh-CN"/>
        </w:rPr>
        <w:t>、五园污水提升泵站</w:t>
      </w:r>
      <w:r>
        <w:rPr>
          <w:rFonts w:hint="eastAsia" w:ascii="宋体" w:hAnsi="宋体" w:eastAsia="宋体" w:cs="宋体"/>
          <w:color w:val="auto"/>
          <w:sz w:val="28"/>
          <w:szCs w:val="28"/>
          <w:highlight w:val="none"/>
        </w:rPr>
        <w:t>的泵前池清淤。</w:t>
      </w:r>
      <w:r>
        <w:rPr>
          <w:rFonts w:hint="eastAsia" w:ascii="宋体" w:hAnsi="宋体" w:eastAsia="宋体" w:cs="宋体"/>
          <w:b/>
          <w:bCs/>
          <w:color w:val="auto"/>
          <w:sz w:val="28"/>
          <w:szCs w:val="28"/>
          <w:highlight w:val="none"/>
          <w:lang w:val="en-US" w:eastAsia="zh-CN"/>
        </w:rPr>
        <w:t>合同期内新移交的管网含在养护范围内，不再追加费用</w:t>
      </w:r>
      <w:r>
        <w:rPr>
          <w:rFonts w:hint="eastAsia" w:ascii="宋体" w:hAnsi="宋体" w:cs="宋体"/>
          <w:b/>
          <w:bCs/>
          <w:color w:val="auto"/>
          <w:sz w:val="28"/>
          <w:szCs w:val="28"/>
          <w:highlight w:val="none"/>
          <w:lang w:val="en-US" w:eastAsia="zh-CN"/>
        </w:rPr>
        <w:t>。</w:t>
      </w:r>
    </w:p>
    <w:p w14:paraId="098E63D7">
      <w:pPr>
        <w:pStyle w:val="309"/>
        <w:pageBreakBefore w:val="0"/>
        <w:kinsoku/>
        <w:wordWrap/>
        <w:overflowPunct/>
        <w:topLinePunct w:val="0"/>
        <w:autoSpaceDE/>
        <w:autoSpaceDN/>
        <w:bidi w:val="0"/>
        <w:adjustRightInd/>
        <w:snapToGrid/>
        <w:spacing w:beforeAutospacing="0" w:afterAutospacing="0"/>
        <w:rPr>
          <w:rFonts w:hint="eastAsia" w:ascii="宋体" w:hAnsi="宋体" w:eastAsia="宋体" w:cs="宋体"/>
          <w:color w:val="auto"/>
          <w:sz w:val="28"/>
          <w:szCs w:val="28"/>
          <w:highlight w:val="none"/>
        </w:rPr>
      </w:pPr>
    </w:p>
    <w:p w14:paraId="6AA6CF25">
      <w:pPr>
        <w:pageBreakBefore w:val="0"/>
        <w:kinsoku/>
        <w:wordWrap/>
        <w:overflowPunct/>
        <w:topLinePunct w:val="0"/>
        <w:autoSpaceDE/>
        <w:autoSpaceDN/>
        <w:bidi w:val="0"/>
        <w:adjustRightInd/>
        <w:snapToGrid/>
        <w:spacing w:beforeAutospacing="0" w:afterAutospacing="0" w:line="360" w:lineRule="auto"/>
        <w:rPr>
          <w:rFonts w:hint="eastAsia" w:ascii="宋体" w:hAnsi="宋体" w:eastAsia="宋体" w:cs="宋体"/>
          <w:color w:val="auto"/>
          <w:highlight w:val="none"/>
        </w:rPr>
      </w:pPr>
    </w:p>
    <w:tbl>
      <w:tblPr>
        <w:tblStyle w:val="34"/>
        <w:tblW w:w="8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2590"/>
        <w:gridCol w:w="1954"/>
        <w:gridCol w:w="2055"/>
        <w:gridCol w:w="1780"/>
      </w:tblGrid>
      <w:tr w14:paraId="565C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80" w:type="dxa"/>
            <w:gridSpan w:val="5"/>
            <w:tcBorders>
              <w:top w:val="nil"/>
              <w:left w:val="nil"/>
              <w:bottom w:val="nil"/>
              <w:right w:val="nil"/>
            </w:tcBorders>
            <w:shd w:val="clear" w:color="auto" w:fill="auto"/>
            <w:noWrap/>
            <w:vAlign w:val="center"/>
          </w:tcPr>
          <w:p w14:paraId="0BD5354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ascii="方正小标宋简体" w:hAnsi="方正小标宋简体" w:eastAsia="方正小标宋简体" w:cs="方正小标宋简体"/>
                <w:i w:val="0"/>
                <w:iCs w:val="0"/>
                <w:color w:val="auto"/>
                <w:sz w:val="32"/>
                <w:szCs w:val="32"/>
                <w:highlight w:val="none"/>
                <w:u w:val="none"/>
              </w:rPr>
            </w:pPr>
            <w:r>
              <w:rPr>
                <w:rFonts w:hint="eastAsia" w:ascii="方正小标宋简体" w:hAnsi="方正小标宋简体" w:eastAsia="方正小标宋简体" w:cs="方正小标宋简体"/>
                <w:i w:val="0"/>
                <w:iCs w:val="0"/>
                <w:color w:val="auto"/>
                <w:kern w:val="0"/>
                <w:sz w:val="32"/>
                <w:szCs w:val="32"/>
                <w:highlight w:val="none"/>
                <w:u w:val="none"/>
                <w:lang w:val="en-US" w:eastAsia="zh-CN" w:bidi="ar"/>
              </w:rPr>
              <w:t>徐州高新区排水设施清单（采购包二）</w:t>
            </w:r>
          </w:p>
        </w:tc>
      </w:tr>
      <w:tr w14:paraId="4A45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01" w:type="dxa"/>
            <w:tcBorders>
              <w:top w:val="single" w:color="000000" w:sz="4" w:space="0"/>
              <w:left w:val="single" w:color="000000" w:sz="4" w:space="0"/>
              <w:bottom w:val="nil"/>
              <w:right w:val="single" w:color="000000" w:sz="4" w:space="0"/>
            </w:tcBorders>
            <w:shd w:val="clear" w:color="auto" w:fill="auto"/>
            <w:noWrap/>
            <w:vAlign w:val="center"/>
          </w:tcPr>
          <w:p w14:paraId="7802667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2590" w:type="dxa"/>
            <w:tcBorders>
              <w:top w:val="single" w:color="000000" w:sz="4" w:space="0"/>
              <w:left w:val="single" w:color="000000" w:sz="4" w:space="0"/>
              <w:bottom w:val="nil"/>
              <w:right w:val="single" w:color="000000" w:sz="4" w:space="0"/>
            </w:tcBorders>
            <w:shd w:val="clear" w:color="auto" w:fill="auto"/>
            <w:vAlign w:val="center"/>
          </w:tcPr>
          <w:p w14:paraId="4369286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沟管名称</w:t>
            </w:r>
          </w:p>
        </w:tc>
        <w:tc>
          <w:tcPr>
            <w:tcW w:w="1954" w:type="dxa"/>
            <w:tcBorders>
              <w:top w:val="single" w:color="000000" w:sz="4" w:space="0"/>
              <w:left w:val="single" w:color="000000" w:sz="4" w:space="0"/>
              <w:bottom w:val="nil"/>
              <w:right w:val="nil"/>
            </w:tcBorders>
            <w:shd w:val="clear" w:color="auto" w:fill="auto"/>
            <w:vAlign w:val="center"/>
          </w:tcPr>
          <w:p w14:paraId="0CE1988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雨水长度（米）</w:t>
            </w:r>
          </w:p>
        </w:tc>
        <w:tc>
          <w:tcPr>
            <w:tcW w:w="2055" w:type="dxa"/>
            <w:tcBorders>
              <w:top w:val="single" w:color="000000" w:sz="4" w:space="0"/>
              <w:left w:val="single" w:color="000000" w:sz="4" w:space="0"/>
              <w:bottom w:val="nil"/>
              <w:right w:val="nil"/>
            </w:tcBorders>
            <w:shd w:val="clear" w:color="auto" w:fill="auto"/>
            <w:vAlign w:val="center"/>
          </w:tcPr>
          <w:p w14:paraId="5C0CCE2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污水长度（米）</w:t>
            </w:r>
          </w:p>
        </w:tc>
        <w:tc>
          <w:tcPr>
            <w:tcW w:w="1780" w:type="dxa"/>
            <w:tcBorders>
              <w:top w:val="single" w:color="000000" w:sz="4" w:space="0"/>
              <w:left w:val="single" w:color="000000" w:sz="4" w:space="0"/>
              <w:bottom w:val="nil"/>
              <w:right w:val="single" w:color="000000" w:sz="4" w:space="0"/>
            </w:tcBorders>
            <w:shd w:val="clear" w:color="auto" w:fill="auto"/>
            <w:noWrap/>
            <w:vAlign w:val="center"/>
          </w:tcPr>
          <w:p w14:paraId="654FB18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备注</w:t>
            </w:r>
          </w:p>
        </w:tc>
      </w:tr>
      <w:tr w14:paraId="66C7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476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C83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欣达路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C80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1517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C02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475</w:t>
            </w:r>
          </w:p>
        </w:tc>
        <w:tc>
          <w:tcPr>
            <w:tcW w:w="1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65FA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含检查井、收水井</w:t>
            </w:r>
            <w:r>
              <w:rPr>
                <w:rFonts w:hint="eastAsia" w:ascii="宋体" w:hAnsi="宋体" w:cs="宋体"/>
                <w:i w:val="0"/>
                <w:iCs w:val="0"/>
                <w:color w:val="auto"/>
                <w:kern w:val="0"/>
                <w:sz w:val="24"/>
                <w:szCs w:val="24"/>
                <w:highlight w:val="none"/>
                <w:u w:val="none"/>
                <w:lang w:val="en-US" w:eastAsia="zh-CN" w:bidi="ar"/>
              </w:rPr>
              <w:t>、支管</w:t>
            </w:r>
            <w:r>
              <w:rPr>
                <w:rFonts w:hint="eastAsia" w:ascii="宋体" w:hAnsi="宋体" w:eastAsia="宋体" w:cs="宋体"/>
                <w:i w:val="0"/>
                <w:iCs w:val="0"/>
                <w:color w:val="auto"/>
                <w:kern w:val="0"/>
                <w:sz w:val="24"/>
                <w:szCs w:val="24"/>
                <w:highlight w:val="none"/>
                <w:u w:val="none"/>
                <w:lang w:val="en-US" w:eastAsia="zh-CN" w:bidi="ar"/>
              </w:rPr>
              <w:t>等附属设施</w:t>
            </w:r>
          </w:p>
        </w:tc>
      </w:tr>
      <w:tr w14:paraId="714B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0A5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24B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太康路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C44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6156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1E2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2269</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1F79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7D4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B64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4D6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华夏路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3BA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4955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093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2778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4FEB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FE7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F41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24E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华夏路（南延）</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953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787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1459</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7194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032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501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759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欣丰路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026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1561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502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1016</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4B53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8624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F55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404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营南路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F13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1602</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054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947</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7AAA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4680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033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B68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盛宝路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43C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1056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F45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465</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8A12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1BD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6B5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CB8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华泰路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A61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B46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E491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D3E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3C4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6F9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广汇路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AF5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1244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EF1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EB00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7CB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04B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6A1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华裕路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628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922</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67B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506F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11F05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655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12A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龙江路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778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542</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4FC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6F2C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9BD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9E6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B24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长安路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9B3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6718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3B2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3693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6403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8B3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FC2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006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长兴路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E98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3816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EB0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2838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F98C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86A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17F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82E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珠江东路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317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7595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498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3774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F6D5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2BD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2E8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CBB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宁德路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600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1CE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562</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223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7F2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6F1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322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汽展一号路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4EA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8DD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377</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C639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335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EFF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A50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青山东路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254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1322</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061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4945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254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390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44D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康庄路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5EF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849</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F48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391</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4B09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7433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E46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969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焦山河截污管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705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E1F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1414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21C0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689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132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6F4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五园支一路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D1C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777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B2A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387</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E369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88A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A41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341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经纬路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407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3631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90C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1970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CE3C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F512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735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2CE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湘江东路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216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4327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546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1486</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15BE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16AF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12F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5E2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康平路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240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3055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9BC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2101</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AA14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E1D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2B2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EAC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奎河截污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34B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456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5221</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91F5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D4C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2AC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04B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富民路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897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2905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1ED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1588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AE05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CC24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458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469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拖龙山路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1AA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2107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183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1330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60C0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C64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FAD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8F9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滕寨北路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A7F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BE7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1135</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8DD8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4C52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2B7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715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北横四路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F1A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2640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266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988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E93E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100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158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892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袁楼路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255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F5B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3EE7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1DA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819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DBE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康乾路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D5B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38F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526</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5A8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714C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F35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292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德城路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3B4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2285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6C1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1733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C6B4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41B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C1A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2B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拦山河路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F69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4E6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A227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C6A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C30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673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徐工路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06D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323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52A0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90C3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DB4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CB4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玉泉河南路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8A4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40D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FC28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7A2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AC9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381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康宁路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DA3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062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A656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808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E47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B91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华昌路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736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1DC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8954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47096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1EA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431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荣翔路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3E0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1986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E71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D16B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AE4A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BF6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9F8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滕寨路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D1D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1618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E12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656</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B0D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57B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9CF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E5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城南泵站出水管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C55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5C1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1778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D2E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A80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125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92A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东风河截污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CC7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5C3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2454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82A1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90A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D4D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599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广储路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7B3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353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9F64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486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3F4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5FC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驿城路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F35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92F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747E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06B3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95D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274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毕庄育才路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7D2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1949</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172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808</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421B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6551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0CB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C1A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毕庄新建路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7A3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A5E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476</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5C6E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3FF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AA8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FFA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协鑫北路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C82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F3F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2317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FE2B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F8F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ECC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上水璟园北路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160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987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793</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9722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706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054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630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城南泵站、麦楼</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A8C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1858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0B8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467</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43D2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399B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06F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F7C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启航雨水</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75C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04D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0C0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0D1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476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EED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利民路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0BD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917</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FD2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462</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B7D1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5522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EB7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627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云河东路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97D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729</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1BF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4804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1ACF5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19F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1B9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长安路</w:t>
            </w:r>
            <w:r>
              <w:rPr>
                <w:rFonts w:hint="eastAsia" w:ascii="宋体" w:hAnsi="宋体" w:cs="宋体"/>
                <w:i w:val="0"/>
                <w:iCs w:val="0"/>
                <w:color w:val="auto"/>
                <w:kern w:val="0"/>
                <w:sz w:val="24"/>
                <w:szCs w:val="24"/>
                <w:highlight w:val="none"/>
                <w:u w:val="none"/>
                <w:lang w:val="en-US" w:eastAsia="zh-CN" w:bidi="ar"/>
              </w:rPr>
              <w:t>北段</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822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5861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598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4500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ADCA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84F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A68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CF0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园西路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BA8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855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C91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8675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B7E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D9D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091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祥乐路</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115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C7A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EC51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2B339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5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410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小计</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B4B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90912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00E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57132</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2CC7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r w14:paraId="7593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6682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管网长度合计</w:t>
            </w:r>
          </w:p>
        </w:tc>
        <w:tc>
          <w:tcPr>
            <w:tcW w:w="40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E33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148044</w:t>
            </w:r>
          </w:p>
        </w:tc>
        <w:tc>
          <w:tcPr>
            <w:tcW w:w="1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412A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i w:val="0"/>
                <w:iCs w:val="0"/>
                <w:color w:val="auto"/>
                <w:sz w:val="24"/>
                <w:szCs w:val="24"/>
                <w:highlight w:val="none"/>
                <w:u w:val="none"/>
              </w:rPr>
            </w:pPr>
          </w:p>
        </w:tc>
      </w:tr>
    </w:tbl>
    <w:p w14:paraId="0AB5B4F7">
      <w:pPr>
        <w:pStyle w:val="309"/>
        <w:pageBreakBefore w:val="0"/>
        <w:kinsoku/>
        <w:wordWrap/>
        <w:overflowPunct/>
        <w:topLinePunct w:val="0"/>
        <w:autoSpaceDE/>
        <w:autoSpaceDN/>
        <w:bidi w:val="0"/>
        <w:adjustRightInd/>
        <w:snapToGrid/>
        <w:spacing w:beforeAutospacing="0" w:afterAutospacing="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备注：含微型水质检测设备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水闸</w:t>
      </w:r>
      <w:r>
        <w:rPr>
          <w:rFonts w:hint="eastAsia" w:ascii="宋体" w:hAnsi="宋体" w:eastAsia="宋体" w:cs="宋体"/>
          <w:color w:val="auto"/>
          <w:sz w:val="24"/>
          <w:szCs w:val="24"/>
          <w:highlight w:val="none"/>
        </w:rPr>
        <w:t>的巡查，</w:t>
      </w:r>
      <w:r>
        <w:rPr>
          <w:rFonts w:hint="eastAsia" w:ascii="宋体" w:hAnsi="宋体" w:eastAsia="宋体" w:cs="宋体"/>
          <w:color w:val="auto"/>
          <w:sz w:val="24"/>
          <w:szCs w:val="24"/>
          <w:highlight w:val="none"/>
          <w:lang w:val="en-US" w:eastAsia="zh-CN"/>
        </w:rPr>
        <w:t>2#、3#、5#污水泵站</w:t>
      </w:r>
      <w:r>
        <w:rPr>
          <w:rFonts w:hint="eastAsia" w:ascii="宋体" w:hAnsi="宋体" w:eastAsia="宋体" w:cs="宋体"/>
          <w:color w:val="auto"/>
          <w:sz w:val="24"/>
          <w:szCs w:val="24"/>
          <w:highlight w:val="none"/>
        </w:rPr>
        <w:t>的泵前池清淤。</w:t>
      </w:r>
      <w:r>
        <w:rPr>
          <w:rFonts w:hint="eastAsia" w:ascii="宋体" w:hAnsi="宋体" w:eastAsia="宋体" w:cs="宋体"/>
          <w:b/>
          <w:bCs/>
          <w:color w:val="auto"/>
          <w:sz w:val="24"/>
          <w:szCs w:val="24"/>
          <w:highlight w:val="none"/>
          <w:lang w:val="en-US" w:eastAsia="zh-CN"/>
        </w:rPr>
        <w:t>合同期内新移交的管网含在养护范围内，不再追加费用</w:t>
      </w:r>
      <w:r>
        <w:rPr>
          <w:rFonts w:hint="eastAsia" w:ascii="宋体" w:hAnsi="宋体" w:cs="宋体"/>
          <w:b/>
          <w:bCs/>
          <w:color w:val="auto"/>
          <w:sz w:val="24"/>
          <w:szCs w:val="24"/>
          <w:highlight w:val="none"/>
          <w:lang w:val="en-US" w:eastAsia="zh-CN"/>
        </w:rPr>
        <w:t>。</w:t>
      </w:r>
    </w:p>
    <w:p w14:paraId="4D837A11">
      <w:pPr>
        <w:pStyle w:val="309"/>
        <w:pageBreakBefore w:val="0"/>
        <w:kinsoku/>
        <w:wordWrap/>
        <w:overflowPunct/>
        <w:topLinePunct w:val="0"/>
        <w:autoSpaceDE/>
        <w:autoSpaceDN/>
        <w:bidi w:val="0"/>
        <w:adjustRightInd/>
        <w:snapToGrid/>
        <w:spacing w:beforeAutospacing="0" w:afterAutospacing="0"/>
        <w:rPr>
          <w:rFonts w:hint="eastAsia" w:ascii="宋体" w:hAnsi="宋体" w:eastAsia="宋体" w:cs="宋体"/>
          <w:color w:val="auto"/>
          <w:sz w:val="24"/>
          <w:szCs w:val="24"/>
          <w:highlight w:val="none"/>
        </w:rPr>
      </w:pPr>
    </w:p>
    <w:p w14:paraId="5B4AA10C">
      <w:pPr>
        <w:pStyle w:val="309"/>
        <w:pageBreakBefore w:val="0"/>
        <w:kinsoku/>
        <w:wordWrap/>
        <w:overflowPunct/>
        <w:topLinePunct w:val="0"/>
        <w:autoSpaceDE/>
        <w:autoSpaceDN/>
        <w:bidi w:val="0"/>
        <w:adjustRightInd/>
        <w:snapToGrid/>
        <w:spacing w:beforeAutospacing="0" w:afterAutospacing="0"/>
        <w:rPr>
          <w:rFonts w:hint="eastAsia" w:ascii="宋体" w:hAnsi="宋体" w:eastAsia="宋体" w:cs="宋体"/>
          <w:color w:val="auto"/>
          <w:sz w:val="24"/>
          <w:szCs w:val="24"/>
          <w:highlight w:val="none"/>
        </w:rPr>
        <w:sectPr>
          <w:headerReference r:id="rId5" w:type="default"/>
          <w:footerReference r:id="rId6" w:type="default"/>
          <w:pgSz w:w="11907" w:h="16839"/>
          <w:pgMar w:top="1118" w:right="1387" w:bottom="1153" w:left="1147" w:header="877" w:footer="993" w:gutter="0"/>
          <w:cols w:space="1701" w:num="1"/>
          <w:docGrid w:linePitch="360" w:charSpace="0"/>
        </w:sectPr>
      </w:pPr>
    </w:p>
    <w:p w14:paraId="07A0CC74">
      <w:pPr>
        <w:pageBreakBefore w:val="0"/>
        <w:kinsoku/>
        <w:wordWrap/>
        <w:overflowPunct/>
        <w:topLinePunct w:val="0"/>
        <w:autoSpaceDE/>
        <w:autoSpaceDN/>
        <w:bidi w:val="0"/>
        <w:adjustRightInd/>
        <w:snapToGrid/>
        <w:spacing w:beforeAutospacing="0" w:afterAutospacing="0" w:line="360" w:lineRule="auto"/>
        <w:ind w:left="16"/>
        <w:rPr>
          <w:rFonts w:hint="eastAsia" w:ascii="宋体" w:hAnsi="宋体" w:eastAsia="宋体" w:cs="宋体"/>
          <w:color w:val="auto"/>
          <w:highlight w:val="none"/>
        </w:rPr>
      </w:pPr>
      <w:r>
        <w:rPr>
          <w:rFonts w:hint="eastAsia" w:ascii="宋体" w:hAnsi="宋体" w:eastAsia="宋体" w:cs="宋体"/>
          <w:color w:val="auto"/>
          <w:highlight w:val="none"/>
        </w:rPr>
        <w:t>附件2</w:t>
      </w:r>
    </w:p>
    <w:p w14:paraId="74C65211">
      <w:pPr>
        <w:pageBreakBefore w:val="0"/>
        <w:widowControl/>
        <w:tabs>
          <w:tab w:val="left" w:pos="8838"/>
          <w:tab w:val="left" w:pos="8979"/>
        </w:tabs>
        <w:kinsoku/>
        <w:wordWrap/>
        <w:overflowPunct/>
        <w:topLinePunct w:val="0"/>
        <w:autoSpaceDE/>
        <w:autoSpaceDN/>
        <w:bidi w:val="0"/>
        <w:adjustRightInd/>
        <w:snapToGrid/>
        <w:spacing w:beforeAutospacing="0" w:afterAutospacing="0"/>
        <w:ind w:right="166"/>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附件2</w:t>
      </w:r>
      <w:r>
        <w:rPr>
          <w:rFonts w:hint="eastAsia" w:ascii="宋体" w:hAnsi="宋体" w:cs="宋体"/>
          <w:b/>
          <w:bCs/>
          <w:color w:val="auto"/>
          <w:sz w:val="28"/>
          <w:szCs w:val="28"/>
          <w:highlight w:val="none"/>
          <w:lang w:val="en-US" w:eastAsia="zh-CN"/>
        </w:rPr>
        <w:t>徐州高新区</w:t>
      </w:r>
      <w:r>
        <w:rPr>
          <w:rFonts w:hint="eastAsia" w:ascii="宋体" w:hAnsi="宋体" w:cs="宋体"/>
          <w:b/>
          <w:bCs/>
          <w:color w:val="auto"/>
          <w:sz w:val="28"/>
          <w:szCs w:val="28"/>
          <w:highlight w:val="none"/>
        </w:rPr>
        <w:t>排水设施市场化运行与养护内容及标准</w:t>
      </w:r>
    </w:p>
    <w:p w14:paraId="0C5154FB">
      <w:pPr>
        <w:pageBreakBefore w:val="0"/>
        <w:widowControl/>
        <w:tabs>
          <w:tab w:val="left" w:pos="8838"/>
          <w:tab w:val="left" w:pos="8979"/>
        </w:tabs>
        <w:kinsoku/>
        <w:wordWrap/>
        <w:overflowPunct/>
        <w:topLinePunct w:val="0"/>
        <w:autoSpaceDE/>
        <w:autoSpaceDN/>
        <w:bidi w:val="0"/>
        <w:adjustRightInd/>
        <w:snapToGrid/>
        <w:spacing w:beforeAutospacing="0" w:afterAutospacing="0"/>
        <w:ind w:right="166"/>
        <w:jc w:val="center"/>
        <w:rPr>
          <w:rFonts w:hint="eastAsia" w:ascii="宋体" w:hAnsi="宋体" w:cs="宋体"/>
          <w:b/>
          <w:bCs/>
          <w:color w:val="auto"/>
          <w:sz w:val="21"/>
          <w:szCs w:val="21"/>
          <w:highlight w:val="none"/>
        </w:rPr>
      </w:pPr>
      <w:r>
        <w:rPr>
          <w:rFonts w:hint="eastAsia" w:ascii="宋体" w:hAnsi="宋体" w:cs="宋体"/>
          <w:b/>
          <w:bCs/>
          <w:color w:val="auto"/>
          <w:sz w:val="28"/>
          <w:szCs w:val="28"/>
          <w:highlight w:val="none"/>
        </w:rPr>
        <w:t>（细则）</w:t>
      </w:r>
    </w:p>
    <w:p w14:paraId="10717879">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一、指导思想</w:t>
      </w:r>
    </w:p>
    <w:p w14:paraId="4580CED6">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为切实保障</w:t>
      </w:r>
      <w:r>
        <w:rPr>
          <w:rFonts w:hint="eastAsia" w:ascii="宋体" w:hAnsi="宋体" w:cs="宋体"/>
          <w:color w:val="auto"/>
          <w:sz w:val="24"/>
          <w:szCs w:val="24"/>
          <w:highlight w:val="none"/>
          <w:lang w:val="en-US" w:eastAsia="zh-CN"/>
        </w:rPr>
        <w:t>徐州高新区</w:t>
      </w:r>
      <w:r>
        <w:rPr>
          <w:rFonts w:hint="eastAsia" w:ascii="宋体" w:hAnsi="宋体" w:eastAsia="宋体" w:cs="宋体"/>
          <w:color w:val="auto"/>
          <w:sz w:val="24"/>
          <w:szCs w:val="24"/>
          <w:highlight w:val="none"/>
        </w:rPr>
        <w:t>排水设施的完好和正常运行，进一步规范排水设施市场化运行与养护常态化管理，建立健全排水设施设施运行与养护长效机制，全面提升排水设施运行与养护水平，做到科学、规范、精细化管理，结合</w:t>
      </w:r>
      <w:r>
        <w:rPr>
          <w:rFonts w:hint="eastAsia" w:ascii="宋体" w:hAnsi="宋体" w:cs="宋体"/>
          <w:color w:val="auto"/>
          <w:sz w:val="24"/>
          <w:szCs w:val="24"/>
          <w:highlight w:val="none"/>
          <w:lang w:val="en-US" w:eastAsia="zh-CN"/>
        </w:rPr>
        <w:t>高新区</w:t>
      </w:r>
      <w:r>
        <w:rPr>
          <w:rFonts w:hint="eastAsia" w:ascii="宋体" w:hAnsi="宋体" w:eastAsia="宋体" w:cs="宋体"/>
          <w:color w:val="auto"/>
          <w:sz w:val="24"/>
          <w:szCs w:val="24"/>
          <w:highlight w:val="none"/>
        </w:rPr>
        <w:t>排水设施实际，制定本办法。</w:t>
      </w:r>
    </w:p>
    <w:p w14:paraId="3C7A6E3B">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二、工作目标</w:t>
      </w:r>
    </w:p>
    <w:p w14:paraId="47F4CD18">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166"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根据排水设施运行与养护内容及标准，通过推行市排水设施市场化运行与养护监督考核，逐步建立公开透明、开放有序的城市排水运行与养护体系，促进养护企业间的公平竞争，不断提高我</w:t>
      </w:r>
      <w:r>
        <w:rPr>
          <w:rFonts w:hint="eastAsia" w:ascii="宋体" w:hAnsi="宋体" w:cs="宋体"/>
          <w:color w:val="auto"/>
          <w:sz w:val="24"/>
          <w:szCs w:val="24"/>
          <w:highlight w:val="none"/>
          <w:lang w:val="en-US" w:eastAsia="zh-CN"/>
        </w:rPr>
        <w:t>区</w:t>
      </w:r>
      <w:r>
        <w:rPr>
          <w:rFonts w:hint="eastAsia" w:ascii="宋体" w:hAnsi="宋体" w:eastAsia="宋体" w:cs="宋体"/>
          <w:color w:val="auto"/>
          <w:sz w:val="24"/>
          <w:szCs w:val="24"/>
          <w:highlight w:val="none"/>
        </w:rPr>
        <w:t>排水设施运行与养护公共服务水平。</w:t>
      </w:r>
    </w:p>
    <w:p w14:paraId="2A4FDC1D">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三、运行与养护范围</w:t>
      </w:r>
    </w:p>
    <w:p w14:paraId="0E7DDC8A">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1.排水管渠及相关排水设施的运行与养护。</w:t>
      </w:r>
    </w:p>
    <w:p w14:paraId="79B55041">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2.各类</w:t>
      </w:r>
      <w:r>
        <w:rPr>
          <w:rFonts w:hint="eastAsia" w:ascii="宋体" w:hAnsi="宋体" w:cs="宋体"/>
          <w:color w:val="auto"/>
          <w:sz w:val="24"/>
          <w:szCs w:val="24"/>
          <w:highlight w:val="none"/>
          <w:lang w:val="en-US" w:eastAsia="zh-CN"/>
        </w:rPr>
        <w:t>无人值守泵站、水质监测微站</w:t>
      </w:r>
      <w:r>
        <w:rPr>
          <w:rFonts w:hint="eastAsia" w:ascii="宋体" w:hAnsi="宋体" w:eastAsia="宋体" w:cs="宋体"/>
          <w:color w:val="auto"/>
          <w:sz w:val="24"/>
          <w:szCs w:val="24"/>
          <w:highlight w:val="none"/>
        </w:rPr>
        <w:t>等</w:t>
      </w:r>
      <w:r>
        <w:rPr>
          <w:rFonts w:hint="eastAsia" w:ascii="宋体" w:hAnsi="宋体" w:cs="宋体"/>
          <w:color w:val="auto"/>
          <w:sz w:val="24"/>
          <w:szCs w:val="24"/>
          <w:highlight w:val="none"/>
          <w:lang w:val="en-US" w:eastAsia="zh-CN"/>
        </w:rPr>
        <w:t>设施</w:t>
      </w:r>
      <w:r>
        <w:rPr>
          <w:rFonts w:hint="eastAsia" w:ascii="宋体" w:hAnsi="宋体" w:eastAsia="宋体" w:cs="宋体"/>
          <w:color w:val="auto"/>
          <w:sz w:val="24"/>
          <w:szCs w:val="24"/>
          <w:highlight w:val="none"/>
        </w:rPr>
        <w:t>的运行与养护。</w:t>
      </w:r>
    </w:p>
    <w:p w14:paraId="504EB13C">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四、排水管渠运行与养护内容及标准</w:t>
      </w:r>
    </w:p>
    <w:p w14:paraId="097D6DE0">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166"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排水管渠设施的运行与养护内容包括：管渠的巡查；维修养护；汛期运维；防汛与应急抢修；污泥运输与处理处置；检查与评估等。</w:t>
      </w:r>
    </w:p>
    <w:p w14:paraId="4E0FCF39">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（一）排水管渠设施的运行与养护及标准</w:t>
      </w:r>
    </w:p>
    <w:p w14:paraId="23D80127">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1、排水管渠的运行巡查</w:t>
      </w:r>
    </w:p>
    <w:p w14:paraId="39281702">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（1）排水管渠沿线检查井井盖、雨水蓖缺失、破损、溢水等；</w:t>
      </w:r>
    </w:p>
    <w:p w14:paraId="1823917D">
      <w:pPr>
        <w:keepNext w:val="0"/>
        <w:keepLines w:val="0"/>
        <w:pageBreakBefore w:val="0"/>
        <w:widowControl/>
        <w:tabs>
          <w:tab w:val="left" w:pos="8838"/>
          <w:tab w:val="left" w:pos="8931"/>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（2）排水管渠、泄水孔、溢流堰、出水口发现有堵塞、溢水、破损、渗水等；</w:t>
      </w:r>
    </w:p>
    <w:p w14:paraId="33CB5486">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（3）排水管渠坍塌，井身结构崩坏等，对发现损毁排水设施及时报修处置；</w:t>
      </w:r>
    </w:p>
    <w:p w14:paraId="7FFC9C1B">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（4）排水设施保护范围内建设施工、违章占压、违章排放、私自接管以及影响或危害排水管渠功能等；</w:t>
      </w:r>
    </w:p>
    <w:p w14:paraId="352D0D0E">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（5）对破坏排水设施等违法行为及时发现并制止；配合管理部门做好其他相关排水设施管理工作；</w:t>
      </w:r>
    </w:p>
    <w:p w14:paraId="13A4BF04">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（6）其他影响排水内容。</w:t>
      </w:r>
    </w:p>
    <w:p w14:paraId="36FDB3BB">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（7）巡查频率：</w:t>
      </w:r>
      <w:r>
        <w:rPr>
          <w:rFonts w:hint="eastAsia" w:ascii="宋体" w:hAnsi="宋体" w:eastAsia="宋体" w:cs="宋体"/>
          <w:color w:val="auto"/>
          <w:sz w:val="24"/>
          <w:szCs w:val="24"/>
          <w:highlight w:val="none"/>
          <w:u w:val="single"/>
        </w:rPr>
        <w:t>每天1次</w:t>
      </w:r>
      <w:r>
        <w:rPr>
          <w:rFonts w:hint="eastAsia" w:ascii="宋体" w:hAnsi="宋体" w:eastAsia="宋体" w:cs="宋体"/>
          <w:color w:val="auto"/>
          <w:sz w:val="24"/>
          <w:szCs w:val="24"/>
          <w:highlight w:val="none"/>
        </w:rPr>
        <w:t>；执行业主方有关规定，对特殊路段如地铁、开发商、道路大修等施工区域增加巡查频率和巡查力度。</w:t>
      </w:r>
    </w:p>
    <w:p w14:paraId="1C3331D5">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2、排水管渠的运行与养护</w:t>
      </w:r>
    </w:p>
    <w:p w14:paraId="33586CCD">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（1）雨水管渠的检查、清淤、疏通；排水检查井、收水井清挖，连接管疏通；检查井及进水口</w:t>
      </w:r>
      <w:r>
        <w:rPr>
          <w:rFonts w:hint="eastAsia" w:ascii="宋体" w:hAnsi="宋体" w:cs="宋体"/>
          <w:color w:val="auto"/>
          <w:sz w:val="24"/>
          <w:szCs w:val="24"/>
          <w:highlight w:val="none"/>
          <w:lang w:val="en-US" w:eastAsia="zh-CN"/>
        </w:rPr>
        <w:t>维修</w:t>
      </w:r>
      <w:r>
        <w:rPr>
          <w:rFonts w:hint="eastAsia" w:ascii="宋体" w:hAnsi="宋体" w:eastAsia="宋体" w:cs="宋体"/>
          <w:color w:val="auto"/>
          <w:sz w:val="24"/>
          <w:szCs w:val="24"/>
          <w:highlight w:val="none"/>
        </w:rPr>
        <w:t>，中、小型管道局部</w:t>
      </w:r>
      <w:r>
        <w:rPr>
          <w:rFonts w:hint="eastAsia" w:ascii="宋体" w:hAnsi="宋体" w:cs="宋体"/>
          <w:color w:val="auto"/>
          <w:sz w:val="24"/>
          <w:szCs w:val="24"/>
          <w:highlight w:val="none"/>
          <w:lang w:val="en-US" w:eastAsia="zh-CN"/>
        </w:rPr>
        <w:t>维</w:t>
      </w:r>
      <w:r>
        <w:rPr>
          <w:rFonts w:hint="eastAsia" w:ascii="宋体" w:hAnsi="宋体" w:eastAsia="宋体" w:cs="宋体"/>
          <w:color w:val="auto"/>
          <w:sz w:val="24"/>
          <w:szCs w:val="24"/>
          <w:highlight w:val="none"/>
        </w:rPr>
        <w:t>修，污泥、弃渣处运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处置</w:t>
      </w:r>
      <w:r>
        <w:rPr>
          <w:rFonts w:hint="eastAsia" w:ascii="宋体" w:hAnsi="宋体" w:eastAsia="宋体" w:cs="宋体"/>
          <w:color w:val="auto"/>
          <w:sz w:val="24"/>
          <w:szCs w:val="24"/>
          <w:highlight w:val="none"/>
        </w:rPr>
        <w:t>。</w:t>
      </w:r>
    </w:p>
    <w:p w14:paraId="15A8874C">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（2）污水管渠和倒虹吸管检查、清淤、疏通；管道有害气体检测，通风，沟管疏通，检查井</w:t>
      </w:r>
      <w:r>
        <w:rPr>
          <w:rFonts w:hint="eastAsia" w:ascii="宋体" w:hAnsi="宋体" w:cs="宋体"/>
          <w:color w:val="auto"/>
          <w:sz w:val="24"/>
          <w:szCs w:val="24"/>
          <w:highlight w:val="none"/>
          <w:lang w:val="en-US" w:eastAsia="zh-CN"/>
        </w:rPr>
        <w:t>维修</w:t>
      </w:r>
      <w:r>
        <w:rPr>
          <w:rFonts w:hint="eastAsia" w:ascii="宋体" w:hAnsi="宋体" w:eastAsia="宋体" w:cs="宋体"/>
          <w:color w:val="auto"/>
          <w:sz w:val="24"/>
          <w:szCs w:val="24"/>
          <w:highlight w:val="none"/>
        </w:rPr>
        <w:t>，中、小型管道局部</w:t>
      </w:r>
      <w:r>
        <w:rPr>
          <w:rFonts w:hint="eastAsia" w:ascii="宋体" w:hAnsi="宋体" w:cs="宋体"/>
          <w:color w:val="auto"/>
          <w:sz w:val="24"/>
          <w:szCs w:val="24"/>
          <w:highlight w:val="none"/>
          <w:lang w:val="en-US" w:eastAsia="zh-CN"/>
        </w:rPr>
        <w:t>维</w:t>
      </w:r>
      <w:r>
        <w:rPr>
          <w:rFonts w:hint="eastAsia" w:ascii="宋体" w:hAnsi="宋体" w:eastAsia="宋体" w:cs="宋体"/>
          <w:color w:val="auto"/>
          <w:sz w:val="24"/>
          <w:szCs w:val="24"/>
          <w:highlight w:val="none"/>
        </w:rPr>
        <w:t>修，污泥、弃渣、外运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处置</w:t>
      </w:r>
      <w:r>
        <w:rPr>
          <w:rFonts w:hint="eastAsia" w:ascii="宋体" w:hAnsi="宋体" w:cs="宋体"/>
          <w:color w:val="auto"/>
          <w:sz w:val="24"/>
          <w:szCs w:val="24"/>
          <w:highlight w:val="none"/>
          <w:lang w:eastAsia="zh-CN"/>
        </w:rPr>
        <w:t>。</w:t>
      </w:r>
    </w:p>
    <w:p w14:paraId="047F03C2">
      <w:pPr>
        <w:keepNext w:val="0"/>
        <w:keepLines w:val="0"/>
        <w:pageBreakBefore w:val="0"/>
        <w:widowControl/>
        <w:tabs>
          <w:tab w:val="left" w:pos="8838"/>
          <w:tab w:val="left" w:pos="8964"/>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（3）暗、明沟渠、管涵出口等检查、清淤、疏通；管道有害气体检测，通风，沟管疏通，检查井、进水口</w:t>
      </w:r>
      <w:r>
        <w:rPr>
          <w:rFonts w:hint="eastAsia" w:ascii="宋体" w:hAnsi="宋体" w:cs="宋体"/>
          <w:color w:val="auto"/>
          <w:sz w:val="24"/>
          <w:szCs w:val="24"/>
          <w:highlight w:val="none"/>
          <w:lang w:val="en-US" w:eastAsia="zh-CN"/>
        </w:rPr>
        <w:t>维修，</w:t>
      </w:r>
      <w:r>
        <w:rPr>
          <w:rFonts w:hint="eastAsia" w:ascii="宋体" w:hAnsi="宋体" w:eastAsia="宋体" w:cs="宋体"/>
          <w:color w:val="auto"/>
          <w:sz w:val="24"/>
          <w:szCs w:val="24"/>
          <w:highlight w:val="none"/>
        </w:rPr>
        <w:t>沟管局部翻修</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污泥</w:t>
      </w:r>
      <w:r>
        <w:rPr>
          <w:rFonts w:hint="eastAsia" w:ascii="宋体" w:hAnsi="宋体" w:cs="宋体"/>
          <w:color w:val="auto"/>
          <w:sz w:val="24"/>
          <w:szCs w:val="24"/>
          <w:highlight w:val="none"/>
          <w:lang w:val="en-US" w:eastAsia="zh-CN"/>
        </w:rPr>
        <w:t>外运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处置</w:t>
      </w:r>
      <w:r>
        <w:rPr>
          <w:rFonts w:hint="eastAsia" w:ascii="宋体" w:hAnsi="宋体" w:eastAsia="宋体" w:cs="宋体"/>
          <w:color w:val="auto"/>
          <w:sz w:val="24"/>
          <w:szCs w:val="24"/>
          <w:highlight w:val="none"/>
        </w:rPr>
        <w:t>，修理八字墙，翻修出口基础，护坡；</w:t>
      </w:r>
    </w:p>
    <w:p w14:paraId="165391F2">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（4）管渠、检查井、雨水口养护周期频率</w:t>
      </w:r>
    </w:p>
    <w:tbl>
      <w:tblPr>
        <w:tblStyle w:val="34"/>
        <w:tblW w:w="8358" w:type="dxa"/>
        <w:tblInd w:w="0" w:type="dxa"/>
        <w:tblLayout w:type="fixed"/>
        <w:tblCellMar>
          <w:top w:w="0" w:type="dxa"/>
          <w:left w:w="108" w:type="dxa"/>
          <w:bottom w:w="0" w:type="dxa"/>
          <w:right w:w="108" w:type="dxa"/>
        </w:tblCellMar>
      </w:tblPr>
      <w:tblGrid>
        <w:gridCol w:w="1541"/>
        <w:gridCol w:w="1010"/>
        <w:gridCol w:w="1388"/>
        <w:gridCol w:w="1641"/>
        <w:gridCol w:w="1263"/>
        <w:gridCol w:w="758"/>
        <w:gridCol w:w="757"/>
      </w:tblGrid>
      <w:tr w14:paraId="27787D1F">
        <w:tblPrEx>
          <w:tblCellMar>
            <w:top w:w="0" w:type="dxa"/>
            <w:left w:w="108" w:type="dxa"/>
            <w:bottom w:w="0" w:type="dxa"/>
            <w:right w:w="108" w:type="dxa"/>
          </w:tblCellMar>
        </w:tblPrEx>
        <w:trPr>
          <w:trHeight w:val="347" w:hRule="atLeast"/>
        </w:trPr>
        <w:tc>
          <w:tcPr>
            <w:tcW w:w="1541" w:type="dxa"/>
            <w:vMerge w:val="restart"/>
            <w:tcBorders>
              <w:top w:val="single" w:color="auto" w:sz="4" w:space="0"/>
              <w:left w:val="single" w:color="auto" w:sz="4" w:space="0"/>
              <w:bottom w:val="single" w:color="000000" w:sz="4" w:space="0"/>
              <w:right w:val="single" w:color="auto" w:sz="4" w:space="0"/>
            </w:tcBorders>
            <w:noWrap w:val="0"/>
            <w:vAlign w:val="center"/>
          </w:tcPr>
          <w:p w14:paraId="58B2652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管渠性质</w:t>
            </w:r>
          </w:p>
        </w:tc>
        <w:tc>
          <w:tcPr>
            <w:tcW w:w="5302" w:type="dxa"/>
            <w:gridSpan w:val="4"/>
            <w:tcBorders>
              <w:top w:val="single" w:color="auto" w:sz="4" w:space="0"/>
              <w:left w:val="nil"/>
              <w:bottom w:val="single" w:color="auto" w:sz="4" w:space="0"/>
              <w:right w:val="single" w:color="auto" w:sz="4" w:space="0"/>
            </w:tcBorders>
            <w:noWrap w:val="0"/>
            <w:vAlign w:val="center"/>
          </w:tcPr>
          <w:p w14:paraId="6006DCC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管渠划分</w:t>
            </w:r>
          </w:p>
        </w:tc>
        <w:tc>
          <w:tcPr>
            <w:tcW w:w="758" w:type="dxa"/>
            <w:vMerge w:val="restart"/>
            <w:tcBorders>
              <w:top w:val="single" w:color="auto" w:sz="4" w:space="0"/>
              <w:left w:val="nil"/>
              <w:right w:val="single" w:color="auto" w:sz="4" w:space="0"/>
            </w:tcBorders>
            <w:noWrap w:val="0"/>
            <w:vAlign w:val="center"/>
          </w:tcPr>
          <w:p w14:paraId="78111AE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检查井</w:t>
            </w:r>
          </w:p>
        </w:tc>
        <w:tc>
          <w:tcPr>
            <w:tcW w:w="757" w:type="dxa"/>
            <w:vMerge w:val="restart"/>
            <w:tcBorders>
              <w:top w:val="single" w:color="auto" w:sz="4" w:space="0"/>
              <w:left w:val="nil"/>
              <w:right w:val="single" w:color="auto" w:sz="4" w:space="0"/>
            </w:tcBorders>
            <w:noWrap w:val="0"/>
            <w:vAlign w:val="center"/>
          </w:tcPr>
          <w:p w14:paraId="082133F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收水井</w:t>
            </w:r>
          </w:p>
        </w:tc>
      </w:tr>
      <w:tr w14:paraId="40C0A668">
        <w:tblPrEx>
          <w:tblCellMar>
            <w:top w:w="0" w:type="dxa"/>
            <w:left w:w="108" w:type="dxa"/>
            <w:bottom w:w="0" w:type="dxa"/>
            <w:right w:w="108" w:type="dxa"/>
          </w:tblCellMar>
        </w:tblPrEx>
        <w:trPr>
          <w:trHeight w:val="289" w:hRule="atLeast"/>
        </w:trPr>
        <w:tc>
          <w:tcPr>
            <w:tcW w:w="1541" w:type="dxa"/>
            <w:vMerge w:val="continue"/>
            <w:tcBorders>
              <w:top w:val="single" w:color="auto" w:sz="4" w:space="0"/>
              <w:left w:val="single" w:color="auto" w:sz="4" w:space="0"/>
              <w:bottom w:val="single" w:color="000000" w:sz="4" w:space="0"/>
              <w:right w:val="single" w:color="auto" w:sz="4" w:space="0"/>
            </w:tcBorders>
            <w:noWrap w:val="0"/>
            <w:vAlign w:val="center"/>
          </w:tcPr>
          <w:p w14:paraId="17C6F3C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p>
        </w:tc>
        <w:tc>
          <w:tcPr>
            <w:tcW w:w="1010" w:type="dxa"/>
            <w:tcBorders>
              <w:top w:val="nil"/>
              <w:left w:val="nil"/>
              <w:bottom w:val="single" w:color="auto" w:sz="4" w:space="0"/>
              <w:right w:val="single" w:color="auto" w:sz="4" w:space="0"/>
            </w:tcBorders>
            <w:noWrap w:val="0"/>
            <w:vAlign w:val="center"/>
          </w:tcPr>
          <w:p w14:paraId="2CCB41D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小型管渠</w:t>
            </w:r>
          </w:p>
          <w:p w14:paraId="3A92DBE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D＜600</w:t>
            </w:r>
          </w:p>
        </w:tc>
        <w:tc>
          <w:tcPr>
            <w:tcW w:w="1388" w:type="dxa"/>
            <w:tcBorders>
              <w:top w:val="nil"/>
              <w:left w:val="nil"/>
              <w:bottom w:val="single" w:color="auto" w:sz="4" w:space="0"/>
              <w:right w:val="single" w:color="auto" w:sz="4" w:space="0"/>
            </w:tcBorders>
            <w:noWrap w:val="0"/>
            <w:vAlign w:val="center"/>
          </w:tcPr>
          <w:p w14:paraId="1352759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中型管渠</w:t>
            </w:r>
          </w:p>
          <w:p w14:paraId="4F0146F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600≤D≤1000</w:t>
            </w:r>
          </w:p>
        </w:tc>
        <w:tc>
          <w:tcPr>
            <w:tcW w:w="1641" w:type="dxa"/>
            <w:tcBorders>
              <w:top w:val="nil"/>
              <w:left w:val="nil"/>
              <w:bottom w:val="single" w:color="auto" w:sz="4" w:space="0"/>
              <w:right w:val="single" w:color="auto" w:sz="4" w:space="0"/>
            </w:tcBorders>
            <w:noWrap w:val="0"/>
            <w:vAlign w:val="center"/>
          </w:tcPr>
          <w:p w14:paraId="5695377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大型管渠</w:t>
            </w:r>
          </w:p>
          <w:p w14:paraId="284F671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1000＜D≤1500</w:t>
            </w:r>
          </w:p>
        </w:tc>
        <w:tc>
          <w:tcPr>
            <w:tcW w:w="1263" w:type="dxa"/>
            <w:tcBorders>
              <w:top w:val="nil"/>
              <w:left w:val="nil"/>
              <w:bottom w:val="single" w:color="auto" w:sz="4" w:space="0"/>
              <w:right w:val="single" w:color="auto" w:sz="4" w:space="0"/>
            </w:tcBorders>
            <w:noWrap w:val="0"/>
            <w:vAlign w:val="center"/>
          </w:tcPr>
          <w:p w14:paraId="3EE1AC7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特大型管渠</w:t>
            </w:r>
          </w:p>
          <w:p w14:paraId="5E9E204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D＞1500</w:t>
            </w:r>
          </w:p>
        </w:tc>
        <w:tc>
          <w:tcPr>
            <w:tcW w:w="758" w:type="dxa"/>
            <w:vMerge w:val="continue"/>
            <w:tcBorders>
              <w:left w:val="nil"/>
              <w:bottom w:val="single" w:color="auto" w:sz="4" w:space="0"/>
              <w:right w:val="single" w:color="auto" w:sz="4" w:space="0"/>
            </w:tcBorders>
            <w:noWrap w:val="0"/>
            <w:vAlign w:val="center"/>
          </w:tcPr>
          <w:p w14:paraId="7D98C97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p>
        </w:tc>
        <w:tc>
          <w:tcPr>
            <w:tcW w:w="757" w:type="dxa"/>
            <w:vMerge w:val="continue"/>
            <w:tcBorders>
              <w:left w:val="nil"/>
              <w:bottom w:val="single" w:color="auto" w:sz="4" w:space="0"/>
              <w:right w:val="single" w:color="auto" w:sz="4" w:space="0"/>
            </w:tcBorders>
            <w:noWrap w:val="0"/>
            <w:vAlign w:val="center"/>
          </w:tcPr>
          <w:p w14:paraId="30426C8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p>
        </w:tc>
      </w:tr>
      <w:tr w14:paraId="729DB0E6">
        <w:tblPrEx>
          <w:tblCellMar>
            <w:top w:w="0" w:type="dxa"/>
            <w:left w:w="108" w:type="dxa"/>
            <w:bottom w:w="0" w:type="dxa"/>
            <w:right w:w="108" w:type="dxa"/>
          </w:tblCellMar>
        </w:tblPrEx>
        <w:trPr>
          <w:trHeight w:val="710" w:hRule="atLeast"/>
        </w:trPr>
        <w:tc>
          <w:tcPr>
            <w:tcW w:w="1541" w:type="dxa"/>
            <w:tcBorders>
              <w:top w:val="nil"/>
              <w:left w:val="single" w:color="auto" w:sz="4" w:space="0"/>
              <w:bottom w:val="single" w:color="auto" w:sz="4" w:space="0"/>
              <w:right w:val="single" w:color="auto" w:sz="4" w:space="0"/>
            </w:tcBorders>
            <w:noWrap w:val="0"/>
            <w:vAlign w:val="center"/>
          </w:tcPr>
          <w:p w14:paraId="243E16F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雨水/合流管渠（次／年）</w:t>
            </w:r>
          </w:p>
        </w:tc>
        <w:tc>
          <w:tcPr>
            <w:tcW w:w="1010" w:type="dxa"/>
            <w:tcBorders>
              <w:top w:val="nil"/>
              <w:left w:val="nil"/>
              <w:bottom w:val="single" w:color="auto" w:sz="4" w:space="0"/>
              <w:right w:val="single" w:color="auto" w:sz="4" w:space="0"/>
            </w:tcBorders>
            <w:noWrap w:val="0"/>
            <w:vAlign w:val="center"/>
          </w:tcPr>
          <w:p w14:paraId="522F147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88" w:type="dxa"/>
            <w:tcBorders>
              <w:top w:val="nil"/>
              <w:left w:val="nil"/>
              <w:bottom w:val="single" w:color="auto" w:sz="4" w:space="0"/>
              <w:right w:val="single" w:color="auto" w:sz="4" w:space="0"/>
            </w:tcBorders>
            <w:noWrap w:val="0"/>
            <w:vAlign w:val="center"/>
          </w:tcPr>
          <w:p w14:paraId="347CD42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41" w:type="dxa"/>
            <w:tcBorders>
              <w:top w:val="nil"/>
              <w:left w:val="nil"/>
              <w:bottom w:val="single" w:color="auto" w:sz="4" w:space="0"/>
              <w:right w:val="single" w:color="auto" w:sz="4" w:space="0"/>
            </w:tcBorders>
            <w:noWrap w:val="0"/>
            <w:vAlign w:val="center"/>
          </w:tcPr>
          <w:p w14:paraId="0503802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w:t>
            </w:r>
          </w:p>
        </w:tc>
        <w:tc>
          <w:tcPr>
            <w:tcW w:w="1263" w:type="dxa"/>
            <w:tcBorders>
              <w:top w:val="nil"/>
              <w:left w:val="nil"/>
              <w:bottom w:val="single" w:color="auto" w:sz="4" w:space="0"/>
              <w:right w:val="single" w:color="auto" w:sz="4" w:space="0"/>
            </w:tcBorders>
            <w:noWrap w:val="0"/>
            <w:vAlign w:val="center"/>
          </w:tcPr>
          <w:p w14:paraId="0D7CE10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0.3</w:t>
            </w:r>
          </w:p>
        </w:tc>
        <w:tc>
          <w:tcPr>
            <w:tcW w:w="758" w:type="dxa"/>
            <w:tcBorders>
              <w:top w:val="nil"/>
              <w:left w:val="nil"/>
              <w:bottom w:val="single" w:color="auto" w:sz="4" w:space="0"/>
              <w:right w:val="single" w:color="auto" w:sz="4" w:space="0"/>
            </w:tcBorders>
            <w:noWrap w:val="0"/>
            <w:vAlign w:val="center"/>
          </w:tcPr>
          <w:p w14:paraId="172BE2D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7" w:type="dxa"/>
            <w:tcBorders>
              <w:top w:val="nil"/>
              <w:left w:val="nil"/>
              <w:bottom w:val="single" w:color="auto" w:sz="4" w:space="0"/>
              <w:right w:val="single" w:color="auto" w:sz="4" w:space="0"/>
            </w:tcBorders>
            <w:noWrap w:val="0"/>
            <w:vAlign w:val="center"/>
          </w:tcPr>
          <w:p w14:paraId="667ACFF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99EA74A">
        <w:tblPrEx>
          <w:tblCellMar>
            <w:top w:w="0" w:type="dxa"/>
            <w:left w:w="108" w:type="dxa"/>
            <w:bottom w:w="0" w:type="dxa"/>
            <w:right w:w="108" w:type="dxa"/>
          </w:tblCellMar>
        </w:tblPrEx>
        <w:trPr>
          <w:trHeight w:val="739" w:hRule="atLeast"/>
        </w:trPr>
        <w:tc>
          <w:tcPr>
            <w:tcW w:w="1541" w:type="dxa"/>
            <w:tcBorders>
              <w:top w:val="nil"/>
              <w:left w:val="single" w:color="auto" w:sz="4" w:space="0"/>
              <w:bottom w:val="single" w:color="auto" w:sz="4" w:space="0"/>
              <w:right w:val="single" w:color="auto" w:sz="4" w:space="0"/>
            </w:tcBorders>
            <w:noWrap w:val="0"/>
            <w:vAlign w:val="center"/>
          </w:tcPr>
          <w:p w14:paraId="7D39EE9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污水（次／年）</w:t>
            </w:r>
          </w:p>
        </w:tc>
        <w:tc>
          <w:tcPr>
            <w:tcW w:w="1010" w:type="dxa"/>
            <w:tcBorders>
              <w:top w:val="nil"/>
              <w:left w:val="nil"/>
              <w:bottom w:val="single" w:color="auto" w:sz="4" w:space="0"/>
              <w:right w:val="single" w:color="auto" w:sz="4" w:space="0"/>
            </w:tcBorders>
            <w:noWrap w:val="0"/>
            <w:vAlign w:val="center"/>
          </w:tcPr>
          <w:p w14:paraId="5864ED6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88" w:type="dxa"/>
            <w:tcBorders>
              <w:top w:val="nil"/>
              <w:left w:val="nil"/>
              <w:bottom w:val="single" w:color="auto" w:sz="4" w:space="0"/>
              <w:right w:val="single" w:color="auto" w:sz="4" w:space="0"/>
            </w:tcBorders>
            <w:noWrap w:val="0"/>
            <w:vAlign w:val="center"/>
          </w:tcPr>
          <w:p w14:paraId="7F27325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41" w:type="dxa"/>
            <w:tcBorders>
              <w:top w:val="nil"/>
              <w:left w:val="nil"/>
              <w:bottom w:val="single" w:color="auto" w:sz="4" w:space="0"/>
              <w:right w:val="single" w:color="auto" w:sz="4" w:space="0"/>
            </w:tcBorders>
            <w:noWrap w:val="0"/>
            <w:vAlign w:val="center"/>
          </w:tcPr>
          <w:p w14:paraId="70220C8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0.3</w:t>
            </w:r>
          </w:p>
        </w:tc>
        <w:tc>
          <w:tcPr>
            <w:tcW w:w="1263" w:type="dxa"/>
            <w:tcBorders>
              <w:top w:val="nil"/>
              <w:left w:val="nil"/>
              <w:bottom w:val="single" w:color="auto" w:sz="4" w:space="0"/>
              <w:right w:val="single" w:color="auto" w:sz="4" w:space="0"/>
            </w:tcBorders>
            <w:noWrap w:val="0"/>
            <w:vAlign w:val="center"/>
          </w:tcPr>
          <w:p w14:paraId="6D63CA4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0.2</w:t>
            </w:r>
          </w:p>
        </w:tc>
        <w:tc>
          <w:tcPr>
            <w:tcW w:w="758" w:type="dxa"/>
            <w:tcBorders>
              <w:top w:val="nil"/>
              <w:left w:val="nil"/>
              <w:bottom w:val="single" w:color="auto" w:sz="4" w:space="0"/>
              <w:right w:val="single" w:color="auto" w:sz="4" w:space="0"/>
            </w:tcBorders>
            <w:noWrap w:val="0"/>
            <w:vAlign w:val="center"/>
          </w:tcPr>
          <w:p w14:paraId="3E0ED76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7" w:type="dxa"/>
            <w:tcBorders>
              <w:top w:val="nil"/>
              <w:left w:val="nil"/>
              <w:bottom w:val="single" w:color="auto" w:sz="4" w:space="0"/>
              <w:right w:val="single" w:color="auto" w:sz="4" w:space="0"/>
            </w:tcBorders>
            <w:noWrap w:val="0"/>
            <w:vAlign w:val="center"/>
          </w:tcPr>
          <w:p w14:paraId="360A6D7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005106FB">
      <w:pPr>
        <w:pageBreakBefore w:val="0"/>
        <w:tabs>
          <w:tab w:val="left" w:pos="8838"/>
          <w:tab w:val="left" w:pos="8979"/>
        </w:tabs>
        <w:kinsoku/>
        <w:wordWrap/>
        <w:overflowPunct/>
        <w:topLinePunct w:val="0"/>
        <w:autoSpaceDE/>
        <w:autoSpaceDN/>
        <w:bidi w:val="0"/>
        <w:adjustRightInd/>
        <w:snapToGrid/>
        <w:spacing w:beforeAutospacing="0" w:afterAutospacing="0" w:line="460" w:lineRule="exact"/>
        <w:ind w:right="938"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（5）管渠、检查井、雨水口养护最大淤积深度</w:t>
      </w:r>
    </w:p>
    <w:tbl>
      <w:tblPr>
        <w:tblStyle w:val="34"/>
        <w:tblW w:w="8931" w:type="dxa"/>
        <w:tblInd w:w="29" w:type="dxa"/>
        <w:tblLayout w:type="fixed"/>
        <w:tblCellMar>
          <w:top w:w="0" w:type="dxa"/>
          <w:left w:w="108" w:type="dxa"/>
          <w:bottom w:w="0" w:type="dxa"/>
          <w:right w:w="108" w:type="dxa"/>
        </w:tblCellMar>
      </w:tblPr>
      <w:tblGrid>
        <w:gridCol w:w="2298"/>
        <w:gridCol w:w="2522"/>
        <w:gridCol w:w="4111"/>
      </w:tblGrid>
      <w:tr w14:paraId="2A8DCAB0">
        <w:tblPrEx>
          <w:tblCellMar>
            <w:top w:w="0" w:type="dxa"/>
            <w:left w:w="108" w:type="dxa"/>
            <w:bottom w:w="0" w:type="dxa"/>
            <w:right w:w="108" w:type="dxa"/>
          </w:tblCellMar>
        </w:tblPrEx>
        <w:trPr>
          <w:trHeight w:val="348" w:hRule="atLeast"/>
        </w:trPr>
        <w:tc>
          <w:tcPr>
            <w:tcW w:w="4820" w:type="dxa"/>
            <w:gridSpan w:val="2"/>
            <w:tcBorders>
              <w:top w:val="single" w:color="auto" w:sz="4" w:space="0"/>
              <w:left w:val="single" w:color="auto" w:sz="4" w:space="0"/>
              <w:bottom w:val="single" w:color="auto" w:sz="4" w:space="0"/>
              <w:right w:val="single" w:color="auto" w:sz="4" w:space="0"/>
            </w:tcBorders>
            <w:noWrap w:val="0"/>
            <w:vAlign w:val="center"/>
          </w:tcPr>
          <w:p w14:paraId="59038E0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设施类别</w:t>
            </w:r>
          </w:p>
        </w:tc>
        <w:tc>
          <w:tcPr>
            <w:tcW w:w="4111" w:type="dxa"/>
            <w:tcBorders>
              <w:top w:val="single" w:color="auto" w:sz="4" w:space="0"/>
              <w:left w:val="nil"/>
              <w:bottom w:val="single" w:color="auto" w:sz="4" w:space="0"/>
              <w:right w:val="single" w:color="auto" w:sz="4" w:space="0"/>
            </w:tcBorders>
            <w:noWrap w:val="0"/>
            <w:vAlign w:val="center"/>
          </w:tcPr>
          <w:p w14:paraId="467BA32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允许积泥深度</w:t>
            </w:r>
          </w:p>
        </w:tc>
      </w:tr>
      <w:tr w14:paraId="6122F328">
        <w:tblPrEx>
          <w:tblCellMar>
            <w:top w:w="0" w:type="dxa"/>
            <w:left w:w="108" w:type="dxa"/>
            <w:bottom w:w="0" w:type="dxa"/>
            <w:right w:w="108" w:type="dxa"/>
          </w:tblCellMar>
        </w:tblPrEx>
        <w:trPr>
          <w:trHeight w:val="624" w:hRule="atLeast"/>
        </w:trPr>
        <w:tc>
          <w:tcPr>
            <w:tcW w:w="2298" w:type="dxa"/>
            <w:vMerge w:val="restart"/>
            <w:tcBorders>
              <w:top w:val="nil"/>
              <w:left w:val="single" w:color="auto" w:sz="4" w:space="0"/>
              <w:bottom w:val="single" w:color="auto" w:sz="4" w:space="0"/>
              <w:right w:val="single" w:color="auto" w:sz="4" w:space="0"/>
            </w:tcBorders>
            <w:noWrap w:val="0"/>
            <w:vAlign w:val="center"/>
          </w:tcPr>
          <w:p w14:paraId="23DD5C4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管渠</w:t>
            </w:r>
          </w:p>
        </w:tc>
        <w:tc>
          <w:tcPr>
            <w:tcW w:w="2522" w:type="dxa"/>
            <w:vMerge w:val="restart"/>
            <w:tcBorders>
              <w:top w:val="nil"/>
              <w:left w:val="single" w:color="auto" w:sz="4" w:space="0"/>
              <w:bottom w:val="single" w:color="auto" w:sz="4" w:space="0"/>
              <w:right w:val="single" w:color="auto" w:sz="4" w:space="0"/>
            </w:tcBorders>
            <w:noWrap w:val="0"/>
            <w:vAlign w:val="center"/>
          </w:tcPr>
          <w:p w14:paraId="49BA869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p>
        </w:tc>
        <w:tc>
          <w:tcPr>
            <w:tcW w:w="4111" w:type="dxa"/>
            <w:vMerge w:val="restart"/>
            <w:tcBorders>
              <w:top w:val="nil"/>
              <w:left w:val="single" w:color="auto" w:sz="4" w:space="0"/>
              <w:bottom w:val="single" w:color="auto" w:sz="4" w:space="0"/>
              <w:right w:val="single" w:color="auto" w:sz="4" w:space="0"/>
            </w:tcBorders>
            <w:noWrap w:val="0"/>
            <w:vAlign w:val="center"/>
          </w:tcPr>
          <w:p w14:paraId="08A2E9B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管内径或渠净高度的1/5</w:t>
            </w:r>
          </w:p>
        </w:tc>
      </w:tr>
      <w:tr w14:paraId="62FB8F4A">
        <w:tblPrEx>
          <w:tblCellMar>
            <w:top w:w="0" w:type="dxa"/>
            <w:left w:w="108" w:type="dxa"/>
            <w:bottom w:w="0" w:type="dxa"/>
            <w:right w:w="108" w:type="dxa"/>
          </w:tblCellMar>
        </w:tblPrEx>
        <w:trPr>
          <w:trHeight w:val="684" w:hRule="atLeast"/>
        </w:trPr>
        <w:tc>
          <w:tcPr>
            <w:tcW w:w="2298" w:type="dxa"/>
            <w:vMerge w:val="restart"/>
            <w:tcBorders>
              <w:top w:val="nil"/>
              <w:left w:val="single" w:color="auto" w:sz="4" w:space="0"/>
              <w:bottom w:val="single" w:color="auto" w:sz="4" w:space="0"/>
              <w:right w:val="single" w:color="auto" w:sz="4" w:space="0"/>
            </w:tcBorders>
            <w:noWrap w:val="0"/>
            <w:vAlign w:val="center"/>
          </w:tcPr>
          <w:p w14:paraId="4EF451E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雨水口</w:t>
            </w:r>
          </w:p>
        </w:tc>
        <w:tc>
          <w:tcPr>
            <w:tcW w:w="2522" w:type="dxa"/>
            <w:tcBorders>
              <w:top w:val="nil"/>
              <w:left w:val="nil"/>
              <w:bottom w:val="single" w:color="auto" w:sz="4" w:space="0"/>
              <w:right w:val="single" w:color="auto" w:sz="4" w:space="0"/>
            </w:tcBorders>
            <w:noWrap w:val="0"/>
            <w:vAlign w:val="center"/>
          </w:tcPr>
          <w:p w14:paraId="10696D0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无沉泥槽</w:t>
            </w:r>
          </w:p>
        </w:tc>
        <w:tc>
          <w:tcPr>
            <w:tcW w:w="4111" w:type="dxa"/>
            <w:tcBorders>
              <w:top w:val="nil"/>
              <w:left w:val="nil"/>
              <w:bottom w:val="single" w:color="auto" w:sz="4" w:space="0"/>
              <w:right w:val="single" w:color="auto" w:sz="4" w:space="0"/>
            </w:tcBorders>
            <w:noWrap w:val="0"/>
            <w:vAlign w:val="center"/>
          </w:tcPr>
          <w:p w14:paraId="7358AD7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管径的1/5</w:t>
            </w:r>
          </w:p>
        </w:tc>
      </w:tr>
      <w:tr w14:paraId="2D44B54A">
        <w:tblPrEx>
          <w:tblCellMar>
            <w:top w:w="0" w:type="dxa"/>
            <w:left w:w="108" w:type="dxa"/>
            <w:bottom w:w="0" w:type="dxa"/>
            <w:right w:w="108" w:type="dxa"/>
          </w:tblCellMar>
        </w:tblPrEx>
        <w:trPr>
          <w:trHeight w:val="684" w:hRule="atLeast"/>
        </w:trPr>
        <w:tc>
          <w:tcPr>
            <w:tcW w:w="2298" w:type="dxa"/>
            <w:vMerge w:val="continue"/>
            <w:tcBorders>
              <w:top w:val="nil"/>
              <w:left w:val="single" w:color="auto" w:sz="4" w:space="0"/>
              <w:bottom w:val="single" w:color="auto" w:sz="4" w:space="0"/>
              <w:right w:val="single" w:color="auto" w:sz="4" w:space="0"/>
            </w:tcBorders>
            <w:noWrap w:val="0"/>
            <w:vAlign w:val="center"/>
          </w:tcPr>
          <w:p w14:paraId="1CA7AE2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p>
        </w:tc>
        <w:tc>
          <w:tcPr>
            <w:tcW w:w="2522" w:type="dxa"/>
            <w:tcBorders>
              <w:top w:val="nil"/>
              <w:left w:val="nil"/>
              <w:bottom w:val="single" w:color="auto" w:sz="4" w:space="0"/>
              <w:right w:val="single" w:color="auto" w:sz="4" w:space="0"/>
            </w:tcBorders>
            <w:noWrap w:val="0"/>
            <w:vAlign w:val="center"/>
          </w:tcPr>
          <w:p w14:paraId="5EC7E7C9">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有沉泥槽</w:t>
            </w:r>
          </w:p>
        </w:tc>
        <w:tc>
          <w:tcPr>
            <w:tcW w:w="4111" w:type="dxa"/>
            <w:tcBorders>
              <w:top w:val="nil"/>
              <w:left w:val="nil"/>
              <w:bottom w:val="single" w:color="auto" w:sz="4" w:space="0"/>
              <w:right w:val="single" w:color="auto" w:sz="4" w:space="0"/>
            </w:tcBorders>
            <w:noWrap w:val="0"/>
            <w:vAlign w:val="center"/>
          </w:tcPr>
          <w:p w14:paraId="1F45499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管底以下50mm</w:t>
            </w:r>
          </w:p>
        </w:tc>
      </w:tr>
      <w:tr w14:paraId="18AE62CB">
        <w:tblPrEx>
          <w:tblCellMar>
            <w:top w:w="0" w:type="dxa"/>
            <w:left w:w="108" w:type="dxa"/>
            <w:bottom w:w="0" w:type="dxa"/>
            <w:right w:w="108" w:type="dxa"/>
          </w:tblCellMar>
        </w:tblPrEx>
        <w:trPr>
          <w:trHeight w:val="574" w:hRule="atLeast"/>
        </w:trPr>
        <w:tc>
          <w:tcPr>
            <w:tcW w:w="2298" w:type="dxa"/>
            <w:vMerge w:val="continue"/>
            <w:tcBorders>
              <w:top w:val="nil"/>
              <w:left w:val="single" w:color="auto" w:sz="4" w:space="0"/>
              <w:bottom w:val="single" w:color="auto" w:sz="4" w:space="0"/>
              <w:right w:val="single" w:color="auto" w:sz="4" w:space="0"/>
            </w:tcBorders>
            <w:noWrap w:val="0"/>
            <w:vAlign w:val="center"/>
          </w:tcPr>
          <w:p w14:paraId="166BBCE4">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p>
        </w:tc>
        <w:tc>
          <w:tcPr>
            <w:tcW w:w="2522" w:type="dxa"/>
            <w:tcBorders>
              <w:top w:val="nil"/>
              <w:left w:val="nil"/>
              <w:bottom w:val="single" w:color="auto" w:sz="4" w:space="0"/>
              <w:right w:val="single" w:color="auto" w:sz="4" w:space="0"/>
            </w:tcBorders>
            <w:noWrap w:val="0"/>
            <w:vAlign w:val="center"/>
          </w:tcPr>
          <w:p w14:paraId="14118283">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无沉泥槽</w:t>
            </w:r>
          </w:p>
        </w:tc>
        <w:tc>
          <w:tcPr>
            <w:tcW w:w="4111" w:type="dxa"/>
            <w:tcBorders>
              <w:top w:val="nil"/>
              <w:left w:val="nil"/>
              <w:bottom w:val="single" w:color="auto" w:sz="4" w:space="0"/>
              <w:right w:val="single" w:color="auto" w:sz="4" w:space="0"/>
            </w:tcBorders>
            <w:noWrap w:val="0"/>
            <w:vAlign w:val="center"/>
          </w:tcPr>
          <w:p w14:paraId="22A0AE2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管底以上50mm</w:t>
            </w:r>
          </w:p>
        </w:tc>
      </w:tr>
    </w:tbl>
    <w:p w14:paraId="3306541C">
      <w:pPr>
        <w:pageBreakBefore w:val="0"/>
        <w:tabs>
          <w:tab w:val="left" w:pos="8838"/>
          <w:tab w:val="left" w:pos="8979"/>
        </w:tabs>
        <w:kinsoku/>
        <w:wordWrap/>
        <w:overflowPunct/>
        <w:topLinePunct w:val="0"/>
        <w:autoSpaceDE/>
        <w:autoSpaceDN/>
        <w:bidi w:val="0"/>
        <w:adjustRightInd/>
        <w:snapToGrid/>
        <w:spacing w:beforeAutospacing="0" w:afterAutospacing="0" w:line="460" w:lineRule="exact"/>
        <w:ind w:right="938"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（6）管渠疏通清挖维护质量标准</w:t>
      </w:r>
    </w:p>
    <w:tbl>
      <w:tblPr>
        <w:tblStyle w:val="34"/>
        <w:tblW w:w="8960" w:type="dxa"/>
        <w:tblInd w:w="0" w:type="dxa"/>
        <w:tblLayout w:type="fixed"/>
        <w:tblCellMar>
          <w:top w:w="0" w:type="dxa"/>
          <w:left w:w="108" w:type="dxa"/>
          <w:bottom w:w="0" w:type="dxa"/>
          <w:right w:w="108" w:type="dxa"/>
        </w:tblCellMar>
      </w:tblPr>
      <w:tblGrid>
        <w:gridCol w:w="1306"/>
        <w:gridCol w:w="1559"/>
        <w:gridCol w:w="6095"/>
      </w:tblGrid>
      <w:tr w14:paraId="2010834B">
        <w:tblPrEx>
          <w:tblCellMar>
            <w:top w:w="0" w:type="dxa"/>
            <w:left w:w="108" w:type="dxa"/>
            <w:bottom w:w="0" w:type="dxa"/>
            <w:right w:w="108" w:type="dxa"/>
          </w:tblCellMar>
        </w:tblPrEx>
        <w:trPr>
          <w:trHeight w:val="456" w:hRule="atLeast"/>
        </w:trPr>
        <w:tc>
          <w:tcPr>
            <w:tcW w:w="1306" w:type="dxa"/>
            <w:tcBorders>
              <w:top w:val="single" w:color="auto" w:sz="4" w:space="0"/>
              <w:left w:val="single" w:color="auto" w:sz="4" w:space="0"/>
              <w:bottom w:val="single" w:color="auto" w:sz="4" w:space="0"/>
              <w:right w:val="single" w:color="auto" w:sz="4" w:space="0"/>
            </w:tcBorders>
            <w:noWrap w:val="0"/>
            <w:vAlign w:val="center"/>
          </w:tcPr>
          <w:p w14:paraId="4CE00FB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检查项目</w:t>
            </w:r>
          </w:p>
        </w:tc>
        <w:tc>
          <w:tcPr>
            <w:tcW w:w="1559" w:type="dxa"/>
            <w:tcBorders>
              <w:top w:val="single" w:color="auto" w:sz="4" w:space="0"/>
              <w:left w:val="nil"/>
              <w:bottom w:val="single" w:color="auto" w:sz="4" w:space="0"/>
              <w:right w:val="single" w:color="auto" w:sz="4" w:space="0"/>
            </w:tcBorders>
            <w:noWrap w:val="0"/>
            <w:vAlign w:val="center"/>
          </w:tcPr>
          <w:p w14:paraId="1386BBC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检查方法</w:t>
            </w:r>
          </w:p>
        </w:tc>
        <w:tc>
          <w:tcPr>
            <w:tcW w:w="6095" w:type="dxa"/>
            <w:tcBorders>
              <w:top w:val="single" w:color="auto" w:sz="4" w:space="0"/>
              <w:left w:val="nil"/>
              <w:bottom w:val="single" w:color="auto" w:sz="4" w:space="0"/>
              <w:right w:val="single" w:color="auto" w:sz="4" w:space="0"/>
            </w:tcBorders>
            <w:noWrap w:val="0"/>
            <w:vAlign w:val="center"/>
          </w:tcPr>
          <w:p w14:paraId="15DBFDE0">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w:t>
            </w:r>
          </w:p>
        </w:tc>
      </w:tr>
      <w:tr w14:paraId="09C49DA5">
        <w:tblPrEx>
          <w:tblCellMar>
            <w:top w:w="0" w:type="dxa"/>
            <w:left w:w="108" w:type="dxa"/>
            <w:bottom w:w="0" w:type="dxa"/>
            <w:right w:w="108" w:type="dxa"/>
          </w:tblCellMar>
        </w:tblPrEx>
        <w:trPr>
          <w:trHeight w:val="970" w:hRule="atLeast"/>
        </w:trPr>
        <w:tc>
          <w:tcPr>
            <w:tcW w:w="1306" w:type="dxa"/>
            <w:vMerge w:val="restart"/>
            <w:tcBorders>
              <w:top w:val="nil"/>
              <w:left w:val="single" w:color="auto" w:sz="4" w:space="0"/>
              <w:bottom w:val="single" w:color="auto" w:sz="4" w:space="0"/>
              <w:right w:val="single" w:color="auto" w:sz="4" w:space="0"/>
            </w:tcBorders>
            <w:noWrap w:val="0"/>
            <w:vAlign w:val="center"/>
          </w:tcPr>
          <w:p w14:paraId="5A30901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残余污泥</w:t>
            </w:r>
          </w:p>
        </w:tc>
        <w:tc>
          <w:tcPr>
            <w:tcW w:w="1559" w:type="dxa"/>
            <w:tcBorders>
              <w:top w:val="nil"/>
              <w:left w:val="nil"/>
              <w:bottom w:val="single" w:color="auto" w:sz="4" w:space="0"/>
              <w:right w:val="single" w:color="auto" w:sz="4" w:space="0"/>
            </w:tcBorders>
            <w:noWrap w:val="0"/>
            <w:vAlign w:val="center"/>
          </w:tcPr>
          <w:p w14:paraId="27BB88B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绞车检查</w:t>
            </w:r>
          </w:p>
        </w:tc>
        <w:tc>
          <w:tcPr>
            <w:tcW w:w="6095" w:type="dxa"/>
            <w:tcBorders>
              <w:top w:val="nil"/>
              <w:left w:val="nil"/>
              <w:bottom w:val="single" w:color="auto" w:sz="4" w:space="0"/>
              <w:right w:val="single" w:color="auto" w:sz="4" w:space="0"/>
            </w:tcBorders>
            <w:noWrap w:val="0"/>
            <w:vAlign w:val="center"/>
          </w:tcPr>
          <w:p w14:paraId="547C95A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第一遍绞车检查，铁牛内厚泥不应超过铁牛直径的1/2;管道长度按40m计，超过或不足40m允许积泥按比例增减。</w:t>
            </w:r>
          </w:p>
        </w:tc>
      </w:tr>
      <w:tr w14:paraId="2106F756">
        <w:tblPrEx>
          <w:tblCellMar>
            <w:top w:w="0" w:type="dxa"/>
            <w:left w:w="108" w:type="dxa"/>
            <w:bottom w:w="0" w:type="dxa"/>
            <w:right w:w="108" w:type="dxa"/>
          </w:tblCellMar>
        </w:tblPrEx>
        <w:trPr>
          <w:trHeight w:val="740" w:hRule="atLeast"/>
        </w:trPr>
        <w:tc>
          <w:tcPr>
            <w:tcW w:w="1306" w:type="dxa"/>
            <w:vMerge w:val="continue"/>
            <w:tcBorders>
              <w:top w:val="nil"/>
              <w:left w:val="single" w:color="auto" w:sz="4" w:space="0"/>
              <w:bottom w:val="single" w:color="auto" w:sz="4" w:space="0"/>
              <w:right w:val="single" w:color="auto" w:sz="4" w:space="0"/>
            </w:tcBorders>
            <w:noWrap w:val="0"/>
            <w:vAlign w:val="center"/>
          </w:tcPr>
          <w:p w14:paraId="2B1088C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p>
        </w:tc>
        <w:tc>
          <w:tcPr>
            <w:tcW w:w="1559" w:type="dxa"/>
            <w:tcBorders>
              <w:top w:val="nil"/>
              <w:left w:val="nil"/>
              <w:bottom w:val="single" w:color="auto" w:sz="4" w:space="0"/>
              <w:right w:val="single" w:color="auto" w:sz="4" w:space="0"/>
            </w:tcBorders>
            <w:noWrap w:val="0"/>
            <w:vAlign w:val="center"/>
          </w:tcPr>
          <w:p w14:paraId="2FC3CE1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电视检测</w:t>
            </w:r>
          </w:p>
          <w:p w14:paraId="3FABAC9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声呐检测</w:t>
            </w:r>
          </w:p>
        </w:tc>
        <w:tc>
          <w:tcPr>
            <w:tcW w:w="6095" w:type="dxa"/>
            <w:tcBorders>
              <w:top w:val="nil"/>
              <w:left w:val="nil"/>
              <w:bottom w:val="single" w:color="auto" w:sz="4" w:space="0"/>
              <w:right w:val="single" w:color="auto" w:sz="4" w:space="0"/>
            </w:tcBorders>
            <w:noWrap w:val="0"/>
            <w:vAlign w:val="center"/>
          </w:tcPr>
          <w:p w14:paraId="4BDED96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疏通后积泥深度不应超过管径或渠净高的1/8；疏通后积泥深度不应超过管径或渠净高的1/8。</w:t>
            </w:r>
          </w:p>
        </w:tc>
      </w:tr>
      <w:tr w14:paraId="0FF9C336">
        <w:tblPrEx>
          <w:tblCellMar>
            <w:top w:w="0" w:type="dxa"/>
            <w:left w:w="108" w:type="dxa"/>
            <w:bottom w:w="0" w:type="dxa"/>
            <w:right w:w="108" w:type="dxa"/>
          </w:tblCellMar>
        </w:tblPrEx>
        <w:trPr>
          <w:trHeight w:val="360" w:hRule="atLeast"/>
        </w:trPr>
        <w:tc>
          <w:tcPr>
            <w:tcW w:w="1306" w:type="dxa"/>
            <w:vMerge w:val="restart"/>
            <w:tcBorders>
              <w:top w:val="nil"/>
              <w:left w:val="single" w:color="auto" w:sz="4" w:space="0"/>
              <w:bottom w:val="single" w:color="auto" w:sz="4" w:space="0"/>
              <w:right w:val="single" w:color="auto" w:sz="4" w:space="0"/>
            </w:tcBorders>
            <w:noWrap w:val="0"/>
            <w:vAlign w:val="center"/>
          </w:tcPr>
          <w:p w14:paraId="68DB860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检查井</w:t>
            </w:r>
          </w:p>
        </w:tc>
        <w:tc>
          <w:tcPr>
            <w:tcW w:w="1559" w:type="dxa"/>
            <w:tcBorders>
              <w:top w:val="nil"/>
              <w:left w:val="nil"/>
              <w:bottom w:val="single" w:color="auto" w:sz="4" w:space="0"/>
              <w:right w:val="single" w:color="auto" w:sz="4" w:space="0"/>
            </w:tcBorders>
            <w:noWrap w:val="0"/>
            <w:vAlign w:val="center"/>
          </w:tcPr>
          <w:p w14:paraId="09BFAAC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目视、花杆</w:t>
            </w:r>
          </w:p>
        </w:tc>
        <w:tc>
          <w:tcPr>
            <w:tcW w:w="6095" w:type="dxa"/>
            <w:tcBorders>
              <w:top w:val="nil"/>
              <w:left w:val="nil"/>
              <w:bottom w:val="single" w:color="auto" w:sz="4" w:space="0"/>
              <w:right w:val="single" w:color="auto" w:sz="4" w:space="0"/>
            </w:tcBorders>
            <w:noWrap w:val="0"/>
            <w:vAlign w:val="center"/>
          </w:tcPr>
          <w:p w14:paraId="465D8DE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井壁清洁元结垢；井底不应有硬块。</w:t>
            </w:r>
          </w:p>
        </w:tc>
      </w:tr>
      <w:tr w14:paraId="7362F99F">
        <w:tblPrEx>
          <w:tblCellMar>
            <w:top w:w="0" w:type="dxa"/>
            <w:left w:w="108" w:type="dxa"/>
            <w:bottom w:w="0" w:type="dxa"/>
            <w:right w:w="108" w:type="dxa"/>
          </w:tblCellMar>
        </w:tblPrEx>
        <w:trPr>
          <w:trHeight w:val="396" w:hRule="atLeast"/>
        </w:trPr>
        <w:tc>
          <w:tcPr>
            <w:tcW w:w="1306" w:type="dxa"/>
            <w:vMerge w:val="continue"/>
            <w:tcBorders>
              <w:top w:val="nil"/>
              <w:left w:val="single" w:color="auto" w:sz="4" w:space="0"/>
              <w:bottom w:val="single" w:color="auto" w:sz="4" w:space="0"/>
              <w:right w:val="single" w:color="auto" w:sz="4" w:space="0"/>
            </w:tcBorders>
            <w:noWrap w:val="0"/>
            <w:vAlign w:val="center"/>
          </w:tcPr>
          <w:p w14:paraId="67BFD79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p>
        </w:tc>
        <w:tc>
          <w:tcPr>
            <w:tcW w:w="1559" w:type="dxa"/>
            <w:tcBorders>
              <w:top w:val="nil"/>
              <w:left w:val="nil"/>
              <w:bottom w:val="single" w:color="auto" w:sz="4" w:space="0"/>
              <w:right w:val="single" w:color="auto" w:sz="4" w:space="0"/>
            </w:tcBorders>
            <w:noWrap w:val="0"/>
            <w:vAlign w:val="center"/>
          </w:tcPr>
          <w:p w14:paraId="6C91892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量泥斗检查</w:t>
            </w:r>
          </w:p>
        </w:tc>
        <w:tc>
          <w:tcPr>
            <w:tcW w:w="6095" w:type="dxa"/>
            <w:tcBorders>
              <w:top w:val="nil"/>
              <w:left w:val="nil"/>
              <w:bottom w:val="single" w:color="auto" w:sz="4" w:space="0"/>
              <w:right w:val="single" w:color="auto" w:sz="4" w:space="0"/>
            </w:tcBorders>
            <w:noWrap w:val="0"/>
            <w:vAlign w:val="center"/>
          </w:tcPr>
          <w:p w14:paraId="3CA155D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不得有积泥</w:t>
            </w:r>
          </w:p>
        </w:tc>
      </w:tr>
      <w:tr w14:paraId="5E00C261">
        <w:tblPrEx>
          <w:tblCellMar>
            <w:top w:w="0" w:type="dxa"/>
            <w:left w:w="108" w:type="dxa"/>
            <w:bottom w:w="0" w:type="dxa"/>
            <w:right w:w="108" w:type="dxa"/>
          </w:tblCellMar>
        </w:tblPrEx>
        <w:trPr>
          <w:trHeight w:val="552" w:hRule="atLeast"/>
        </w:trPr>
        <w:tc>
          <w:tcPr>
            <w:tcW w:w="1306" w:type="dxa"/>
            <w:tcBorders>
              <w:top w:val="nil"/>
              <w:left w:val="single" w:color="auto" w:sz="4" w:space="0"/>
              <w:bottom w:val="single" w:color="auto" w:sz="4" w:space="0"/>
              <w:right w:val="single" w:color="auto" w:sz="4" w:space="0"/>
            </w:tcBorders>
            <w:noWrap w:val="0"/>
            <w:vAlign w:val="center"/>
          </w:tcPr>
          <w:p w14:paraId="63F77591">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工作现场</w:t>
            </w:r>
          </w:p>
        </w:tc>
        <w:tc>
          <w:tcPr>
            <w:tcW w:w="1559" w:type="dxa"/>
            <w:tcBorders>
              <w:top w:val="nil"/>
              <w:left w:val="nil"/>
              <w:bottom w:val="single" w:color="auto" w:sz="4" w:space="0"/>
              <w:right w:val="single" w:color="auto" w:sz="4" w:space="0"/>
            </w:tcBorders>
            <w:noWrap w:val="0"/>
            <w:vAlign w:val="center"/>
          </w:tcPr>
          <w:p w14:paraId="4D1174C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目视检查</w:t>
            </w:r>
          </w:p>
        </w:tc>
        <w:tc>
          <w:tcPr>
            <w:tcW w:w="6095" w:type="dxa"/>
            <w:tcBorders>
              <w:top w:val="nil"/>
              <w:left w:val="nil"/>
              <w:bottom w:val="single" w:color="auto" w:sz="4" w:space="0"/>
              <w:right w:val="single" w:color="auto" w:sz="4" w:space="0"/>
            </w:tcBorders>
            <w:noWrap w:val="0"/>
            <w:vAlign w:val="center"/>
          </w:tcPr>
          <w:p w14:paraId="0DCB4D9F">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工作现场污泥、硬块不落地；作业面冲洗干净。</w:t>
            </w:r>
          </w:p>
        </w:tc>
      </w:tr>
    </w:tbl>
    <w:p w14:paraId="5AF5E943">
      <w:pPr>
        <w:pageBreakBefore w:val="0"/>
        <w:tabs>
          <w:tab w:val="left" w:pos="8838"/>
          <w:tab w:val="left" w:pos="8979"/>
        </w:tabs>
        <w:kinsoku/>
        <w:wordWrap/>
        <w:overflowPunct/>
        <w:topLinePunct w:val="0"/>
        <w:autoSpaceDE/>
        <w:autoSpaceDN/>
        <w:bidi w:val="0"/>
        <w:adjustRightInd/>
        <w:snapToGrid/>
        <w:spacing w:beforeAutospacing="0" w:afterAutospacing="0" w:line="460" w:lineRule="exact"/>
        <w:ind w:right="938"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（7）井盖及雨水算（盖框）养护调整允许高低差</w:t>
      </w:r>
    </w:p>
    <w:tbl>
      <w:tblPr>
        <w:tblStyle w:val="34"/>
        <w:tblW w:w="8931" w:type="dxa"/>
        <w:tblInd w:w="29" w:type="dxa"/>
        <w:tblLayout w:type="fixed"/>
        <w:tblCellMar>
          <w:top w:w="0" w:type="dxa"/>
          <w:left w:w="108" w:type="dxa"/>
          <w:bottom w:w="0" w:type="dxa"/>
          <w:right w:w="108" w:type="dxa"/>
        </w:tblCellMar>
      </w:tblPr>
      <w:tblGrid>
        <w:gridCol w:w="1836"/>
        <w:gridCol w:w="1850"/>
        <w:gridCol w:w="2410"/>
        <w:gridCol w:w="2835"/>
      </w:tblGrid>
      <w:tr w14:paraId="6B35C3F5">
        <w:tblPrEx>
          <w:tblCellMar>
            <w:top w:w="0" w:type="dxa"/>
            <w:left w:w="108" w:type="dxa"/>
            <w:bottom w:w="0" w:type="dxa"/>
            <w:right w:w="108" w:type="dxa"/>
          </w:tblCellMar>
        </w:tblPrEx>
        <w:trPr>
          <w:trHeight w:val="655" w:hRule="atLeast"/>
        </w:trPr>
        <w:tc>
          <w:tcPr>
            <w:tcW w:w="1836" w:type="dxa"/>
            <w:tcBorders>
              <w:top w:val="single" w:color="auto" w:sz="4" w:space="0"/>
              <w:left w:val="single" w:color="auto" w:sz="4" w:space="0"/>
              <w:bottom w:val="single" w:color="auto" w:sz="4" w:space="0"/>
              <w:right w:val="single" w:color="auto" w:sz="4" w:space="0"/>
            </w:tcBorders>
            <w:noWrap w:val="0"/>
            <w:vAlign w:val="center"/>
          </w:tcPr>
          <w:p w14:paraId="532C9FFC">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设施种类</w:t>
            </w:r>
          </w:p>
        </w:tc>
        <w:tc>
          <w:tcPr>
            <w:tcW w:w="1850" w:type="dxa"/>
            <w:tcBorders>
              <w:top w:val="single" w:color="auto" w:sz="4" w:space="0"/>
              <w:left w:val="nil"/>
              <w:bottom w:val="single" w:color="auto" w:sz="4" w:space="0"/>
              <w:right w:val="single" w:color="auto" w:sz="4" w:space="0"/>
            </w:tcBorders>
            <w:noWrap w:val="0"/>
            <w:vAlign w:val="center"/>
          </w:tcPr>
          <w:p w14:paraId="296B9AC8">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盖框间隙(mm)</w:t>
            </w:r>
          </w:p>
        </w:tc>
        <w:tc>
          <w:tcPr>
            <w:tcW w:w="2410" w:type="dxa"/>
            <w:tcBorders>
              <w:top w:val="single" w:color="auto" w:sz="4" w:space="0"/>
              <w:left w:val="nil"/>
              <w:bottom w:val="single" w:color="auto" w:sz="4" w:space="0"/>
              <w:right w:val="single" w:color="auto" w:sz="4" w:space="0"/>
            </w:tcBorders>
            <w:noWrap w:val="0"/>
            <w:vAlign w:val="center"/>
          </w:tcPr>
          <w:p w14:paraId="6028FE5B">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井盖与井框高低差(mm)</w:t>
            </w:r>
          </w:p>
        </w:tc>
        <w:tc>
          <w:tcPr>
            <w:tcW w:w="2835" w:type="dxa"/>
            <w:tcBorders>
              <w:top w:val="single" w:color="auto" w:sz="4" w:space="0"/>
              <w:left w:val="nil"/>
              <w:bottom w:val="single" w:color="auto" w:sz="4" w:space="0"/>
              <w:right w:val="single" w:color="auto" w:sz="4" w:space="0"/>
            </w:tcBorders>
            <w:noWrap w:val="0"/>
            <w:vAlign w:val="center"/>
          </w:tcPr>
          <w:p w14:paraId="208463B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井框与路面高低差(mm)</w:t>
            </w:r>
          </w:p>
        </w:tc>
      </w:tr>
      <w:tr w14:paraId="3543B8DA">
        <w:tblPrEx>
          <w:tblCellMar>
            <w:top w:w="0" w:type="dxa"/>
            <w:left w:w="108" w:type="dxa"/>
            <w:bottom w:w="0" w:type="dxa"/>
            <w:right w:w="108" w:type="dxa"/>
          </w:tblCellMar>
        </w:tblPrEx>
        <w:trPr>
          <w:trHeight w:val="597" w:hRule="atLeast"/>
        </w:trPr>
        <w:tc>
          <w:tcPr>
            <w:tcW w:w="1836" w:type="dxa"/>
            <w:tcBorders>
              <w:top w:val="nil"/>
              <w:left w:val="single" w:color="auto" w:sz="4" w:space="0"/>
              <w:bottom w:val="single" w:color="auto" w:sz="4" w:space="0"/>
              <w:right w:val="single" w:color="auto" w:sz="4" w:space="0"/>
            </w:tcBorders>
            <w:noWrap w:val="0"/>
            <w:vAlign w:val="center"/>
          </w:tcPr>
          <w:p w14:paraId="331D97AE">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检查井</w:t>
            </w:r>
          </w:p>
        </w:tc>
        <w:tc>
          <w:tcPr>
            <w:tcW w:w="1850" w:type="dxa"/>
            <w:tcBorders>
              <w:top w:val="nil"/>
              <w:left w:val="nil"/>
              <w:bottom w:val="single" w:color="auto" w:sz="4" w:space="0"/>
              <w:right w:val="single" w:color="auto" w:sz="4" w:space="0"/>
            </w:tcBorders>
            <w:noWrap w:val="0"/>
            <w:vAlign w:val="center"/>
          </w:tcPr>
          <w:p w14:paraId="0DA7A736">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&lt;8</w:t>
            </w:r>
          </w:p>
        </w:tc>
        <w:tc>
          <w:tcPr>
            <w:tcW w:w="2410" w:type="dxa"/>
            <w:tcBorders>
              <w:top w:val="nil"/>
              <w:left w:val="nil"/>
              <w:bottom w:val="single" w:color="auto" w:sz="4" w:space="0"/>
              <w:right w:val="single" w:color="auto" w:sz="4" w:space="0"/>
            </w:tcBorders>
            <w:noWrap w:val="0"/>
            <w:vAlign w:val="center"/>
          </w:tcPr>
          <w:p w14:paraId="358CA955">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2835" w:type="dxa"/>
            <w:tcBorders>
              <w:top w:val="nil"/>
              <w:left w:val="nil"/>
              <w:bottom w:val="single" w:color="auto" w:sz="4" w:space="0"/>
              <w:right w:val="single" w:color="auto" w:sz="4" w:space="0"/>
            </w:tcBorders>
            <w:noWrap w:val="0"/>
            <w:vAlign w:val="center"/>
          </w:tcPr>
          <w:p w14:paraId="1CCEF6FA">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r>
      <w:tr w14:paraId="42D3352B">
        <w:tblPrEx>
          <w:tblCellMar>
            <w:top w:w="0" w:type="dxa"/>
            <w:left w:w="108" w:type="dxa"/>
            <w:bottom w:w="0" w:type="dxa"/>
            <w:right w:w="108" w:type="dxa"/>
          </w:tblCellMar>
        </w:tblPrEx>
        <w:trPr>
          <w:trHeight w:val="621" w:hRule="atLeast"/>
        </w:trPr>
        <w:tc>
          <w:tcPr>
            <w:tcW w:w="1836" w:type="dxa"/>
            <w:tcBorders>
              <w:top w:val="nil"/>
              <w:left w:val="single" w:color="auto" w:sz="4" w:space="0"/>
              <w:bottom w:val="single" w:color="auto" w:sz="4" w:space="0"/>
              <w:right w:val="single" w:color="auto" w:sz="4" w:space="0"/>
            </w:tcBorders>
            <w:noWrap w:val="0"/>
            <w:vAlign w:val="center"/>
          </w:tcPr>
          <w:p w14:paraId="798337DD">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雨水口</w:t>
            </w:r>
          </w:p>
        </w:tc>
        <w:tc>
          <w:tcPr>
            <w:tcW w:w="1850" w:type="dxa"/>
            <w:tcBorders>
              <w:top w:val="nil"/>
              <w:left w:val="nil"/>
              <w:bottom w:val="single" w:color="auto" w:sz="4" w:space="0"/>
              <w:right w:val="single" w:color="auto" w:sz="4" w:space="0"/>
            </w:tcBorders>
            <w:noWrap w:val="0"/>
            <w:vAlign w:val="center"/>
          </w:tcPr>
          <w:p w14:paraId="4B42184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&lt;8</w:t>
            </w:r>
          </w:p>
        </w:tc>
        <w:tc>
          <w:tcPr>
            <w:tcW w:w="2410" w:type="dxa"/>
            <w:tcBorders>
              <w:top w:val="nil"/>
              <w:left w:val="nil"/>
              <w:bottom w:val="single" w:color="auto" w:sz="4" w:space="0"/>
              <w:right w:val="single" w:color="auto" w:sz="4" w:space="0"/>
            </w:tcBorders>
            <w:noWrap w:val="0"/>
            <w:vAlign w:val="center"/>
          </w:tcPr>
          <w:p w14:paraId="6E1ED1D2">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2835" w:type="dxa"/>
            <w:tcBorders>
              <w:top w:val="nil"/>
              <w:left w:val="nil"/>
              <w:bottom w:val="single" w:color="auto" w:sz="4" w:space="0"/>
              <w:right w:val="single" w:color="auto" w:sz="4" w:space="0"/>
            </w:tcBorders>
            <w:noWrap w:val="0"/>
            <w:vAlign w:val="center"/>
          </w:tcPr>
          <w:p w14:paraId="4DDF7837">
            <w:pPr>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r>
    </w:tbl>
    <w:p w14:paraId="03A3C4FC">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（8）井盖的标识应与管道的属性相一致，雨水、污水、雨污合流管道的井盖上应分别标注雨水、污水、排水等标识；</w:t>
      </w:r>
    </w:p>
    <w:p w14:paraId="70284275">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当巡视人员在巡视中发现井盖和雨水篦缺失或损坏后，应立即设置警示标志，并在6h内修补恢复；当相关排水管理单位接报井盖和雨水篦缺失或损坏信息后，留人看管、必须在2h内安放护栏和警示标志，并应在6h内修补恢复；对排水设施如检查井、收水井及井盖补盖更换等应及时保障日常维修。</w:t>
      </w:r>
    </w:p>
    <w:p w14:paraId="299DBDCE">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（二）排水管渠的汛期运行与养护</w:t>
      </w:r>
    </w:p>
    <w:p w14:paraId="1DC2C62B">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排水管渠的汛期运维应加强运行人员值班、应急等制度，降雨时及时到达（半小时内）责任路段；清理收水井堵塞物，排除路面积水，积水完全消退后方可离开；做好汛期安全巡查工作；应对处理好标段内、年度排水设施防汛应急措施管理及其他应急事件处置；确保安全度汛。</w:t>
      </w:r>
    </w:p>
    <w:p w14:paraId="7C9708A4">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（三）排水管渠运行应急抢险、抢修能力</w:t>
      </w:r>
    </w:p>
    <w:p w14:paraId="737F3E70">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应具备突发排水设施等应急抢险、抢修能力；对管渠突发坍塌事件、污水外溢污染事件、防汛应急突发事件等应具有处置预案和应急抢险、抢修响应能力；</w:t>
      </w:r>
    </w:p>
    <w:p w14:paraId="1B4F133E">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对突发事件的应急抢险、抢修工作及其它超养护范围应急工作；管理单位下达指令后，</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不得拒绝、应先行组织实施完成，管理单位经职能部门履行手续核实核定后向财政部门申请该项经费。</w:t>
      </w:r>
    </w:p>
    <w:p w14:paraId="7CBEC0D3">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（四）排水管渠污泥运输与处理处置</w:t>
      </w:r>
    </w:p>
    <w:p w14:paraId="25C65CE1">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管渠污泥运输车辆过程宜保持密闭状态；运输车辆应按批准路线运输，按批准地点卸倒；</w:t>
      </w:r>
    </w:p>
    <w:p w14:paraId="2D722483">
      <w:pPr>
        <w:keepNext w:val="0"/>
        <w:keepLines w:val="0"/>
        <w:pageBreakBefore w:val="0"/>
        <w:widowControl/>
        <w:tabs>
          <w:tab w:val="left" w:pos="8838"/>
          <w:tab w:val="left" w:pos="8998"/>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优先考虑</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具备对管渠污泥进行脱水处理、泥砂分离处理、发电厂焚烧处理或其它减害污泥处置符合填埋场接收要求等能力；</w:t>
      </w:r>
    </w:p>
    <w:p w14:paraId="49CA08D0">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30"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应建立完善管渠污泥处置运营单位的检测、记录、存档和报告制度。</w:t>
      </w:r>
    </w:p>
    <w:p w14:paraId="0287A1CA">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（五）排水管渠检查与评估</w:t>
      </w:r>
    </w:p>
    <w:p w14:paraId="066878B5">
      <w:pPr>
        <w:keepNext w:val="0"/>
        <w:keepLines w:val="0"/>
        <w:pageBreakBefore w:val="0"/>
        <w:widowControl/>
        <w:tabs>
          <w:tab w:val="left" w:pos="8838"/>
          <w:tab w:val="left" w:pos="8965"/>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依据行业标准《城镇排水管道检测与评估技术规程》CJ]181的有关规定检查、检测周期；采用CCTV检测、声呐检测、量泥斗检测、潜水检查、反光镜检查、水力坡降检查、染色检查和烟雾检查等方法对管渠检查及评估；</w:t>
      </w:r>
    </w:p>
    <w:p w14:paraId="3C8080E2">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排水设施汛前清挖疏浚检测：应用CCTV、QV、声纳等现代化技术，开展管道功能性检查；管养排水设施清挖疏浚后检测：应用CCTV、QV、声纳等，开展管道功能性检查和结构性检查；</w:t>
      </w:r>
    </w:p>
    <w:p w14:paraId="50A87B3B">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在年度内对排水管渠设施发生的应急事故检查和专项检查或其他工程影响排水设施运行等检查检测；新增排水设施由管理单位提供新建工程排水设施交付检查、检测：应用CCTV、QV、声纳等，开展管道功能性检查和结构性检查；</w:t>
      </w:r>
    </w:p>
    <w:p w14:paraId="0AE3FEC8">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应在年度内对排水管渠设施主干支管检查、视频检测率≥50%以上；</w:t>
      </w:r>
    </w:p>
    <w:p w14:paraId="5817E653">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应提供相应的管渠检查、检测及评估报告。</w:t>
      </w:r>
    </w:p>
    <w:p w14:paraId="3A2BF823">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right="938" w:firstLine="482"/>
        <w:jc w:val="left"/>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、运行与养护职责</w:t>
      </w:r>
    </w:p>
    <w:p w14:paraId="47848A33">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公共事业管理服务中心市政管护股</w:t>
      </w:r>
      <w:r>
        <w:rPr>
          <w:rFonts w:hint="eastAsia" w:ascii="宋体" w:hAnsi="宋体" w:eastAsia="宋体" w:cs="宋体"/>
          <w:color w:val="auto"/>
          <w:sz w:val="24"/>
          <w:szCs w:val="24"/>
          <w:highlight w:val="none"/>
        </w:rPr>
        <w:t>负责具体的监督管理工作。负责排水设施运行与养护工作计划制定、方案编制、组织实施、市场化的招标工作；负责对排水设施运行与养护市场化</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的监督、技术指导、方案审查和考核。</w:t>
      </w:r>
    </w:p>
    <w:p w14:paraId="1E858EE9">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2"/>
        <w:jc w:val="left"/>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、维护管理考核内容</w:t>
      </w:r>
    </w:p>
    <w:p w14:paraId="36F60B41">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详见附件</w:t>
      </w:r>
    </w:p>
    <w:p w14:paraId="19DFBE17">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2"/>
        <w:jc w:val="left"/>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其</w:t>
      </w:r>
      <w:r>
        <w:rPr>
          <w:rFonts w:hint="eastAsia" w:ascii="宋体" w:hAnsi="宋体" w:eastAsia="宋体" w:cs="宋体"/>
          <w:b/>
          <w:bCs/>
          <w:color w:val="auto"/>
          <w:sz w:val="24"/>
          <w:szCs w:val="24"/>
          <w:highlight w:val="none"/>
        </w:rPr>
        <w:t>、考核方式及要求</w:t>
      </w:r>
    </w:p>
    <w:p w14:paraId="44E807CC">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1.考核方式</w:t>
      </w:r>
    </w:p>
    <w:p w14:paraId="25A33EB0">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排水设施运行与养护检查考核由</w:t>
      </w:r>
      <w:r>
        <w:rPr>
          <w:rFonts w:hint="eastAsia" w:ascii="宋体" w:hAnsi="宋体" w:cs="宋体"/>
          <w:color w:val="auto"/>
          <w:sz w:val="24"/>
          <w:szCs w:val="24"/>
          <w:highlight w:val="none"/>
          <w:lang w:val="en-US" w:eastAsia="zh-CN"/>
        </w:rPr>
        <w:t>市政管护股</w:t>
      </w:r>
      <w:r>
        <w:rPr>
          <w:rFonts w:hint="eastAsia" w:ascii="宋体" w:hAnsi="宋体" w:eastAsia="宋体" w:cs="宋体"/>
          <w:color w:val="auto"/>
          <w:sz w:val="24"/>
          <w:szCs w:val="24"/>
          <w:highlight w:val="none"/>
        </w:rPr>
        <w:t>根据本办法考核内容组织对管理范围内的排水设施运行与养护进行检查考核，做好相关资料的统计、记录及汇总。</w:t>
      </w:r>
    </w:p>
    <w:p w14:paraId="61A56164">
      <w:pPr>
        <w:keepNext w:val="0"/>
        <w:keepLines w:val="0"/>
        <w:pageBreakBefore w:val="0"/>
        <w:widowControl/>
        <w:tabs>
          <w:tab w:val="left" w:pos="8838"/>
          <w:tab w:val="left" w:pos="8979"/>
        </w:tabs>
        <w:kinsoku/>
        <w:wordWrap/>
        <w:overflowPunct/>
        <w:topLinePunct w:val="0"/>
        <w:autoSpaceDE/>
        <w:autoSpaceDN/>
        <w:bidi w:val="0"/>
        <w:adjustRightInd/>
        <w:snapToGrid/>
        <w:spacing w:beforeAutospacing="0" w:afterAutospacing="0" w:line="240" w:lineRule="auto"/>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2.考核的具体要求</w:t>
      </w:r>
    </w:p>
    <w:p w14:paraId="469F0268">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480"/>
        <w:jc w:val="both"/>
        <w:outlineLvl w:val="9"/>
        <w:rPr>
          <w:rFonts w:ascii="宋体" w:hAnsi="宋体" w:cs="宋体"/>
          <w:b/>
          <w:bCs/>
          <w:color w:val="auto"/>
          <w:sz w:val="24"/>
          <w:highlight w:val="none"/>
        </w:rPr>
        <w:sectPr>
          <w:footerReference r:id="rId7" w:type="default"/>
          <w:pgSz w:w="11906" w:h="16838"/>
          <w:pgMar w:top="1440" w:right="1800" w:bottom="1440" w:left="1800" w:header="851" w:footer="992" w:gutter="0"/>
          <w:cols w:space="720" w:num="1"/>
          <w:titlePg/>
          <w:docGrid w:linePitch="360" w:charSpace="0"/>
        </w:sectPr>
      </w:pPr>
      <w:r>
        <w:rPr>
          <w:rFonts w:hint="eastAsia" w:ascii="宋体" w:hAnsi="宋体" w:eastAsia="宋体" w:cs="宋体"/>
          <w:color w:val="auto"/>
          <w:sz w:val="24"/>
          <w:szCs w:val="24"/>
          <w:highlight w:val="none"/>
        </w:rPr>
        <w:t>对排水设施运行与养护的各类内业资料（台帐）进行考核；对履行社会责任以及排水设施运行与养护责任落实情况进行综合评价。</w:t>
      </w:r>
    </w:p>
    <w:p w14:paraId="582E308F">
      <w:pPr>
        <w:pageBreakBefore w:val="0"/>
        <w:kinsoku/>
        <w:wordWrap/>
        <w:overflowPunct/>
        <w:topLinePunct w:val="0"/>
        <w:autoSpaceDE/>
        <w:autoSpaceDN/>
        <w:bidi w:val="0"/>
        <w:adjustRightInd/>
        <w:snapToGrid/>
        <w:spacing w:beforeAutospacing="0" w:afterAutospacing="0" w:line="360" w:lineRule="auto"/>
        <w:rPr>
          <w:rFonts w:hint="eastAsia" w:ascii="宋体" w:hAnsi="宋体" w:eastAsia="宋体" w:cs="宋体"/>
          <w:color w:val="auto"/>
          <w:sz w:val="36"/>
          <w:szCs w:val="36"/>
          <w:highlight w:val="none"/>
        </w:rPr>
      </w:pPr>
      <w:r>
        <w:rPr>
          <w:rFonts w:hint="eastAsia" w:ascii="宋体" w:hAnsi="宋体" w:cs="宋体"/>
          <w:color w:val="auto"/>
          <w:sz w:val="31"/>
          <w:szCs w:val="31"/>
          <w:highlight w:val="none"/>
          <w:lang w:val="en-US" w:eastAsia="zh-CN"/>
        </w:rPr>
        <w:t>附</w:t>
      </w:r>
      <w:r>
        <w:rPr>
          <w:rFonts w:hint="eastAsia" w:ascii="宋体" w:hAnsi="宋体" w:eastAsia="宋体" w:cs="宋体"/>
          <w:color w:val="auto"/>
          <w:sz w:val="31"/>
          <w:szCs w:val="31"/>
          <w:highlight w:val="none"/>
        </w:rPr>
        <w:t>件</w:t>
      </w:r>
      <w:r>
        <w:rPr>
          <w:rFonts w:hint="eastAsia" w:ascii="宋体" w:hAnsi="宋体" w:cs="宋体"/>
          <w:color w:val="auto"/>
          <w:sz w:val="31"/>
          <w:szCs w:val="31"/>
          <w:highlight w:val="none"/>
          <w:lang w:val="en-US" w:eastAsia="zh-CN"/>
        </w:rPr>
        <w:t>3</w:t>
      </w:r>
      <w:r>
        <w:rPr>
          <w:rFonts w:hint="eastAsia" w:ascii="宋体" w:hAnsi="宋体" w:eastAsia="宋体" w:cs="宋体"/>
          <w:color w:val="auto"/>
          <w:sz w:val="31"/>
          <w:szCs w:val="31"/>
          <w:highlight w:val="none"/>
        </w:rPr>
        <w:t xml:space="preserve">      </w:t>
      </w:r>
      <w:r>
        <w:rPr>
          <w:rFonts w:hint="eastAsia" w:ascii="宋体" w:hAnsi="宋体" w:cs="宋体"/>
          <w:color w:val="auto"/>
          <w:sz w:val="31"/>
          <w:szCs w:val="31"/>
          <w:highlight w:val="none"/>
          <w:lang w:val="en-US" w:eastAsia="zh-CN"/>
        </w:rPr>
        <w:t xml:space="preserve">            </w:t>
      </w:r>
      <w:r>
        <w:rPr>
          <w:rFonts w:hint="eastAsia" w:ascii="宋体" w:hAnsi="宋体" w:eastAsia="宋体" w:cs="宋体"/>
          <w:color w:val="auto"/>
          <w:sz w:val="36"/>
          <w:szCs w:val="36"/>
          <w:highlight w:val="none"/>
        </w:rPr>
        <w:t>《徐州高新区排水设施养护考核评分表》</w:t>
      </w:r>
    </w:p>
    <w:tbl>
      <w:tblPr>
        <w:tblStyle w:val="34"/>
        <w:tblW w:w="144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1135"/>
        <w:gridCol w:w="1132"/>
        <w:gridCol w:w="5422"/>
        <w:gridCol w:w="815"/>
        <w:gridCol w:w="4564"/>
        <w:gridCol w:w="715"/>
      </w:tblGrid>
      <w:tr w14:paraId="3C56C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4462" w:type="dxa"/>
            <w:gridSpan w:val="7"/>
            <w:noWrap w:val="0"/>
            <w:vAlign w:val="center"/>
          </w:tcPr>
          <w:p w14:paraId="579F1C8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排水设施养护考核评分表</w:t>
            </w:r>
          </w:p>
        </w:tc>
      </w:tr>
      <w:tr w14:paraId="1AD79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79" w:type="dxa"/>
            <w:noWrap w:val="0"/>
            <w:vAlign w:val="center"/>
          </w:tcPr>
          <w:p w14:paraId="49D3991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135" w:type="dxa"/>
            <w:noWrap w:val="0"/>
            <w:vAlign w:val="center"/>
          </w:tcPr>
          <w:p w14:paraId="1C51A5B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考核项目</w:t>
            </w:r>
          </w:p>
        </w:tc>
        <w:tc>
          <w:tcPr>
            <w:tcW w:w="1132" w:type="dxa"/>
            <w:noWrap w:val="0"/>
            <w:vAlign w:val="center"/>
          </w:tcPr>
          <w:p w14:paraId="52E82AB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考核内容</w:t>
            </w:r>
          </w:p>
        </w:tc>
        <w:tc>
          <w:tcPr>
            <w:tcW w:w="5422" w:type="dxa"/>
            <w:noWrap w:val="0"/>
            <w:vAlign w:val="center"/>
          </w:tcPr>
          <w:p w14:paraId="159540D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考核标准</w:t>
            </w:r>
          </w:p>
        </w:tc>
        <w:tc>
          <w:tcPr>
            <w:tcW w:w="815" w:type="dxa"/>
            <w:noWrap w:val="0"/>
            <w:vAlign w:val="center"/>
          </w:tcPr>
          <w:p w14:paraId="618B096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分值</w:t>
            </w:r>
          </w:p>
        </w:tc>
        <w:tc>
          <w:tcPr>
            <w:tcW w:w="4564" w:type="dxa"/>
            <w:noWrap w:val="0"/>
            <w:vAlign w:val="center"/>
          </w:tcPr>
          <w:p w14:paraId="4E4FFE3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评分细则</w:t>
            </w:r>
          </w:p>
        </w:tc>
        <w:tc>
          <w:tcPr>
            <w:tcW w:w="715" w:type="dxa"/>
            <w:noWrap w:val="0"/>
            <w:vAlign w:val="center"/>
          </w:tcPr>
          <w:p w14:paraId="413DC4F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得分</w:t>
            </w:r>
          </w:p>
        </w:tc>
      </w:tr>
      <w:tr w14:paraId="6BD07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679" w:type="dxa"/>
            <w:noWrap w:val="0"/>
            <w:vAlign w:val="center"/>
          </w:tcPr>
          <w:p w14:paraId="7EDE17A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5BEF2BA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35" w:type="dxa"/>
            <w:vMerge w:val="restart"/>
            <w:noWrap w:val="0"/>
            <w:vAlign w:val="center"/>
          </w:tcPr>
          <w:p w14:paraId="14F19BE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2ADC3B5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CA658C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058B335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机构建</w:t>
            </w:r>
          </w:p>
          <w:p w14:paraId="0E6384A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设、工作</w:t>
            </w:r>
          </w:p>
          <w:p w14:paraId="034251C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计划</w:t>
            </w:r>
          </w:p>
          <w:p w14:paraId="3C8109F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17</w:t>
            </w:r>
            <w:r>
              <w:rPr>
                <w:rFonts w:hint="eastAsia" w:ascii="宋体" w:hAnsi="宋体" w:eastAsia="宋体" w:cs="宋体"/>
                <w:color w:val="auto"/>
                <w:highlight w:val="none"/>
              </w:rPr>
              <w:t>分)</w:t>
            </w:r>
          </w:p>
        </w:tc>
        <w:tc>
          <w:tcPr>
            <w:tcW w:w="1132" w:type="dxa"/>
            <w:noWrap w:val="0"/>
            <w:vAlign w:val="center"/>
          </w:tcPr>
          <w:p w14:paraId="0BEC031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E38AA7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管理机构</w:t>
            </w:r>
          </w:p>
        </w:tc>
        <w:tc>
          <w:tcPr>
            <w:tcW w:w="5422" w:type="dxa"/>
            <w:noWrap w:val="0"/>
            <w:vAlign w:val="center"/>
          </w:tcPr>
          <w:p w14:paraId="5063680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养护单位须组建管网养护工作机构，搭建管理网络体系，制定工作职责、规章制度和考核机制。做到分工明确，责任落实，各项措施明晰到位。</w:t>
            </w:r>
          </w:p>
        </w:tc>
        <w:tc>
          <w:tcPr>
            <w:tcW w:w="815" w:type="dxa"/>
            <w:noWrap w:val="0"/>
            <w:vAlign w:val="center"/>
          </w:tcPr>
          <w:p w14:paraId="35ED689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5EA66DA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564" w:type="dxa"/>
            <w:noWrap w:val="0"/>
            <w:vAlign w:val="center"/>
          </w:tcPr>
          <w:p w14:paraId="0DD8061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①未搭建管理网络体系扣0.5分；②未制定规章制度和养护人员考核机制扣0.5分；③分工不明确扣0.5分；④责任不落实扣0.5分。</w:t>
            </w:r>
          </w:p>
        </w:tc>
        <w:tc>
          <w:tcPr>
            <w:tcW w:w="715" w:type="dxa"/>
            <w:noWrap w:val="0"/>
            <w:vAlign w:val="center"/>
          </w:tcPr>
          <w:p w14:paraId="563F895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082B9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3" w:hRule="atLeast"/>
        </w:trPr>
        <w:tc>
          <w:tcPr>
            <w:tcW w:w="679" w:type="dxa"/>
            <w:noWrap w:val="0"/>
            <w:vAlign w:val="center"/>
          </w:tcPr>
          <w:p w14:paraId="5EBCB60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306550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4F5ECF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35" w:type="dxa"/>
            <w:vMerge w:val="continue"/>
            <w:noWrap w:val="0"/>
            <w:vAlign w:val="center"/>
          </w:tcPr>
          <w:p w14:paraId="313F529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12E8709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23ACA44C">
            <w:pPr>
              <w:pStyle w:val="26"/>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firstLineChars="0"/>
              <w:jc w:val="center"/>
              <w:textAlignment w:val="auto"/>
              <w:rPr>
                <w:rFonts w:hint="eastAsia"/>
                <w:color w:val="auto"/>
                <w:highlight w:val="none"/>
              </w:rPr>
            </w:pPr>
          </w:p>
          <w:p w14:paraId="57AD830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人员配备</w:t>
            </w:r>
          </w:p>
        </w:tc>
        <w:tc>
          <w:tcPr>
            <w:tcW w:w="5422" w:type="dxa"/>
            <w:noWrap w:val="0"/>
            <w:vAlign w:val="center"/>
          </w:tcPr>
          <w:p w14:paraId="690CEF0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汛期</w:t>
            </w:r>
            <w:r>
              <w:rPr>
                <w:rFonts w:hint="eastAsia" w:ascii="宋体" w:hAnsi="宋体" w:eastAsia="宋体" w:cs="宋体"/>
                <w:color w:val="auto"/>
                <w:highlight w:val="none"/>
              </w:rPr>
              <w:t>组建至少</w:t>
            </w:r>
            <w:r>
              <w:rPr>
                <w:rFonts w:hint="eastAsia" w:ascii="宋体" w:hAnsi="宋体" w:eastAsia="宋体" w:cs="宋体"/>
                <w:color w:val="auto"/>
                <w:highlight w:val="none"/>
                <w:lang w:val="en-US" w:eastAsia="zh-CN"/>
              </w:rPr>
              <w:t>1标</w:t>
            </w:r>
            <w:r>
              <w:rPr>
                <w:rFonts w:hint="eastAsia" w:ascii="宋体" w:hAnsi="宋体" w:cs="宋体"/>
                <w:color w:val="auto"/>
                <w:highlight w:val="none"/>
                <w:lang w:val="en-US" w:eastAsia="zh-CN"/>
              </w:rPr>
              <w:t>17</w:t>
            </w:r>
            <w:r>
              <w:rPr>
                <w:rFonts w:hint="eastAsia" w:ascii="宋体" w:hAnsi="宋体" w:eastAsia="宋体" w:cs="宋体"/>
                <w:color w:val="auto"/>
                <w:highlight w:val="none"/>
                <w:lang w:val="en-US" w:eastAsia="zh-CN"/>
              </w:rPr>
              <w:t>人，2标</w:t>
            </w:r>
            <w:r>
              <w:rPr>
                <w:rFonts w:hint="eastAsia" w:ascii="宋体" w:hAnsi="宋体" w:cs="宋体"/>
                <w:color w:val="auto"/>
                <w:highlight w:val="none"/>
                <w:lang w:val="en-US" w:eastAsia="zh-CN"/>
              </w:rPr>
              <w:t>21</w:t>
            </w:r>
            <w:r>
              <w:rPr>
                <w:rFonts w:hint="eastAsia" w:ascii="宋体" w:hAnsi="宋体" w:eastAsia="宋体" w:cs="宋体"/>
                <w:color w:val="auto"/>
                <w:highlight w:val="none"/>
              </w:rPr>
              <w:t>人的项目组。防汛应急小组要以雨为令及时上岗到位，24小值班人员不少于2人，道路巡视人员不少于</w:t>
            </w:r>
            <w:r>
              <w:rPr>
                <w:rFonts w:hint="eastAsia" w:ascii="宋体" w:hAnsi="宋体" w:cs="宋体"/>
                <w:color w:val="auto"/>
                <w:highlight w:val="none"/>
                <w:lang w:val="en-US" w:eastAsia="zh-CN"/>
              </w:rPr>
              <w:t>15</w:t>
            </w:r>
            <w:r>
              <w:rPr>
                <w:rFonts w:hint="eastAsia" w:ascii="宋体" w:hAnsi="宋体" w:eastAsia="宋体" w:cs="宋体"/>
                <w:color w:val="auto"/>
                <w:highlight w:val="none"/>
              </w:rPr>
              <w:t>人。</w:t>
            </w:r>
            <w:r>
              <w:rPr>
                <w:rFonts w:hint="eastAsia" w:ascii="宋体" w:hAnsi="宋体" w:cs="宋体"/>
                <w:color w:val="auto"/>
                <w:highlight w:val="none"/>
                <w:lang w:val="en-US" w:eastAsia="zh-CN"/>
              </w:rPr>
              <w:t>非汛期组建至少1标9人，2标9人的项目组，开展日常养护工作。</w:t>
            </w:r>
          </w:p>
        </w:tc>
        <w:tc>
          <w:tcPr>
            <w:tcW w:w="815" w:type="dxa"/>
            <w:noWrap w:val="0"/>
            <w:vAlign w:val="center"/>
          </w:tcPr>
          <w:p w14:paraId="28085FA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B39A7C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05079FB">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p>
        </w:tc>
        <w:tc>
          <w:tcPr>
            <w:tcW w:w="4564" w:type="dxa"/>
            <w:noWrap w:val="0"/>
            <w:vAlign w:val="center"/>
          </w:tcPr>
          <w:p w14:paraId="1FAF8A9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①</w:t>
            </w:r>
            <w:r>
              <w:rPr>
                <w:rFonts w:hint="eastAsia" w:ascii="宋体" w:hAnsi="宋体" w:cs="宋体"/>
                <w:b/>
                <w:bCs/>
                <w:color w:val="auto"/>
                <w:highlight w:val="none"/>
                <w:lang w:val="en-US" w:eastAsia="zh-CN"/>
              </w:rPr>
              <w:t>汛期</w:t>
            </w:r>
            <w:r>
              <w:rPr>
                <w:rFonts w:hint="eastAsia" w:ascii="宋体" w:hAnsi="宋体" w:eastAsia="宋体" w:cs="宋体"/>
                <w:b/>
                <w:bCs/>
                <w:color w:val="auto"/>
                <w:highlight w:val="none"/>
              </w:rPr>
              <w:t>项目组人数</w:t>
            </w:r>
            <w:r>
              <w:rPr>
                <w:rFonts w:hint="eastAsia" w:ascii="宋体" w:hAnsi="宋体" w:cs="宋体"/>
                <w:b/>
                <w:bCs/>
                <w:color w:val="auto"/>
                <w:highlight w:val="none"/>
                <w:lang w:val="en-US" w:eastAsia="zh-CN"/>
              </w:rPr>
              <w:t>一标不足17</w:t>
            </w:r>
            <w:r>
              <w:rPr>
                <w:rFonts w:hint="eastAsia" w:ascii="宋体" w:hAnsi="宋体" w:eastAsia="宋体" w:cs="宋体"/>
                <w:b/>
                <w:bCs/>
                <w:color w:val="auto"/>
                <w:highlight w:val="none"/>
              </w:rPr>
              <w:t>人</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二标不足21人</w:t>
            </w:r>
            <w:r>
              <w:rPr>
                <w:rFonts w:hint="eastAsia" w:ascii="宋体" w:hAnsi="宋体" w:cs="宋体"/>
                <w:b/>
                <w:bCs/>
                <w:color w:val="auto"/>
                <w:highlight w:val="none"/>
                <w:lang w:eastAsia="zh-CN"/>
              </w:rPr>
              <w:t>，</w:t>
            </w:r>
            <w:r>
              <w:rPr>
                <w:rFonts w:hint="eastAsia" w:ascii="宋体" w:hAnsi="宋体" w:cs="宋体"/>
                <w:color w:val="auto"/>
                <w:highlight w:val="none"/>
                <w:lang w:val="en-US" w:eastAsia="zh-CN"/>
              </w:rPr>
              <w:t>非汛期项目组人数不足9人的，每缺1人</w:t>
            </w:r>
            <w:r>
              <w:rPr>
                <w:rFonts w:hint="eastAsia" w:ascii="宋体" w:hAnsi="宋体" w:eastAsia="宋体" w:cs="宋体"/>
                <w:color w:val="auto"/>
                <w:highlight w:val="none"/>
              </w:rPr>
              <w:t>扣</w:t>
            </w:r>
            <w:r>
              <w:rPr>
                <w:rFonts w:hint="eastAsia" w:ascii="宋体" w:hAnsi="宋体" w:cs="宋体"/>
                <w:color w:val="auto"/>
                <w:highlight w:val="none"/>
                <w:lang w:val="en-US" w:eastAsia="zh-CN"/>
              </w:rPr>
              <w:t>0.5</w:t>
            </w:r>
            <w:r>
              <w:rPr>
                <w:rFonts w:hint="eastAsia" w:ascii="宋体" w:hAnsi="宋体" w:eastAsia="宋体" w:cs="宋体"/>
                <w:color w:val="auto"/>
                <w:highlight w:val="none"/>
              </w:rPr>
              <w:t>分；</w:t>
            </w:r>
            <w:r>
              <w:rPr>
                <w:rFonts w:hint="eastAsia" w:ascii="微软雅黑" w:hAnsi="微软雅黑" w:eastAsia="微软雅黑" w:cs="微软雅黑"/>
                <w:color w:val="auto"/>
                <w:highlight w:val="none"/>
              </w:rPr>
              <w:t>②</w:t>
            </w:r>
            <w:r>
              <w:rPr>
                <w:rFonts w:hint="eastAsia" w:ascii="宋体" w:hAnsi="宋体" w:eastAsia="宋体" w:cs="宋体"/>
                <w:color w:val="auto"/>
                <w:highlight w:val="none"/>
              </w:rPr>
              <w:t>防汛24小时值班人员不足2人扣</w:t>
            </w:r>
            <w:r>
              <w:rPr>
                <w:rFonts w:hint="eastAsia" w:ascii="宋体" w:hAnsi="宋体" w:cs="宋体"/>
                <w:color w:val="auto"/>
                <w:highlight w:val="none"/>
                <w:lang w:val="en-US" w:eastAsia="zh-CN"/>
              </w:rPr>
              <w:t>2</w:t>
            </w:r>
            <w:r>
              <w:rPr>
                <w:rFonts w:hint="eastAsia" w:ascii="宋体" w:hAnsi="宋体" w:eastAsia="宋体" w:cs="宋体"/>
                <w:color w:val="auto"/>
                <w:highlight w:val="none"/>
              </w:rPr>
              <w:t>分；③防汛道路巡视人员不足</w:t>
            </w:r>
            <w:r>
              <w:rPr>
                <w:rFonts w:hint="eastAsia" w:ascii="宋体" w:hAnsi="宋体" w:cs="宋体"/>
                <w:color w:val="auto"/>
                <w:highlight w:val="none"/>
                <w:lang w:val="en-US" w:eastAsia="zh-CN"/>
              </w:rPr>
              <w:t>15</w:t>
            </w:r>
            <w:r>
              <w:rPr>
                <w:rFonts w:hint="eastAsia" w:ascii="宋体" w:hAnsi="宋体" w:eastAsia="宋体" w:cs="宋体"/>
                <w:color w:val="auto"/>
                <w:highlight w:val="none"/>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每缺1人</w:t>
            </w:r>
            <w:r>
              <w:rPr>
                <w:rFonts w:hint="eastAsia" w:ascii="宋体" w:hAnsi="宋体" w:eastAsia="宋体" w:cs="宋体"/>
                <w:color w:val="auto"/>
                <w:highlight w:val="none"/>
              </w:rPr>
              <w:t>扣</w:t>
            </w:r>
            <w:r>
              <w:rPr>
                <w:rFonts w:hint="eastAsia" w:ascii="宋体" w:hAnsi="宋体" w:cs="宋体"/>
                <w:color w:val="auto"/>
                <w:highlight w:val="none"/>
                <w:lang w:val="en-US" w:eastAsia="zh-CN"/>
              </w:rPr>
              <w:t>0.5</w:t>
            </w:r>
            <w:r>
              <w:rPr>
                <w:rFonts w:hint="eastAsia" w:ascii="宋体" w:hAnsi="宋体" w:eastAsia="宋体" w:cs="宋体"/>
                <w:color w:val="auto"/>
                <w:highlight w:val="none"/>
              </w:rPr>
              <w:t>分。</w:t>
            </w:r>
          </w:p>
        </w:tc>
        <w:tc>
          <w:tcPr>
            <w:tcW w:w="715" w:type="dxa"/>
            <w:noWrap w:val="0"/>
            <w:vAlign w:val="center"/>
          </w:tcPr>
          <w:p w14:paraId="4188336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71097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79" w:type="dxa"/>
            <w:noWrap w:val="0"/>
            <w:vAlign w:val="center"/>
          </w:tcPr>
          <w:p w14:paraId="22BB9EE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135" w:type="dxa"/>
            <w:vMerge w:val="continue"/>
            <w:noWrap w:val="0"/>
            <w:vAlign w:val="center"/>
          </w:tcPr>
          <w:p w14:paraId="3A36709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7FB0E0F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机具配置</w:t>
            </w:r>
          </w:p>
        </w:tc>
        <w:tc>
          <w:tcPr>
            <w:tcW w:w="5422" w:type="dxa"/>
            <w:noWrap w:val="0"/>
            <w:vAlign w:val="center"/>
          </w:tcPr>
          <w:p w14:paraId="1E1F7E6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配备合同要求所有养护机具</w:t>
            </w:r>
          </w:p>
        </w:tc>
        <w:tc>
          <w:tcPr>
            <w:tcW w:w="815" w:type="dxa"/>
            <w:noWrap w:val="0"/>
            <w:vAlign w:val="center"/>
          </w:tcPr>
          <w:p w14:paraId="6A77103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4564" w:type="dxa"/>
            <w:noWrap w:val="0"/>
            <w:vAlign w:val="center"/>
          </w:tcPr>
          <w:p w14:paraId="62E9ECA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未配备齐全的扣5分</w:t>
            </w:r>
          </w:p>
        </w:tc>
        <w:tc>
          <w:tcPr>
            <w:tcW w:w="715" w:type="dxa"/>
            <w:noWrap w:val="0"/>
            <w:vAlign w:val="center"/>
          </w:tcPr>
          <w:p w14:paraId="5B1E711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7AF3C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679" w:type="dxa"/>
            <w:noWrap w:val="0"/>
            <w:vAlign w:val="center"/>
          </w:tcPr>
          <w:p w14:paraId="519DCC3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0E3AC82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35" w:type="dxa"/>
            <w:vMerge w:val="continue"/>
            <w:noWrap w:val="0"/>
            <w:vAlign w:val="center"/>
          </w:tcPr>
          <w:p w14:paraId="1757611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163AEAF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0AFE119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合同签订</w:t>
            </w:r>
          </w:p>
        </w:tc>
        <w:tc>
          <w:tcPr>
            <w:tcW w:w="5422" w:type="dxa"/>
            <w:noWrap w:val="0"/>
            <w:vAlign w:val="center"/>
          </w:tcPr>
          <w:p w14:paraId="7381377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与养护人员签订合同、办理人身保险(雇主险或团体意外险)。</w:t>
            </w:r>
          </w:p>
        </w:tc>
        <w:tc>
          <w:tcPr>
            <w:tcW w:w="815" w:type="dxa"/>
            <w:noWrap w:val="0"/>
            <w:vAlign w:val="center"/>
          </w:tcPr>
          <w:p w14:paraId="4EB1323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18791D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564" w:type="dxa"/>
            <w:noWrap w:val="0"/>
            <w:vAlign w:val="center"/>
          </w:tcPr>
          <w:p w14:paraId="45E8B65A">
            <w:pPr>
              <w:keepNext w:val="0"/>
              <w:keepLines w:val="0"/>
              <w:pageBreakBefore w:val="0"/>
              <w:widowControl/>
              <w:tabs>
                <w:tab w:val="left" w:pos="225"/>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①未与养护人员签订合同</w:t>
            </w:r>
            <w:r>
              <w:rPr>
                <w:rFonts w:hint="eastAsia" w:ascii="宋体" w:hAnsi="宋体" w:cs="宋体"/>
                <w:color w:val="auto"/>
                <w:highlight w:val="none"/>
                <w:lang w:val="en-US" w:eastAsia="zh-CN"/>
              </w:rPr>
              <w:t>每人</w:t>
            </w:r>
            <w:r>
              <w:rPr>
                <w:rFonts w:hint="eastAsia" w:ascii="宋体" w:hAnsi="宋体" w:eastAsia="宋体" w:cs="宋体"/>
                <w:color w:val="auto"/>
                <w:highlight w:val="none"/>
              </w:rPr>
              <w:t>扣</w:t>
            </w:r>
            <w:r>
              <w:rPr>
                <w:rFonts w:hint="eastAsia" w:ascii="宋体" w:hAnsi="宋体" w:cs="宋体"/>
                <w:color w:val="auto"/>
                <w:highlight w:val="none"/>
                <w:lang w:val="en-US" w:eastAsia="zh-CN"/>
              </w:rPr>
              <w:t>0.2</w:t>
            </w:r>
            <w:r>
              <w:rPr>
                <w:rFonts w:hint="eastAsia" w:ascii="宋体" w:hAnsi="宋体" w:eastAsia="宋体" w:cs="宋体"/>
                <w:color w:val="auto"/>
                <w:highlight w:val="none"/>
              </w:rPr>
              <w:t>分(原件备查)；②</w:t>
            </w:r>
            <w:r>
              <w:rPr>
                <w:rFonts w:hint="eastAsia" w:ascii="宋体" w:hAnsi="宋体" w:cs="宋体"/>
                <w:color w:val="auto"/>
                <w:highlight w:val="none"/>
                <w:lang w:val="en-US" w:eastAsia="zh-CN"/>
              </w:rPr>
              <w:t>未</w:t>
            </w:r>
            <w:r>
              <w:rPr>
                <w:rFonts w:hint="eastAsia" w:ascii="宋体" w:hAnsi="宋体" w:eastAsia="宋体" w:cs="宋体"/>
                <w:color w:val="auto"/>
                <w:highlight w:val="none"/>
              </w:rPr>
              <w:t>与</w:t>
            </w:r>
            <w:r>
              <w:rPr>
                <w:rFonts w:hint="eastAsia" w:ascii="宋体" w:hAnsi="宋体" w:cs="宋体"/>
                <w:color w:val="auto"/>
                <w:highlight w:val="none"/>
                <w:lang w:val="en-US" w:eastAsia="zh-CN"/>
              </w:rPr>
              <w:t>养护人员</w:t>
            </w:r>
            <w:r>
              <w:rPr>
                <w:rFonts w:hint="eastAsia" w:ascii="宋体" w:hAnsi="宋体" w:eastAsia="宋体" w:cs="宋体"/>
                <w:color w:val="auto"/>
                <w:highlight w:val="none"/>
              </w:rPr>
              <w:t>办理人身保险扣</w:t>
            </w:r>
            <w:r>
              <w:rPr>
                <w:rFonts w:hint="eastAsia" w:ascii="宋体" w:hAnsi="宋体" w:cs="宋体"/>
                <w:color w:val="auto"/>
                <w:highlight w:val="none"/>
                <w:lang w:val="en-US" w:eastAsia="zh-CN"/>
              </w:rPr>
              <w:t>每人扣0.2</w:t>
            </w:r>
            <w:r>
              <w:rPr>
                <w:rFonts w:hint="eastAsia" w:ascii="宋体" w:hAnsi="宋体" w:eastAsia="宋体" w:cs="宋体"/>
                <w:color w:val="auto"/>
                <w:highlight w:val="none"/>
              </w:rPr>
              <w:t>分(原件备查)。</w:t>
            </w:r>
          </w:p>
        </w:tc>
        <w:tc>
          <w:tcPr>
            <w:tcW w:w="715" w:type="dxa"/>
            <w:noWrap w:val="0"/>
            <w:vAlign w:val="center"/>
          </w:tcPr>
          <w:p w14:paraId="1A99C47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7AA7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679" w:type="dxa"/>
            <w:noWrap w:val="0"/>
            <w:vAlign w:val="center"/>
          </w:tcPr>
          <w:p w14:paraId="18AFB55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21E5F13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135" w:type="dxa"/>
            <w:vMerge w:val="continue"/>
            <w:noWrap w:val="0"/>
            <w:vAlign w:val="center"/>
          </w:tcPr>
          <w:p w14:paraId="169ACDD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7CBA14E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B1843A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工作计划</w:t>
            </w:r>
          </w:p>
        </w:tc>
        <w:tc>
          <w:tcPr>
            <w:tcW w:w="5422" w:type="dxa"/>
            <w:noWrap w:val="0"/>
            <w:vAlign w:val="center"/>
          </w:tcPr>
          <w:p w14:paraId="662C03A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有较为详细的管网平面分布图，明确各段(片)的巡查管护责任人；制定年维护保养计划和每月工作安排计划；每月初10号前上报委托单位。</w:t>
            </w:r>
          </w:p>
        </w:tc>
        <w:tc>
          <w:tcPr>
            <w:tcW w:w="815" w:type="dxa"/>
            <w:noWrap w:val="0"/>
            <w:vAlign w:val="center"/>
          </w:tcPr>
          <w:p w14:paraId="1D622BA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0E1855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p>
        </w:tc>
        <w:tc>
          <w:tcPr>
            <w:tcW w:w="4564" w:type="dxa"/>
            <w:noWrap w:val="0"/>
            <w:vAlign w:val="center"/>
          </w:tcPr>
          <w:p w14:paraId="70363B5B">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微软雅黑" w:hAnsi="微软雅黑" w:eastAsia="微软雅黑" w:cs="微软雅黑"/>
                <w:color w:val="auto"/>
                <w:highlight w:val="none"/>
              </w:rPr>
              <w:t>①</w:t>
            </w:r>
            <w:r>
              <w:rPr>
                <w:rFonts w:hint="eastAsia" w:ascii="宋体" w:hAnsi="宋体" w:eastAsia="宋体" w:cs="宋体"/>
                <w:color w:val="auto"/>
                <w:highlight w:val="none"/>
              </w:rPr>
              <w:t>未有详细雨污水管网图上墙扣</w:t>
            </w:r>
            <w:r>
              <w:rPr>
                <w:rFonts w:hint="eastAsia" w:ascii="宋体" w:hAnsi="宋体" w:cs="宋体"/>
                <w:color w:val="auto"/>
                <w:highlight w:val="none"/>
                <w:lang w:val="en-US" w:eastAsia="zh-CN"/>
              </w:rPr>
              <w:t>0.2</w:t>
            </w:r>
            <w:r>
              <w:rPr>
                <w:rFonts w:hint="eastAsia" w:ascii="宋体" w:hAnsi="宋体" w:eastAsia="宋体" w:cs="宋体"/>
                <w:color w:val="auto"/>
                <w:highlight w:val="none"/>
              </w:rPr>
              <w:t>分；②未制定年度维护保养计划扣</w:t>
            </w:r>
            <w:r>
              <w:rPr>
                <w:rFonts w:hint="eastAsia" w:ascii="宋体" w:hAnsi="宋体" w:cs="宋体"/>
                <w:color w:val="auto"/>
                <w:highlight w:val="none"/>
                <w:lang w:val="en-US" w:eastAsia="zh-CN"/>
              </w:rPr>
              <w:t>0.2</w:t>
            </w:r>
            <w:r>
              <w:rPr>
                <w:rFonts w:hint="eastAsia" w:ascii="宋体" w:hAnsi="宋体" w:eastAsia="宋体" w:cs="宋体"/>
                <w:color w:val="auto"/>
                <w:highlight w:val="none"/>
              </w:rPr>
              <w:t>分；③未制定每月工作计划扣</w:t>
            </w:r>
            <w:r>
              <w:rPr>
                <w:rFonts w:hint="eastAsia" w:ascii="宋体" w:hAnsi="宋体" w:cs="宋体"/>
                <w:color w:val="auto"/>
                <w:highlight w:val="none"/>
                <w:lang w:val="en-US" w:eastAsia="zh-CN"/>
              </w:rPr>
              <w:t>0.1</w:t>
            </w:r>
            <w:r>
              <w:rPr>
                <w:rFonts w:hint="eastAsia" w:ascii="宋体" w:hAnsi="宋体" w:eastAsia="宋体" w:cs="宋体"/>
                <w:color w:val="auto"/>
                <w:highlight w:val="none"/>
              </w:rPr>
              <w:t>分</w:t>
            </w:r>
            <w:r>
              <w:rPr>
                <w:rFonts w:hint="eastAsia" w:ascii="宋体" w:hAnsi="宋体" w:cs="宋体"/>
                <w:color w:val="auto"/>
                <w:highlight w:val="none"/>
                <w:lang w:eastAsia="zh-CN"/>
              </w:rPr>
              <w:t>。</w:t>
            </w:r>
          </w:p>
        </w:tc>
        <w:tc>
          <w:tcPr>
            <w:tcW w:w="715" w:type="dxa"/>
            <w:noWrap w:val="0"/>
            <w:vAlign w:val="center"/>
          </w:tcPr>
          <w:p w14:paraId="4314A8A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63637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79" w:type="dxa"/>
            <w:noWrap w:val="0"/>
            <w:vAlign w:val="center"/>
          </w:tcPr>
          <w:p w14:paraId="2154F2D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3D15F6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C11CDE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135" w:type="dxa"/>
            <w:vMerge w:val="restart"/>
            <w:noWrap w:val="0"/>
            <w:vAlign w:val="center"/>
          </w:tcPr>
          <w:p w14:paraId="74D2FBB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C7CD62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5E686E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6CAB912">
            <w:pPr>
              <w:keepNext w:val="0"/>
              <w:keepLines w:val="0"/>
              <w:pageBreakBefore w:val="0"/>
              <w:widowControl/>
              <w:tabs>
                <w:tab w:val="left" w:pos="225"/>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巡查养护、安全生产</w:t>
            </w:r>
            <w:r>
              <w:rPr>
                <w:rFonts w:hint="eastAsia" w:ascii="宋体" w:hAnsi="宋体" w:eastAsia="宋体" w:cs="宋体"/>
                <w:color w:val="auto"/>
                <w:highlight w:val="none"/>
              </w:rPr>
              <w:tab/>
            </w:r>
            <w:r>
              <w:rPr>
                <w:rFonts w:hint="eastAsia" w:ascii="宋体" w:hAnsi="宋体" w:eastAsia="宋体" w:cs="宋体"/>
                <w:color w:val="auto"/>
                <w:highlight w:val="none"/>
              </w:rPr>
              <w:t>(8</w:t>
            </w:r>
            <w:r>
              <w:rPr>
                <w:rFonts w:hint="eastAsia" w:ascii="宋体" w:hAnsi="宋体" w:cs="宋体"/>
                <w:color w:val="auto"/>
                <w:highlight w:val="none"/>
                <w:lang w:val="en-US" w:eastAsia="zh-CN"/>
              </w:rPr>
              <w:t>3</w:t>
            </w:r>
            <w:r>
              <w:rPr>
                <w:rFonts w:hint="eastAsia" w:ascii="宋体" w:hAnsi="宋体" w:eastAsia="宋体" w:cs="宋体"/>
                <w:color w:val="auto"/>
                <w:highlight w:val="none"/>
              </w:rPr>
              <w:t>分)</w:t>
            </w:r>
          </w:p>
        </w:tc>
        <w:tc>
          <w:tcPr>
            <w:tcW w:w="1132" w:type="dxa"/>
            <w:noWrap w:val="0"/>
            <w:vAlign w:val="center"/>
          </w:tcPr>
          <w:p w14:paraId="5E5EF03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0DB15C5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1BE035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管网巡查</w:t>
            </w:r>
          </w:p>
        </w:tc>
        <w:tc>
          <w:tcPr>
            <w:tcW w:w="5422" w:type="dxa"/>
            <w:noWrap w:val="0"/>
            <w:vAlign w:val="center"/>
          </w:tcPr>
          <w:p w14:paraId="5ECA8E3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及时发现并制止违反排水许可、损害管网设施等行为。在巡查养护过程中，发现违章接管、偷排、擅自施工影响管网设施安全等行为，应立即制止并将相关信息及时上报委托单位；对已办理合法手续的施工行为要交底告知管网设施的相关信息，并密切旁站监督施工过程。</w:t>
            </w:r>
          </w:p>
        </w:tc>
        <w:tc>
          <w:tcPr>
            <w:tcW w:w="815" w:type="dxa"/>
            <w:noWrap w:val="0"/>
            <w:vAlign w:val="center"/>
          </w:tcPr>
          <w:p w14:paraId="335321C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52C9BC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8D90DA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B01F8EB">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4564" w:type="dxa"/>
            <w:noWrap w:val="0"/>
            <w:vAlign w:val="center"/>
          </w:tcPr>
          <w:p w14:paraId="21F3B06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①未组织人员进行每天巡查到位的，发现一次扣</w:t>
            </w:r>
            <w:r>
              <w:rPr>
                <w:rFonts w:hint="eastAsia" w:ascii="宋体" w:hAnsi="宋体" w:cs="宋体"/>
                <w:color w:val="auto"/>
                <w:highlight w:val="none"/>
                <w:lang w:val="en-US" w:eastAsia="zh-CN"/>
              </w:rPr>
              <w:t>0.5</w:t>
            </w:r>
            <w:r>
              <w:rPr>
                <w:rFonts w:hint="eastAsia" w:ascii="宋体" w:hAnsi="宋体" w:eastAsia="宋体" w:cs="宋体"/>
                <w:color w:val="auto"/>
                <w:highlight w:val="none"/>
              </w:rPr>
              <w:t>分；②未及时发现违反排水许可、损害管网设施等行为发现一次扣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分；③在巡查养护过程中，发现违章接管、偷排、擅自施工影响管网设施安全等行为未制止或未及时上报造成损失发现一次扣</w:t>
            </w:r>
            <w:r>
              <w:rPr>
                <w:rFonts w:hint="eastAsia" w:ascii="宋体" w:hAnsi="宋体" w:cs="宋体"/>
                <w:color w:val="auto"/>
                <w:highlight w:val="none"/>
                <w:lang w:val="en-US" w:eastAsia="zh-CN"/>
              </w:rPr>
              <w:t>1分</w:t>
            </w:r>
            <w:r>
              <w:rPr>
                <w:rFonts w:hint="eastAsia" w:ascii="宋体" w:hAnsi="宋体" w:eastAsia="宋体" w:cs="宋体"/>
                <w:color w:val="auto"/>
                <w:highlight w:val="none"/>
              </w:rPr>
              <w:t>。</w:t>
            </w:r>
          </w:p>
        </w:tc>
        <w:tc>
          <w:tcPr>
            <w:tcW w:w="715" w:type="dxa"/>
            <w:noWrap w:val="0"/>
            <w:vAlign w:val="center"/>
          </w:tcPr>
          <w:p w14:paraId="33CB7FE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0B597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79" w:type="dxa"/>
            <w:vMerge w:val="restart"/>
            <w:noWrap w:val="0"/>
            <w:vAlign w:val="center"/>
          </w:tcPr>
          <w:p w14:paraId="435B0AE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938293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135" w:type="dxa"/>
            <w:vMerge w:val="continue"/>
            <w:noWrap w:val="0"/>
            <w:vAlign w:val="center"/>
          </w:tcPr>
          <w:p w14:paraId="01314A0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vMerge w:val="restart"/>
            <w:noWrap w:val="0"/>
            <w:vAlign w:val="center"/>
          </w:tcPr>
          <w:p w14:paraId="1F304F8B">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4C274A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C637E5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7B655E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管网维护</w:t>
            </w:r>
          </w:p>
        </w:tc>
        <w:tc>
          <w:tcPr>
            <w:tcW w:w="5422" w:type="dxa"/>
            <w:vMerge w:val="restart"/>
            <w:noWrap w:val="0"/>
            <w:vAlign w:val="center"/>
          </w:tcPr>
          <w:p w14:paraId="62E4A98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做好雨污水管网设施的日常管理养护，按计划进行疏通，保障管网畅通正常运行，在发现外溢、管道堵塞、井盖失窃破损等情况后，及时进行疏通和通知维修；雨污水管网疏通、清理包括：雨污水管道、窨井、雨水收水口的疏通和清理，垃圾、淤泥的外运处置等，其中每年5月31日前必须完成所有雨水检查井、收水井、雨水管、连接管清疏通一遍的任务，每年12月必须完成所有窨井、收水井、连接管、雨污水管清疏通一遍的任务。全年雨污水管网全线检查清理疏通次数不得少于合同要求。</w:t>
            </w:r>
          </w:p>
        </w:tc>
        <w:tc>
          <w:tcPr>
            <w:tcW w:w="815" w:type="dxa"/>
            <w:vMerge w:val="restart"/>
            <w:noWrap w:val="0"/>
            <w:vAlign w:val="center"/>
          </w:tcPr>
          <w:p w14:paraId="3FC638F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208E8CE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42AC11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DBB326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6</w:t>
            </w:r>
          </w:p>
        </w:tc>
        <w:tc>
          <w:tcPr>
            <w:tcW w:w="4564" w:type="dxa"/>
            <w:vMerge w:val="restart"/>
            <w:noWrap w:val="0"/>
            <w:vAlign w:val="center"/>
          </w:tcPr>
          <w:p w14:paraId="1832234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default" w:ascii="宋体" w:hAnsi="宋体" w:cs="宋体"/>
                <w:color w:val="auto"/>
                <w:highlight w:val="none"/>
                <w:lang w:val="en-US" w:eastAsia="zh-CN"/>
              </w:rPr>
            </w:pPr>
            <w:r>
              <w:rPr>
                <w:rFonts w:hint="eastAsia" w:ascii="宋体" w:hAnsi="宋体" w:eastAsia="宋体" w:cs="宋体"/>
                <w:color w:val="auto"/>
                <w:highlight w:val="none"/>
              </w:rPr>
              <w:t>①定期进行雨污水管网清理疏通，导致管网堵塞有一处扣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分；②发现管网堵塞和井盖缺失未及时上报一次扣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分；③全年雨污水管网全线检查清理疏通少于规定次数及不符合时间要求的的扣5分；④由</w:t>
            </w:r>
            <w:r>
              <w:rPr>
                <w:rFonts w:hint="eastAsia" w:ascii="宋体" w:hAnsi="宋体" w:eastAsia="宋体" w:cs="宋体"/>
                <w:color w:val="auto"/>
                <w:highlight w:val="none"/>
                <w:lang w:val="zh-CN"/>
              </w:rPr>
              <w:t>污染防治平台、</w:t>
            </w:r>
            <w:r>
              <w:rPr>
                <w:rFonts w:hint="eastAsia" w:ascii="宋体" w:hAnsi="宋体" w:eastAsia="宋体" w:cs="宋体"/>
                <w:color w:val="auto"/>
                <w:highlight w:val="none"/>
              </w:rPr>
              <w:t>12345、12319</w:t>
            </w:r>
            <w:r>
              <w:rPr>
                <w:rFonts w:hint="eastAsia" w:ascii="宋体" w:hAnsi="宋体" w:cs="宋体"/>
                <w:color w:val="auto"/>
                <w:highlight w:val="none"/>
                <w:lang w:val="en-US" w:eastAsia="zh-CN"/>
              </w:rPr>
              <w:t>热线</w:t>
            </w:r>
            <w:r>
              <w:rPr>
                <w:rFonts w:hint="eastAsia" w:ascii="宋体" w:hAnsi="宋体" w:eastAsia="宋体" w:cs="宋体"/>
                <w:color w:val="auto"/>
                <w:highlight w:val="none"/>
              </w:rPr>
              <w:t>等发现或通报的井盖缺失、漫溢或违章接管等有一次扣</w:t>
            </w:r>
            <w:r>
              <w:rPr>
                <w:rFonts w:hint="eastAsia" w:ascii="宋体" w:hAnsi="宋体" w:cs="宋体"/>
                <w:color w:val="auto"/>
                <w:highlight w:val="none"/>
                <w:lang w:val="en-US" w:eastAsia="zh-CN"/>
              </w:rPr>
              <w:t>0.5分</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⑤</w:t>
            </w:r>
            <w:r>
              <w:rPr>
                <w:rFonts w:hint="eastAsia" w:ascii="宋体" w:hAnsi="宋体" w:cs="宋体"/>
                <w:color w:val="auto"/>
                <w:highlight w:val="none"/>
                <w:lang w:eastAsia="zh-CN"/>
              </w:rPr>
              <w:t>未按要求及时</w:t>
            </w:r>
            <w:r>
              <w:rPr>
                <w:rFonts w:hint="eastAsia" w:ascii="宋体" w:hAnsi="宋体" w:cs="宋体"/>
                <w:color w:val="auto"/>
                <w:highlight w:val="none"/>
                <w:lang w:val="en-US" w:eastAsia="zh-CN"/>
              </w:rPr>
              <w:t>清理</w:t>
            </w:r>
            <w:r>
              <w:rPr>
                <w:rFonts w:hint="eastAsia" w:ascii="宋体" w:hAnsi="宋体" w:cs="宋体"/>
                <w:color w:val="auto"/>
                <w:highlight w:val="none"/>
                <w:lang w:eastAsia="zh-CN"/>
              </w:rPr>
              <w:t>泵前池垃圾的，</w:t>
            </w:r>
            <w:r>
              <w:rPr>
                <w:rFonts w:hint="eastAsia" w:ascii="宋体" w:hAnsi="宋体" w:cs="宋体"/>
                <w:color w:val="auto"/>
                <w:highlight w:val="none"/>
                <w:lang w:val="en-US" w:eastAsia="zh-CN"/>
              </w:rPr>
              <w:t>一次扣0.5分。</w:t>
            </w:r>
          </w:p>
          <w:p w14:paraId="0EB51A16">
            <w:pPr>
              <w:pStyle w:val="26"/>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firstLineChars="0"/>
              <w:jc w:val="left"/>
              <w:textAlignment w:val="auto"/>
              <w:rPr>
                <w:rFonts w:hint="eastAsia" w:ascii="宋体" w:hAnsi="宋体" w:eastAsia="宋体" w:cs="宋体"/>
                <w:color w:val="auto"/>
                <w:highlight w:val="none"/>
              </w:rPr>
            </w:pPr>
          </w:p>
        </w:tc>
        <w:tc>
          <w:tcPr>
            <w:tcW w:w="715" w:type="dxa"/>
            <w:noWrap w:val="0"/>
            <w:vAlign w:val="center"/>
          </w:tcPr>
          <w:p w14:paraId="71F02CB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06169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679" w:type="dxa"/>
            <w:vMerge w:val="continue"/>
            <w:noWrap w:val="0"/>
            <w:vAlign w:val="center"/>
          </w:tcPr>
          <w:p w14:paraId="2FCA64A9">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5" w:type="dxa"/>
            <w:vMerge w:val="continue"/>
            <w:noWrap w:val="0"/>
            <w:vAlign w:val="center"/>
          </w:tcPr>
          <w:p w14:paraId="2880E5F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vMerge w:val="continue"/>
            <w:noWrap w:val="0"/>
            <w:vAlign w:val="center"/>
          </w:tcPr>
          <w:p w14:paraId="35953A3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5422" w:type="dxa"/>
            <w:vMerge w:val="continue"/>
            <w:noWrap w:val="0"/>
            <w:vAlign w:val="center"/>
          </w:tcPr>
          <w:p w14:paraId="536DAFE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p>
        </w:tc>
        <w:tc>
          <w:tcPr>
            <w:tcW w:w="815" w:type="dxa"/>
            <w:vMerge w:val="continue"/>
            <w:noWrap w:val="0"/>
            <w:vAlign w:val="center"/>
          </w:tcPr>
          <w:p w14:paraId="52695F9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4564" w:type="dxa"/>
            <w:vMerge w:val="continue"/>
            <w:noWrap w:val="0"/>
            <w:vAlign w:val="center"/>
          </w:tcPr>
          <w:p w14:paraId="2AF7240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p>
        </w:tc>
        <w:tc>
          <w:tcPr>
            <w:tcW w:w="715" w:type="dxa"/>
            <w:noWrap w:val="0"/>
            <w:vAlign w:val="center"/>
          </w:tcPr>
          <w:p w14:paraId="21B2FAC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3E5ED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79" w:type="dxa"/>
            <w:noWrap w:val="0"/>
            <w:vAlign w:val="center"/>
          </w:tcPr>
          <w:p w14:paraId="2215449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154784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74ECAA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17370FD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135" w:type="dxa"/>
            <w:vMerge w:val="continue"/>
            <w:noWrap w:val="0"/>
            <w:vAlign w:val="center"/>
          </w:tcPr>
          <w:p w14:paraId="72DBA63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3C96AFA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08FEFB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68B196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331245B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应急处理</w:t>
            </w:r>
          </w:p>
        </w:tc>
        <w:tc>
          <w:tcPr>
            <w:tcW w:w="5422" w:type="dxa"/>
            <w:noWrap w:val="0"/>
            <w:vAlign w:val="center"/>
          </w:tcPr>
          <w:p w14:paraId="0E21FEA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汛期暴雨天气期间，做好道路排水设施的值班巡查管理，快速及时清理排除雨水漫溢路面等事件；巡查发现或12319转告的窨井缺损，需立即指派专业人员在三小时内更换到位，并做好详细记录(更换前后的对比照片、路段及井号，管道应急疏通抢修必须在六小时内处置完成(前后的对比照片、路段及路灯号)。</w:t>
            </w:r>
          </w:p>
        </w:tc>
        <w:tc>
          <w:tcPr>
            <w:tcW w:w="815" w:type="dxa"/>
            <w:noWrap w:val="0"/>
            <w:vAlign w:val="center"/>
          </w:tcPr>
          <w:p w14:paraId="5114C84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A1C1E3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737EAA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0D13AC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25</w:t>
            </w:r>
          </w:p>
        </w:tc>
        <w:tc>
          <w:tcPr>
            <w:tcW w:w="4564" w:type="dxa"/>
            <w:noWrap w:val="0"/>
            <w:vAlign w:val="center"/>
          </w:tcPr>
          <w:p w14:paraId="259238F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在汛期恶劣天气期间：①未做好道路排水设施的雨天巡查工作一次扣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分；②管网堵塞造成雨污水漫溢路面等事件或媒体曝光事件，一次扣</w:t>
            </w:r>
            <w:r>
              <w:rPr>
                <w:rFonts w:hint="eastAsia" w:ascii="宋体" w:hAnsi="宋体" w:cs="宋体"/>
                <w:color w:val="auto"/>
                <w:highlight w:val="none"/>
                <w:lang w:val="en-US" w:eastAsia="zh-CN"/>
              </w:rPr>
              <w:t>5</w:t>
            </w:r>
            <w:r>
              <w:rPr>
                <w:rFonts w:hint="eastAsia" w:ascii="宋体" w:hAnsi="宋体" w:eastAsia="宋体" w:cs="宋体"/>
                <w:color w:val="auto"/>
                <w:highlight w:val="none"/>
              </w:rPr>
              <w:t>分；③养护巡查中接到举报后未在三小时内更换井盖</w:t>
            </w:r>
            <w:r>
              <w:rPr>
                <w:rFonts w:hint="eastAsia" w:ascii="宋体" w:hAnsi="宋体" w:cs="宋体"/>
                <w:color w:val="auto"/>
                <w:highlight w:val="none"/>
                <w:lang w:val="en-US" w:eastAsia="zh-CN"/>
              </w:rPr>
              <w:t>或做好警示标识的一次扣0.2</w:t>
            </w:r>
            <w:r>
              <w:rPr>
                <w:rFonts w:hint="eastAsia" w:ascii="宋体" w:hAnsi="宋体" w:eastAsia="宋体" w:cs="宋体"/>
                <w:color w:val="auto"/>
                <w:highlight w:val="none"/>
              </w:rPr>
              <w:t>分；④雨污水管网堵塞未在六小时内应急疏通抢修</w:t>
            </w:r>
            <w:r>
              <w:rPr>
                <w:rFonts w:hint="eastAsia" w:ascii="宋体" w:hAnsi="宋体" w:cs="宋体"/>
                <w:color w:val="auto"/>
                <w:highlight w:val="none"/>
                <w:lang w:val="en-US" w:eastAsia="zh-CN"/>
              </w:rPr>
              <w:t>每次</w:t>
            </w:r>
            <w:r>
              <w:rPr>
                <w:rFonts w:hint="eastAsia" w:ascii="宋体" w:hAnsi="宋体" w:eastAsia="宋体" w:cs="宋体"/>
                <w:color w:val="auto"/>
                <w:highlight w:val="none"/>
              </w:rPr>
              <w:t>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w:t>
            </w:r>
          </w:p>
        </w:tc>
        <w:tc>
          <w:tcPr>
            <w:tcW w:w="715" w:type="dxa"/>
            <w:noWrap w:val="0"/>
            <w:vAlign w:val="center"/>
          </w:tcPr>
          <w:p w14:paraId="7706742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708BF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9" w:type="dxa"/>
            <w:noWrap w:val="0"/>
            <w:vAlign w:val="center"/>
          </w:tcPr>
          <w:p w14:paraId="5F6EB26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2C876E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135" w:type="dxa"/>
            <w:vMerge w:val="continue"/>
            <w:noWrap w:val="0"/>
            <w:vAlign w:val="center"/>
          </w:tcPr>
          <w:p w14:paraId="6968C88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06FC34C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458046A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台账资料</w:t>
            </w:r>
          </w:p>
        </w:tc>
        <w:tc>
          <w:tcPr>
            <w:tcW w:w="5422" w:type="dxa"/>
            <w:noWrap w:val="0"/>
            <w:vAlign w:val="center"/>
          </w:tcPr>
          <w:p w14:paraId="00E8439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养护单位必须做好巡查记录台账、养护记录台账、管网设施基础资料。</w:t>
            </w:r>
          </w:p>
        </w:tc>
        <w:tc>
          <w:tcPr>
            <w:tcW w:w="815" w:type="dxa"/>
            <w:noWrap w:val="0"/>
            <w:vAlign w:val="center"/>
          </w:tcPr>
          <w:p w14:paraId="00D2CD2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551A06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4564" w:type="dxa"/>
            <w:noWrap w:val="0"/>
            <w:vAlign w:val="center"/>
          </w:tcPr>
          <w:p w14:paraId="78F7CA5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default" w:ascii="Calibri" w:hAnsi="Calibri" w:eastAsia="宋体" w:cs="Calibri"/>
                <w:color w:val="auto"/>
                <w:highlight w:val="none"/>
              </w:rPr>
              <w:t>①</w:t>
            </w:r>
            <w:r>
              <w:rPr>
                <w:rFonts w:hint="eastAsia" w:ascii="宋体" w:hAnsi="宋体" w:eastAsia="宋体" w:cs="宋体"/>
                <w:color w:val="auto"/>
                <w:highlight w:val="none"/>
              </w:rPr>
              <w:t>未做好巡查记录台账扣1分；②未做好养护记录扣1分；③未做好雨污水管网设施基础资料记录扣2分。</w:t>
            </w:r>
            <w:r>
              <w:rPr>
                <w:rFonts w:hint="eastAsia" w:ascii="微软雅黑" w:hAnsi="微软雅黑" w:eastAsia="微软雅黑" w:cs="微软雅黑"/>
                <w:color w:val="auto"/>
                <w:highlight w:val="none"/>
              </w:rPr>
              <w:t>④</w:t>
            </w:r>
            <w:r>
              <w:rPr>
                <w:rFonts w:hint="eastAsia" w:ascii="宋体" w:hAnsi="宋体" w:eastAsia="宋体" w:cs="宋体"/>
                <w:color w:val="auto"/>
                <w:highlight w:val="none"/>
                <w:lang w:eastAsia="zh-CN"/>
              </w:rPr>
              <w:t>台账记录</w:t>
            </w:r>
            <w:r>
              <w:rPr>
                <w:rFonts w:hint="eastAsia" w:ascii="宋体" w:hAnsi="宋体" w:eastAsia="宋体" w:cs="宋体"/>
                <w:color w:val="auto"/>
                <w:highlight w:val="none"/>
              </w:rPr>
              <w:t>严重弄虚作假扣5分。</w:t>
            </w:r>
          </w:p>
        </w:tc>
        <w:tc>
          <w:tcPr>
            <w:tcW w:w="715" w:type="dxa"/>
            <w:noWrap w:val="0"/>
            <w:vAlign w:val="center"/>
          </w:tcPr>
          <w:p w14:paraId="327DB87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14A8D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9" w:type="dxa"/>
            <w:noWrap w:val="0"/>
            <w:vAlign w:val="center"/>
          </w:tcPr>
          <w:p w14:paraId="0E465B9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60186ED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135" w:type="dxa"/>
            <w:vMerge w:val="continue"/>
            <w:noWrap w:val="0"/>
            <w:vAlign w:val="center"/>
          </w:tcPr>
          <w:p w14:paraId="1C121B1B">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4070F3F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安全维护</w:t>
            </w:r>
          </w:p>
        </w:tc>
        <w:tc>
          <w:tcPr>
            <w:tcW w:w="5422" w:type="dxa"/>
            <w:noWrap w:val="0"/>
            <w:vAlign w:val="center"/>
          </w:tcPr>
          <w:p w14:paraId="691BB671">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对管网设施的日常养护、疏通、抢修等施工过程中，要按照相关规范要求做好安全维护、安全警示标志等安保措施，保证施工作业人员、行人、交通车辆等的安全。</w:t>
            </w:r>
          </w:p>
        </w:tc>
        <w:tc>
          <w:tcPr>
            <w:tcW w:w="815" w:type="dxa"/>
            <w:noWrap w:val="0"/>
            <w:vAlign w:val="center"/>
          </w:tcPr>
          <w:p w14:paraId="46CF727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p w14:paraId="7985F54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10</w:t>
            </w:r>
          </w:p>
        </w:tc>
        <w:tc>
          <w:tcPr>
            <w:tcW w:w="4564" w:type="dxa"/>
            <w:noWrap w:val="0"/>
            <w:vAlign w:val="center"/>
          </w:tcPr>
          <w:p w14:paraId="2E03CA2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①现场施工人员未统一着装，穿戴有反光标识警示服及安全帽的，</w:t>
            </w:r>
            <w:r>
              <w:rPr>
                <w:rFonts w:hint="eastAsia" w:ascii="宋体" w:hAnsi="宋体" w:eastAsia="宋体" w:cs="宋体"/>
                <w:color w:val="auto"/>
                <w:highlight w:val="none"/>
                <w:lang w:val="en-US" w:eastAsia="zh-CN"/>
              </w:rPr>
              <w:t>一次</w:t>
            </w:r>
            <w:r>
              <w:rPr>
                <w:rFonts w:hint="eastAsia" w:ascii="宋体" w:hAnsi="宋体" w:eastAsia="宋体" w:cs="宋体"/>
                <w:color w:val="auto"/>
                <w:highlight w:val="none"/>
              </w:rPr>
              <w:t>扣</w:t>
            </w:r>
            <w:r>
              <w:rPr>
                <w:rFonts w:hint="eastAsia" w:ascii="宋体" w:hAnsi="宋体" w:eastAsia="宋体" w:cs="宋体"/>
                <w:color w:val="auto"/>
                <w:highlight w:val="none"/>
                <w:lang w:val="en-US" w:eastAsia="zh-CN"/>
              </w:rPr>
              <w:t>0.1分</w:t>
            </w:r>
            <w:r>
              <w:rPr>
                <w:rFonts w:hint="eastAsia" w:ascii="宋体" w:hAnsi="宋体" w:eastAsia="宋体" w:cs="宋体"/>
                <w:color w:val="auto"/>
                <w:highlight w:val="none"/>
                <w:lang w:eastAsia="zh-CN"/>
              </w:rPr>
              <w:t>；②</w:t>
            </w:r>
            <w:r>
              <w:rPr>
                <w:rFonts w:hint="eastAsia" w:ascii="宋体" w:hAnsi="宋体" w:eastAsia="宋体" w:cs="宋体"/>
                <w:color w:val="auto"/>
                <w:highlight w:val="none"/>
              </w:rPr>
              <w:t>养护作业未采用围栏板、水马或锥形筒进行有效防护的，</w:t>
            </w:r>
            <w:r>
              <w:rPr>
                <w:rFonts w:hint="eastAsia" w:ascii="宋体" w:hAnsi="宋体" w:eastAsia="宋体" w:cs="宋体"/>
                <w:color w:val="auto"/>
                <w:highlight w:val="none"/>
                <w:lang w:val="en-US" w:eastAsia="zh-CN"/>
              </w:rPr>
              <w:t>一次</w:t>
            </w:r>
            <w:r>
              <w:rPr>
                <w:rFonts w:hint="eastAsia" w:ascii="宋体" w:hAnsi="宋体" w:eastAsia="宋体" w:cs="宋体"/>
                <w:color w:val="auto"/>
                <w:highlight w:val="none"/>
              </w:rPr>
              <w:t>扣</w:t>
            </w:r>
            <w:r>
              <w:rPr>
                <w:rFonts w:hint="eastAsia" w:ascii="宋体" w:hAnsi="宋体" w:eastAsia="宋体" w:cs="宋体"/>
                <w:color w:val="auto"/>
                <w:highlight w:val="none"/>
                <w:lang w:val="en-US" w:eastAsia="zh-CN"/>
              </w:rPr>
              <w:t>0.1分</w:t>
            </w:r>
            <w:r>
              <w:rPr>
                <w:rFonts w:hint="eastAsia" w:ascii="宋体" w:hAnsi="宋体" w:eastAsia="宋体" w:cs="宋体"/>
                <w:color w:val="auto"/>
                <w:highlight w:val="none"/>
                <w:lang w:eastAsia="zh-CN"/>
              </w:rPr>
              <w:t>；③</w:t>
            </w:r>
            <w:r>
              <w:rPr>
                <w:rFonts w:hint="eastAsia" w:ascii="宋体" w:hAnsi="宋体" w:eastAsia="宋体" w:cs="宋体"/>
                <w:color w:val="auto"/>
                <w:highlight w:val="none"/>
                <w:lang w:val="en-US" w:eastAsia="zh-CN"/>
              </w:rPr>
              <w:t>未按照有限空间专业要求进行专业的，一次扣1分；④垃圾清运不及时，污染路面或影响交通的，一次扣0.2分；</w:t>
            </w:r>
            <w:r>
              <w:rPr>
                <w:rFonts w:hint="eastAsia" w:ascii="微软雅黑" w:hAnsi="微软雅黑" w:eastAsia="微软雅黑" w:cs="微软雅黑"/>
                <w:color w:val="auto"/>
                <w:highlight w:val="none"/>
                <w:lang w:val="en-US" w:eastAsia="zh-CN"/>
              </w:rPr>
              <w:t>⑤</w:t>
            </w:r>
            <w:r>
              <w:rPr>
                <w:rFonts w:hint="eastAsia" w:ascii="宋体" w:hAnsi="宋体" w:cs="宋体"/>
                <w:color w:val="auto"/>
                <w:highlight w:val="none"/>
                <w:lang w:val="en-US" w:eastAsia="zh-CN"/>
              </w:rPr>
              <w:t>垃圾未按照规定处置的，一次扣0.5分。</w:t>
            </w:r>
          </w:p>
        </w:tc>
        <w:tc>
          <w:tcPr>
            <w:tcW w:w="715" w:type="dxa"/>
            <w:noWrap w:val="0"/>
            <w:vAlign w:val="center"/>
          </w:tcPr>
          <w:p w14:paraId="673FB99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165E8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79" w:type="dxa"/>
            <w:noWrap w:val="0"/>
            <w:vAlign w:val="center"/>
          </w:tcPr>
          <w:p w14:paraId="0D2F4346">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135" w:type="dxa"/>
            <w:vMerge w:val="continue"/>
            <w:noWrap w:val="0"/>
            <w:vAlign w:val="center"/>
          </w:tcPr>
          <w:p w14:paraId="4F0B3FB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1132" w:type="dxa"/>
            <w:noWrap w:val="0"/>
            <w:vAlign w:val="center"/>
          </w:tcPr>
          <w:p w14:paraId="6FE260E0">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安全培训</w:t>
            </w:r>
          </w:p>
        </w:tc>
        <w:tc>
          <w:tcPr>
            <w:tcW w:w="5422" w:type="dxa"/>
            <w:noWrap w:val="0"/>
            <w:vAlign w:val="center"/>
          </w:tcPr>
          <w:p w14:paraId="46A510E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应定期组织对员工岗位的专业技能培训和安全生产知识教育，特殊岗位要求持证上岗。</w:t>
            </w:r>
          </w:p>
        </w:tc>
        <w:tc>
          <w:tcPr>
            <w:tcW w:w="815" w:type="dxa"/>
            <w:noWrap w:val="0"/>
            <w:vAlign w:val="center"/>
          </w:tcPr>
          <w:p w14:paraId="322D4B3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p>
        </w:tc>
        <w:tc>
          <w:tcPr>
            <w:tcW w:w="4564" w:type="dxa"/>
            <w:noWrap w:val="0"/>
            <w:vAlign w:val="center"/>
          </w:tcPr>
          <w:p w14:paraId="5385C04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①未定期组织专业技能和安全生产知识教育培训扣</w:t>
            </w:r>
            <w:r>
              <w:rPr>
                <w:rFonts w:hint="eastAsia" w:ascii="宋体" w:hAnsi="宋体" w:cs="宋体"/>
                <w:color w:val="auto"/>
                <w:highlight w:val="none"/>
                <w:lang w:val="en-US" w:eastAsia="zh-CN"/>
              </w:rPr>
              <w:t>0.5</w:t>
            </w:r>
            <w:r>
              <w:rPr>
                <w:rFonts w:hint="eastAsia" w:ascii="宋体" w:hAnsi="宋体" w:eastAsia="宋体" w:cs="宋体"/>
                <w:color w:val="auto"/>
                <w:highlight w:val="none"/>
              </w:rPr>
              <w:t>分；②特殊岗位未持证上岗</w:t>
            </w:r>
            <w:r>
              <w:rPr>
                <w:rFonts w:hint="eastAsia" w:ascii="宋体" w:hAnsi="宋体" w:cs="宋体"/>
                <w:color w:val="auto"/>
                <w:highlight w:val="none"/>
                <w:lang w:val="en-US" w:eastAsia="zh-CN"/>
              </w:rPr>
              <w:t>一次</w:t>
            </w:r>
            <w:r>
              <w:rPr>
                <w:rFonts w:hint="eastAsia" w:ascii="宋体" w:hAnsi="宋体" w:eastAsia="宋体" w:cs="宋体"/>
                <w:color w:val="auto"/>
                <w:highlight w:val="none"/>
              </w:rPr>
              <w:t>扣</w:t>
            </w:r>
            <w:r>
              <w:rPr>
                <w:rFonts w:hint="eastAsia" w:ascii="宋体" w:hAnsi="宋体" w:cs="宋体"/>
                <w:color w:val="auto"/>
                <w:highlight w:val="none"/>
                <w:lang w:val="en-US" w:eastAsia="zh-CN"/>
              </w:rPr>
              <w:t>0.5</w:t>
            </w:r>
            <w:r>
              <w:rPr>
                <w:rFonts w:hint="eastAsia" w:ascii="宋体" w:hAnsi="宋体" w:eastAsia="宋体" w:cs="宋体"/>
                <w:color w:val="auto"/>
                <w:highlight w:val="none"/>
              </w:rPr>
              <w:t>分</w:t>
            </w:r>
            <w:r>
              <w:rPr>
                <w:rFonts w:hint="eastAsia" w:ascii="宋体" w:hAnsi="宋体" w:cs="宋体"/>
                <w:color w:val="auto"/>
                <w:highlight w:val="none"/>
                <w:lang w:eastAsia="zh-CN"/>
              </w:rPr>
              <w:t>；</w:t>
            </w:r>
            <w:r>
              <w:rPr>
                <w:rFonts w:hint="eastAsia" w:ascii="微软雅黑" w:hAnsi="微软雅黑" w:eastAsia="微软雅黑" w:cs="微软雅黑"/>
                <w:color w:val="auto"/>
                <w:highlight w:val="none"/>
              </w:rPr>
              <w:t>③</w:t>
            </w:r>
            <w:r>
              <w:rPr>
                <w:rFonts w:hint="eastAsia" w:ascii="宋体" w:hAnsi="宋体" w:eastAsia="宋体" w:cs="宋体"/>
                <w:color w:val="auto"/>
                <w:highlight w:val="none"/>
              </w:rPr>
              <w:t>项目负责人无故缺席养护例会，</w:t>
            </w:r>
            <w:r>
              <w:rPr>
                <w:rFonts w:hint="eastAsia" w:ascii="宋体" w:hAnsi="宋体" w:cs="宋体"/>
                <w:color w:val="auto"/>
                <w:highlight w:val="none"/>
                <w:lang w:val="en-US" w:eastAsia="zh-CN"/>
              </w:rPr>
              <w:t>一次扣0.5分。</w:t>
            </w:r>
          </w:p>
        </w:tc>
        <w:tc>
          <w:tcPr>
            <w:tcW w:w="715" w:type="dxa"/>
            <w:noWrap w:val="0"/>
            <w:vAlign w:val="center"/>
          </w:tcPr>
          <w:p w14:paraId="126D66C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7B35C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946" w:type="dxa"/>
            <w:gridSpan w:val="3"/>
            <w:noWrap w:val="0"/>
            <w:vAlign w:val="center"/>
          </w:tcPr>
          <w:p w14:paraId="0F60BF3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合计</w:t>
            </w:r>
          </w:p>
        </w:tc>
        <w:tc>
          <w:tcPr>
            <w:tcW w:w="5422" w:type="dxa"/>
            <w:noWrap w:val="0"/>
            <w:vAlign w:val="center"/>
          </w:tcPr>
          <w:p w14:paraId="3F74C9A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815" w:type="dxa"/>
            <w:noWrap w:val="0"/>
            <w:vAlign w:val="center"/>
          </w:tcPr>
          <w:p w14:paraId="444F392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100</w:t>
            </w:r>
          </w:p>
        </w:tc>
        <w:tc>
          <w:tcPr>
            <w:tcW w:w="4564" w:type="dxa"/>
            <w:noWrap w:val="0"/>
            <w:vAlign w:val="center"/>
          </w:tcPr>
          <w:p w14:paraId="2ADFAE7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c>
          <w:tcPr>
            <w:tcW w:w="715" w:type="dxa"/>
            <w:noWrap w:val="0"/>
            <w:vAlign w:val="center"/>
          </w:tcPr>
          <w:p w14:paraId="5AA6333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center"/>
              <w:textAlignment w:val="auto"/>
              <w:rPr>
                <w:rFonts w:hint="eastAsia" w:ascii="宋体" w:hAnsi="宋体" w:eastAsia="宋体" w:cs="宋体"/>
                <w:color w:val="auto"/>
                <w:highlight w:val="none"/>
              </w:rPr>
            </w:pPr>
          </w:p>
        </w:tc>
      </w:tr>
      <w:tr w14:paraId="2B7C9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4462" w:type="dxa"/>
            <w:gridSpan w:val="7"/>
            <w:noWrap w:val="0"/>
            <w:vAlign w:val="center"/>
          </w:tcPr>
          <w:p w14:paraId="569D5E9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考核综合意见：</w:t>
            </w:r>
          </w:p>
        </w:tc>
      </w:tr>
      <w:tr w14:paraId="129A6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14462" w:type="dxa"/>
            <w:gridSpan w:val="7"/>
            <w:noWrap w:val="0"/>
            <w:vAlign w:val="center"/>
          </w:tcPr>
          <w:p w14:paraId="74E91882">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养护单位代表(签字)：</w:t>
            </w:r>
          </w:p>
          <w:p w14:paraId="5E51A91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考核人员(签字)：</w:t>
            </w:r>
          </w:p>
        </w:tc>
      </w:tr>
      <w:tr w14:paraId="28577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4462" w:type="dxa"/>
            <w:gridSpan w:val="7"/>
            <w:noWrap w:val="0"/>
            <w:vAlign w:val="center"/>
          </w:tcPr>
          <w:p w14:paraId="76A00C7C">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科室负责人（签字）：</w:t>
            </w:r>
          </w:p>
        </w:tc>
      </w:tr>
      <w:tr w14:paraId="07A4F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4462" w:type="dxa"/>
            <w:gridSpan w:val="7"/>
            <w:noWrap w:val="0"/>
            <w:vAlign w:val="center"/>
          </w:tcPr>
          <w:p w14:paraId="4710B30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分管领导(签字)：</w:t>
            </w:r>
          </w:p>
        </w:tc>
      </w:tr>
      <w:tr w14:paraId="4768C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4462" w:type="dxa"/>
            <w:gridSpan w:val="7"/>
            <w:noWrap w:val="0"/>
            <w:vAlign w:val="center"/>
          </w:tcPr>
          <w:p w14:paraId="1E909F6F">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主要领导(签字)：</w:t>
            </w:r>
          </w:p>
        </w:tc>
      </w:tr>
    </w:tbl>
    <w:p w14:paraId="55501121">
      <w:pPr>
        <w:pageBreakBefore w:val="0"/>
        <w:kinsoku/>
        <w:wordWrap/>
        <w:overflowPunct/>
        <w:topLinePunct w:val="0"/>
        <w:autoSpaceDE/>
        <w:autoSpaceDN/>
        <w:bidi w:val="0"/>
        <w:adjustRightInd/>
        <w:snapToGrid/>
        <w:spacing w:beforeAutospacing="0" w:afterAutospacing="0"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徐州高新技术产业开发区公共事业管理服务中心</w:t>
      </w:r>
    </w:p>
    <w:p w14:paraId="630E2E4C">
      <w:pPr>
        <w:pageBreakBefore w:val="0"/>
        <w:kinsoku/>
        <w:wordWrap/>
        <w:overflowPunct/>
        <w:topLinePunct w:val="0"/>
        <w:autoSpaceDE/>
        <w:autoSpaceDN/>
        <w:bidi w:val="0"/>
        <w:adjustRightInd/>
        <w:snapToGrid/>
        <w:spacing w:beforeAutospacing="0" w:afterAutospacing="0" w:line="360" w:lineRule="auto"/>
        <w:ind w:left="10001" w:firstLine="16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(公章)</w:t>
      </w:r>
    </w:p>
    <w:p w14:paraId="70DD0174">
      <w:pPr>
        <w:pageBreakBefore w:val="0"/>
        <w:kinsoku/>
        <w:wordWrap/>
        <w:overflowPunct/>
        <w:topLinePunct w:val="0"/>
        <w:autoSpaceDE/>
        <w:autoSpaceDN/>
        <w:bidi w:val="0"/>
        <w:adjustRightInd/>
        <w:snapToGrid/>
        <w:spacing w:beforeAutospacing="0" w:afterAutospacing="0"/>
        <w:rPr>
          <w:rStyle w:val="297"/>
          <w:rFonts w:ascii="宋体" w:hAnsi="宋体" w:eastAsia="宋体"/>
          <w:color w:val="auto"/>
          <w:highlight w:val="none"/>
        </w:rPr>
      </w:pPr>
      <w:r>
        <w:rPr>
          <w:rStyle w:val="297"/>
          <w:rFonts w:ascii="宋体" w:hAnsi="宋体" w:eastAsia="宋体"/>
          <w:color w:val="auto"/>
          <w:highlight w:val="none"/>
        </w:rPr>
        <w:br w:type="page" w:clear="all"/>
      </w:r>
    </w:p>
    <w:p w14:paraId="3C3E8677">
      <w:pPr>
        <w:pStyle w:val="296"/>
        <w:pageBreakBefore w:val="0"/>
        <w:kinsoku/>
        <w:wordWrap/>
        <w:overflowPunct/>
        <w:topLinePunct w:val="0"/>
        <w:autoSpaceDE/>
        <w:autoSpaceDN/>
        <w:bidi w:val="0"/>
        <w:adjustRightInd/>
        <w:snapToGrid/>
        <w:spacing w:beforeAutospacing="0" w:afterAutospacing="0" w:line="520" w:lineRule="exact"/>
        <w:rPr>
          <w:rFonts w:ascii="宋体" w:hAnsi="宋体" w:eastAsia="宋体"/>
          <w:b w:val="0"/>
          <w:bCs w:val="0"/>
          <w:color w:val="auto"/>
          <w:highlight w:val="none"/>
        </w:rPr>
        <w:sectPr>
          <w:headerReference r:id="rId8" w:type="default"/>
          <w:footerReference r:id="rId9" w:type="default"/>
          <w:pgSz w:w="16839" w:h="11906" w:orient="landscape"/>
          <w:pgMar w:top="1344" w:right="1431" w:bottom="1133" w:left="1156" w:header="0" w:footer="695" w:gutter="0"/>
          <w:pgNumType w:start="1"/>
          <w:cols w:space="1701" w:num="1"/>
          <w:docGrid w:linePitch="360" w:charSpace="0"/>
        </w:sectPr>
      </w:pPr>
    </w:p>
    <w:bookmarkEnd w:id="0"/>
    <w:bookmarkEnd w:id="1"/>
    <w:p w14:paraId="1EEF148C">
      <w:pPr>
        <w:pStyle w:val="296"/>
        <w:pageBreakBefore w:val="0"/>
        <w:kinsoku/>
        <w:wordWrap/>
        <w:overflowPunct/>
        <w:topLinePunct w:val="0"/>
        <w:autoSpaceDE/>
        <w:autoSpaceDN/>
        <w:bidi w:val="0"/>
        <w:adjustRightInd/>
        <w:snapToGrid/>
        <w:spacing w:beforeAutospacing="0" w:afterAutospacing="0" w:line="520" w:lineRule="exact"/>
        <w:rPr>
          <w:rFonts w:ascii="宋体" w:hAnsi="宋体" w:eastAsia="宋体"/>
          <w:color w:val="auto"/>
          <w:highlight w:val="none"/>
        </w:rPr>
      </w:pPr>
    </w:p>
    <w:sectPr>
      <w:headerReference r:id="rId10" w:type="default"/>
      <w:footerReference r:id="rId11" w:type="default"/>
      <w:pgSz w:w="11906" w:h="16838"/>
      <w:pgMar w:top="851" w:right="1702" w:bottom="851" w:left="1804"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040D1F-44A6-4F1E-B09A-42C1449BED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5BCD6CD-C8BC-42A0-8314-057A6BBBD236}"/>
  </w:font>
  <w:font w:name="方正仿宋_GB2312">
    <w:panose1 w:val="02000000000000000000"/>
    <w:charset w:val="86"/>
    <w:family w:val="auto"/>
    <w:pitch w:val="default"/>
    <w:sig w:usb0="A00002BF" w:usb1="184F6CFA" w:usb2="00000012"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Yu Gothic UI"/>
    <w:panose1 w:val="020B0503020202020204"/>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CBDAD8E8-2C95-4938-8CB5-3E10A3778CDC}"/>
  </w:font>
  <w:font w:name="Arial Unicode MS">
    <w:panose1 w:val="020B0604020202020204"/>
    <w:charset w:val="86"/>
    <w:family w:val="auto"/>
    <w:pitch w:val="default"/>
    <w:sig w:usb0="F7FFAEFF" w:usb1="F9DFFFFF" w:usb2="0000007F" w:usb3="00000000" w:csb0="203F01FF" w:csb1="DFFF0000"/>
  </w:font>
  <w:font w:name="方正小标宋简体">
    <w:panose1 w:val="02000000000000000000"/>
    <w:charset w:val="86"/>
    <w:family w:val="auto"/>
    <w:pitch w:val="default"/>
    <w:sig w:usb0="00000001" w:usb1="08000000" w:usb2="00000000" w:usb3="00000000" w:csb0="00040000" w:csb1="00000000"/>
    <w:embedRegular r:id="rId4" w:fontKey="{BC8FC49E-5D0B-4F9C-9622-2A882A3274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56B1C">
    <w:pPr>
      <w:spacing w:line="186" w:lineRule="auto"/>
      <w:ind w:left="44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036CFC1B">
                          <w:pPr>
                            <w:pStyle w:val="93"/>
                            <w:tabs>
                              <w:tab w:val="clear" w:pos="7143"/>
                              <w:tab w:val="clear" w:pos="14287"/>
                            </w:tabs>
                          </w:pPr>
                          <w:r>
                            <w:fldChar w:fldCharType="begin"/>
                          </w:r>
                          <w:r>
                            <w:instrText xml:space="preserve"> PAGE  \* MERGEFORMAT </w:instrText>
                          </w:r>
                          <w:r>
                            <w:fldChar w:fldCharType="separate"/>
                          </w:r>
                          <w:r>
                            <w:t>33</w:t>
                          </w:r>
                          <w:r>
                            <w:fldChar w:fldCharType="end"/>
                          </w:r>
                        </w:p>
                        <w:p w14:paraId="5204D1C1"/>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M5kGdgBAAC3AwAADgAAAGRycy9lMm9Eb2MueG1srVNNrtMwEN4jcQfL&#10;e5q2C1RFTZ9AVRESf9KDAziO01iyPZbHbdILwA1YsWHPuXoOxk7SB4/NW7CxxjPjb+b7Zry9G6xh&#10;ZxVQg6v4arHkTDkJjXbHin/5fHix4QyjcI0w4FTFLwr53e75s23vS7WGDkyjAiMQh2XvK97F6Mui&#10;QNkpK3ABXjkKthCsiHQNx6IJoid0a4r1cvmy6CE0PoBUiOTdj0E+IYanAELbaqn2IE9WuTiiBmVE&#10;JErYaY98l7ttWyXjx7ZFFZmpODGN+aQiZNfpLHZbUR6D8J2WUwviKS084mSFdlT0BrUXUbBT0P9A&#10;WS0DILRxIcEWI5GsCLFYLR9pc98JrzIXkhr9TXT8f7Dyw/lTYLqhTVhx5oSliV+/f7v++HX9+ZWR&#10;jwTqPZaUd+8pMw6vYaDk2Y/JWffvoaGH4hQhqzC0wSY1iB+jbBL7chNbDZHJBLFZbzZLCkmKzReq&#10;Vohyfu4DxjcKLEtGxQNNM8OL8zuMY+qckqo5OGhj8kSN+8tBmKNH5ZWYXideqf+RYRzqYSJbQ3Mh&#10;Wj2tRcUd/QLOzFtHqqcNmo0wG/VsnHzQx44aXeUu0b8iPQ46d5pqjbDEMF1onpnrtHtpYf6856yH&#10;/7b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czmQZ2AEAALcDAAAOAAAAAAAAAAEAIAAA&#10;AB4BAABkcnMvZTJvRG9jLnhtbFBLBQYAAAAABgAGAFkBAABoBQAAAAA=&#10;">
              <v:fill on="f" focussize="0,0"/>
              <v:stroke on="f"/>
              <v:imagedata o:title=""/>
              <o:lock v:ext="edit" aspectratio="f"/>
              <v:textbox inset="0mm,0mm,0mm,0mm" style="mso-fit-shape-to-text:t;">
                <w:txbxContent>
                  <w:p w14:paraId="036CFC1B">
                    <w:pPr>
                      <w:pStyle w:val="93"/>
                      <w:tabs>
                        <w:tab w:val="clear" w:pos="7143"/>
                        <w:tab w:val="clear" w:pos="14287"/>
                      </w:tabs>
                    </w:pPr>
                    <w:r>
                      <w:fldChar w:fldCharType="begin"/>
                    </w:r>
                    <w:r>
                      <w:instrText xml:space="preserve"> PAGE  \* MERGEFORMAT </w:instrText>
                    </w:r>
                    <w:r>
                      <w:fldChar w:fldCharType="separate"/>
                    </w:r>
                    <w:r>
                      <w:t>33</w:t>
                    </w:r>
                    <w:r>
                      <w:fldChar w:fldCharType="end"/>
                    </w:r>
                  </w:p>
                  <w:p w14:paraId="5204D1C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3258E">
    <w:pPr>
      <w:spacing w:line="186" w:lineRule="auto"/>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03722F81">
                          <w:pPr>
                            <w:pStyle w:val="93"/>
                            <w:tabs>
                              <w:tab w:val="clear" w:pos="7143"/>
                              <w:tab w:val="clear" w:pos="14287"/>
                            </w:tabs>
                          </w:pPr>
                          <w:r>
                            <w:fldChar w:fldCharType="begin"/>
                          </w:r>
                          <w:r>
                            <w:instrText xml:space="preserve"> PAGE  \* MERGEFORMAT </w:instrText>
                          </w:r>
                          <w:r>
                            <w:fldChar w:fldCharType="separate"/>
                          </w:r>
                          <w:r>
                            <w:t>40</w:t>
                          </w:r>
                          <w:r>
                            <w:fldChar w:fldCharType="end"/>
                          </w:r>
                        </w:p>
                        <w:p w14:paraId="5A73FB68"/>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HBTxtgBAAC3AwAADgAAAGRycy9lMm9Eb2MueG1srVNNrtMwEN4jcQfL&#10;e5q2C1RFTZ9AVRESf9KDAziO01iyPZbHbdILwA1YsWHPuXoOxk7SB4/NW7CxxjPjb+b7Zry9G6xh&#10;ZxVQg6v4arHkTDkJjXbHin/5fHix4QyjcI0w4FTFLwr53e75s23vS7WGDkyjAiMQh2XvK97F6Mui&#10;QNkpK3ABXjkKthCsiHQNx6IJoid0a4r1cvmy6CE0PoBUiOTdj0E+IYanAELbaqn2IE9WuTiiBmVE&#10;JErYaY98l7ttWyXjx7ZFFZmpODGN+aQiZNfpLHZbUR6D8J2WUwviKS084mSFdlT0BrUXUbBT0P9A&#10;WS0DILRxIcEWI5GsCLFYLR9pc98JrzIXkhr9TXT8f7Dyw/lTYLqhTVhz5oSliV+/f7v++HX9+ZWR&#10;jwTqPZaUd+8pMw6vYaDk2Y/JWffvoaGH4hQhqzC0wSY1iB+jbBL7chNbDZHJBLFZbzZLCkmKzReq&#10;Vohyfu4DxjcKLEtGxQNNM8OL8zuMY+qckqo5OGhj8kSN+8tBmKNH5ZWYXideqf+RYRzqYSJbQ3Mh&#10;Wj2tRcUd/QLOzFtHqqcNmo0wG/VsnHzQx44aXeUu0b8iPQ46d5pqjbDEMF1onpnrtHtpYf6856yH&#10;/7b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IcFPG2AEAALcDAAAOAAAAAAAAAAEAIAAA&#10;AB4BAABkcnMvZTJvRG9jLnhtbFBLBQYAAAAABgAGAFkBAABoBQAAAAA=&#10;">
              <v:fill on="f" focussize="0,0"/>
              <v:stroke on="f"/>
              <v:imagedata o:title=""/>
              <o:lock v:ext="edit" aspectratio="f"/>
              <v:textbox inset="0mm,0mm,0mm,0mm" style="mso-fit-shape-to-text:t;">
                <w:txbxContent>
                  <w:p w14:paraId="03722F81">
                    <w:pPr>
                      <w:pStyle w:val="93"/>
                      <w:tabs>
                        <w:tab w:val="clear" w:pos="7143"/>
                        <w:tab w:val="clear" w:pos="14287"/>
                      </w:tabs>
                    </w:pPr>
                    <w:r>
                      <w:fldChar w:fldCharType="begin"/>
                    </w:r>
                    <w:r>
                      <w:instrText xml:space="preserve"> PAGE  \* MERGEFORMAT </w:instrText>
                    </w:r>
                    <w:r>
                      <w:fldChar w:fldCharType="separate"/>
                    </w:r>
                    <w:r>
                      <w:t>40</w:t>
                    </w:r>
                    <w:r>
                      <w:fldChar w:fldCharType="end"/>
                    </w:r>
                  </w:p>
                  <w:p w14:paraId="5A73FB6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ED24D">
    <w:pPr>
      <w:pStyle w:val="314"/>
      <w:framePr w:wrap="around" w:vAnchor="text" w:hAnchor="margin" w:xAlign="center" w:y="1"/>
      <w:rPr>
        <w:rStyle w:val="324"/>
      </w:rPr>
    </w:pPr>
    <w:r>
      <w:fldChar w:fldCharType="begin"/>
    </w:r>
    <w:r>
      <w:rPr>
        <w:rStyle w:val="324"/>
      </w:rPr>
      <w:instrText xml:space="preserve">PAGE  </w:instrText>
    </w:r>
    <w:r>
      <w:fldChar w:fldCharType="separate"/>
    </w:r>
    <w:r>
      <w:rPr>
        <w:rStyle w:val="324"/>
      </w:rPr>
      <w:t>8</w:t>
    </w:r>
    <w:r>
      <w:fldChar w:fldCharType="end"/>
    </w:r>
  </w:p>
  <w:p w14:paraId="60F9BEDE">
    <w:pPr>
      <w:pStyle w:val="3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327DF">
    <w:pPr>
      <w:spacing w:line="186" w:lineRule="auto"/>
      <w:ind w:left="4537"/>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15FC8">
    <w:pPr>
      <w:pStyle w:val="3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4580742E">
                          <w:pPr>
                            <w:pStyle w:val="314"/>
                            <w:tabs>
                              <w:tab w:val="clear" w:pos="4153"/>
                              <w:tab w:val="clear" w:pos="8306"/>
                            </w:tabs>
                            <w:rPr>
                              <w:rStyle w:val="324"/>
                            </w:rPr>
                          </w:pPr>
                          <w:r>
                            <w:fldChar w:fldCharType="begin"/>
                          </w:r>
                          <w:r>
                            <w:rPr>
                              <w:rStyle w:val="324"/>
                            </w:rPr>
                            <w:instrText xml:space="preserve">PAGE  </w:instrText>
                          </w:r>
                          <w:r>
                            <w:fldChar w:fldCharType="separate"/>
                          </w:r>
                          <w:r>
                            <w:rPr>
                              <w:rStyle w:val="324"/>
                            </w:rPr>
                            <w:t>50</w:t>
                          </w:r>
                          <w:r>
                            <w:fldChar w:fldCharType="end"/>
                          </w:r>
                        </w:p>
                        <w:p w14:paraId="41202736">
                          <w:pPr>
                            <w:pStyle w:val="43"/>
                          </w:pPr>
                        </w:p>
                        <w:p w14:paraId="3BA6253B"/>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2Mu3cAQAAsAMAAA4AAABkcnMvZTJvRG9jLnhtbK1TzY7TMBC+I/EO&#10;lu80aRGrKmq6WlQVIfEn7fIAjmM3lmyPZbtN+gLwBpy4cOe5+hyMnaSg5bKHvUTjmfH3zfd5srkd&#10;jCYn4YMCW9PloqREWA6tsoeafn3Yv1pTEiKzLdNgRU3PItDb7csXm95VYgUd6FZ4giA2VL2raRej&#10;q4oi8E4YFhbghMWiBG9YxKM/FK1nPaIbXazK8qbowbfOAxchYHY3FumE6J8CCFIqLnbAj0bYOKJ6&#10;oVlESaFTLtBtnlZKweNnKYOIRNcUlcb8RRKMm/QtthtWHTxzneLTCOwpIzzSZJiySHqF2rHIyNGr&#10;/6CM4h4CyLjgYIpRSHYEVSzLR97cd8yJrAWtDu5qeng+WP7p9MUT1eImUGKZwQe//Ph++fn78usb&#10;WSZ7ehcq7Lp32BeHtzCk1ikfUrLpP0KL99gxQvZgkN4kL1AdwW60+ny1WgyR8ASxXq3XJZY41uYD&#10;ohasmq87H+I7AYakoKYe3zLDs9OHEMfWuSWxWdgrrTHPKm1JX9Ob12/KfOFaQXBtkSNJSqOP4uLQ&#10;DJOeBtozKupxH2pqcf0p0e8t2p1WZw78HDRzcHReHTqccZn5grtDK/YqD5m4RtiJGB8yy5yWLm3K&#10;v+fc9fdH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0lY7tAAAAAFAQAADwAAAAAAAAABACAA&#10;AAAiAAAAZHJzL2Rvd25yZXYueG1sUEsBAhQAFAAAAAgAh07iQAg2Mu3cAQAAsAMAAA4AAAAAAAAA&#10;AQAgAAAAHwEAAGRycy9lMm9Eb2MueG1sUEsFBgAAAAAGAAYAWQEAAG0FAAAAAA==&#10;">
              <v:fill on="f" focussize="0,0"/>
              <v:stroke on="f" weight="0.5pt"/>
              <v:imagedata o:title=""/>
              <o:lock v:ext="edit" aspectratio="f"/>
              <v:textbox inset="0mm,0mm,0mm,0mm" style="mso-fit-shape-to-text:t;">
                <w:txbxContent>
                  <w:p w14:paraId="4580742E">
                    <w:pPr>
                      <w:pStyle w:val="314"/>
                      <w:tabs>
                        <w:tab w:val="clear" w:pos="4153"/>
                        <w:tab w:val="clear" w:pos="8306"/>
                      </w:tabs>
                      <w:rPr>
                        <w:rStyle w:val="324"/>
                      </w:rPr>
                    </w:pPr>
                    <w:r>
                      <w:fldChar w:fldCharType="begin"/>
                    </w:r>
                    <w:r>
                      <w:rPr>
                        <w:rStyle w:val="324"/>
                      </w:rPr>
                      <w:instrText xml:space="preserve">PAGE  </w:instrText>
                    </w:r>
                    <w:r>
                      <w:fldChar w:fldCharType="separate"/>
                    </w:r>
                    <w:r>
                      <w:rPr>
                        <w:rStyle w:val="324"/>
                      </w:rPr>
                      <w:t>50</w:t>
                    </w:r>
                    <w:r>
                      <w:fldChar w:fldCharType="end"/>
                    </w:r>
                  </w:p>
                  <w:p w14:paraId="41202736">
                    <w:pPr>
                      <w:pStyle w:val="43"/>
                    </w:pPr>
                  </w:p>
                  <w:p w14:paraId="3BA6253B"/>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3D64E">
    <w:pPr>
      <w:pStyle w:val="95"/>
      <w:tabs>
        <w:tab w:val="center" w:pos="4153"/>
        <w:tab w:val="right" w:pos="8306"/>
        <w:tab w:val="clear" w:pos="7143"/>
        <w:tab w:val="clear" w:pos="1428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468EF">
    <w:pPr>
      <w:pStyle w:val="95"/>
      <w:tabs>
        <w:tab w:val="center" w:pos="4153"/>
        <w:tab w:val="right" w:pos="8306"/>
        <w:tab w:val="clear" w:pos="7143"/>
        <w:tab w:val="clear" w:pos="1428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A0213">
    <w:pPr>
      <w:pStyle w:val="95"/>
      <w:tabs>
        <w:tab w:val="center" w:pos="4153"/>
        <w:tab w:val="right" w:pos="8306"/>
        <w:tab w:val="clear" w:pos="7143"/>
        <w:tab w:val="clear" w:pos="14287"/>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2C93B">
    <w:pPr>
      <w:pStyle w:val="316"/>
      <w:pBdr>
        <w:bottom w:val="none" w:color="000000"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80CDE"/>
    <w:rsid w:val="028B6F65"/>
    <w:rsid w:val="080A61DB"/>
    <w:rsid w:val="0BE80418"/>
    <w:rsid w:val="0FDE5547"/>
    <w:rsid w:val="105C0C21"/>
    <w:rsid w:val="134358DA"/>
    <w:rsid w:val="17D34641"/>
    <w:rsid w:val="195E66FD"/>
    <w:rsid w:val="1B915DEE"/>
    <w:rsid w:val="1DDA3467"/>
    <w:rsid w:val="1ED645FC"/>
    <w:rsid w:val="215D6980"/>
    <w:rsid w:val="232A48A2"/>
    <w:rsid w:val="241B501F"/>
    <w:rsid w:val="26BB1EFF"/>
    <w:rsid w:val="2ABD0DF4"/>
    <w:rsid w:val="308F6330"/>
    <w:rsid w:val="30C4708B"/>
    <w:rsid w:val="31AB42A7"/>
    <w:rsid w:val="32827367"/>
    <w:rsid w:val="35E57E7A"/>
    <w:rsid w:val="394A7706"/>
    <w:rsid w:val="39D60DC3"/>
    <w:rsid w:val="3CC61931"/>
    <w:rsid w:val="3D9F0262"/>
    <w:rsid w:val="3F772EF5"/>
    <w:rsid w:val="41961147"/>
    <w:rsid w:val="4260595F"/>
    <w:rsid w:val="42AD499A"/>
    <w:rsid w:val="462D2737"/>
    <w:rsid w:val="470B5BFF"/>
    <w:rsid w:val="477D24CE"/>
    <w:rsid w:val="4A176804"/>
    <w:rsid w:val="4C991AEB"/>
    <w:rsid w:val="4EEE35FA"/>
    <w:rsid w:val="4F2A3824"/>
    <w:rsid w:val="523935A8"/>
    <w:rsid w:val="534532E3"/>
    <w:rsid w:val="540A1491"/>
    <w:rsid w:val="54B73680"/>
    <w:rsid w:val="584B59B7"/>
    <w:rsid w:val="584D3622"/>
    <w:rsid w:val="5A3F14B6"/>
    <w:rsid w:val="5B8E7B05"/>
    <w:rsid w:val="5BFC4898"/>
    <w:rsid w:val="5CC44962"/>
    <w:rsid w:val="5CF12273"/>
    <w:rsid w:val="5CFA3FB9"/>
    <w:rsid w:val="5E8A3C62"/>
    <w:rsid w:val="5F631160"/>
    <w:rsid w:val="625F2F38"/>
    <w:rsid w:val="630C008B"/>
    <w:rsid w:val="64603651"/>
    <w:rsid w:val="68DC4D0D"/>
    <w:rsid w:val="69F070C2"/>
    <w:rsid w:val="6D6C6323"/>
    <w:rsid w:val="6F245DD7"/>
    <w:rsid w:val="6FE6387D"/>
    <w:rsid w:val="71587AAA"/>
    <w:rsid w:val="734A7225"/>
    <w:rsid w:val="73A047EA"/>
    <w:rsid w:val="75C42A0A"/>
    <w:rsid w:val="75F54E83"/>
    <w:rsid w:val="77422AEC"/>
    <w:rsid w:val="7B2D4737"/>
    <w:rsid w:val="7BCD7E1A"/>
    <w:rsid w:val="7FB57384"/>
    <w:rsid w:val="7FE56A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51"/>
    <w:qFormat/>
    <w:uiPriority w:val="0"/>
    <w:rPr>
      <w:rFonts w:hint="default" w:ascii="Times New Roman" w:hAnsi="Times New Roman" w:eastAsia="宋体" w:cs="Times New Roman"/>
    </w:rPr>
  </w:style>
  <w:style w:type="paragraph" w:styleId="3">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5">
    <w:name w:val="heading 3"/>
    <w:basedOn w:val="1"/>
    <w:next w:val="1"/>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adjustRightInd w:val="0"/>
      <w:snapToGrid w:val="0"/>
      <w:spacing w:line="560" w:lineRule="exact"/>
      <w:ind w:firstLine="643" w:firstLineChars="200"/>
    </w:pPr>
    <w:rPr>
      <w:rFonts w:eastAsia="方正仿宋_GB2312" w:cs="宋体"/>
      <w:color w:val="000000"/>
      <w:sz w:val="32"/>
      <w:szCs w:val="32"/>
    </w:r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index 5"/>
    <w:basedOn w:val="1"/>
    <w:next w:val="1"/>
    <w:qFormat/>
    <w:uiPriority w:val="0"/>
    <w:pPr>
      <w:ind w:left="798"/>
    </w:pPr>
    <w:rPr>
      <w:rFonts w:ascii="Calibri" w:hAnsi="Calibri"/>
    </w:rPr>
  </w:style>
  <w:style w:type="paragraph" w:styleId="15">
    <w:name w:val="annotation text"/>
    <w:basedOn w:val="1"/>
    <w:semiHidden/>
    <w:unhideWhenUsed/>
    <w:qFormat/>
    <w:uiPriority w:val="99"/>
    <w:pPr>
      <w:jc w:val="left"/>
    </w:pPr>
  </w:style>
  <w:style w:type="paragraph" w:styleId="16">
    <w:name w:val="Body Text Indent"/>
    <w:basedOn w:val="1"/>
    <w:qFormat/>
    <w:uiPriority w:val="0"/>
    <w:pPr>
      <w:spacing w:after="120"/>
      <w:ind w:left="420"/>
    </w:pPr>
  </w:style>
  <w:style w:type="paragraph" w:styleId="17">
    <w:name w:val="toc 5"/>
    <w:basedOn w:val="1"/>
    <w:next w:val="1"/>
    <w:unhideWhenUsed/>
    <w:qFormat/>
    <w:uiPriority w:val="39"/>
    <w:pPr>
      <w:spacing w:after="57"/>
      <w:ind w:left="1134" w:right="0" w:firstLine="0"/>
    </w:pPr>
  </w:style>
  <w:style w:type="paragraph" w:styleId="18">
    <w:name w:val="toc 3"/>
    <w:basedOn w:val="1"/>
    <w:next w:val="1"/>
    <w:unhideWhenUsed/>
    <w:qFormat/>
    <w:uiPriority w:val="39"/>
    <w:pPr>
      <w:spacing w:after="57"/>
      <w:ind w:left="567" w:right="0" w:firstLine="0"/>
    </w:pPr>
  </w:style>
  <w:style w:type="paragraph" w:styleId="19">
    <w:name w:val="toc 8"/>
    <w:basedOn w:val="1"/>
    <w:next w:val="1"/>
    <w:unhideWhenUsed/>
    <w:qFormat/>
    <w:uiPriority w:val="39"/>
    <w:pPr>
      <w:spacing w:after="57"/>
      <w:ind w:left="1984" w:right="0" w:firstLine="0"/>
    </w:pPr>
  </w:style>
  <w:style w:type="paragraph" w:styleId="20">
    <w:name w:val="endnote text"/>
    <w:basedOn w:val="1"/>
    <w:semiHidden/>
    <w:unhideWhenUsed/>
    <w:qFormat/>
    <w:uiPriority w:val="99"/>
    <w:pPr>
      <w:spacing w:after="0" w:line="240" w:lineRule="auto"/>
    </w:pPr>
    <w:rPr>
      <w:sz w:val="20"/>
    </w:rPr>
  </w:style>
  <w:style w:type="paragraph" w:styleId="21">
    <w:name w:val="footer"/>
    <w:basedOn w:val="1"/>
    <w:unhideWhenUsed/>
    <w:qFormat/>
    <w:uiPriority w:val="99"/>
    <w:pPr>
      <w:tabs>
        <w:tab w:val="center" w:pos="7143"/>
        <w:tab w:val="right" w:pos="14287"/>
      </w:tabs>
      <w:spacing w:after="0" w:line="240" w:lineRule="auto"/>
    </w:pPr>
  </w:style>
  <w:style w:type="paragraph" w:styleId="22">
    <w:name w:val="header"/>
    <w:basedOn w:val="1"/>
    <w:unhideWhenUsed/>
    <w:qFormat/>
    <w:uiPriority w:val="99"/>
    <w:pPr>
      <w:tabs>
        <w:tab w:val="center" w:pos="7143"/>
        <w:tab w:val="right" w:pos="14287"/>
      </w:tabs>
      <w:spacing w:after="0" w:line="240" w:lineRule="auto"/>
    </w:pPr>
  </w:style>
  <w:style w:type="paragraph" w:styleId="23">
    <w:name w:val="toc 1"/>
    <w:basedOn w:val="1"/>
    <w:next w:val="1"/>
    <w:unhideWhenUsed/>
    <w:qFormat/>
    <w:uiPriority w:val="39"/>
    <w:pPr>
      <w:spacing w:after="57"/>
      <w:ind w:left="0" w:right="0" w:firstLine="0"/>
    </w:pPr>
  </w:style>
  <w:style w:type="paragraph" w:styleId="24">
    <w:name w:val="toc 4"/>
    <w:basedOn w:val="1"/>
    <w:next w:val="1"/>
    <w:unhideWhenUsed/>
    <w:qFormat/>
    <w:uiPriority w:val="39"/>
    <w:pPr>
      <w:spacing w:after="57"/>
      <w:ind w:left="850" w:right="0" w:firstLine="0"/>
    </w:pPr>
  </w:style>
  <w:style w:type="paragraph" w:styleId="25">
    <w:name w:val="Subtitle"/>
    <w:basedOn w:val="1"/>
    <w:next w:val="1"/>
    <w:qFormat/>
    <w:uiPriority w:val="11"/>
    <w:pPr>
      <w:spacing w:before="200" w:after="200"/>
    </w:pPr>
    <w:rPr>
      <w:sz w:val="24"/>
      <w:szCs w:val="24"/>
    </w:rPr>
  </w:style>
  <w:style w:type="paragraph" w:styleId="26">
    <w:name w:val="footnote text"/>
    <w:basedOn w:val="1"/>
    <w:next w:val="14"/>
    <w:semiHidden/>
    <w:unhideWhenUsed/>
    <w:qFormat/>
    <w:uiPriority w:val="99"/>
    <w:pPr>
      <w:spacing w:after="40" w:line="240" w:lineRule="auto"/>
    </w:pPr>
    <w:rPr>
      <w:sz w:val="18"/>
    </w:rPr>
  </w:style>
  <w:style w:type="paragraph" w:styleId="27">
    <w:name w:val="toc 6"/>
    <w:basedOn w:val="1"/>
    <w:next w:val="1"/>
    <w:unhideWhenUsed/>
    <w:qFormat/>
    <w:uiPriority w:val="39"/>
    <w:pPr>
      <w:spacing w:after="57"/>
      <w:ind w:left="1417" w:right="0" w:firstLine="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57"/>
      <w:ind w:left="283" w:right="0" w:firstLine="0"/>
    </w:pPr>
  </w:style>
  <w:style w:type="paragraph" w:styleId="30">
    <w:name w:val="toc 9"/>
    <w:basedOn w:val="1"/>
    <w:next w:val="1"/>
    <w:unhideWhenUsed/>
    <w:qFormat/>
    <w:uiPriority w:val="39"/>
    <w:pPr>
      <w:spacing w:after="57"/>
      <w:ind w:left="2268" w:right="0" w:firstLine="0"/>
    </w:pPr>
  </w:style>
  <w:style w:type="paragraph" w:styleId="31">
    <w:name w:val="Normal (Web)"/>
    <w:basedOn w:val="1"/>
    <w:qFormat/>
    <w:uiPriority w:val="0"/>
    <w:pPr>
      <w:widowControl/>
      <w:spacing w:before="100" w:beforeAutospacing="1" w:after="100" w:afterAutospacing="1"/>
      <w:jc w:val="left"/>
    </w:pPr>
    <w:rPr>
      <w:rFonts w:ascii="宋体" w:hAnsi="宋体" w:cs="宋体"/>
      <w:sz w:val="24"/>
    </w:rPr>
  </w:style>
  <w:style w:type="paragraph" w:styleId="32">
    <w:name w:val="Title"/>
    <w:basedOn w:val="1"/>
    <w:next w:val="1"/>
    <w:qFormat/>
    <w:uiPriority w:val="10"/>
    <w:pPr>
      <w:spacing w:before="300" w:after="200"/>
      <w:contextualSpacing/>
    </w:pPr>
    <w:rPr>
      <w:sz w:val="48"/>
      <w:szCs w:val="48"/>
    </w:rPr>
  </w:style>
  <w:style w:type="paragraph" w:styleId="33">
    <w:name w:val="Body Text First Indent 2"/>
    <w:basedOn w:val="16"/>
    <w:unhideWhenUsed/>
    <w:qFormat/>
    <w:uiPriority w:val="99"/>
    <w:pPr>
      <w:ind w:firstLine="420"/>
    </w:pPr>
  </w:style>
  <w:style w:type="table" w:styleId="35">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qFormat/>
    <w:uiPriority w:val="22"/>
    <w:rPr>
      <w:b/>
    </w:rPr>
  </w:style>
  <w:style w:type="character" w:styleId="38">
    <w:name w:val="endnote reference"/>
    <w:semiHidden/>
    <w:unhideWhenUsed/>
    <w:qFormat/>
    <w:uiPriority w:val="99"/>
    <w:rPr>
      <w:vertAlign w:val="superscript"/>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footnote reference"/>
    <w:unhideWhenUsed/>
    <w:qFormat/>
    <w:uiPriority w:val="99"/>
    <w:rPr>
      <w:vertAlign w:val="superscript"/>
    </w:rPr>
  </w:style>
  <w:style w:type="paragraph" w:customStyle="1" w:styleId="41">
    <w:name w:val="标题 111"/>
    <w:next w:val="1"/>
    <w:link w:val="64"/>
    <w:qFormat/>
    <w:uiPriority w:val="0"/>
    <w:pPr>
      <w:keepNext/>
      <w:keepLines/>
      <w:spacing w:before="480" w:after="200"/>
      <w:outlineLvl w:val="0"/>
    </w:pPr>
    <w:rPr>
      <w:rFonts w:hint="default" w:ascii="Arial" w:hAnsi="Arial" w:eastAsia="Arial" w:cs="Arial"/>
      <w:sz w:val="40"/>
      <w:szCs w:val="40"/>
    </w:rPr>
  </w:style>
  <w:style w:type="paragraph" w:customStyle="1" w:styleId="42">
    <w:name w:val="标题 211"/>
    <w:basedOn w:val="43"/>
    <w:next w:val="43"/>
    <w:qFormat/>
    <w:uiPriority w:val="0"/>
    <w:pPr>
      <w:keepNext/>
      <w:keepLines/>
      <w:spacing w:before="260" w:after="260" w:line="416" w:lineRule="auto"/>
      <w:jc w:val="left"/>
      <w:outlineLvl w:val="1"/>
    </w:pPr>
    <w:rPr>
      <w:rFonts w:ascii="Calibri Light" w:hAnsi="Calibri Light"/>
      <w:b/>
      <w:bCs/>
      <w:sz w:val="24"/>
      <w:szCs w:val="32"/>
    </w:rPr>
  </w:style>
  <w:style w:type="paragraph" w:customStyle="1" w:styleId="43">
    <w:name w:val="正文12"/>
    <w:next w:val="1"/>
    <w:link w:val="65"/>
    <w:qFormat/>
    <w:uiPriority w:val="0"/>
    <w:pPr>
      <w:widowControl w:val="0"/>
      <w:jc w:val="both"/>
    </w:pPr>
    <w:rPr>
      <w:rFonts w:hint="default" w:ascii="Times New Roman" w:hAnsi="Times New Roman" w:eastAsia="宋体" w:cs="Times New Roman"/>
      <w:sz w:val="21"/>
      <w:szCs w:val="24"/>
    </w:rPr>
  </w:style>
  <w:style w:type="paragraph" w:customStyle="1" w:styleId="44">
    <w:name w:val="正文首行缩进 21"/>
    <w:basedOn w:val="45"/>
    <w:qFormat/>
    <w:uiPriority w:val="0"/>
    <w:pPr>
      <w:ind w:firstLine="420"/>
    </w:pPr>
  </w:style>
  <w:style w:type="paragraph" w:customStyle="1" w:styleId="45">
    <w:name w:val="正文文本缩进1"/>
    <w:basedOn w:val="46"/>
    <w:next w:val="53"/>
    <w:qFormat/>
    <w:uiPriority w:val="0"/>
    <w:pPr>
      <w:spacing w:after="120"/>
      <w:ind w:left="420"/>
    </w:pPr>
    <w:rPr>
      <w:rFonts w:ascii="Calibri" w:hAnsi="Calibri"/>
    </w:rPr>
  </w:style>
  <w:style w:type="paragraph" w:customStyle="1" w:styleId="46">
    <w:name w:val="正文11"/>
    <w:next w:val="47"/>
    <w:link w:val="302"/>
    <w:qFormat/>
    <w:uiPriority w:val="0"/>
    <w:pPr>
      <w:widowControl w:val="0"/>
      <w:jc w:val="both"/>
    </w:pPr>
    <w:rPr>
      <w:rFonts w:hint="default" w:ascii="Times New Roman" w:hAnsi="Times New Roman" w:eastAsia="宋体" w:cs="Times New Roman"/>
      <w:sz w:val="21"/>
      <w:szCs w:val="24"/>
    </w:rPr>
  </w:style>
  <w:style w:type="paragraph" w:customStyle="1" w:styleId="47">
    <w:name w:val="文本块1"/>
    <w:basedOn w:val="48"/>
    <w:next w:val="52"/>
    <w:qFormat/>
    <w:uiPriority w:val="0"/>
    <w:pPr>
      <w:spacing w:after="120"/>
      <w:ind w:left="1440" w:right="1440"/>
    </w:pPr>
  </w:style>
  <w:style w:type="paragraph" w:customStyle="1" w:styleId="48">
    <w:name w:val="正文1"/>
    <w:basedOn w:val="49"/>
    <w:next w:val="50"/>
    <w:link w:val="304"/>
    <w:qFormat/>
    <w:uiPriority w:val="0"/>
    <w:pPr>
      <w:widowControl w:val="0"/>
      <w:jc w:val="both"/>
    </w:pPr>
    <w:rPr>
      <w:rFonts w:hint="default" w:ascii="Times New Roman" w:hAnsi="Times New Roman" w:eastAsia="宋体" w:cs="Times New Roman"/>
      <w:sz w:val="21"/>
      <w:szCs w:val="24"/>
    </w:rPr>
  </w:style>
  <w:style w:type="paragraph" w:customStyle="1" w:styleId="49">
    <w:name w:val="正文111"/>
    <w:next w:val="47"/>
    <w:qFormat/>
    <w:uiPriority w:val="0"/>
    <w:pPr>
      <w:widowControl w:val="0"/>
      <w:jc w:val="both"/>
    </w:pPr>
    <w:rPr>
      <w:rFonts w:hint="default" w:ascii="Times New Roman" w:hAnsi="Times New Roman" w:eastAsia="宋体" w:cs="Times New Roman"/>
      <w:sz w:val="21"/>
      <w:szCs w:val="24"/>
    </w:rPr>
  </w:style>
  <w:style w:type="paragraph" w:customStyle="1" w:styleId="50">
    <w:name w:val="脚注文本1"/>
    <w:basedOn w:val="48"/>
    <w:next w:val="51"/>
    <w:qFormat/>
    <w:uiPriority w:val="0"/>
    <w:pPr>
      <w:jc w:val="left"/>
    </w:pPr>
    <w:rPr>
      <w:rFonts w:ascii="宋体" w:eastAsia="Times New Roman"/>
      <w:sz w:val="18"/>
      <w:szCs w:val="18"/>
    </w:rPr>
  </w:style>
  <w:style w:type="paragraph" w:customStyle="1" w:styleId="51">
    <w:name w:val="索引 51"/>
    <w:basedOn w:val="48"/>
    <w:next w:val="48"/>
    <w:qFormat/>
    <w:uiPriority w:val="0"/>
    <w:pPr>
      <w:ind w:left="798"/>
      <w:jc w:val="left"/>
    </w:pPr>
    <w:rPr>
      <w:rFonts w:ascii="Calibri" w:hAnsi="Calibri"/>
    </w:rPr>
  </w:style>
  <w:style w:type="paragraph" w:customStyle="1" w:styleId="52">
    <w:name w:val="标题 41"/>
    <w:basedOn w:val="43"/>
    <w:next w:val="46"/>
    <w:link w:val="301"/>
    <w:qFormat/>
    <w:uiPriority w:val="0"/>
    <w:pPr>
      <w:keepNext/>
      <w:keepLines/>
      <w:spacing w:before="280" w:after="290" w:line="376" w:lineRule="auto"/>
      <w:outlineLvl w:val="3"/>
    </w:pPr>
    <w:rPr>
      <w:rFonts w:ascii="Calibri Light" w:hAnsi="Calibri Light"/>
      <w:b/>
      <w:bCs/>
      <w:sz w:val="28"/>
      <w:szCs w:val="28"/>
    </w:rPr>
  </w:style>
  <w:style w:type="paragraph" w:customStyle="1" w:styleId="53">
    <w:name w:val="寄信人地址1"/>
    <w:basedOn w:val="43"/>
    <w:qFormat/>
    <w:uiPriority w:val="0"/>
    <w:rPr>
      <w:rFonts w:ascii="Arial" w:hAnsi="Arial"/>
    </w:rPr>
  </w:style>
  <w:style w:type="paragraph" w:customStyle="1" w:styleId="54">
    <w:name w:val="正文文本 21"/>
    <w:basedOn w:val="1"/>
    <w:unhideWhenUsed/>
    <w:qFormat/>
    <w:uiPriority w:val="0"/>
    <w:pPr>
      <w:spacing w:after="120" w:line="480" w:lineRule="auto"/>
      <w:jc w:val="both"/>
    </w:pPr>
    <w:rPr>
      <w:rFonts w:ascii="Calibri" w:hAnsi="Calibri"/>
      <w:sz w:val="21"/>
    </w:rPr>
  </w:style>
  <w:style w:type="paragraph" w:customStyle="1" w:styleId="55">
    <w:name w:val="标题 311"/>
    <w:next w:val="1"/>
    <w:link w:val="66"/>
    <w:unhideWhenUsed/>
    <w:qFormat/>
    <w:uiPriority w:val="9"/>
    <w:pPr>
      <w:keepNext/>
      <w:keepLines/>
      <w:spacing w:before="320" w:after="200"/>
      <w:outlineLvl w:val="2"/>
    </w:pPr>
    <w:rPr>
      <w:rFonts w:hint="default" w:ascii="Arial" w:hAnsi="Arial" w:eastAsia="Arial" w:cs="Arial"/>
      <w:sz w:val="30"/>
      <w:szCs w:val="30"/>
    </w:rPr>
  </w:style>
  <w:style w:type="paragraph" w:customStyle="1" w:styleId="56">
    <w:name w:val="标题 411"/>
    <w:next w:val="1"/>
    <w:link w:val="67"/>
    <w:unhideWhenUsed/>
    <w:qFormat/>
    <w:uiPriority w:val="9"/>
    <w:pPr>
      <w:keepNext/>
      <w:keepLines/>
      <w:spacing w:before="320" w:after="200"/>
      <w:outlineLvl w:val="3"/>
    </w:pPr>
    <w:rPr>
      <w:rFonts w:hint="default" w:ascii="Arial" w:hAnsi="Arial" w:eastAsia="Arial" w:cs="Arial"/>
      <w:b/>
      <w:bCs/>
      <w:sz w:val="26"/>
      <w:szCs w:val="26"/>
    </w:rPr>
  </w:style>
  <w:style w:type="paragraph" w:customStyle="1" w:styleId="57">
    <w:name w:val="标题 51"/>
    <w:next w:val="1"/>
    <w:link w:val="68"/>
    <w:unhideWhenUsed/>
    <w:qFormat/>
    <w:uiPriority w:val="9"/>
    <w:pPr>
      <w:keepNext/>
      <w:keepLines/>
      <w:spacing w:before="320" w:after="200"/>
      <w:outlineLvl w:val="4"/>
    </w:pPr>
    <w:rPr>
      <w:rFonts w:hint="default" w:ascii="Arial" w:hAnsi="Arial" w:eastAsia="Arial" w:cs="Arial"/>
      <w:b/>
      <w:bCs/>
      <w:sz w:val="24"/>
      <w:szCs w:val="24"/>
    </w:rPr>
  </w:style>
  <w:style w:type="paragraph" w:customStyle="1" w:styleId="58">
    <w:name w:val="标题 61"/>
    <w:next w:val="1"/>
    <w:link w:val="69"/>
    <w:unhideWhenUsed/>
    <w:qFormat/>
    <w:uiPriority w:val="9"/>
    <w:pPr>
      <w:keepNext/>
      <w:keepLines/>
      <w:spacing w:before="320" w:after="200"/>
      <w:outlineLvl w:val="5"/>
    </w:pPr>
    <w:rPr>
      <w:rFonts w:hint="default" w:ascii="Arial" w:hAnsi="Arial" w:eastAsia="Arial" w:cs="Arial"/>
      <w:b/>
      <w:bCs/>
      <w:sz w:val="22"/>
      <w:szCs w:val="22"/>
    </w:rPr>
  </w:style>
  <w:style w:type="paragraph" w:customStyle="1" w:styleId="59">
    <w:name w:val="标题 71"/>
    <w:next w:val="1"/>
    <w:link w:val="70"/>
    <w:unhideWhenUsed/>
    <w:qFormat/>
    <w:uiPriority w:val="9"/>
    <w:pPr>
      <w:keepNext/>
      <w:keepLines/>
      <w:spacing w:before="320" w:after="200"/>
      <w:outlineLvl w:val="6"/>
    </w:pPr>
    <w:rPr>
      <w:rFonts w:hint="default" w:ascii="Arial" w:hAnsi="Arial" w:eastAsia="Arial" w:cs="Arial"/>
      <w:b/>
      <w:bCs/>
      <w:i/>
      <w:iCs/>
      <w:sz w:val="22"/>
      <w:szCs w:val="22"/>
    </w:rPr>
  </w:style>
  <w:style w:type="paragraph" w:customStyle="1" w:styleId="60">
    <w:name w:val="标题 81"/>
    <w:next w:val="1"/>
    <w:link w:val="71"/>
    <w:unhideWhenUsed/>
    <w:qFormat/>
    <w:uiPriority w:val="9"/>
    <w:pPr>
      <w:keepNext/>
      <w:keepLines/>
      <w:spacing w:before="320" w:after="200"/>
      <w:outlineLvl w:val="7"/>
    </w:pPr>
    <w:rPr>
      <w:rFonts w:hint="default" w:ascii="Arial" w:hAnsi="Arial" w:eastAsia="Arial" w:cs="Arial"/>
      <w:i/>
      <w:iCs/>
      <w:sz w:val="22"/>
      <w:szCs w:val="22"/>
    </w:rPr>
  </w:style>
  <w:style w:type="paragraph" w:customStyle="1" w:styleId="61">
    <w:name w:val="标题 91"/>
    <w:next w:val="1"/>
    <w:link w:val="72"/>
    <w:unhideWhenUsed/>
    <w:qFormat/>
    <w:uiPriority w:val="9"/>
    <w:pPr>
      <w:keepNext/>
      <w:keepLines/>
      <w:spacing w:before="320" w:after="200"/>
      <w:outlineLvl w:val="8"/>
    </w:pPr>
    <w:rPr>
      <w:rFonts w:hint="default" w:ascii="Arial" w:hAnsi="Arial" w:eastAsia="Arial" w:cs="Arial"/>
      <w:i/>
      <w:iCs/>
      <w:sz w:val="21"/>
      <w:szCs w:val="21"/>
    </w:rPr>
  </w:style>
  <w:style w:type="character" w:customStyle="1" w:styleId="62">
    <w:name w:val="默认段落字体11"/>
    <w:link w:val="1"/>
    <w:unhideWhenUsed/>
    <w:qFormat/>
    <w:uiPriority w:val="1"/>
  </w:style>
  <w:style w:type="table" w:customStyle="1" w:styleId="63">
    <w:name w:val="普通表格11"/>
    <w:unhideWhenUsed/>
    <w:qFormat/>
    <w:uiPriority w:val="99"/>
  </w:style>
  <w:style w:type="character" w:customStyle="1" w:styleId="64">
    <w:name w:val="标题 1 Char"/>
    <w:link w:val="41"/>
    <w:qFormat/>
    <w:uiPriority w:val="0"/>
    <w:rPr>
      <w:rFonts w:ascii="Arial" w:hAnsi="Arial" w:eastAsia="Arial" w:cs="Arial"/>
      <w:sz w:val="40"/>
      <w:szCs w:val="40"/>
    </w:rPr>
  </w:style>
  <w:style w:type="character" w:customStyle="1" w:styleId="65">
    <w:name w:val="qowt-font2"/>
    <w:link w:val="43"/>
    <w:qFormat/>
    <w:uiPriority w:val="0"/>
  </w:style>
  <w:style w:type="character" w:customStyle="1" w:styleId="66">
    <w:name w:val="标题 3 Char"/>
    <w:link w:val="55"/>
    <w:qFormat/>
    <w:uiPriority w:val="9"/>
    <w:rPr>
      <w:rFonts w:ascii="Arial" w:hAnsi="Arial" w:eastAsia="Arial" w:cs="Arial"/>
      <w:sz w:val="30"/>
      <w:szCs w:val="30"/>
    </w:rPr>
  </w:style>
  <w:style w:type="character" w:customStyle="1" w:styleId="67">
    <w:name w:val="标题 4 Char"/>
    <w:link w:val="56"/>
    <w:qFormat/>
    <w:uiPriority w:val="9"/>
    <w:rPr>
      <w:rFonts w:ascii="Arial" w:hAnsi="Arial" w:eastAsia="Arial" w:cs="Arial"/>
      <w:b/>
      <w:bCs/>
      <w:sz w:val="26"/>
      <w:szCs w:val="26"/>
    </w:rPr>
  </w:style>
  <w:style w:type="character" w:customStyle="1" w:styleId="68">
    <w:name w:val="标题 5 Char"/>
    <w:link w:val="57"/>
    <w:qFormat/>
    <w:uiPriority w:val="9"/>
    <w:rPr>
      <w:rFonts w:ascii="Arial" w:hAnsi="Arial" w:eastAsia="Arial" w:cs="Arial"/>
      <w:b/>
      <w:bCs/>
      <w:sz w:val="24"/>
      <w:szCs w:val="24"/>
    </w:rPr>
  </w:style>
  <w:style w:type="character" w:customStyle="1" w:styleId="69">
    <w:name w:val="标题 6 Char"/>
    <w:link w:val="58"/>
    <w:qFormat/>
    <w:uiPriority w:val="9"/>
    <w:rPr>
      <w:rFonts w:ascii="Arial" w:hAnsi="Arial" w:eastAsia="Arial" w:cs="Arial"/>
      <w:b/>
      <w:bCs/>
      <w:sz w:val="22"/>
      <w:szCs w:val="22"/>
    </w:rPr>
  </w:style>
  <w:style w:type="character" w:customStyle="1" w:styleId="70">
    <w:name w:val="标题 7 Char"/>
    <w:link w:val="59"/>
    <w:qFormat/>
    <w:uiPriority w:val="9"/>
    <w:rPr>
      <w:rFonts w:ascii="Arial" w:hAnsi="Arial" w:eastAsia="Arial" w:cs="Arial"/>
      <w:b/>
      <w:bCs/>
      <w:i/>
      <w:iCs/>
      <w:sz w:val="22"/>
      <w:szCs w:val="22"/>
    </w:rPr>
  </w:style>
  <w:style w:type="character" w:customStyle="1" w:styleId="71">
    <w:name w:val="标题 8 Char"/>
    <w:link w:val="60"/>
    <w:qFormat/>
    <w:uiPriority w:val="9"/>
    <w:rPr>
      <w:rFonts w:ascii="Arial" w:hAnsi="Arial" w:eastAsia="Arial" w:cs="Arial"/>
      <w:i/>
      <w:iCs/>
      <w:sz w:val="22"/>
      <w:szCs w:val="22"/>
    </w:rPr>
  </w:style>
  <w:style w:type="character" w:customStyle="1" w:styleId="72">
    <w:name w:val="标题 9 Char"/>
    <w:link w:val="61"/>
    <w:qFormat/>
    <w:uiPriority w:val="9"/>
    <w:rPr>
      <w:rFonts w:ascii="Arial" w:hAnsi="Arial" w:eastAsia="Arial" w:cs="Arial"/>
      <w:i/>
      <w:iCs/>
      <w:sz w:val="21"/>
      <w:szCs w:val="21"/>
    </w:rPr>
  </w:style>
  <w:style w:type="paragraph" w:customStyle="1" w:styleId="73">
    <w:name w:val="目录 71"/>
    <w:next w:val="1"/>
    <w:unhideWhenUsed/>
    <w:qFormat/>
    <w:uiPriority w:val="39"/>
    <w:pPr>
      <w:spacing w:after="57"/>
      <w:ind w:left="1701"/>
    </w:pPr>
    <w:rPr>
      <w:rFonts w:hint="default" w:ascii="Times New Roman" w:hAnsi="Times New Roman" w:eastAsia="宋体" w:cs="Times New Roman"/>
    </w:rPr>
  </w:style>
  <w:style w:type="paragraph" w:customStyle="1" w:styleId="74">
    <w:name w:val="正文缩进11"/>
    <w:basedOn w:val="1"/>
    <w:qFormat/>
    <w:uiPriority w:val="0"/>
    <w:pPr>
      <w:widowControl w:val="0"/>
      <w:ind w:firstLine="420"/>
      <w:jc w:val="both"/>
    </w:pPr>
    <w:rPr>
      <w:sz w:val="21"/>
      <w:szCs w:val="24"/>
    </w:rPr>
  </w:style>
  <w:style w:type="paragraph" w:customStyle="1" w:styleId="75">
    <w:name w:val="题注1"/>
    <w:next w:val="1"/>
    <w:unhideWhenUsed/>
    <w:qFormat/>
    <w:uiPriority w:val="35"/>
    <w:pPr>
      <w:spacing w:line="276" w:lineRule="auto"/>
    </w:pPr>
    <w:rPr>
      <w:rFonts w:hint="default" w:ascii="Times New Roman" w:hAnsi="Times New Roman" w:eastAsia="宋体" w:cs="Times New Roman"/>
      <w:b/>
      <w:bCs/>
      <w:color w:val="4F81BD"/>
      <w:sz w:val="18"/>
      <w:szCs w:val="18"/>
    </w:rPr>
  </w:style>
  <w:style w:type="paragraph" w:customStyle="1" w:styleId="76">
    <w:name w:val="索引 5111"/>
    <w:basedOn w:val="1"/>
    <w:next w:val="1"/>
    <w:qFormat/>
    <w:uiPriority w:val="0"/>
    <w:pPr>
      <w:ind w:left="798"/>
    </w:pPr>
    <w:rPr>
      <w:rFonts w:ascii="Calibri" w:hAnsi="Calibri"/>
    </w:rPr>
  </w:style>
  <w:style w:type="paragraph" w:customStyle="1" w:styleId="77">
    <w:name w:val="文档结构图1"/>
    <w:basedOn w:val="1"/>
    <w:link w:val="78"/>
    <w:qFormat/>
    <w:uiPriority w:val="0"/>
    <w:pPr>
      <w:widowControl w:val="0"/>
      <w:jc w:val="both"/>
    </w:pPr>
    <w:rPr>
      <w:rFonts w:ascii="宋体" w:hAnsi="Calibri"/>
      <w:sz w:val="18"/>
      <w:szCs w:val="18"/>
    </w:rPr>
  </w:style>
  <w:style w:type="character" w:customStyle="1" w:styleId="78">
    <w:name w:val="文档结构图 Char"/>
    <w:basedOn w:val="62"/>
    <w:link w:val="77"/>
    <w:qFormat/>
    <w:uiPriority w:val="0"/>
    <w:rPr>
      <w:rFonts w:ascii="宋体" w:hAnsi="Calibri"/>
      <w:sz w:val="18"/>
      <w:szCs w:val="18"/>
    </w:rPr>
  </w:style>
  <w:style w:type="paragraph" w:customStyle="1" w:styleId="79">
    <w:name w:val="批注文字11"/>
    <w:basedOn w:val="1"/>
    <w:qFormat/>
    <w:uiPriority w:val="0"/>
    <w:pPr>
      <w:jc w:val="left"/>
    </w:pPr>
  </w:style>
  <w:style w:type="paragraph" w:customStyle="1" w:styleId="80">
    <w:name w:val="正文文本111"/>
    <w:basedOn w:val="1"/>
    <w:next w:val="81"/>
    <w:qFormat/>
    <w:uiPriority w:val="0"/>
    <w:pPr>
      <w:spacing w:after="120"/>
    </w:pPr>
    <w:rPr>
      <w:rFonts w:ascii="Calibri" w:hAnsi="Calibri"/>
    </w:rPr>
  </w:style>
  <w:style w:type="paragraph" w:customStyle="1" w:styleId="81">
    <w:name w:val="一级条标题"/>
    <w:basedOn w:val="82"/>
    <w:next w:val="83"/>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82">
    <w:name w:val="章标题"/>
    <w:basedOn w:val="43"/>
    <w:next w:val="1"/>
    <w:qFormat/>
    <w:uiPriority w:val="0"/>
    <w:pPr>
      <w:widowControl/>
      <w:spacing w:before="158" w:after="153" w:line="1292" w:lineRule="atLeast"/>
      <w:jc w:val="center"/>
    </w:pPr>
    <w:rPr>
      <w:rFonts w:ascii="Arial" w:hAnsi="Calibri" w:eastAsia="黑体"/>
      <w:sz w:val="31"/>
      <w:szCs w:val="22"/>
      <w:lang w:eastAsia="en-US" w:bidi="en-US"/>
    </w:rPr>
  </w:style>
  <w:style w:type="paragraph" w:customStyle="1" w:styleId="83">
    <w:name w:val="段"/>
    <w:basedOn w:val="43"/>
    <w:next w:val="1"/>
    <w:qFormat/>
    <w:uiPriority w:val="0"/>
    <w:pPr>
      <w:widowControl/>
      <w:ind w:firstLine="200"/>
    </w:pPr>
    <w:rPr>
      <w:rFonts w:ascii="宋体"/>
    </w:rPr>
  </w:style>
  <w:style w:type="paragraph" w:customStyle="1" w:styleId="84">
    <w:name w:val="正文文本缩进2"/>
    <w:basedOn w:val="1"/>
    <w:qFormat/>
    <w:uiPriority w:val="0"/>
    <w:pPr>
      <w:spacing w:after="120"/>
      <w:ind w:left="420"/>
    </w:pPr>
  </w:style>
  <w:style w:type="paragraph" w:customStyle="1" w:styleId="85">
    <w:name w:val="文本块111"/>
    <w:basedOn w:val="1"/>
    <w:next w:val="1"/>
    <w:qFormat/>
    <w:uiPriority w:val="0"/>
    <w:pPr>
      <w:ind w:left="256" w:right="6" w:firstLine="624"/>
    </w:pPr>
    <w:rPr>
      <w:rFonts w:eastAsia="仿宋_GB2312"/>
      <w:sz w:val="28"/>
    </w:rPr>
  </w:style>
  <w:style w:type="paragraph" w:customStyle="1" w:styleId="86">
    <w:name w:val="目录 51"/>
    <w:next w:val="1"/>
    <w:unhideWhenUsed/>
    <w:qFormat/>
    <w:uiPriority w:val="39"/>
    <w:pPr>
      <w:spacing w:after="57"/>
      <w:ind w:left="1134"/>
    </w:pPr>
    <w:rPr>
      <w:rFonts w:hint="default" w:ascii="Times New Roman" w:hAnsi="Times New Roman" w:eastAsia="宋体" w:cs="Times New Roman"/>
    </w:rPr>
  </w:style>
  <w:style w:type="paragraph" w:customStyle="1" w:styleId="87">
    <w:name w:val="目录 31"/>
    <w:next w:val="1"/>
    <w:unhideWhenUsed/>
    <w:qFormat/>
    <w:uiPriority w:val="39"/>
    <w:pPr>
      <w:spacing w:after="57"/>
      <w:ind w:left="567"/>
    </w:pPr>
    <w:rPr>
      <w:rFonts w:hint="default" w:ascii="Times New Roman" w:hAnsi="Times New Roman" w:eastAsia="宋体" w:cs="Times New Roman"/>
    </w:rPr>
  </w:style>
  <w:style w:type="paragraph" w:customStyle="1" w:styleId="88">
    <w:name w:val="目录 81"/>
    <w:next w:val="1"/>
    <w:unhideWhenUsed/>
    <w:qFormat/>
    <w:uiPriority w:val="39"/>
    <w:pPr>
      <w:spacing w:after="57"/>
      <w:ind w:left="1984"/>
    </w:pPr>
    <w:rPr>
      <w:rFonts w:hint="default" w:ascii="Times New Roman" w:hAnsi="Times New Roman" w:eastAsia="宋体" w:cs="Times New Roman"/>
    </w:rPr>
  </w:style>
  <w:style w:type="paragraph" w:customStyle="1" w:styleId="89">
    <w:name w:val="尾注文本1"/>
    <w:link w:val="90"/>
    <w:unhideWhenUsed/>
    <w:qFormat/>
    <w:uiPriority w:val="99"/>
    <w:rPr>
      <w:rFonts w:hint="default" w:ascii="Times New Roman" w:hAnsi="Times New Roman" w:eastAsia="宋体" w:cs="Times New Roman"/>
    </w:rPr>
  </w:style>
  <w:style w:type="character" w:customStyle="1" w:styleId="90">
    <w:name w:val="尾注文本 Char"/>
    <w:link w:val="89"/>
    <w:qFormat/>
    <w:uiPriority w:val="99"/>
    <w:rPr>
      <w:sz w:val="20"/>
    </w:rPr>
  </w:style>
  <w:style w:type="paragraph" w:customStyle="1" w:styleId="91">
    <w:name w:val="批注框文本11"/>
    <w:basedOn w:val="1"/>
    <w:link w:val="92"/>
    <w:unhideWhenUsed/>
    <w:qFormat/>
    <w:uiPriority w:val="99"/>
    <w:rPr>
      <w:sz w:val="18"/>
      <w:szCs w:val="18"/>
    </w:rPr>
  </w:style>
  <w:style w:type="character" w:customStyle="1" w:styleId="92">
    <w:name w:val="批注框文本 Char"/>
    <w:basedOn w:val="62"/>
    <w:link w:val="91"/>
    <w:semiHidden/>
    <w:qFormat/>
    <w:uiPriority w:val="99"/>
    <w:rPr>
      <w:sz w:val="18"/>
      <w:szCs w:val="18"/>
    </w:rPr>
  </w:style>
  <w:style w:type="paragraph" w:customStyle="1" w:styleId="93">
    <w:name w:val="页脚11"/>
    <w:link w:val="94"/>
    <w:unhideWhenUsed/>
    <w:qFormat/>
    <w:uiPriority w:val="99"/>
    <w:pPr>
      <w:tabs>
        <w:tab w:val="center" w:pos="7143"/>
        <w:tab w:val="right" w:pos="14287"/>
      </w:tabs>
    </w:pPr>
    <w:rPr>
      <w:rFonts w:ascii="Times New Roman" w:hAnsi="Times New Roman" w:eastAsia="宋体" w:cs="Times New Roman"/>
      <w:sz w:val="18"/>
    </w:rPr>
  </w:style>
  <w:style w:type="character" w:customStyle="1" w:styleId="94">
    <w:name w:val="页脚 Char"/>
    <w:link w:val="93"/>
    <w:qFormat/>
    <w:uiPriority w:val="99"/>
  </w:style>
  <w:style w:type="paragraph" w:customStyle="1" w:styleId="95">
    <w:name w:val="页眉11"/>
    <w:link w:val="96"/>
    <w:unhideWhenUsed/>
    <w:qFormat/>
    <w:uiPriority w:val="99"/>
    <w:pPr>
      <w:tabs>
        <w:tab w:val="center" w:pos="7143"/>
        <w:tab w:val="right" w:pos="14287"/>
      </w:tabs>
    </w:pPr>
    <w:rPr>
      <w:rFonts w:ascii="Times New Roman" w:hAnsi="Times New Roman" w:eastAsia="宋体" w:cs="Times New Roman"/>
      <w:sz w:val="18"/>
    </w:rPr>
  </w:style>
  <w:style w:type="character" w:customStyle="1" w:styleId="96">
    <w:name w:val="页眉 Char"/>
    <w:link w:val="95"/>
    <w:qFormat/>
    <w:uiPriority w:val="99"/>
  </w:style>
  <w:style w:type="paragraph" w:customStyle="1" w:styleId="97">
    <w:name w:val="目录 1121"/>
    <w:next w:val="1"/>
    <w:unhideWhenUsed/>
    <w:qFormat/>
    <w:uiPriority w:val="39"/>
    <w:pPr>
      <w:spacing w:after="57"/>
    </w:pPr>
    <w:rPr>
      <w:rFonts w:hint="default" w:ascii="Times New Roman" w:hAnsi="Times New Roman" w:eastAsia="宋体" w:cs="Times New Roman"/>
    </w:rPr>
  </w:style>
  <w:style w:type="paragraph" w:customStyle="1" w:styleId="98">
    <w:name w:val="目录 41"/>
    <w:next w:val="1"/>
    <w:unhideWhenUsed/>
    <w:qFormat/>
    <w:uiPriority w:val="39"/>
    <w:pPr>
      <w:spacing w:after="57"/>
      <w:ind w:left="850"/>
    </w:pPr>
    <w:rPr>
      <w:rFonts w:hint="default" w:ascii="Times New Roman" w:hAnsi="Times New Roman" w:eastAsia="宋体" w:cs="Times New Roman"/>
    </w:rPr>
  </w:style>
  <w:style w:type="paragraph" w:customStyle="1" w:styleId="99">
    <w:name w:val="副标题1"/>
    <w:link w:val="100"/>
    <w:qFormat/>
    <w:uiPriority w:val="11"/>
    <w:pPr>
      <w:spacing w:before="200" w:after="200"/>
    </w:pPr>
    <w:rPr>
      <w:rFonts w:hint="default" w:ascii="Times New Roman" w:hAnsi="Times New Roman" w:eastAsia="宋体" w:cs="Times New Roman"/>
      <w:sz w:val="24"/>
      <w:szCs w:val="24"/>
    </w:rPr>
  </w:style>
  <w:style w:type="character" w:customStyle="1" w:styleId="100">
    <w:name w:val="副标题 Char"/>
    <w:link w:val="99"/>
    <w:qFormat/>
    <w:uiPriority w:val="11"/>
    <w:rPr>
      <w:sz w:val="24"/>
      <w:szCs w:val="24"/>
    </w:rPr>
  </w:style>
  <w:style w:type="paragraph" w:customStyle="1" w:styleId="101">
    <w:name w:val="脚注文本111"/>
    <w:basedOn w:val="1"/>
    <w:next w:val="76"/>
    <w:link w:val="102"/>
    <w:unhideWhenUsed/>
    <w:qFormat/>
    <w:uiPriority w:val="99"/>
    <w:pPr>
      <w:spacing w:after="40"/>
    </w:pPr>
    <w:rPr>
      <w:sz w:val="18"/>
    </w:rPr>
  </w:style>
  <w:style w:type="character" w:customStyle="1" w:styleId="102">
    <w:name w:val="脚注文本 Char"/>
    <w:link w:val="101"/>
    <w:qFormat/>
    <w:uiPriority w:val="99"/>
    <w:rPr>
      <w:sz w:val="18"/>
    </w:rPr>
  </w:style>
  <w:style w:type="paragraph" w:customStyle="1" w:styleId="103">
    <w:name w:val="目录 61"/>
    <w:next w:val="1"/>
    <w:unhideWhenUsed/>
    <w:qFormat/>
    <w:uiPriority w:val="39"/>
    <w:pPr>
      <w:spacing w:after="57"/>
      <w:ind w:left="1417"/>
    </w:pPr>
    <w:rPr>
      <w:rFonts w:hint="default" w:ascii="Times New Roman" w:hAnsi="Times New Roman" w:eastAsia="宋体" w:cs="Times New Roman"/>
    </w:rPr>
  </w:style>
  <w:style w:type="paragraph" w:customStyle="1" w:styleId="104">
    <w:name w:val="图表目录1"/>
    <w:next w:val="1"/>
    <w:unhideWhenUsed/>
    <w:qFormat/>
    <w:uiPriority w:val="99"/>
    <w:rPr>
      <w:rFonts w:hint="default" w:ascii="Times New Roman" w:hAnsi="Times New Roman" w:eastAsia="宋体" w:cs="Times New Roman"/>
    </w:rPr>
  </w:style>
  <w:style w:type="paragraph" w:customStyle="1" w:styleId="105">
    <w:name w:val="目录 211"/>
    <w:next w:val="1"/>
    <w:unhideWhenUsed/>
    <w:qFormat/>
    <w:uiPriority w:val="39"/>
    <w:pPr>
      <w:spacing w:after="57"/>
      <w:ind w:left="283"/>
    </w:pPr>
    <w:rPr>
      <w:rFonts w:hint="default" w:ascii="Times New Roman" w:hAnsi="Times New Roman" w:eastAsia="宋体" w:cs="Times New Roman"/>
    </w:rPr>
  </w:style>
  <w:style w:type="paragraph" w:customStyle="1" w:styleId="106">
    <w:name w:val="目录 91"/>
    <w:next w:val="1"/>
    <w:unhideWhenUsed/>
    <w:qFormat/>
    <w:uiPriority w:val="39"/>
    <w:pPr>
      <w:spacing w:after="57"/>
      <w:ind w:left="2268"/>
    </w:pPr>
    <w:rPr>
      <w:rFonts w:hint="default" w:ascii="Times New Roman" w:hAnsi="Times New Roman" w:eastAsia="宋体" w:cs="Times New Roman"/>
    </w:rPr>
  </w:style>
  <w:style w:type="paragraph" w:customStyle="1" w:styleId="107">
    <w:name w:val="普通(网站)11"/>
    <w:basedOn w:val="1"/>
    <w:unhideWhenUsed/>
    <w:qFormat/>
    <w:uiPriority w:val="99"/>
    <w:pPr>
      <w:spacing w:before="100" w:beforeAutospacing="1" w:after="100" w:afterAutospacing="1"/>
      <w:ind w:left="0" w:right="0"/>
      <w:jc w:val="left"/>
    </w:pPr>
    <w:rPr>
      <w:sz w:val="24"/>
      <w:lang w:val="en-US" w:eastAsia="zh-CN" w:bidi="ar"/>
    </w:rPr>
  </w:style>
  <w:style w:type="paragraph" w:customStyle="1" w:styleId="108">
    <w:name w:val="标题11"/>
    <w:link w:val="109"/>
    <w:qFormat/>
    <w:uiPriority w:val="10"/>
    <w:pPr>
      <w:spacing w:before="300" w:after="200"/>
      <w:contextualSpacing/>
    </w:pPr>
    <w:rPr>
      <w:rFonts w:hint="default" w:ascii="Times New Roman" w:hAnsi="Times New Roman" w:eastAsia="宋体" w:cs="Times New Roman"/>
      <w:sz w:val="48"/>
      <w:szCs w:val="48"/>
    </w:rPr>
  </w:style>
  <w:style w:type="character" w:customStyle="1" w:styleId="109">
    <w:name w:val="标题 Char"/>
    <w:link w:val="108"/>
    <w:qFormat/>
    <w:uiPriority w:val="10"/>
    <w:rPr>
      <w:sz w:val="48"/>
      <w:szCs w:val="48"/>
    </w:rPr>
  </w:style>
  <w:style w:type="paragraph" w:customStyle="1" w:styleId="110">
    <w:name w:val="正文首行缩进 22"/>
    <w:basedOn w:val="84"/>
    <w:unhideWhenUsed/>
    <w:qFormat/>
    <w:uiPriority w:val="99"/>
    <w:pPr>
      <w:ind w:firstLine="420"/>
    </w:pPr>
  </w:style>
  <w:style w:type="table" w:customStyle="1" w:styleId="111">
    <w:name w:val="网格型11"/>
    <w:qFormat/>
    <w:uiPriority w:val="59"/>
  </w:style>
  <w:style w:type="character" w:customStyle="1" w:styleId="112">
    <w:name w:val="尾注引用1"/>
    <w:link w:val="1"/>
    <w:unhideWhenUsed/>
    <w:qFormat/>
    <w:uiPriority w:val="99"/>
    <w:rPr>
      <w:vertAlign w:val="superscript"/>
    </w:rPr>
  </w:style>
  <w:style w:type="character" w:customStyle="1" w:styleId="113">
    <w:name w:val="已访问的超链接1"/>
    <w:basedOn w:val="62"/>
    <w:link w:val="1"/>
    <w:unhideWhenUsed/>
    <w:qFormat/>
    <w:uiPriority w:val="99"/>
    <w:rPr>
      <w:color w:val="800080"/>
      <w:u w:val="none"/>
    </w:rPr>
  </w:style>
  <w:style w:type="character" w:customStyle="1" w:styleId="114">
    <w:name w:val="强调1"/>
    <w:basedOn w:val="62"/>
    <w:link w:val="1"/>
    <w:qFormat/>
    <w:uiPriority w:val="20"/>
    <w:rPr>
      <w:i/>
    </w:rPr>
  </w:style>
  <w:style w:type="character" w:customStyle="1" w:styleId="115">
    <w:name w:val="HTML 定义1"/>
    <w:basedOn w:val="62"/>
    <w:link w:val="1"/>
    <w:unhideWhenUsed/>
    <w:qFormat/>
    <w:uiPriority w:val="99"/>
  </w:style>
  <w:style w:type="character" w:customStyle="1" w:styleId="116">
    <w:name w:val="HTML 打字机1"/>
    <w:basedOn w:val="62"/>
    <w:link w:val="1"/>
    <w:unhideWhenUsed/>
    <w:qFormat/>
    <w:uiPriority w:val="99"/>
    <w:rPr>
      <w:rFonts w:ascii="monospace" w:hAnsi="monospace" w:eastAsia="monospace" w:cs="monospace"/>
      <w:sz w:val="20"/>
    </w:rPr>
  </w:style>
  <w:style w:type="character" w:customStyle="1" w:styleId="117">
    <w:name w:val="HTML 缩写1"/>
    <w:basedOn w:val="62"/>
    <w:link w:val="1"/>
    <w:unhideWhenUsed/>
    <w:qFormat/>
    <w:uiPriority w:val="99"/>
  </w:style>
  <w:style w:type="character" w:customStyle="1" w:styleId="118">
    <w:name w:val="HTML 变量1"/>
    <w:basedOn w:val="62"/>
    <w:link w:val="1"/>
    <w:unhideWhenUsed/>
    <w:qFormat/>
    <w:uiPriority w:val="99"/>
  </w:style>
  <w:style w:type="character" w:customStyle="1" w:styleId="119">
    <w:name w:val="超链接111"/>
    <w:link w:val="1"/>
    <w:unhideWhenUsed/>
    <w:qFormat/>
    <w:uiPriority w:val="99"/>
    <w:rPr>
      <w:color w:val="0000FF"/>
      <w:u w:val="single"/>
    </w:rPr>
  </w:style>
  <w:style w:type="character" w:customStyle="1" w:styleId="120">
    <w:name w:val="HTML 代码1"/>
    <w:basedOn w:val="62"/>
    <w:link w:val="1"/>
    <w:unhideWhenUsed/>
    <w:qFormat/>
    <w:uiPriority w:val="99"/>
    <w:rPr>
      <w:rFonts w:ascii="monospace" w:hAnsi="monospace" w:eastAsia="monospace" w:cs="monospace"/>
      <w:sz w:val="20"/>
    </w:rPr>
  </w:style>
  <w:style w:type="character" w:customStyle="1" w:styleId="121">
    <w:name w:val="HTML 引文1"/>
    <w:basedOn w:val="62"/>
    <w:link w:val="1"/>
    <w:unhideWhenUsed/>
    <w:qFormat/>
    <w:uiPriority w:val="99"/>
  </w:style>
  <w:style w:type="character" w:customStyle="1" w:styleId="122">
    <w:name w:val="脚注引用1"/>
    <w:link w:val="1"/>
    <w:unhideWhenUsed/>
    <w:qFormat/>
    <w:uiPriority w:val="99"/>
    <w:rPr>
      <w:vertAlign w:val="superscript"/>
    </w:rPr>
  </w:style>
  <w:style w:type="character" w:customStyle="1" w:styleId="123">
    <w:name w:val="HTML 键盘1"/>
    <w:basedOn w:val="62"/>
    <w:link w:val="1"/>
    <w:unhideWhenUsed/>
    <w:qFormat/>
    <w:uiPriority w:val="99"/>
    <w:rPr>
      <w:rFonts w:ascii="monospace" w:hAnsi="monospace" w:eastAsia="monospace" w:cs="monospace"/>
      <w:sz w:val="20"/>
    </w:rPr>
  </w:style>
  <w:style w:type="character" w:customStyle="1" w:styleId="124">
    <w:name w:val="HTML 样本1"/>
    <w:basedOn w:val="62"/>
    <w:link w:val="1"/>
    <w:unhideWhenUsed/>
    <w:qFormat/>
    <w:uiPriority w:val="99"/>
    <w:rPr>
      <w:rFonts w:ascii="monospace" w:hAnsi="monospace" w:eastAsia="monospace" w:cs="monospace"/>
    </w:rPr>
  </w:style>
  <w:style w:type="table" w:customStyle="1" w:styleId="125">
    <w:name w:val="Plain Table 1"/>
    <w:basedOn w:val="63"/>
    <w:qFormat/>
    <w:uiPriority w:val="59"/>
    <w:pPr>
      <w:spacing w:after="0" w:line="240" w:lineRule="auto"/>
    </w:pPr>
  </w:style>
  <w:style w:type="table" w:customStyle="1" w:styleId="126">
    <w:name w:val="Plain Table 2"/>
    <w:basedOn w:val="63"/>
    <w:qFormat/>
    <w:uiPriority w:val="59"/>
    <w:pPr>
      <w:spacing w:after="0" w:line="240" w:lineRule="auto"/>
    </w:pPr>
  </w:style>
  <w:style w:type="table" w:customStyle="1" w:styleId="127">
    <w:name w:val="Plain Table 3"/>
    <w:basedOn w:val="63"/>
    <w:qFormat/>
    <w:uiPriority w:val="99"/>
    <w:pPr>
      <w:spacing w:after="0" w:line="240" w:lineRule="auto"/>
    </w:pPr>
  </w:style>
  <w:style w:type="table" w:customStyle="1" w:styleId="128">
    <w:name w:val="Plain Table 4"/>
    <w:basedOn w:val="63"/>
    <w:qFormat/>
    <w:uiPriority w:val="99"/>
    <w:pPr>
      <w:spacing w:after="0" w:line="240" w:lineRule="auto"/>
    </w:pPr>
  </w:style>
  <w:style w:type="table" w:customStyle="1" w:styleId="129">
    <w:name w:val="Plain Table 5"/>
    <w:basedOn w:val="63"/>
    <w:qFormat/>
    <w:uiPriority w:val="99"/>
    <w:pPr>
      <w:spacing w:after="0" w:line="240" w:lineRule="auto"/>
    </w:pPr>
  </w:style>
  <w:style w:type="table" w:customStyle="1" w:styleId="130">
    <w:name w:val="Grid Table 1 Light"/>
    <w:basedOn w:val="63"/>
    <w:qFormat/>
    <w:uiPriority w:val="99"/>
    <w:pPr>
      <w:spacing w:after="0" w:line="240" w:lineRule="auto"/>
    </w:pPr>
  </w:style>
  <w:style w:type="table" w:customStyle="1" w:styleId="131">
    <w:name w:val="Grid Table 2"/>
    <w:basedOn w:val="63"/>
    <w:qFormat/>
    <w:uiPriority w:val="99"/>
    <w:pPr>
      <w:spacing w:after="0" w:line="240" w:lineRule="auto"/>
    </w:pPr>
  </w:style>
  <w:style w:type="table" w:customStyle="1" w:styleId="132">
    <w:name w:val="Grid Table 3"/>
    <w:basedOn w:val="63"/>
    <w:qFormat/>
    <w:uiPriority w:val="99"/>
    <w:pPr>
      <w:spacing w:after="0" w:line="240" w:lineRule="auto"/>
    </w:pPr>
  </w:style>
  <w:style w:type="table" w:customStyle="1" w:styleId="133">
    <w:name w:val="Grid Table 4"/>
    <w:basedOn w:val="63"/>
    <w:qFormat/>
    <w:uiPriority w:val="59"/>
    <w:pPr>
      <w:spacing w:after="0" w:line="240" w:lineRule="auto"/>
    </w:pPr>
  </w:style>
  <w:style w:type="table" w:customStyle="1" w:styleId="134">
    <w:name w:val="Grid Table 5 Dark"/>
    <w:basedOn w:val="63"/>
    <w:qFormat/>
    <w:uiPriority w:val="99"/>
    <w:pPr>
      <w:spacing w:after="0" w:line="240" w:lineRule="auto"/>
    </w:pPr>
  </w:style>
  <w:style w:type="table" w:customStyle="1" w:styleId="135">
    <w:name w:val="Grid Table 6 Colorful"/>
    <w:basedOn w:val="63"/>
    <w:qFormat/>
    <w:uiPriority w:val="99"/>
    <w:pPr>
      <w:spacing w:after="0" w:line="240" w:lineRule="auto"/>
    </w:pPr>
  </w:style>
  <w:style w:type="table" w:customStyle="1" w:styleId="136">
    <w:name w:val="Grid Table 7 Colorful"/>
    <w:basedOn w:val="63"/>
    <w:qFormat/>
    <w:uiPriority w:val="99"/>
    <w:pPr>
      <w:spacing w:after="0" w:line="240" w:lineRule="auto"/>
    </w:pPr>
  </w:style>
  <w:style w:type="table" w:customStyle="1" w:styleId="137">
    <w:name w:val="List Table 1 Light"/>
    <w:basedOn w:val="63"/>
    <w:qFormat/>
    <w:uiPriority w:val="99"/>
    <w:pPr>
      <w:spacing w:after="0" w:line="240" w:lineRule="auto"/>
    </w:pPr>
  </w:style>
  <w:style w:type="table" w:customStyle="1" w:styleId="138">
    <w:name w:val="List Table 2"/>
    <w:basedOn w:val="63"/>
    <w:qFormat/>
    <w:uiPriority w:val="99"/>
    <w:pPr>
      <w:spacing w:after="0" w:line="240" w:lineRule="auto"/>
    </w:pPr>
  </w:style>
  <w:style w:type="table" w:customStyle="1" w:styleId="139">
    <w:name w:val="List Table 3"/>
    <w:basedOn w:val="63"/>
    <w:qFormat/>
    <w:uiPriority w:val="99"/>
    <w:pPr>
      <w:spacing w:after="0" w:line="240" w:lineRule="auto"/>
    </w:pPr>
  </w:style>
  <w:style w:type="table" w:customStyle="1" w:styleId="140">
    <w:name w:val="List Table 4"/>
    <w:basedOn w:val="63"/>
    <w:qFormat/>
    <w:uiPriority w:val="99"/>
    <w:pPr>
      <w:spacing w:after="0" w:line="240" w:lineRule="auto"/>
    </w:pPr>
  </w:style>
  <w:style w:type="table" w:customStyle="1" w:styleId="141">
    <w:name w:val="List Table 5 Dark"/>
    <w:basedOn w:val="63"/>
    <w:qFormat/>
    <w:uiPriority w:val="99"/>
    <w:pPr>
      <w:spacing w:after="0" w:line="240" w:lineRule="auto"/>
    </w:pPr>
  </w:style>
  <w:style w:type="table" w:customStyle="1" w:styleId="142">
    <w:name w:val="List Table 6 Colorful"/>
    <w:basedOn w:val="63"/>
    <w:qFormat/>
    <w:uiPriority w:val="99"/>
    <w:pPr>
      <w:spacing w:after="0" w:line="240" w:lineRule="auto"/>
    </w:pPr>
  </w:style>
  <w:style w:type="table" w:customStyle="1" w:styleId="143">
    <w:name w:val="List Table 7 Colorful"/>
    <w:basedOn w:val="63"/>
    <w:qFormat/>
    <w:uiPriority w:val="99"/>
    <w:pPr>
      <w:spacing w:after="0" w:line="240" w:lineRule="auto"/>
    </w:pPr>
  </w:style>
  <w:style w:type="paragraph" w:customStyle="1" w:styleId="144">
    <w:name w:val="TOC Heading"/>
    <w:unhideWhenUsed/>
    <w:qFormat/>
    <w:uiPriority w:val="39"/>
    <w:rPr>
      <w:rFonts w:hint="default" w:ascii="Times New Roman" w:hAnsi="Times New Roman" w:eastAsia="宋体" w:cs="Times New Roman"/>
    </w:rPr>
  </w:style>
  <w:style w:type="character" w:customStyle="1" w:styleId="145">
    <w:name w:val="Heading 1 Char"/>
    <w:basedOn w:val="62"/>
    <w:link w:val="1"/>
    <w:qFormat/>
    <w:uiPriority w:val="9"/>
    <w:rPr>
      <w:rFonts w:ascii="Arial" w:hAnsi="Arial" w:eastAsia="Arial" w:cs="Arial"/>
      <w:sz w:val="40"/>
      <w:szCs w:val="40"/>
    </w:rPr>
  </w:style>
  <w:style w:type="character" w:customStyle="1" w:styleId="146">
    <w:name w:val="Heading 3 Char"/>
    <w:basedOn w:val="62"/>
    <w:link w:val="1"/>
    <w:qFormat/>
    <w:uiPriority w:val="9"/>
    <w:rPr>
      <w:rFonts w:ascii="Arial" w:hAnsi="Arial" w:eastAsia="Arial" w:cs="Arial"/>
      <w:sz w:val="30"/>
      <w:szCs w:val="30"/>
    </w:rPr>
  </w:style>
  <w:style w:type="character" w:customStyle="1" w:styleId="147">
    <w:name w:val="Heading 4 Char"/>
    <w:basedOn w:val="62"/>
    <w:link w:val="1"/>
    <w:qFormat/>
    <w:uiPriority w:val="9"/>
    <w:rPr>
      <w:rFonts w:ascii="Arial" w:hAnsi="Arial" w:eastAsia="Arial" w:cs="Arial"/>
      <w:b/>
      <w:bCs/>
      <w:sz w:val="26"/>
      <w:szCs w:val="26"/>
    </w:rPr>
  </w:style>
  <w:style w:type="character" w:customStyle="1" w:styleId="148">
    <w:name w:val="Heading 5 Char"/>
    <w:basedOn w:val="62"/>
    <w:link w:val="1"/>
    <w:qFormat/>
    <w:uiPriority w:val="9"/>
    <w:rPr>
      <w:rFonts w:ascii="Arial" w:hAnsi="Arial" w:eastAsia="Arial" w:cs="Arial"/>
      <w:b/>
      <w:bCs/>
      <w:sz w:val="24"/>
      <w:szCs w:val="24"/>
    </w:rPr>
  </w:style>
  <w:style w:type="character" w:customStyle="1" w:styleId="149">
    <w:name w:val="Heading 6 Char"/>
    <w:basedOn w:val="62"/>
    <w:link w:val="1"/>
    <w:qFormat/>
    <w:uiPriority w:val="9"/>
    <w:rPr>
      <w:rFonts w:ascii="Arial" w:hAnsi="Arial" w:eastAsia="Arial" w:cs="Arial"/>
      <w:b/>
      <w:bCs/>
      <w:sz w:val="22"/>
      <w:szCs w:val="22"/>
    </w:rPr>
  </w:style>
  <w:style w:type="character" w:customStyle="1" w:styleId="150">
    <w:name w:val="Heading 7 Char"/>
    <w:basedOn w:val="62"/>
    <w:link w:val="1"/>
    <w:qFormat/>
    <w:uiPriority w:val="9"/>
    <w:rPr>
      <w:rFonts w:ascii="Arial" w:hAnsi="Arial" w:eastAsia="Arial" w:cs="Arial"/>
      <w:b/>
      <w:bCs/>
      <w:i/>
      <w:iCs/>
      <w:sz w:val="22"/>
      <w:szCs w:val="22"/>
    </w:rPr>
  </w:style>
  <w:style w:type="character" w:customStyle="1" w:styleId="151">
    <w:name w:val="Heading 8 Char"/>
    <w:basedOn w:val="62"/>
    <w:link w:val="1"/>
    <w:qFormat/>
    <w:uiPriority w:val="9"/>
    <w:rPr>
      <w:rFonts w:ascii="Arial" w:hAnsi="Arial" w:eastAsia="Arial" w:cs="Arial"/>
      <w:i/>
      <w:iCs/>
      <w:sz w:val="22"/>
      <w:szCs w:val="22"/>
    </w:rPr>
  </w:style>
  <w:style w:type="character" w:customStyle="1" w:styleId="152">
    <w:name w:val="Heading 9 Char"/>
    <w:basedOn w:val="62"/>
    <w:link w:val="1"/>
    <w:qFormat/>
    <w:uiPriority w:val="9"/>
    <w:rPr>
      <w:rFonts w:ascii="Arial" w:hAnsi="Arial" w:eastAsia="Arial" w:cs="Arial"/>
      <w:i/>
      <w:iCs/>
      <w:sz w:val="21"/>
      <w:szCs w:val="21"/>
    </w:rPr>
  </w:style>
  <w:style w:type="character" w:customStyle="1" w:styleId="153">
    <w:name w:val="Title Char"/>
    <w:basedOn w:val="62"/>
    <w:link w:val="1"/>
    <w:qFormat/>
    <w:uiPriority w:val="10"/>
    <w:rPr>
      <w:sz w:val="48"/>
      <w:szCs w:val="48"/>
    </w:rPr>
  </w:style>
  <w:style w:type="character" w:customStyle="1" w:styleId="154">
    <w:name w:val="Subtitle Char"/>
    <w:basedOn w:val="62"/>
    <w:link w:val="1"/>
    <w:qFormat/>
    <w:uiPriority w:val="11"/>
    <w:rPr>
      <w:sz w:val="24"/>
      <w:szCs w:val="24"/>
    </w:rPr>
  </w:style>
  <w:style w:type="character" w:customStyle="1" w:styleId="155">
    <w:name w:val="Quote Char"/>
    <w:link w:val="1"/>
    <w:qFormat/>
    <w:uiPriority w:val="29"/>
    <w:rPr>
      <w:i/>
    </w:rPr>
  </w:style>
  <w:style w:type="character" w:customStyle="1" w:styleId="156">
    <w:name w:val="Intense Quote Char"/>
    <w:link w:val="1"/>
    <w:qFormat/>
    <w:uiPriority w:val="30"/>
    <w:rPr>
      <w:i/>
    </w:rPr>
  </w:style>
  <w:style w:type="character" w:customStyle="1" w:styleId="157">
    <w:name w:val="Header Char"/>
    <w:basedOn w:val="62"/>
    <w:link w:val="1"/>
    <w:qFormat/>
    <w:uiPriority w:val="99"/>
  </w:style>
  <w:style w:type="character" w:customStyle="1" w:styleId="158">
    <w:name w:val="Caption Char"/>
    <w:link w:val="1"/>
    <w:qFormat/>
    <w:uiPriority w:val="99"/>
  </w:style>
  <w:style w:type="character" w:customStyle="1" w:styleId="159">
    <w:name w:val="Footnote Text Char"/>
    <w:link w:val="1"/>
    <w:qFormat/>
    <w:uiPriority w:val="99"/>
    <w:rPr>
      <w:sz w:val="18"/>
    </w:rPr>
  </w:style>
  <w:style w:type="character" w:customStyle="1" w:styleId="160">
    <w:name w:val="Endnote Text Char"/>
    <w:link w:val="1"/>
    <w:qFormat/>
    <w:uiPriority w:val="99"/>
    <w:rPr>
      <w:sz w:val="20"/>
    </w:rPr>
  </w:style>
  <w:style w:type="paragraph" w:customStyle="1" w:styleId="161">
    <w:name w:val="TOC 标题1"/>
    <w:unhideWhenUsed/>
    <w:qFormat/>
    <w:uiPriority w:val="39"/>
    <w:rPr>
      <w:rFonts w:hint="default" w:ascii="Times New Roman" w:hAnsi="Times New Roman" w:eastAsia="宋体" w:cs="Times New Roman"/>
    </w:rPr>
  </w:style>
  <w:style w:type="character" w:customStyle="1" w:styleId="162">
    <w:name w:val="Heading 2 Char"/>
    <w:link w:val="1"/>
    <w:qFormat/>
    <w:uiPriority w:val="9"/>
    <w:rPr>
      <w:rFonts w:ascii="Arial" w:hAnsi="Arial" w:eastAsia="Arial" w:cs="Arial"/>
      <w:sz w:val="34"/>
    </w:rPr>
  </w:style>
  <w:style w:type="paragraph" w:styleId="163">
    <w:name w:val="List Paragraph"/>
    <w:qFormat/>
    <w:uiPriority w:val="34"/>
    <w:pPr>
      <w:ind w:left="720"/>
      <w:contextualSpacing/>
    </w:pPr>
    <w:rPr>
      <w:rFonts w:hint="default" w:ascii="Times New Roman" w:hAnsi="Times New Roman" w:eastAsia="宋体" w:cs="Times New Roman"/>
    </w:rPr>
  </w:style>
  <w:style w:type="paragraph" w:styleId="164">
    <w:name w:val="No Spacing"/>
    <w:qFormat/>
    <w:uiPriority w:val="1"/>
    <w:rPr>
      <w:rFonts w:hint="default" w:ascii="Times New Roman" w:hAnsi="Times New Roman" w:eastAsia="宋体" w:cs="Times New Roman"/>
    </w:rPr>
  </w:style>
  <w:style w:type="paragraph" w:styleId="165">
    <w:name w:val="Quote"/>
    <w:link w:val="166"/>
    <w:qFormat/>
    <w:uiPriority w:val="29"/>
    <w:pPr>
      <w:ind w:left="720" w:right="720"/>
    </w:pPr>
    <w:rPr>
      <w:rFonts w:hint="default" w:ascii="Times New Roman" w:hAnsi="Times New Roman" w:eastAsia="宋体" w:cs="Times New Roman"/>
      <w:i/>
    </w:rPr>
  </w:style>
  <w:style w:type="character" w:customStyle="1" w:styleId="166">
    <w:name w:val="引用 Char"/>
    <w:link w:val="165"/>
    <w:qFormat/>
    <w:uiPriority w:val="29"/>
    <w:rPr>
      <w:i/>
    </w:rPr>
  </w:style>
  <w:style w:type="paragraph" w:styleId="167">
    <w:name w:val="Intense Quote"/>
    <w:link w:val="16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rFonts w:hint="default" w:ascii="Times New Roman" w:hAnsi="Times New Roman" w:eastAsia="宋体" w:cs="Times New Roman"/>
      <w:i/>
    </w:rPr>
  </w:style>
  <w:style w:type="character" w:customStyle="1" w:styleId="168">
    <w:name w:val="明显引用 Char"/>
    <w:link w:val="167"/>
    <w:qFormat/>
    <w:uiPriority w:val="30"/>
    <w:rPr>
      <w:i/>
    </w:rPr>
  </w:style>
  <w:style w:type="character" w:customStyle="1" w:styleId="169">
    <w:name w:val="Footer Char"/>
    <w:link w:val="1"/>
    <w:qFormat/>
    <w:uiPriority w:val="99"/>
  </w:style>
  <w:style w:type="table" w:customStyle="1" w:styleId="170">
    <w:name w:val="Table Grid Light"/>
    <w:qFormat/>
    <w:uiPriority w:val="59"/>
  </w:style>
  <w:style w:type="table" w:customStyle="1" w:styleId="171">
    <w:name w:val="无格式表格 11"/>
    <w:qFormat/>
    <w:uiPriority w:val="59"/>
  </w:style>
  <w:style w:type="table" w:customStyle="1" w:styleId="172">
    <w:name w:val="无格式表格 21"/>
    <w:qFormat/>
    <w:uiPriority w:val="59"/>
  </w:style>
  <w:style w:type="table" w:customStyle="1" w:styleId="173">
    <w:name w:val="无格式表格 31"/>
    <w:qFormat/>
    <w:uiPriority w:val="99"/>
  </w:style>
  <w:style w:type="table" w:customStyle="1" w:styleId="174">
    <w:name w:val="无格式表格 41"/>
    <w:qFormat/>
    <w:uiPriority w:val="99"/>
  </w:style>
  <w:style w:type="table" w:customStyle="1" w:styleId="175">
    <w:name w:val="无格式表格 51"/>
    <w:qFormat/>
    <w:uiPriority w:val="99"/>
  </w:style>
  <w:style w:type="table" w:customStyle="1" w:styleId="176">
    <w:name w:val="网格表 1 浅色1"/>
    <w:qFormat/>
    <w:uiPriority w:val="99"/>
  </w:style>
  <w:style w:type="table" w:customStyle="1" w:styleId="177">
    <w:name w:val="Grid Table 1 Light - Accent 1"/>
    <w:qFormat/>
    <w:uiPriority w:val="99"/>
  </w:style>
  <w:style w:type="table" w:customStyle="1" w:styleId="178">
    <w:name w:val="Grid Table 1 Light - Accent 2"/>
    <w:qFormat/>
    <w:uiPriority w:val="99"/>
  </w:style>
  <w:style w:type="table" w:customStyle="1" w:styleId="179">
    <w:name w:val="Grid Table 1 Light - Accent 3"/>
    <w:qFormat/>
    <w:uiPriority w:val="99"/>
  </w:style>
  <w:style w:type="table" w:customStyle="1" w:styleId="180">
    <w:name w:val="Grid Table 1 Light - Accent 4"/>
    <w:qFormat/>
    <w:uiPriority w:val="99"/>
  </w:style>
  <w:style w:type="table" w:customStyle="1" w:styleId="181">
    <w:name w:val="Grid Table 1 Light - Accent 5"/>
    <w:qFormat/>
    <w:uiPriority w:val="99"/>
  </w:style>
  <w:style w:type="table" w:customStyle="1" w:styleId="182">
    <w:name w:val="Grid Table 1 Light - Accent 6"/>
    <w:qFormat/>
    <w:uiPriority w:val="99"/>
  </w:style>
  <w:style w:type="table" w:customStyle="1" w:styleId="183">
    <w:name w:val="网格表 21"/>
    <w:qFormat/>
    <w:uiPriority w:val="99"/>
  </w:style>
  <w:style w:type="table" w:customStyle="1" w:styleId="184">
    <w:name w:val="Grid Table 2 - Accent 1"/>
    <w:qFormat/>
    <w:uiPriority w:val="99"/>
  </w:style>
  <w:style w:type="table" w:customStyle="1" w:styleId="185">
    <w:name w:val="Grid Table 2 - Accent 2"/>
    <w:qFormat/>
    <w:uiPriority w:val="99"/>
  </w:style>
  <w:style w:type="table" w:customStyle="1" w:styleId="186">
    <w:name w:val="Grid Table 2 - Accent 3"/>
    <w:qFormat/>
    <w:uiPriority w:val="99"/>
  </w:style>
  <w:style w:type="table" w:customStyle="1" w:styleId="187">
    <w:name w:val="Grid Table 2 - Accent 4"/>
    <w:qFormat/>
    <w:uiPriority w:val="99"/>
  </w:style>
  <w:style w:type="table" w:customStyle="1" w:styleId="188">
    <w:name w:val="Grid Table 2 - Accent 5"/>
    <w:qFormat/>
    <w:uiPriority w:val="99"/>
  </w:style>
  <w:style w:type="table" w:customStyle="1" w:styleId="189">
    <w:name w:val="Grid Table 2 - Accent 6"/>
    <w:qFormat/>
    <w:uiPriority w:val="99"/>
  </w:style>
  <w:style w:type="table" w:customStyle="1" w:styleId="190">
    <w:name w:val="网格表 31"/>
    <w:qFormat/>
    <w:uiPriority w:val="99"/>
  </w:style>
  <w:style w:type="table" w:customStyle="1" w:styleId="191">
    <w:name w:val="Grid Table 3 - Accent 1"/>
    <w:qFormat/>
    <w:uiPriority w:val="99"/>
  </w:style>
  <w:style w:type="table" w:customStyle="1" w:styleId="192">
    <w:name w:val="Grid Table 3 - Accent 2"/>
    <w:qFormat/>
    <w:uiPriority w:val="99"/>
  </w:style>
  <w:style w:type="table" w:customStyle="1" w:styleId="193">
    <w:name w:val="Grid Table 3 - Accent 3"/>
    <w:qFormat/>
    <w:uiPriority w:val="99"/>
  </w:style>
  <w:style w:type="table" w:customStyle="1" w:styleId="194">
    <w:name w:val="Grid Table 3 - Accent 4"/>
    <w:qFormat/>
    <w:uiPriority w:val="99"/>
  </w:style>
  <w:style w:type="table" w:customStyle="1" w:styleId="195">
    <w:name w:val="Grid Table 3 - Accent 5"/>
    <w:qFormat/>
    <w:uiPriority w:val="99"/>
  </w:style>
  <w:style w:type="table" w:customStyle="1" w:styleId="196">
    <w:name w:val="Grid Table 3 - Accent 6"/>
    <w:qFormat/>
    <w:uiPriority w:val="99"/>
  </w:style>
  <w:style w:type="table" w:customStyle="1" w:styleId="197">
    <w:name w:val="网格表 41"/>
    <w:qFormat/>
    <w:uiPriority w:val="59"/>
  </w:style>
  <w:style w:type="table" w:customStyle="1" w:styleId="198">
    <w:name w:val="Grid Table 4 - Accent 1"/>
    <w:qFormat/>
    <w:uiPriority w:val="59"/>
  </w:style>
  <w:style w:type="table" w:customStyle="1" w:styleId="199">
    <w:name w:val="Grid Table 4 - Accent 2"/>
    <w:qFormat/>
    <w:uiPriority w:val="59"/>
  </w:style>
  <w:style w:type="table" w:customStyle="1" w:styleId="200">
    <w:name w:val="Grid Table 4 - Accent 3"/>
    <w:qFormat/>
    <w:uiPriority w:val="59"/>
  </w:style>
  <w:style w:type="table" w:customStyle="1" w:styleId="201">
    <w:name w:val="Grid Table 4 - Accent 4"/>
    <w:qFormat/>
    <w:uiPriority w:val="59"/>
  </w:style>
  <w:style w:type="table" w:customStyle="1" w:styleId="202">
    <w:name w:val="Grid Table 4 - Accent 5"/>
    <w:qFormat/>
    <w:uiPriority w:val="59"/>
  </w:style>
  <w:style w:type="table" w:customStyle="1" w:styleId="203">
    <w:name w:val="Grid Table 4 - Accent 6"/>
    <w:qFormat/>
    <w:uiPriority w:val="59"/>
  </w:style>
  <w:style w:type="table" w:customStyle="1" w:styleId="204">
    <w:name w:val="网格表 5 深色1"/>
    <w:qFormat/>
    <w:uiPriority w:val="99"/>
  </w:style>
  <w:style w:type="table" w:customStyle="1" w:styleId="205">
    <w:name w:val="Grid Table 5 Dark- Accent 1"/>
    <w:qFormat/>
    <w:uiPriority w:val="99"/>
  </w:style>
  <w:style w:type="table" w:customStyle="1" w:styleId="206">
    <w:name w:val="Grid Table 5 Dark - Accent 2"/>
    <w:qFormat/>
    <w:uiPriority w:val="99"/>
  </w:style>
  <w:style w:type="table" w:customStyle="1" w:styleId="207">
    <w:name w:val="Grid Table 5 Dark - Accent 3"/>
    <w:qFormat/>
    <w:uiPriority w:val="99"/>
  </w:style>
  <w:style w:type="table" w:customStyle="1" w:styleId="208">
    <w:name w:val="Grid Table 5 Dark- Accent 4"/>
    <w:qFormat/>
    <w:uiPriority w:val="99"/>
  </w:style>
  <w:style w:type="table" w:customStyle="1" w:styleId="209">
    <w:name w:val="Grid Table 5 Dark - Accent 5"/>
    <w:qFormat/>
    <w:uiPriority w:val="99"/>
  </w:style>
  <w:style w:type="table" w:customStyle="1" w:styleId="210">
    <w:name w:val="Grid Table 5 Dark - Accent 6"/>
    <w:qFormat/>
    <w:uiPriority w:val="99"/>
  </w:style>
  <w:style w:type="table" w:customStyle="1" w:styleId="211">
    <w:name w:val="网格表 6 彩色1"/>
    <w:qFormat/>
    <w:uiPriority w:val="99"/>
  </w:style>
  <w:style w:type="table" w:customStyle="1" w:styleId="212">
    <w:name w:val="Grid Table 6 Colorful - Accent 1"/>
    <w:qFormat/>
    <w:uiPriority w:val="99"/>
  </w:style>
  <w:style w:type="table" w:customStyle="1" w:styleId="213">
    <w:name w:val="Grid Table 6 Colorful - Accent 2"/>
    <w:qFormat/>
    <w:uiPriority w:val="99"/>
  </w:style>
  <w:style w:type="table" w:customStyle="1" w:styleId="214">
    <w:name w:val="Grid Table 6 Colorful - Accent 3"/>
    <w:qFormat/>
    <w:uiPriority w:val="99"/>
  </w:style>
  <w:style w:type="table" w:customStyle="1" w:styleId="215">
    <w:name w:val="Grid Table 6 Colorful - Accent 4"/>
    <w:qFormat/>
    <w:uiPriority w:val="99"/>
  </w:style>
  <w:style w:type="table" w:customStyle="1" w:styleId="216">
    <w:name w:val="Grid Table 6 Colorful - Accent 5"/>
    <w:qFormat/>
    <w:uiPriority w:val="99"/>
  </w:style>
  <w:style w:type="table" w:customStyle="1" w:styleId="217">
    <w:name w:val="Grid Table 6 Colorful - Accent 6"/>
    <w:qFormat/>
    <w:uiPriority w:val="99"/>
  </w:style>
  <w:style w:type="table" w:customStyle="1" w:styleId="218">
    <w:name w:val="网格表 7 彩色1"/>
    <w:qFormat/>
    <w:uiPriority w:val="99"/>
  </w:style>
  <w:style w:type="table" w:customStyle="1" w:styleId="219">
    <w:name w:val="Grid Table 7 Colorful - Accent 1"/>
    <w:qFormat/>
    <w:uiPriority w:val="99"/>
  </w:style>
  <w:style w:type="table" w:customStyle="1" w:styleId="220">
    <w:name w:val="Grid Table 7 Colorful - Accent 2"/>
    <w:qFormat/>
    <w:uiPriority w:val="99"/>
  </w:style>
  <w:style w:type="table" w:customStyle="1" w:styleId="221">
    <w:name w:val="Grid Table 7 Colorful - Accent 3"/>
    <w:qFormat/>
    <w:uiPriority w:val="99"/>
  </w:style>
  <w:style w:type="table" w:customStyle="1" w:styleId="222">
    <w:name w:val="Grid Table 7 Colorful - Accent 4"/>
    <w:qFormat/>
    <w:uiPriority w:val="99"/>
  </w:style>
  <w:style w:type="table" w:customStyle="1" w:styleId="223">
    <w:name w:val="Grid Table 7 Colorful - Accent 5"/>
    <w:qFormat/>
    <w:uiPriority w:val="99"/>
  </w:style>
  <w:style w:type="table" w:customStyle="1" w:styleId="224">
    <w:name w:val="Grid Table 7 Colorful - Accent 6"/>
    <w:qFormat/>
    <w:uiPriority w:val="99"/>
  </w:style>
  <w:style w:type="table" w:customStyle="1" w:styleId="225">
    <w:name w:val="清单表 1 浅色1"/>
    <w:qFormat/>
    <w:uiPriority w:val="99"/>
  </w:style>
  <w:style w:type="table" w:customStyle="1" w:styleId="226">
    <w:name w:val="List Table 1 Light - Accent 1"/>
    <w:qFormat/>
    <w:uiPriority w:val="99"/>
  </w:style>
  <w:style w:type="table" w:customStyle="1" w:styleId="227">
    <w:name w:val="List Table 1 Light - Accent 2"/>
    <w:qFormat/>
    <w:uiPriority w:val="99"/>
  </w:style>
  <w:style w:type="table" w:customStyle="1" w:styleId="228">
    <w:name w:val="List Table 1 Light - Accent 3"/>
    <w:qFormat/>
    <w:uiPriority w:val="99"/>
  </w:style>
  <w:style w:type="table" w:customStyle="1" w:styleId="229">
    <w:name w:val="List Table 1 Light - Accent 4"/>
    <w:qFormat/>
    <w:uiPriority w:val="99"/>
  </w:style>
  <w:style w:type="table" w:customStyle="1" w:styleId="230">
    <w:name w:val="List Table 1 Light - Accent 5"/>
    <w:qFormat/>
    <w:uiPriority w:val="99"/>
  </w:style>
  <w:style w:type="table" w:customStyle="1" w:styleId="231">
    <w:name w:val="List Table 1 Light - Accent 6"/>
    <w:qFormat/>
    <w:uiPriority w:val="99"/>
  </w:style>
  <w:style w:type="table" w:customStyle="1" w:styleId="232">
    <w:name w:val="清单表 21"/>
    <w:qFormat/>
    <w:uiPriority w:val="99"/>
  </w:style>
  <w:style w:type="table" w:customStyle="1" w:styleId="233">
    <w:name w:val="List Table 2 - Accent 1"/>
    <w:qFormat/>
    <w:uiPriority w:val="99"/>
  </w:style>
  <w:style w:type="table" w:customStyle="1" w:styleId="234">
    <w:name w:val="List Table 2 - Accent 2"/>
    <w:qFormat/>
    <w:uiPriority w:val="99"/>
  </w:style>
  <w:style w:type="table" w:customStyle="1" w:styleId="235">
    <w:name w:val="List Table 2 - Accent 3"/>
    <w:qFormat/>
    <w:uiPriority w:val="99"/>
  </w:style>
  <w:style w:type="table" w:customStyle="1" w:styleId="236">
    <w:name w:val="List Table 2 - Accent 4"/>
    <w:qFormat/>
    <w:uiPriority w:val="99"/>
  </w:style>
  <w:style w:type="table" w:customStyle="1" w:styleId="237">
    <w:name w:val="List Table 2 - Accent 5"/>
    <w:qFormat/>
    <w:uiPriority w:val="99"/>
  </w:style>
  <w:style w:type="table" w:customStyle="1" w:styleId="238">
    <w:name w:val="List Table 2 - Accent 6"/>
    <w:qFormat/>
    <w:uiPriority w:val="99"/>
  </w:style>
  <w:style w:type="table" w:customStyle="1" w:styleId="239">
    <w:name w:val="清单表 31"/>
    <w:qFormat/>
    <w:uiPriority w:val="99"/>
  </w:style>
  <w:style w:type="table" w:customStyle="1" w:styleId="240">
    <w:name w:val="List Table 3 - Accent 1"/>
    <w:qFormat/>
    <w:uiPriority w:val="99"/>
  </w:style>
  <w:style w:type="table" w:customStyle="1" w:styleId="241">
    <w:name w:val="List Table 3 - Accent 2"/>
    <w:qFormat/>
    <w:uiPriority w:val="99"/>
  </w:style>
  <w:style w:type="table" w:customStyle="1" w:styleId="242">
    <w:name w:val="List Table 3 - Accent 3"/>
    <w:qFormat/>
    <w:uiPriority w:val="99"/>
  </w:style>
  <w:style w:type="table" w:customStyle="1" w:styleId="243">
    <w:name w:val="List Table 3 - Accent 4"/>
    <w:qFormat/>
    <w:uiPriority w:val="99"/>
  </w:style>
  <w:style w:type="table" w:customStyle="1" w:styleId="244">
    <w:name w:val="List Table 3 - Accent 5"/>
    <w:qFormat/>
    <w:uiPriority w:val="99"/>
  </w:style>
  <w:style w:type="table" w:customStyle="1" w:styleId="245">
    <w:name w:val="List Table 3 - Accent 6"/>
    <w:qFormat/>
    <w:uiPriority w:val="99"/>
  </w:style>
  <w:style w:type="table" w:customStyle="1" w:styleId="246">
    <w:name w:val="清单表 41"/>
    <w:qFormat/>
    <w:uiPriority w:val="99"/>
  </w:style>
  <w:style w:type="table" w:customStyle="1" w:styleId="247">
    <w:name w:val="List Table 4 - Accent 1"/>
    <w:qFormat/>
    <w:uiPriority w:val="99"/>
  </w:style>
  <w:style w:type="table" w:customStyle="1" w:styleId="248">
    <w:name w:val="List Table 4 - Accent 2"/>
    <w:qFormat/>
    <w:uiPriority w:val="99"/>
  </w:style>
  <w:style w:type="table" w:customStyle="1" w:styleId="249">
    <w:name w:val="List Table 4 - Accent 3"/>
    <w:qFormat/>
    <w:uiPriority w:val="99"/>
  </w:style>
  <w:style w:type="table" w:customStyle="1" w:styleId="250">
    <w:name w:val="List Table 4 - Accent 4"/>
    <w:qFormat/>
    <w:uiPriority w:val="99"/>
  </w:style>
  <w:style w:type="table" w:customStyle="1" w:styleId="251">
    <w:name w:val="List Table 4 - Accent 5"/>
    <w:qFormat/>
    <w:uiPriority w:val="99"/>
  </w:style>
  <w:style w:type="table" w:customStyle="1" w:styleId="252">
    <w:name w:val="List Table 4 - Accent 6"/>
    <w:qFormat/>
    <w:uiPriority w:val="99"/>
  </w:style>
  <w:style w:type="table" w:customStyle="1" w:styleId="253">
    <w:name w:val="清单表 5 深色1"/>
    <w:qFormat/>
    <w:uiPriority w:val="99"/>
  </w:style>
  <w:style w:type="table" w:customStyle="1" w:styleId="254">
    <w:name w:val="List Table 5 Dark - Accent 1"/>
    <w:qFormat/>
    <w:uiPriority w:val="99"/>
  </w:style>
  <w:style w:type="table" w:customStyle="1" w:styleId="255">
    <w:name w:val="List Table 5 Dark - Accent 2"/>
    <w:qFormat/>
    <w:uiPriority w:val="99"/>
  </w:style>
  <w:style w:type="table" w:customStyle="1" w:styleId="256">
    <w:name w:val="List Table 5 Dark - Accent 3"/>
    <w:qFormat/>
    <w:uiPriority w:val="99"/>
  </w:style>
  <w:style w:type="table" w:customStyle="1" w:styleId="257">
    <w:name w:val="List Table 5 Dark - Accent 4"/>
    <w:qFormat/>
    <w:uiPriority w:val="99"/>
  </w:style>
  <w:style w:type="table" w:customStyle="1" w:styleId="258">
    <w:name w:val="List Table 5 Dark - Accent 5"/>
    <w:qFormat/>
    <w:uiPriority w:val="99"/>
  </w:style>
  <w:style w:type="table" w:customStyle="1" w:styleId="259">
    <w:name w:val="List Table 5 Dark - Accent 6"/>
    <w:qFormat/>
    <w:uiPriority w:val="99"/>
  </w:style>
  <w:style w:type="table" w:customStyle="1" w:styleId="260">
    <w:name w:val="清单表 6 彩色1"/>
    <w:qFormat/>
    <w:uiPriority w:val="99"/>
  </w:style>
  <w:style w:type="table" w:customStyle="1" w:styleId="261">
    <w:name w:val="List Table 6 Colorful - Accent 1"/>
    <w:qFormat/>
    <w:uiPriority w:val="99"/>
  </w:style>
  <w:style w:type="table" w:customStyle="1" w:styleId="262">
    <w:name w:val="List Table 6 Colorful - Accent 2"/>
    <w:qFormat/>
    <w:uiPriority w:val="99"/>
  </w:style>
  <w:style w:type="table" w:customStyle="1" w:styleId="263">
    <w:name w:val="List Table 6 Colorful - Accent 3"/>
    <w:qFormat/>
    <w:uiPriority w:val="99"/>
  </w:style>
  <w:style w:type="table" w:customStyle="1" w:styleId="264">
    <w:name w:val="List Table 6 Colorful - Accent 4"/>
    <w:qFormat/>
    <w:uiPriority w:val="99"/>
  </w:style>
  <w:style w:type="table" w:customStyle="1" w:styleId="265">
    <w:name w:val="List Table 6 Colorful - Accent 5"/>
    <w:qFormat/>
    <w:uiPriority w:val="99"/>
  </w:style>
  <w:style w:type="table" w:customStyle="1" w:styleId="266">
    <w:name w:val="List Table 6 Colorful - Accent 6"/>
    <w:qFormat/>
    <w:uiPriority w:val="99"/>
  </w:style>
  <w:style w:type="table" w:customStyle="1" w:styleId="267">
    <w:name w:val="清单表 7 彩色1"/>
    <w:qFormat/>
    <w:uiPriority w:val="99"/>
  </w:style>
  <w:style w:type="table" w:customStyle="1" w:styleId="268">
    <w:name w:val="List Table 7 Colorful - Accent 1"/>
    <w:qFormat/>
    <w:uiPriority w:val="99"/>
  </w:style>
  <w:style w:type="table" w:customStyle="1" w:styleId="269">
    <w:name w:val="List Table 7 Colorful - Accent 2"/>
    <w:qFormat/>
    <w:uiPriority w:val="99"/>
  </w:style>
  <w:style w:type="table" w:customStyle="1" w:styleId="270">
    <w:name w:val="List Table 7 Colorful - Accent 3"/>
    <w:qFormat/>
    <w:uiPriority w:val="99"/>
  </w:style>
  <w:style w:type="table" w:customStyle="1" w:styleId="271">
    <w:name w:val="List Table 7 Colorful - Accent 4"/>
    <w:qFormat/>
    <w:uiPriority w:val="99"/>
  </w:style>
  <w:style w:type="table" w:customStyle="1" w:styleId="272">
    <w:name w:val="List Table 7 Colorful - Accent 5"/>
    <w:qFormat/>
    <w:uiPriority w:val="99"/>
  </w:style>
  <w:style w:type="table" w:customStyle="1" w:styleId="273">
    <w:name w:val="List Table 7 Colorful - Accent 6"/>
    <w:qFormat/>
    <w:uiPriority w:val="99"/>
  </w:style>
  <w:style w:type="table" w:customStyle="1" w:styleId="274">
    <w:name w:val="Lined - Accent"/>
    <w:qFormat/>
    <w:uiPriority w:val="99"/>
    <w:rPr>
      <w:color w:val="404040"/>
    </w:rPr>
  </w:style>
  <w:style w:type="table" w:customStyle="1" w:styleId="275">
    <w:name w:val="Lined - Accent 1"/>
    <w:qFormat/>
    <w:uiPriority w:val="99"/>
    <w:rPr>
      <w:color w:val="404040"/>
    </w:rPr>
  </w:style>
  <w:style w:type="table" w:customStyle="1" w:styleId="276">
    <w:name w:val="Lined - Accent 2"/>
    <w:qFormat/>
    <w:uiPriority w:val="99"/>
    <w:rPr>
      <w:color w:val="404040"/>
    </w:rPr>
  </w:style>
  <w:style w:type="table" w:customStyle="1" w:styleId="277">
    <w:name w:val="Lined - Accent 3"/>
    <w:qFormat/>
    <w:uiPriority w:val="99"/>
    <w:rPr>
      <w:color w:val="404040"/>
    </w:rPr>
  </w:style>
  <w:style w:type="table" w:customStyle="1" w:styleId="278">
    <w:name w:val="Lined - Accent 4"/>
    <w:qFormat/>
    <w:uiPriority w:val="99"/>
    <w:rPr>
      <w:color w:val="404040"/>
    </w:rPr>
  </w:style>
  <w:style w:type="table" w:customStyle="1" w:styleId="279">
    <w:name w:val="Lined - Accent 5"/>
    <w:qFormat/>
    <w:uiPriority w:val="99"/>
    <w:rPr>
      <w:color w:val="404040"/>
    </w:rPr>
  </w:style>
  <w:style w:type="table" w:customStyle="1" w:styleId="280">
    <w:name w:val="Lined - Accent 6"/>
    <w:qFormat/>
    <w:uiPriority w:val="99"/>
    <w:rPr>
      <w:color w:val="404040"/>
    </w:rPr>
  </w:style>
  <w:style w:type="table" w:customStyle="1" w:styleId="281">
    <w:name w:val="Bordered &amp; Lined - Accent"/>
    <w:qFormat/>
    <w:uiPriority w:val="99"/>
    <w:rPr>
      <w:color w:val="404040"/>
    </w:rPr>
  </w:style>
  <w:style w:type="table" w:customStyle="1" w:styleId="282">
    <w:name w:val="Bordered &amp; Lined - Accent 1"/>
    <w:qFormat/>
    <w:uiPriority w:val="99"/>
    <w:rPr>
      <w:color w:val="404040"/>
    </w:rPr>
  </w:style>
  <w:style w:type="table" w:customStyle="1" w:styleId="283">
    <w:name w:val="Bordered &amp; Lined - Accent 2"/>
    <w:qFormat/>
    <w:uiPriority w:val="99"/>
    <w:rPr>
      <w:color w:val="404040"/>
    </w:rPr>
  </w:style>
  <w:style w:type="table" w:customStyle="1" w:styleId="284">
    <w:name w:val="Bordered &amp; Lined - Accent 3"/>
    <w:qFormat/>
    <w:uiPriority w:val="99"/>
    <w:rPr>
      <w:color w:val="404040"/>
    </w:rPr>
  </w:style>
  <w:style w:type="table" w:customStyle="1" w:styleId="285">
    <w:name w:val="Bordered &amp; Lined - Accent 4"/>
    <w:qFormat/>
    <w:uiPriority w:val="99"/>
    <w:rPr>
      <w:color w:val="404040"/>
    </w:rPr>
  </w:style>
  <w:style w:type="table" w:customStyle="1" w:styleId="286">
    <w:name w:val="Bordered &amp; Lined - Accent 5"/>
    <w:qFormat/>
    <w:uiPriority w:val="99"/>
    <w:rPr>
      <w:color w:val="404040"/>
    </w:rPr>
  </w:style>
  <w:style w:type="table" w:customStyle="1" w:styleId="287">
    <w:name w:val="Bordered &amp; Lined - Accent 6"/>
    <w:qFormat/>
    <w:uiPriority w:val="99"/>
    <w:rPr>
      <w:color w:val="404040"/>
    </w:rPr>
  </w:style>
  <w:style w:type="table" w:customStyle="1" w:styleId="288">
    <w:name w:val="Bordered"/>
    <w:qFormat/>
    <w:uiPriority w:val="99"/>
  </w:style>
  <w:style w:type="table" w:customStyle="1" w:styleId="289">
    <w:name w:val="Bordered - Accent 1"/>
    <w:qFormat/>
    <w:uiPriority w:val="99"/>
  </w:style>
  <w:style w:type="table" w:customStyle="1" w:styleId="290">
    <w:name w:val="Bordered - Accent 2"/>
    <w:qFormat/>
    <w:uiPriority w:val="99"/>
  </w:style>
  <w:style w:type="table" w:customStyle="1" w:styleId="291">
    <w:name w:val="Bordered - Accent 3"/>
    <w:qFormat/>
    <w:uiPriority w:val="99"/>
  </w:style>
  <w:style w:type="table" w:customStyle="1" w:styleId="292">
    <w:name w:val="Bordered - Accent 4"/>
    <w:qFormat/>
    <w:uiPriority w:val="99"/>
  </w:style>
  <w:style w:type="table" w:customStyle="1" w:styleId="293">
    <w:name w:val="Bordered - Accent 5"/>
    <w:qFormat/>
    <w:uiPriority w:val="99"/>
  </w:style>
  <w:style w:type="table" w:customStyle="1" w:styleId="294">
    <w:name w:val="Bordered - Accent 6"/>
    <w:qFormat/>
    <w:uiPriority w:val="99"/>
  </w:style>
  <w:style w:type="paragraph" w:customStyle="1" w:styleId="295">
    <w:name w:val="TOC 标题11"/>
    <w:unhideWhenUsed/>
    <w:qFormat/>
    <w:uiPriority w:val="39"/>
    <w:rPr>
      <w:rFonts w:hint="default" w:ascii="Times New Roman" w:hAnsi="Times New Roman" w:eastAsia="宋体" w:cs="Times New Roman"/>
    </w:rPr>
  </w:style>
  <w:style w:type="paragraph" w:customStyle="1" w:styleId="296">
    <w:name w:val="标题 11"/>
    <w:basedOn w:val="43"/>
    <w:next w:val="43"/>
    <w:link w:val="297"/>
    <w:qFormat/>
    <w:uiPriority w:val="0"/>
    <w:pPr>
      <w:keepNext/>
      <w:keepLines/>
      <w:spacing w:line="578" w:lineRule="auto"/>
      <w:jc w:val="center"/>
      <w:outlineLvl w:val="0"/>
    </w:pPr>
    <w:rPr>
      <w:rFonts w:eastAsia="新宋体"/>
      <w:b/>
      <w:bCs/>
      <w:sz w:val="30"/>
      <w:szCs w:val="44"/>
    </w:rPr>
  </w:style>
  <w:style w:type="character" w:customStyle="1" w:styleId="297">
    <w:name w:val="标题 1 字符"/>
    <w:link w:val="296"/>
    <w:qFormat/>
    <w:uiPriority w:val="0"/>
    <w:rPr>
      <w:rFonts w:eastAsia="新宋体"/>
      <w:b/>
      <w:bCs/>
      <w:sz w:val="30"/>
      <w:szCs w:val="44"/>
    </w:rPr>
  </w:style>
  <w:style w:type="paragraph" w:customStyle="1" w:styleId="298">
    <w:name w:val="标题 21"/>
    <w:basedOn w:val="43"/>
    <w:next w:val="1"/>
    <w:qFormat/>
    <w:uiPriority w:val="0"/>
    <w:pPr>
      <w:keepNext/>
      <w:keepLines/>
      <w:spacing w:before="260" w:after="260" w:line="360" w:lineRule="auto"/>
      <w:jc w:val="center"/>
      <w:outlineLvl w:val="1"/>
    </w:pPr>
    <w:rPr>
      <w:rFonts w:ascii="Arial" w:hAnsi="Arial" w:eastAsia="仿宋"/>
      <w:bCs/>
      <w:sz w:val="24"/>
      <w:szCs w:val="32"/>
    </w:rPr>
  </w:style>
  <w:style w:type="paragraph" w:customStyle="1" w:styleId="299">
    <w:name w:val="标题 31"/>
    <w:basedOn w:val="43"/>
    <w:next w:val="43"/>
    <w:link w:val="300"/>
    <w:qFormat/>
    <w:uiPriority w:val="0"/>
    <w:pPr>
      <w:keepNext/>
      <w:keepLines/>
      <w:widowControl/>
      <w:spacing w:before="260" w:after="260" w:line="416" w:lineRule="auto"/>
      <w:jc w:val="left"/>
      <w:outlineLvl w:val="2"/>
    </w:pPr>
    <w:rPr>
      <w:rFonts w:ascii="Tahoma" w:hAnsi="Tahoma" w:eastAsia="微软雅黑"/>
      <w:b/>
      <w:bCs/>
      <w:sz w:val="32"/>
      <w:szCs w:val="32"/>
    </w:rPr>
  </w:style>
  <w:style w:type="character" w:customStyle="1" w:styleId="300">
    <w:name w:val="标题 3 字符"/>
    <w:link w:val="299"/>
    <w:qFormat/>
    <w:uiPriority w:val="0"/>
    <w:rPr>
      <w:rFonts w:ascii="Tahoma" w:hAnsi="Tahoma" w:eastAsia="微软雅黑"/>
      <w:b/>
      <w:bCs/>
      <w:sz w:val="32"/>
      <w:szCs w:val="32"/>
    </w:rPr>
  </w:style>
  <w:style w:type="character" w:customStyle="1" w:styleId="301">
    <w:name w:val="标题 4 字符"/>
    <w:link w:val="52"/>
    <w:semiHidden/>
    <w:qFormat/>
    <w:uiPriority w:val="0"/>
    <w:rPr>
      <w:rFonts w:ascii="Calibri Light" w:hAnsi="Calibri Light" w:eastAsia="宋体"/>
      <w:b/>
      <w:bCs/>
      <w:sz w:val="28"/>
      <w:szCs w:val="28"/>
    </w:rPr>
  </w:style>
  <w:style w:type="character" w:customStyle="1" w:styleId="302">
    <w:name w:val="超链接1"/>
    <w:link w:val="46"/>
    <w:qFormat/>
    <w:uiPriority w:val="99"/>
    <w:rPr>
      <w:rFonts w:ascii="Times New Roman" w:hAnsi="Times New Roman" w:eastAsia="宋体"/>
      <w:sz w:val="21"/>
      <w:szCs w:val="24"/>
      <w:lang w:val="en-US" w:eastAsia="zh-CN" w:bidi="ar-SA"/>
    </w:rPr>
  </w:style>
  <w:style w:type="paragraph" w:customStyle="1" w:styleId="303">
    <w:name w:val="正文文本1"/>
    <w:basedOn w:val="43"/>
    <w:next w:val="1"/>
    <w:qFormat/>
    <w:uiPriority w:val="0"/>
    <w:pPr>
      <w:spacing w:after="120"/>
    </w:pPr>
    <w:rPr>
      <w:rFonts w:ascii="Calibri" w:hAnsi="Calibri"/>
    </w:rPr>
  </w:style>
  <w:style w:type="character" w:customStyle="1" w:styleId="304">
    <w:name w:val="font91"/>
    <w:link w:val="48"/>
    <w:qFormat/>
    <w:uiPriority w:val="0"/>
    <w:rPr>
      <w:sz w:val="21"/>
      <w:szCs w:val="24"/>
    </w:rPr>
  </w:style>
  <w:style w:type="character" w:customStyle="1" w:styleId="305">
    <w:name w:val="默认段落字体1"/>
    <w:link w:val="1"/>
    <w:qFormat/>
    <w:uiPriority w:val="0"/>
  </w:style>
  <w:style w:type="table" w:customStyle="1" w:styleId="306">
    <w:name w:val="普通表格1"/>
    <w:qFormat/>
    <w:uiPriority w:val="0"/>
  </w:style>
  <w:style w:type="paragraph" w:customStyle="1" w:styleId="307">
    <w:name w:val="正文缩进1"/>
    <w:basedOn w:val="49"/>
    <w:qFormat/>
    <w:uiPriority w:val="0"/>
    <w:pPr>
      <w:ind w:firstLine="420"/>
    </w:pPr>
  </w:style>
  <w:style w:type="paragraph" w:customStyle="1" w:styleId="308">
    <w:name w:val="索引 511"/>
    <w:basedOn w:val="43"/>
    <w:next w:val="1"/>
    <w:qFormat/>
    <w:uiPriority w:val="0"/>
    <w:pPr>
      <w:ind w:left="798"/>
      <w:jc w:val="left"/>
    </w:pPr>
    <w:rPr>
      <w:rFonts w:ascii="Calibri" w:hAnsi="Calibri"/>
    </w:rPr>
  </w:style>
  <w:style w:type="paragraph" w:customStyle="1" w:styleId="309">
    <w:name w:val="批注文字1"/>
    <w:basedOn w:val="43"/>
    <w:qFormat/>
    <w:uiPriority w:val="0"/>
    <w:pPr>
      <w:jc w:val="left"/>
    </w:pPr>
  </w:style>
  <w:style w:type="paragraph" w:customStyle="1" w:styleId="310">
    <w:name w:val="纯文本1"/>
    <w:basedOn w:val="43"/>
    <w:qFormat/>
    <w:uiPriority w:val="0"/>
    <w:rPr>
      <w:rFonts w:ascii="宋体" w:hAnsi="Courier New"/>
      <w:sz w:val="20"/>
      <w:szCs w:val="20"/>
    </w:rPr>
  </w:style>
  <w:style w:type="paragraph" w:customStyle="1" w:styleId="311">
    <w:name w:val="日期1"/>
    <w:basedOn w:val="43"/>
    <w:next w:val="43"/>
    <w:qFormat/>
    <w:uiPriority w:val="0"/>
    <w:rPr>
      <w:rFonts w:eastAsia="仿宋_GB2312"/>
      <w:sz w:val="28"/>
      <w:szCs w:val="20"/>
    </w:rPr>
  </w:style>
  <w:style w:type="paragraph" w:customStyle="1" w:styleId="312">
    <w:name w:val="批注框文本1"/>
    <w:basedOn w:val="43"/>
    <w:link w:val="313"/>
    <w:qFormat/>
    <w:uiPriority w:val="0"/>
    <w:rPr>
      <w:sz w:val="18"/>
      <w:szCs w:val="18"/>
    </w:rPr>
  </w:style>
  <w:style w:type="character" w:customStyle="1" w:styleId="313">
    <w:name w:val="批注框文本 字符"/>
    <w:link w:val="312"/>
    <w:qFormat/>
    <w:uiPriority w:val="0"/>
    <w:rPr>
      <w:rFonts w:ascii="Times New Roman" w:hAnsi="Times New Roman" w:eastAsia="宋体"/>
      <w:sz w:val="18"/>
      <w:szCs w:val="18"/>
    </w:rPr>
  </w:style>
  <w:style w:type="paragraph" w:customStyle="1" w:styleId="314">
    <w:name w:val="页脚1"/>
    <w:basedOn w:val="48"/>
    <w:link w:val="315"/>
    <w:qFormat/>
    <w:uiPriority w:val="0"/>
    <w:pPr>
      <w:tabs>
        <w:tab w:val="center" w:pos="4153"/>
        <w:tab w:val="right" w:pos="8306"/>
      </w:tabs>
      <w:jc w:val="left"/>
    </w:pPr>
    <w:rPr>
      <w:sz w:val="18"/>
      <w:szCs w:val="18"/>
    </w:rPr>
  </w:style>
  <w:style w:type="character" w:customStyle="1" w:styleId="315">
    <w:name w:val="页脚 字符"/>
    <w:link w:val="314"/>
    <w:qFormat/>
    <w:uiPriority w:val="99"/>
    <w:rPr>
      <w:rFonts w:ascii="Times New Roman" w:hAnsi="Times New Roman" w:eastAsia="宋体"/>
      <w:sz w:val="18"/>
      <w:szCs w:val="18"/>
    </w:rPr>
  </w:style>
  <w:style w:type="paragraph" w:customStyle="1" w:styleId="316">
    <w:name w:val="页眉1"/>
    <w:basedOn w:val="43"/>
    <w:qFormat/>
    <w:uiPriority w:val="0"/>
    <w:pPr>
      <w:pBdr>
        <w:bottom w:val="single" w:color="000000" w:sz="6" w:space="1"/>
      </w:pBdr>
      <w:tabs>
        <w:tab w:val="center" w:pos="4153"/>
        <w:tab w:val="right" w:pos="8306"/>
      </w:tabs>
      <w:jc w:val="center"/>
    </w:pPr>
    <w:rPr>
      <w:sz w:val="18"/>
      <w:szCs w:val="18"/>
    </w:rPr>
  </w:style>
  <w:style w:type="paragraph" w:customStyle="1" w:styleId="317">
    <w:name w:val="目录 111"/>
    <w:basedOn w:val="43"/>
    <w:next w:val="43"/>
    <w:qFormat/>
    <w:uiPriority w:val="0"/>
  </w:style>
  <w:style w:type="paragraph" w:customStyle="1" w:styleId="318">
    <w:name w:val="脚注文本11"/>
    <w:basedOn w:val="43"/>
    <w:next w:val="308"/>
    <w:link w:val="319"/>
    <w:qFormat/>
    <w:uiPriority w:val="0"/>
    <w:pPr>
      <w:jc w:val="left"/>
    </w:pPr>
    <w:rPr>
      <w:rFonts w:ascii="宋体" w:eastAsia="Times New Roman"/>
      <w:sz w:val="18"/>
      <w:szCs w:val="18"/>
    </w:rPr>
  </w:style>
  <w:style w:type="character" w:customStyle="1" w:styleId="319">
    <w:name w:val="脚注文本 字符"/>
    <w:link w:val="318"/>
    <w:qFormat/>
    <w:uiPriority w:val="0"/>
    <w:rPr>
      <w:rFonts w:ascii="宋体" w:hAnsi="Times New Roman" w:eastAsia="Times New Roman"/>
      <w:sz w:val="18"/>
      <w:szCs w:val="18"/>
    </w:rPr>
  </w:style>
  <w:style w:type="paragraph" w:customStyle="1" w:styleId="320">
    <w:name w:val="目录 21"/>
    <w:basedOn w:val="43"/>
    <w:next w:val="43"/>
    <w:qFormat/>
    <w:uiPriority w:val="0"/>
    <w:pPr>
      <w:ind w:left="420"/>
    </w:pPr>
  </w:style>
  <w:style w:type="paragraph" w:customStyle="1" w:styleId="321">
    <w:name w:val="普通(网站)1"/>
    <w:basedOn w:val="43"/>
    <w:qFormat/>
    <w:uiPriority w:val="0"/>
    <w:pPr>
      <w:widowControl/>
      <w:spacing w:before="100" w:beforeAutospacing="1" w:after="100" w:afterAutospacing="1"/>
      <w:jc w:val="left"/>
    </w:pPr>
    <w:rPr>
      <w:rFonts w:ascii="宋体" w:hAnsi="宋体"/>
      <w:sz w:val="24"/>
    </w:rPr>
  </w:style>
  <w:style w:type="paragraph" w:customStyle="1" w:styleId="322">
    <w:name w:val="标题1"/>
    <w:basedOn w:val="43"/>
    <w:next w:val="43"/>
    <w:qFormat/>
    <w:uiPriority w:val="0"/>
    <w:pPr>
      <w:spacing w:before="300" w:after="200"/>
      <w:contextualSpacing/>
    </w:pPr>
    <w:rPr>
      <w:sz w:val="48"/>
      <w:szCs w:val="48"/>
    </w:rPr>
  </w:style>
  <w:style w:type="table" w:customStyle="1" w:styleId="323">
    <w:name w:val="网格型1"/>
    <w:basedOn w:val="306"/>
    <w:qFormat/>
    <w:uiPriority w:val="0"/>
  </w:style>
  <w:style w:type="character" w:customStyle="1" w:styleId="324">
    <w:name w:val="页码1"/>
    <w:basedOn w:val="305"/>
    <w:link w:val="1"/>
    <w:qFormat/>
    <w:uiPriority w:val="0"/>
  </w:style>
  <w:style w:type="character" w:customStyle="1" w:styleId="325">
    <w:name w:val="超链接11"/>
    <w:link w:val="1"/>
    <w:qFormat/>
    <w:uiPriority w:val="0"/>
    <w:rPr>
      <w:color w:val="0000FF"/>
      <w:u w:val="single"/>
    </w:rPr>
  </w:style>
  <w:style w:type="character" w:customStyle="1" w:styleId="326">
    <w:name w:val="NormalCharacter1"/>
    <w:link w:val="1"/>
    <w:qFormat/>
    <w:uiPriority w:val="0"/>
    <w:rPr>
      <w:sz w:val="28"/>
      <w:lang w:val="en-US" w:eastAsia="zh-CN" w:bidi="ar-SA"/>
    </w:rPr>
  </w:style>
  <w:style w:type="paragraph" w:customStyle="1" w:styleId="327">
    <w:name w:val="目录 11"/>
    <w:basedOn w:val="43"/>
    <w:next w:val="43"/>
    <w:qFormat/>
    <w:uiPriority w:val="0"/>
    <w:pPr>
      <w:widowControl/>
      <w:spacing w:after="100" w:line="259" w:lineRule="auto"/>
      <w:jc w:val="left"/>
    </w:pPr>
    <w:rPr>
      <w:rFonts w:ascii="Calibri" w:hAnsi="Calibri"/>
      <w:sz w:val="22"/>
      <w:szCs w:val="22"/>
    </w:rPr>
  </w:style>
  <w:style w:type="paragraph" w:customStyle="1" w:styleId="328">
    <w:name w:val="Default"/>
    <w:qFormat/>
    <w:uiPriority w:val="0"/>
    <w:pPr>
      <w:widowControl w:val="0"/>
    </w:pPr>
    <w:rPr>
      <w:rFonts w:hint="default" w:ascii="宋体" w:hAnsi="Times New Roman" w:eastAsia="宋体" w:cs="Times New Roman"/>
      <w:color w:val="000000"/>
      <w:sz w:val="24"/>
      <w:szCs w:val="24"/>
    </w:rPr>
  </w:style>
  <w:style w:type="paragraph" w:customStyle="1" w:styleId="329">
    <w:name w:val="Table Paragraph"/>
    <w:basedOn w:val="43"/>
    <w:qFormat/>
    <w:uiPriority w:val="0"/>
    <w:pPr>
      <w:jc w:val="left"/>
    </w:pPr>
    <w:rPr>
      <w:rFonts w:ascii="Arial Unicode MS" w:hAnsi="Arial Unicode MS" w:eastAsia="Arial Unicode MS"/>
      <w:sz w:val="22"/>
      <w:szCs w:val="22"/>
      <w:lang w:val="zh-CN" w:bidi="zh-CN"/>
    </w:rPr>
  </w:style>
  <w:style w:type="paragraph" w:customStyle="1" w:styleId="330">
    <w:name w:val="标准"/>
    <w:basedOn w:val="43"/>
    <w:qFormat/>
    <w:uiPriority w:val="0"/>
    <w:pPr>
      <w:spacing w:line="360" w:lineRule="auto"/>
      <w:ind w:firstLine="200"/>
    </w:pPr>
    <w:rPr>
      <w:szCs w:val="21"/>
    </w:rPr>
  </w:style>
  <w:style w:type="paragraph" w:customStyle="1" w:styleId="331">
    <w:name w:val="p0"/>
    <w:basedOn w:val="46"/>
    <w:qFormat/>
    <w:uiPriority w:val="0"/>
    <w:pPr>
      <w:widowControl/>
    </w:pPr>
    <w:rPr>
      <w:szCs w:val="21"/>
    </w:rPr>
  </w:style>
  <w:style w:type="paragraph" w:customStyle="1" w:styleId="332">
    <w:name w:val="179"/>
    <w:basedOn w:val="43"/>
    <w:qFormat/>
    <w:uiPriority w:val="0"/>
    <w:pPr>
      <w:widowControl/>
      <w:ind w:firstLine="420"/>
      <w:jc w:val="left"/>
    </w:pPr>
    <w:rPr>
      <w:rFonts w:ascii="宋体" w:hAnsi="宋体"/>
      <w:sz w:val="24"/>
    </w:rPr>
  </w:style>
  <w:style w:type="paragraph" w:customStyle="1" w:styleId="333">
    <w:name w:val="UserStyle_0"/>
    <w:qFormat/>
    <w:uiPriority w:val="0"/>
    <w:rPr>
      <w:rFonts w:hint="default" w:ascii="Times New Roman" w:hAnsi="Times New Roman" w:eastAsia="宋体" w:cs="Times New Roman"/>
      <w:color w:val="000000"/>
      <w:sz w:val="24"/>
      <w:szCs w:val="24"/>
    </w:rPr>
  </w:style>
  <w:style w:type="paragraph" w:customStyle="1" w:styleId="334">
    <w:name w:val="列出段落1"/>
    <w:basedOn w:val="43"/>
    <w:qFormat/>
    <w:uiPriority w:val="0"/>
    <w:pPr>
      <w:ind w:firstLine="420"/>
    </w:pPr>
  </w:style>
  <w:style w:type="paragraph" w:customStyle="1" w:styleId="335">
    <w:name w:val="样式 样式 样式 样式 小四 左 首行缩进:  2 字符 + 首行缩进:  2 字符 Char + 右  0 字符1 + 首行缩...3"/>
    <w:basedOn w:val="43"/>
    <w:qFormat/>
    <w:uiPriority w:val="0"/>
    <w:pPr>
      <w:spacing w:line="360" w:lineRule="auto"/>
      <w:ind w:firstLine="480"/>
      <w:jc w:val="left"/>
    </w:pPr>
    <w:rPr>
      <w:sz w:val="24"/>
    </w:rPr>
  </w:style>
  <w:style w:type="paragraph" w:customStyle="1" w:styleId="336">
    <w:name w:val="qowt-stl-正文"/>
    <w:basedOn w:val="43"/>
    <w:qFormat/>
    <w:uiPriority w:val="0"/>
    <w:pPr>
      <w:spacing w:before="100" w:beforeAutospacing="1" w:after="100" w:afterAutospacing="1"/>
    </w:pPr>
    <w:rPr>
      <w:rFonts w:ascii="宋体" w:hAnsi="宋体"/>
      <w:sz w:val="24"/>
    </w:rPr>
  </w:style>
  <w:style w:type="paragraph" w:customStyle="1" w:styleId="337">
    <w:name w:val="_HT_正文"/>
    <w:basedOn w:val="43"/>
    <w:qFormat/>
    <w:uiPriority w:val="0"/>
    <w:pPr>
      <w:spacing w:line="360" w:lineRule="auto"/>
      <w:ind w:firstLine="200"/>
    </w:pPr>
    <w:rPr>
      <w:sz w:val="24"/>
    </w:rPr>
  </w:style>
  <w:style w:type="paragraph" w:customStyle="1" w:styleId="338">
    <w:name w:val="正文首行缩进1"/>
    <w:basedOn w:val="303"/>
    <w:qFormat/>
    <w:uiPriority w:val="0"/>
    <w:pPr>
      <w:spacing w:line="440" w:lineRule="exact"/>
      <w:ind w:firstLine="420"/>
    </w:pPr>
    <w:rPr>
      <w:rFonts w:ascii="宋体"/>
      <w:sz w:val="24"/>
    </w:rPr>
  </w:style>
  <w:style w:type="paragraph" w:customStyle="1" w:styleId="339">
    <w:name w:val="目录 112"/>
    <w:basedOn w:val="1"/>
    <w:next w:val="1"/>
    <w:qFormat/>
    <w:uiPriority w:val="0"/>
  </w:style>
  <w:style w:type="paragraph" w:customStyle="1" w:styleId="340">
    <w:name w:val="文本块11"/>
    <w:basedOn w:val="1"/>
    <w:unhideWhenUsed/>
    <w:qFormat/>
    <w:uiPriority w:val="0"/>
    <w:pPr>
      <w:widowControl w:val="0"/>
      <w:spacing w:after="120"/>
      <w:ind w:left="1440" w:right="1440"/>
      <w:jc w:val="both"/>
    </w:pPr>
    <w:rPr>
      <w:rFonts w:ascii="Calibri" w:hAnsi="Calibri"/>
      <w:sz w:val="21"/>
      <w:szCs w:val="24"/>
    </w:rPr>
  </w:style>
  <w:style w:type="paragraph" w:customStyle="1" w:styleId="341">
    <w:name w:val="正文文本11"/>
    <w:basedOn w:val="1"/>
    <w:next w:val="1"/>
    <w:link w:val="342"/>
    <w:qFormat/>
    <w:uiPriority w:val="0"/>
    <w:pPr>
      <w:widowControl w:val="0"/>
      <w:spacing w:after="120"/>
      <w:jc w:val="both"/>
    </w:pPr>
    <w:rPr>
      <w:rFonts w:ascii="Calibri" w:hAnsi="Calibri"/>
      <w:sz w:val="21"/>
      <w:szCs w:val="24"/>
    </w:rPr>
  </w:style>
  <w:style w:type="character" w:customStyle="1" w:styleId="342">
    <w:name w:val="正文文本 Char"/>
    <w:basedOn w:val="305"/>
    <w:link w:val="341"/>
    <w:qFormat/>
    <w:uiPriority w:val="0"/>
    <w:rPr>
      <w:rFonts w:ascii="Calibri" w:hAnsi="Calibri"/>
      <w:sz w:val="21"/>
      <w:szCs w:val="24"/>
    </w:rPr>
  </w:style>
  <w:style w:type="character" w:customStyle="1" w:styleId="343">
    <w:name w:val="font51"/>
    <w:basedOn w:val="62"/>
    <w:link w:val="1"/>
    <w:qFormat/>
    <w:uiPriority w:val="0"/>
    <w:rPr>
      <w:rFonts w:ascii="Times New Roman" w:hAnsi="Times New Roman" w:cs="Times New Roman"/>
      <w:b/>
      <w:bCs/>
      <w:color w:val="000000"/>
      <w:sz w:val="22"/>
      <w:szCs w:val="22"/>
      <w:u w:val="none"/>
    </w:rPr>
  </w:style>
  <w:style w:type="character" w:customStyle="1" w:styleId="344">
    <w:name w:val="font21"/>
    <w:basedOn w:val="62"/>
    <w:link w:val="1"/>
    <w:qFormat/>
    <w:uiPriority w:val="0"/>
    <w:rPr>
      <w:rFonts w:hint="eastAsia" w:ascii="宋体" w:hAnsi="宋体" w:eastAsia="宋体" w:cs="宋体"/>
      <w:b/>
      <w:bCs/>
      <w:color w:val="000000"/>
      <w:sz w:val="22"/>
      <w:szCs w:val="22"/>
      <w:u w:val="none"/>
    </w:rPr>
  </w:style>
  <w:style w:type="character" w:customStyle="1" w:styleId="345">
    <w:name w:val="font41"/>
    <w:basedOn w:val="62"/>
    <w:link w:val="1"/>
    <w:qFormat/>
    <w:uiPriority w:val="0"/>
    <w:rPr>
      <w:rFonts w:ascii="仿宋_GB2312" w:eastAsia="仿宋_GB2312" w:cs="仿宋_GB2312"/>
      <w:color w:val="000000"/>
      <w:sz w:val="24"/>
      <w:szCs w:val="24"/>
      <w:u w:val="none"/>
    </w:rPr>
  </w:style>
  <w:style w:type="character" w:customStyle="1" w:styleId="346">
    <w:name w:val="layui-laydate-preview"/>
    <w:basedOn w:val="62"/>
    <w:link w:val="1"/>
    <w:qFormat/>
    <w:uiPriority w:val="0"/>
  </w:style>
  <w:style w:type="character" w:customStyle="1" w:styleId="347">
    <w:name w:val="hover"/>
    <w:basedOn w:val="62"/>
    <w:link w:val="1"/>
    <w:qFormat/>
    <w:uiPriority w:val="0"/>
    <w:rPr>
      <w:color w:val="FFFFFF"/>
    </w:rPr>
  </w:style>
  <w:style w:type="character" w:customStyle="1" w:styleId="348">
    <w:name w:val="hover1"/>
    <w:basedOn w:val="62"/>
    <w:link w:val="1"/>
    <w:qFormat/>
    <w:uiPriority w:val="0"/>
    <w:rPr>
      <w:color w:val="5FB878"/>
    </w:rPr>
  </w:style>
  <w:style w:type="character" w:customStyle="1" w:styleId="349">
    <w:name w:val="hover2"/>
    <w:basedOn w:val="62"/>
    <w:link w:val="1"/>
    <w:qFormat/>
    <w:uiPriority w:val="0"/>
    <w:rPr>
      <w:color w:val="5FB878"/>
    </w:rPr>
  </w:style>
  <w:style w:type="character" w:customStyle="1" w:styleId="350">
    <w:name w:val="layui-layer-tabnow"/>
    <w:basedOn w:val="62"/>
    <w:link w:val="1"/>
    <w:qFormat/>
    <w:uiPriority w:val="0"/>
    <w:rPr>
      <w:shd w:val="clear" w:color="auto" w:fill="FFFFFF"/>
    </w:rPr>
  </w:style>
  <w:style w:type="character" w:customStyle="1" w:styleId="351">
    <w:name w:val="first-child"/>
    <w:basedOn w:val="62"/>
    <w:link w:val="1"/>
    <w:qFormat/>
    <w:uiPriority w:val="0"/>
  </w:style>
  <w:style w:type="paragraph" w:customStyle="1" w:styleId="352">
    <w:name w:val="正文首行缩进 211"/>
    <w:basedOn w:val="307"/>
    <w:next w:val="1"/>
    <w:unhideWhenUsed/>
    <w:qFormat/>
    <w:uiPriority w:val="99"/>
    <w:pPr>
      <w:ind w:firstLine="420"/>
    </w:pPr>
  </w:style>
  <w:style w:type="paragraph" w:customStyle="1" w:styleId="353">
    <w:name w:val="文本块12"/>
    <w:basedOn w:val="1"/>
    <w:qFormat/>
    <w:uiPriority w:val="99"/>
    <w:pPr>
      <w:ind w:left="420" w:right="33"/>
      <w:jc w:val="left"/>
    </w:pPr>
    <w:rPr>
      <w:sz w:val="24"/>
      <w:szCs w:val="20"/>
    </w:rPr>
  </w:style>
  <w:style w:type="paragraph" w:customStyle="1" w:styleId="354">
    <w:name w:val="正文文本缩进11"/>
    <w:basedOn w:val="1"/>
    <w:qFormat/>
    <w:uiPriority w:val="0"/>
    <w:pPr>
      <w:spacing w:after="120"/>
      <w:ind w:left="420"/>
    </w:pPr>
  </w:style>
  <w:style w:type="character" w:customStyle="1" w:styleId="355">
    <w:name w:val="NormalCharacter"/>
    <w:qFormat/>
    <w:uiPriority w:val="0"/>
    <w:rPr>
      <w:sz w:val="28"/>
      <w:lang w:val="en-US" w:eastAsia="zh-CN" w:bidi="ar-SA"/>
    </w:rPr>
  </w:style>
  <w:style w:type="paragraph" w:customStyle="1" w:styleId="356">
    <w:name w:val="正文13"/>
    <w:next w:val="35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57">
    <w:name w:val="索引 41"/>
    <w:next w:val="356"/>
    <w:qFormat/>
    <w:uiPriority w:val="0"/>
    <w:pPr>
      <w:widowControl w:val="0"/>
      <w:spacing w:line="274" w:lineRule="auto"/>
      <w:ind w:left="600" w:firstLine="200"/>
      <w:jc w:val="both"/>
    </w:pPr>
    <w:rPr>
      <w:rFonts w:hint="default" w:ascii="Calibri" w:hAnsi="Calibri" w:eastAsia="仿宋_GB2312"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Micro</Company>
  <Pages>19</Pages>
  <Words>5488</Words>
  <Characters>6120</Characters>
  <TotalTime>0</TotalTime>
  <ScaleCrop>false</ScaleCrop>
  <LinksUpToDate>false</LinksUpToDate>
  <CharactersWithSpaces>6124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2024-08-09T08:50:00Z</dcterms:created>
  <dc:creator>香菇</dc:creator>
  <cp:lastModifiedBy>Lོ</cp:lastModifiedBy>
  <cp:lastPrinted>2026-08-19T01:02:00Z</cp:lastPrinted>
  <dcterms:modified xsi:type="dcterms:W3CDTF">2026-08-21T08:15:41Z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eyJoZGlkIjoiNzQ3ODM0NDcwYWJjNDA1YzMyZTYxODc1ZGI1YTk1Y2MiLCJ1c2VySWQiOiI0NjA5NTU3MDAifQ==</vt:lpwstr>
  </property>
  <property fmtid="{D5CDD505-2E9C-101B-9397-08002B2CF9AE}" pid="3" name="KSOProductBuildVer">
    <vt:lpwstr>2052-12.1.0.28043</vt:lpwstr>
  </property>
  <property fmtid="{D5CDD505-2E9C-101B-9397-08002B2CF9AE}" pid="4" name="ICV">
    <vt:lpwstr>7F08FB95621A476E98559C0DBFC10C4D_13</vt:lpwstr>
  </property>
</Properties>
</file>