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r>
      <w:r>
        <w:rPr>
          <w:color w:val="auto"/>
        </w:rPr>
        <mc:AlternateContent>
          <mc:Choice Requires="wpg">
            <w:drawing>
              <wp:inline xmlns:wp="http://schemas.openxmlformats.org/drawingml/2006/wordprocessingDrawing" distT="0" distB="0" distL="0" distR="0">
                <wp:extent cx="1508318" cy="1220298"/>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49557" name=""/>
                        <pic:cNvPicPr>
                          <a:picLocks noChangeAspect="1"/>
                        </pic:cNvPicPr>
                        <pic:nvPr/>
                      </pic:nvPicPr>
                      <pic:blipFill>
                        <a:blip r:embed="rId10"/>
                        <a:stretch/>
                      </pic:blipFill>
                      <pic:spPr bwMode="auto">
                        <a:xfrm flipH="0" flipV="0">
                          <a:off x="0" y="0"/>
                          <a:ext cx="1508318" cy="122029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96.1pt;mso-wrap-distance-left:0.0pt;mso-wrap-distance-top:0.0pt;mso-wrap-distance-right:0.0pt;mso-wrap-distance-bottom:0.0pt;" stroked="false">
                <v:path textboxrect="0,0,0,0"/>
                <v:imagedata r:id="rId10" o:title=""/>
              </v:shape>
            </w:pict>
          </mc:Fallback>
        </mc:AlternateContent>
      </w:r>
      <w:r>
        <w:rPr>
          <w:rFonts w:ascii="SimSun" w:hAnsi="SimSun" w:eastAsia="SimSun" w:cs="SimSun"/>
          <w:color w:val="auto"/>
          <w:spacing w:val="76"/>
          <w:sz w:val="14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招</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标</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文</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件</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 </w:t>
      </w:r>
      <w:r>
        <w:rPr>
          <w:color w:val="auto"/>
        </w:rPr>
      </w:r>
      <w:r/>
    </w:p>
    <w:p>
      <w:pPr>
        <w:ind w:left="1600" w:right="0" w:hanging="1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项目名称：徐州市主城区公共租赁住房运营管理服务项目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项目编号：</w:t>
      </w:r>
      <w:r>
        <w:rPr>
          <w:rFonts w:ascii="Times New Roman" w:hAnsi="Times New Roman" w:eastAsia="Times New Roman" w:cs="Times New Roman"/>
          <w:color w:val="auto"/>
          <w:sz w:val="32"/>
        </w:rPr>
        <w:t xml:space="preserve">JSZC-320300-ZJZB-G2026-0088</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招 标 人：徐州市房屋征收和房产保障管理中心</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采购代理机构：江苏中际招标代理有限公司</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二〇二六年七月</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目录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第一章 投标邀请</w:t>
      </w:r>
      <w:r>
        <w:rPr>
          <w:rFonts w:ascii="Times New Roman" w:hAnsi="Times New Roman" w:eastAsia="Times New Roman" w:cs="Times New Roman"/>
          <w:color w:val="000000"/>
          <w:sz w:val="28"/>
        </w:rPr>
        <w:tab/>
      </w:r>
      <w:r>
        <w:rPr>
          <w:color w:val="auto"/>
        </w:rPr>
        <w:t xml:space="preserve">3</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第二章 投标人须知</w:t>
        <w:tab/>
        <w:t xml:space="preserve">5</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第三章 投标资料表</w:t>
        <w:tab/>
        <w:t xml:space="preserve">13</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第四章 评标标准</w:t>
        <w:tab/>
        <w:t xml:space="preserve">20</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第五章 拟签订的合同文本</w:t>
        <w:tab/>
        <w:t xml:space="preserve">24</w:t>
      </w:r>
      <w:r>
        <w:rPr>
          <w:color w:val="auto"/>
        </w:rPr>
      </w:r>
      <w:r/>
    </w:p>
    <w:p>
      <w:pPr>
        <w:ind w:left="0" w:right="0" w:firstLine="0"/>
        <w:spacing w:before="0" w:after="0" w:line="113" w:lineRule="atLeast"/>
        <w:tabs>
          <w:tab w:val="left" w:pos="9355" w:leader="none"/>
        </w:tabs>
        <w:pBdr>
          <w:top w:val="none" w:color="000000" w:sz="4" w:space="0"/>
          <w:left w:val="none" w:color="000000" w:sz="4" w:space="0"/>
          <w:bottom w:val="none" w:color="000000" w:sz="4" w:space="0"/>
          <w:right w:val="none" w:color="000000" w:sz="4" w:space="0"/>
        </w:pBdr>
      </w:pPr>
      <w:r>
        <w:rPr>
          <w:color w:val="auto"/>
        </w:rPr>
        <w:t xml:space="preserve">第六章 采购需求</w:t>
        <w:tab/>
        <w:t xml:space="preserve">30</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t xml:space="preserve">第七章  投标文件相关格式</w:t>
        <w:tab/>
        <w:t xml:space="preserve">36</w:t>
      </w:r>
      <w:r>
        <w:rPr>
          <w:color w:val="auto"/>
        </w:rPr>
      </w:r>
      <w:r/>
    </w:p>
    <w:p>
      <w:pPr>
        <w:ind w:left="0" w:right="0" w:firstLine="0"/>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徐州市房屋征收和房产保障管理中心</w:t>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《徐州市主城区公共租赁住房运营管理服务项目》</w:t>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招标文件</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第一章投标邀请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江苏中际招标代理有限公司对徐州市房屋征收和房产保障管理中心“徐州市主城区公共租赁住房运营管理服务项目”进行公开招标采购，现邀请符合相关条件的供应商投标。</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一、项目名称和项目编号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一</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项目名称：徐州市主城区公共租赁住房运营管理服务项目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二</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JSZC-320300-ZJZB-G2026-0088</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二、对投标人的资格要求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详见本项目公开招标公告。</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三、获取招标文件</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）潜在供应商访问电子招标投标交易平台的网络地址和方法：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①</w:t>
      </w:r>
      <w:r>
        <w:rPr>
          <w:rFonts w:ascii="SimSun" w:hAnsi="SimSun" w:eastAsia="SimSun" w:cs="SimSun"/>
          <w:color w:val="auto"/>
          <w:sz w:val="24"/>
        </w:rPr>
        <w:t xml:space="preserve">“苏采云”系统用户注册</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获取“</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绑定与登录</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网上报名</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下载采购文件（后缀名为“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将后缀名为“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”的采购文件导入政府采购客户端工具</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制作投标文件</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导出加密的投标文件（后缀名为</w:t>
      </w:r>
      <w:r>
        <w:rPr>
          <w:rFonts w:ascii="Times New Roman" w:hAnsi="Times New Roman" w:eastAsia="Times New Roman" w:cs="Times New Roman"/>
          <w:color w:val="auto"/>
          <w:sz w:val="24"/>
        </w:rPr>
        <w:t xml:space="preserve">zip</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通过“苏采云”系统上传投标文件。具体见《江苏省政府采购管理交易系统（苏采云）供应商操作手册》。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②潜在供应商访问“苏采云”系统的网络地址和方法：“苏采云”系统的网址：</w:t>
      </w:r>
      <w:r>
        <w:rPr>
          <w:rFonts w:ascii="Times New Roman" w:hAnsi="Times New Roman" w:eastAsia="Times New Roman" w:cs="Times New Roman"/>
          <w:color w:val="auto"/>
          <w:sz w:val="24"/>
        </w:rPr>
        <w:t xml:space="preserve">https://jszfcg.jsczt.cn/jszc/login</w:t>
      </w:r>
      <w:r>
        <w:rPr>
          <w:rFonts w:ascii="SimSun" w:hAnsi="SimSun" w:eastAsia="SimSun" w:cs="SimSun"/>
          <w:color w:val="auto"/>
          <w:sz w:val="24"/>
        </w:rPr>
        <w:t xml:space="preserve">；或进入徐州政府采购网（网址：</w:t>
      </w:r>
      <w:r>
        <w:rPr>
          <w:rFonts w:ascii="Times New Roman" w:hAnsi="Times New Roman" w:eastAsia="Times New Roman" w:cs="Times New Roman"/>
          <w:color w:val="auto"/>
          <w:sz w:val="24"/>
        </w:rPr>
        <w:t xml:space="preserve">http://czj.xz.gov.cn/Home/HomeIndex</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用户登录，点击“苏采云”进入系统。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数字证书”的获取：</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供应商需办理</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锁，“苏采云”系统目前仅支持“苏采云”系统下的政务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，省内各地区办理的“苏采云”系统下的政务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全省通用。“</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数字证书”的办理材料详见“徐州政府采购网</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快速服务</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下载专区”中的《“苏采云”系统政务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办理材料、操作手册及控件下载》。</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④采购文件（后缀名为“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”）、供应商操作手册及政府采购客户端工具可通过“苏采云”系统</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已报名项目</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报名详情页面内相应链接进行下载；供应商操作手册及政府采购客户端工具也可通过徐州政府采购网</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快速服务</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下载专区，点击进入《江苏省政府采购管理交易系统（苏采云）供应商操作手册及政府采购客户端》，进行下载。</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）采购代理机构将数据电文形式的招标文件加载至电子招标投标交易平台，供潜在供应商下载或者查阅。</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）苏采云系统使用谷歌浏览器参与不见面开标。</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）售价：免费。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四、投标有关信息</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（一）线上提交投标文件截止时间：2026年8月21日9点30分（北京时间）</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（二）线上开标时间：2026年8月21日9点30分（北京时间）</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（三）线上开标地点：“苏采云”系统（网址：</w:t>
      </w:r>
      <w:r>
        <w:rPr>
          <w:rFonts w:ascii="SimSun" w:hAnsi="SimSun" w:eastAsia="SimSun" w:cs="SimSun"/>
          <w:color w:val="auto"/>
          <w:sz w:val="24"/>
        </w:rPr>
        <w:t xml:space="preserve">https://jszfcg.jsczt.cn/jszc/login</w:t>
      </w:r>
      <w:r>
        <w:rPr>
          <w:rFonts w:ascii="SimSun" w:hAnsi="SimSun" w:eastAsia="SimSun" w:cs="SimSun"/>
          <w:color w:val="auto"/>
          <w:sz w:val="24"/>
        </w:rPr>
        <w:t xml:space="preserve">）“开标大厅”或进入徐州政府采购网（网址：http://czj.xz.gov.cn/Home/HomeIndex）-业务工作-用户登录，点击“苏采云”进入系统“开标大厅” 。</w:t>
      </w:r>
      <w:r>
        <w:rPr>
          <w:color w:val="auto"/>
        </w:rPr>
      </w:r>
      <w:r/>
    </w:p>
    <w:p>
      <w:pPr>
        <w:ind w:left="0" w:right="0" w:firstLine="241"/>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五、采购人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（一）名称：徐州市房屋征收和房产保障管理中心</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（二）地址：坝子街</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号中和大厦</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（三）联系方法：18952112875</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（四）采购项目联系人：林旭，电话：18952112875</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六、采购代理机构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（一）名称：江苏中际招标代理有限公司</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（二）地址：徐州市云龙区绿地商务城</w:t>
      </w:r>
      <w:r>
        <w:rPr>
          <w:rFonts w:ascii="Times New Roman" w:hAnsi="Times New Roman" w:eastAsia="Times New Roman" w:cs="Times New Roman"/>
          <w:color w:val="auto"/>
          <w:sz w:val="24"/>
        </w:rPr>
        <w:t xml:space="preserve">LOFT</w:t>
      </w:r>
      <w:r>
        <w:rPr>
          <w:rFonts w:ascii="SimSun" w:hAnsi="SimSun" w:eastAsia="SimSun" w:cs="SimSun"/>
          <w:color w:val="auto"/>
          <w:sz w:val="24"/>
        </w:rPr>
        <w:t xml:space="preserve">领海办公楼</w:t>
      </w:r>
      <w:r>
        <w:rPr>
          <w:rFonts w:ascii="Times New Roman" w:hAnsi="Times New Roman" w:eastAsia="Times New Roman" w:cs="Times New Roman"/>
          <w:color w:val="auto"/>
          <w:sz w:val="24"/>
        </w:rPr>
        <w:t xml:space="preserve">5#1905</w:t>
      </w:r>
      <w:r>
        <w:rPr>
          <w:rFonts w:ascii="SimSun" w:hAnsi="SimSun" w:eastAsia="SimSun" w:cs="SimSun"/>
          <w:color w:val="auto"/>
          <w:sz w:val="24"/>
        </w:rPr>
        <w:t xml:space="preserve">室（汉风路和昆仑大道交叉口东北角）</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（三）联系方法：</w:t>
      </w:r>
      <w:r>
        <w:rPr>
          <w:rFonts w:ascii="Times New Roman" w:hAnsi="Times New Roman" w:eastAsia="Times New Roman" w:cs="Times New Roman"/>
          <w:color w:val="auto"/>
          <w:sz w:val="24"/>
        </w:rPr>
        <w:t xml:space="preserve">0516-83200166</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（四）采购项目联系人：邵伟；联系电话：</w:t>
      </w:r>
      <w:r>
        <w:rPr>
          <w:rFonts w:ascii="Times New Roman" w:hAnsi="Times New Roman" w:eastAsia="Times New Roman" w:cs="Times New Roman"/>
          <w:color w:val="auto"/>
          <w:sz w:val="24"/>
        </w:rPr>
        <w:t xml:space="preserve">0516-83200166</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第二章 投标人须知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一、总则</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（一）采购人。采购人即指依法进行政府采购的国家机关、事业单位和团体组织。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（二）政府招标采购方式。政府采购货物或服务（以下简称“货物服务”）的招标方式，分为公开招标和邀请招标。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（三）采购人在采购货物服务的招标投标活动中，应当贯彻落实“节约能源、保护环境、扶持不发达地区和少数民族地区和促进中小企业发展”等政府采购政策。</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（五）采购人委托采购代理机构代理招标的，采购代理机构必须在采购人委托的范围内依法开展采购活动。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（六）投标人的资格条件：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参加“政府采购货物服务投标活动”的供应商（以下简称投标人），应当是能够提供本国货物服务的本国供应商，但法律、行政法规规定的外国供应商可以参加货物服务招标投标活动的除外。</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投标人是指响应招标、参加投标竞争的法人、其他组织或者自然人。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投标人授权代表系指法定代表人或受法人委托的受托人。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（七）投标费用：投标人应承担所有与准备和参加投标有关的费用。无论投标的结果如何，采购代理机构对上述费用不承担任何责任和义务。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二、招标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（八）招标文件应包括以下内容：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第一章，投标邀请；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第二章，投标人须知；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第三章，投标资料表；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第四章，评标标准；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第五章，拟签订的合同文本；</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第六章，采购需求；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第七章，投标文件相关格式。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（九）招标文件澄清或者修改：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澄清或者修改的内容可能影响投标文件编制的，采购代理机构应当在投标截止时间至少</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日前，以书面形式通知所有获取招标文件的潜在投标人；不足</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日的，采购代理机构应当顺延提交投标文件的截止时间。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现场考察以本文件第三章《投标资料表》中的要求为准。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开标前答疑会以本文件第三章《投标资料表》中的要求为准。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三、投标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（十）投标人应当按照招标文件的要求编制投标文件。投标文件应对招标文件提出的要求和条件作出实质性响应。</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（十一）投标文件的语言。投标文件以及投标人与采购代理机构就有关投标的往来函电均应使用本文件第三章《投标资料表》规定的语言书写，否则无效。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（十二）投标文件的构成：</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投标文件的构成以本文件第三章《投标资料表》中的要求为准。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投标人应当提交的资格、资信证明文件，以本文件第三章《投标资料表》中的所提要求为准。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（十三）投标函和价格表、商务条件、交货和提供服务的时间：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投标函和价格表的要求见本章（十二）、（十三），格式见本文件第七章《投标文件相关格式》中《投标函》和《开标一览表》。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商务条件以本文件第三章《投标资料表》中的要求为准。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交货和提供服务的时间，以本文件第三章《投标资料表》中所提要求为准。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（十四）投标报价要求：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投标人应按照招标文件的要求报出分项价格和总价。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投标人应按照招标文件的要求进行报价，如投标人作出偏离，应在《偏离表》中列出。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采购人不支付报价以外的任何费用。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投标人所报的价格，在合同执行过程中是固定的，不得以任何理由予以变更。投标人提交滑动价格的投标文件，在资格性、符合性检查时按照无效投标处理。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投标人只能提交一个投标价格，投标人提交多个价格的投标文件，在资格性、符合性检查时按照无效投标处理。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（十五）投标货币。以本文件第三章《投标资料表》中所提要求为准。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（十六）投标有效期：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投标有效期为开标之日后</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天。采购人可以要求对投标有效期延长一次，但该延长期最长不得超过</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采购人要求延长投标有效期的，必须要在距投标有效期满</w:t>
      </w:r>
      <w:r>
        <w:rPr>
          <w:rFonts w:ascii="Times New Roman" w:hAnsi="Times New Roman" w:eastAsia="Times New Roman" w:cs="Times New Roman"/>
          <w:color w:val="auto"/>
          <w:sz w:val="24"/>
        </w:rPr>
        <w:t xml:space="preserve">20</w:t>
      </w:r>
      <w:r>
        <w:rPr>
          <w:rFonts w:ascii="SimSun" w:hAnsi="SimSun" w:eastAsia="SimSun" w:cs="SimSun"/>
          <w:color w:val="auto"/>
          <w:sz w:val="24"/>
        </w:rPr>
        <w:t xml:space="preserve">日之前，以书面形式通知投标人，如果有关投标人同意延长投标有效期的要求，其应在原投标有效期期满前以书面形式向采购人确认。</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如果采购人发出要求延长投标有效期的通知，并在投标有效期届满前，没有收到投标人同意的书面通知，则视为该投标人不接受上述延期的要求。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（十七）投标文件的编制要求和签署要求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）投标人应由其法定代表人或法定代表人授权代表在规定的网上投标时间，凭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证书登陆“苏采云”系统在线编制投标文件（电子数据），并在投标截止时间之前上传投标文件。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）投标人应对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证书妥善保管，如被他人盗用投标，因此带来的结果均由投标人自行承担。</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）投标人应当对招标文件提出的要求和条件作出实质性响应，并在电子投标系统逐条应答。</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）投标人应对要求提供的资格证明文件（如资质证书、资格证书）、技术资料（如白皮书、彩页、手册、检测报告等）扫描上传至投标系统。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（十八）投标文件的盖章要求：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投标文件的盖章要求，以本文件第三章《投标资料表》中所提要求为准。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（十九）提交投标文件的截止时间和收到投标文件后注意事项。投标人应在招标文件要求的提交投标文件的截止时间前，将投标文件提交至“苏采云”系统。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证书进行网上解密。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（二十二）本项目不允许分包。</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（二十三）投标人应当遵循公平竞争的原则，不得恶意串通，不得妨碍其他投标人的竞争行为，不得损害采购人或者其他投标人的合法权益。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在评标过程中发现投标人有上述情形的，评标委员会应当认定其投标无效，并书面报告本级财政部门。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（二十四）有下列情形之一的，其投标无效。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不同投标人的投标文件，由同一单位或者个人编制；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不同投标人委托同一单位或者个人办理投标事宜；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不同投标人的投标文件中，所载明的项目管理成员或联系人为同一人；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不同投标人的投标文件，异常一致或者投标报价呈规律性差异；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不同投标人投标文件内容存在非正常一致、项目组成员出现同一人、投标文件中错误（或异常）一致或雷同、电子文档信息一致或雷同的、投标报价呈规律性差异的；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 </w:t>
      </w:r>
      <w:r>
        <w:rPr>
          <w:rFonts w:ascii="SimSun" w:hAnsi="SimSun" w:eastAsia="SimSun" w:cs="SimSun"/>
          <w:color w:val="auto"/>
          <w:sz w:val="24"/>
        </w:rPr>
        <w:t xml:space="preserve">电子投标文件未按规定期限投标的；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 </w:t>
      </w:r>
      <w:r>
        <w:rPr>
          <w:rFonts w:ascii="SimSun" w:hAnsi="SimSun" w:eastAsia="SimSun" w:cs="SimSun"/>
          <w:color w:val="auto"/>
          <w:sz w:val="24"/>
        </w:rPr>
        <w:t xml:space="preserve">电子投标文件未按招标文件要求签章的；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 </w:t>
      </w:r>
      <w:r>
        <w:rPr>
          <w:rFonts w:ascii="SimSun" w:hAnsi="SimSun" w:eastAsia="SimSun" w:cs="SimSun"/>
          <w:color w:val="auto"/>
          <w:sz w:val="24"/>
        </w:rPr>
        <w:t xml:space="preserve">投标人未在规定时间内解密电子投标文件的；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 </w:t>
      </w:r>
      <w:r>
        <w:rPr>
          <w:rFonts w:ascii="SimSun" w:hAnsi="SimSun" w:eastAsia="SimSun" w:cs="SimSun"/>
          <w:color w:val="auto"/>
          <w:sz w:val="24"/>
        </w:rPr>
        <w:t xml:space="preserve">投标文件未按招标文件规定的内容和要求填写的；没有在投标系统指定位置上传对应文件、材料的；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10. </w:t>
      </w:r>
      <w:r>
        <w:rPr>
          <w:rFonts w:ascii="SimSun" w:hAnsi="SimSun" w:eastAsia="SimSun" w:cs="SimSun"/>
          <w:color w:val="auto"/>
          <w:sz w:val="24"/>
        </w:rPr>
        <w:t xml:space="preserve">不具备招标文件中规定的资格要求的；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11. </w:t>
      </w:r>
      <w:r>
        <w:rPr>
          <w:rFonts w:ascii="SimSun" w:hAnsi="SimSun" w:eastAsia="SimSun" w:cs="SimSun"/>
          <w:color w:val="auto"/>
          <w:sz w:val="24"/>
        </w:rPr>
        <w:t xml:space="preserve">报价超过招标文件中规定的预算金额或者最高限价的；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12. </w:t>
      </w:r>
      <w:r>
        <w:rPr>
          <w:rFonts w:ascii="SimSun" w:hAnsi="SimSun" w:eastAsia="SimSun" w:cs="SimSun"/>
          <w:color w:val="auto"/>
          <w:sz w:val="24"/>
        </w:rPr>
        <w:t xml:space="preserve">投标文件含有采购人不能接受的附加条件的；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13. </w:t>
      </w:r>
      <w:r>
        <w:rPr>
          <w:rFonts w:ascii="SimSun" w:hAnsi="SimSun" w:eastAsia="SimSun" w:cs="SimSun"/>
          <w:color w:val="auto"/>
          <w:sz w:val="24"/>
        </w:rPr>
        <w:t xml:space="preserve">法律、法规和招标文件规定的其他无效情形。</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四、开标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（二十五）开标：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开标时间及地点。开标应当在招标文件确定的提交投标文件截止时间的同一时间公开进行；开标地点应当为招标文件中预先确定的地点。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由电子招标投标交易平台主持，邀请投标人参加。</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所有投标单位使用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证书在开标时间时，解密各自投标文件，由工作人员操作系统进行开标，投标人不足</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家的，不得评标。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投标人原因造成投标文件未解密的，视为撤销其投标文件</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因投标人之外的原因造成投标文件未解密的，视为撤回其投标文件。部分投标文件未解密的，其他投标文件的开标可以继续进行。</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（二十六）公开招标采购项目开标结束后，采购人依法对投标人的资格进行审查。合格投标人不足</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家的，不得评标。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评标工作由采购代理机构负责组织，并履行下列职责：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）核对评审专家身份和采购人代表授权函，对评审专家在政府采购活动中的职责履行情况予以记录，并及时将有关违法违规行为向财政部门报告；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）宣布评标纪律；</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）公布投标人名单，告知评审专家应当回避的情形；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）组织评标委员会推选评标组长（采购人代表不得担任组长）；</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）在评标期间采取必要的通讯管理措施，保证评标活动不受外界干扰；</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）根据评标委员会的要求介绍政府采购相关政策法规、招标文件；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7</w:t>
      </w:r>
      <w:r>
        <w:rPr>
          <w:rFonts w:ascii="SimSun" w:hAnsi="SimSun" w:eastAsia="SimSun" w:cs="SimSun"/>
          <w:color w:val="auto"/>
          <w:sz w:val="24"/>
        </w:rPr>
        <w:t xml:space="preserve">）维护评标秩序，监督评标委员会依照招标文件规定的评标程序、方法和标准进行独立评审。及时制止和纠正采购人代表、评审专家的倾向性言论或者违法违规行为；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）核对评标结果，对有《政府采购货物和服务招标投标管理办法》第六十四条规定情形的，应要求评标委员会复核或者书面说明理由，评标委员会拒绝的，应予记录并向本级财政部门报告；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）评审工作完成后，按照规定向评审专家支付劳务报酬和异地评审差旅费，不得向评审专家以外的其他人员支付评审劳务报酬；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）处理与评标有关的其他事项。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采购人可以在评标前说明项目背景和采购需求，说明内容不得含有歧视性、倾向性意见，不得超出招标文件所述范围。其说明应当提交书面材料，并随采购文件一并存档。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评标委员会负责具体评标事务，并独立履行下列职责：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）审查、评价投标文件是否符合招标文件的商务、技术等实质性要求；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）要求投标人对投标文件有关事项作出澄清或者说明；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）对投标文件进行比较和评价；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）确定中标候选人名单，以及根据采购人委托直接确定中标人；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）向采购人、采购代理机构或有关部门报告评标中发现的违法行为。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（二十七）评标方法分为最低评标价法和综合评分法。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评标工作程序：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）投标文件初审。</w:t>
      </w:r>
      <w:r>
        <w:rPr>
          <w:color w:val="auto"/>
        </w:rPr>
      </w:r>
      <w:r/>
    </w:p>
    <w:p>
      <w:pPr>
        <w:ind w:left="48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①资格性审查。</w:t>
      </w:r>
      <w:r>
        <w:rPr>
          <w:color w:val="auto"/>
        </w:rPr>
      </w:r>
      <w:r/>
    </w:p>
    <w:p>
      <w:pPr>
        <w:ind w:left="48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②符合性审查。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）澄清有关问题。</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）比较与评价。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）推荐中标候选供应商名单。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）编写评审报告（评标报告）。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在评标中，不得改变招标文件中规定的评标标准、方法和中标条件。评标委员会对投标文件响应性的判定，要基于投标文件本身的内容，而不得寻求外部的证据。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非单一产品采购项目，多家投标人提供的核心产品品牌相同的，按前两款规定处理。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（二十九）投标文件报价出现前后不一致的，按照下列规定修正：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投标文件中开标一览表（报价表）内容与投标文件中相应内容不一致的，以开标一览表（报价表）为准；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大写金额和小写金额不一致的，以大写金额为准；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单价金额小数点或者百分比有明显错位的，以开标一览表的总价为准，并修改单价；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总价金额与按单价合计金额不一致的，以单价金额计算结果为准。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同时出现两种以上不一致的，按照前款规定的顺序修正。将修正后的报价，形成投标人的澄清、说明或补正材料，经投标人确认后产生约束力。投标人不确认的，其投标无效。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评标中需要投标人对投标文件澄清或者说明的，应当通过“苏采云”系统交换数据电文。在评标期间，请投标人保持在线。</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（三十）实施政府采购异常低价审查的有关要求：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none"/>
        </w:rPr>
        <w:t xml:space="preserve">（一）评审中出现下列情形之一的，评审（评标）委员会应当启动异常低价投标（响应）审查程序：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投标（响应）报价低于全部通过符合性审查供应商投标（响应）报价平均值</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的，即投标（响应）报价</w:t>
      </w:r>
      <w:r>
        <w:rPr>
          <w:rFonts w:ascii="Times New Roman" w:hAnsi="Times New Roman" w:eastAsia="Times New Roman" w:cs="Times New Roman"/>
          <w:color w:val="auto"/>
          <w:sz w:val="24"/>
        </w:rPr>
        <w:t xml:space="preserve">&lt;</w:t>
      </w:r>
      <w:r>
        <w:rPr>
          <w:rFonts w:ascii="SimSun" w:hAnsi="SimSun" w:eastAsia="SimSun" w:cs="SimSun"/>
          <w:color w:val="auto"/>
          <w:sz w:val="24"/>
        </w:rPr>
        <w:t xml:space="preserve">全部通过符合性审查供应商投标（响应）报价平均值×</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投标（响应）报价低于通过符合性审查的次低报价供应商投标（响应）报价</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的，即投标（响应）报价</w:t>
      </w:r>
      <w:r>
        <w:rPr>
          <w:rFonts w:ascii="Times New Roman" w:hAnsi="Times New Roman" w:eastAsia="Times New Roman" w:cs="Times New Roman"/>
          <w:color w:val="auto"/>
          <w:sz w:val="24"/>
        </w:rPr>
        <w:t xml:space="preserve">&lt;</w:t>
      </w:r>
      <w:r>
        <w:rPr>
          <w:rFonts w:ascii="SimSun" w:hAnsi="SimSun" w:eastAsia="SimSun" w:cs="SimSun"/>
          <w:color w:val="auto"/>
          <w:sz w:val="24"/>
        </w:rPr>
        <w:t xml:space="preserve">通过符合性审查的次低报价供应商投标（响应）报价×</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投标（响应）报价低于采购项目最高限价（未设定最高限价的采购项目，以采购项目预算金额作为最高限价）</w:t>
      </w:r>
      <w:r>
        <w:rPr>
          <w:rFonts w:ascii="Times New Roman" w:hAnsi="Times New Roman" w:eastAsia="Times New Roman" w:cs="Times New Roman"/>
          <w:color w:val="auto"/>
          <w:sz w:val="24"/>
        </w:rPr>
        <w:t xml:space="preserve">45%</w:t>
      </w:r>
      <w:r>
        <w:rPr>
          <w:rFonts w:ascii="SimSun" w:hAnsi="SimSun" w:eastAsia="SimSun" w:cs="SimSun"/>
          <w:color w:val="auto"/>
          <w:sz w:val="24"/>
        </w:rPr>
        <w:t xml:space="preserve">的，即投标（响应）报价</w:t>
      </w:r>
      <w:r>
        <w:rPr>
          <w:rFonts w:ascii="Times New Roman" w:hAnsi="Times New Roman" w:eastAsia="Times New Roman" w:cs="Times New Roman"/>
          <w:color w:val="auto"/>
          <w:sz w:val="24"/>
        </w:rPr>
        <w:t xml:space="preserve">&lt;</w:t>
      </w:r>
      <w:r>
        <w:rPr>
          <w:rFonts w:ascii="SimSun" w:hAnsi="SimSun" w:eastAsia="SimSun" w:cs="SimSun"/>
          <w:color w:val="auto"/>
          <w:sz w:val="24"/>
        </w:rPr>
        <w:t xml:space="preserve">采购项目最高限价×</w:t>
      </w:r>
      <w:r>
        <w:rPr>
          <w:rFonts w:ascii="Times New Roman" w:hAnsi="Times New Roman" w:eastAsia="Times New Roman" w:cs="Times New Roman"/>
          <w:color w:val="auto"/>
          <w:sz w:val="24"/>
        </w:rPr>
        <w:t xml:space="preserve">45%</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评审（评标）委员会基于专业判断，认为供应商报价过低，有可能影响产品质量或者不能诚信履约的其他情形。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相关法律法规对供应商报价有规定的，从其规定。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（二）评审（评标）委员会启动异常低价投标（响应）审查后，属于前述第</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项至第</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分钟。其中，属于第</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项情形，供应商已随投标（响应）文件一并提交相关书面说明及必要的证明材料的，在评审现场可不再重复提交。</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（三十二）废标条款：</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出现下列情形之一的，应予废标。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符合专业条件的供应商或者对招标文件作实质响应的供应商不足三家的；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出现影响采购公正的违法、违规行为的；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投标人的报价均超过了采购预算，采购人不能支付的；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因重大变故，采购任务取消的。</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六、定标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（三十三）采购代理机构应当在评标结束后</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个工作日内将评标报告送采购人。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（三十四）采购人应当自收到评标报告之日起</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个工作日内，在评标报告确定的中标候选人名单中按顺序确定中标人。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七、政府采购合同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（三十六）签订政府采购合同（合同签订方式）：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采购人应当自中标通知书发出之日起</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日内，按照招标文件和中标人投标文件的规定，与中标人签订书面合同。所签订的合同不得对招标文件确定的事项和中标人投标文件作实质性修改。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采购人不得向中标人提出任何不合理的要求作为签订合同的条件。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（三十七）采购人与中标人应当根据合同的约定依法履行合同义务。政府采购合同的履行、违约责任和解决争议的方法等，按《中华人民共和国合同法》相关条款执行。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（三十八）履约保证金：要求详见《第三章投标资料表》（三十八）的规定。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（三十九）腐败和欺诈行为：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采购代理机构、采购人、投标人等参与招投标的各方，均应在招标、采购、合同执行等过程中保持廉洁和最高的道德水准。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）腐败和欺诈行为的含义：</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①“腐败行为”系指在招标、采购和合同执行等过程中，为了谋求私利，影响相关人员提供、给予、接受或索取有价物品，并导致损害买方、卖方、采购代理机构和他人利益的行为。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②“欺诈行为”系指为了影响招标、采购和合同执行等过程，隐瞒事实真象，给买方、卖方、采购代理机构及他人造成损害的行为，其中包括投标人之间的串通行为。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）如果被推荐的中标人有腐败和欺诈行为，将取消其中标资格。</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）如果投标人在任何时候，被法院及政府有关管理部门认定为有腐败和欺诈行为，采购代理机构有权拒绝其投标、取消其中标资格和撤消其已签署的合同。</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八、询问和质疑</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（四十）询问和质疑</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九、电子招标投标交易平台</w:t>
      </w:r>
      <w:r>
        <w:rPr>
          <w:color w:val="auto"/>
        </w:rPr>
      </w:r>
      <w:r/>
    </w:p>
    <w:p>
      <w:pPr>
        <w:contextualSpacing w:val="0"/>
        <w:ind w:left="0" w:right="0" w:firstLine="480"/>
        <w:jc w:val="left"/>
        <w:keepLines/>
        <w:keepNext/>
        <w:spacing w:before="0" w:after="0" w:line="312" w:lineRule="atLeast"/>
        <w:rPr>
          <w:color w:val="auto"/>
        </w:rPr>
        <w:pBdr>
          <w:top w:val="none" w:color="000000" w:sz="4" w:space="0"/>
          <w:left w:val="none" w:color="000000" w:sz="4" w:space="0"/>
          <w:bottom w:val="none" w:color="000000" w:sz="4" w:space="0"/>
          <w:right w:val="none" w:color="000000" w:sz="4" w:space="0"/>
        </w:pBdr>
        <w:suppressLineNumbers/>
      </w:pPr>
      <w:r>
        <w:rPr>
          <w:rFonts w:ascii="SimSun" w:hAnsi="SimSun" w:eastAsia="SimSun" w:cs="SimSun"/>
          <w:color w:val="auto"/>
          <w:sz w:val="24"/>
        </w:rPr>
      </w:r>
      <w:r>
        <w:rPr>
          <w:rFonts w:ascii="SimSun" w:hAnsi="SimSun" w:eastAsia="SimSun" w:cs="SimSun"/>
          <w:color w:val="auto"/>
          <w:sz w:val="24"/>
        </w:rPr>
        <w:t xml:space="preserve">（四十一）电子招标投标交易平台（即“苏采云”系统，网址：</w:t>
      </w:r>
      <w:r>
        <w:rPr>
          <w:rFonts w:ascii="SimSun" w:hAnsi="SimSun" w:eastAsia="SimSun" w:cs="SimSun"/>
          <w:color w:val="auto"/>
          <w:sz w:val="24"/>
        </w:rPr>
        <w:t xml:space="preserve">https://jszfcg.jsczt.cn/jszc/login）相关要求是本招标文件的组成部分。</w:t>
      </w:r>
      <w:r>
        <w:rPr>
          <w:rFonts w:ascii="SimSun" w:hAnsi="SimSun" w:eastAsia="SimSun" w:cs="SimSun"/>
          <w:color w:val="auto"/>
          <w:sz w:val="24"/>
        </w:rPr>
        <w:br w:type="page" w:clear="all"/>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第三章 投标资料表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该资料表的条款项号是与《投标人须知》的条款项号相对应的，若有增加的条款，是对《投标人须知》的补充、修改和完善，如果因此而造成矛盾时，应以本资料表为准。</w:t>
      </w:r>
      <w:r>
        <w:rPr>
          <w:color w:val="auto"/>
        </w:rPr>
      </w:r>
      <w:r/>
    </w:p>
    <w:tbl>
      <w:tblPr>
        <w:tblStyle w:val="70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1577"/>
        <w:gridCol w:w="7777"/>
      </w:tblGrid>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条款项号</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内    容</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总则</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本项目采购人：徐州市房屋征收和房产保障管理中心</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本次采购采用的政府采购方式：公开招标。</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采购人确定的采购项目属性：服务</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本项目采购代理机构：江苏中际招标代理有限公司</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投标人的资格条件：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一、符合《中华人民共和国政府采购法》第二十二条的规定；</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二、本项目属于专门面向中小微企业采购的项目，供应商应为中小微企业、监狱企业、残疾人福利性单位。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同时明确相关事项如下：</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(一)本项目不接受联合体参与采购活动。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(二)单位负责人为同一人或者存在直接控股、管理关系的不同供应商，不得参加同一合同项下的政府采购活动。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三、为本采购项目提供整体设计、规范编制或者项目管理、监理、检测等服务的供应商，不得再参加本采购项目的采购活动。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四、查询及使用供应商信用记录：</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(一)由采购人查询信用信息。</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(二)查询渠道包括：</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“信用中国”网（</w:t>
            </w:r>
            <w:hyperlink r:id="rId11" w:tooltip="http://www.creditchina.gov.cn/" w:history="1">
              <w:r>
                <w:rPr>
                  <w:rStyle w:val="708"/>
                  <w:rFonts w:ascii="SimSun" w:hAnsi="SimSun" w:eastAsia="SimSun" w:cs="SimSun"/>
                  <w:color w:val="auto"/>
                  <w:sz w:val="21"/>
                  <w:u w:val="none"/>
                </w:rPr>
                <w:t xml:space="preserve">www.creditchina.gov.cn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中国政府采购网（</w:t>
            </w:r>
            <w:hyperlink r:id="rId12" w:tooltip="http://www.ccgp.gov.cn/" w:history="1">
              <w:r>
                <w:rPr>
                  <w:rStyle w:val="708"/>
                  <w:rFonts w:ascii="SimSun" w:hAnsi="SimSun" w:eastAsia="SimSun" w:cs="SimSun"/>
                  <w:color w:val="auto"/>
                  <w:sz w:val="21"/>
                  <w:u w:val="none"/>
                </w:rPr>
                <w:t xml:space="preserve">www.ccgp.gov.cn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“信用江苏”网（www.jscredit.gov.cn）；</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“信用中国（江苏徐州）”网（</w:t>
            </w:r>
            <w:hyperlink r:id="rId13" w:tooltip="http://www.xuzhoucredit.gov.cn/" w:history="1">
              <w:r>
                <w:rPr>
                  <w:rStyle w:val="708"/>
                  <w:rFonts w:ascii="SimSun" w:hAnsi="SimSun" w:eastAsia="SimSun" w:cs="SimSun"/>
                  <w:color w:val="auto"/>
                  <w:sz w:val="21"/>
                  <w:u w:val="none"/>
                </w:rPr>
                <w:t xml:space="preserve">http://www.xuzhoucredit.gov.cn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(三)截止时点（查询环节）：资格审查结束前。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(四)信用信息查询记录和证据留存的具体方式：网页截屏打印，与其他采购文件一并保存。</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(五)信用信息的使用规则：</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招标代理服务费由采购人支付，标准不高于《招标代理服务收费标准》（见附件）。</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招标</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(九)1</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(九)2</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tabs>
                <w:tab w:val="left" w:pos="57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不安排现场考察。</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(九)3</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不安排开标前答疑会。</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投标</w:t>
            </w:r>
            <w:r>
              <w:rPr>
                <w:color w:val="auto"/>
              </w:rPr>
            </w:r>
            <w:r/>
          </w:p>
        </w:tc>
      </w:tr>
      <w:tr>
        <w:trPr>
          <w:trHeight w:val="482"/>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(十一)</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投标文件的语言为中文</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(十二)1</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(十二)2</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线上投标文件编制要求：</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请按照以下要求（包括但不限于以下要求）制作：</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一、基本目录</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《开标一览表》（加盖电子签章，政府采购客户端工具输入报价自动生成）。</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二、资格条件（1-6必须提供，否则投标无效）</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1.投标人合法有效的法人或者其他组织的营业执照等证明文件，自然人的身份证明，以上证明文件提供原件的扫描件。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4.具备履行合同所必需的设备和专业技术能力的证明材料</w:t>
            </w:r>
            <w:r>
              <w:rPr>
                <w:rFonts w:ascii="SimSun" w:hAnsi="SimSun" w:eastAsia="SimSun" w:cs="SimSun"/>
                <w:b/>
                <w:color w:val="auto"/>
                <w:sz w:val="24"/>
              </w:rPr>
              <w:t xml:space="preserve">（</w:t>
            </w:r>
            <w:r>
              <w:rPr>
                <w:rFonts w:ascii="SimSun" w:hAnsi="SimSun" w:eastAsia="SimSun" w:cs="SimSun"/>
                <w:color w:val="auto"/>
                <w:sz w:val="24"/>
              </w:rPr>
              <w:t xml:space="preserve">即提供投标人具备履行合同所必需的设备和专业技术能力承诺书</w:t>
            </w:r>
            <w:r>
              <w:rPr>
                <w:rFonts w:ascii="SimSun" w:hAnsi="SimSun" w:eastAsia="SimSun" w:cs="SimSun"/>
                <w:b/>
                <w:color w:val="auto"/>
                <w:sz w:val="24"/>
              </w:rPr>
              <w:t xml:space="preserve">）；</w:t>
            </w:r>
            <w:r>
              <w:rPr>
                <w:rFonts w:ascii="SimSun" w:hAnsi="SimSun" w:eastAsia="SimSun" w:cs="SimSun"/>
                <w:color w:val="auto"/>
                <w:sz w:val="24"/>
              </w:rPr>
              <w:t xml:space="preserve">（加盖电子签章，格式见招标文件第七章《投标文件相关格式》）；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5.投标人参加政府采购活动前3年内在经营活动中没有重大违法记录的书面声明（加盖电子签章，格式见招标文件第七章《投标文件相关格式》）；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注：具体以《政府采购促进中小企业发展管理办法》（财库[2020]46号）和《关于印发中小企业划型标准规定的通知》（工信部联企业[2011]300号）的规定为准。</w:t>
            </w:r>
            <w:r>
              <w:rPr>
                <w:color w:val="auto"/>
              </w:rPr>
            </w:r>
            <w:r/>
          </w:p>
          <w:p>
            <w:pPr>
              <w:ind w:left="0"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监狱企业和残疾人福利性单位等同于小微企业。</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投标人为监狱企业的，提供省级以上监狱管理局、戒毒管理局（含新疆生产建设兵团）出具的属于监狱企业的证明文件原件的扫描件。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具体以《财政部 司法部关于政府采购支持监狱企业发展有关问题的通知》（财库〔2014〕68号）的规定为准。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投标人为享受政府采购支持政策的残疾人福利性单位的，提供《残疾人福利性单位声明函》（加盖电子签章，格式见招标文件第七章《投标文件相关格式》）。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享受政府采购支持政策的残疾人福利性单位应当同时满足以下条件：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①安置的残疾人占本单位在职职工人数的比例不低于25%（含25%），并且安置的残疾人人数不少于10人（含10人）；</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②依法与安置的每位残疾人签订了一年以上（含一年）的劳动合同或服务协议；</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③为安置的每位残疾人按月足额缴纳了基本养老保险、基本医疗保险、失业保险、工伤保险和生育保险等社会保险费；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④通过银行等金融机构向安置的每位残疾人，按月支付了不低于单位所在区县适用的经省级人民政府批准的月最低工资标准的工资；</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⑤提供本单位制造的货物、承担的工程或者服务（以下简称产品），或者提供其他残疾人福利性单位制造的货物（不包括使用非残疾人福利性单位注册商标的货物）。</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具体以《三部门联合发布关于促进残疾人就业政府采购政策的通知》（财库〔2017〕141号）规定为准。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三、符合条件（必须提供，否则投标无效）</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(一)报价</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1.《分项价格表》（加盖电子签章，格式见招标文件第七章《投标文件相关格式》。）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（二）商务资信</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1.《投标函》（加盖电子签章，格式见招标文件第七章《投标文件相关格式》。）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（三）技术响应</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1.《偏离表》（加盖电子签章，格式见招标文件第七章《投标文件相关格式》。）</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（四）其他响应</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1.《法定代表人授权书》（加盖电子签章，格式见招标文件第七章《投标文件相关格式》。如为法定代表人本人参加投标活动，则提供《法定代表人身份证明书》。）</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四、综合评审评分项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详见招标文件第四章《评标标准》。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五、价格折扣文件格式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1、企业报价折扣证明：无</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投标人应对以上文件的合法性、真实性负责。</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(十三)2</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商务条件见：</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一、本文件第四章《评标标准》中《评分细则》。</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二、本文件第三章《投标资料表》中(十二)1和(十二)2。</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(十三)3</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交货和提供服务的时间：见本文件第五章 《拟签订的合同文本》及或本文件第六章《采购需求》。</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(十四)3</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本项目采购预算2154万元人民币</w:t>
            </w:r>
            <w:r>
              <w:rPr>
                <w:rFonts w:ascii="SimSun" w:hAnsi="SimSun" w:eastAsia="SimSun" w:cs="SimSun"/>
                <w:b/>
                <w:color w:val="auto"/>
                <w:sz w:val="24"/>
              </w:rPr>
              <w:t xml:space="preserve">。</w:t>
            </w:r>
            <w:r>
              <w:rPr>
                <w:rFonts w:ascii="SimSun" w:hAnsi="SimSun" w:eastAsia="SimSun" w:cs="SimSun"/>
                <w:color w:val="auto"/>
                <w:sz w:val="24"/>
              </w:rPr>
              <w:t xml:space="preserve">报价包括服务、税金、运费、安装调试、保险等全部费用。用户不再支付报价以外的任何费用。</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(十六)</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以人民币报价。</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（十七）2（1）</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投标人应当通过“苏采云”系统提交数据电文形式的投标文件（即电子投标）。</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特别说明：通过“苏采云”系统提交政府采购客户端工具导出加密的投标文件（后缀名为zip）。投标文件不得超过150M！</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说明：本项目采用线上投标，即供应商投标文件从政府采购客户端工具制作通过“苏采云”系统提交，未提供线上投标文件的，投标无效。</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(十八)4</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见本文件第三章《投标资料表》中(十二)1和(十二)2</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(十九)</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投标文件的提交与接收： </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投标文件提交与接收时间：</w:t>
            </w:r>
            <w:r>
              <w:rPr>
                <w:rFonts w:ascii="SimSun" w:hAnsi="SimSun" w:eastAsia="SimSun" w:cs="SimSun"/>
                <w:b/>
                <w:color w:val="auto"/>
                <w:sz w:val="24"/>
              </w:rPr>
              <w:t xml:space="preserve">提交投标文件截止时间（2026年8月21日9:30）前。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投标文件提交与接收地点：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线上提交与接收地点：投标人应当通过“苏采云”系统提交数据电文形式的投标文件（即电子投标），“苏采云”系统自动接收。</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电子投标文件应由其法定代表人或法定代表人授权代表在规定的网上投标时间内，凭 CA 证书登陆“苏采云”系统在线编制投标文件（电子数据），并在投标截止时间之前上传投标文件。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投标人应在达到开标时间后，使用CA数字证书解密各自投标文件。</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w:t>
            </w:r>
            <w:r>
              <w:rPr>
                <w:color w:val="auto"/>
              </w:rPr>
            </w:r>
            <w:r/>
          </w:p>
        </w:tc>
        <w:tc>
          <w:tcPr>
            <w:tcBorders>
              <w:bottom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w:t>
            </w:r>
            <w:r>
              <w:rPr>
                <w:color w:val="auto"/>
              </w:rPr>
            </w:r>
            <w:r/>
          </w:p>
        </w:tc>
      </w:tr>
      <w:tr>
        <w:trPr/>
        <w:tc>
          <w:tcPr>
            <w:tcBorders>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(二十五)1</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开标时间及地点：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 开标时间：2026年8月21日9:30（标准时间）</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开标地点：“苏采云”系统（网址：</w:t>
            </w:r>
            <w:r>
              <w:rPr>
                <w:rFonts w:ascii="SimSun" w:hAnsi="SimSun" w:eastAsia="SimSun" w:cs="SimSun"/>
                <w:color w:val="auto"/>
                <w:sz w:val="24"/>
                <w:szCs w:val="24"/>
              </w:rPr>
              <w:t xml:space="preserve">https://jszfcg.jsczt.cn/jszc/login</w:t>
            </w:r>
            <w:r>
              <w:rPr>
                <w:rFonts w:ascii="SimSun" w:hAnsi="SimSun" w:eastAsia="SimSun" w:cs="SimSun"/>
                <w:color w:val="auto"/>
                <w:sz w:val="24"/>
              </w:rPr>
              <w:t xml:space="preserve">）“开标大厅”或进入徐州政府采购网（网址：http://czj.xz.gov.cn/Home/HomeIndex）--业务工作--用户登录，点击“苏采云”进入系统“开标大厅”。</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(二十五)3</w:t>
            </w:r>
            <w:r>
              <w:rPr>
                <w:color w:val="auto"/>
              </w:rPr>
            </w:r>
            <w:r/>
          </w:p>
        </w:tc>
        <w:tc>
          <w:tcPr>
            <w:tcBorders>
              <w:top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所有投标人解密（或解密时间）结束后，“苏采云”系统生成开标记录并向社会公众公布，但依法应当保密的除外。</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评标</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(二十七)</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本项目的评标方法：综合评分法。</w:t>
            </w:r>
            <w:r>
              <w:rPr>
                <w:color w:val="auto"/>
              </w:rPr>
            </w:r>
            <w:r/>
          </w:p>
        </w:tc>
      </w:tr>
      <w:tr>
        <w:trPr>
          <w:trHeight w:val="90"/>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(二十八)1</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(二十八)1（4）</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一、推荐中标候选供应商名单。中标候选供应商数量应当根据采购需要确定，但必须按顺序排列中标候选供应商。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二、采用综合评分法的，按评审后得分由高到低顺序排列。得分相同的，按投标报价由低到高顺序排列。得分且投标报价相同的，按项目服务方案得分顺序排列。</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（二十九）</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评标中需要投标人对投标文件澄清或者说明的，应当通过“苏采云”系统交换数据电文。在评标期间，请投标人保持在线。</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对于投标文件中含义不明确、同类问题表述不一致或者有明显文字和计算错误的内容，评标委员会通过“苏采云”系统要求投标人作出必要的澄清、说明或者补正，并规定回复时间。</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特别说明：“苏采云”系统通过“江苏省政府采购一体化不见面开标大厅”提醒投标人。投标人自行查看，投标人因自身原因不及时查看导致没收到信息，“苏采云”系统不承担任何责任。</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政府采购合同</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(三十七)1</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采购人与中标、成交供应商应当在中标、成交通知书发出之日起30日内，按照采购文件确定的事项签订政府采购合同。</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（三十八）</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履约保证金：无。</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(四十)</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二、供应商在法定质疑期内一次性提出针对同一采购程序环节的质疑。</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质疑接收人：邵伟;联系电话：0516-83200166;</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办公地址：徐州市云龙区绿地商务城LOFT领海办公楼5#1905室（汉风路和昆仑大道交叉口东北角）</w:t>
            </w:r>
            <w:r>
              <w:rPr>
                <w:color w:val="auto"/>
              </w:rPr>
            </w:r>
            <w:r/>
          </w:p>
        </w:tc>
      </w:tr>
      <w:tr>
        <w:trPr/>
        <w:tc>
          <w:tcPr>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附加说明</w:t>
            </w:r>
            <w:r>
              <w:rPr>
                <w:color w:val="auto"/>
              </w:rPr>
            </w:r>
            <w:r/>
          </w:p>
        </w:tc>
        <w:tc>
          <w:tcPr>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中标人在收到中标通知书时，须向采购代理机构提交《开标一览表》和《分项价格表》的数据文件（WORD格式）。</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本章附件：</w:t>
      </w:r>
      <w:r>
        <w:rPr>
          <w:rFonts w:ascii="SimSun" w:hAnsi="SimSun" w:eastAsia="SimSun" w:cs="SimSun"/>
          <w:b/>
          <w:color w:val="auto"/>
          <w:sz w:val="30"/>
        </w:rPr>
        <w:t xml:space="preserve">招标代理服务收费标准</w:t>
      </w:r>
      <w:r>
        <w:rPr>
          <w:color w:val="auto"/>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7"/>
        <w:gridCol w:w="2568"/>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中标或者成交金额</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费率</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最低收费金额（每个委托项目）</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5000元</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50万元以下（含50万元）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1.6%</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50-400万元（含400万元）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400-1000万元（含1000万元）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1.1%</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1000-5000万元（含5000万元）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0.8%</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5000-1亿元（含1亿元）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0.25%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1-10亿元（含10亿元）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10-50亿元（含50亿元）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0.01%</w:t>
            </w:r>
            <w:r>
              <w:rPr>
                <w:color w:val="auto"/>
              </w:rPr>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50亿元以上</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0.005%</w:t>
            </w:r>
            <w:r>
              <w:rPr>
                <w:color w:val="auto"/>
              </w:rPr>
            </w:r>
            <w:r/>
          </w:p>
        </w:tc>
      </w:tr>
    </w:tbl>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说明：</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1.按上表计算的收费为代理服务全过程的收费金额。各社会代理机构不再收取采购文件制作售卖费用。</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2.代理服务费按差额定率累进法计算。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3.代理服务费基准金额（按差额定率累进法计算的）=中标金额（按差额定率累进法计算的） * 费率（%）。</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4.代理服务费应收取金额=代理服务费基准金额（按差额定率累进法计算的）的合计数。</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5.定点类等无金额或事先不能计算出价格总额的项目，按中标（成交）金额100万元计算。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6.有分包（分标段）的按一个项目计算。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7.以上价格为协会指导价，双方可根据项目难易程度和优质优价原则协商确定。</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8.账户信息：</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收款人：江苏中际招标代理有限公司</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开户银行：徐州农村商业银行股份有限公司彭园支行</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账号：3203020171010000003980</w:t>
      </w:r>
      <w:r>
        <w:rPr>
          <w:color w:val="auto"/>
        </w:rPr>
      </w:r>
      <w:r/>
    </w:p>
    <w:p>
      <w:pPr>
        <w:ind w:left="0" w:right="0" w:firstLine="63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行号：314303000180</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第四章 评标标准</w:t>
      </w:r>
      <w:r>
        <w:rPr>
          <w:color w:val="auto"/>
        </w:rPr>
      </w:r>
      <w:r/>
    </w:p>
    <w:tbl>
      <w:tblPr>
        <w:tblStyle w:val="705"/>
        <w:tblW w:w="0" w:type="auto"/>
        <w:tblInd w:w="0" w:type="dxa"/>
        <w:tblBorders>
          <w:top w:val="none" w:color="000000" w:sz="4" w:space="0"/>
          <w:left w:val="none" w:color="000000" w:sz="4" w:space="0"/>
          <w:bottom w:val="none" w:color="000000" w:sz="4" w:space="0"/>
          <w:right w:val="none" w:color="000000" w:sz="4" w:space="0"/>
          <w:insideH w:val="single" w:color="000000" w:sz="8" w:space="0"/>
          <w:insideV w:val="single" w:color="000000" w:sz="8" w:space="0"/>
        </w:tblBorders>
        <w:tblLayout w:type="autofit"/>
        <w:tblLook w:val="04A0" w:firstRow="1" w:lastRow="0" w:firstColumn="1" w:lastColumn="0" w:noHBand="0" w:noVBand="1"/>
      </w:tblPr>
      <w:tblGrid>
        <w:gridCol w:w="800"/>
        <w:gridCol w:w="744"/>
        <w:gridCol w:w="1196"/>
        <w:gridCol w:w="6614"/>
      </w:tblGrid>
      <w:tr>
        <w:trPr>
          <w:trHeight w:val="44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评审因素</w:t>
            </w:r>
            <w:r>
              <w:rPr>
                <w:color w:val="auto"/>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0"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评审因素细化和量化</w:t>
            </w:r>
            <w:r>
              <w:rPr>
                <w:color w:val="auto"/>
              </w:rPr>
            </w:r>
            <w:r/>
          </w:p>
        </w:tc>
      </w:tr>
      <w:tr>
        <w:trPr>
          <w:trHeight w:val="17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价格部分（20分）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价格</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（20分）</w:t>
            </w:r>
            <w:r>
              <w:rPr>
                <w:color w:val="auto"/>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各投标人价格得分=最低报价÷各投标人报价×20。</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（结果保留小数点后两位）</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vMerge w:val="restart"/>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技术部分（76分）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管理服务方案（60分）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运营管理服务方案（12分）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内容的全面性（4分）：全面具体详实得4分； 全面性一般得2分；存在较大漏项或缺陷得0分。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可行性（4分）：切实可行得4分；可行性一般得2分；可行性欠缺得0分。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针对性（4分）：针对性强得4分；针对性一般得2分；针对性不强得0分。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未提供的得0分，本项最高得12分，最低得0分。</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环境服务方案</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 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未提供的得0分，本项最高得6分，最低得0分。</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智慧化运营管理方案（12分）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内容的全面性（4分）：全面具体详实得4分； 全面性一般得2分；存在较大漏项或缺陷得0分。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可行性（4分）：切实可行得4分；可行性一般得2分；可行性欠缺得0分。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针对性（4分）：针对性强得4分；针对性一般得2分；针对性不强得0分。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未提供的得0分，本项最高得12分，最低得0分。</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综合管理服务方案</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 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未提供的得0分，本项最高得6分，最低得0分。</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维修及设施设备维护管理服务方案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 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未提供的得0分，本项最高得6分，最低得0分。</w:t>
            </w:r>
            <w:r>
              <w:rPr>
                <w:color w:val="auto"/>
              </w:rPr>
            </w:r>
            <w:r/>
          </w:p>
        </w:tc>
      </w:tr>
      <w:tr>
        <w:trPr>
          <w:trHeight w:val="36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共用设备设施的管理方案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 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未提供的得0分，本项最高得6分，最低得0分。</w:t>
            </w:r>
            <w:r>
              <w:rPr>
                <w:color w:val="auto"/>
              </w:rPr>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管理服务规章制度的制定方案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未提供的得0分，本项最高得4分，最低得0分。</w:t>
            </w:r>
            <w:r>
              <w:rPr>
                <w:color w:val="auto"/>
              </w:rPr>
            </w:r>
            <w:r/>
          </w:p>
        </w:tc>
      </w:tr>
      <w:tr>
        <w:trPr>
          <w:trHeight w:val="301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档案资料的管理方案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未提供的得0分，本项最高得4分，最低得0分。</w:t>
            </w:r>
            <w:r>
              <w:rPr>
                <w:color w:val="auto"/>
              </w:rPr>
            </w:r>
            <w:r/>
          </w:p>
        </w:tc>
      </w:tr>
      <w:tr>
        <w:trPr>
          <w:trHeight w:val="319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处理突发事件方案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内容的全面性（2分）：全面具体详实得2分；全面性一般得1分；存在较大漏项或缺陷得0分。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未提供的得0分，本项最高得4分，最低得0分。</w:t>
            </w:r>
            <w:r>
              <w:rPr>
                <w:color w:val="auto"/>
              </w:rPr>
            </w:r>
            <w:r/>
          </w:p>
        </w:tc>
      </w:tr>
      <w:tr>
        <w:trPr>
          <w:trHeight w:val="326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组织机构设置及人员配备方案</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组织机构设置方案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内容的全面性（4分）：全面具体详实得4分；全面性一般得2分；存在较大漏项或缺陷得0分。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未提供的得0分，本项最高得8分，最低得0分。</w:t>
            </w:r>
            <w:r>
              <w:rPr>
                <w:color w:val="auto"/>
              </w:rPr>
            </w:r>
            <w:r/>
          </w:p>
        </w:tc>
      </w:tr>
      <w:tr>
        <w:trPr>
          <w:trHeight w:val="342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组织机构人员配备方案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4"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对方案内容的全面性、可行性、针对性进行评价。</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内容的全面性（4分）：全面具体详实得4分；全面性一般得2分；存在较大漏项或缺陷得0分。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可行性（2分）：切实可行得2分；可行性一般得1分，可行性欠缺得0分。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针对性（2分）：针对性强得2分；针对性一般得1分；针对性不强得0分。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未提供的得0分，本项最高得8分，最低得0分。</w:t>
            </w:r>
            <w:r>
              <w:rPr>
                <w:color w:val="auto"/>
              </w:rPr>
            </w:r>
            <w:r/>
          </w:p>
        </w:tc>
      </w:tr>
      <w:tr>
        <w:trPr>
          <w:trHeight w:val="19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商务部分（4分）</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投标人业绩（4 分）</w:t>
            </w:r>
            <w:r>
              <w:rPr>
                <w:color w:val="auto"/>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投标文件中提供投标人为  卖方(乙方)，合同签订日期在2021年1月1日之后，合同内容为公租房运营类合同扫描件，每提供一份得2分。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本项最多得4分,最低得0分。</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本章说明：</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（一）本项目采用综合评分法。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（二）采购人有权对中标人以上内容进行复核</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如发现存在弄虚作假或其它不符招标文件要求的行为，将取消中标资格。</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第五章 拟签订的合同文本</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项目名称：徐州市主城区公共租赁住房运营管理服务项目</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 </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政</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府</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采</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购</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合</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同</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成交供应商：</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合同签订日期： 年 月 日</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友情提醒：采购人与中标、成交供应商应当在中标、成交通知书发出之日起三十日内，按照采购文件确定的事项签订政府采购合同。</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auto"/>
        </w:rPr>
      </w:r>
      <w:r/>
    </w:p>
    <w:p>
      <w:pPr>
        <w:ind w:left="0" w:right="0" w:firstLine="48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1906" w:firstLine="0"/>
        <w:jc w:val="both"/>
        <w:spacing w:before="122"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委托方（以下简称甲方）：</w:t>
      </w:r>
      <w:r>
        <w:rPr>
          <w:color w:val="auto"/>
        </w:rPr>
      </w:r>
      <w:r/>
    </w:p>
    <w:p>
      <w:pPr>
        <w:ind w:left="0" w:right="2025" w:firstLine="0"/>
        <w:jc w:val="both"/>
        <w:spacing w:before="124"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受托方（以下简称乙方）：</w:t>
      </w:r>
      <w:r>
        <w:rPr>
          <w:color w:val="auto"/>
        </w:rPr>
      </w:r>
      <w:r/>
    </w:p>
    <w:p>
      <w:pPr>
        <w:ind w:left="0"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根据《徐州市市区公共租赁住房管理办法》（徐政规 (2012] 8号文件）及《市政府办公室关于印发徐州市市区公共租赁住房运营管理实施意见的通知》（徐政办发(2012] 230号）文件的精神，为保证徐州市市区公共租赁住房运营管理工作的稳定高效运转，遵循平等公平、试实信用、相互配合、共同监管的原则，经甲、乙双方协商签订本委托协议。</w:t>
      </w:r>
      <w:r>
        <w:rPr>
          <w:color w:val="auto"/>
        </w:rPr>
      </w:r>
      <w:r/>
    </w:p>
    <w:p>
      <w:pPr>
        <w:ind w:left="0" w:right="0" w:firstLine="0"/>
        <w:spacing w:before="4"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一、房屋基本情况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徐州市主城区公共租赁住房提供专业化运营管理服务，共分为</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个项目小区，总建筑面积约</w:t>
      </w:r>
      <w:r>
        <w:rPr>
          <w:rFonts w:ascii="Times New Roman" w:hAnsi="Times New Roman" w:eastAsia="Times New Roman" w:cs="Times New Roman"/>
          <w:color w:val="auto"/>
          <w:sz w:val="24"/>
        </w:rPr>
        <w:t xml:space="preserve">36.96</w:t>
      </w:r>
      <w:r>
        <w:rPr>
          <w:rFonts w:ascii="SimSun" w:hAnsi="SimSun" w:eastAsia="SimSun" w:cs="SimSun"/>
          <w:color w:val="auto"/>
          <w:sz w:val="24"/>
        </w:rPr>
        <w:t xml:space="preserve">万平方米，共计</w:t>
      </w:r>
      <w:r>
        <w:rPr>
          <w:rFonts w:ascii="Times New Roman" w:hAnsi="Times New Roman" w:eastAsia="Times New Roman" w:cs="Times New Roman"/>
          <w:color w:val="auto"/>
          <w:sz w:val="24"/>
        </w:rPr>
        <w:t xml:space="preserve">4960</w:t>
      </w:r>
      <w:r>
        <w:rPr>
          <w:rFonts w:ascii="SimSun" w:hAnsi="SimSun" w:eastAsia="SimSun" w:cs="SimSun"/>
          <w:color w:val="auto"/>
          <w:sz w:val="24"/>
        </w:rPr>
        <w:t xml:space="preserve">套公共租赁住房（含原廉租房）。</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其中集中项目为：</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1.云龙区坝山新苑项目1479套，建筑面积约14.4万平方米，2013年投入使用。</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2.泉山区欣缘公寓项目1564套建筑面积约9.5万平方米，2018年投入使用。</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其中配建项目为：</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1.鼓楼区滨河花园项目配建120套（原廉租房），建筑面积约0.97万平方米，2008年投入使用。</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2.鼓楼区琵琶花园项目配建588套（原廉租房），建筑面积约3.74万平方米，2010年投入使用。</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3.鼓楼区九里新苑五期项目配建723套（原廉租房），建筑面积约4.95万平方米，2014年投入使用。</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4.鼓楼区九里新苑七期项目配建486套，建筑面积约3.4万平方米，2017年投入使用。</w:t>
      </w:r>
      <w:r>
        <w:rPr>
          <w:color w:val="auto"/>
        </w:rPr>
      </w:r>
      <w:r/>
    </w:p>
    <w:p>
      <w:pPr>
        <w:ind w:left="0" w:right="0" w:firstLine="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二、受委托职责</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1.分配协助管理：主要包括协助采购人解答分配公共租赁住房（廉租房）分配过程中的相关运营管理的问题，组织开展的相关活动；做好项目房源信息管理管理；</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2.入住管理:主要包括协助组织选房、前期筹备:租赁合同签订、办理入住手续:采集入住住户基本信息，建立住户档案，配合做好与相关部门及单位的对接工作。</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3.租金管理:租金代收代缴、催缴、违约金收缴，收缴的租金按照有关规定及时上缴。</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4.续租与变更管理:做好变更、年审、续租受理，对已入住对象的住房、收入、人口及其他经济状况和社会信息进行动态跟踪。</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5.房屋巡查管理:房屋及其附属设施设备使用情况的定期巡查;负责房屋消防安全隐患和结构安全隐患的定期排查，做好记录:及时发现违法违规行为并采集证据上报:负责做好消防安全、结构安全隐患的整改工作。</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房屋维修:房屋及其附属设施设备损坏的及时维修，确保房屋的正常使用，对因入住对象使用不当造成房屋损坏的督促整改。房屋设备维护维修范围包含但不限于房屋室内建筑装修部分的墙体及顶棚出新、卫生间防水渗漏、门窗日常维修、水电线路及设备维修、智能弱电系统维修、厨卫洁具及家具设备设施维护维修、电梯日常维修、消防及安防系统日常维修，达到房屋的租户正常使用，投诉率控制在3%以内。维护维修费用包含在运营服务费内。</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7.违约管理:承租人有违反合同约定或其他法律法规规定情况的，做好处置及采集证据上报。</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8.终止退出管理:对不符合入住条件的保障家庭进行腾退，办理退房手续:协助做好公共租赁住房收回、房屋腾退、强制腾退、空置房源管理等。</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综合管理:建立档案管理制度，实行一房一档管理，及时更新各类信息，做到存档资料规范有序:建立动态管理机制，定期入户巡查走访:及时掌握承租家庭成员基本信息变化情况:将房源信息和承租家庭信息等录入住房保障管理系统:做好政策宣传、信息发布、公示、财务管理等工作;配合做好政府职能部门、上级主管部门及相关社会团体组织的参观、走访、慰问等接待工作;配合做好社会调查、绩效评价及群众满意度测评。开展小区公益服务及突发事件的处置。</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10.其他管理:负责来人来宾访问接待工作，做好项目讲解工作。做好办公区日常清洁工作。</w:t>
      </w:r>
      <w:r>
        <w:rPr>
          <w:color w:val="auto"/>
        </w:rPr>
      </w:r>
      <w:r/>
    </w:p>
    <w:p>
      <w:pPr>
        <w:ind w:left="0" w:right="2514" w:firstLine="0"/>
        <w:spacing w:before="105" w:after="120" w:line="70"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三、费用、支付方式、考核规定</w:t>
      </w:r>
      <w:r>
        <w:rPr>
          <w:color w:val="auto"/>
        </w:rPr>
      </w:r>
      <w:r/>
    </w:p>
    <w:p>
      <w:pPr>
        <w:ind w:left="0" w:right="0" w:firstLine="0"/>
        <w:spacing w:before="93"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1、支付方式</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本合同服务期三年（</w:t>
      </w:r>
      <w:r>
        <w:rPr>
          <w:rFonts w:ascii="Times New Roman" w:hAnsi="Times New Roman" w:eastAsia="Times New Roman" w:cs="Times New Roman"/>
          <w:color w:val="auto"/>
          <w:sz w:val="24"/>
        </w:rPr>
        <w:t xml:space="preserve">2026-2028</w:t>
      </w:r>
      <w:r>
        <w:rPr>
          <w:rFonts w:ascii="SimSun" w:hAnsi="SimSun" w:eastAsia="SimSun" w:cs="SimSun"/>
          <w:color w:val="auto"/>
          <w:sz w:val="24"/>
        </w:rPr>
        <w:t xml:space="preserve">年度），合同总金额为人民币大写金额</w:t>
      </w:r>
      <w:r>
        <w:rPr>
          <w:rFonts w:ascii="SimSun" w:hAnsi="SimSun" w:eastAsia="SimSun" w:cs="SimSun"/>
          <w:color w:val="auto"/>
          <w:sz w:val="24"/>
          <w:u w:val="single"/>
        </w:rPr>
        <w:t xml:space="preserve">         </w:t>
      </w:r>
      <w:r>
        <w:rPr>
          <w:rFonts w:ascii="SimSun" w:hAnsi="SimSun" w:eastAsia="SimSun" w:cs="SimSun"/>
          <w:color w:val="auto"/>
          <w:sz w:val="24"/>
        </w:rPr>
        <w:t xml:space="preserve">元（小写金额：</w:t>
      </w:r>
      <w:r>
        <w:rPr>
          <w:rFonts w:ascii="SimSun" w:hAnsi="SimSun" w:eastAsia="SimSun" w:cs="SimSun"/>
          <w:color w:val="auto"/>
          <w:sz w:val="24"/>
          <w:u w:val="single"/>
        </w:rPr>
        <w:t xml:space="preserve">          </w:t>
      </w:r>
      <w:r>
        <w:rPr>
          <w:rFonts w:ascii="SimSun" w:hAnsi="SimSun" w:eastAsia="SimSun" w:cs="SimSun"/>
          <w:color w:val="auto"/>
          <w:sz w:val="24"/>
        </w:rPr>
        <w:t xml:space="preserve">元），各年度服务费用如下：第一年度服务费为人民币大写金额</w:t>
      </w:r>
      <w:r>
        <w:rPr>
          <w:rFonts w:ascii="SimSun" w:hAnsi="SimSun" w:eastAsia="SimSun" w:cs="SimSun"/>
          <w:color w:val="auto"/>
          <w:sz w:val="24"/>
          <w:u w:val="single"/>
        </w:rPr>
        <w:t xml:space="preserve">         </w:t>
      </w:r>
      <w:r>
        <w:rPr>
          <w:rFonts w:ascii="SimSun" w:hAnsi="SimSun" w:eastAsia="SimSun" w:cs="SimSun"/>
          <w:color w:val="auto"/>
          <w:sz w:val="24"/>
        </w:rPr>
        <w:t xml:space="preserve">元（小写金额：</w:t>
      </w:r>
      <w:r>
        <w:rPr>
          <w:rFonts w:ascii="SimSun" w:hAnsi="SimSun" w:eastAsia="SimSun" w:cs="SimSun"/>
          <w:color w:val="auto"/>
          <w:sz w:val="24"/>
          <w:u w:val="single"/>
        </w:rPr>
        <w:t xml:space="preserve">       </w:t>
      </w:r>
      <w:r>
        <w:rPr>
          <w:rFonts w:ascii="SimSun" w:hAnsi="SimSun" w:eastAsia="SimSun" w:cs="SimSun"/>
          <w:color w:val="auto"/>
          <w:sz w:val="24"/>
        </w:rPr>
        <w:t xml:space="preserve">元）；第二年度服务费为人民币大写金额</w:t>
      </w:r>
      <w:r>
        <w:rPr>
          <w:rFonts w:ascii="SimSun" w:hAnsi="SimSun" w:eastAsia="SimSun" w:cs="SimSun"/>
          <w:color w:val="auto"/>
          <w:sz w:val="24"/>
          <w:u w:val="single"/>
        </w:rPr>
        <w:t xml:space="preserve">                       </w:t>
      </w:r>
      <w:r>
        <w:rPr>
          <w:rFonts w:ascii="SimSun" w:hAnsi="SimSun" w:eastAsia="SimSun" w:cs="SimSun"/>
          <w:color w:val="auto"/>
          <w:sz w:val="24"/>
        </w:rPr>
        <w:t xml:space="preserve">元（小写金额：</w:t>
      </w:r>
      <w:r>
        <w:rPr>
          <w:rFonts w:ascii="SimSun" w:hAnsi="SimSun" w:eastAsia="SimSun" w:cs="SimSun"/>
          <w:color w:val="auto"/>
          <w:sz w:val="24"/>
          <w:u w:val="single"/>
        </w:rPr>
        <w:t xml:space="preserve">              </w:t>
      </w:r>
      <w:r>
        <w:rPr>
          <w:rFonts w:ascii="SimSun" w:hAnsi="SimSun" w:eastAsia="SimSun" w:cs="SimSun"/>
          <w:color w:val="auto"/>
          <w:sz w:val="24"/>
        </w:rPr>
        <w:t xml:space="preserve">元）；第三年度服务费为人民币大写金额</w:t>
      </w:r>
      <w:r>
        <w:rPr>
          <w:rFonts w:ascii="SimSun" w:hAnsi="SimSun" w:eastAsia="SimSun" w:cs="SimSun"/>
          <w:color w:val="auto"/>
          <w:sz w:val="24"/>
          <w:u w:val="single"/>
        </w:rPr>
        <w:t xml:space="preserve">                       </w:t>
      </w:r>
      <w:r>
        <w:rPr>
          <w:rFonts w:ascii="SimSun" w:hAnsi="SimSun" w:eastAsia="SimSun" w:cs="SimSun"/>
          <w:color w:val="auto"/>
          <w:sz w:val="24"/>
        </w:rPr>
        <w:t xml:space="preserve">元（小写金额：</w:t>
      </w:r>
      <w:r>
        <w:rPr>
          <w:rFonts w:ascii="SimSun" w:hAnsi="SimSun" w:eastAsia="SimSun" w:cs="SimSun"/>
          <w:color w:val="auto"/>
          <w:sz w:val="24"/>
          <w:u w:val="single"/>
        </w:rPr>
        <w:t xml:space="preserve">              </w:t>
      </w:r>
      <w:r>
        <w:rPr>
          <w:rFonts w:ascii="SimSun" w:hAnsi="SimSun" w:eastAsia="SimSun" w:cs="SimSun"/>
          <w:color w:val="auto"/>
          <w:sz w:val="24"/>
        </w:rPr>
        <w:t xml:space="preserve">元）；，经双方协商一致，选择以下第</w:t>
      </w:r>
      <w:r>
        <w:rPr>
          <w:rFonts w:ascii="SimSun" w:hAnsi="SimSun" w:eastAsia="SimSun" w:cs="SimSun"/>
          <w:color w:val="auto"/>
          <w:sz w:val="24"/>
          <w:u w:val="single"/>
        </w:rPr>
        <w:t xml:space="preserve">         </w:t>
      </w:r>
      <w:r>
        <w:rPr>
          <w:rFonts w:ascii="SimSun" w:hAnsi="SimSun" w:eastAsia="SimSun" w:cs="SimSun"/>
          <w:color w:val="auto"/>
          <w:sz w:val="24"/>
        </w:rPr>
        <w:t xml:space="preserve">种付款方式：</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（一）付款方式（提交预付款保函的）</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合同签订且乙方向甲方出具预付款保函后</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个工作日内，甲方应支付第一年度合同价款的百分之</w:t>
      </w:r>
      <w:r>
        <w:rPr>
          <w:rFonts w:ascii="SimSun" w:hAnsi="SimSun" w:eastAsia="SimSun" w:cs="SimSun"/>
          <w:color w:val="000000"/>
          <w:sz w:val="24"/>
        </w:rPr>
        <w:t xml:space="preserve">四十</w:t>
      </w:r>
      <w:r>
        <w:rPr>
          <w:rFonts w:ascii="SimSun" w:hAnsi="SimSun" w:eastAsia="SimSun" w:cs="SimSun"/>
          <w:color w:val="auto"/>
          <w:sz w:val="24"/>
        </w:rPr>
      </w:r>
      <w:r>
        <w:rPr>
          <w:rFonts w:ascii="Times New Roman" w:hAnsi="Times New Roman" w:eastAsia="Times New Roman" w:cs="Times New Roman"/>
          <w:color w:val="auto"/>
          <w:sz w:val="24"/>
        </w:rPr>
        <w:t xml:space="preserve">(40%)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第一年度服务期满后，甲方应在收到考核结果后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一次性支付给乙方第一年度合同价款剩余款项</w:t>
      </w:r>
      <w:r>
        <w:rPr>
          <w:rFonts w:ascii="Arial" w:hAnsi="Arial" w:eastAsia="Arial" w:cs="Arial"/>
          <w:color w:val="auto"/>
          <w:sz w:val="24"/>
        </w:rPr>
        <w:t xml:space="preserve">。</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在第二年度乙方向甲方出具预付款保函后第一季度内，甲方应支付第二年度合同价款的百分之</w:t>
      </w:r>
      <w:r>
        <w:rPr>
          <w:rFonts w:ascii="SimSun" w:hAnsi="SimSun" w:eastAsia="SimSun" w:cs="SimSun"/>
          <w:color w:val="000000"/>
          <w:sz w:val="24"/>
        </w:rPr>
        <w:t xml:space="preserve">四十</w:t>
      </w:r>
      <w:r>
        <w:rPr>
          <w:rFonts w:ascii="SimSun" w:hAnsi="SimSun" w:eastAsia="SimSun" w:cs="SimSun"/>
          <w:color w:val="auto"/>
          <w:sz w:val="24"/>
        </w:rPr>
      </w:r>
      <w:r>
        <w:rPr>
          <w:rFonts w:ascii="Times New Roman" w:hAnsi="Times New Roman" w:eastAsia="Times New Roman" w:cs="Times New Roman"/>
          <w:color w:val="auto"/>
          <w:sz w:val="24"/>
        </w:rPr>
        <w:t xml:space="preserve">(40%)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第二年度服务期满后，甲方应在收到考核结果后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一次性支付给乙方第二年度合同价款剩余款项</w:t>
      </w:r>
      <w:r>
        <w:rPr>
          <w:rFonts w:ascii="Arial" w:hAnsi="Arial" w:eastAsia="Arial" w:cs="Arial"/>
          <w:color w:val="auto"/>
          <w:sz w:val="24"/>
        </w:rPr>
        <w:t xml:space="preserve">。</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在第三年度乙方向甲方出具预付款保函后第一季度内，甲方应支付第三年度合同价款的百分之</w:t>
      </w:r>
      <w:r>
        <w:rPr>
          <w:rFonts w:ascii="SimSun" w:hAnsi="SimSun" w:eastAsia="SimSun" w:cs="SimSun"/>
          <w:color w:val="000000"/>
          <w:sz w:val="24"/>
        </w:rPr>
        <w:t xml:space="preserve">四十</w:t>
      </w:r>
      <w:r>
        <w:rPr>
          <w:rFonts w:ascii="SimSun" w:hAnsi="SimSun" w:eastAsia="SimSun" w:cs="SimSun"/>
          <w:color w:val="auto"/>
          <w:sz w:val="24"/>
        </w:rPr>
      </w:r>
      <w:r>
        <w:rPr>
          <w:rFonts w:ascii="Times New Roman" w:hAnsi="Times New Roman" w:eastAsia="Times New Roman" w:cs="Times New Roman"/>
          <w:color w:val="auto"/>
          <w:sz w:val="24"/>
        </w:rPr>
        <w:t xml:space="preserve">(40%)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第三年度服务期满后，甲方应在收到考核结果后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一次性支付给乙方第三年度合同价款剩余款项</w:t>
      </w:r>
      <w:r>
        <w:rPr>
          <w:rFonts w:ascii="Arial" w:hAnsi="Arial" w:eastAsia="Arial" w:cs="Arial"/>
          <w:color w:val="auto"/>
          <w:sz w:val="24"/>
        </w:rPr>
        <w:t xml:space="preserve">。</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（二）付款方式（不提交预付款保函的）</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合同签订后</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个工作日内，甲方应支付第一年度合同价款的百分之三十</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第一年度服务期满后，甲方应在收到考核结果后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一次性支付给乙方第一年度合同价款剩余款项</w:t>
      </w:r>
      <w:r>
        <w:rPr>
          <w:rFonts w:ascii="Arial" w:hAnsi="Arial" w:eastAsia="Arial" w:cs="Arial"/>
          <w:color w:val="auto"/>
          <w:sz w:val="24"/>
        </w:rPr>
        <w:t xml:space="preserve">。</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在第二年度第一季度内，甲方应支付第二年度合同价款的百分之三十</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第二年度服务期满后，甲方应在收到考核结果后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一次性支付给乙方第二年度合同价款剩余款项</w:t>
      </w:r>
      <w:r>
        <w:rPr>
          <w:rFonts w:ascii="Arial" w:hAnsi="Arial" w:eastAsia="Arial" w:cs="Arial"/>
          <w:color w:val="auto"/>
          <w:sz w:val="24"/>
        </w:rPr>
        <w:t xml:space="preserve">。</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在第三年度第一季度内，甲方应支付第三年度合同价款的百分之三十</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w:t>
      </w:r>
      <w:r>
        <w:rPr>
          <w:rFonts w:ascii="SimSun" w:hAnsi="SimSun" w:eastAsia="SimSun" w:cs="SimSun"/>
          <w:color w:val="auto"/>
          <w:sz w:val="24"/>
          <w:u w:val="single"/>
        </w:rPr>
        <w:t xml:space="preserve">          </w:t>
      </w:r>
      <w:r>
        <w:rPr>
          <w:rFonts w:ascii="SimSun" w:hAnsi="SimSun" w:eastAsia="SimSun" w:cs="SimSun"/>
          <w:color w:val="auto"/>
          <w:sz w:val="24"/>
        </w:rPr>
        <w:t xml:space="preserve">元，大写：人民币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元整，乙方提供对应金额的增值税发票后，由甲方办理政府采购资金结算手续，经审核后支付给乙方。</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第三年度服务期满后，甲方应在收到考核结果后</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w:t>
      </w:r>
      <w:r>
        <w:rPr>
          <w:rFonts w:ascii="Arial" w:hAnsi="Arial" w:eastAsia="Arial" w:cs="Arial"/>
          <w:color w:val="auto"/>
          <w:sz w:val="24"/>
        </w:rPr>
        <w:t xml:space="preserve">由甲方办理政府采购资金结算手续</w:t>
      </w:r>
      <w:r>
        <w:rPr>
          <w:rFonts w:ascii="SimSun" w:hAnsi="SimSun" w:eastAsia="SimSun" w:cs="SimSun"/>
          <w:color w:val="auto"/>
          <w:sz w:val="24"/>
        </w:rPr>
        <w:t xml:space="preserve">一次性支付给乙方第三年度合同价款剩余款项</w:t>
      </w:r>
      <w:r>
        <w:rPr>
          <w:rFonts w:ascii="Arial" w:hAnsi="Arial" w:eastAsia="Arial" w:cs="Arial"/>
          <w:color w:val="auto"/>
          <w:sz w:val="24"/>
        </w:rPr>
        <w:t xml:space="preserve">。</w:t>
      </w:r>
      <w:r>
        <w:rPr>
          <w:color w:val="auto"/>
        </w:rPr>
      </w:r>
      <w:r/>
    </w:p>
    <w:p>
      <w:pPr>
        <w:ind w:left="0" w:right="0" w:firstLine="480"/>
        <w:spacing w:before="240" w:after="120" w:line="406"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2、运营管理考核规定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每年对中标供应商的运营管理工作进行考核，考核采用积分制，总分为</w:t>
      </w:r>
      <w:r>
        <w:rPr>
          <w:rFonts w:ascii="Times New Roman" w:hAnsi="Times New Roman" w:eastAsia="Times New Roman" w:cs="Times New Roman"/>
          <w:color w:val="auto"/>
          <w:sz w:val="24"/>
        </w:rPr>
        <w:t xml:space="preserve">100</w:t>
      </w:r>
      <w:r>
        <w:rPr>
          <w:rFonts w:ascii="SimSun" w:hAnsi="SimSun" w:eastAsia="SimSun" w:cs="SimSun"/>
          <w:color w:val="auto"/>
          <w:sz w:val="24"/>
        </w:rPr>
        <w:t xml:space="preserve">分，其中租金收缴</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分，年审</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分，巡查</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分，维修</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分。考核达到积分</w:t>
      </w:r>
      <w:r>
        <w:rPr>
          <w:rFonts w:ascii="Times New Roman" w:hAnsi="Times New Roman" w:eastAsia="Times New Roman" w:cs="Times New Roman"/>
          <w:color w:val="auto"/>
          <w:sz w:val="24"/>
        </w:rPr>
        <w:t xml:space="preserve">95</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含</w:t>
      </w:r>
      <w:r>
        <w:rPr>
          <w:rFonts w:ascii="Times New Roman" w:hAnsi="Times New Roman" w:eastAsia="Times New Roman" w:cs="Times New Roman"/>
          <w:color w:val="auto"/>
          <w:sz w:val="24"/>
        </w:rPr>
        <w:t xml:space="preserve">95</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以上的，向中标供应商支付运营管理费用</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考核未达到积分</w:t>
      </w:r>
      <w:r>
        <w:rPr>
          <w:rFonts w:ascii="Times New Roman" w:hAnsi="Times New Roman" w:eastAsia="Times New Roman" w:cs="Times New Roman"/>
          <w:color w:val="auto"/>
          <w:sz w:val="24"/>
        </w:rPr>
        <w:t xml:space="preserve">95</w:t>
      </w:r>
      <w:r>
        <w:rPr>
          <w:rFonts w:ascii="SimSun" w:hAnsi="SimSun" w:eastAsia="SimSun" w:cs="SimSun"/>
          <w:color w:val="auto"/>
          <w:sz w:val="24"/>
        </w:rPr>
        <w:t xml:space="preserve">分的，运营管理费用按百分比予以扣减。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①租金收缴率达到</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45</w:t>
      </w:r>
      <w:r>
        <w:rPr>
          <w:rFonts w:ascii="SimSun" w:hAnsi="SimSun" w:eastAsia="SimSun" w:cs="SimSun"/>
          <w:color w:val="auto"/>
          <w:sz w:val="24"/>
        </w:rPr>
        <w:t xml:space="preserve">分，收缴率每增加</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分，直至满分，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②年审协办率达到</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25</w:t>
      </w:r>
      <w:r>
        <w:rPr>
          <w:rFonts w:ascii="SimSun" w:hAnsi="SimSun" w:eastAsia="SimSun" w:cs="SimSun"/>
          <w:color w:val="auto"/>
          <w:sz w:val="24"/>
        </w:rPr>
        <w:t xml:space="preserve">分，年审率每增加</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分，直至满分。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③巡查完成率达到</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巡查率达到</w:t>
      </w:r>
      <w:r>
        <w:rPr>
          <w:rFonts w:ascii="Times New Roman" w:hAnsi="Times New Roman" w:eastAsia="Times New Roman" w:cs="Times New Roman"/>
          <w:color w:val="auto"/>
          <w:sz w:val="24"/>
        </w:rPr>
        <w:t xml:space="preserve">95%</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巡查率达到</w:t>
      </w:r>
      <w:r>
        <w:rPr>
          <w:rFonts w:ascii="Times New Roman" w:hAnsi="Times New Roman" w:eastAsia="Times New Roman" w:cs="Times New Roman"/>
          <w:color w:val="auto"/>
          <w:sz w:val="24"/>
        </w:rPr>
        <w:t xml:space="preserve">100%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④维修及时率达到</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维修率达到</w:t>
      </w:r>
      <w:r>
        <w:rPr>
          <w:rFonts w:ascii="Times New Roman" w:hAnsi="Times New Roman" w:eastAsia="Times New Roman" w:cs="Times New Roman"/>
          <w:color w:val="auto"/>
          <w:sz w:val="24"/>
        </w:rPr>
        <w:t xml:space="preserve">95%</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分</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维修率达到</w:t>
      </w:r>
      <w:r>
        <w:rPr>
          <w:rFonts w:ascii="Times New Roman" w:hAnsi="Times New Roman" w:eastAsia="Times New Roman" w:cs="Times New Roman"/>
          <w:color w:val="auto"/>
          <w:sz w:val="24"/>
        </w:rPr>
        <w:t xml:space="preserve">100%</w:t>
      </w:r>
      <w:r>
        <w:rPr>
          <w:rFonts w:ascii="SimSun" w:hAnsi="SimSun" w:eastAsia="SimSun" w:cs="SimSun"/>
          <w:color w:val="auto"/>
          <w:sz w:val="24"/>
        </w:rPr>
        <w:t xml:space="preserve">，积</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分。</w:t>
      </w:r>
      <w:r>
        <w:rPr>
          <w:color w:val="auto"/>
        </w:rPr>
      </w:r>
      <w:r/>
    </w:p>
    <w:p>
      <w:pPr>
        <w:ind w:left="963" w:right="4539" w:hanging="589"/>
        <w:spacing w:before="98" w:after="0" w:line="71"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四、运营管理要求</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（一）乙方应当遵守国家有关法律、政策的规定，并遵守所在小区各项管理制度；</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乙方在运营管理时应做到高效、安全、整洁。要爱护并合理地使用该房屋及其附属设施设备及相关物品，不得改变房屋结构、装修现状；不得存放危险物品，超负荷使用和擅自拉接电线或使用不合格的电器。因乙方使用不当或人为损坏房屋及其附属设施设备而造成损失的，乙方应赔偿实际损失并原样修复；</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（三）乙方不得对该房屋原装修进行拆改。乙方未经书面同意擅自改造的或因私</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自拆改造成该房屋设施设备损坏的，应当恢复原状或者照价赔偿损失；</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（四）为保证公共租赁住房的合理、有效使用，确保双方的合法权益，甲方对乙</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方使用房屋负有监督责任，甲方有权检查住房使用情况、租赁情况及核对住户的有关资料，乙方应子以配合并提供方便，不得阻挠、拒绝；</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（五）乙方在运营管理中应定期检查小区房屋，确保房屋及其附属设施设备处于安全状态；</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（六）乙方在运营管理期间负责对房屋进行正常养护和管理，并将其相关资料、信息收集、整理报甲方备案；</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（七）乙方在运营管理期间若出现房屋及其室内配置设施设备受损需产生大量维修工程，其方案上报甲方且认可，其费用由笫三方审计单位进行审定，并由甲方审核后向市财政部门申请拨付资金；</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（八）甲方如需要对房屋及附属设施进行检查或整修时，乙应积极配合。</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五、协议的终止</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（一）协议期满自然终止；</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（二）因不可抗力因素导致协议无法履行的，协议终止；</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（三）乙方自愿提前退出公共租住房管理，应提前两个月向甲方提出申请，双方据实进行相关费用的结算；</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（四）乙方在运管管理期满后仍有意愿继续管理，应提前</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两个月告知甲方，在符合要求的同等条件下，甲方优先选择乙方。</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六、争议解决方式</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本协议履行中发生的争议，法律、法规、规章、政策有相关规定的，按规定执行；没有规定的，双方可以协商解决；协商未果的，可向属地人民法院诉讼解决。</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七、其他约定事项</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（一）本协议未尽事宜参照《徐州市市区公共租赁住房管理办法》（徐政规(2012]18号文件）和《市政府办公室关于印发（徐州市市区公共租赁住房运营管理实施意见〉的通知》（徐政办发(2013]230号）文件执行。</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（二）本协议未尽事宜，经甲乙双方协商一致，可订立补充协议。补充协议条款及附件均为本协议组成部分，与协议同具有同等法律力。</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八、协议生效时限</w:t>
      </w:r>
      <w:r>
        <w:rPr>
          <w:color w:val="auto"/>
        </w:rPr>
      </w:r>
      <w:r/>
    </w:p>
    <w:p>
      <w:pPr>
        <w:ind w:left="0" w:right="0" w:firstLine="480"/>
        <w:spacing w:before="32" w:after="120" w:line="312" w:lineRule="atLeast"/>
        <w:tabs>
          <w:tab w:val="left" w:pos="42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本协议经甲乙双方签字盖章后生效。</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甲方（公章或合同专用章）：</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负责人（授权代表）：</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电话：</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签约日期：年月日</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乙方：（公章或合同专用章）</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法定代表人（授权代表）：</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电话：</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开户行：</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账户：</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签约日期：年月日</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2"/>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color w:val="auto"/>
        </w:rPr>
      </w:r>
      <w:r>
        <w:rPr>
          <w:rFonts w:ascii="Calibri" w:hAnsi="Calibri" w:eastAsia="Calibri" w:cs="Calibri"/>
          <w:color w:val="auto"/>
          <w:sz w:val="22"/>
        </w:rPr>
        <w:t xml:space="preserve"> </w:t>
      </w:r>
      <w:r>
        <w:rPr>
          <w:color w:val="auto"/>
          <w:sz w:val="24"/>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第六章</w:t>
      </w:r>
      <w:r>
        <w:rPr>
          <w:rFonts w:ascii="Arial" w:hAnsi="Arial" w:eastAsia="Arial" w:cs="Arial"/>
          <w:b/>
          <w:color w:val="auto"/>
          <w:sz w:val="36"/>
        </w:rPr>
        <w:t xml:space="preserve"> </w:t>
      </w:r>
      <w:r>
        <w:rPr>
          <w:rFonts w:ascii="SimSun" w:hAnsi="SimSun" w:eastAsia="SimSun" w:cs="SimSun"/>
          <w:b/>
          <w:color w:val="auto"/>
          <w:sz w:val="36"/>
        </w:rPr>
        <w:t xml:space="preserve">采购需求</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一、项目名称：徐州市主城区公共租赁住房运营管理服务项目</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二、采购预算：2154万元</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三、服务期：3年</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四、采购需求：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（一）项目基本情况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为徐州市主城区公共租赁住房提供专业化运营管理服务，服务项目共分为6个小区，总建筑面积约36.96万平方米，共计4960套公共租赁住房（含原廉租房）。其中集中项目为：1.云龙区坝山新苑项目1479套，建筑面积约14.4万平方米，2013年投入使用。2.泉山区欣缘公寓项目1564套建筑面积约9.5万平方米，2018年投入使用。其中配建项目为：1.鼓楼区滨河花园项目配建120套（原廉租房），建筑面积约0.97万平方米，2008年投入使用。2.鼓楼区琵琶花园项目配建588套（原廉租房），建筑面积约3.74万平方</w:t>
      </w:r>
      <w:r>
        <w:rPr>
          <w:rFonts w:ascii="SimSun" w:hAnsi="SimSun" w:eastAsia="SimSun" w:cs="SimSun"/>
          <w:color w:val="auto"/>
          <w:sz w:val="24"/>
        </w:rPr>
        <w:t xml:space="preserve">米，2010年投入使用。3.鼓楼区九里新苑五期项目配建723套（原廉租房），建筑面积约4.95万平方米，2014年投入使用。4.鼓楼区九里新苑七期项目配建486套，建筑面积约3.4万平方米，2017年投入使用。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项目运营管理模式。徐州市房屋征收和房产保障管理中心为徐州市主城区公共租赁住房主管部门，主要负责贯彻执行徐州市住房保障政策，审查公共租赁住房承租人的资格，对项目运营管理服务机构日常工作进行监督指导。项目运营管理服务机构作为管理人，受主管部门的委托，承担公共租赁住房运营管理服务过程中的具体事务和房屋的日常维护维修工作。中标供应商按采购文件要求组织人员，提供专门从事徐州主城区公共租赁住房运营管理服务和维修。</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（二）服务内容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1.分配协助管理：主要包括协助采购人解答分配公共租赁住房（廉租房）分配过程中的相关运营管理的问题，组织开展的相关活动；做好项目房源信息管理管理；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2.入住管理:主要包括协助组织选房、前期筹备:租赁合同签订、办理入住手续:采集入住住户基本信息，建立住户档案，配合做好与相关部门及单位的对接工作。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3.租金管理:租金代收代缴、催缴、违约金收缴，收缴的租金按照有关规定及时上缴。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4.续租与变更管理:做好变更、年审、续租受理，对已入住对象的住房、收入、人口及其他经济状况和社会信息进行动态跟踪。</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5.房屋巡查管理:房屋及其附属设施设备使用情况的定期巡查;负责房屋消防安全隐患和结构安全隐患的定期排查，做好记录:及时发现违法违规行为并采集证据上报:负责做好消防安全、结构安全隐患的整改工作。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6.房屋维修:房屋及其附属设施设备损坏的及时维修，确保房屋的正常使用，对因入住对象使用不当造成房屋损坏的督促整改。</w:t>
      </w:r>
      <w:r>
        <w:rPr>
          <w:rFonts w:ascii="SimSun" w:hAnsi="SimSun" w:eastAsia="SimSun" w:cs="SimSun"/>
          <w:color w:val="auto"/>
          <w:sz w:val="24"/>
          <w:u w:val="none"/>
        </w:rPr>
        <w:t xml:space="preserve">房屋设备维护维修</w:t>
      </w:r>
      <w:r>
        <w:rPr>
          <w:rFonts w:ascii="SimSun" w:hAnsi="SimSun" w:eastAsia="SimSun" w:cs="SimSun"/>
          <w:color w:val="auto"/>
          <w:sz w:val="24"/>
        </w:rPr>
        <w:t xml:space="preserve">范围包含但不限于房屋室内建筑装修部分的墙体及顶棚出新、卫生间防水渗漏、门窗日常维修、水电线路及设备维修、智能弱电系统维修、厨卫洁具及家具设备设施维护维修、电梯日常维修、</w:t>
      </w:r>
      <w:r>
        <w:rPr>
          <w:rFonts w:ascii="SimSun" w:hAnsi="SimSun" w:eastAsia="SimSun" w:cs="SimSun"/>
          <w:color w:val="auto"/>
          <w:sz w:val="24"/>
          <w:u w:val="none"/>
        </w:rPr>
        <w:t xml:space="preserve">消防及安防系统</w:t>
      </w:r>
      <w:r>
        <w:rPr>
          <w:rFonts w:ascii="SimSun" w:hAnsi="SimSun" w:eastAsia="SimSun" w:cs="SimSun"/>
          <w:color w:val="auto"/>
          <w:sz w:val="24"/>
        </w:rPr>
        <w:t xml:space="preserve">日常维修，达到房屋的租户正常使用，投诉率控制在3%以内。维护维修费用包含在运营服务费内。</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7.违约管理:承租人有违反合同约定或其他法律法规规定情况的，做好处置及采集证据上报。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8.终止退出管理:对不符合入住条件的保障家庭进行腾退，办理退房手续:协助做好公共租赁住房收回、房屋腾退、强制腾退、空置房源管理等。</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综合管理:建立档案管理制度，实行一房一档管理，及时更新各类信息，做到存档资料规范有序:建立动态管理机制，定期入户巡查走访:及时掌握承租家庭成员基本信息变化情况:将房源信息和承租家庭信息等录入住房保障管理系统:做好政策宣传、信息发布、公示、财务管理等工作;配合做好政府职能部门、上级主管部门及相关社会团体组织的参观、走访、慰问等接待工作;配合做好社会调查、绩效评价及群众满意度测评。开展小区公益服务及突发事件的处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10.其他管理:负责来人来宾访问接待工作，做好项目讲解工作。做好办公区日常清洁工作。</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（三）服务要求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1.管理机构及人员要求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（1）中标供应商如为非徐州主城区注册企业，需在合同签订后10天内在徐州主城区范围内设置分支机构，未按规定设置分支机构的，采购人有权终止服务合同。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拟投入项目班子成员不少于40人，其中具备一级建造师执业资格且拥有中级以上职称人员不少于2人；具备造价工程师执业资格且拥有中级以上职称人员不少于1人；法律专业人员不少于1人；具备消防设施操作人员不少于5人；具备特种设备安全管理和作业人员不少于3人。中标供应商在合同签订后5个工作日内提供项目班子成员身份证复印件及相关毕业证、执业资格证书，未按规定人数配置服务人员、人员资料提供不齐全的，采购人有权终止服务合同，并追究其相关违约责任。</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2.运营管理服务要求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（1）基本要求: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需具有公共租赁住房运营管理能力，达到政策要求的准入条件:熟悉公共租赁住房的相关政策，依法依规对公共租赁住房实施后续管理;有一定的公共租赁住房管理经验，了解徐州市公共租赁住房相关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供应商配备专业的公共租赁住房管理人员不少于40人，应统一着装、佩戴胸牌，文明用语。工作中做到认真负责，忠于职守，严格按制度和操作程序办事，杜绝违纪违法行为。坚持良好的服务态度，耐心细致，为保障对象提供优质高效的服务。</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3)供应商应拥有公共租赁住房管理系统。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供应商所有工作须接受和服从主管部门的监督与管理，应建立相关员工管理、培训、财务、巡查、应急、日常维护维修等制度，应建立月度、季度、年度报表制度，每月、每季度需提供工作数据、报表、凭证，台账等供主管部门查阅，并接受主管部门的季度考核、年度考核，确保各项管理符合相关政策规定;完成主管部门交办的其他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（2）下设公共租赁住房运营管理服务项目部的具体工作内容包括:</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1)分项目设立运营管理服务项目部门: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2)配合主管部门进行房源的交接、验收工作,建立健全房屋档案，保证房屋正常使用功能，参与房源装修相关工作的管理: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3)配合主管部门做好公共租赁住房相关数据的统计和汇总工作。调查并掌握徐州市公共租赁房需求情况: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4)配合主管部门做好公共租赁住房年审、租赁合同变更、终止及房屋调换、续租等事项，并按规定办理相关手续:</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5)配合主管部门做好公共租赁住房的分配工作。参与公共租赁住房配和选房的前期筹备、现场组织等具体工作:代理出租人与承租人签订《公共租赁住房租赁合同》，办理房屋入住手续，并按合同约定提供服务;</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6)做好公共租赁住房纸质档案、电子档案的保存和管理工作。建立公共租赁住房租赁台帐和入户巡查制度,及时掌握承租人基本信息变化情况，监督承租人房屋使用行为，并按合同约定纠正、处理违约行为;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7)做好公共租赁住房管理的协调。配合协调公安、城管、消防、供水、供电、燃气、有线电视、物业服务企业等相关部门单位工作;监督履行服务合同，提供相应服务，并就达不到服务合同要求的情况及时整改;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8)做好公共租赁住房的日常巡视，检修工作。承担公共租赁住房维护维修工作；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9)做好公共租赁住房承租户的日常管理工作。及时发现违法违规行为并采集证据上报。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10)处理保障对象的相关问题，应对突发情况的发生。代表出租人受理或提起公共租赁住房涉及的诉讼事项，配合主管部门接受和处理相关的信访、举报、投诉事项:按照有关规定或合同约定应当承担的其他工作。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11)做好公共租赁住房租金代收、代缴和催缴工作。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12)综合管理事项，主要包括协助采购人住房保障信息系统建设和维护，信息采集和录入；协助采购人智能化管理系统及监测平台建设和维护；社会调查、绩效评价及群众满意度测评: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（3）下设公共租赁住房运营管理服务项目部的具体工作要求包括:</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1)日常管理工作: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负责对公共租赁住房小区的巡查及住户走访工作，对各公共租赁住房住房小区的巡查周期达到三个月一次,空置房源巡查周期达到每个月一次，年度住户走访率达到85%以上，对重点住户的走访率要达到100%，按要求做好巡查走访记录。巡查要求如下:</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a.房屋使用情况，如是否存在转租、转借、擅自调换或违规使用公共租赁住房的情况: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b.房屋原有设施设备使用情况，如是否存在改变原有设施设备布局以及损坏固定装置的情况、是否存在因设施设备自然损耗、老化而危及安全的情况: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c.房屋原有结构保持情况，如是否存在违章搭建、改变房屋用途或改变房屋结构的情况;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d.保障家庭信息变化情况，如家庭人员数量、收入等信息的变化情况;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e.保障家庭的活动情况，如是否存在利用房屋进行疑似违法活动，是否存在堆放易燃、易爆、有毒等危险物品的情况:</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f.其他因法律法规规定的、邻里投诉或管理机构布置的巡查内容。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B.负责公共租赁住房入住对象的租金收缴工作，应提供多种租金收缴方式方便入住对象缴纳租金，按规定收取租金，并开具统一票据;做好欠缴租金的催缴工作，年租金收缴率不低于95%；</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C.协助主管部门做好公共租赁住房入住对象资格审核、年审、变更、续租等事项工作，包括受理、材料传递、系统录入等工作应在约定期限以内完成；</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D.协助主管部门办理公共租赁住房住户的入住、退出等相关手续，建立和完善公共租赁住房承租人的相关档案: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E.负责公共租赁住房入住对象的信息登记与核对工作，对入住对象的收入和房产等信息进行动态监管，如实填写入户走访调查表；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F.协助主管部门登记公共租赁住房入住，使用情况，发现违规出租、出借、转让、调换，经营、空置等情况，应及时以书面形式连同取证资料上报主管部门，并督促违规家 庭做好整改工作，对拒不整改的，要做好诉讼工作；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G.受理公共租赁住房的报修申请，编制维修方案和计划，合理安排维修；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H、开展日常巡查，加强房屋安全监管，发现住户违章搭盖、改变房屋用途或擅自拆改房屋的行为应当及时制止，并按规定报告采购人处理: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I协助主管部门核实、处理群众投诉、举报；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J.协助主管部门定期做好数据录入住房保障系统和日常维护各类数据报表的工作。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2)房屋维护维修工作: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A.负责做好职责范围内公共租赁住房的维修养护工作。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B.建立房屋修缮制度，实行便民报修和回访，房屋维修及时率90%以上，房屋完好率达到100%。</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C.维护维修工作流程 对保障对象申报的报修情况应在 24小时内进行现场查勘，按规定填写“报修单”，并及时通知公共租赁住房维修单位到场核对维修项目，督促维修单位认真履行维修职责，报修单一式两份，维修结果由住户在报修单上签字认可。</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3)违约处置工作: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A.负责纳入运营管理范围内公共租赁住房的投诉及违规装修等问题的处理，建立完善的管理制度，及时处理各类投诉事宜(处理率达到100%)，及时制止新入住的住户进行违规装修，私搭乱建，确保房屋的正常使用。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B.中标供应商在日常管理和巡查过程中发现保障家庭有违反合同约定情况的，应及时作出处置措施。</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C.违约处置工作流程如下:发现违约情况后，在3个工作日内按照法定程序发放整改通知书，并限期整改，做好询问笔录，及时报送主管部门。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4)终止退出工作: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A.负责受理保障对象退出公共租赁住房申请，在约定工作日内完成收房及租金结算等手续。</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B.根据主管部门要求，负责及时腾退不再符合住房保障条件的保障对象，办理腾退房屋的相关手续，并将结果反馈至主管部门，必要时向法院提起诉讼。</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C.房源退出工作流程:接主管部门腾退通知单后，按照法定程序对承租户送达腾退房屋通知单，督促其按规定期限办理腾退手续。</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D.对退出的公共租赁住房应在3个工作日内完成房屋清空整理工作，做好水电气报停工作，关闭水电气阀门，报修房屋内部损坏部件，使房源处于随时可使用状态。</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5)异常情况的信息及时上报工作:</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中标供应商发现公共租赁住房保障对象有以下情形之一的，应当报告给主管部门，并在主管部门的指导下采取调查取证、整改通知等措施:</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A.取得公共租赁住房半年内未入住或将承租的公共租赁住房无故空置超过半年: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B.公共租赁住房发生转租、转借、转让、出租、调换，经营;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C.家庭收入，资产，住房情况发生明显变化未按规定及时申报: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D.未按规定办理入住登记，居住期间人员变动: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E.其它违反规定的情形。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6)应急情况处理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A.中标供应商应建立相应的突发事件应急预案以及现场处置办法，在公共租赁住房房源集中的小区，应建立良好的信息收集渠道，遇到突发事件的发生，须向主管部门报告突发事件情况,并积极对接相关部门了解事件最新进展,并将进展情况向主管部门汇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B.中标供应商应在每个服务点设立值班制度，特别是法定节假日须有人员值班。在汛期、台风等季节，需根据主管部门要求安排人员进行防汛防台，并做好防汛防台等通知与宣传。</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7)其他管理工作:</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中标供应商应做好小区接待工作，负责上级部门来人来宾参加访问接待工作，并根据主管部门的要求作好讲解路线安排，做好讲解工作。</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（四）服务费用的支付</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合同签订后，采购人按照徐州市政府采购相关规定支付。</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每年对中标供应商的运营管理工作进行考核，考核采用积分制，总分为100分，其中租金收缴50分，年审30分，巡查10分，维修10分。考核达到积分95分(含95分)以上的，向中标供应商支付运营管理费用;考核未达到积分95分的，运营管理费用按百分比予以扣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①租金收缴率达到90%，积40分，收缴率每增加1%，积1分，直至满分，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②年审协办率达到90%，积20分，年审率每增加1%,积1分，直至满分。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③巡查完成率达到90%，积8分;巡查率达到95%，积9分;巡查率达到100%，积10分。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④维修及时率达到90%，积8分;维修率达到95%，积9分;维修率达到100%，积10分。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五、其他内容和要求：</w:t>
      </w:r>
      <w:r>
        <w:rPr>
          <w:rFonts w:ascii="SimSun" w:hAnsi="SimSun" w:eastAsia="SimSun" w:cs="SimSun"/>
          <w:color w:val="auto"/>
          <w:sz w:val="24"/>
        </w:rPr>
        <w:t xml:space="preserve">见第五章《拟签订的合同文本》。</w:t>
        <w:br w:type="page" w:clear="all"/>
      </w:r>
      <w:r>
        <w:rPr>
          <w:color w:val="auto"/>
        </w:rPr>
      </w:r>
      <w:r/>
    </w:p>
    <w:p>
      <w:pPr>
        <w:pStyle w:val="670"/>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第七章</w:t>
      </w:r>
      <w:r>
        <w:rPr>
          <w:rFonts w:ascii="Arial" w:hAnsi="Arial" w:eastAsia="Arial" w:cs="Arial"/>
          <w:b/>
          <w:color w:val="auto"/>
          <w:sz w:val="36"/>
        </w:rPr>
        <w:t xml:space="preserve"> </w:t>
      </w:r>
      <w:r>
        <w:rPr>
          <w:rFonts w:ascii="SimSun" w:hAnsi="SimSun" w:eastAsia="SimSun" w:cs="SimSun"/>
          <w:b/>
          <w:color w:val="auto"/>
          <w:sz w:val="36"/>
        </w:rPr>
        <w:t xml:space="preserve">投标文件相关格式</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一、投标函格式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致：江苏中际招标代理有限公司</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w:t>
      </w:r>
      <w:r>
        <w:rPr>
          <w:rFonts w:ascii="SimSun" w:hAnsi="SimSun" w:eastAsia="SimSun" w:cs="SimSun"/>
          <w:color w:val="auto"/>
          <w:sz w:val="24"/>
          <w:u w:val="single"/>
        </w:rPr>
        <w:t xml:space="preserve">          </w:t>
      </w:r>
      <w:r>
        <w:rPr>
          <w:rFonts w:ascii="SimSun" w:hAnsi="SimSun" w:eastAsia="SimSun" w:cs="SimSun"/>
          <w:color w:val="auto"/>
          <w:sz w:val="24"/>
        </w:rPr>
        <w:t xml:space="preserve">项目</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项目编号：</w:t>
      </w:r>
      <w:r>
        <w:rPr>
          <w:rFonts w:ascii="SimSun" w:hAnsi="SimSun" w:eastAsia="SimSun" w:cs="SimSun"/>
          <w:color w:val="auto"/>
          <w:sz w:val="24"/>
          <w:u w:val="single"/>
        </w:rPr>
        <w:t xml:space="preserve">      </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招标文件，</w:t>
      </w:r>
      <w:r>
        <w:rPr>
          <w:rFonts w:ascii="SimSun" w:hAnsi="SimSun" w:eastAsia="SimSun" w:cs="SimSun"/>
          <w:color w:val="auto"/>
          <w:sz w:val="24"/>
          <w:u w:val="single"/>
        </w:rPr>
        <w:t xml:space="preserve">          </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姓名</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代表我方</w:t>
      </w:r>
      <w:r>
        <w:rPr>
          <w:rFonts w:ascii="SimSun" w:hAnsi="SimSun" w:eastAsia="SimSun" w:cs="SimSun"/>
          <w:color w:val="auto"/>
          <w:sz w:val="24"/>
          <w:u w:val="single"/>
        </w:rPr>
        <w:t xml:space="preserve">     </w:t>
      </w:r>
      <w:r>
        <w:rPr>
          <w:rFonts w:ascii="SimSun" w:hAnsi="SimSun" w:eastAsia="SimSun" w:cs="SimSun"/>
          <w:color w:val="auto"/>
          <w:sz w:val="24"/>
        </w:rPr>
        <w:t xml:space="preserve">（投标人的名称）全权处理本次投标的有关事宜。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据此函，投标人承诺并同意如下：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 投标人唯一投标报价见《开标一览表》。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 投标人将按招标文件的规定履行合同责任和义务。</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 投标人已详细审查全部招标文件，包括第</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插入编号</w:t>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补遗书</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如果有的话</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。投标人完全理解并同意放弃对这方面有不明及误解的权力。</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 投标有效期为开标之日后</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 投标人同意提供按照贵方可能要求的与其投标有关的一切数据或资料，完全理解贵方不一定接受最低价的投标或收到的任何投标。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 </w:t>
      </w:r>
      <w:r>
        <w:rPr>
          <w:rFonts w:ascii="SimSun" w:hAnsi="SimSun" w:eastAsia="SimSun" w:cs="SimSun"/>
          <w:color w:val="auto"/>
          <w:sz w:val="24"/>
        </w:rPr>
        <w:t xml:space="preserve"> 投标人同意在授予合同后，按照有关规定支付公证费</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如有</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 </w:t>
      </w:r>
      <w:r>
        <w:rPr>
          <w:rFonts w:ascii="SimSun" w:hAnsi="SimSun" w:eastAsia="SimSun" w:cs="SimSun"/>
          <w:color w:val="auto"/>
          <w:sz w:val="24"/>
        </w:rPr>
        <w:t xml:space="preserve"> 江苏中际招标代理有限公司有权将我单位本项目的《开标一览表》和《分项价格表》予以公示，公示的方式由江苏中际招标代理有限公司确定。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 </w:t>
      </w:r>
      <w:r>
        <w:rPr>
          <w:rFonts w:ascii="SimSun" w:hAnsi="SimSun" w:eastAsia="SimSun" w:cs="SimSun"/>
          <w:color w:val="auto"/>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 </w:t>
      </w:r>
      <w:r>
        <w:rPr>
          <w:rFonts w:ascii="SimSun" w:hAnsi="SimSun" w:eastAsia="SimSun" w:cs="SimSun"/>
          <w:color w:val="auto"/>
          <w:sz w:val="24"/>
        </w:rPr>
        <w:t xml:space="preserve"> 与本投标有关的一切正式往来信函请寄：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电话：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传真：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二、开标一览表格式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项目名称：徐州市主城区公共租赁住房运营管理服务项目</w:t>
      </w: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JSZC-320300-ZJZB-G2026-0088</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货币单位：人民币元</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0"/>
        <w:gridCol w:w="2702"/>
        <w:gridCol w:w="3392"/>
      </w:tblGrid>
      <w:tr>
        <w:trPr>
          <w:trHeight w:val="9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项目内容</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总价（小写）</w:t>
            </w:r>
            <w:r>
              <w:rPr>
                <w:color w:val="auto"/>
              </w:rPr>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徐州市主城区公共租赁住房运营管理服务项目</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详见投标文件</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总价（大写）：</w:t>
            </w:r>
            <w:r>
              <w:rPr>
                <w:color w:val="auto"/>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供应商承诺：本报价（总价）为供应商本企业提供的服务。</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报价说明：</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1、报价应包括全部内容，以及为完成上述内容所需的全部费用。</w:t>
        <w:br/>
        <w:t xml:space="preserve">2、报价以总价为准，大小写不一致以大写为准；</w:t>
        <w:br/>
        <w:t xml:space="preserve">3、偏离说明：详见《偏离表》；</w:t>
        <w:br/>
      </w:r>
      <w:r>
        <w:rPr>
          <w:color w:val="auto"/>
        </w:rPr>
      </w:r>
      <w:r/>
    </w:p>
    <w:p>
      <w:pPr>
        <w:ind w:left="0" w:right="0" w:firstLine="2760"/>
        <w:spacing w:before="240" w:after="24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2760"/>
        <w:spacing w:before="240" w:after="24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三、分项价格表格式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项目名称：徐州市主城区公共租赁住房运营管理服务项目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JSZC-320300-ZJZB-G2026-0088</w:t>
      </w: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货币单位：人民币元</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格式自拟</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．如果不提供详细分项报价将视为没有实质性响应招标文件。</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投标人对以上数据的真实性负责。</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报价应包括项目涉及的一切税、费等。</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采购人或采购代理机构有权将以上内容进行公示。</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四、偏离表格式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项目名称：徐州市主城区公共租赁住房运营管理服务项目</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JSZC-320300-ZJZB-G2026-0088</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偏离内容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招标文件的要求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投标文件中的内容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（正/负/无）偏离</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说明</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注：投标人的投标文件中的内容与招标文件（含招标文件的澄清或者修改的内容）的要求不同时，逐条列在偏离表中，否则将认为投标人接受招标文件的要求。</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五、法定代表人授权书格式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委托人：</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法定代表人（负责人）：职务：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统一社会信用代码：</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受托人：性别：男（女）</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年龄：岁民族：族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职务：移动电话：</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身份证号：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兹委托（）全权代表我企业（公司）参与（徐州市主城区公共租赁住房运营管理服务项目）项目（项目编号：</w:t>
      </w:r>
      <w:r>
        <w:rPr>
          <w:rFonts w:ascii="Times New Roman" w:hAnsi="Times New Roman" w:eastAsia="Times New Roman" w:cs="Times New Roman"/>
          <w:color w:val="auto"/>
          <w:sz w:val="24"/>
        </w:rPr>
        <w:t xml:space="preserve">JSZC-320300-ZJZB-G2026-0088</w:t>
      </w:r>
      <w:r>
        <w:rPr>
          <w:rFonts w:ascii="SimSun" w:hAnsi="SimSun" w:eastAsia="SimSun" w:cs="SimSun"/>
          <w:color w:val="auto"/>
          <w:sz w:val="24"/>
        </w:rPr>
        <w:t xml:space="preserve">）的招、投标活动及签订合同。（）以我企业（公司）名义所为的法律行为及签署的文件，我企业（公司）均予以认可。有关法律责任均由我企业（公司）承担。（）无转委托权。委托期限自年月日起至年月日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特此授权委托。</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委托人（电子签章）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法定代表人（签字或盖章）：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受托人（签字）：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年月日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受托人身份证复印件附后</w:t>
      </w:r>
      <w:r>
        <w:rPr>
          <w:rFonts w:ascii="Times New Roman" w:hAnsi="Times New Roman" w:eastAsia="Times New Roman" w:cs="Times New Roma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六、中小企业声明函格式</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项目名称：</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项目编号：</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本公司郑重声明，根据《政府采购促进中小企业发展管理办法》（财库 </w:t>
      </w:r>
      <w:r>
        <w:rPr>
          <w:rFonts w:ascii="SimSun" w:hAnsi="SimSun" w:eastAsia="SimSun" w:cs="SimSun"/>
          <w:color w:val="auto"/>
          <w:sz w:val="24"/>
        </w:rPr>
        <w:t xml:space="preserve">(2020)46</w:t>
      </w:r>
      <w:r>
        <w:rPr>
          <w:rFonts w:ascii="Arial" w:hAnsi="Arial" w:eastAsia="Arial" w:cs="Arial"/>
          <w:color w:val="auto"/>
          <w:sz w:val="24"/>
        </w:rPr>
        <w:t xml:space="preserve">号）的规定，本公司参加</w:t>
      </w:r>
      <w:r>
        <w:rPr>
          <w:rFonts w:ascii="Arial" w:hAnsi="Arial" w:eastAsia="Arial" w:cs="Arial"/>
          <w:color w:val="auto"/>
          <w:sz w:val="24"/>
          <w:u w:val="single"/>
        </w:rPr>
        <w:t xml:space="preserve">（单位名称）</w:t>
      </w:r>
      <w:r>
        <w:rPr>
          <w:rFonts w:ascii="Arial" w:hAnsi="Arial" w:eastAsia="Arial" w:cs="Arial"/>
          <w:color w:val="auto"/>
          <w:sz w:val="24"/>
        </w:rPr>
        <w:t xml:space="preserve">的</w:t>
      </w:r>
      <w:r>
        <w:rPr>
          <w:rFonts w:ascii="Arial" w:hAnsi="Arial" w:eastAsia="Arial" w:cs="Arial"/>
          <w:color w:val="auto"/>
          <w:sz w:val="24"/>
          <w:u w:val="single"/>
        </w:rPr>
        <w:t xml:space="preserve">（项目名称）</w:t>
      </w:r>
      <w:r>
        <w:rPr>
          <w:rFonts w:ascii="Arial" w:hAnsi="Arial" w:eastAsia="Arial" w:cs="Arial"/>
          <w:color w:val="auto"/>
          <w:sz w:val="24"/>
        </w:rPr>
        <w:t xml:space="preserve">采购活动，提供的货物全部由符合政策要求的中小企业制造。相关企业的具体情况如下：</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u w:val="single"/>
        </w:rPr>
        <w:t xml:space="preserve"> </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u w:val="single"/>
        </w:rPr>
        <w:t xml:space="preserve">（徐州市主城区公共租赁住房运营管理服务项目）</w:t>
      </w:r>
      <w:r>
        <w:rPr>
          <w:rFonts w:ascii="Arial" w:hAnsi="Arial" w:eastAsia="Arial" w:cs="Arial"/>
          <w:color w:val="auto"/>
          <w:sz w:val="24"/>
        </w:rPr>
        <w:t xml:space="preserve">，属于</w:t>
      </w:r>
      <w:r>
        <w:rPr>
          <w:rFonts w:ascii="Arial" w:hAnsi="Arial" w:eastAsia="Arial" w:cs="Arial"/>
          <w:color w:val="auto"/>
          <w:sz w:val="24"/>
          <w:u w:val="single"/>
        </w:rPr>
        <w:t xml:space="preserve">（</w:t>
      </w:r>
      <w:r>
        <w:rPr>
          <w:rFonts w:ascii="SimSun" w:hAnsi="SimSun" w:eastAsia="SimSun" w:cs="SimSun"/>
          <w:color w:val="auto"/>
          <w:sz w:val="24"/>
          <w:u w:val="single"/>
        </w:rPr>
        <w:t xml:space="preserve">房屋租赁服务</w:t>
      </w:r>
      <w:r>
        <w:rPr>
          <w:rFonts w:ascii="Arial" w:hAnsi="Arial" w:eastAsia="Arial" w:cs="Arial"/>
          <w:color w:val="auto"/>
          <w:sz w:val="24"/>
          <w:u w:val="single"/>
        </w:rPr>
        <w:t xml:space="preserve">）行业</w:t>
      </w:r>
      <w:r>
        <w:rPr>
          <w:rFonts w:ascii="Arial" w:hAnsi="Arial" w:eastAsia="Arial" w:cs="Arial"/>
          <w:color w:val="auto"/>
          <w:sz w:val="24"/>
        </w:rPr>
        <w:t xml:space="preserve">；</w:t>
      </w:r>
      <w:r>
        <w:rPr>
          <w:rFonts w:ascii="SimSun" w:hAnsi="SimSun" w:eastAsia="SimSun" w:cs="SimSun"/>
          <w:color w:val="auto"/>
          <w:sz w:val="24"/>
        </w:rPr>
        <w:t xml:space="preserve">承建（承接）企业</w:t>
      </w:r>
      <w:r>
        <w:rPr>
          <w:rFonts w:ascii="Arial" w:hAnsi="Arial" w:eastAsia="Arial" w:cs="Arial"/>
          <w:color w:val="auto"/>
          <w:sz w:val="24"/>
        </w:rPr>
        <w:t xml:space="preserve">为</w:t>
      </w:r>
      <w:r>
        <w:rPr>
          <w:rFonts w:ascii="Arial" w:hAnsi="Arial" w:eastAsia="Arial" w:cs="Arial"/>
          <w:color w:val="auto"/>
          <w:sz w:val="24"/>
          <w:u w:val="single"/>
        </w:rPr>
        <w:t xml:space="preserve">（企业名称）</w:t>
      </w:r>
      <w:r>
        <w:rPr>
          <w:rFonts w:ascii="Arial" w:hAnsi="Arial" w:eastAsia="Arial" w:cs="Arial"/>
          <w:color w:val="auto"/>
          <w:sz w:val="24"/>
        </w:rPr>
        <w:t xml:space="preserve">，从业人员</w:t>
      </w:r>
      <w:r>
        <w:rPr>
          <w:rFonts w:ascii="Arial" w:hAnsi="Arial" w:eastAsia="Arial" w:cs="Arial"/>
          <w:color w:val="auto"/>
          <w:sz w:val="24"/>
          <w:u w:val="single"/>
        </w:rPr>
        <w:t xml:space="preserve">       </w:t>
      </w:r>
      <w:r>
        <w:rPr>
          <w:rFonts w:ascii="Arial" w:hAnsi="Arial" w:eastAsia="Arial" w:cs="Arial"/>
          <w:color w:val="auto"/>
          <w:sz w:val="24"/>
        </w:rPr>
        <w:t xml:space="preserve">人， 营业收入为</w:t>
      </w:r>
      <w:r>
        <w:rPr>
          <w:rFonts w:ascii="Arial" w:hAnsi="Arial" w:eastAsia="Arial" w:cs="Arial"/>
          <w:color w:val="auto"/>
          <w:sz w:val="24"/>
          <w:u w:val="single"/>
        </w:rPr>
        <w:t xml:space="preserve">    </w:t>
      </w:r>
      <w:r>
        <w:rPr>
          <w:rFonts w:ascii="Arial" w:hAnsi="Arial" w:eastAsia="Arial" w:cs="Arial"/>
          <w:color w:val="auto"/>
          <w:sz w:val="24"/>
        </w:rPr>
        <w:t xml:space="preserve">万元，资产总额为</w:t>
      </w:r>
      <w:r>
        <w:rPr>
          <w:rFonts w:ascii="Arial" w:hAnsi="Arial" w:eastAsia="Arial" w:cs="Arial"/>
          <w:color w:val="auto"/>
          <w:sz w:val="24"/>
          <w:u w:val="single"/>
        </w:rPr>
        <w:t xml:space="preserve">    </w:t>
      </w:r>
      <w:r>
        <w:rPr>
          <w:rFonts w:ascii="Arial" w:hAnsi="Arial" w:eastAsia="Arial" w:cs="Arial"/>
          <w:color w:val="auto"/>
          <w:sz w:val="24"/>
        </w:rPr>
        <w:t xml:space="preserve">万元，</w:t>
      </w:r>
      <w:r>
        <w:rPr>
          <w:rFonts w:ascii="Arial" w:hAnsi="Arial" w:eastAsia="Arial" w:cs="Arial"/>
          <w:b/>
          <w:color w:val="auto"/>
          <w:sz w:val="24"/>
        </w:rPr>
        <w:t xml:space="preserve">属于（□中型企业、□小型企业、□微型企业，请勾选！）</w:t>
      </w:r>
      <w:r>
        <w:rPr>
          <w:rFonts w:ascii="Arial" w:hAnsi="Arial" w:eastAsia="Arial" w:cs="Arial"/>
          <w:color w:val="auto"/>
          <w:sz w:val="24"/>
        </w:rPr>
        <w:t xml:space="preserve">；</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 </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以上企业，不属于大企业的分支机构，不存在控股股东为大企业的情形，也不存在与大企业的负责人为同一人的情形。</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本企业对上述声明内容的真实性负责。如有虚假，将依法承担相应责任。</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备注：</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w:t>
      </w:r>
      <w:r>
        <w:rPr>
          <w:rFonts w:ascii="Arial" w:hAnsi="Arial" w:eastAsia="Arial" w:cs="Arial"/>
          <w:b/>
          <w:color w:val="auto"/>
          <w:sz w:val="24"/>
        </w:rPr>
        <w:t xml:space="preserve">、本项目采购的服务属于</w:t>
      </w:r>
      <w:r>
        <w:rPr>
          <w:rFonts w:ascii="Arial" w:hAnsi="Arial" w:eastAsia="Arial" w:cs="Arial"/>
          <w:b/>
          <w:color w:val="auto"/>
          <w:sz w:val="24"/>
          <w:u w:val="single"/>
        </w:rPr>
        <w:t xml:space="preserve">房屋租赁服务</w:t>
      </w:r>
      <w:r>
        <w:rPr>
          <w:rFonts w:ascii="Arial" w:hAnsi="Arial" w:eastAsia="Arial" w:cs="Arial"/>
          <w:b/>
          <w:color w:val="auto"/>
          <w:sz w:val="24"/>
        </w:rPr>
        <w:t xml:space="preserve">。</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w:t>
      </w:r>
      <w:r>
        <w:rPr>
          <w:rFonts w:ascii="Arial" w:hAnsi="Arial" w:eastAsia="Arial" w:cs="Arial"/>
          <w:b/>
          <w:color w:val="auto"/>
          <w:sz w:val="24"/>
        </w:rPr>
        <w:t xml:space="preserve">、从业人员、营业收入、资产总额填报上一年度数据，无上一年度数据的新成立企业可不填报。</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w:t>
      </w:r>
      <w:r>
        <w:rPr>
          <w:rFonts w:ascii="Arial" w:hAnsi="Arial" w:eastAsia="Arial" w:cs="Arial"/>
          <w:b/>
          <w:color w:val="auto"/>
          <w:sz w:val="24"/>
        </w:rPr>
        <w:t xml:space="preserve">、《中小企业声明函》查询渠道参考工业和信息化部发布的中小企业规模自测小程序。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附件：中小企业规模类型自测小程序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42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color w:val="auto"/>
        </w:rPr>
      </w:r>
      <w:r>
        <mc:AlternateContent>
          <mc:Choice Requires="wpg">
            <w:drawing>
              <wp:inline xmlns:wp="http://schemas.openxmlformats.org/drawingml/2006/wordprocessingDrawing" distT="0" distB="0" distL="0" distR="0">
                <wp:extent cx="2790825" cy="54197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54590" name=""/>
                        <pic:cNvPicPr>
                          <a:picLocks noChangeAspect="1"/>
                        </pic:cNvPicPr>
                        <pic:nvPr/>
                      </pic:nvPicPr>
                      <pic:blipFill>
                        <a:blip r:embed="rId14"/>
                        <a:stretch/>
                      </pic:blipFill>
                      <pic:spPr bwMode="auto">
                        <a:xfrm>
                          <a:off x="0" y="0"/>
                          <a:ext cx="2790824" cy="5419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9.8pt;height:426.8pt;mso-wrap-distance-left:0.0pt;mso-wrap-distance-top:0.0pt;mso-wrap-distance-right:0.0pt;mso-wrap-distance-bottom:0.0pt;" stroked="false">
                <v:path textboxrect="0,0,0,0"/>
                <v:imagedata r:id="rId14" o:title=""/>
              </v:shape>
            </w:pict>
          </mc:Fallback>
        </mc:AlternateContent>
      </w: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七、残疾人福利性单位声明函格式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项目名称：徐州市主城区公共租赁住房运营管理服务项目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auto"/>
          <w:sz w:val="24"/>
        </w:rPr>
        <w:t xml:space="preserve">2017</w:t>
      </w:r>
      <w:r>
        <w:rPr>
          <w:rFonts w:ascii="SimSun" w:hAnsi="SimSun" w:eastAsia="SimSun" w:cs="SimSun"/>
          <w:color w:val="auto"/>
          <w:sz w:val="24"/>
        </w:rPr>
        <w:t xml:space="preserve">〕 </w:t>
      </w:r>
      <w:r>
        <w:rPr>
          <w:rFonts w:ascii="Times New Roman" w:hAnsi="Times New Roman" w:eastAsia="Times New Roman" w:cs="Times New Roman"/>
          <w:color w:val="auto"/>
          <w:sz w:val="24"/>
        </w:rPr>
        <w:t xml:space="preserve">141</w:t>
      </w:r>
      <w:r>
        <w:rPr>
          <w:rFonts w:ascii="SimSun" w:hAnsi="SimSun" w:eastAsia="SimSun" w:cs="SimSun"/>
          <w:color w:val="auto"/>
          <w:sz w:val="24"/>
        </w:rPr>
        <w:t xml:space="preserve">号）的规定，本单位为符合条件的残疾人福利性单位，且本单位参加</w:t>
      </w:r>
      <w:r>
        <w:rPr>
          <w:rFonts w:ascii="Times New Roman" w:hAnsi="Times New Roman" w:eastAsia="Times New Roman" w:cs="Times New Roman"/>
          <w:color w:val="auto"/>
          <w:sz w:val="24"/>
        </w:rPr>
        <w:t xml:space="preserve">______</w:t>
      </w:r>
      <w:r>
        <w:rPr>
          <w:rFonts w:ascii="SimSun" w:hAnsi="SimSun" w:eastAsia="SimSun" w:cs="SimSun"/>
          <w:color w:val="auto"/>
          <w:sz w:val="24"/>
        </w:rPr>
        <w:t xml:space="preserve">单位的</w:t>
      </w:r>
      <w:r>
        <w:rPr>
          <w:rFonts w:ascii="Times New Roman" w:hAnsi="Times New Roman" w:eastAsia="Times New Roman" w:cs="Times New Roman"/>
          <w:color w:val="auto"/>
          <w:sz w:val="24"/>
        </w:rPr>
        <w:t xml:space="preserve">______</w:t>
      </w:r>
      <w:r>
        <w:rPr>
          <w:rFonts w:ascii="SimSun" w:hAnsi="SimSun" w:eastAsia="SimSun" w:cs="SimSun"/>
          <w:color w:val="auto"/>
          <w:sz w:val="24"/>
        </w:rPr>
        <w:t xml:space="preserve">项目采购活动提供本单位制造的货物（由本单位承担工程</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提供服务），或者提供其他残疾人福利性单位制造的货物（不包括使用非残疾人福利性单位注册商标的货物）。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本单位对上述声明的真实性负责。如有虚假，将依法承担相应责任。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八、投标人参加政府采购活动前</w:t>
      </w:r>
      <w:r>
        <w:rPr>
          <w:rFonts w:ascii="Arial" w:hAnsi="Arial" w:eastAsia="Arial" w:cs="Arial"/>
          <w:b/>
          <w:color w:val="auto"/>
          <w:sz w:val="30"/>
        </w:rPr>
        <w:t xml:space="preserve">3</w:t>
      </w:r>
      <w:r>
        <w:rPr>
          <w:rFonts w:ascii="SimSun" w:hAnsi="SimSun" w:eastAsia="SimSun" w:cs="SimSun"/>
          <w:b/>
          <w:color w:val="auto"/>
          <w:sz w:val="30"/>
        </w:rPr>
        <w:t xml:space="preserve">年内在经营活动中没有重大违法记录的书面声明格式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我单位在参加徐州市主城区公共租赁住房运营管理服务项目（项目编号：）政府采购活动前</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年内，在经营活动中没有重大违法记录。重大违法记录是指因违法经营受到刑事处罚或者责令停产停业、吊销许可证或者执照、较大数额罚款等行政处罚。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我单位对上述声明的真实性负责。如有虚假，将依法承担相应责任。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九、投标人具备履行合同所必需的设备和专业技术能力承诺书</w:t>
      </w:r>
      <w:r>
        <w:rPr>
          <w:color w:val="auto"/>
        </w:rPr>
      </w:r>
      <w:r/>
    </w:p>
    <w:p>
      <w:pPr>
        <w:pStyle w:val="671"/>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71"/>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71"/>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项目名称：</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pStyle w:val="671"/>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我单位郑重声明：我单位具备履行合同（项目名称：</w:t>
      </w:r>
      <w:r>
        <w:rPr>
          <w:rFonts w:ascii="SimSun" w:hAnsi="SimSun" w:eastAsia="SimSun" w:cs="SimSun"/>
          <w:color w:val="auto"/>
          <w:sz w:val="24"/>
          <w:u w:val="single"/>
        </w:rPr>
        <w:t xml:space="preserve">    </w:t>
      </w:r>
      <w:r>
        <w:rPr>
          <w:rFonts w:ascii="SimSun" w:hAnsi="SimSun" w:eastAsia="SimSun" w:cs="SimSun"/>
          <w:color w:val="auto"/>
          <w:sz w:val="24"/>
        </w:rPr>
        <w:t xml:space="preserve">，项目编号：</w:t>
      </w:r>
      <w:r>
        <w:rPr>
          <w:rFonts w:ascii="SimSun" w:hAnsi="SimSun" w:eastAsia="SimSun" w:cs="SimSun"/>
          <w:color w:val="auto"/>
          <w:sz w:val="24"/>
          <w:u w:val="single"/>
        </w:rPr>
        <w:t xml:space="preserve">     </w:t>
      </w:r>
      <w:r>
        <w:rPr>
          <w:rFonts w:ascii="SimSun" w:hAnsi="SimSun" w:eastAsia="SimSun" w:cs="SimSun"/>
          <w:color w:val="auto"/>
          <w:sz w:val="24"/>
        </w:rPr>
        <w:t xml:space="preserve">）所必需的设备和专业技术能力，具体为：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专业技术能力：</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特此声明。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我单位对上述声明的真实性负责。如有虚假，将依法承担相应责任。</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pStyle w:val="671"/>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shd w:val="nil" w:color="auto"/>
        <w:rPr>
          <w:rFonts w:ascii="Arial" w:hAnsi="Arial" w:eastAsia="Arial" w:cs="Arial"/>
          <w:color w:val="auto"/>
          <w:sz w:val="30"/>
          <w:szCs w:val="30"/>
        </w:rPr>
      </w:pPr>
      <w:r>
        <w:rPr>
          <w:rFonts w:ascii="SimSun" w:hAnsi="SimSun" w:eastAsia="SimSun" w:cs="SimSun"/>
          <w:b/>
          <w:color w:val="auto"/>
          <w:sz w:val="30"/>
          <w:highlight w:val="none"/>
        </w:rPr>
        <w:br w:type="page" w:clear="all"/>
      </w:r>
      <w:r>
        <w:rPr>
          <w:rFonts w:ascii="SimSun" w:hAnsi="SimSun" w:eastAsia="SimSun" w:cs="SimSun"/>
          <w:b/>
          <w:color w:val="auto"/>
          <w:sz w:val="30"/>
          <w:highlight w:val="none"/>
        </w:rPr>
      </w:r>
      <w:r/>
    </w:p>
    <w:p>
      <w:pPr>
        <w:pStyle w:val="671"/>
        <w:ind w:left="0" w:right="0" w:firstLine="0"/>
        <w:jc w:val="center"/>
        <w:spacing w:before="0" w:after="0" w:line="450" w:lineRule="atLeast"/>
        <w:rPr>
          <w:rFonts w:ascii="SimSun" w:hAnsi="SimSun" w:eastAsia="SimSun" w:cs="SimSun"/>
          <w:b/>
          <w:bCs/>
          <w:color w:val="auto"/>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十、预付款保函支付条款模板</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符合条件一：提交预付款保函的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）合同签订且乙方向甲方出具预付款保函后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乙方需提交的支付文件：乙方出具的全额正式发票。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）验收合格后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符合条件二：不提交预付款保函的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乙方需提交的支付文件：乙方出具的全额正式发票。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）验收合格后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w:t>
      </w:r>
      <w:r>
        <w:rPr>
          <w:rFonts w:ascii="Times New Roman" w:hAnsi="Times New Roman" w:eastAsia="Times New Roman" w:cs="Times New Roma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、付款条件一中，出具预付款保函后支付的合同款应当与保函金额一致。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、付款条件二中，预付款比例设定应符合《关于做好政府采购支持企业发展有关事项的通知》</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苏财购〔</w:t>
      </w:r>
      <w:r>
        <w:rPr>
          <w:rFonts w:ascii="Times New Roman" w:hAnsi="Times New Roman" w:eastAsia="Times New Roman" w:cs="Times New Roman"/>
          <w:color w:val="auto"/>
          <w:sz w:val="24"/>
        </w:rPr>
        <w:t xml:space="preserve">2020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52</w:t>
      </w:r>
      <w:r>
        <w:rPr>
          <w:rFonts w:ascii="SimSun" w:hAnsi="SimSun" w:eastAsia="SimSun" w:cs="SimSun"/>
          <w:color w:val="auto"/>
          <w:sz w:val="24"/>
        </w:rPr>
        <w:t xml:space="preserve">号</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要求。</w:t>
      </w:r>
      <w:r>
        <w:rPr>
          <w:color w:val="auto"/>
        </w:rPr>
      </w:r>
      <w:r/>
    </w:p>
    <w:p>
      <w:pPr>
        <w:rPr>
          <w:color w:val="auto"/>
        </w:rPr>
      </w:pPr>
      <w:r>
        <w:rPr>
          <w:color w:val="auto"/>
        </w:rPr>
      </w:r>
      <w:r>
        <w:rPr>
          <w:color w:val="auto"/>
        </w:rPr>
      </w:r>
      <w:r/>
    </w:p>
    <w:sectPr>
      <w:footerReference w:type="default" r:id="rId8"/>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Courier New">
    <w:panose1 w:val="02070309020205020404"/>
  </w:font>
  <w:font w:name="黑体">
    <w:panose1 w:val="02010609060101010101"/>
  </w:font>
  <w:font w:name="仿宋_GB2312">
    <w:panose1 w:val="02010609060101010101"/>
  </w:font>
  <w:font w:name="新宋体">
    <w:panose1 w:val="0201060903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eastAsia="宋体"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next w:val="681"/>
    <w:uiPriority w:val="0"/>
    <w:qFormat/>
    <w:pPr>
      <w:spacing w:line="312" w:lineRule="auto"/>
    </w:pPr>
    <w:rPr>
      <w:rFonts w:hint="default" w:ascii="Times New Roman" w:hAnsi="Times New Roman" w:eastAsia="宋体" w:cs="Times New Roman"/>
      <w:sz w:val="24"/>
      <w:lang w:val="en-US" w:eastAsia="zh-CN" w:bidi="ar-SA"/>
    </w:rPr>
  </w:style>
  <w:style w:type="paragraph" w:styleId="670">
    <w:name w:val="Heading 1"/>
    <w:basedOn w:val="669"/>
    <w:next w:val="669"/>
    <w:link w:val="868"/>
    <w:uiPriority w:val="0"/>
    <w:qFormat/>
    <w:pPr>
      <w:jc w:val="center"/>
      <w:keepLines/>
      <w:keepNext/>
      <w:spacing w:line="360" w:lineRule="auto"/>
      <w:outlineLvl w:val="0"/>
    </w:pPr>
    <w:rPr>
      <w:rFonts w:hint="default" w:ascii="Arial" w:hAnsi="Arial" w:eastAsia="宋体" w:cs="Arial"/>
      <w:b/>
      <w:sz w:val="36"/>
      <w:szCs w:val="40"/>
    </w:rPr>
  </w:style>
  <w:style w:type="paragraph" w:styleId="671">
    <w:name w:val="Heading 2"/>
    <w:basedOn w:val="669"/>
    <w:next w:val="669"/>
    <w:link w:val="869"/>
    <w:uiPriority w:val="0"/>
    <w:unhideWhenUsed/>
    <w:qFormat/>
    <w:pPr>
      <w:jc w:val="center"/>
      <w:keepLines/>
      <w:keepNext/>
      <w:spacing w:line="360" w:lineRule="auto"/>
      <w:outlineLvl w:val="1"/>
    </w:pPr>
    <w:rPr>
      <w:rFonts w:hint="default" w:ascii="Arial" w:hAnsi="Arial" w:eastAsia="宋体" w:cs="Arial"/>
      <w:b/>
      <w:sz w:val="30"/>
    </w:rPr>
  </w:style>
  <w:style w:type="paragraph" w:styleId="672">
    <w:name w:val="Heading 3"/>
    <w:basedOn w:val="669"/>
    <w:next w:val="669"/>
    <w:link w:val="870"/>
    <w:uiPriority w:val="0"/>
    <w:semiHidden/>
    <w:unhideWhenUsed/>
    <w:qFormat/>
    <w:pPr>
      <w:keepLines/>
      <w:keepNext/>
      <w:spacing w:beforeAutospacing="0" w:afterAutospacing="0" w:line="360" w:lineRule="auto"/>
      <w:outlineLvl w:val="2"/>
    </w:pPr>
    <w:rPr>
      <w:rFonts w:eastAsia="宋体" w:asciiTheme="minorAscii" w:hAnsiTheme="minorAscii" w:cstheme="minorBidi"/>
      <w:b/>
      <w:sz w:val="24"/>
      <w:szCs w:val="22"/>
      <w:lang w:val="en-US" w:eastAsia="en-US" w:bidi="ar-SA"/>
    </w:rPr>
  </w:style>
  <w:style w:type="paragraph" w:styleId="673">
    <w:name w:val="Heading 4"/>
    <w:basedOn w:val="669"/>
    <w:next w:val="669"/>
    <w:link w:val="871"/>
    <w:uiPriority w:val="0"/>
    <w:semiHidden/>
    <w:unhideWhenUsed/>
    <w:qFormat/>
    <w:pPr>
      <w:jc w:val="center"/>
      <w:keepLines/>
      <w:keepNext/>
      <w:spacing w:before="320" w:after="200"/>
      <w:outlineLvl w:val="3"/>
    </w:pPr>
    <w:rPr>
      <w:rFonts w:hint="default" w:ascii="Arial" w:hAnsi="Arial" w:eastAsia="宋体" w:cs="Arial"/>
      <w:b/>
      <w:bCs/>
      <w:sz w:val="24"/>
      <w:szCs w:val="26"/>
    </w:rPr>
  </w:style>
  <w:style w:type="paragraph" w:styleId="674">
    <w:name w:val="Heading 5"/>
    <w:basedOn w:val="669"/>
    <w:next w:val="669"/>
    <w:link w:val="872"/>
    <w:uiPriority w:val="0"/>
    <w:semiHidden/>
    <w:unhideWhenUsed/>
    <w:qFormat/>
    <w:pPr>
      <w:keepLines/>
      <w:keepNext/>
      <w:spacing w:before="80" w:beforeAutospacing="0" w:after="80" w:afterAutospacing="0" w:line="372" w:lineRule="auto"/>
      <w:outlineLvl w:val="4"/>
    </w:pPr>
    <w:rPr>
      <w:b/>
    </w:rPr>
  </w:style>
  <w:style w:type="paragraph" w:styleId="675">
    <w:name w:val="Heading 6"/>
    <w:basedOn w:val="669"/>
    <w:next w:val="669"/>
    <w:link w:val="725"/>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727"/>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728"/>
    <w:uiPriority w:val="9"/>
    <w:unhideWhenUsed/>
    <w:qFormat/>
    <w:pPr>
      <w:keepLines/>
      <w:keepNext/>
      <w:spacing w:before="320" w:after="200"/>
      <w:outlineLvl w:val="8"/>
    </w:pPr>
    <w:rPr>
      <w:rFonts w:ascii="Arial" w:hAnsi="Arial" w:eastAsia="Arial" w:cs="Arial"/>
      <w:i/>
      <w:iCs/>
      <w:sz w:val="21"/>
      <w:szCs w:val="21"/>
    </w:rPr>
  </w:style>
  <w:style w:type="character" w:styleId="679" w:default="1">
    <w:name w:val="Default Paragraph Font"/>
    <w:uiPriority w:val="0"/>
    <w:semiHidden/>
    <w:qFormat/>
  </w:style>
  <w:style w:type="table" w:styleId="680" w:default="1">
    <w:name w:val="Normal Table"/>
    <w:uiPriority w:val="0"/>
    <w:semiHidden/>
    <w:qFormat/>
    <w:tblPr>
      <w:tblCellMar>
        <w:left w:w="108" w:type="dxa"/>
        <w:top w:w="0" w:type="dxa"/>
        <w:right w:w="108" w:type="dxa"/>
        <w:bottom w:w="0" w:type="dxa"/>
      </w:tblCellMar>
    </w:tblPr>
  </w:style>
  <w:style w:type="paragraph" w:styleId="681">
    <w:name w:val="Body Text First Indent 2"/>
    <w:basedOn w:val="682"/>
    <w:uiPriority w:val="0"/>
    <w:qFormat/>
    <w:pPr>
      <w:ind w:firstLine="420"/>
    </w:pPr>
    <w:rPr>
      <w:rFonts w:ascii="宋体" w:hAnsi="宋体"/>
    </w:rPr>
  </w:style>
  <w:style w:type="paragraph" w:styleId="682">
    <w:name w:val="Body Text Indent"/>
    <w:basedOn w:val="669"/>
    <w:uiPriority w:val="99"/>
    <w:unhideWhenUsed/>
    <w:qFormat/>
    <w:pPr>
      <w:ind w:firstLine="425"/>
      <w:spacing w:line="360" w:lineRule="auto"/>
    </w:pPr>
  </w:style>
  <w:style w:type="paragraph" w:styleId="683">
    <w:name w:val="toc 7"/>
    <w:basedOn w:val="669"/>
    <w:next w:val="669"/>
    <w:uiPriority w:val="39"/>
    <w:unhideWhenUsed/>
    <w:qFormat/>
    <w:pPr>
      <w:ind w:left="1701" w:right="0" w:firstLine="0"/>
      <w:spacing w:after="57"/>
    </w:pPr>
  </w:style>
  <w:style w:type="paragraph" w:styleId="684">
    <w:name w:val="Normal Indent"/>
    <w:basedOn w:val="669"/>
    <w:next w:val="669"/>
    <w:uiPriority w:val="0"/>
    <w:qFormat/>
    <w:pPr>
      <w:ind w:firstLine="420"/>
    </w:pPr>
  </w:style>
  <w:style w:type="paragraph" w:styleId="685">
    <w:name w:val="Caption"/>
    <w:basedOn w:val="669"/>
    <w:next w:val="6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6">
    <w:name w:val="Body Text"/>
    <w:basedOn w:val="669"/>
    <w:uiPriority w:val="0"/>
    <w:qFormat/>
    <w:pPr>
      <w:spacing w:after="120" w:afterAutospacing="0"/>
      <w:tabs>
        <w:tab w:val="left" w:pos="420" w:leader="none"/>
      </w:tabs>
    </w:pPr>
  </w:style>
  <w:style w:type="paragraph" w:styleId="687">
    <w:name w:val="Block Text"/>
    <w:basedOn w:val="669"/>
    <w:uiPriority w:val="0"/>
    <w:qFormat/>
    <w:pPr>
      <w:ind w:left="1440"/>
      <w:spacing w:after="120" w:afterAutospacing="0"/>
    </w:pPr>
  </w:style>
  <w:style w:type="paragraph" w:styleId="688">
    <w:name w:val="toc 5"/>
    <w:basedOn w:val="669"/>
    <w:next w:val="669"/>
    <w:uiPriority w:val="39"/>
    <w:unhideWhenUsed/>
    <w:qFormat/>
    <w:pPr>
      <w:ind w:left="1134" w:right="0" w:firstLine="0"/>
      <w:spacing w:after="57"/>
    </w:pPr>
  </w:style>
  <w:style w:type="paragraph" w:styleId="689">
    <w:name w:val="toc 3"/>
    <w:basedOn w:val="669"/>
    <w:next w:val="669"/>
    <w:uiPriority w:val="39"/>
    <w:unhideWhenUsed/>
    <w:qFormat/>
    <w:pPr>
      <w:ind w:left="567" w:right="0" w:firstLine="0"/>
      <w:spacing w:after="57"/>
    </w:pPr>
  </w:style>
  <w:style w:type="paragraph" w:styleId="690">
    <w:name w:val="toc 8"/>
    <w:basedOn w:val="669"/>
    <w:next w:val="669"/>
    <w:uiPriority w:val="39"/>
    <w:unhideWhenUsed/>
    <w:qFormat/>
    <w:pPr>
      <w:ind w:left="1984" w:right="0" w:firstLine="0"/>
      <w:spacing w:after="57"/>
    </w:pPr>
  </w:style>
  <w:style w:type="paragraph" w:styleId="691">
    <w:name w:val="endnote text"/>
    <w:basedOn w:val="669"/>
    <w:link w:val="866"/>
    <w:uiPriority w:val="99"/>
    <w:semiHidden/>
    <w:unhideWhenUsed/>
    <w:qFormat/>
    <w:pPr>
      <w:spacing w:after="0" w:line="240" w:lineRule="auto"/>
    </w:pPr>
    <w:rPr>
      <w:sz w:val="20"/>
    </w:rPr>
  </w:style>
  <w:style w:type="paragraph" w:styleId="692">
    <w:name w:val="Footer"/>
    <w:basedOn w:val="669"/>
    <w:link w:val="739"/>
    <w:uiPriority w:val="99"/>
    <w:unhideWhenUsed/>
    <w:qFormat/>
    <w:pPr>
      <w:spacing w:after="0" w:line="240" w:lineRule="auto"/>
      <w:tabs>
        <w:tab w:val="center" w:pos="7143" w:leader="none"/>
        <w:tab w:val="right" w:pos="14287" w:leader="none"/>
      </w:tabs>
    </w:pPr>
  </w:style>
  <w:style w:type="paragraph" w:styleId="693">
    <w:name w:val="envelope return"/>
    <w:basedOn w:val="669"/>
    <w:uiPriority w:val="99"/>
    <w:unhideWhenUsed/>
    <w:qFormat/>
    <w:rPr>
      <w:rFonts w:ascii="Arial" w:hAnsi="Arial"/>
    </w:rPr>
  </w:style>
  <w:style w:type="paragraph" w:styleId="694">
    <w:name w:val="Header"/>
    <w:basedOn w:val="669"/>
    <w:link w:val="737"/>
    <w:uiPriority w:val="99"/>
    <w:unhideWhenUsed/>
    <w:qFormat/>
    <w:pPr>
      <w:spacing w:after="0" w:line="240" w:lineRule="auto"/>
      <w:tabs>
        <w:tab w:val="center" w:pos="7143" w:leader="none"/>
        <w:tab w:val="right" w:pos="14287" w:leader="none"/>
      </w:tabs>
    </w:pPr>
  </w:style>
  <w:style w:type="paragraph" w:styleId="695">
    <w:name w:val="toc 1"/>
    <w:basedOn w:val="669"/>
    <w:next w:val="669"/>
    <w:uiPriority w:val="0"/>
    <w:qFormat/>
  </w:style>
  <w:style w:type="paragraph" w:styleId="696">
    <w:name w:val="toc 4"/>
    <w:basedOn w:val="669"/>
    <w:next w:val="669"/>
    <w:uiPriority w:val="39"/>
    <w:unhideWhenUsed/>
    <w:qFormat/>
    <w:pPr>
      <w:ind w:left="850" w:right="0" w:firstLine="0"/>
      <w:spacing w:after="57"/>
    </w:pPr>
  </w:style>
  <w:style w:type="paragraph" w:styleId="697">
    <w:name w:val="Subtitle"/>
    <w:basedOn w:val="669"/>
    <w:next w:val="669"/>
    <w:link w:val="732"/>
    <w:uiPriority w:val="11"/>
    <w:qFormat/>
    <w:pPr>
      <w:spacing w:before="200" w:after="200"/>
    </w:pPr>
    <w:rPr>
      <w:sz w:val="24"/>
      <w:szCs w:val="24"/>
    </w:rPr>
  </w:style>
  <w:style w:type="paragraph" w:styleId="698">
    <w:name w:val="footnote text"/>
    <w:basedOn w:val="669"/>
    <w:uiPriority w:val="0"/>
    <w:qFormat/>
    <w:pPr>
      <w:jc w:val="left"/>
    </w:pPr>
    <w:rPr>
      <w:sz w:val="18"/>
    </w:rPr>
  </w:style>
  <w:style w:type="paragraph" w:styleId="699">
    <w:name w:val="toc 6"/>
    <w:basedOn w:val="669"/>
    <w:next w:val="669"/>
    <w:uiPriority w:val="39"/>
    <w:unhideWhenUsed/>
    <w:qFormat/>
    <w:pPr>
      <w:ind w:left="1417" w:right="0" w:firstLine="0"/>
      <w:spacing w:after="57"/>
    </w:pPr>
  </w:style>
  <w:style w:type="paragraph" w:styleId="700">
    <w:name w:val="table of figures"/>
    <w:basedOn w:val="669"/>
    <w:next w:val="669"/>
    <w:uiPriority w:val="99"/>
    <w:unhideWhenUsed/>
    <w:qFormat/>
    <w:pPr>
      <w:spacing w:after="0" w:afterAutospacing="0"/>
    </w:pPr>
  </w:style>
  <w:style w:type="paragraph" w:styleId="701">
    <w:name w:val="toc 2"/>
    <w:basedOn w:val="669"/>
    <w:next w:val="669"/>
    <w:uiPriority w:val="39"/>
    <w:unhideWhenUsed/>
    <w:qFormat/>
    <w:pPr>
      <w:ind w:left="283" w:right="0" w:firstLine="0"/>
      <w:spacing w:after="57"/>
    </w:pPr>
  </w:style>
  <w:style w:type="paragraph" w:styleId="702">
    <w:name w:val="toc 9"/>
    <w:basedOn w:val="669"/>
    <w:next w:val="669"/>
    <w:uiPriority w:val="39"/>
    <w:unhideWhenUsed/>
    <w:qFormat/>
    <w:pPr>
      <w:ind w:left="2268" w:right="0" w:firstLine="0"/>
      <w:spacing w:after="57"/>
    </w:pPr>
  </w:style>
  <w:style w:type="paragraph" w:styleId="703">
    <w:name w:val="Title"/>
    <w:basedOn w:val="669"/>
    <w:link w:val="731"/>
    <w:uiPriority w:val="10"/>
    <w:qFormat/>
    <w:pPr>
      <w:contextualSpacing/>
      <w:spacing w:before="300" w:after="200"/>
    </w:pPr>
    <w:rPr>
      <w:sz w:val="48"/>
      <w:szCs w:val="48"/>
    </w:rPr>
  </w:style>
  <w:style w:type="paragraph" w:styleId="704">
    <w:name w:val="Body Text First Indent"/>
    <w:basedOn w:val="686"/>
    <w:next w:val="681"/>
    <w:uiPriority w:val="0"/>
    <w:qFormat/>
    <w:pPr>
      <w:ind w:firstLine="420"/>
      <w:spacing w:after="0"/>
    </w:pPr>
    <w:rPr>
      <w:rFonts w:ascii="Times New Roman"/>
      <w:sz w:val="28"/>
      <w:szCs w:val="28"/>
    </w:rPr>
  </w:style>
  <w:style w:type="table" w:styleId="705">
    <w:name w:val="Table Grid"/>
    <w:basedOn w:val="68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basedOn w:val="679"/>
    <w:uiPriority w:val="99"/>
    <w:semiHidden/>
    <w:unhideWhenUsed/>
    <w:qFormat/>
    <w:rPr>
      <w:vertAlign w:val="superscript"/>
    </w:rPr>
  </w:style>
  <w:style w:type="character" w:styleId="707">
    <w:name w:val="FollowedHyperlink"/>
    <w:basedOn w:val="679"/>
    <w:uiPriority w:val="99"/>
    <w:semiHidden/>
    <w:unhideWhenUsed/>
    <w:qFormat/>
    <w:rPr>
      <w:color w:val="333333"/>
      <w:u w:val="none"/>
    </w:rPr>
  </w:style>
  <w:style w:type="character" w:styleId="708">
    <w:name w:val="Hyperlink"/>
    <w:uiPriority w:val="99"/>
    <w:unhideWhenUsed/>
    <w:qFormat/>
    <w:rPr>
      <w:color w:val="0563c1" w:themeColor="hyperlink"/>
      <w:u w:val="single"/>
      <w14:textFill>
        <w14:solidFill>
          <w14:schemeClr w14:val="hlink"/>
        </w14:solidFill>
      </w14:textFill>
    </w:rPr>
  </w:style>
  <w:style w:type="character" w:styleId="709">
    <w:name w:val="footnote reference"/>
    <w:basedOn w:val="679"/>
    <w:uiPriority w:val="99"/>
    <w:unhideWhenUsed/>
    <w:qFormat/>
    <w:rPr>
      <w:vertAlign w:val="superscript"/>
    </w:rPr>
  </w:style>
  <w:style w:type="paragraph" w:styleId="710" w:customStyle="1">
    <w:name w:val="文本块111"/>
    <w:basedOn w:val="669"/>
    <w:next w:val="669"/>
    <w:uiPriority w:val="6"/>
    <w:unhideWhenUsed/>
    <w:qFormat/>
    <w:pPr>
      <w:ind w:left="1440" w:right="1440"/>
      <w:spacing w:after="120"/>
    </w:pPr>
  </w:style>
  <w:style w:type="paragraph" w:styleId="711" w:customStyle="1">
    <w:name w:val="目录 11"/>
    <w:basedOn w:val="712"/>
    <w:next w:val="713"/>
    <w:uiPriority w:val="0"/>
    <w:qFormat/>
    <w:pPr>
      <w:jc w:val="left"/>
      <w:spacing w:after="100" w:line="259" w:lineRule="auto"/>
      <w:widowControl/>
    </w:pPr>
    <w:rPr>
      <w:rFonts w:ascii="Calibri" w:hAnsi="Calibri"/>
      <w:sz w:val="22"/>
      <w:szCs w:val="22"/>
    </w:rPr>
  </w:style>
  <w:style w:type="paragraph" w:styleId="712" w:customStyle="1">
    <w:name w:val="正文11"/>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customStyle="1">
    <w:name w:val="正文111"/>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customStyle="1">
    <w:name w:val="正文12"/>
    <w:next w:val="71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5" w:customStyle="1">
    <w:name w:val="文本块11"/>
    <w:basedOn w:val="714"/>
    <w:uiPriority w:val="6"/>
    <w:unhideWhenUsed/>
    <w:qFormat/>
    <w:pPr>
      <w:ind w:left="1440" w:right="1440"/>
      <w:spacing w:after="120"/>
    </w:pPr>
  </w:style>
  <w:style w:type="paragraph" w:styleId="716" w:customStyle="1">
    <w:name w:val="脚注文本1"/>
    <w:basedOn w:val="713"/>
    <w:next w:val="717"/>
    <w:uiPriority w:val="0"/>
    <w:qFormat/>
    <w:pPr>
      <w:jc w:val="left"/>
    </w:pPr>
    <w:rPr>
      <w:rFonts w:ascii="宋体" w:eastAsia="Times New Roman"/>
      <w:sz w:val="18"/>
      <w:szCs w:val="18"/>
    </w:rPr>
  </w:style>
  <w:style w:type="paragraph" w:styleId="717" w:customStyle="1">
    <w:name w:val="索引 51"/>
    <w:basedOn w:val="718"/>
    <w:next w:val="718"/>
    <w:uiPriority w:val="0"/>
    <w:qFormat/>
    <w:pPr>
      <w:ind w:left="798"/>
      <w:jc w:val="left"/>
    </w:pPr>
    <w:rPr>
      <w:rFonts w:ascii="Calibri" w:hAnsi="Calibri"/>
    </w:rPr>
  </w:style>
  <w:style w:type="paragraph" w:styleId="718" w:customStyle="1">
    <w:name w:val="正文1"/>
    <w:basedOn w:val="713"/>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720" w:customStyle="1">
    <w:name w:val="Heading 1 Char"/>
    <w:basedOn w:val="679"/>
    <w:uiPriority w:val="9"/>
    <w:qFormat/>
    <w:rPr>
      <w:rFonts w:ascii="Arial" w:hAnsi="Arial" w:eastAsia="Arial" w:cs="Arial"/>
      <w:sz w:val="40"/>
      <w:szCs w:val="40"/>
    </w:rPr>
  </w:style>
  <w:style w:type="character" w:styleId="721" w:customStyle="1">
    <w:name w:val="Heading 2 Char"/>
    <w:basedOn w:val="679"/>
    <w:uiPriority w:val="9"/>
    <w:qFormat/>
    <w:rPr>
      <w:rFonts w:ascii="Arial" w:hAnsi="Arial" w:eastAsia="Arial" w:cs="Arial"/>
      <w:sz w:val="34"/>
    </w:rPr>
  </w:style>
  <w:style w:type="character" w:styleId="722" w:customStyle="1">
    <w:name w:val="Heading 3 Char"/>
    <w:basedOn w:val="679"/>
    <w:uiPriority w:val="9"/>
    <w:qFormat/>
    <w:rPr>
      <w:rFonts w:ascii="Arial" w:hAnsi="Arial" w:eastAsia="Arial" w:cs="Arial"/>
      <w:sz w:val="30"/>
      <w:szCs w:val="30"/>
    </w:rPr>
  </w:style>
  <w:style w:type="character" w:styleId="723" w:customStyle="1">
    <w:name w:val="Heading 4 Char"/>
    <w:basedOn w:val="679"/>
    <w:uiPriority w:val="9"/>
    <w:qFormat/>
    <w:rPr>
      <w:rFonts w:ascii="Arial" w:hAnsi="Arial" w:eastAsia="Arial" w:cs="Arial"/>
      <w:b/>
      <w:bCs/>
      <w:sz w:val="26"/>
      <w:szCs w:val="26"/>
    </w:rPr>
  </w:style>
  <w:style w:type="character" w:styleId="724" w:customStyle="1">
    <w:name w:val="Heading 5 Char"/>
    <w:basedOn w:val="679"/>
    <w:uiPriority w:val="9"/>
    <w:qFormat/>
    <w:rPr>
      <w:rFonts w:ascii="Arial" w:hAnsi="Arial" w:eastAsia="Arial" w:cs="Arial"/>
      <w:b/>
      <w:bCs/>
      <w:sz w:val="24"/>
      <w:szCs w:val="24"/>
    </w:rPr>
  </w:style>
  <w:style w:type="character" w:styleId="725" w:customStyle="1">
    <w:name w:val="Heading 6 Char"/>
    <w:basedOn w:val="679"/>
    <w:link w:val="675"/>
    <w:uiPriority w:val="9"/>
    <w:qFormat/>
    <w:rPr>
      <w:rFonts w:ascii="Arial" w:hAnsi="Arial" w:eastAsia="Arial" w:cs="Arial"/>
      <w:b/>
      <w:bCs/>
      <w:sz w:val="22"/>
      <w:szCs w:val="22"/>
    </w:rPr>
  </w:style>
  <w:style w:type="character" w:styleId="726" w:customStyle="1">
    <w:name w:val="Heading 7 Char"/>
    <w:basedOn w:val="679"/>
    <w:link w:val="676"/>
    <w:uiPriority w:val="9"/>
    <w:qFormat/>
    <w:rPr>
      <w:rFonts w:ascii="Arial" w:hAnsi="Arial" w:eastAsia="Arial" w:cs="Arial"/>
      <w:b/>
      <w:bCs/>
      <w:i/>
      <w:iCs/>
      <w:sz w:val="22"/>
      <w:szCs w:val="22"/>
    </w:rPr>
  </w:style>
  <w:style w:type="character" w:styleId="727" w:customStyle="1">
    <w:name w:val="Heading 8 Char"/>
    <w:basedOn w:val="679"/>
    <w:link w:val="677"/>
    <w:uiPriority w:val="9"/>
    <w:qFormat/>
    <w:rPr>
      <w:rFonts w:ascii="Arial" w:hAnsi="Arial" w:eastAsia="Arial" w:cs="Arial"/>
      <w:i/>
      <w:iCs/>
      <w:sz w:val="22"/>
      <w:szCs w:val="22"/>
    </w:rPr>
  </w:style>
  <w:style w:type="character" w:styleId="728" w:customStyle="1">
    <w:name w:val="Heading 9 Char"/>
    <w:basedOn w:val="679"/>
    <w:link w:val="678"/>
    <w:uiPriority w:val="9"/>
    <w:qFormat/>
    <w:rPr>
      <w:rFonts w:ascii="Arial" w:hAnsi="Arial" w:eastAsia="Arial" w:cs="Arial"/>
      <w:i/>
      <w:iCs/>
      <w:sz w:val="21"/>
      <w:szCs w:val="21"/>
    </w:rPr>
  </w:style>
  <w:style w:type="paragraph" w:styleId="729">
    <w:name w:val="List Paragraph"/>
    <w:basedOn w:val="669"/>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basedOn w:val="679"/>
    <w:link w:val="703"/>
    <w:uiPriority w:val="10"/>
    <w:qFormat/>
    <w:rPr>
      <w:sz w:val="48"/>
      <w:szCs w:val="48"/>
    </w:rPr>
  </w:style>
  <w:style w:type="character" w:styleId="732" w:customStyle="1">
    <w:name w:val="Subtitle Char"/>
    <w:basedOn w:val="679"/>
    <w:link w:val="697"/>
    <w:uiPriority w:val="11"/>
    <w:qFormat/>
    <w:rPr>
      <w:sz w:val="24"/>
      <w:szCs w:val="24"/>
    </w:rPr>
  </w:style>
  <w:style w:type="paragraph" w:styleId="733">
    <w:name w:val="Quote"/>
    <w:basedOn w:val="669"/>
    <w:next w:val="669"/>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69"/>
    <w:next w:val="669"/>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basedOn w:val="679"/>
    <w:link w:val="694"/>
    <w:uiPriority w:val="99"/>
    <w:qFormat/>
  </w:style>
  <w:style w:type="character" w:styleId="738" w:customStyle="1">
    <w:name w:val="Footer Char"/>
    <w:basedOn w:val="679"/>
    <w:link w:val="692"/>
    <w:uiPriority w:val="99"/>
    <w:qFormat/>
  </w:style>
  <w:style w:type="character" w:styleId="739" w:customStyle="1">
    <w:name w:val="Caption Char"/>
    <w:link w:val="692"/>
    <w:uiPriority w:val="99"/>
    <w:qFormat/>
  </w:style>
  <w:style w:type="table" w:styleId="740" w:customStyle="1">
    <w:name w:val="Table Grid Light"/>
    <w:basedOn w:val="6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basedOn w:val="6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8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8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8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8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Grid Table 3"/>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8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8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8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8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8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8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8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8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Grid Table 5 Dark"/>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Grid Table 6 Colorful"/>
    <w:basedOn w:val="6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8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8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5" w:customStyle="1">
    <w:name w:val="Grid Table 6 Colorful - Accent 4"/>
    <w:basedOn w:val="6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8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8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7 Colorful"/>
    <w:basedOn w:val="6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8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8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8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8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8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8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basedOn w:val="6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8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8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8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8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8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8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List Table 2"/>
    <w:basedOn w:val="6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8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8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8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8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8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8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List Table 3"/>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8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8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8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8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8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8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8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8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8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8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List Table 5 Dark"/>
    <w:basedOn w:val="6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8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8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8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8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8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8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6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8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8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8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8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8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8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List Table 7 Colorful"/>
    <w:basedOn w:val="6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8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8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8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8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8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8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8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8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8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8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8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8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8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8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Footnote Text Char"/>
    <w:uiPriority w:val="99"/>
    <w:qFormat/>
    <w:rPr>
      <w:sz w:val="18"/>
    </w:rPr>
  </w:style>
  <w:style w:type="character" w:styleId="866" w:customStyle="1">
    <w:name w:val="Endnote Text Char"/>
    <w:link w:val="691"/>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character" w:styleId="868" w:customStyle="1">
    <w:name w:val="标题 1 Char"/>
    <w:link w:val="670"/>
    <w:uiPriority w:val="0"/>
    <w:qFormat/>
    <w:rPr>
      <w:rFonts w:ascii="Arial" w:hAnsi="Arial" w:eastAsia="宋体" w:cs="微软雅黑"/>
      <w:b/>
      <w:sz w:val="36"/>
      <w:szCs w:val="32"/>
      <w:lang w:bidi="ar-SA"/>
    </w:rPr>
  </w:style>
  <w:style w:type="character" w:styleId="869" w:customStyle="1">
    <w:name w:val="标题 2 字符"/>
    <w:link w:val="671"/>
    <w:uiPriority w:val="9"/>
    <w:qFormat/>
    <w:rPr>
      <w:rFonts w:ascii="Arial" w:hAnsi="Arial" w:eastAsia="宋体" w:cs="Times New Roman"/>
      <w:b/>
      <w:bCs/>
      <w:sz w:val="21"/>
      <w:szCs w:val="21"/>
      <w:lang w:bidi="ar-SA"/>
    </w:rPr>
  </w:style>
  <w:style w:type="character" w:styleId="870" w:customStyle="1">
    <w:name w:val="标题 3 Char"/>
    <w:link w:val="672"/>
    <w:uiPriority w:val="0"/>
    <w:qFormat/>
    <w:rPr>
      <w:rFonts w:ascii="Arial" w:hAnsi="Arial" w:eastAsia="宋体" w:cstheme="minorBidi"/>
      <w:b/>
      <w:sz w:val="28"/>
      <w:szCs w:val="22"/>
      <w:lang w:val="en-US" w:eastAsia="en-US" w:bidi="ar-SA"/>
    </w:rPr>
  </w:style>
  <w:style w:type="character" w:styleId="871" w:customStyle="1">
    <w:name w:val="标题 4 Char"/>
    <w:link w:val="673"/>
    <w:uiPriority w:val="0"/>
    <w:qFormat/>
    <w:rPr>
      <w:rFonts w:ascii="Arial" w:hAnsi="Arial" w:eastAsia="宋体"/>
      <w:b/>
      <w:sz w:val="24"/>
      <w:szCs w:val="20"/>
      <w:lang w:val="zh-CN"/>
    </w:rPr>
  </w:style>
  <w:style w:type="character" w:styleId="872" w:customStyle="1">
    <w:name w:val="标题 5 Char"/>
    <w:link w:val="674"/>
    <w:uiPriority w:val="0"/>
    <w:qFormat/>
    <w:rPr>
      <w:rFonts w:eastAsia="宋体"/>
      <w:b/>
      <w:sz w:val="24"/>
    </w:rPr>
  </w:style>
  <w:style w:type="paragraph" w:styleId="873" w:customStyle="1">
    <w:name w:val="标题 111"/>
    <w:basedOn w:val="712"/>
    <w:next w:val="712"/>
    <w:uiPriority w:val="0"/>
    <w:qFormat/>
    <w:pPr>
      <w:jc w:val="center"/>
      <w:keepLines/>
      <w:keepNext/>
      <w:spacing w:line="578" w:lineRule="auto"/>
      <w:outlineLvl w:val="0"/>
    </w:pPr>
    <w:rPr>
      <w:rFonts w:eastAsia="新宋体"/>
      <w:b/>
      <w:bCs/>
      <w:sz w:val="30"/>
      <w:szCs w:val="44"/>
    </w:rPr>
  </w:style>
  <w:style w:type="paragraph" w:styleId="874" w:customStyle="1">
    <w:name w:val="正文文本111"/>
    <w:basedOn w:val="714"/>
    <w:next w:val="714"/>
    <w:uiPriority w:val="0"/>
    <w:qFormat/>
  </w:style>
  <w:style w:type="paragraph" w:styleId="875" w:customStyle="1">
    <w:name w:val="正文首行缩进1"/>
    <w:basedOn w:val="876"/>
    <w:next w:val="882"/>
    <w:uiPriority w:val="0"/>
    <w:qFormat/>
    <w:pPr>
      <w:ind w:firstLine="200"/>
      <w:spacing w:line="360" w:lineRule="auto"/>
    </w:pPr>
    <w:rPr>
      <w:rFonts w:ascii="仿宋_GB2312" w:eastAsia="仿宋_GB2312"/>
      <w:sz w:val="30"/>
      <w:szCs w:val="30"/>
    </w:rPr>
  </w:style>
  <w:style w:type="paragraph" w:styleId="876" w:customStyle="1">
    <w:name w:val="正文文本11"/>
    <w:basedOn w:val="712"/>
    <w:next w:val="877"/>
    <w:uiPriority w:val="0"/>
    <w:qFormat/>
    <w:pPr>
      <w:spacing w:after="120"/>
    </w:pPr>
  </w:style>
  <w:style w:type="paragraph" w:styleId="877" w:customStyle="1">
    <w:name w:val="正文112"/>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1"/>
    <w:basedOn w:val="876"/>
    <w:next w:val="879"/>
    <w:uiPriority w:val="0"/>
    <w:qFormat/>
    <w:pPr>
      <w:ind w:firstLine="420"/>
    </w:pPr>
    <w:rPr>
      <w:rFonts w:ascii="仿宋_GB2312" w:hAnsi="Times New Roman" w:eastAsia="仿宋_GB2312"/>
      <w:sz w:val="30"/>
      <w:szCs w:val="30"/>
    </w:rPr>
  </w:style>
  <w:style w:type="paragraph" w:styleId="879" w:customStyle="1">
    <w:name w:val="正文首行缩进 211"/>
    <w:basedOn w:val="880"/>
    <w:uiPriority w:val="0"/>
    <w:qFormat/>
    <w:pPr>
      <w:ind w:firstLine="420"/>
    </w:pPr>
    <w:rPr>
      <w:rFonts w:ascii="Times New Roman" w:hAnsi="Times New Roman"/>
    </w:rPr>
  </w:style>
  <w:style w:type="paragraph" w:styleId="880" w:customStyle="1">
    <w:name w:val="正文文本缩进11"/>
    <w:basedOn w:val="877"/>
    <w:next w:val="881"/>
    <w:uiPriority w:val="0"/>
    <w:qFormat/>
    <w:pPr>
      <w:ind w:left="420"/>
      <w:spacing w:after="120"/>
    </w:pPr>
    <w:rPr>
      <w:rFonts w:ascii="Calibri" w:hAnsi="Calibri"/>
    </w:rPr>
  </w:style>
  <w:style w:type="paragraph" w:styleId="881" w:customStyle="1">
    <w:name w:val="寄信人地址11"/>
    <w:basedOn w:val="877"/>
    <w:uiPriority w:val="0"/>
    <w:qFormat/>
    <w:rPr>
      <w:rFonts w:ascii="Arial" w:hAnsi="Arial"/>
    </w:rPr>
  </w:style>
  <w:style w:type="paragraph" w:styleId="882" w:customStyle="1">
    <w:name w:val="正文首行缩进 21"/>
    <w:basedOn w:val="883"/>
    <w:next w:val="713"/>
    <w:uiPriority w:val="0"/>
    <w:qFormat/>
    <w:pPr>
      <w:ind w:left="0" w:firstLine="420"/>
      <w:spacing w:after="0" w:line="360" w:lineRule="auto"/>
    </w:pPr>
    <w:rPr>
      <w:rFonts w:ascii="宋体" w:hAnsi="宋体"/>
    </w:rPr>
  </w:style>
  <w:style w:type="paragraph" w:styleId="883" w:customStyle="1">
    <w:name w:val="正文文本缩进1"/>
    <w:basedOn w:val="712"/>
    <w:next w:val="884"/>
    <w:uiPriority w:val="0"/>
    <w:qFormat/>
    <w:pPr>
      <w:ind w:left="420"/>
      <w:spacing w:after="120"/>
    </w:pPr>
  </w:style>
  <w:style w:type="paragraph" w:styleId="884" w:customStyle="1">
    <w:name w:val="寄信人地址1"/>
    <w:basedOn w:val="712"/>
    <w:uiPriority w:val="0"/>
    <w:qFormat/>
    <w:rPr>
      <w:rFonts w:ascii="Arial" w:hAnsi="Arial"/>
    </w:rPr>
  </w:style>
  <w:style w:type="paragraph" w:styleId="885" w:customStyle="1">
    <w:name w:val="一级条标题"/>
    <w:basedOn w:val="886"/>
    <w:next w:val="887"/>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86" w:customStyle="1">
    <w:name w:val="章标题"/>
    <w:next w:val="6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7" w:customStyle="1">
    <w:name w:val="段"/>
    <w:basedOn w:val="718"/>
    <w:next w:val="669"/>
    <w:uiPriority w:val="0"/>
    <w:qFormat/>
    <w:pPr>
      <w:ind w:firstLine="200"/>
      <w:widowControl/>
    </w:pPr>
    <w:rPr>
      <w:rFonts w:ascii="宋体"/>
      <w:sz w:val="20"/>
      <w:szCs w:val="20"/>
    </w:rPr>
  </w:style>
  <w:style w:type="paragraph" w:styleId="888" w:customStyle="1">
    <w:name w:val="文本块1"/>
    <w:basedOn w:val="713"/>
    <w:uiPriority w:val="0"/>
    <w:qFormat/>
    <w:pPr>
      <w:ind w:left="567" w:right="454" w:firstLine="498"/>
      <w:jc w:val="left"/>
      <w:widowControl/>
    </w:pPr>
    <w:rPr>
      <w:rFonts w:ascii="仿宋_GB2312" w:eastAsia="仿宋_GB2312"/>
      <w:sz w:val="30"/>
      <w:szCs w:val="20"/>
    </w:rPr>
  </w:style>
  <w:style w:type="paragraph" w:styleId="889" w:customStyle="1">
    <w:name w:val="标题 41"/>
    <w:basedOn w:val="669"/>
    <w:next w:val="712"/>
    <w:uiPriority w:val="0"/>
    <w:qFormat/>
    <w:pPr>
      <w:keepLines/>
      <w:keepNext/>
      <w:spacing w:before="280" w:after="290" w:line="376" w:lineRule="auto"/>
      <w:outlineLvl w:val="3"/>
    </w:pPr>
    <w:rPr>
      <w:rFonts w:ascii="Arial" w:hAnsi="Arial" w:eastAsia="黑体"/>
      <w:b/>
      <w:bCs/>
      <w:sz w:val="28"/>
      <w:szCs w:val="28"/>
    </w:rPr>
  </w:style>
  <w:style w:type="paragraph" w:styleId="890" w:customStyle="1">
    <w:name w:val="标题 21"/>
    <w:basedOn w:val="713"/>
    <w:next w:val="712"/>
    <w:uiPriority w:val="0"/>
    <w:qFormat/>
    <w:pPr>
      <w:ind w:firstLine="600"/>
      <w:spacing w:line="520" w:lineRule="exact"/>
      <w:outlineLvl w:val="1"/>
    </w:pPr>
    <w:rPr>
      <w:rFonts w:ascii="黑体" w:hAnsi="黑体" w:eastAsia="黑体"/>
      <w:sz w:val="30"/>
      <w:szCs w:val="30"/>
    </w:rPr>
  </w:style>
  <w:style w:type="paragraph" w:styleId="891" w:customStyle="1">
    <w:name w:val="PlainText1"/>
    <w:basedOn w:val="669"/>
    <w:uiPriority w:val="0"/>
    <w:qFormat/>
    <w:pPr>
      <w:jc w:val="left"/>
    </w:pPr>
    <w:rPr>
      <w:rFonts w:ascii="宋体" w:hAnsi="Courier New"/>
      <w:szCs w:val="20"/>
    </w:rPr>
  </w:style>
  <w:style w:type="paragraph" w:styleId="892" w:customStyle="1">
    <w:name w:val="UserStyle_0"/>
    <w:next w:val="669"/>
    <w:uiPriority w:val="0"/>
    <w:qFormat/>
    <w:rPr>
      <w:rFonts w:hint="default" w:ascii="Times New Roman" w:hAnsi="Times New Roman" w:eastAsia="宋体" w:cs="Times New Roman"/>
      <w:color w:val="000000"/>
      <w:sz w:val="24"/>
      <w:szCs w:val="24"/>
      <w:lang w:val="en-US" w:eastAsia="zh-CN" w:bidi="ar-SA"/>
    </w:rPr>
  </w:style>
  <w:style w:type="paragraph" w:styleId="893" w:customStyle="1">
    <w:name w:val="标题 11"/>
    <w:basedOn w:val="718"/>
    <w:next w:val="718"/>
    <w:uiPriority w:val="0"/>
    <w:qFormat/>
    <w:pPr>
      <w:jc w:val="center"/>
      <w:keepLines/>
      <w:keepNext/>
      <w:spacing w:line="578" w:lineRule="auto"/>
      <w:outlineLvl w:val="0"/>
    </w:pPr>
    <w:rPr>
      <w:rFonts w:eastAsia="新宋体"/>
      <w:b/>
      <w:bCs/>
      <w:sz w:val="30"/>
      <w:szCs w:val="44"/>
    </w:rPr>
  </w:style>
  <w:style w:type="paragraph" w:styleId="894" w:customStyle="1">
    <w:name w:val="日期1"/>
    <w:basedOn w:val="718"/>
    <w:next w:val="718"/>
    <w:uiPriority w:val="0"/>
    <w:qFormat/>
    <w:rPr>
      <w:rFonts w:eastAsia="仿宋_GB2312"/>
      <w:sz w:val="28"/>
      <w:szCs w:val="20"/>
    </w:rPr>
  </w:style>
  <w:style w:type="paragraph" w:styleId="895" w:customStyle="1">
    <w:name w:val="普通(网站)11"/>
    <w:basedOn w:val="718"/>
    <w:uiPriority w:val="0"/>
    <w:qFormat/>
    <w:pPr>
      <w:jc w:val="left"/>
      <w:spacing w:before="100" w:beforeAutospacing="1" w:after="100" w:afterAutospacing="1"/>
      <w:widowControl/>
    </w:pPr>
    <w:rPr>
      <w:rFonts w:ascii="宋体" w:hAnsi="宋体"/>
      <w:sz w:val="24"/>
    </w:rPr>
  </w:style>
  <w:style w:type="paragraph" w:styleId="896" w:customStyle="1">
    <w:name w:val="页眉1"/>
    <w:basedOn w:val="718"/>
    <w:uiPriority w:val="0"/>
    <w:qFormat/>
    <w:pPr>
      <w:jc w:val="center"/>
      <w:tabs>
        <w:tab w:val="center" w:pos="4153" w:leader="none"/>
        <w:tab w:val="right" w:pos="8306" w:leader="none"/>
      </w:tabs>
      <w:pBdr>
        <w:bottom w:val="single" w:color="000000" w:sz="6" w:space="1"/>
      </w:pBdr>
    </w:pPr>
    <w:rPr>
      <w:sz w:val="18"/>
      <w:szCs w:val="18"/>
    </w:rPr>
  </w:style>
  <w:style w:type="paragraph" w:styleId="897" w:customStyle="1">
    <w:name w:val="页脚1"/>
    <w:basedOn w:val="718"/>
    <w:uiPriority w:val="0"/>
    <w:qFormat/>
    <w:pPr>
      <w:jc w:val="left"/>
      <w:tabs>
        <w:tab w:val="center" w:pos="4153" w:leader="none"/>
        <w:tab w:val="right" w:pos="8306" w:leader="none"/>
      </w:tabs>
    </w:pPr>
    <w:rPr>
      <w:sz w:val="18"/>
      <w:szCs w:val="18"/>
    </w:rPr>
  </w:style>
  <w:style w:type="character" w:styleId="898" w:customStyle="1">
    <w:name w:val="页码1"/>
    <w:uiPriority w:val="0"/>
    <w:qFormat/>
  </w:style>
  <w:style w:type="paragraph" w:styleId="899" w:customStyle="1">
    <w:name w:val="纯文本1"/>
    <w:basedOn w:val="713"/>
    <w:uiPriority w:val="0"/>
    <w:qFormat/>
    <w:rPr>
      <w:rFonts w:ascii="宋体" w:hAnsi="Courier New"/>
      <w:sz w:val="21"/>
      <w:szCs w:val="21"/>
    </w:rPr>
  </w:style>
  <w:style w:type="paragraph" w:styleId="900" w:customStyle="1">
    <w:name w:val="表格1"/>
    <w:uiPriority w:val="0"/>
    <w:qFormat/>
    <w:rPr>
      <w:rFonts w:hint="default" w:ascii="Calibri" w:hAnsi="Calibri" w:eastAsia="宋体" w:cs="Times New Roman"/>
      <w:sz w:val="21"/>
      <w:szCs w:val="22"/>
      <w:lang w:val="en-US" w:eastAsia="zh-CN" w:bidi="ar-SA"/>
    </w:rPr>
  </w:style>
  <w:style w:type="character" w:styleId="901" w:customStyle="1">
    <w:name w:val="UserStyle_3"/>
    <w:uiPriority w:val="0"/>
    <w:qFormat/>
    <w:rPr>
      <w:rFonts w:ascii="Calibri Light" w:hAnsi="Calibri Light" w:eastAsia="宋体" w:cs="Times New Roman"/>
      <w:b/>
      <w:bCs/>
      <w:sz w:val="24"/>
      <w:szCs w:val="24"/>
    </w:rPr>
  </w:style>
  <w:style w:type="character" w:styleId="902" w:customStyle="1">
    <w:name w:val="fontstyle01"/>
    <w:basedOn w:val="679"/>
    <w:uiPriority w:val="0"/>
    <w:qFormat/>
    <w:rPr>
      <w:rFonts w:hint="eastAsia" w:ascii="宋体" w:hAnsi="宋体" w:eastAsia="宋体"/>
      <w:color w:val="000000"/>
      <w:sz w:val="22"/>
      <w:szCs w:val="22"/>
    </w:rPr>
  </w:style>
  <w:style w:type="paragraph" w:styleId="90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04" w:customStyle="1">
    <w:name w:val="_Style 59"/>
    <w:basedOn w:val="669"/>
    <w:next w:val="669"/>
    <w:uiPriority w:val="34"/>
    <w:qFormat/>
    <w:pPr>
      <w:ind w:firstLine="420"/>
      <w:jc w:val="both"/>
      <w:spacing w:after="0" w:line="240" w:lineRule="auto"/>
      <w:widowControl w:val="off"/>
    </w:pPr>
    <w:rPr>
      <w:rFonts w:ascii="Calibri" w:hAnsi="Calibri" w:eastAsia="宋体" w:cs="Times New Roman"/>
      <w:sz w:val="21"/>
      <w:szCs w:val="24"/>
      <w:lang w:eastAsia="zh-CN"/>
    </w:rPr>
  </w:style>
  <w:style w:type="paragraph" w:styleId="905" w:customStyle="1">
    <w:name w:val="脚注文本11"/>
    <w:basedOn w:val="669"/>
    <w:next w:val="906"/>
    <w:uiPriority w:val="0"/>
    <w:unhideWhenUsed/>
    <w:qFormat/>
    <w:pPr>
      <w:spacing w:after="40"/>
    </w:pPr>
    <w:rPr>
      <w:sz w:val="18"/>
    </w:rPr>
  </w:style>
  <w:style w:type="paragraph" w:styleId="906" w:customStyle="1">
    <w:name w:val="索引 511"/>
    <w:basedOn w:val="669"/>
    <w:next w:val="669"/>
    <w:uiPriority w:val="0"/>
    <w:qFormat/>
    <w:pPr>
      <w:ind w:left="798"/>
    </w:pPr>
  </w:style>
  <w:style w:type="paragraph" w:styleId="907" w:customStyle="1">
    <w:name w:val="p0"/>
    <w:basedOn w:val="669"/>
    <w:uiPriority w:val="0"/>
    <w:qFormat/>
    <w:pPr>
      <w:widowControl/>
    </w:pPr>
    <w:rPr>
      <w:szCs w:val="21"/>
    </w:rPr>
  </w:style>
  <w:style w:type="paragraph" w:styleId="908" w:customStyle="1">
    <w:name w:val="正文文本1"/>
    <w:basedOn w:val="712"/>
    <w:next w:val="718"/>
    <w:uiPriority w:val="0"/>
    <w:qFormat/>
    <w:pPr>
      <w:spacing w:after="120"/>
    </w:pPr>
    <w:rPr>
      <w:rFonts w:ascii="Calibri" w:hAnsi="Calibri"/>
    </w:rPr>
  </w:style>
  <w:style w:type="paragraph" w:styleId="909" w:customStyle="1">
    <w:name w:val="首行缩进"/>
    <w:basedOn w:val="718"/>
    <w:uiPriority w:val="0"/>
    <w:qFormat/>
    <w:pPr>
      <w:ind w:firstLine="480"/>
    </w:pPr>
    <w:rPr>
      <w:sz w:val="20"/>
      <w:szCs w:val="20"/>
      <w:lang w:val="zh-CN"/>
    </w:rPr>
  </w:style>
  <w:style w:type="table" w:styleId="910" w:customStyle="1">
    <w:name w:val="网格型111"/>
    <w:uiPriority w:val="0"/>
    <w:qFormat/>
    <w:rPr>
      <w:lang w:val="en-US" w:eastAsia="zh-CN" w:bidi="ar-SA"/>
    </w:rPr>
    <w:tbl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www.creditchina.gov.cn/" TargetMode="External"/><Relationship Id="rId12" Type="http://schemas.openxmlformats.org/officeDocument/2006/relationships/hyperlink" Target="http://www.ccgp.gov.cn/" TargetMode="External"/><Relationship Id="rId13" Type="http://schemas.openxmlformats.org/officeDocument/2006/relationships/hyperlink" Target="http://www.xuzhoucredit.gov.cn/" TargetMode="External"/><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陈珂</cp:lastModifiedBy>
  <cp:revision>8</cp:revision>
  <dcterms:created xsi:type="dcterms:W3CDTF">2023-04-12T07:00:00Z</dcterms:created>
  <dcterms:modified xsi:type="dcterms:W3CDTF">2026-07-31T02:40:34Z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AFB7D9D2C58F4FD684405B672E9EEEB5_13</vt:lpwstr>
  </property>
  <property fmtid="{D5CDD505-2E9C-101B-9397-08002B2CF9AE}" pid="4" name="KSOTemplateDocerSaveRecord">
    <vt:lpwstr>eyJoZGlkIjoiNjJkNTk2ZGM5YTVkYjAxYjE2YWM5ZTdhNjA0YjYwY2MiLCJ1c2VySWQiOiIyNDYwMzIyNTkifQ==</vt:lpwstr>
  </property>
</Properties>
</file>