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ind w:firstLine="0"/>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pStyle w:val="780"/>
        <w:ind w:firstLine="0"/>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pStyle w:val="780"/>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jc w:val="center"/>
        <w:rPr>
          <w:rFonts w:hint="eastAsia" w:asciiTheme="minorEastAsia" w:hAnsiTheme="minorEastAsia" w:eastAsiaTheme="minorEastAsia" w:cstheme="minorEastAsia"/>
          <w:b/>
          <w:color w:val="auto"/>
          <w:spacing w:val="76"/>
          <w:sz w:val="156"/>
          <w:highlight w:val="none"/>
        </w:rPr>
      </w:pPr>
      <w:r>
        <w:rPr>
          <w:rFonts w:hint="eastAsia" w:asciiTheme="minorEastAsia" w:hAnsiTheme="minorEastAsia" w:eastAsiaTheme="minorEastAsia" w:cstheme="minorEastAsia"/>
          <w:b/>
          <w:color w:val="auto"/>
          <w:spacing w:val="76"/>
          <w:sz w:val="156"/>
          <w:highlight w:val="none"/>
        </w:rPr>
        <w:t xml:space="preserve">招标文件</w:t>
      </w:r>
      <w:r/>
    </w:p>
    <w:p>
      <w:pPr>
        <w:jc w:val="center"/>
        <w:rPr>
          <w:rFonts w:hint="eastAsia" w:asciiTheme="minorEastAsia" w:hAnsiTheme="minorEastAsia" w:cstheme="minorEastAsia"/>
          <w:b/>
          <w:color w:val="auto"/>
          <w:sz w:val="24"/>
          <w:highlight w:val="none"/>
          <w:lang w:val="en-US" w:eastAsia="zh-CN"/>
        </w:rPr>
      </w:pPr>
      <w:r>
        <w:rPr>
          <w:rFonts w:hint="eastAsia" w:asciiTheme="minorEastAsia" w:hAnsiTheme="minorEastAsia" w:cstheme="minorEastAsia"/>
          <w:b/>
          <w:color w:val="auto"/>
          <w:sz w:val="24"/>
          <w:highlight w:val="none"/>
          <w:lang w:val="en-US" w:eastAsia="zh-CN"/>
        </w:rPr>
        <w:t xml:space="preserve">（更正后）</w:t>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80"/>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780"/>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项目编号</w:t>
      </w:r>
      <w:r>
        <w:rPr>
          <w:rFonts w:hint="eastAsia" w:asciiTheme="minorEastAsia" w:hAnsiTheme="minorEastAsia" w:eastAsiaTheme="minorEastAsia" w:cstheme="minorEastAsia"/>
          <w:color w:val="auto"/>
          <w:sz w:val="32"/>
          <w:szCs w:val="32"/>
          <w:highlight w:val="none"/>
          <w:lang w:eastAsia="zh-CN"/>
        </w:rPr>
        <w:t xml:space="preserve">：</w:t>
      </w:r>
      <w:r>
        <w:rPr>
          <w:rFonts w:hint="eastAsia" w:ascii="宋体" w:hAnsi="宋体" w:cs="宋体"/>
          <w:color w:val="auto"/>
          <w:sz w:val="32"/>
          <w:szCs w:val="32"/>
          <w:highlight w:val="none"/>
          <w:lang w:eastAsia="zh-CN"/>
        </w:rPr>
        <w:t xml:space="preserve">JSZC-320324-HWZX-G2026-0428</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项目名称：</w:t>
      </w:r>
      <w:r>
        <w:rPr>
          <w:rFonts w:hint="eastAsia" w:asciiTheme="minorEastAsia" w:hAnsiTheme="minorEastAsia" w:eastAsiaTheme="minorEastAsia" w:cstheme="minorEastAsia"/>
          <w:color w:val="auto"/>
          <w:sz w:val="32"/>
          <w:szCs w:val="32"/>
          <w:highlight w:val="none"/>
          <w:lang w:eastAsia="zh-CN"/>
        </w:rPr>
        <w:t xml:space="preserve">江苏省睢宁高级中学新校区创新功能室</w:t>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lang w:eastAsia="zh-CN"/>
        </w:rPr>
        <w:t xml:space="preserve">设备及配套设施采购项目</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32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 购 人：</w:t>
      </w:r>
      <w:r>
        <w:rPr>
          <w:rFonts w:hint="eastAsia" w:asciiTheme="minorEastAsia" w:hAnsiTheme="minorEastAsia" w:eastAsiaTheme="minorEastAsia" w:cstheme="minorEastAsia"/>
          <w:color w:val="auto"/>
          <w:sz w:val="32"/>
          <w:szCs w:val="32"/>
          <w:highlight w:val="none"/>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955"/>
        <w:ind w:firstLine="0"/>
        <w:rPr>
          <w:rFonts w:hint="eastAsia" w:asciiTheme="minorEastAsia" w:hAnsiTheme="minorEastAsia" w:eastAsiaTheme="minorEastAsia" w:cstheme="minorEastAsia"/>
          <w:color w:val="auto"/>
          <w:sz w:val="32"/>
          <w:szCs w:val="32"/>
          <w:highlight w:val="none"/>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1906905</wp:posOffset>
                </wp:positionH>
                <wp:positionV relativeFrom="paragraph">
                  <wp:posOffset>513715</wp:posOffset>
                </wp:positionV>
                <wp:extent cx="1511935" cy="1033780"/>
                <wp:effectExtent l="0" t="0" r="12065" b="13970"/>
                <wp:wrapTopAndBottom/>
                <wp:docPr id="5"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0.2pt;mso-position-horizontal:absolute;mso-position-vertical-relative:text;margin-top:40.4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rPr>
          <w:rFonts w:hint="eastAsia"/>
          <w:color w:val="auto"/>
          <w:highlight w:val="none"/>
        </w:rPr>
      </w:pPr>
      <w:r>
        <w:rPr>
          <w:rFonts w:hint="eastAsia"/>
          <w:color w:val="auto"/>
          <w:highlight w:val="none"/>
        </w:rPr>
      </w:r>
      <w:r/>
    </w:p>
    <w:p>
      <w:pPr>
        <w:ind w:right="-159" w:firstLine="2112"/>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二〇二</w:t>
      </w:r>
      <w:r>
        <w:rPr>
          <w:rFonts w:hint="eastAsia" w:asciiTheme="minorEastAsia" w:hAnsiTheme="minorEastAsia" w:eastAsiaTheme="minorEastAsia" w:cstheme="minorEastAsia"/>
          <w:bCs/>
          <w:color w:val="auto"/>
          <w:sz w:val="32"/>
          <w:szCs w:val="32"/>
          <w:highlight w:val="none"/>
          <w:lang w:val="en-US" w:eastAsia="zh-CN"/>
        </w:rPr>
        <w:t xml:space="preserve">六</w:t>
      </w:r>
      <w:r>
        <w:rPr>
          <w:rFonts w:hint="eastAsia" w:asciiTheme="minorEastAsia" w:hAnsiTheme="minorEastAsia" w:eastAsiaTheme="minorEastAsia" w:cstheme="minorEastAsia"/>
          <w:bCs/>
          <w:color w:val="auto"/>
          <w:sz w:val="32"/>
          <w:szCs w:val="32"/>
          <w:highlight w:val="none"/>
        </w:rPr>
        <w:t xml:space="preserve">年</w:t>
      </w:r>
      <w:r>
        <w:rPr>
          <w:rFonts w:hint="eastAsia" w:asciiTheme="minorEastAsia" w:hAnsiTheme="minorEastAsia" w:cstheme="minorEastAsia"/>
          <w:bCs/>
          <w:color w:val="auto"/>
          <w:sz w:val="32"/>
          <w:szCs w:val="32"/>
          <w:highlight w:val="none"/>
          <w:lang w:val="en-US" w:eastAsia="zh-CN"/>
        </w:rPr>
        <w:t xml:space="preserve">八</w:t>
      </w:r>
      <w:r>
        <w:rPr>
          <w:rFonts w:hint="eastAsia" w:asciiTheme="minorEastAsia" w:hAnsiTheme="minorEastAsia" w:eastAsiaTheme="minorEastAsia" w:cstheme="minorEastAsia"/>
          <w:bCs/>
          <w:color w:val="auto"/>
          <w:sz w:val="32"/>
          <w:szCs w:val="32"/>
          <w:highlight w:val="none"/>
        </w:rPr>
        <w:t xml:space="preserve">月</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highlight w:val="none"/>
        </w:rPr>
        <w:t xml:space="preserve">目 录</w:t>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highlight w:val="none"/>
        </w:rPr>
        <w:fldChar w:fldCharType="separate"/>
      </w:r>
      <w:r>
        <w:rPr>
          <w:rStyle w:val="804"/>
          <w:rFonts w:hint="eastAsia" w:asciiTheme="minorEastAsia" w:hAnsiTheme="minorEastAsia" w:eastAsiaTheme="minorEastAsia" w:cstheme="minorEastAsia"/>
          <w:color w:val="auto"/>
          <w:sz w:val="30"/>
          <w:szCs w:val="30"/>
          <w:highlight w:val="none"/>
        </w:rPr>
        <w:t xml:space="preserve">第一章</w:t>
      </w:r>
      <w:r>
        <w:rPr>
          <w:rStyle w:val="804"/>
          <w:rFonts w:hint="eastAsia" w:asciiTheme="minorEastAsia" w:hAnsiTheme="minorEastAsia" w:eastAsiaTheme="minorEastAsia" w:cstheme="minorEastAsia"/>
          <w:color w:val="auto"/>
          <w:sz w:val="30"/>
          <w:szCs w:val="30"/>
          <w:highlight w:val="none"/>
          <w:lang w:val="en-US" w:eastAsia="zh-CN"/>
        </w:rPr>
        <w:t xml:space="preserve"> </w:t>
      </w:r>
      <w:r>
        <w:rPr>
          <w:rStyle w:val="804"/>
          <w:rFonts w:hint="eastAsia" w:asciiTheme="minorEastAsia" w:hAnsiTheme="minorEastAsia" w:eastAsiaTheme="minorEastAsia" w:cstheme="minorEastAsia"/>
          <w:color w:val="auto"/>
          <w:sz w:val="30"/>
          <w:szCs w:val="30"/>
          <w:highlight w:val="none"/>
        </w:rPr>
        <w:t xml:space="preserve">投标邀请</w:t>
      </w:r>
      <w:r>
        <w:rPr>
          <w:rStyle w:val="804"/>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highlight w:val="none"/>
        </w:rPr>
        <w:fldChar w:fldCharType="separate"/>
      </w:r>
      <w:r>
        <w:rPr>
          <w:rStyle w:val="804"/>
          <w:rFonts w:hint="eastAsia" w:asciiTheme="minorEastAsia" w:hAnsiTheme="minorEastAsia" w:eastAsiaTheme="minorEastAsia" w:cstheme="minorEastAsia"/>
          <w:color w:val="auto"/>
          <w:sz w:val="30"/>
          <w:szCs w:val="30"/>
          <w:highlight w:val="none"/>
        </w:rPr>
        <w:t xml:space="preserve">第二章</w:t>
      </w:r>
      <w:r>
        <w:rPr>
          <w:rStyle w:val="804"/>
          <w:rFonts w:hint="eastAsia" w:asciiTheme="minorEastAsia" w:hAnsiTheme="minorEastAsia" w:eastAsiaTheme="minorEastAsia" w:cstheme="minorEastAsia"/>
          <w:color w:val="auto"/>
          <w:sz w:val="30"/>
          <w:szCs w:val="30"/>
          <w:highlight w:val="none"/>
          <w:lang w:val="en-US" w:eastAsia="zh-CN"/>
        </w:rPr>
        <w:t xml:space="preserve"> </w:t>
      </w:r>
      <w:r>
        <w:rPr>
          <w:rStyle w:val="804"/>
          <w:rFonts w:hint="eastAsia" w:asciiTheme="minorEastAsia" w:hAnsiTheme="minorEastAsia" w:eastAsiaTheme="minorEastAsia" w:cstheme="minorEastAsia"/>
          <w:color w:val="auto"/>
          <w:sz w:val="30"/>
          <w:szCs w:val="30"/>
          <w:highlight w:val="none"/>
        </w:rPr>
        <w:t xml:space="preserve">投标人须知</w:t>
      </w:r>
      <w:r>
        <w:rPr>
          <w:rStyle w:val="804"/>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highlight w:val="none"/>
        </w:rPr>
        <w:fldChar w:fldCharType="separate"/>
      </w:r>
      <w:r>
        <w:rPr>
          <w:rStyle w:val="804"/>
          <w:rFonts w:hint="eastAsia" w:asciiTheme="minorEastAsia" w:hAnsiTheme="minorEastAsia" w:eastAsiaTheme="minorEastAsia" w:cstheme="minorEastAsia"/>
          <w:color w:val="auto"/>
          <w:sz w:val="30"/>
          <w:szCs w:val="30"/>
          <w:highlight w:val="none"/>
        </w:rPr>
        <w:t xml:space="preserve">第三章</w:t>
      </w:r>
      <w:r>
        <w:rPr>
          <w:rStyle w:val="804"/>
          <w:rFonts w:hint="eastAsia" w:asciiTheme="minorEastAsia" w:hAnsiTheme="minorEastAsia" w:eastAsiaTheme="minorEastAsia" w:cstheme="minorEastAsia"/>
          <w:color w:val="auto"/>
          <w:sz w:val="30"/>
          <w:szCs w:val="30"/>
          <w:highlight w:val="none"/>
          <w:lang w:val="en-US" w:eastAsia="zh-CN"/>
        </w:rPr>
        <w:t xml:space="preserve"> </w:t>
      </w:r>
      <w:r>
        <w:rPr>
          <w:rStyle w:val="804"/>
          <w:rFonts w:hint="eastAsia" w:asciiTheme="minorEastAsia" w:hAnsiTheme="minorEastAsia" w:eastAsiaTheme="minorEastAsia" w:cstheme="minorEastAsia"/>
          <w:color w:val="auto"/>
          <w:sz w:val="30"/>
          <w:szCs w:val="30"/>
          <w:highlight w:val="none"/>
        </w:rPr>
        <w:t xml:space="preserve">投标资料表</w:t>
      </w:r>
      <w:r>
        <w:rPr>
          <w:rStyle w:val="804"/>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highlight w:val="none"/>
        </w:rPr>
        <w:fldChar w:fldCharType="separate"/>
      </w:r>
      <w:r>
        <w:rPr>
          <w:rStyle w:val="804"/>
          <w:rFonts w:hint="eastAsia" w:asciiTheme="minorEastAsia" w:hAnsiTheme="minorEastAsia" w:eastAsiaTheme="minorEastAsia" w:cstheme="minorEastAsia"/>
          <w:color w:val="auto"/>
          <w:sz w:val="30"/>
          <w:szCs w:val="30"/>
          <w:highlight w:val="none"/>
        </w:rPr>
        <w:t xml:space="preserve">第四章</w:t>
      </w:r>
      <w:r>
        <w:rPr>
          <w:rStyle w:val="804"/>
          <w:rFonts w:hint="eastAsia" w:asciiTheme="minorEastAsia" w:hAnsiTheme="minorEastAsia" w:eastAsiaTheme="minorEastAsia" w:cstheme="minorEastAsia"/>
          <w:color w:val="auto"/>
          <w:sz w:val="30"/>
          <w:szCs w:val="30"/>
          <w:highlight w:val="none"/>
          <w:lang w:val="en-US" w:eastAsia="zh-CN"/>
        </w:rPr>
        <w:t xml:space="preserve"> </w:t>
      </w:r>
      <w:r>
        <w:rPr>
          <w:rStyle w:val="804"/>
          <w:rFonts w:hint="eastAsia" w:asciiTheme="minorEastAsia" w:hAnsiTheme="minorEastAsia" w:eastAsiaTheme="minorEastAsia" w:cstheme="minorEastAsia"/>
          <w:color w:val="auto"/>
          <w:sz w:val="30"/>
          <w:szCs w:val="30"/>
          <w:highlight w:val="none"/>
        </w:rPr>
        <w:t xml:space="preserve">评标标准</w:t>
      </w:r>
      <w:r>
        <w:rPr>
          <w:rStyle w:val="804"/>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highlight w:val="none"/>
        </w:rPr>
        <w:fldChar w:fldCharType="separate"/>
      </w:r>
      <w:r>
        <w:rPr>
          <w:rStyle w:val="804"/>
          <w:rFonts w:hint="eastAsia" w:asciiTheme="minorEastAsia" w:hAnsiTheme="minorEastAsia" w:eastAsiaTheme="minorEastAsia" w:cstheme="minorEastAsia"/>
          <w:color w:val="auto"/>
          <w:sz w:val="30"/>
          <w:szCs w:val="30"/>
          <w:highlight w:val="none"/>
        </w:rPr>
        <w:t xml:space="preserve">第五章</w:t>
      </w:r>
      <w:r>
        <w:rPr>
          <w:rStyle w:val="804"/>
          <w:rFonts w:hint="eastAsia" w:asciiTheme="minorEastAsia" w:hAnsiTheme="minorEastAsia" w:eastAsiaTheme="minorEastAsia" w:cstheme="minorEastAsia"/>
          <w:color w:val="auto"/>
          <w:sz w:val="30"/>
          <w:szCs w:val="30"/>
          <w:highlight w:val="none"/>
          <w:lang w:val="en-US" w:eastAsia="zh-CN"/>
        </w:rPr>
        <w:t xml:space="preserve"> </w:t>
      </w:r>
      <w:r>
        <w:rPr>
          <w:rStyle w:val="804"/>
          <w:rFonts w:hint="eastAsia" w:asciiTheme="minorEastAsia" w:hAnsiTheme="minorEastAsia" w:eastAsiaTheme="minorEastAsia" w:cstheme="minorEastAsia"/>
          <w:color w:val="auto"/>
          <w:sz w:val="30"/>
          <w:szCs w:val="30"/>
          <w:highlight w:val="none"/>
        </w:rPr>
        <w:t xml:space="preserve">拟签订的合同文本</w:t>
      </w:r>
      <w:r>
        <w:rPr>
          <w:rStyle w:val="804"/>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highlight w:val="none"/>
        </w:rPr>
        <w:fldChar w:fldCharType="separate"/>
      </w:r>
      <w:r>
        <w:rPr>
          <w:rStyle w:val="804"/>
          <w:rFonts w:hint="eastAsia" w:asciiTheme="minorEastAsia" w:hAnsiTheme="minorEastAsia" w:eastAsiaTheme="minorEastAsia" w:cstheme="minorEastAsia"/>
          <w:color w:val="auto"/>
          <w:sz w:val="30"/>
          <w:szCs w:val="30"/>
          <w:highlight w:val="none"/>
        </w:rPr>
        <w:t xml:space="preserve">第六章</w:t>
      </w:r>
      <w:r>
        <w:rPr>
          <w:rStyle w:val="804"/>
          <w:rFonts w:hint="eastAsia" w:asciiTheme="minorEastAsia" w:hAnsiTheme="minorEastAsia" w:eastAsiaTheme="minorEastAsia" w:cstheme="minorEastAsia"/>
          <w:color w:val="auto"/>
          <w:sz w:val="30"/>
          <w:szCs w:val="30"/>
          <w:highlight w:val="none"/>
          <w:lang w:val="en-US" w:eastAsia="zh-CN"/>
        </w:rPr>
        <w:t xml:space="preserve"> </w:t>
      </w:r>
      <w:r>
        <w:rPr>
          <w:rStyle w:val="804"/>
          <w:rFonts w:hint="eastAsia" w:asciiTheme="minorEastAsia" w:hAnsiTheme="minorEastAsia" w:eastAsiaTheme="minorEastAsia" w:cstheme="minorEastAsia"/>
          <w:color w:val="auto"/>
          <w:sz w:val="30"/>
          <w:szCs w:val="30"/>
          <w:highlight w:val="none"/>
        </w:rPr>
        <w:t xml:space="preserve">采购需求</w:t>
      </w:r>
      <w:r>
        <w:rPr>
          <w:rStyle w:val="804"/>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highlight w:val="none"/>
        </w:rPr>
        <w:fldChar w:fldCharType="separate"/>
      </w:r>
      <w:r>
        <w:rPr>
          <w:rStyle w:val="804"/>
          <w:rFonts w:hint="eastAsia" w:asciiTheme="minorEastAsia" w:hAnsiTheme="minorEastAsia" w:eastAsiaTheme="minorEastAsia" w:cstheme="minorEastAsia"/>
          <w:color w:val="auto"/>
          <w:sz w:val="30"/>
          <w:szCs w:val="30"/>
          <w:highlight w:val="none"/>
        </w:rPr>
        <w:t xml:space="preserve">第七章</w:t>
      </w:r>
      <w:r>
        <w:rPr>
          <w:rStyle w:val="804"/>
          <w:rFonts w:hint="eastAsia" w:asciiTheme="minorEastAsia" w:hAnsiTheme="minorEastAsia" w:eastAsiaTheme="minorEastAsia" w:cstheme="minorEastAsia"/>
          <w:color w:val="auto"/>
          <w:sz w:val="30"/>
          <w:szCs w:val="30"/>
          <w:highlight w:val="none"/>
          <w:lang w:val="en-US" w:eastAsia="zh-CN"/>
        </w:rPr>
        <w:t xml:space="preserve"> </w:t>
      </w:r>
      <w:r>
        <w:rPr>
          <w:rStyle w:val="804"/>
          <w:rFonts w:hint="eastAsia" w:asciiTheme="minorEastAsia" w:hAnsiTheme="minorEastAsia" w:eastAsiaTheme="minorEastAsia" w:cstheme="minorEastAsia"/>
          <w:color w:val="auto"/>
          <w:sz w:val="30"/>
          <w:szCs w:val="30"/>
          <w:highlight w:val="none"/>
        </w:rPr>
        <w:t xml:space="preserve">投标文件相关格式</w:t>
      </w:r>
      <w:r>
        <w:rPr>
          <w:rStyle w:val="804"/>
          <w:rFonts w:hint="eastAsia" w:asciiTheme="minorEastAsia" w:hAnsiTheme="minorEastAsia" w:eastAsiaTheme="minorEastAsia" w:cstheme="minorEastAsia"/>
          <w:color w:val="auto"/>
          <w:sz w:val="30"/>
          <w:szCs w:val="30"/>
          <w:highlight w:val="none"/>
        </w:rPr>
        <w:fldChar w:fldCharType="end"/>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spacing w:line="240" w:lineRule="auto"/>
        <w:rPr>
          <w:rFonts w:hint="eastAsia" w:asciiTheme="minorEastAsia" w:hAnsiTheme="minorEastAsia" w:eastAsiaTheme="minorEastAsia" w:cstheme="minorEastAsia"/>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w:t>
      </w:r>
      <w:r>
        <w:rPr>
          <w:rFonts w:hint="eastAsia" w:asciiTheme="minorEastAsia" w:hAnsiTheme="minorEastAsia" w:eastAsiaTheme="minorEastAsia" w:cstheme="minorEastAsia"/>
          <w:b/>
          <w:color w:val="auto"/>
          <w:sz w:val="36"/>
          <w:szCs w:val="36"/>
          <w:highlight w:val="none"/>
          <w:lang w:eastAsia="zh-CN"/>
        </w:rPr>
        <w:t xml:space="preserve">江苏省睢宁高级中学新校区创新功能室设备及配套设施采购项目</w:t>
      </w:r>
      <w:r>
        <w:rPr>
          <w:rFonts w:hint="eastAsia" w:asciiTheme="minorEastAsia" w:hAnsiTheme="minorEastAsia" w:eastAsiaTheme="minorEastAsia" w:cstheme="minorEastAsia"/>
          <w:b/>
          <w:color w:val="auto"/>
          <w:sz w:val="36"/>
          <w:szCs w:val="36"/>
          <w:highlight w:val="none"/>
        </w:rPr>
        <w:t xml:space="preserve">》</w:t>
      </w:r>
      <w:r/>
    </w:p>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第二章，投标人须知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第三章，投标资料表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第四章，评标标准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第五章，拟签订的合同文本</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第六章，采购需求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第一章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u w:val="single"/>
        </w:rPr>
        <w:t xml:space="preserve">江苏海外集团国际工程咨询有限公司</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color w:val="auto"/>
          <w:sz w:val="24"/>
          <w:szCs w:val="24"/>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JSZC-320324-HWZX-G2026-0428</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资料</w:t>
      </w:r>
      <w:r>
        <w:rPr>
          <w:rFonts w:hint="eastAsia" w:ascii="宋体" w:hAnsi="宋体" w:cs="宋体"/>
          <w:color w:val="auto"/>
          <w:sz w:val="24"/>
          <w:szCs w:val="24"/>
          <w:highlight w:val="none"/>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8</w:t>
      </w:r>
      <w:r>
        <w:rPr>
          <w:rFonts w:hint="eastAsia" w:ascii="宋体" w:hAnsi="宋体" w:cs="宋体"/>
          <w:b/>
          <w:color w:val="auto"/>
          <w:sz w:val="24"/>
          <w:szCs w:val="24"/>
          <w:highlight w:val="none"/>
          <w:u w:val="single"/>
          <w:lang w:eastAsia="zh-CN"/>
        </w:rPr>
        <w:t xml:space="preserve">月</w:t>
      </w:r>
      <w:r>
        <w:rPr>
          <w:rFonts w:hint="eastAsia" w:ascii="宋体" w:hAnsi="宋体" w:cs="宋体"/>
          <w:b/>
          <w:color w:val="auto"/>
          <w:sz w:val="24"/>
          <w:szCs w:val="24"/>
          <w:highlight w:val="none"/>
          <w:u w:val="single"/>
          <w:lang w:val="en-US" w:eastAsia="zh-CN"/>
        </w:rPr>
        <w:t xml:space="preserve">25</w:t>
      </w:r>
      <w:r>
        <w:rPr>
          <w:rFonts w:hint="eastAsia" w:ascii="宋体" w:hAnsi="宋体" w:cs="宋体"/>
          <w:b/>
          <w:color w:val="auto"/>
          <w:sz w:val="24"/>
          <w:szCs w:val="24"/>
          <w:highlight w:val="none"/>
          <w:u w:val="single"/>
          <w:lang w:eastAsia="zh-CN"/>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8</w:t>
      </w:r>
      <w:r>
        <w:rPr>
          <w:rFonts w:hint="eastAsia" w:ascii="宋体" w:hAnsi="宋体" w:cs="宋体"/>
          <w:b/>
          <w:color w:val="auto"/>
          <w:sz w:val="24"/>
          <w:szCs w:val="24"/>
          <w:highlight w:val="none"/>
          <w:u w:val="single"/>
          <w:lang w:eastAsia="zh-CN"/>
        </w:rPr>
        <w:t xml:space="preserve">月</w:t>
      </w:r>
      <w:r>
        <w:rPr>
          <w:rFonts w:hint="eastAsia" w:ascii="宋体" w:hAnsi="宋体" w:cs="宋体"/>
          <w:b/>
          <w:color w:val="auto"/>
          <w:sz w:val="24"/>
          <w:szCs w:val="24"/>
          <w:highlight w:val="none"/>
          <w:u w:val="single"/>
          <w:lang w:val="en-US" w:eastAsia="zh-CN"/>
        </w:rPr>
        <w:t xml:space="preserve">25</w:t>
      </w:r>
      <w:r>
        <w:rPr>
          <w:rFonts w:hint="eastAsia" w:ascii="宋体" w:hAnsi="宋体" w:cs="宋体"/>
          <w:b/>
          <w:color w:val="auto"/>
          <w:sz w:val="24"/>
          <w:szCs w:val="24"/>
          <w:highlight w:val="none"/>
          <w:u w:val="single"/>
          <w:lang w:eastAsia="zh-CN"/>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szCs w:val="30"/>
          <w:highlight w:val="none"/>
        </w:rPr>
      </w:r>
      <w:r/>
    </w:p>
    <w:p>
      <w:pPr>
        <w:jc w:val="cente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第二章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1.所有投标单位凭CA证书在到达开标时间时，解密各自投标文件，由工作人员操作系统进行开标、并宣读各投标人的《开标一览表》。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04"/>
          <w:rFonts w:hint="eastAsia" w:ascii="宋体" w:hAnsi="宋体" w:eastAsia="宋体" w:cs="宋体"/>
          <w:color w:val="auto"/>
          <w:sz w:val="24"/>
          <w:szCs w:val="24"/>
          <w:highlight w:val="none"/>
          <w:u w:val="none"/>
        </w:rPr>
        <w:t xml:space="preserve">政府采购</w:t>
      </w:r>
      <w:r>
        <w:rPr>
          <w:rStyle w:val="804"/>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04"/>
          <w:rFonts w:hint="eastAsia" w:ascii="宋体" w:hAnsi="宋体" w:eastAsia="宋体" w:cs="宋体"/>
          <w:color w:val="auto"/>
          <w:sz w:val="24"/>
          <w:szCs w:val="24"/>
          <w:highlight w:val="none"/>
          <w:u w:val="none"/>
        </w:rPr>
        <w:t xml:space="preserve">最低评标价法</w:t>
      </w:r>
      <w:r>
        <w:rPr>
          <w:rStyle w:val="804"/>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04"/>
          <w:rFonts w:hint="eastAsia" w:ascii="宋体" w:hAnsi="宋体" w:eastAsia="宋体" w:cs="宋体"/>
          <w:color w:val="auto"/>
          <w:sz w:val="24"/>
          <w:szCs w:val="24"/>
          <w:highlight w:val="none"/>
          <w:u w:val="none"/>
        </w:rPr>
        <w:t xml:space="preserve">综合评分法</w:t>
      </w:r>
      <w:r>
        <w:rPr>
          <w:rStyle w:val="804"/>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，即投标（响应）报价&lt;全部通过符合性审查供应商投标（响应）报价平均值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，即投标（响应）报价&lt;通过符合性审查的次低报价供应商投标（响应）报价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highlight w:val="none"/>
        </w:rPr>
        <w:t xml:space="preserve">45%的，</w:t>
      </w:r>
      <w:r>
        <w:rPr>
          <w:rFonts w:hint="eastAsia" w:ascii="宋体" w:hAnsi="宋体" w:eastAsia="宋体" w:cs="宋体"/>
          <w:color w:val="auto"/>
          <w:sz w:val="24"/>
          <w:szCs w:val="24"/>
          <w:highlight w:val="none"/>
        </w:rPr>
        <w:t xml:space="preserve">即投标（响应）报价&lt;采购项目最高限价</w:t>
      </w:r>
      <w:r>
        <w:rPr>
          <w:rFonts w:hint="eastAsia" w:ascii="宋体" w:hAnsi="宋体" w:eastAsia="宋体" w:cs="宋体"/>
          <w:b/>
          <w:bCs/>
          <w:color w:val="auto"/>
          <w:sz w:val="24"/>
          <w:szCs w:val="24"/>
          <w:highlight w:val="none"/>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第三章 投标资料表</w:t>
      </w:r>
      <w:r/>
    </w:p>
    <w:p>
      <w:pPr>
        <w:ind w:firstLine="60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2"/>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采购人确定的采购项目属性：</w:t>
            </w:r>
            <w:r>
              <w:rPr>
                <w:rFonts w:hint="eastAsia" w:asciiTheme="minorEastAsia" w:hAnsiTheme="minorEastAsia" w:eastAsiaTheme="minorEastAsia" w:cstheme="minorEastAsia"/>
                <w:b w:val="0"/>
                <w:bCs w:val="0"/>
                <w:color w:val="auto"/>
                <w:sz w:val="24"/>
                <w:szCs w:val="24"/>
                <w:highlight w:val="none"/>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投标人的资格条件：</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szCs w:val="24"/>
                <w:highlight w:val="none"/>
              </w:rPr>
              <w:t xml:space="preserve">此项目</w:t>
            </w:r>
            <w:r>
              <w:rPr>
                <w:rFonts w:hint="eastAsia" w:asciiTheme="minorEastAsia" w:hAnsiTheme="minorEastAsia" w:cstheme="minorEastAsia"/>
                <w:b/>
                <w:color w:val="auto"/>
                <w:sz w:val="24"/>
                <w:szCs w:val="24"/>
                <w:highlight w:val="none"/>
                <w:lang w:val="en-US" w:eastAsia="zh-CN"/>
              </w:rPr>
              <w:t xml:space="preserve">不</w:t>
            </w:r>
            <w:r>
              <w:rPr>
                <w:rFonts w:hint="eastAsia" w:asciiTheme="minorEastAsia" w:hAnsiTheme="minorEastAsia" w:eastAsiaTheme="minorEastAsia" w:cstheme="minorEastAsia"/>
                <w:b/>
                <w:color w:val="auto"/>
                <w:sz w:val="24"/>
                <w:szCs w:val="24"/>
                <w:highlight w:val="none"/>
              </w:rPr>
              <w:t xml:space="preserve">属于专门面向中小微企业采购的项目。</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同时明确相关事项如下</w:t>
            </w:r>
            <w:r>
              <w:rPr>
                <w:rFonts w:hint="eastAsia" w:asciiTheme="minorEastAsia" w:hAnsiTheme="minorEastAsia" w:eastAsiaTheme="minorEastAsia" w:cstheme="minorEastAsia"/>
                <w:b/>
                <w:bCs/>
                <w:color w:val="auto"/>
                <w:sz w:val="24"/>
                <w:szCs w:val="24"/>
                <w:highlight w:val="none"/>
              </w:rPr>
              <w:t xml:space="preserve">：</w:t>
            </w:r>
            <w:r/>
          </w:p>
          <w:p>
            <w:pPr>
              <w:ind w:firstLine="24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1、本项目不接受联合体参与采购活动。</w:t>
            </w:r>
            <w:r/>
          </w:p>
          <w:p>
            <w:pPr>
              <w:ind w:firstLine="24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2、单位负责人为同一人或者存在直接控股、管理关系的不同供应商，不得参加同一合同项下的政府采购活动。</w:t>
            </w:r>
            <w:r/>
          </w:p>
          <w:p>
            <w:pPr>
              <w:ind w:firstLine="24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、查询及使用供应商信用记录：</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由采购人查询信用信息。</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查询渠道包括：</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w:t>
            </w:r>
            <w:r>
              <w:rPr>
                <w:rFonts w:hint="eastAsia" w:ascii="宋体" w:hAnsi="宋体" w:eastAsia="宋体" w:cs="宋体"/>
                <w:color w:val="auto"/>
                <w:sz w:val="24"/>
                <w:szCs w:val="24"/>
                <w:highlight w:val="none"/>
              </w:rPr>
              <w:t xml:space="preserve">、“信用中国”网（www.creditchina.gov.cn）；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4、“信用中国（江苏徐州）”（http://www.xuzhoucredit.gov.cn）；</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截止时点（查询环节）：开标后资格审查结束前。</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34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75" w:type="pct"/>
            <w:vAlign w:val="top"/>
            <w:textDirection w:val="lrTb"/>
            <w:noWrap w:val="false"/>
          </w:tcPr>
          <w:p>
            <w:pPr>
              <w:ind w:firstLine="480"/>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(九)3</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jc w:val="center"/>
          <w:trHeight w:val="911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ind w:firstLine="480"/>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ind w:firstLine="480"/>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ind w:firstLine="480"/>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w:t>
            </w:r>
            <w:r>
              <w:rPr>
                <w:rFonts w:hint="eastAsia" w:eastAsia="宋体" w:asciiTheme="minorEastAsia" w:hAnsiTheme="minorEastAsia" w:cstheme="minorEastAsia"/>
                <w:color w:val="auto"/>
                <w:sz w:val="24"/>
                <w:szCs w:val="24"/>
                <w:highlight w:val="none"/>
                <w:lang w:val="en-US" w:eastAsia="zh-CN"/>
              </w:rPr>
              <w:t xml:space="preserve">之</w:t>
            </w:r>
            <w:r>
              <w:rPr>
                <w:rFonts w:hint="eastAsia" w:asciiTheme="minorEastAsia" w:hAnsiTheme="minorEastAsia" w:eastAsiaTheme="minorEastAsia" w:cstheme="minorEastAsia"/>
                <w:color w:val="auto"/>
                <w:sz w:val="24"/>
                <w:szCs w:val="24"/>
                <w:highlight w:val="none"/>
              </w:rPr>
              <w:t xml:space="preserve">内（即“开标时间”当天在有效期之内）的环境标志产品认证证书原件的扫描件。</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（2）环境标志产品认证证书是否符合要求，采购人评标时查询中国政府采购网</w:t>
            </w:r>
            <w:r>
              <w:rPr>
                <w:rFonts w:hint="eastAsia" w:ascii="宋体" w:hAnsi="宋体" w:eastAsia="宋体" w:cs="宋体"/>
                <w:color w:val="auto"/>
                <w:sz w:val="24"/>
                <w:szCs w:val="24"/>
                <w:highlight w:val="none"/>
              </w:rPr>
              <w:t xml:space="preserve">（www.ccgp.gov.cn）</w:t>
            </w:r>
            <w:r>
              <w:rPr>
                <w:rFonts w:hint="eastAsia" w:asciiTheme="minorEastAsia" w:hAnsiTheme="minorEastAsia" w:eastAsiaTheme="minorEastAsia" w:cstheme="minorEastAsia"/>
                <w:color w:val="auto"/>
                <w:sz w:val="24"/>
                <w:szCs w:val="24"/>
                <w:highlight w:val="none"/>
              </w:rPr>
              <w:t xml:space="preserve">相关内容后确定。</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所投产品的节能产品认证证书原件的扫描件（如有）。</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（1）所投产品属于《节能产品政府采购品目清单》（由财政部 发展改革委印发）范围的，投标文件中提供（如有）所投产品的国家确定的认证机构出具的、处于有效期</w:t>
            </w:r>
            <w:r>
              <w:rPr>
                <w:rFonts w:hint="eastAsia" w:eastAsia="宋体" w:asciiTheme="minorEastAsia" w:hAnsiTheme="minorEastAsia" w:cstheme="minorEastAsia"/>
                <w:color w:val="auto"/>
                <w:sz w:val="24"/>
                <w:szCs w:val="24"/>
                <w:highlight w:val="none"/>
                <w:lang w:val="en-US" w:eastAsia="zh-CN"/>
              </w:rPr>
              <w:t xml:space="preserve">之</w:t>
            </w:r>
            <w:r>
              <w:rPr>
                <w:rFonts w:hint="eastAsia" w:asciiTheme="minorEastAsia" w:hAnsiTheme="minorEastAsia" w:eastAsiaTheme="minorEastAsia" w:cstheme="minorEastAsia"/>
                <w:color w:val="auto"/>
                <w:sz w:val="24"/>
                <w:szCs w:val="24"/>
                <w:highlight w:val="none"/>
              </w:rPr>
              <w:t xml:space="preserve">内（即“开标时间”当天在有效期之内）的节能产品认证证书原件的扫描件。</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（2）节能产品认证证书是否符合要求，采购人评标时查询中国政府采购网</w:t>
            </w:r>
            <w:r>
              <w:rPr>
                <w:rFonts w:hint="eastAsia" w:ascii="宋体" w:hAnsi="宋体" w:eastAsia="宋体" w:cs="宋体"/>
                <w:color w:val="auto"/>
                <w:sz w:val="24"/>
                <w:szCs w:val="24"/>
                <w:highlight w:val="none"/>
              </w:rPr>
              <w:t xml:space="preserve">（www.ccgp.gov.cn）</w:t>
            </w:r>
            <w:r>
              <w:rPr>
                <w:rFonts w:hint="eastAsia" w:asciiTheme="minorEastAsia" w:hAnsiTheme="minorEastAsia" w:eastAsiaTheme="minorEastAsia" w:cstheme="minorEastAsia"/>
                <w:color w:val="auto"/>
                <w:sz w:val="24"/>
                <w:szCs w:val="24"/>
                <w:highlight w:val="none"/>
              </w:rPr>
              <w:t xml:space="preserve">相关内容后确定。</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rPr>
                <w:rFonts w:hint="eastAsia" w:ascii="宋体" w:hAnsi="宋体" w:eastAsia="宋体" w:cs="宋体"/>
                <w:b/>
                <w:color w:val="auto"/>
                <w:sz w:val="24"/>
                <w:szCs w:val="24"/>
                <w:highlight w:val="none"/>
                <w:lang w:val="en-US" w:eastAsia="zh-CN"/>
              </w:rPr>
              <w:t xml:space="preserve">。采购包1、采购包2、采购包3、采购包4均须满足</w:t>
            </w:r>
            <w:r>
              <w:rPr>
                <w:rFonts w:hint="eastAsia" w:ascii="宋体" w:hAnsi="宋体" w:eastAsia="宋体" w:cs="宋体"/>
                <w:b/>
                <w:color w:val="auto"/>
                <w:sz w:val="24"/>
                <w:szCs w:val="24"/>
                <w:highlight w:val="none"/>
              </w:rPr>
              <w:t xml:space="preserve">）</w:t>
            </w:r>
            <w:r/>
          </w:p>
          <w:p>
            <w:pPr>
              <w:ind w:firstLine="480"/>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28" w:firstLine="480"/>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财务状况报告（即提供投标人的本项目开标时间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提供投标人</w:t>
            </w:r>
            <w:r>
              <w:rPr>
                <w:rFonts w:hint="eastAsia" w:ascii="宋体" w:hAnsi="宋体" w:eastAsia="宋体" w:cs="宋体"/>
                <w:b/>
                <w:bCs/>
                <w:color w:val="auto"/>
                <w:sz w:val="24"/>
                <w:szCs w:val="24"/>
                <w:highlight w:val="none"/>
                <w:lang w:val="en-US" w:eastAsia="zh-CN"/>
              </w:rPr>
              <w:t xml:space="preserve">2025年度</w:t>
            </w:r>
            <w:r>
              <w:rPr>
                <w:rFonts w:hint="eastAsia" w:ascii="宋体" w:hAnsi="宋体" w:eastAsia="宋体" w:cs="宋体"/>
                <w:b/>
                <w:bCs/>
                <w:color w:val="auto"/>
                <w:sz w:val="24"/>
                <w:szCs w:val="24"/>
                <w:highlight w:val="none"/>
              </w:rPr>
              <w:t xml:space="preserve">经审计</w:t>
            </w:r>
            <w:r>
              <w:rPr>
                <w:rFonts w:hint="eastAsia" w:ascii="宋体" w:hAnsi="宋体" w:eastAsia="宋体" w:cs="宋体"/>
                <w:color w:val="auto"/>
                <w:sz w:val="24"/>
                <w:szCs w:val="24"/>
                <w:highlight w:val="none"/>
              </w:rPr>
              <w:t xml:space="preserve">的财务报告扫描件一份；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财政部门认可的政府采购专业担保机构出具的有效的投标担保函扫描件一份；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投标人的本项目开标时间（不含开标当月）前6个月内银行出具的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color w:val="auto"/>
                <w:sz w:val="24"/>
                <w:szCs w:val="24"/>
                <w:highlight w:val="none"/>
              </w:rPr>
              <w:t xml:space="preserve">一份）；</w:t>
            </w:r>
            <w:r/>
          </w:p>
          <w:p>
            <w:pPr>
              <w:ind w:right="28" w:firstLine="480"/>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投标人的本项目开标时间（不含开标当月）前6个月内任何1个月的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提供相应文件扫描件证明其依法免税或不需要缴纳社会保障资金)；</w:t>
            </w:r>
            <w:r/>
          </w:p>
          <w:p>
            <w:pPr>
              <w:ind w:right="28" w:firstLine="480"/>
              <w:spacing w:line="24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具备履行合同所必需的设备和专业技术能力的证明材料。</w:t>
            </w:r>
            <w:r>
              <w:rPr>
                <w:rFonts w:hint="eastAsia" w:ascii="宋体" w:hAnsi="宋体" w:eastAsia="宋体" w:cs="宋体"/>
                <w:b/>
                <w:bCs/>
                <w:color w:val="auto"/>
                <w:sz w:val="24"/>
                <w:szCs w:val="24"/>
                <w:highlight w:val="none"/>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所附证明材料扫描件可不加盖电子签章）</w:t>
            </w:r>
            <w:r>
              <w:rPr>
                <w:rFonts w:hint="eastAsia" w:ascii="宋体" w:hAnsi="宋体" w:cs="宋体"/>
                <w:b/>
                <w:bCs/>
                <w:color w:val="auto"/>
                <w:sz w:val="24"/>
                <w:szCs w:val="24"/>
                <w:highlight w:val="none"/>
                <w:lang w:val="en-US" w:eastAsia="zh-CN"/>
              </w:rPr>
              <w:t xml:space="preserve">；</w:t>
            </w:r>
            <w:r/>
          </w:p>
          <w:p>
            <w:pPr>
              <w:ind w:right="28"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（五）投标人参加政府采购活动前3年内在经营活动中没有重大违法记录的书面声明，加盖</w:t>
            </w:r>
            <w:r>
              <w:rPr>
                <w:rFonts w:hint="eastAsia" w:ascii="宋体" w:hAnsi="宋体" w:eastAsia="宋体" w:cs="宋体"/>
                <w:b/>
                <w:color w:val="auto"/>
                <w:sz w:val="24"/>
                <w:szCs w:val="24"/>
                <w:highlight w:val="none"/>
              </w:rPr>
              <w:t xml:space="preserve">电子签章</w:t>
            </w:r>
            <w:r>
              <w:rPr>
                <w:rFonts w:hint="eastAsia" w:ascii="宋体" w:hAnsi="宋体" w:eastAsia="宋体" w:cs="宋体"/>
                <w:color w:val="auto"/>
                <w:sz w:val="24"/>
                <w:szCs w:val="24"/>
                <w:highlight w:val="none"/>
              </w:rPr>
              <w:t xml:space="preserve">，格式见本文件第七章《投标文件相关格式》。</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rPr>
                <w:rFonts w:hint="eastAsia" w:ascii="宋体" w:hAnsi="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采购包1、采购包2、采购包3、采购包4均须满足</w:t>
            </w:r>
            <w:r>
              <w:rPr>
                <w:rFonts w:hint="eastAsia" w:ascii="宋体" w:hAnsi="宋体" w:eastAsia="宋体" w:cs="宋体"/>
                <w:b/>
                <w:bCs/>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报价</w:t>
            </w:r>
            <w:r/>
          </w:p>
          <w:p>
            <w:pPr>
              <w:ind w:firstLine="482"/>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报价符合性审查</w:t>
            </w:r>
            <w:r>
              <w:rPr>
                <w:rFonts w:hint="eastAsia" w:ascii="宋体" w:hAnsi="宋体" w:cs="宋体"/>
                <w:b/>
                <w:bCs/>
                <w:color w:val="auto"/>
                <w:sz w:val="24"/>
                <w:highlight w:val="none"/>
                <w:lang w:eastAsia="zh-CN"/>
              </w:rPr>
              <w:t xml:space="preserve">》。</w:t>
            </w:r>
            <w:r>
              <w:rPr>
                <w:rFonts w:hint="eastAsia" w:ascii="宋体" w:hAnsi="宋体" w:cs="宋体"/>
                <w:b w:val="0"/>
                <w:bCs w:val="0"/>
                <w:color w:val="auto"/>
                <w:sz w:val="24"/>
                <w:highlight w:val="none"/>
                <w:lang w:eastAsia="zh-CN"/>
              </w:rPr>
              <w:t xml:space="preserve">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《开标一览表》。</w:t>
            </w:r>
            <w:r>
              <w:rPr>
                <w:rFonts w:hint="eastAsia" w:ascii="宋体" w:hAnsi="宋体" w:cs="宋体"/>
                <w:color w:val="auto"/>
                <w:sz w:val="24"/>
                <w:highlight w:val="none"/>
              </w:rPr>
              <w:t xml:space="preserve">政府采购客户端工具输入报价自动生成。</w:t>
            </w:r>
            <w:r/>
          </w:p>
          <w:p>
            <w:pPr>
              <w:ind w:firstLine="482"/>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、《分项价格表》。</w:t>
            </w:r>
            <w:r>
              <w:rPr>
                <w:rFonts w:hint="eastAsia" w:ascii="宋体" w:hAnsi="宋体" w:cs="宋体"/>
                <w:bCs/>
                <w:color w:val="auto"/>
                <w:sz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2"/>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无效情形（无内容及格式要求，投标人可自行拟定）。</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firstLine="482"/>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采购包2、采购包4除外</w:t>
            </w:r>
            <w:r>
              <w:rPr>
                <w:rFonts w:hint="eastAsia" w:ascii="宋体" w:hAnsi="宋体" w:eastAsia="宋体" w:cs="宋体"/>
                <w:color w:val="auto"/>
                <w:sz w:val="24"/>
                <w:szCs w:val="24"/>
                <w:highlight w:val="none"/>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ind w:firstLine="482"/>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本项目不属于专门面向中小微企业采购的项目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ind w:firstLine="480"/>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firstLine="48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含检测报告等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)3</w:t>
            </w:r>
            <w:r/>
          </w:p>
        </w:tc>
        <w:tc>
          <w:tcPr>
            <w:tcMar>
              <w:left w:w="108" w:type="dxa"/>
              <w:top w:w="0" w:type="dxa"/>
              <w:right w:w="108" w:type="dxa"/>
              <w:bottom w:w="0" w:type="dxa"/>
            </w:tcMar>
            <w:tcW w:w="4275" w:type="pct"/>
            <w:vAlign w:val="center"/>
            <w:textDirection w:val="lrTb"/>
            <w:noWrap w:val="false"/>
          </w:tcPr>
          <w:p>
            <w:pPr>
              <w:jc w:val="both"/>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交货和提供服务的时间：</w:t>
            </w:r>
            <w:r>
              <w:rPr>
                <w:rFonts w:hint="eastAsia" w:asciiTheme="minorEastAsia" w:hAnsiTheme="minorEastAsia" w:eastAsiaTheme="minorEastAsia" w:cstheme="minorEastAsia"/>
                <w:color w:val="auto"/>
                <w:sz w:val="24"/>
                <w:szCs w:val="24"/>
                <w:highlight w:val="none"/>
              </w:rPr>
              <w:t xml:space="preserve">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w:t>
            </w:r>
            <w:r>
              <w:rPr>
                <w:rFonts w:hint="eastAsia" w:ascii="宋体" w:hAnsi="宋体" w:cs="宋体"/>
                <w:b/>
                <w:bCs/>
                <w:color w:val="auto"/>
                <w:sz w:val="24"/>
                <w:szCs w:val="24"/>
                <w:highlight w:val="none"/>
                <w:lang w:val="en-US" w:eastAsia="zh-CN"/>
              </w:rPr>
              <w:t xml:space="preserve">279.65</w:t>
            </w:r>
            <w:r>
              <w:rPr>
                <w:rFonts w:hint="eastAsia" w:ascii="宋体" w:hAnsi="宋体" w:eastAsia="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w:t>
            </w:r>
            <w:r>
              <w:rPr>
                <w:rFonts w:hint="eastAsia" w:ascii="宋体" w:hAnsi="宋体" w:cs="宋体"/>
                <w:b/>
                <w:bCs/>
                <w:color w:val="auto"/>
                <w:sz w:val="24"/>
                <w:szCs w:val="24"/>
                <w:highlight w:val="none"/>
                <w:lang w:val="en-US" w:eastAsia="zh-CN"/>
              </w:rPr>
              <w:t xml:space="preserve">195.85</w:t>
            </w:r>
            <w:r>
              <w:rPr>
                <w:rFonts w:hint="eastAsia" w:ascii="宋体" w:hAnsi="宋体" w:eastAsia="宋体" w:cs="宋体"/>
                <w:b/>
                <w:bCs/>
                <w:color w:val="auto"/>
                <w:sz w:val="24"/>
                <w:szCs w:val="24"/>
                <w:highlight w:val="none"/>
              </w:rPr>
              <w:t xml:space="preserve">万元（最高限价）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cs="宋体"/>
                <w:b/>
                <w:bCs/>
                <w:color w:val="auto"/>
                <w:sz w:val="24"/>
                <w:szCs w:val="24"/>
                <w:highlight w:val="none"/>
                <w:lang w:val="en-US" w:eastAsia="zh-CN"/>
              </w:rPr>
              <w:t xml:space="preserve">109.50</w:t>
            </w:r>
            <w:r>
              <w:rPr>
                <w:rFonts w:hint="eastAsia" w:ascii="宋体" w:hAnsi="宋体" w:eastAsia="宋体" w:cs="宋体"/>
                <w:b/>
                <w:bCs/>
                <w:color w:val="auto"/>
                <w:sz w:val="24"/>
                <w:szCs w:val="24"/>
                <w:highlight w:val="none"/>
              </w:rPr>
              <w:t xml:space="preserve">万元（最高限价）的投标报价。</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53"/>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highlight w:val="none"/>
              </w:rPr>
              <w:fldChar w:fldCharType="separate"/>
            </w:r>
            <w:r>
              <w:rPr>
                <w:rStyle w:val="804"/>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4"/>
                <w:rFonts w:hint="eastAsia" w:ascii="宋体" w:hAnsi="宋体" w:eastAsia="宋体" w:cs="宋体"/>
                <w:color w:val="auto"/>
                <w:sz w:val="24"/>
                <w:szCs w:val="24"/>
                <w:highlight w:val="none"/>
              </w:rPr>
              <w:fldChar w:fldCharType="end"/>
            </w:r>
            <w:r/>
          </w:p>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rPr>
                <w:rFonts w:hint="eastAsia" w:asciiTheme="minorEastAsia" w:hAnsiTheme="minorEastAsia" w:eastAsiaTheme="minorEastAsia" w:cstheme="minorEastAsia"/>
                <w:color w:val="auto"/>
                <w:sz w:val="24"/>
                <w:szCs w:val="24"/>
                <w:highlight w:val="none"/>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投标文件的提交与接收：</w:t>
            </w:r>
            <w:r>
              <w:rPr>
                <w:rFonts w:hint="eastAsia" w:ascii="宋体" w:hAnsi="宋体" w:eastAsia="宋体" w:cs="宋体"/>
                <w:color w:val="auto"/>
                <w:sz w:val="24"/>
                <w:szCs w:val="24"/>
                <w:highlight w:val="none"/>
              </w:rPr>
              <w:t xml:space="preserve"> </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8</w:t>
            </w:r>
            <w:r>
              <w:rPr>
                <w:rFonts w:hint="eastAsia" w:ascii="宋体" w:hAnsi="宋体" w:cs="宋体"/>
                <w:b/>
                <w:bCs/>
                <w:color w:val="auto"/>
                <w:sz w:val="24"/>
                <w:szCs w:val="24"/>
                <w:highlight w:val="none"/>
                <w:u w:val="single"/>
                <w:lang w:eastAsia="zh-CN"/>
              </w:rPr>
              <w:t xml:space="preserve">月</w:t>
            </w:r>
            <w:r>
              <w:rPr>
                <w:rFonts w:hint="eastAsia" w:ascii="宋体" w:hAnsi="宋体" w:cs="宋体"/>
                <w:b/>
                <w:bCs/>
                <w:color w:val="auto"/>
                <w:sz w:val="24"/>
                <w:szCs w:val="24"/>
                <w:highlight w:val="none"/>
                <w:u w:val="single"/>
                <w:lang w:val="en-US" w:eastAsia="zh-CN"/>
              </w:rPr>
              <w:t xml:space="preserve">25</w:t>
            </w:r>
            <w:r>
              <w:rPr>
                <w:rFonts w:hint="eastAsia" w:ascii="宋体" w:hAnsi="宋体" w:cs="宋体"/>
                <w:b/>
                <w:bCs/>
                <w:color w:val="auto"/>
                <w:sz w:val="24"/>
                <w:szCs w:val="24"/>
                <w:highlight w:val="none"/>
                <w:u w:val="single"/>
                <w:lang w:eastAsia="zh-CN"/>
              </w:rPr>
              <w:t xml:space="preserve">日</w:t>
            </w:r>
            <w:r>
              <w:rPr>
                <w:rFonts w:hint="eastAsia" w:ascii="宋体" w:hAnsi="宋体" w:eastAsia="宋体" w:cs="宋体"/>
                <w:b/>
                <w:bCs/>
                <w:color w:val="auto"/>
                <w:sz w:val="24"/>
                <w:szCs w:val="24"/>
                <w:highlight w:val="none"/>
              </w:rPr>
              <w:t xml:space="preserve">9：</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0前。</w:t>
            </w:r>
            <w:r/>
          </w:p>
          <w:p>
            <w:pPr>
              <w:ind w:firstLine="482"/>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2、投标文件提交与接收地点：</w:t>
            </w: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因投标人原因造成投标文件未解密的，视为撤销其投标文件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pStyle w:val="800"/>
              <w:ind w:firstLine="480"/>
              <w:spacing w:before="0" w:beforeAutospacing="0" w:after="0" w:afterAutospacing="0"/>
              <w:shd w:val="clear" w:color="auto" w:fill="ffffff"/>
              <w:rPr>
                <w:rFonts w:hint="eastAsia" w:ascii="宋体" w:hAnsi="宋体" w:eastAsia="宋体" w:cs="宋体"/>
                <w:color w:val="auto"/>
                <w:sz w:val="24"/>
                <w:szCs w:val="24"/>
                <w:highlight w:val="none"/>
                <w:lang w:val="en-US" w:eastAsia="zh-CN" w:bidi="ar-SA"/>
              </w:rPr>
            </w:pPr>
            <w:r>
              <w:rPr>
                <w:rFonts w:hint="eastAsia"/>
                <w:color w:val="auto"/>
                <w:highlight w:val="none"/>
              </w:rPr>
              <w:t xml:space="preserve">投标文件解密失败的补救方案</w:t>
            </w:r>
            <w:r>
              <w:rPr>
                <w:rFonts w:hint="eastAsia"/>
                <w:color w:val="auto"/>
                <w:highlight w:val="none"/>
                <w:lang w:eastAsia="zh-CN"/>
              </w:rPr>
              <w:t xml:space="preserve">：</w:t>
            </w:r>
            <w:r>
              <w:rPr>
                <w:rFonts w:hint="eastAsia"/>
                <w:color w:val="auto"/>
                <w:highlight w:val="none"/>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firstLine="482"/>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8</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25</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0（标准时间）</w:t>
            </w:r>
            <w:r>
              <w:rPr>
                <w:rFonts w:hint="eastAsia" w:ascii="宋体" w:hAnsi="宋体" w:eastAsia="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eastAsia="宋体" w:cs="宋体"/>
                <w:color w:val="auto"/>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ind w:firstLine="48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二、中标候选人并列的，招标文件规定的确定中标人方式：</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（一）确定人：采购人。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（二）确定中标人方式：</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按照以下顺序确定中标人：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3、都符合第2种情况的，投标文件中提供所投产品的节能产品认证证书、所投产品的环境标志产品认证证书和所投产品的绿色产品认证证书的，被确定为中标人。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4、都符合第3种情况的，投标文件中提供所投产品的节能产品认证证书、所投产品的环境标志产品认证证书和所投产品的绿色产品认证证书，份数最多的，被确定为中标人。</w:t>
            </w:r>
            <w:r/>
          </w:p>
          <w:p>
            <w:pPr>
              <w:ind w:firstLine="480"/>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5、按照第4种情况，投标文件中提供所投产品的节能产品认证证书、所投产品的环境标志产品认证证书和所投产品的绿色产品认证证书份数也相同，所投产品使用低VOCs含量的，被确定为中标人。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6、第5种情况仍无法确定的，由采购人确定。</w:t>
            </w:r>
            <w:r/>
          </w:p>
          <w:p>
            <w:pPr>
              <w:ind w:firstLine="48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说明：所投产品的环境标志产品认证证书、所投产品的节能产品认证证书要求：见招标文件第三章《投标资料表》。</w:t>
            </w:r>
            <w:r/>
          </w:p>
          <w:p>
            <w:pPr>
              <w:ind w:firstLine="48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二十九</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三十</w:t>
            </w:r>
            <w:r>
              <w:rPr>
                <w:rFonts w:hint="eastAsia" w:asciiTheme="minorEastAsia" w:hAnsiTheme="minorEastAsia" w:eastAsiaTheme="minorEastAsia" w:cstheme="minorEastAsia"/>
                <w:b w:val="0"/>
                <w:bCs w:val="0"/>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highlight w:val="none"/>
              </w:rPr>
            </w:pPr>
            <w:r/>
            <w:bookmarkStart w:id="0" w:name="OLE_LINK7"/>
            <w:r/>
            <w:bookmarkStart w:id="1" w:name="OLE_LINK4"/>
            <w:r>
              <w:rPr>
                <w:rFonts w:hint="eastAsia" w:ascii="宋体" w:hAnsi="宋体" w:eastAsia="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highlight w:val="none"/>
              </w:rPr>
              <w:t xml:space="preserve">项目具体成本测算等与报价合理性相关的书面说明及相关证明材料</w:t>
            </w:r>
            <w:r>
              <w:rPr>
                <w:rFonts w:hint="eastAsia" w:ascii="宋体" w:hAnsi="宋体" w:eastAsia="宋体" w:cs="宋体"/>
                <w:color w:val="auto"/>
                <w:sz w:val="24"/>
                <w:highlight w:val="none"/>
              </w:rPr>
              <w:t xml:space="preserve">，对投标（响应）价格作出解释，由评审委员会</w:t>
            </w:r>
            <w:r>
              <w:rPr>
                <w:rFonts w:hint="eastAsia" w:ascii="宋体" w:hAnsi="宋体" w:eastAsia="宋体" w:cs="宋体"/>
                <w:b/>
                <w:color w:val="auto"/>
                <w:sz w:val="24"/>
                <w:highlight w:val="none"/>
              </w:rPr>
              <w:t xml:space="preserve">结合同类产品在主要电商平台的价格、该行业当地薪资水平等情况</w:t>
            </w:r>
            <w:r>
              <w:rPr>
                <w:rFonts w:hint="eastAsia" w:ascii="宋体" w:hAnsi="宋体" w:eastAsia="宋体" w:cs="宋体"/>
                <w:color w:val="auto"/>
                <w:sz w:val="24"/>
                <w:highlight w:val="none"/>
              </w:rPr>
              <w:t xml:space="preserve">，依据专业经验对供应商报价合理性进行判断。投标（响应）供应商</w:t>
            </w:r>
            <w:r>
              <w:rPr>
                <w:rFonts w:hint="eastAsia" w:ascii="宋体" w:hAnsi="宋体" w:eastAsia="宋体" w:cs="宋体"/>
                <w:b/>
                <w:color w:val="auto"/>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w:t>
            </w:r>
            <w:r>
              <w:rPr>
                <w:rFonts w:hint="eastAsia" w:asciiTheme="minorEastAsia" w:hAnsiTheme="minorEastAsia" w:eastAsia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采购人与中标人应当在中标通知书发出之日起30日内，按照采购文件确定的事项签订政府采购合同。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w:t>
            </w: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w:t>
            </w:r>
            <w:r>
              <w:rPr>
                <w:rFonts w:hint="eastAsia" w:asciiTheme="minorEastAsia" w:hAnsiTheme="minorEastAsia" w:cstheme="minorEastAsia"/>
                <w:b/>
                <w:bCs/>
                <w:color w:val="auto"/>
                <w:sz w:val="24"/>
                <w:szCs w:val="24"/>
                <w:highlight w:val="none"/>
                <w:lang w:val="en-US" w:eastAsia="zh-CN"/>
              </w:rPr>
              <w:t xml:space="preserve">各采购包中标金额的</w:t>
            </w:r>
            <w:r>
              <w:rPr>
                <w:rFonts w:hint="eastAsia" w:asciiTheme="minorEastAsia" w:hAnsiTheme="minorEastAsia" w:eastAsiaTheme="minorEastAsia" w:cstheme="minorEastAsia"/>
                <w:b/>
                <w:bCs/>
                <w:color w:val="auto"/>
                <w:sz w:val="24"/>
                <w:szCs w:val="24"/>
                <w:highlight w:val="none"/>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四十</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w:t>
            </w:r>
            <w:r>
              <w:rPr>
                <w:rFonts w:hint="eastAsia" w:ascii="宋体" w:hAnsi="宋体" w:eastAsia="宋体" w:cs="宋体"/>
                <w:color w:val="auto"/>
                <w:sz w:val="24"/>
                <w:szCs w:val="24"/>
                <w:highlight w:val="none"/>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孙逊</w:t>
            </w:r>
            <w:r>
              <w:rPr>
                <w:rFonts w:hint="eastAsia" w:ascii="宋体" w:hAnsi="宋体" w:eastAsia="宋体" w:cs="宋体"/>
                <w:color w:val="auto"/>
                <w:sz w:val="24"/>
                <w:szCs w:val="24"/>
                <w:highlight w:val="none"/>
              </w:rPr>
              <w:t xml:space="preserve">     联系电话：0516-8</w:t>
            </w:r>
            <w:r>
              <w:rPr>
                <w:rFonts w:hint="eastAsia" w:ascii="宋体" w:hAnsi="宋体" w:eastAsia="宋体" w:cs="宋体"/>
                <w:color w:val="auto"/>
                <w:sz w:val="24"/>
                <w:szCs w:val="24"/>
                <w:highlight w:val="none"/>
                <w:lang w:val="en-US" w:eastAsia="zh-CN"/>
              </w:rPr>
              <w:t xml:space="preserve">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5、中标人在收到中标通知书时，须向采购人和采购代理机构提交完整纸质版的投标文件（需盖投标人公章且胶装成册，1正4副本）。</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highlight w:val="none"/>
        </w:rPr>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本章附件：招标代理服务收费标准</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6、有分包（分标段）项目按</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账号：11110154740005866</w:t>
      </w:r>
      <w:r/>
    </w:p>
    <w:p>
      <w:pPr>
        <w:spacing w:line="400" w:lineRule="exact"/>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highlight w:val="none"/>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lang w:val="en-US" w:eastAsia="zh-CN"/>
        </w:rPr>
        <w:t xml:space="preserve">采购包1、采购包3</w:t>
      </w:r>
      <w:r/>
    </w:p>
    <w:tbl>
      <w:tblPr>
        <w:tblStyle w:val="778"/>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技术部分（41分）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任意1项实质性响应指标不满足或负偏离的均按无效投标处理，其他响应指标，</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分，最低得0分。</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val="en-US" w:eastAsia="zh-CN"/>
              </w:rPr>
              <w:t xml:space="preserve">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演示（12分）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共8项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的，每项内容得1.5分，演示内容不全或不满足要求或未提供演示的不得分，本项最高得12分，最低不得分。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商务部分（29分）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项目实施方案（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配送安装保障措施要求”的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质量管控方案（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对招标文件第六章《采购需求》中“</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、质量管控要求”中“（一）质量管控具体要求”（共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培训方案及</w:t>
            </w:r>
            <w:r>
              <w:rPr>
                <w:rFonts w:hint="eastAsia" w:ascii="宋体" w:hAnsi="宋体" w:eastAsia="宋体" w:cs="宋体"/>
                <w:color w:val="auto"/>
                <w:sz w:val="24"/>
                <w:szCs w:val="24"/>
                <w:highlight w:val="none"/>
              </w:rPr>
              <w:t xml:space="preserve">服务保障措施方案（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培训及服务保障措施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投标人业绩（</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投标文件中提供投标人为乙方，合同签订日期在202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w:t>
            </w:r>
            <w:r>
              <w:rPr>
                <w:rFonts w:hint="eastAsia" w:ascii="宋体" w:hAnsi="宋体" w:eastAsia="宋体" w:cs="宋体"/>
                <w:color w:val="auto"/>
                <w:sz w:val="24"/>
                <w:szCs w:val="24"/>
                <w:highlight w:val="none"/>
                <w:lang w:val="en-US" w:eastAsia="zh-CN"/>
              </w:rPr>
              <w:t xml:space="preserve">与本项目相同或类似的项目</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未提供的得0分。</w:t>
            </w:r>
            <w:r/>
          </w:p>
          <w:p>
            <w:pPr>
              <w:pStyle w:val="78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注：投标文件中提供合同原件扫描件</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bl>
    <w:p>
      <w:pPr>
        <w:rPr>
          <w:color w:val="auto"/>
          <w:highlight w:val="none"/>
        </w:rPr>
      </w:pP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本章说明：本项目采用综合评分法</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结果保留2位小数</w:t>
      </w:r>
      <w:r>
        <w:rPr>
          <w:rFonts w:hint="eastAsia"/>
          <w:color w:val="auto"/>
          <w:sz w:val="24"/>
          <w:szCs w:val="24"/>
          <w:highlight w:val="none"/>
        </w:rPr>
        <w:t xml:space="preserve">。</w:t>
      </w:r>
      <w:r/>
    </w:p>
    <w:p>
      <w:pPr>
        <w:spacing w:line="240" w:lineRule="auto"/>
        <w:rPr>
          <w:rFonts w:hint="eastAsia"/>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highlight w:val="none"/>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lang w:val="en-US" w:eastAsia="zh-CN"/>
        </w:rPr>
        <w:t xml:space="preserve">采购包2、采购包4</w:t>
      </w:r>
      <w:r/>
    </w:p>
    <w:tbl>
      <w:tblPr>
        <w:tblStyle w:val="778"/>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技术部分（39分）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任意1项实质性响应指标不满足或负偏离的均按无效投标处理，其他响应指标，</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分，最低得0分。</w:t>
            </w:r>
            <w:r/>
          </w:p>
          <w:p>
            <w:pPr>
              <w:pStyle w:val="965"/>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w:t>
            </w:r>
            <w:r>
              <w:rPr>
                <w:rFonts w:hint="eastAsia" w:ascii="宋体" w:hAnsi="宋体" w:cs="宋体"/>
                <w:color w:val="auto"/>
                <w:sz w:val="24"/>
                <w:szCs w:val="24"/>
                <w:highlight w:val="none"/>
                <w:lang w:val="en-US" w:eastAsia="zh-CN"/>
              </w:rPr>
              <w:t xml:space="preserve">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321"/>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演示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gridSpan w:val="2"/>
            <w:tcBorders>
              <w:top w:val="single" w:color="auto" w:sz="4" w:space="0"/>
            </w:tcBorders>
            <w:tcW w:w="6154" w:type="dxa"/>
            <w:vAlign w:val="center"/>
            <w:textDirection w:val="lrTb"/>
            <w:noWrap w:val="false"/>
          </w:tcPr>
          <w:p>
            <w:pPr>
              <w:ind w:left="0" w:right="0"/>
              <w:jc w:val="left"/>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共10项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的，每项内容得1.5分，演示内容不全或不满足要求或未提供演示的不得分，本项最高得15分，最低不得分。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商务部分（31分）</w:t>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项目实施方案（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配送安装保障措施</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配送安装保障措施要求”的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shd w:val="clear" w:color="auto" w:fill="auto"/>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质量管控方案（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对招标文件第六章《采购需求》中“</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、质量管控要求”中“（一）质量管控具体要求”（共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培训方案及</w:t>
            </w:r>
            <w:r>
              <w:rPr>
                <w:rFonts w:hint="eastAsia" w:ascii="宋体" w:hAnsi="宋体" w:eastAsia="宋体" w:cs="宋体"/>
                <w:color w:val="auto"/>
                <w:sz w:val="24"/>
                <w:szCs w:val="24"/>
                <w:highlight w:val="none"/>
              </w:rPr>
              <w:t xml:space="preserve">服务保障措施方案（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培训及服务保障措施</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5"/>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分，最低得0分。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投标人业绩（</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投标文件中提供投标人为乙方，合同签订日期在202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w:t>
            </w:r>
            <w:r>
              <w:rPr>
                <w:rFonts w:hint="eastAsia" w:ascii="宋体" w:hAnsi="宋体" w:eastAsia="宋体" w:cs="宋体"/>
                <w:color w:val="auto"/>
                <w:sz w:val="24"/>
                <w:szCs w:val="24"/>
                <w:highlight w:val="none"/>
                <w:lang w:val="en-US" w:eastAsia="zh-CN"/>
              </w:rPr>
              <w:t xml:space="preserve">与本项目相同或类似的项目</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未提供的得0分。</w:t>
            </w:r>
            <w:r/>
          </w:p>
          <w:p>
            <w:pPr>
              <w:pStyle w:val="783"/>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注：投标文件中提供合同原件扫描件</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是</w:t>
            </w:r>
            <w:r/>
          </w:p>
        </w:tc>
      </w:tr>
    </w:tbl>
    <w:p>
      <w:pPr>
        <w:rPr>
          <w:color w:val="auto"/>
          <w:highlight w:val="none"/>
        </w:rPr>
      </w:pPr>
      <w:r>
        <w:rPr>
          <w:color w:val="auto"/>
          <w:highlight w:val="none"/>
        </w:rPr>
      </w:r>
      <w:r/>
    </w:p>
    <w:p>
      <w:pPr>
        <w:spacing w:line="360" w:lineRule="auto"/>
        <w:rPr>
          <w:rFonts w:hint="eastAsia"/>
          <w:color w:val="auto"/>
          <w:sz w:val="24"/>
          <w:szCs w:val="24"/>
          <w:highlight w:val="none"/>
        </w:rPr>
      </w:pPr>
      <w:r>
        <w:rPr>
          <w:rFonts w:hint="eastAsia"/>
          <w:color w:val="auto"/>
          <w:sz w:val="24"/>
          <w:szCs w:val="24"/>
          <w:highlight w:val="none"/>
        </w:rPr>
        <w:t xml:space="preserve">本章说明：本项目采用综合评分法</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结果保留2位小数</w:t>
      </w:r>
      <w:r>
        <w:rPr>
          <w:rFonts w:hint="eastAsia"/>
          <w:color w:val="auto"/>
          <w:sz w:val="24"/>
          <w:szCs w:val="24"/>
          <w:highlight w:val="none"/>
        </w:rPr>
        <w:t xml:space="preserve">。</w:t>
      </w:r>
      <w:r/>
    </w:p>
    <w:p>
      <w:pPr>
        <w:numPr>
          <w:ilvl w:val="0"/>
          <w:numId w:val="0"/>
        </w:numPr>
        <w:keepLines w:val="0"/>
        <w:keepNext w:val="0"/>
        <w:pageBreakBefore w:val="0"/>
        <w:spacing w:line="360" w:lineRule="auto"/>
        <w:widowControl w:val="off"/>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highlight w:val="none"/>
          <w:lang w:val="en-US" w:eastAsia="zh-CN"/>
        </w:rPr>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第五章 拟签订的合同文本</w:t>
      </w:r>
      <w:r/>
    </w:p>
    <w:p>
      <w:pPr>
        <w:rPr>
          <w:rFonts w:hint="eastAsia" w:asciiTheme="minorEastAsia" w:hAnsiTheme="minorEastAsia" w:eastAsiaTheme="minorEastAsia" w:cstheme="minorEastAsia"/>
          <w:b/>
          <w:color w:val="auto"/>
          <w:sz w:val="52"/>
          <w:szCs w:val="36"/>
          <w:highlight w:val="none"/>
        </w:rPr>
      </w:pPr>
      <w:r>
        <w:rPr>
          <w:rFonts w:hint="eastAsia" w:asciiTheme="minorEastAsia" w:hAnsiTheme="minorEastAsia" w:eastAsiaTheme="minorEastAsia" w:cstheme="minorEastAsia"/>
          <w:b/>
          <w:color w:val="auto"/>
          <w:sz w:val="52"/>
          <w:szCs w:val="36"/>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项目编号：JSZC-320324-HWZX-G2026-0428</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rPr>
          <w:rFonts w:hint="eastAsia" w:asciiTheme="minorEastAsia" w:hAnsiTheme="minorEastAsia" w:eastAsiaTheme="minorEastAsia" w:cstheme="minorEastAsia"/>
          <w:b/>
          <w:color w:val="auto"/>
          <w:sz w:val="30"/>
          <w:szCs w:val="30"/>
          <w:highlight w:val="none"/>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江苏省睢宁高级中学</w:t>
      </w:r>
      <w:r/>
    </w:p>
    <w:p>
      <w:pPr>
        <w:jc w:val="left"/>
        <w:spacing w:line="360" w:lineRule="auto"/>
        <w:rPr>
          <w:rFonts w:hint="eastAsia" w:asciiTheme="minorEastAsia" w:hAnsiTheme="minorEastAsia" w:cstheme="minorEastAsia"/>
          <w:b/>
          <w:color w:val="auto"/>
          <w:sz w:val="30"/>
          <w:szCs w:val="30"/>
          <w:highlight w:val="none"/>
          <w:lang w:val="en-US" w:eastAsia="zh-CN"/>
        </w:rPr>
      </w:pPr>
      <w:r>
        <w:rPr>
          <w:rFonts w:hint="eastAsia" w:asciiTheme="minorEastAsia" w:hAnsiTheme="minorEastAsia" w:cstheme="minorEastAsia"/>
          <w:b/>
          <w:color w:val="auto"/>
          <w:sz w:val="30"/>
          <w:szCs w:val="30"/>
          <w:highlight w:val="none"/>
          <w:lang w:val="en-US" w:eastAsia="zh-CN"/>
        </w:rPr>
      </w:r>
      <w:r/>
    </w:p>
    <w:p>
      <w:pPr>
        <w:jc w:val="left"/>
        <w:spacing w:line="360" w:lineRule="auto"/>
        <w:rPr>
          <w:rFonts w:hint="default" w:eastAsia="宋体" w:asciiTheme="minorEastAsia" w:hAnsiTheme="minorEastAsia" w:cstheme="minorEastAsia"/>
          <w:b/>
          <w:color w:val="auto"/>
          <w:sz w:val="30"/>
          <w:szCs w:val="30"/>
          <w:highlight w:val="none"/>
          <w:lang w:val="en-US" w:eastAsia="zh-CN"/>
        </w:rPr>
      </w:pPr>
      <w:r>
        <w:rPr>
          <w:rFonts w:hint="eastAsia" w:asciiTheme="minorEastAsia" w:hAnsiTheme="minorEastAsia" w:cstheme="minorEastAsia"/>
          <w:b/>
          <w:color w:val="auto"/>
          <w:sz w:val="30"/>
          <w:szCs w:val="30"/>
          <w:highlight w:val="none"/>
          <w:lang w:val="en-US" w:eastAsia="zh-CN"/>
        </w:rPr>
        <w:t xml:space="preserve">采购包：</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785"/>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85"/>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785"/>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合同通用条款</w:t>
      </w:r>
      <w:r/>
    </w:p>
    <w:p>
      <w:pPr>
        <w:ind w:firstLine="480"/>
        <w:jc w:val="center"/>
        <w:spacing w:line="5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center"/>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目 录</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第六条    包装和标记</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第十七条  保密</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540"/>
        <w:spacing w:line="312" w:lineRule="auto"/>
        <w:rPr>
          <w:rStyle w:val="973"/>
          <w:rFonts w:ascii="宋体" w:hAnsi="宋体" w:cs="宋体"/>
          <w:color w:val="auto"/>
          <w:sz w:val="28"/>
          <w:szCs w:val="28"/>
          <w:highlight w:val="none"/>
        </w:rPr>
      </w:pPr>
      <w:r>
        <w:rPr>
          <w:rFonts w:ascii="宋体" w:hAnsi="宋体" w:cs="宋体"/>
          <w:color w:val="auto"/>
          <w:sz w:val="28"/>
          <w:szCs w:val="28"/>
          <w:highlight w:val="none"/>
        </w:rPr>
      </w:r>
      <w:r/>
    </w:p>
    <w:p>
      <w:pPr>
        <w:pStyle w:val="976"/>
        <w:ind w:firstLine="562"/>
        <w:rPr>
          <w:rStyle w:val="973"/>
          <w:rFonts w:ascii="宋体" w:hAnsi="宋体" w:cs="宋体"/>
          <w:b/>
          <w:color w:val="auto"/>
          <w:sz w:val="28"/>
          <w:szCs w:val="28"/>
          <w:highlight w:val="none"/>
        </w:rPr>
      </w:pPr>
      <w:r>
        <w:rPr>
          <w:rFonts w:ascii="宋体" w:hAnsi="宋体" w:cs="宋体"/>
          <w:b/>
          <w:color w:val="auto"/>
          <w:sz w:val="28"/>
          <w:szCs w:val="28"/>
          <w:highlight w:val="none"/>
        </w:rPr>
      </w:r>
      <w:r/>
    </w:p>
    <w:p>
      <w:pPr>
        <w:pStyle w:val="976"/>
        <w:ind w:firstLine="562"/>
        <w:rPr>
          <w:rStyle w:val="973"/>
          <w:rFonts w:ascii="宋体" w:hAnsi="宋体" w:cs="宋体"/>
          <w:b/>
          <w:color w:val="auto"/>
          <w:sz w:val="28"/>
          <w:szCs w:val="28"/>
          <w:highlight w:val="none"/>
        </w:rPr>
      </w:pPr>
      <w:r>
        <w:rPr>
          <w:rFonts w:ascii="宋体" w:hAnsi="宋体" w:cs="宋体"/>
          <w:b/>
          <w:color w:val="auto"/>
          <w:sz w:val="28"/>
          <w:szCs w:val="28"/>
          <w:highlight w:val="none"/>
        </w:rPr>
      </w:r>
      <w:r/>
    </w:p>
    <w:p>
      <w:pPr>
        <w:pStyle w:val="976"/>
        <w:ind w:left="0" w:firstLine="560"/>
        <w:rPr>
          <w:rStyle w:val="973"/>
          <w:rFonts w:ascii="宋体" w:hAnsi="宋体" w:cs="宋体"/>
          <w:bCs/>
          <w:color w:val="auto"/>
          <w:sz w:val="28"/>
          <w:szCs w:val="28"/>
          <w:highlight w:val="non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ind w:firstLine="480"/>
        <w:jc w:val="center"/>
        <w:spacing w:line="5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42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1.1“买方”见《合同专用条款》。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1.2“卖方”见《合同专用条款》。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1.3“工作现场”见《合同专用条款》。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1.4“合同标的”见合同附件4。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1.10“合同货币”见《合同专用条款》。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1.11“合同价格”见合同附件4。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1.13“日”是指日历天数。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1.14“月”是指日历月数。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1.15“采购需求” 见合同附件6。</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2.2数量：见招标文件第六章《采购需求》。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合同总价见《合同专用条款》。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合同总价是固定价格。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支付（采购资金的支付方式、时间、条件）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交货（货物、服务提供的时间、地点、方式）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5.2交货地点见《合同专用条款》。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第六条 包装与标记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装箱明细单；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质量合格证；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8.2 项目实施方案见合同附件7。</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9.3验收标准（验收要求、验收标准和程序）：见合同附件5。</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拒收合同标的。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第十七条  保密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pStyle w:val="976"/>
        <w:ind w:left="0" w:right="0" w:firstLine="420"/>
        <w:spacing w:line="360" w:lineRule="auto"/>
        <w:rPr>
          <w:rStyle w:val="973"/>
          <w:rFonts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“买方”为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“卖方”为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“工作现场”为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1.10 “合同货币”即</w:t>
      </w:r>
      <w:r>
        <w:rPr>
          <w:rFonts w:hint="eastAsia" w:ascii="宋体" w:hAnsi="宋体" w:cs="宋体"/>
          <w:color w:val="auto"/>
          <w:sz w:val="24"/>
          <w:highlight w:val="none"/>
          <w:u w:val="single"/>
        </w:rPr>
        <w:t xml:space="preserve">人民币</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2.1买方同意从卖方购买、卖方同意向买方出售的合同标的是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。详见合同附件。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3.2报价包括但不限于产品价、税金、运费、安装调试、检验、验收、售后服务、投标人的利润等全部费用</w:t>
      </w:r>
      <w:r>
        <w:rPr>
          <w:rFonts w:hint="eastAsia" w:ascii="宋体" w:hAnsi="宋体" w:cs="宋体"/>
          <w:bCs/>
          <w:color w:val="auto"/>
          <w:sz w:val="24"/>
          <w:highlight w:val="none"/>
        </w:rPr>
        <w:t xml:space="preserve">。采购人不再支付报价以外的任何费用</w:t>
      </w:r>
      <w:r>
        <w:rPr>
          <w:rFonts w:hint="eastAsia" w:ascii="宋体" w:hAnsi="宋体" w:cs="宋体"/>
          <w:color w:val="auto"/>
          <w:sz w:val="24"/>
          <w:highlight w:val="non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non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买方签署验收合格报告。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户名：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2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5.1卖方应于合同生效后，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日内交货并安装调试</w:t>
      </w:r>
      <w:r>
        <w:rPr>
          <w:rFonts w:hint="eastAsia" w:ascii="宋体" w:hAnsi="宋体" w:cs="宋体"/>
          <w:color w:val="auto"/>
          <w:sz w:val="24"/>
          <w:highlight w:val="none"/>
          <w:lang w:eastAsia="zh-CN"/>
        </w:rPr>
        <w:t xml:space="preserve">并安</w:t>
      </w:r>
      <w:r>
        <w:rPr>
          <w:rFonts w:hint="eastAsia" w:ascii="宋体" w:hAnsi="宋体" w:cs="宋体"/>
          <w:color w:val="auto"/>
          <w:sz w:val="24"/>
          <w:highlight w:val="none"/>
        </w:rPr>
        <w:t xml:space="preserve">装完毕。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5.2 交货地点为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5.3卖方应在不迟于每批合同标的备妥待运前</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日通知买方。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5.5如果卖方未能按照合同规定的交货期限交货，卖方应按每天迟交合同标的金额的千分之</w:t>
      </w:r>
      <w:r>
        <w:rPr>
          <w:rFonts w:hint="eastAsia" w:ascii="宋体" w:hAnsi="宋体" w:cs="宋体"/>
          <w:color w:val="auto"/>
          <w:sz w:val="24"/>
          <w:highlight w:val="none"/>
          <w:u w:val="single"/>
        </w:rPr>
        <w:t xml:space="preserve">一</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%)的比率支付违约金。违约金的总金额不超过合同总价的百分之</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 ，违约金的支付不能免除卖方继续交付相关合同标的的义务。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如果卖方在合同规定的交货期限后</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技术资料随合同标的同时交付给买方。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8.1卖方应于合同生效日后，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日内交货并调试</w:t>
      </w:r>
      <w:r>
        <w:rPr>
          <w:rFonts w:hint="eastAsia" w:ascii="宋体" w:hAnsi="宋体" w:cs="宋体"/>
          <w:color w:val="auto"/>
          <w:sz w:val="24"/>
          <w:highlight w:val="none"/>
          <w:lang w:eastAsia="zh-CN"/>
        </w:rPr>
        <w:t xml:space="preserve">并安</w:t>
      </w:r>
      <w:r>
        <w:rPr>
          <w:rFonts w:hint="eastAsia" w:ascii="宋体" w:hAnsi="宋体" w:cs="宋体"/>
          <w:color w:val="auto"/>
          <w:sz w:val="24"/>
          <w:highlight w:val="none"/>
        </w:rPr>
        <w:t xml:space="preserve">装完毕。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9.2由买方进行评估和验收；经买方验收不合格的，卖方在接到买方通知后三日内整改，并保证再次验收合格。</w:t>
      </w:r>
      <w:r>
        <w:rPr>
          <w:rFonts w:hint="eastAsia" w:ascii="宋体" w:hAnsi="宋体" w:cs="宋体"/>
          <w:b/>
          <w:bCs/>
          <w:color w:val="auto"/>
          <w:sz w:val="24"/>
          <w:highlight w:val="none"/>
        </w:rPr>
        <w:t xml:space="preserve">如已超过</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天交货期限，</w:t>
      </w:r>
      <w:r>
        <w:rPr>
          <w:rFonts w:hint="eastAsia" w:ascii="宋体" w:hAnsi="宋体" w:cs="宋体"/>
          <w:color w:val="auto"/>
          <w:sz w:val="24"/>
          <w:highlight w:val="none"/>
        </w:rPr>
        <w:t xml:space="preserve">卖方每天应按合同标的金额的百分之一 (1%)的比率支付违约金。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11.1买方有权选择本条款规定的任意或全部救济方式。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13.1如果卖方有下述违约行为，买方可以全部或部分地终止合同：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卖方在合同规定的交货期限后</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日内仍未能对其违约行为作出补救。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18.11 合同双方的通讯地址：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highlight w:val="none"/>
        </w:rPr>
      </w:r>
      <w:r/>
    </w:p>
    <w:p>
      <w:pPr>
        <w:jc w:val="center"/>
        <w:rPr>
          <w:rFonts w:ascii="宋体" w:hAnsi="宋体" w:cs="宋体"/>
          <w:color w:val="auto"/>
          <w:sz w:val="30"/>
          <w:szCs w:val="30"/>
          <w:highlight w:val="none"/>
        </w:rPr>
      </w:pPr>
      <w:r>
        <w:rPr>
          <w:rFonts w:hint="eastAsia" w:ascii="宋体" w:hAnsi="宋体" w:cs="宋体"/>
          <w:b/>
          <w:bCs/>
          <w:color w:val="auto"/>
          <w:sz w:val="30"/>
          <w:szCs w:val="30"/>
          <w:highlight w:val="none"/>
        </w:rPr>
        <w:t xml:space="preserve">合同附件</w:t>
      </w:r>
      <w:r/>
    </w:p>
    <w:p>
      <w:pPr>
        <w:jc w:val="left"/>
        <w:tabs>
          <w:tab w:val="left" w:pos="7506" w:leader="none"/>
        </w:tabs>
        <w:rPr>
          <w:rFonts w:ascii="宋体" w:hAnsi="宋体" w:cs="宋体"/>
          <w:color w:val="auto"/>
          <w:sz w:val="24"/>
          <w:highlight w:val="none"/>
        </w:rPr>
      </w:pPr>
      <w:r>
        <w:rPr>
          <w:rFonts w:hint="eastAsia" w:ascii="宋体" w:hAnsi="宋体" w:cs="宋体"/>
          <w:color w:val="auto"/>
          <w:sz w:val="24"/>
          <w:highlight w:val="none"/>
        </w:rPr>
        <w:tab/>
      </w:r>
      <w:r/>
    </w:p>
    <w:p>
      <w:pPr>
        <w:jc w:val="center"/>
        <w:rPr>
          <w:rFonts w:ascii="宋体" w:hAnsi="宋体" w:cs="宋体"/>
          <w:color w:val="auto"/>
          <w:sz w:val="24"/>
          <w:highlight w:val="none"/>
        </w:rPr>
      </w:pPr>
      <w:r>
        <w:rPr>
          <w:rFonts w:hint="eastAsia" w:ascii="宋体" w:hAnsi="宋体" w:cs="宋体"/>
          <w:color w:val="auto"/>
          <w:sz w:val="24"/>
          <w:highlight w:val="none"/>
        </w:rPr>
        <w:t xml:space="preserve">目 录</w:t>
      </w:r>
      <w:r/>
    </w:p>
    <w:p>
      <w:pPr>
        <w:jc w:val="cente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合同附件1：合同协议书</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合同附件2：技术规格和技术性能</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(要求见招标文件第六章《采购需求》；合同见卖方投标文件中《技术规格说明》。)</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合同附件3：售后服务和技术培训</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(要求见招标文件第六章《采购需求》；合同见卖方投标文件中《售后服务方案》和《培训方案》。)</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合同附件4：供货范围和价格清单</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合同附件5：验收标准（验收要求、验收标准和程序）</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合同附件6：采购需求</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(见招标文件第六章《采购需求》。)</w:t>
      </w:r>
      <w:r/>
    </w:p>
    <w:p>
      <w:pPr>
        <w:rPr>
          <w:rFonts w:ascii="宋体" w:hAnsi="宋体" w:cs="宋体"/>
          <w:color w:val="auto"/>
          <w:sz w:val="24"/>
          <w:highlight w:val="none"/>
        </w:rPr>
      </w:pPr>
      <w:r>
        <w:rPr>
          <w:rFonts w:ascii="宋体" w:hAnsi="宋体" w:cs="宋体"/>
          <w:color w:val="auto"/>
          <w:sz w:val="24"/>
          <w:highlight w:val="none"/>
        </w:rPr>
      </w:r>
      <w:r/>
    </w:p>
    <w:p>
      <w:pPr>
        <w:jc w:val="both"/>
        <w:spacing w:line="360" w:lineRule="auto"/>
        <w:rPr>
          <w:rFonts w:hint="eastAsia" w:asciiTheme="minorEastAsia" w:hAnsiTheme="minorEastAsia" w:eastAsiaTheme="minorEastAsia" w:cstheme="minorEastAsia"/>
          <w:b/>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highlight w:val="none"/>
        </w:rPr>
      </w:r>
      <w:r/>
    </w:p>
    <w:p>
      <w:pPr>
        <w:jc w:val="center"/>
        <w:spacing w:line="360" w:lineRule="auto"/>
        <w:rPr>
          <w:rStyle w:val="967"/>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第六章</w:t>
      </w:r>
      <w:r>
        <w:rPr>
          <w:rFonts w:hint="eastAsia" w:asciiTheme="minorEastAsia" w:hAnsiTheme="minorEastAsia" w:eastAsiaTheme="minorEastAsia" w:cstheme="minorEastAsia"/>
          <w:b/>
          <w:color w:val="auto"/>
          <w:sz w:val="32"/>
          <w:szCs w:val="32"/>
          <w:highlight w:val="none"/>
          <w:lang w:val="en-US" w:eastAsia="zh-CN"/>
        </w:rPr>
        <w:t xml:space="preserve"> </w:t>
      </w:r>
      <w:r>
        <w:rPr>
          <w:rFonts w:hint="eastAsia" w:asciiTheme="minorEastAsia" w:hAnsiTheme="minorEastAsia" w:eastAsiaTheme="minorEastAsia" w:cstheme="minorEastAsia"/>
          <w:b/>
          <w:color w:val="auto"/>
          <w:sz w:val="32"/>
          <w:szCs w:val="32"/>
          <w:highlight w:val="none"/>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本项目总预算为人民币861.25万元，且本项目不接收超过采购包1：人民币279.65万元（最高限价）；采购包2：人民币195.85万元（最高限价）；采购包3：人民币196.05万元（最高限价）；采购包4：人民币109.50万元（最高限价）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采购包1：江苏省睢宁高级中学新校区化学创新实验室设备及配套设施</w:t>
      </w:r>
      <w:r>
        <w:rPr>
          <w:rFonts w:hint="eastAsia" w:ascii="宋体" w:hAnsi="宋体" w:cs="宋体"/>
          <w:b w:val="0"/>
          <w:bCs w:val="0"/>
          <w:color w:val="auto"/>
          <w:sz w:val="24"/>
          <w:highlight w:val="none"/>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采购包2：江苏省睢宁高级中学新校区生物创新实验室设备及配套设施</w:t>
      </w:r>
      <w:r>
        <w:rPr>
          <w:rFonts w:hint="eastAsia" w:ascii="宋体" w:hAnsi="宋体" w:cs="宋体"/>
          <w:b w:val="0"/>
          <w:bCs w:val="0"/>
          <w:color w:val="auto"/>
          <w:sz w:val="24"/>
          <w:highlight w:val="none"/>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采购包3：江苏省睢宁高级中学新校区物理创新实验室设备及配套设施</w:t>
      </w:r>
      <w:r>
        <w:rPr>
          <w:rFonts w:hint="eastAsia" w:ascii="宋体" w:hAnsi="宋体" w:cs="宋体"/>
          <w:b w:val="0"/>
          <w:bCs w:val="0"/>
          <w:color w:val="auto"/>
          <w:sz w:val="24"/>
          <w:highlight w:val="none"/>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采购包4：江苏省睢宁高级中学新校区创客、通用技术</w:t>
      </w:r>
      <w:r>
        <w:rPr>
          <w:rFonts w:hint="eastAsia" w:ascii="宋体" w:hAnsi="宋体" w:cs="宋体"/>
          <w:b w:val="0"/>
          <w:bCs w:val="0"/>
          <w:color w:val="auto"/>
          <w:sz w:val="24"/>
          <w:highlight w:val="none"/>
          <w:lang w:val="en-US" w:eastAsia="zh-CN"/>
        </w:rPr>
        <w:t xml:space="preserve">实验室</w:t>
      </w:r>
      <w:r>
        <w:rPr>
          <w:rFonts w:hint="default" w:ascii="宋体" w:hAnsi="宋体" w:cs="宋体"/>
          <w:b w:val="0"/>
          <w:bCs w:val="0"/>
          <w:color w:val="auto"/>
          <w:sz w:val="24"/>
          <w:highlight w:val="none"/>
          <w:lang w:val="en-US" w:eastAsia="zh-CN"/>
        </w:rPr>
        <w:t xml:space="preserve">设备及配套设施</w:t>
      </w:r>
      <w:r>
        <w:rPr>
          <w:rFonts w:hint="eastAsia" w:ascii="宋体" w:hAnsi="宋体" w:cs="宋体"/>
          <w:b w:val="0"/>
          <w:bCs w:val="0"/>
          <w:color w:val="auto"/>
          <w:sz w:val="24"/>
          <w:highlight w:val="none"/>
          <w:lang w:val="en-US" w:eastAsia="zh-CN"/>
        </w:rPr>
        <w:t xml:space="preserve">。</w:t>
      </w:r>
      <w:r/>
    </w:p>
    <w:p>
      <w:pPr>
        <w:numPr>
          <w:ilvl w:val="0"/>
          <w:numId w:val="0"/>
        </w:num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（六）本项目核心产品：</w:t>
      </w:r>
      <w:r/>
    </w:p>
    <w:tbl>
      <w:tblPr>
        <w:tblStyle w:val="77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bCs/>
                <w:color w:val="ff0000"/>
                <w:sz w:val="24"/>
                <w:szCs w:val="24"/>
                <w:highlight w:val="none"/>
                <w:lang w:val="en-US" w:eastAsia="zh-CN"/>
              </w:rPr>
              <w:t xml:space="preserve">3D建模设备（教师）</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注：采用综合评分法的采购项目，对提供相同品牌产品且通过资格审查、符合性审查的不同投标人参加同一合同项下投标的，按一</w:t>
      </w:r>
      <w:bookmarkStart w:id="4" w:name="_GoBack"/>
      <w:r/>
      <w:bookmarkEnd w:id="4"/>
      <w:r>
        <w:rPr>
          <w:rFonts w:hint="eastAsia" w:ascii="宋体" w:hAnsi="宋体" w:cs="宋体"/>
          <w:b w:val="0"/>
          <w:bCs w:val="0"/>
          <w:color w:val="auto"/>
          <w:sz w:val="24"/>
          <w:highlight w:val="none"/>
          <w:lang w:val="en-US" w:eastAsia="zh-CN"/>
        </w:rPr>
        <w:t xml:space="preserve">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（七）本项目不属于专门面向中小微企业采购的项目</w:t>
      </w:r>
      <w:r>
        <w:rPr>
          <w:rFonts w:hint="eastAsia" w:ascii="宋体" w:hAnsi="宋体" w:cs="宋体"/>
          <w:b w:val="0"/>
          <w:bCs w:val="0"/>
          <w:color w:val="auto"/>
          <w:sz w:val="24"/>
          <w:highlight w:val="none"/>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（八）本项目采购的为非进口产品。</w:t>
      </w:r>
      <w:r/>
    </w:p>
    <w:p>
      <w:p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p>
    <w:p>
      <w:pPr>
        <w:spacing w:line="360" w:lineRule="auto"/>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3、所投“水嘴”、“电热水器”等产品属于《节能产品政府采购品目清单》（由财政部 发展改革委印发）范围中属于国家强制节能的产品，须提供相关符合要求的产品，不满足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（一）交</w:t>
      </w:r>
      <w:r>
        <w:rPr>
          <w:rFonts w:hint="eastAsia" w:ascii="宋体" w:hAnsi="宋体" w:eastAsia="宋体" w:cs="宋体"/>
          <w:b/>
          <w:bCs/>
          <w:color w:val="auto"/>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highlight w:val="none"/>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配送、安装要求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（1）项目人员配置要求。中标人须根据本项目实际需求，成立专属配送安装小组，提交管理团队人员名单、分工说明，并提供团队人员</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社保证明，防范转包带来质量隐患。管理团队至少配置项目总负责人、商务负责人、财务负责人、生产负责人、安装负责人，各岗位职责不得相互兼任。</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安装前期技术资料与现场勘测要求。中标人须提供核心产品或主要产品三视图（正视图、侧视图、俯视图），明确安装、维修要求，配齐施工工具及全套操作图纸。正式安装前，须确认施工电源、丈量设备摆放尺寸，核查场地清场、电梯</w:t>
      </w:r>
      <w:r>
        <w:rPr>
          <w:rFonts w:hint="eastAsia" w:ascii="宋体" w:hAnsi="宋体" w:eastAsia="宋体" w:cs="宋体"/>
          <w:color w:val="auto"/>
          <w:sz w:val="24"/>
          <w:highlight w:val="none"/>
          <w:lang w:eastAsia="zh-CN"/>
        </w:rPr>
        <w:t xml:space="preserve">通行、电源照明工况，编制详细施工进度计划。货物装卸、堆放及辅材使用要求。装卸货物须轻拿轻放，重型货物须两人及以上协同搬运，严禁抛掷、拖拽货品。货物送达指定地点后铺垫衬垫物、分类有序堆放。本项目全部安装工作由中标人负责，安装所需辅材由中标人提供，所有辅材须符合现行国家强制性标准（如有）；成品、配件存在质量缺陷的，须返厂更换合格品后方可安装。安装完工自检、调平整改要求。设备安装完毕后，安装负责人逐项开展检验，并清洁产品可视面。因地面不平整造成设备无法正常使用的，中标人须免费完成垫平、调平处置，直至设备正常使用。</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到货联合验收相关要求。设备到场后双方依据合同清单及标准开展验收。中标人须提供厂家本项目专项授权、产品合格证明、完整原厂技术资料；资料缺失的，采购人有权拒收货物。验收若发现参数不达标或货品破损，中标人须无条件更换，并承担全部损失，验收合格后签署验收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现场管理、安全责任与费用包干要求。中标人须服从采购人现场管理，作业人员仅限指定区域施工，不得损坏采购人财物，造成损毁照价赔偿。中标人全面承担施工安全与质量责任，施工引发的安全、质量事故相关经济、法律责任均由中标人承担。吊车费、墙体开洞费、安装调试费、全部辅材等一切相关费用包含在投标总价内，采购人无需另行支付。</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5）中标人负责</w:t>
      </w:r>
      <w:r>
        <w:rPr>
          <w:rFonts w:hint="eastAsia" w:ascii="宋体" w:hAnsi="宋体" w:eastAsia="宋体" w:cs="宋体"/>
          <w:color w:val="auto"/>
          <w:sz w:val="24"/>
          <w:highlight w:val="none"/>
          <w:lang w:eastAsia="zh-CN"/>
        </w:rPr>
        <w:t xml:space="preserve">环境布展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包括吊顶设计及施工、地面设计及施工、墙面设计及施工、窗帘设计及施工、照明灯具等，建设造型风格结合教室特点及校园文化进行定制化设计及施工，中标人须提供设计方案及设计图，经采购人审核后，经批准后方可实施</w:t>
      </w:r>
      <w:r>
        <w:rPr>
          <w:rFonts w:hint="eastAsia" w:ascii="宋体" w:hAnsi="宋体" w:cs="宋体"/>
          <w:color w:val="auto"/>
          <w:sz w:val="24"/>
          <w:highlight w:val="none"/>
          <w:lang w:eastAsia="zh-CN"/>
        </w:rPr>
        <w:t xml:space="preserve">，如有吊车费、开洞、安装调试及其他辅材：包括本项目需要的全部辅料、吊车费、开洞费用</w:t>
      </w:r>
      <w:r>
        <w:rPr>
          <w:rFonts w:hint="eastAsia" w:ascii="宋体" w:hAnsi="宋体" w:cs="宋体"/>
          <w:color w:val="auto"/>
          <w:sz w:val="24"/>
          <w:highlight w:val="none"/>
          <w:lang w:val="en-US" w:eastAsia="zh-CN"/>
        </w:rPr>
        <w:t xml:space="preserve">也</w:t>
      </w:r>
      <w:r>
        <w:rPr>
          <w:rFonts w:hint="eastAsia" w:ascii="宋体" w:hAnsi="宋体" w:cs="宋体"/>
          <w:color w:val="auto"/>
          <w:sz w:val="24"/>
          <w:highlight w:val="none"/>
          <w:lang w:eastAsia="zh-CN"/>
        </w:rPr>
        <w:t xml:space="preserve">均由中标人承担</w:t>
      </w:r>
      <w:r>
        <w:rPr>
          <w:rFonts w:hint="eastAsia" w:ascii="宋体" w:hAnsi="宋体" w:cs="宋体"/>
          <w:color w:val="auto"/>
          <w:sz w:val="24"/>
          <w:highlight w:val="none"/>
          <w:lang w:val="en-US" w:eastAsia="zh-CN"/>
        </w:rPr>
        <w:t xml:space="preserve">费用，包含在投标总价中</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2、配送安装保障措施要求</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（1）物流信息动态管控保障</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运输成品防护保障</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须及时向采购人推送准确物流信息，对货物运输全过程实施动态监控。运输途中发生各类异常，须第一时间主动反馈并协调处置。货物委托专业驾驶员承运，安排专人押运，运输车辆配备齐全应急工具与防护物资，降低各类运输风险。货物运输阶段采用包覆隔离、缓冲填充、刚性固定多重防护手段，有效避免货品磕碰、挤压受损，确保货物完好送达项目现场。</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施工人员、工具及特种作业</w:t>
      </w:r>
      <w:r>
        <w:rPr>
          <w:rFonts w:hint="eastAsia" w:ascii="宋体" w:hAnsi="宋体" w:cs="宋体"/>
          <w:color w:val="auto"/>
          <w:sz w:val="24"/>
          <w:highlight w:val="none"/>
          <w:lang w:val="en-US" w:eastAsia="zh-CN"/>
        </w:rPr>
        <w:t xml:space="preserve">以及</w:t>
      </w:r>
      <w:r>
        <w:rPr>
          <w:rFonts w:hint="eastAsia" w:ascii="宋体" w:hAnsi="宋体" w:eastAsia="宋体" w:cs="宋体"/>
          <w:color w:val="auto"/>
          <w:sz w:val="24"/>
          <w:highlight w:val="none"/>
          <w:lang w:eastAsia="zh-CN"/>
        </w:rPr>
        <w:t xml:space="preserve">标准化安装与人员培训保障</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配齐专业安装工具与作业人员；如涉及电气布线、设备通电调试的作业人员，须持有应急管理部门核发有效的电工特种作业操作证，且持证人员属于本项目配送安装小组人员。货物到场后，中标人结合现场工况确定最优安装顺序，提供免费安装服务。全体施工人员严格遵守安全生产规定，规范佩戴个人防护用品；中标人开展岗前培训，确保施工人员熟练掌握产品组装流程与技术规范。</w:t>
      </w:r>
      <w:r/>
    </w:p>
    <w:p>
      <w:pPr>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五、质量管控要求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（一）质量管控具体要求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1、生产过程现场核查管控</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人有权在产品生产周期内随时赴生产厂区开展现场核查、调度检查，核查原材料出入库台账等资料。中标人须在原材料进场、产品封漆、成品出厂等关键节点前主动告知采购人，经采购人核验同意，方可开展下一阶段生产加工或发货作业。</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到货验收时，中标人须提供原厂出厂单据、带有原厂标识的外包装、完整物流凭证；若中标人为代理商，另须提供生产厂家供货合同原件、对公付款凭证。采购人享有先验收、后发货的权利。所有供货产品须为原厂原装、全新未使用、原包装未拆封产品，并满足国家现行强制性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采购人有权要求中标人说明产品合法供货渠道。若查实产品属于非法渠道货源，认定为中标人欺诈，中标人须按商品价值双倍予以赔偿；采购人同时有权依据法律法规追究中标人及生产企业相应法律责任。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生产过程中采购人提出临时定制、整改需求（字体、颜色、尺寸、内容调整等），中标人须无条件配合生产单位完成相关整改工作。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、建立完整质量管理体系</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中标人须搭建完善的质量管理体系，严格按照相关规范开展全流程质量管控，管控范围覆盖项目实施全过程，确保各工序质量满足规范及合同要求。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中标人须在各施工阶段落实内部自检、自查制度，对产品生产、运输、安装全流程实施跟踪监管，实现全过程闭环质量管控。</w:t>
      </w:r>
      <w:r/>
    </w:p>
    <w:p>
      <w:pPr>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六、售后服务要求</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（一）售后服务具体要求</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1、质保期要求：从买方（采购人）验收合格之日起，提供不少于3年的免费质保（采购需求中特别约定的以采购需求要求的为准）。</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说明：“1、质保期要求”为不允许负偏离的实质性要求和条件，如有负偏离，在符合性审查时按照投标无效处理。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）故障响应与现场维修服务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中标人接到采购人设备报修信息后，须2小时内完成服务响应，24小时内抵达项目现场开展免费维修、更换作业，所有服务产生费用均由中标人自行承担。中标人须根据本项目实际产品技术参数要求，常备充足的专业维修工具及原厂备品备件，最大限度缩短故障处置时长，保障设备快速恢复正常运行。</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（2）重大故障备用设备保障服务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质保期内若设备发生重大质量故障，中标人无法在24小时内完成维修或更换作业的，须在2日内向采购人免费提供同规格、同标准的替代设备，保障设备不间断正常使用，避免影响采购人日常工作开展。</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（3）常态化定期巡检服务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质保期内，中标人须建立常态化巡检机制，每半年至少开展一次全覆盖设备巡检工作，主动排查设备运行隐患，提前处置潜在故障问题，从源头保障设备运行稳定，降低设备故障发生率。</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（4）原厂配件及三包履约服务</w:t>
      </w:r>
      <w:r/>
    </w:p>
    <w:p>
      <w:pPr>
        <w:ind w:firstLine="47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售后更换的所有零配件须为原厂标准配件。中标人须严格执行产品三包服务承诺：包修，质保期内非人为质量问题提供免费维修；包换，同一故障经两次维修仍无法达到使用标准的，免费更换全新设备，更换设备质保期自更换完成之日重新起算；包退，同一故障经两次维修、一次更换后仍无法正常使用的，无条件支持退货。</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质保期后的服务要求：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质保期满后终身维修服务</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满后，中标人须提供终身维修服务，设立常态化售后服务热线，随时承接采购人咨询、报修申请，可安排专业人员上门维修。质保期满后上门维修免收工程师上门服务费，仅收取零配件成本费用。质保期满后，中标人须长期稳定供应原厂零配件，螺丝、五金等小型常用配件免费提供，便于采购人自行更换维护；针对特殊专用配件，须为采购人提供正规采购渠道及配套技术指导，全方位保障设备长期运维需求。</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培训及</w:t>
      </w:r>
      <w:r>
        <w:rPr>
          <w:rFonts w:hint="eastAsia" w:ascii="宋体" w:hAnsi="宋体" w:eastAsia="宋体" w:cs="宋体"/>
          <w:color w:val="auto"/>
          <w:sz w:val="24"/>
          <w:highlight w:val="none"/>
        </w:rPr>
        <w:t xml:space="preserve">服务保障措施要求：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标人须为本项目组建专项售后服务小组，明确固定售后服务负责人和服务电话，专人专项对接本项目全部售后对接、故障处置、咨询答疑等工作，确保售后工作权责清晰、对接稳定、全程可追溯，杜绝服务脱节、无人跟进等问题。中标人须建立完善、标准化的故障报修响应流程及售后分级处置方案，针对不同类型、不同等级的设备故障，制定对应的处置流程与服务标准，规范售后作业流程，高效推进故障处置工作，全面提升售后服务专业性、规范性与时效性。</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培训与回访保障</w:t>
      </w:r>
      <w:r/>
    </w:p>
    <w:p>
      <w:pPr>
        <w:ind w:firstLine="47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中标人须常态化开展内部售后服务人员技能培训，持续提升运维人员设备维修、故障排查、设备保养等专业业务能力，保障售后团队技术过硬。同时须建立采购人定期回访机制，主动跟进设备使用状态，及时收集使用反馈，提前排查潜在问题，优化整体服务质量。中标人须免费为采购单位管理人员、现场操作人员开展系统性产品使用专项培训，确保相关人员熟练掌握设备操作流程、使用规范及操作禁忌。同步免费提供全套产品技术资料、操作指引、使用注意事项及设备日常保养规范，保障采购人可自主规范操作、日常维护设备。</w:t>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、样品要求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要求投标人提供样品明细</w:t>
      </w:r>
      <w:r/>
    </w:p>
    <w:tbl>
      <w:tblPr>
        <w:tblStyle w:val="778"/>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1、</w:t>
            </w:r>
            <w:r>
              <w:rPr>
                <w:rFonts w:hint="eastAsia" w:ascii="宋体" w:hAnsi="宋体" w:eastAsia="宋体" w:cs="宋体"/>
                <w:i w:val="0"/>
                <w:iCs w:val="0"/>
                <w:color w:val="auto"/>
                <w:sz w:val="24"/>
                <w:szCs w:val="24"/>
                <w:highlight w:val="none"/>
                <w:u w:val="none"/>
                <w:lang w:val="en-US" w:eastAsia="zh-CN" w:bidi="ar-SA"/>
              </w:rPr>
              <w:t xml:space="preserve">化学智能吊装实验室</w:t>
            </w:r>
            <w:r>
              <w:rPr>
                <w:rFonts w:hint="eastAsia" w:ascii="宋体" w:hAnsi="宋体" w:cs="宋体"/>
                <w:i w:val="0"/>
                <w:iCs w:val="0"/>
                <w:color w:val="auto"/>
                <w:sz w:val="24"/>
                <w:szCs w:val="24"/>
                <w:highlight w:val="none"/>
                <w:u w:val="none"/>
                <w:lang w:val="en-US" w:eastAsia="zh-CN" w:bidi="ar-SA"/>
              </w:rPr>
              <w:t xml:space="preserve">-“一、学生实验操作区”-学生实验桌（序号：1）</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采购包2：本采购包无样品要求。</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物理力学实验室</w:t>
            </w:r>
            <w:r>
              <w:rPr>
                <w:rFonts w:hint="eastAsia" w:ascii="宋体" w:hAnsi="宋体" w:cs="宋体"/>
                <w:color w:val="auto"/>
                <w:sz w:val="24"/>
                <w:szCs w:val="24"/>
                <w:highlight w:val="none"/>
                <w:lang w:val="en-US" w:eastAsia="zh-CN"/>
              </w:rPr>
              <w:t xml:space="preserve">-“二、学生实验操作区”-物理力学学生实验桌（序号1）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采购包4：本采购包无样品要求。</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说明：表中“名称”是招标文件第六章《采购需求》中“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技术参数(性能)要求”对应“名称”的产品。</w:t>
            </w:r>
            <w:r/>
          </w:p>
        </w:tc>
      </w:tr>
    </w:tbl>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（二）提供样品的标识：样品应当注明样品名称、投标人名称、项目编号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包号</w:t>
      </w:r>
      <w:r>
        <w:rPr>
          <w:rFonts w:hint="eastAsia" w:ascii="宋体" w:hAnsi="宋体" w:eastAsia="宋体" w:cs="宋体"/>
          <w:color w:val="auto"/>
          <w:sz w:val="24"/>
          <w:highlight w:val="none"/>
        </w:rPr>
        <w:t xml:space="preserve">。</w:t>
      </w:r>
      <w:r/>
    </w:p>
    <w:p>
      <w:pP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（三）提供时间：2</w:t>
      </w:r>
      <w:r>
        <w:rPr>
          <w:rFonts w:hint="eastAsia" w:ascii="宋体" w:hAnsi="宋体" w:eastAsia="宋体" w:cs="宋体"/>
          <w:b/>
          <w:bCs/>
          <w:color w:val="auto"/>
          <w:sz w:val="24"/>
          <w:highlight w:val="none"/>
        </w:rPr>
        <w:t xml:space="preserve">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25</w:t>
      </w:r>
      <w:r>
        <w:rPr>
          <w:rFonts w:hint="eastAsia" w:ascii="宋体" w:hAnsi="宋体" w:eastAsia="宋体" w:cs="宋体"/>
          <w:b/>
          <w:bCs/>
          <w:color w:val="auto"/>
          <w:sz w:val="24"/>
          <w:highlight w:val="none"/>
        </w:rPr>
        <w:t xml:space="preserve">日</w:t>
      </w:r>
      <w:r>
        <w:rPr>
          <w:rFonts w:hint="eastAsia" w:ascii="宋体" w:hAnsi="宋体" w:cs="宋体"/>
          <w:b/>
          <w:bCs/>
          <w:color w:val="auto"/>
          <w:sz w:val="24"/>
          <w:highlight w:val="none"/>
          <w:lang w:val="en-US" w:eastAsia="zh-CN"/>
        </w:rPr>
        <w:t xml:space="preserve">07</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00至</w:t>
      </w:r>
      <w:r>
        <w:rPr>
          <w:rFonts w:hint="eastAsia" w:ascii="宋体" w:hAnsi="宋体" w:cs="宋体"/>
          <w:b/>
          <w:bCs/>
          <w:color w:val="auto"/>
          <w:sz w:val="24"/>
          <w:highlight w:val="none"/>
          <w:lang w:val="en-US" w:eastAsia="zh-CN"/>
        </w:rPr>
        <w:t xml:space="preserve">09</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（四）提供地点：睢宁县政务服务中心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睢宁县公共资源交易中心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4楼</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bidi="ar-SA"/>
        </w:rPr>
        <w:t xml:space="preserve">五</w:t>
      </w:r>
      <w:r>
        <w:rPr>
          <w:rFonts w:hint="eastAsia" w:ascii="宋体" w:hAnsi="宋体" w:eastAsia="宋体" w:cs="宋体"/>
          <w:color w:val="auto"/>
          <w:sz w:val="24"/>
          <w:highlight w:val="none"/>
        </w:rPr>
        <w:t xml:space="preserve">）接收</w:t>
      </w:r>
      <w:r>
        <w:rPr>
          <w:rFonts w:hint="eastAsia" w:ascii="宋体" w:hAnsi="宋体" w:eastAsia="宋体" w:cs="宋体"/>
          <w:color w:val="auto"/>
          <w:sz w:val="24"/>
          <w:szCs w:val="24"/>
          <w:highlight w:val="none"/>
          <w:lang w:bidi="ar-SA"/>
        </w:rPr>
        <w:t xml:space="preserve">单位：江苏省睢宁高级中学</w:t>
      </w:r>
      <w:r>
        <w:rPr>
          <w:rFonts w:hint="eastAsia" w:ascii="宋体" w:hAnsi="宋体" w:cs="宋体"/>
          <w:color w:val="auto"/>
          <w:sz w:val="24"/>
          <w:szCs w:val="24"/>
          <w:highlight w:val="none"/>
          <w:lang w:eastAsia="zh-CN" w:bidi="ar-SA"/>
        </w:rPr>
        <w:t xml:space="preserve">（</w:t>
      </w:r>
      <w:r>
        <w:rPr>
          <w:rFonts w:hint="eastAsia" w:ascii="宋体" w:hAnsi="宋体" w:cs="宋体"/>
          <w:color w:val="auto"/>
          <w:sz w:val="24"/>
          <w:szCs w:val="24"/>
          <w:highlight w:val="none"/>
          <w:lang w:val="en-US" w:eastAsia="zh-CN" w:bidi="ar-SA"/>
        </w:rPr>
        <w:t xml:space="preserve">采购人</w:t>
      </w:r>
      <w:r>
        <w:rPr>
          <w:rFonts w:hint="eastAsia" w:ascii="宋体" w:hAnsi="宋体" w:cs="宋体"/>
          <w:color w:val="auto"/>
          <w:sz w:val="24"/>
          <w:szCs w:val="24"/>
          <w:highlight w:val="none"/>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史老师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张工</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联系电话：0516-88332331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0516-83999055/13014009996</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（六）具体要求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投标人需自行搬运样品，样品摆放位置由采购人指定。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投标人按照上述“1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要求投标人提供样品明细”</w:t>
      </w:r>
      <w:r>
        <w:rPr>
          <w:rFonts w:hint="eastAsia" w:ascii="宋体" w:hAnsi="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提供样品，采购人</w:t>
      </w:r>
      <w:r>
        <w:rPr>
          <w:rFonts w:hint="eastAsia" w:ascii="宋体" w:hAnsi="宋体" w:cs="宋体"/>
          <w:color w:val="auto"/>
          <w:sz w:val="24"/>
          <w:highlight w:val="none"/>
          <w:lang w:val="en-US" w:eastAsia="zh-CN"/>
        </w:rPr>
        <w:t xml:space="preserve">或采购代理机构</w:t>
      </w:r>
      <w:r>
        <w:rPr>
          <w:rFonts w:hint="eastAsia" w:ascii="宋体" w:hAnsi="宋体" w:eastAsia="宋体" w:cs="宋体"/>
          <w:color w:val="auto"/>
          <w:sz w:val="24"/>
          <w:highlight w:val="none"/>
        </w:rPr>
        <w:t xml:space="preserve">有权拒绝接收非明细中的其他物品。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（七）说明：</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样品由采购人</w:t>
      </w:r>
      <w:r>
        <w:rPr>
          <w:rFonts w:hint="eastAsia" w:ascii="宋体" w:hAnsi="宋体" w:cs="宋体"/>
          <w:color w:val="auto"/>
          <w:sz w:val="24"/>
          <w:szCs w:val="21"/>
          <w:highlight w:val="none"/>
          <w:lang w:val="en-US" w:eastAsia="zh-CN"/>
        </w:rPr>
        <w:t xml:space="preserve">或采购代理机构</w:t>
      </w:r>
      <w:r>
        <w:rPr>
          <w:rFonts w:hint="eastAsia" w:ascii="宋体" w:hAnsi="宋体" w:eastAsia="宋体" w:cs="宋体"/>
          <w:color w:val="auto"/>
          <w:sz w:val="24"/>
          <w:szCs w:val="21"/>
          <w:highlight w:val="none"/>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highlight w:val="none"/>
          <w:lang w:val="en-US" w:eastAsia="zh-CN"/>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highlight w:val="none"/>
          <w:lang w:val="en-US" w:eastAsia="zh-CN"/>
        </w:rPr>
        <w:t xml:space="preserve">或采购代理机构</w:t>
      </w:r>
      <w:r>
        <w:rPr>
          <w:rFonts w:hint="eastAsia" w:ascii="宋体" w:hAnsi="宋体" w:eastAsia="宋体" w:cs="宋体"/>
          <w:color w:val="auto"/>
          <w:sz w:val="24"/>
          <w:szCs w:val="21"/>
          <w:highlight w:val="none"/>
        </w:rPr>
        <w:t xml:space="preserve">确定</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未按采购人</w:t>
      </w:r>
      <w:r>
        <w:rPr>
          <w:rFonts w:hint="eastAsia" w:ascii="宋体" w:hAnsi="宋体" w:cs="宋体"/>
          <w:color w:val="auto"/>
          <w:sz w:val="24"/>
          <w:szCs w:val="21"/>
          <w:highlight w:val="none"/>
          <w:lang w:val="en-US" w:eastAsia="zh-CN"/>
        </w:rPr>
        <w:t xml:space="preserve">或采购代理机构</w:t>
      </w:r>
      <w:r>
        <w:rPr>
          <w:rFonts w:hint="eastAsia" w:ascii="宋体" w:hAnsi="宋体" w:eastAsia="宋体" w:cs="宋体"/>
          <w:color w:val="auto"/>
          <w:sz w:val="24"/>
          <w:szCs w:val="21"/>
          <w:highlight w:val="none"/>
        </w:rPr>
        <w:t xml:space="preserve">规定的时间取回的样品</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采购人或采购代理机构有权自行处置，并不承担任何责任。</w:t>
      </w:r>
      <w:r/>
    </w:p>
    <w:p>
      <w:pPr>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八、演示要求：</w:t>
      </w:r>
      <w:r/>
    </w:p>
    <w:p>
      <w:pPr>
        <w:pStyle w:val="792"/>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投标人根据演示要求进行视频演示，按以下演示点分别演示</w:t>
      </w:r>
      <w:r>
        <w:rPr>
          <w:rFonts w:hint="eastAsia" w:ascii="宋体" w:hAnsi="宋体" w:cs="宋体"/>
          <w:b/>
          <w:color w:val="auto"/>
          <w:sz w:val="24"/>
          <w:highlight w:val="none"/>
          <w:lang w:val="en-US" w:eastAsia="zh-CN"/>
        </w:rPr>
        <w:t xml:space="preserve">并提供或录制演示视频</w:t>
      </w:r>
      <w:r>
        <w:rPr>
          <w:rFonts w:hint="eastAsia" w:ascii="宋体" w:hAnsi="宋体" w:cs="宋体"/>
          <w:b/>
          <w:color w:val="auto"/>
          <w:sz w:val="24"/>
          <w:highlight w:val="none"/>
        </w:rPr>
        <w:t xml:space="preserve">。并按要求上传演示视频。</w:t>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演示点如下：</w:t>
      </w:r>
      <w:r/>
    </w:p>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采购包1：</w:t>
      </w:r>
      <w:r/>
    </w:p>
    <w:tbl>
      <w:tblPr>
        <w:tblStyle w:val="802"/>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11"/>
        <w:gridCol w:w="6171"/>
        <w:gridCol w:w="808"/>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411"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6171"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演示内容</w:t>
            </w:r>
            <w:r>
              <w:rPr>
                <w:rFonts w:hint="eastAsia" w:ascii="宋体" w:hAnsi="宋体" w:cs="宋体"/>
                <w:b/>
                <w:bCs/>
                <w:color w:val="auto"/>
                <w:sz w:val="24"/>
                <w:szCs w:val="24"/>
                <w:highlight w:val="none"/>
                <w:lang w:val="en-US" w:eastAsia="zh-CN"/>
              </w:rPr>
              <w:t xml:space="preserve">及要求</w:t>
            </w:r>
            <w:r/>
          </w:p>
        </w:tc>
        <w:tc>
          <w:tcPr>
            <w:tcW w:w="808"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411" w:type="dxa"/>
            <w:vAlign w:val="center"/>
            <w:textDirection w:val="lrTb"/>
            <w:noWrap w:val="false"/>
          </w:tcPr>
          <w:p>
            <w:pPr>
              <w:ind w:left="0" w:right="0" w:firstLine="0"/>
              <w:jc w:val="center"/>
              <w:keepLines w:val="0"/>
              <w:keepNext w:val="0"/>
              <w:pageBreakBefore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酸碱中和滴定实验</w:t>
            </w:r>
            <w:r/>
          </w:p>
        </w:tc>
        <w:tc>
          <w:tcPr>
            <w:tcW w:w="6171"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用酸碱中和滴定装置、pH传感器、智能探究数据采集器及附件完成“酸碱中和滴定实验”及功能演示</w:t>
            </w:r>
            <w:r>
              <w:rPr>
                <w:rFonts w:hint="eastAsia" w:ascii="宋体" w:hAnsi="宋体" w:cs="宋体"/>
                <w:b/>
                <w:bCs/>
                <w:i w:val="0"/>
                <w:iCs w:val="0"/>
                <w:color w:val="auto"/>
                <w:sz w:val="24"/>
                <w:szCs w:val="24"/>
                <w:highlight w:val="none"/>
                <w:u w:val="none"/>
                <w:lang w:val="en-US" w:eastAsia="zh-CN" w:bidi="ar"/>
              </w:rPr>
              <w:t xml:space="preserve">：</w:t>
            </w:r>
            <w:r/>
          </w:p>
          <w:p>
            <w:pPr>
              <w:ind w:left="0" w:right="0" w:firstLine="0"/>
              <w:jc w:val="left"/>
              <w:keepLines w:val="0"/>
              <w:keepNext w:val="0"/>
              <w:pageBreakBefore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搭建酸碱中和滴定实验环境，采集器正面为一整块电容触摸屏和1个开关机实体按键，点亮屏幕测量斜对角线长度≥1</w:t>
            </w:r>
            <w:r>
              <w:rPr>
                <w:rFonts w:hint="eastAsia" w:ascii="宋体" w:hAnsi="宋体" w:eastAsia="宋体" w:cs="宋体"/>
                <w:i w:val="0"/>
                <w:iCs w:val="0"/>
                <w:color w:val="auto"/>
                <w:sz w:val="24"/>
                <w:szCs w:val="24"/>
                <w:highlight w:val="none"/>
                <w:u w:val="none"/>
                <w:lang w:val="en-US" w:eastAsia="zh-CN" w:bidi="ar"/>
              </w:rPr>
              <w:t xml:space="preserve">0.8cm。采集器上侧和下侧分别自带≥4个内嵌式传感器卡口，在下侧卡口内不使用有线线缆而直接插入pH传感器，传感器内置的状态指示灯亮，屏幕上显示对应的频道中pH连接成功。采集器右侧自带≥4个标准USB口，可扩展滴定传感器有线连接，传感器内置的状态指示灯亮，屏幕上显示对应的频道中计数连接成功。全窗口检测区域≥49mm×20mm，在区域内无需对准某个固定位置，可以任意调整位置都能检测到滴数变化。滴定传感器内置≥3个固定接口，可以固定温度探头及2个电极。能够脱机实验、不用连接任何设备、按开始按钮直接读取显示滴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智能探究数据采集器快速一键开机，有蜂鸣声提示，且开机到界面完整显示的时间小于3秒。触摸屏幕上方菜单栏按钮，即可1秒快速切换显示方式，默认显示时间、pH及计数的数字界面，有数字、曲线、表格、仪表≥4种显示方式，每种显示方式下，都可实时查看到清晰的数值变动。与终端（电脑或平板或手机）连接使用无线方式，无需数据线，在屏幕上点击蓝牙连接，按钮处会清晰显示出4位数的蓝牙连接码，计算机中对应输入蓝牙连接码就可开始无线通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运用pH传感器测量未知溶液pH值，滴定传感器测量滴定体积，完成酸碱中和滴定实验；其中使用配置的滴管及双阀门进行操作，在滴管下方，无需调节即可保证液滴单滴滴入采集区域且被传感器采集，数据采集软件中需明显看到液滴滴入后，采集数据随之变化的实验图像；点击实验模版进入实验，无线方式连接传感器后，可采集pH-V曲线，并清楚直观看到pH数值变化和滴数次数变化，以及表格中时间、pH、滴数和体积V的数值变化；滴定终点可在表格数据中找寻或直接在图形上显示，在数据采集软件中需明显看到滴定终点的图形变化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实验结束后，可保存当前的实验文件自定义命名为酸碱中和滴定实验，保存路径为计算机的桌面。关闭软件，在不打开数字化实验软件的情况下，双击桌面的酸碱中和滴定实验文件，可直接再次打开实验文件，可进行数据回放，可选择2倍、4倍、8倍、16倍、32倍、64倍等倍速播放快速还原整个实验数据变化过程。</w:t>
            </w:r>
            <w:r/>
          </w:p>
        </w:tc>
        <w:tc>
          <w:tcPr>
            <w:tcW w:w="808"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411" w:type="dxa"/>
            <w:vAlign w:val="center"/>
            <w:textDirection w:val="lrTb"/>
            <w:noWrap w:val="false"/>
          </w:tcPr>
          <w:p>
            <w:pPr>
              <w:ind w:left="0" w:right="0" w:firstLine="0"/>
              <w:jc w:val="center"/>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不同溶液pH值的测量</w:t>
            </w:r>
            <w:r/>
          </w:p>
        </w:tc>
        <w:tc>
          <w:tcPr>
            <w:tcW w:w="6171" w:type="dxa"/>
            <w:vAlign w:val="center"/>
            <w:textDirection w:val="lrTb"/>
            <w:noWrap w:val="false"/>
          </w:tcPr>
          <w:p>
            <w:pPr>
              <w:ind w:left="0" w:right="0" w:firstLine="0"/>
              <w:jc w:val="left"/>
              <w:keepLines w:val="0"/>
              <w:keepNext w:val="0"/>
              <w:pageBreakBefore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用无线彩屏pH传感器、食醋、可乐和盐酸及附件完成“不同溶液pH值的测量”及功能演示</w:t>
            </w:r>
            <w:r>
              <w:rPr>
                <w:rFonts w:hint="eastAsia" w:ascii="宋体" w:hAnsi="宋体" w:cs="宋体"/>
                <w:b/>
                <w:bCs/>
                <w:i w:val="0"/>
                <w:iCs w:val="0"/>
                <w:color w:val="auto"/>
                <w:sz w:val="24"/>
                <w:szCs w:val="24"/>
                <w:highlight w:val="none"/>
                <w:u w:val="none"/>
                <w:lang w:val="en-US" w:eastAsia="zh-CN" w:bidi="ar"/>
              </w:rPr>
              <w:t xml:space="preserve">：</w:t>
            </w:r>
            <w:r/>
          </w:p>
          <w:p>
            <w:pPr>
              <w:numPr>
                <w:ilvl w:val="0"/>
                <w:numId w:val="0"/>
              </w:numPr>
              <w:ind w:right="0"/>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无线彩屏pH传感器由内置电容触摸屏的pH传感器主体和pH探头两个独立的部分组成，点亮屏幕测量斜对角线长度≥10.8cm。正面为一整块电容触摸屏，无其他任何实体按键，全触屏人机交互。左侧边为开关机按键，USB充电/数据传输二合一接口，右侧边为滚轮调节键，上侧为pH探头接插口，布局合理。能够脱机实验、不用连接任何设备、按开始按钮直接读取显示pH数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无线彩屏pH传感器快速一键开机，有蜂鸣声提示，且开机到界面完整显示的时间小于3秒。触摸屏幕上方菜单栏按钮，即可1秒快速切换显示方式，默认显示时间、pH值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pH的变化数值和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正式实验时，不使用计算机设备，直接在传感器屏幕上交互操作并获取实验数据。将pH探头放入盛有食醋的烧杯中观察pH变化，传感器有曲线、仪表、表格、数字至少4种显示方式，分别都可清楚直观看到记录的pH的数值或曲线。清洗传感器电极头，重复上述操作，依次测量可乐和盐酸的pH值。在Y轴中添加历史数据，可在曲线显示界面中重叠显示三组不同pH曲线在同一坐标轴上。</w:t>
            </w:r>
            <w:r/>
          </w:p>
          <w:p>
            <w:pPr>
              <w:numPr>
                <w:ilvl w:val="0"/>
                <w:numId w:val="0"/>
              </w:numPr>
              <w:ind w:right="0"/>
              <w:jc w:val="left"/>
              <w:keepLines w:val="0"/>
              <w:keepNext w:val="0"/>
              <w:pageBreakBefore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实验结束后，可保存当前的实验文件在本机内，自定义命名为3Ph实验，保存成功有提示窗口弹出。通过USB线将保存的实验数据导入计算机的数字化实验软件，下载路径可指定为计算机的桌面。关闭软件，在不打开数字化实验软件的情况下，双击桌面的3Ph实验文件，可直接再次打开实验文件，可将三次数据用不同的颜色重叠显示在同一坐标轴上，也可打开表格同时查看多组pH数据列表。可进行数据回放，可选择2倍、4倍、8倍、16倍、32倍、64倍等倍速播放快速还原整个实验数据变化过程。</w:t>
            </w:r>
            <w:r/>
          </w:p>
        </w:tc>
        <w:tc>
          <w:tcPr>
            <w:tcW w:w="808"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采购包2：</w:t>
      </w:r>
      <w:r/>
    </w:p>
    <w:tbl>
      <w:tblPr>
        <w:tblStyle w:val="802"/>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16"/>
        <w:gridCol w:w="6214"/>
        <w:gridCol w:w="760"/>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416"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6214"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演示内容</w:t>
            </w:r>
            <w:r>
              <w:rPr>
                <w:rFonts w:hint="eastAsia" w:ascii="宋体" w:hAnsi="宋体" w:cs="宋体"/>
                <w:b/>
                <w:bCs/>
                <w:color w:val="auto"/>
                <w:sz w:val="24"/>
                <w:szCs w:val="24"/>
                <w:highlight w:val="none"/>
                <w:lang w:val="en-US" w:eastAsia="zh-CN"/>
              </w:rPr>
              <w:t xml:space="preserve">及要求</w:t>
            </w:r>
            <w:r/>
          </w:p>
        </w:tc>
        <w:tc>
          <w:tcPr>
            <w:tcW w:w="7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W w:w="1416" w:type="dxa"/>
            <w:vAlign w:val="center"/>
            <w:textDirection w:val="lrTb"/>
            <w:noWrap w:val="false"/>
          </w:tcPr>
          <w:p>
            <w:pPr>
              <w:ind w:left="0" w:right="0" w:firstLine="0"/>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植物的蒸腾作用实验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用无线彩屏温湿一体传感器、袖珍生化密封实验器及附件完成“植物的蒸腾作用实验”及功能演示</w:t>
            </w:r>
            <w:r>
              <w:rPr>
                <w:rFonts w:hint="eastAsia" w:ascii="宋体" w:hAnsi="宋体" w:cs="宋体"/>
                <w:b/>
                <w:bCs/>
                <w:i w:val="0"/>
                <w:iCs w:val="0"/>
                <w:color w:val="auto"/>
                <w:sz w:val="24"/>
                <w:szCs w:val="24"/>
                <w:highlight w:val="none"/>
                <w:u w:val="none"/>
                <w:lang w:val="en-US" w:eastAsia="zh-CN" w:bidi="ar"/>
              </w:rPr>
              <w:t xml:space="preserve">：</w:t>
            </w:r>
            <w:r/>
          </w:p>
          <w:p>
            <w:pPr>
              <w:numPr>
                <w:ilvl w:val="0"/>
                <w:numId w:val="0"/>
              </w:numPr>
              <w:ind w:right="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无线彩屏温湿一体传感器由内置电容触摸屏的温湿一体传感器主体和温湿度二合一探头两个独立的部分组成，点亮屏幕测量斜对角线长度≥10.8cm。正面为一整块电容触摸屏，无其他任何实体按键，全触屏人机交互。左侧边为开关机按键，USB充电/数据传输二合一接口，右侧边为滚轮调节键，上侧为3.5mm探头接口，布局合理。能够脱机实验、不用连接任何设备、按开始按钮直接读取显示温度和湿度数值。</w:t>
            </w:r>
            <w:r/>
          </w:p>
          <w:p>
            <w:pPr>
              <w:numPr>
                <w:ilvl w:val="0"/>
                <w:numId w:val="0"/>
              </w:numPr>
              <w:ind w:right="0"/>
              <w:jc w:val="left"/>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无线彩屏温湿一体传感器快速一键开机，有蜂鸣声提示，且开机到界面完整显示的时间小于3秒。触摸屏幕上方菜单栏按钮，即可1秒快速切换显示方式，默认显示时间、温度和湿度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温度和湿度的变化数值和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正式实验时，不使用计算机设备，直接在传感器屏幕上交互操作并获取实验数据。将温湿度二合一探头伸入袖珍生化密封实验器内，光源照射玻璃管和内部的叶片，观察温度和湿度变化，传感器有曲线、仪表、表格、数字至少4种显示方式，分别都可清楚直观看到记录的温度和湿度的数值或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实验结束后，可保存当前的实验文件在本机内，自定义命名为Temp-Wet实验，保存成功有提示窗口弹出。通过USB线将保存的实验数据导入计算机的数字化实验软件，下载路径可指定为计算机的桌面。关闭软件，在不打开数字化实验软件的情况下，双击桌面的Temp-Wet实验文件，可直接再次打开实验文件，可将温湿度整个变化过程完整显示在坐标轴上，也可打开表格查看温湿度真实变动的数据列表。可进行数据回放，可选择2倍、4倍、8倍、16倍、32倍、64倍等倍速播放快速还原整个实验数据变化过程。</w:t>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1416"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探究水中溶解氧含量与温度的关系实验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用无线彩屏温度传感器、无线彩屏溶解氧传感器及附件完成“探究水中溶解氧含量与温度的关系”及功能演示</w:t>
            </w:r>
            <w:r>
              <w:rPr>
                <w:rFonts w:hint="eastAsia" w:ascii="宋体" w:hAnsi="宋体" w:cs="宋体"/>
                <w:b/>
                <w:bCs/>
                <w:i w:val="0"/>
                <w:iCs w:val="0"/>
                <w:color w:val="auto"/>
                <w:sz w:val="24"/>
                <w:szCs w:val="24"/>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无线彩屏温度传感器由内置电容触摸屏的温度传感器主体和不锈钢温度探头两个独立的部分组成，无线彩屏溶解氧传感器由内置电容触摸屏的溶解氧传感器主体和溶氧探头两个独立的部分组成，点亮传感器屏幕测量斜对角线长度≥10.8cm。正面为一整块电容触摸屏，无其他任何实体按键，全触屏人机交互。左侧边为开关机按键，USB充电/数据传输二合一接口，右侧边为滚轮调节键，上侧为独立探头接头，布局合理。能够脱机实验、不用连接任何设备、按开始按钮直接读取显示溶解氧或温度数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无线彩屏温度传感器和无线彩屏溶解氧传感器都可快速一键开机，有蜂鸣声提示，且开机到界面完整显示的时间小于3秒。触摸屏幕上方菜单栏按钮，即可1秒快速切换显示方式，默认显示时间、温度（或溶解氧）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温度和溶解氧的变化数值和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个传感器同时用无线方式连接同一台计算机的数字化实验软件，设置双Y轴模式，Y轴1为温度，Y轴2为溶解氧，开始采集后数据采集软件可以同时显示溶解氧、温度与时间的变化曲线。逐渐加热水温，明显看出随温度变化溶解氧的含量变化。调节Y轴2组数据曲线，形成交叉图像，可较好地揭示温度升高液体中溶解氧含量变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实验结束后，可保存当前的实验文件，自定义命名为探究水中溶解氧含量与温度的关系，保存路径为计算机的桌面。关闭软件，在不打开数字化实验软件的情况下，双击桌面的探究水中溶解氧含量与温度的关系实验文件，可直接再次打开实验文件，可进行数据回放，可选择2倍、4倍、8倍、16倍、32倍、64倍等倍速播放快速还原整个实验数据变化过程。</w:t>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14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二氧化碳传感器的应用实验</w:t>
            </w:r>
            <w:r/>
          </w:p>
        </w:tc>
        <w:tc>
          <w:tcPr>
            <w:shd w:val="clear" w:color="auto" w:fill="auto"/>
            <w:tcW w:w="6214"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用无线彩屏二氧化碳传感器、气液相密封实验器及附件完成“二氧化碳传感器的应用实验”及功能演示</w:t>
            </w:r>
            <w:r>
              <w:rPr>
                <w:rFonts w:hint="eastAsia" w:ascii="宋体" w:hAnsi="宋体" w:cs="宋体"/>
                <w:b/>
                <w:bCs/>
                <w:i w:val="0"/>
                <w:iCs w:val="0"/>
                <w:color w:val="auto"/>
                <w:sz w:val="24"/>
                <w:szCs w:val="24"/>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无线彩屏二氧化碳传感器快速一键开机，有蜂鸣声提示，且开机到界面完整显示的时间小于3秒。触摸屏幕上方菜单栏按钮，即可1秒快速切换显示方式，默认显示时间、二氧化碳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二氧化碳的变化数值和曲线。</w:t>
            </w:r>
            <w:r/>
          </w:p>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正式实验时，不使用计算机设备，直接在传感器屏幕上交互操作并获取实验数据。将二氧化碳探头放入气液相密封实验器中，通过另一个口向其中吹气，观察二氧化碳含量变化，传感器有曲线、仪表、表格、数字至少4种显示方式，分别都可清楚直观看到记录的二氧化碳的数值或曲线。点击屏幕上方菜单栏的逻辑指令按钮，设置当二氧化碳的数值大于2500ppm时，就执行蜂鸣器嘀声和停止数据采集2个指令。再次操作吹气和采集数据，查看数据采集和逻辑指令执行结果，可查看到当二氧化碳数据变化超过2500ppm时，蜂鸣器有提示音，且数据自动停止采集。</w:t>
            </w:r>
            <w:r/>
          </w:p>
        </w:tc>
        <w:tc>
          <w:tcPr>
            <w:tcW w:w="760"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采购包3：</w:t>
      </w:r>
      <w:r/>
    </w:p>
    <w:tbl>
      <w:tblPr>
        <w:tblStyle w:val="802"/>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03"/>
        <w:gridCol w:w="6240"/>
        <w:gridCol w:w="747"/>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403"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W w:w="6240"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演示内容</w:t>
            </w:r>
            <w:r>
              <w:rPr>
                <w:rFonts w:hint="eastAsia" w:ascii="宋体" w:hAnsi="宋体" w:cs="宋体"/>
                <w:b/>
                <w:bCs/>
                <w:color w:val="auto"/>
                <w:sz w:val="24"/>
                <w:highlight w:val="none"/>
                <w:lang w:val="en-US" w:eastAsia="zh-CN"/>
              </w:rPr>
              <w:t xml:space="preserve">及要求</w:t>
            </w:r>
            <w:r/>
          </w:p>
        </w:tc>
        <w:tc>
          <w:tcPr>
            <w:tcW w:w="747"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1403" w:type="dxa"/>
            <w:vAlign w:val="center"/>
            <w:textDirection w:val="lrTb"/>
            <w:noWrap w:val="false"/>
          </w:tcPr>
          <w:p>
            <w:pPr>
              <w:ind w:left="0" w:right="0" w:firstLine="0"/>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电源的电动势和内阻实验</w:t>
            </w:r>
            <w:r/>
          </w:p>
        </w:tc>
        <w:tc>
          <w:tcPr>
            <w:shd w:val="clear" w:color="auto" w:fill="auto"/>
            <w:tcW w:w="6240" w:type="dxa"/>
            <w:vAlign w:val="center"/>
            <w:textDirection w:val="lrTb"/>
            <w:noWrap w:val="false"/>
          </w:tcPr>
          <w:p>
            <w:pPr>
              <w:ind w:left="0" w:right="0" w:firstLine="0"/>
              <w:jc w:val="left"/>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
              </w:rPr>
              <w:t xml:space="preserve">用无线彩屏电压电流一体传感器及附件完成“电源的电动势和内阻实验”及功能演示</w:t>
            </w:r>
            <w:r>
              <w:rPr>
                <w:rFonts w:hint="eastAsia" w:ascii="宋体" w:hAnsi="宋体" w:cs="宋体"/>
                <w:b/>
                <w:bCs/>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1、无线彩屏电压电流一体传感器由内置电容触摸屏的电压电流一体传感器主体、电压探头和电流探头三个独立的部分组成，点亮屏幕测量斜对角线长度≥10.8cm。正面为一整块电容触摸屏，无其他任何实体按键，全触屏人机交互。左侧边为开关机按键，USB充电/数据传输二合一接口，右侧边为滚轮调节键，上侧为独立的电压BNC接插口和独立的电流BNC接插口，布局合理。能够脱机实验、不用连接任何设备、按开始按钮直接读取显示电压和电流数值。</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2、无线彩屏电压电流一体传感器快速一键开机，有蜂鸣声提示，且开机到界面完整显示的时间小于3秒。触摸屏幕上方菜单栏按钮，即可1秒快速切换显示方式，默认显示时间、电压、电流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电压和电流的变化数值和曲线。</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3、正式实验时，不使用计算机设备，直接在传感器屏幕上交互操作并获取实验数据。实验开始前，可在屏幕上对电压和电流分别进行调零操作。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4</w:t>
            </w:r>
            <w:r>
              <w:rPr>
                <w:rFonts w:hint="eastAsia" w:ascii="宋体" w:hAnsi="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实验结束后，可保存当前的实验文件在本机内，自定义命名为CurrentVotage实验，保存成功有提示窗口弹出。通过USB线将保存的实验数据导入计算机的数字化实验软件，下载路径可指定为计算机的桌面。关闭软件，在不打开数字化实验软件的情况下，双击桌面的CurrentVotage实验文件，可直接再次打开实验文件，可将电压电流整个变化过程设置成U-I关系完整显示在坐标轴上，实际数据点与拟合曲线的相关度系数R&gt;0.98（数据点紧密围绕拟合曲线分布），均方根误差&lt;0.01。</w:t>
            </w:r>
            <w:r/>
          </w:p>
        </w:tc>
        <w:tc>
          <w:tcPr>
            <w:tcW w:w="747"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shd w:val="clear" w:color="auto" w:fill="auto"/>
            <w:tcW w:w="1403"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电磁感应与楞次定律实验</w:t>
            </w:r>
            <w:r/>
          </w:p>
        </w:tc>
        <w:tc>
          <w:tcPr>
            <w:shd w:val="clear" w:color="auto" w:fill="auto"/>
            <w:tcW w:w="624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color w:val="auto"/>
                <w:sz w:val="22"/>
                <w:szCs w:val="22"/>
                <w:highlight w:val="none"/>
                <w:lang w:val="en-US" w:eastAsia="zh-CN" w:bidi="ar"/>
              </w:rPr>
              <w:t xml:space="preserve">用无线彩屏微电流传感器、电磁感应与楞次定律实验器及附件完成“电磁感应与楞次定律实验”及功能演示</w:t>
            </w:r>
            <w:r>
              <w:rPr>
                <w:rFonts w:hint="eastAsia" w:ascii="宋体" w:hAnsi="宋体" w:cs="宋体"/>
                <w:b/>
                <w:bCs/>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1、无线彩屏微电流传感器由内置电容触摸屏的微电流传感器主体和电流探头两个独立的部分组成，点亮屏幕测量斜对角线长度≥10.8cm。正面为一整块电容触摸屏，无其他任何实体按键，全触屏人机交互。左侧边为开关机按键，USB充电/数据传输二合一接口，右侧边为滚轮调节键，上侧为电流BNC接插口，布局合理。能够脱机实验、不用连接任何设备、按开始按钮直接读取显示微电流数值。</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2、无线彩屏微电流传感器快速一键开机，有蜂鸣声提示，且开机到界面完整显示的时间小于3秒。触摸屏幕上方菜单栏按钮，即可1秒快速切换显示方式，默认显示时间、微电流的数字界面，有数字、曲线、表格、仪表≥4种显示方式，每种显示方式下，都可实时查看到清晰的数值变动。与终端（电脑或平板或手机）连接使用无线方式时，无需数据线，在屏幕上点击蓝牙连接，按钮处会清晰显示出4位数的蓝牙连接码，计算机中对应手动输入4位数的蓝牙地址就可开始无线通讯，查看到微电流的变化数值和曲线。</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3、正式实验时，不使用计算机设备，直接在传感器屏幕上交互操作并获取实验数据。使用的电磁感应与楞次定律实验器，应具有PCB电路底板，档位开关可选1匝、6匝和9匝线圈。实验开始前，可在屏幕上对微电流进行调零操作。做电流大小和速度的关系实验，档位开关选择右边，对应匝数为1匝，无线彩屏微电流传感器有曲线、仪表、表格、数字≥4种显示方式，切换至曲线显示方式，手持磁铁以横向慢速度穿过线圈，屏幕上有曲线变化，保存该实验。重复实验，手持磁铁以横向中速度和快速度再次做实验，三次数据可重叠显示在同一坐标轴上。</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4、连接计算机继续做电流大小和匝数的关系实验，档位开关依次选择1匝、6匝和9匝线圈，手持磁铁以横向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实际数据点与拟合曲线的相关度系数R&gt;0.98（数据点紧密围绕拟合曲线分布），均方根误差&lt;0.01。</w:t>
            </w:r>
            <w:r/>
          </w:p>
        </w:tc>
        <w:tc>
          <w:tcPr>
            <w:tcW w:w="747"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highlight w:val="none"/>
              </w:rPr>
            </w:pPr>
            <w:r>
              <w:rPr>
                <w:rFonts w:ascii="宋体" w:hAnsi="宋体" w:cs="宋体"/>
                <w:color w:val="auto"/>
                <w:sz w:val="24"/>
                <w:highlight w:val="none"/>
              </w:rPr>
            </w:r>
            <w:r/>
          </w:p>
        </w:tc>
      </w:tr>
    </w:tbl>
    <w:p>
      <w:pPr>
        <w:keepLines w:val="0"/>
        <w:keepNext w:val="0"/>
        <w:pageBreakBefore w:val="0"/>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采购包4：</w:t>
      </w:r>
      <w:r/>
    </w:p>
    <w:tbl>
      <w:tblPr>
        <w:tblStyle w:val="802"/>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演示内容</w:t>
            </w:r>
            <w:r>
              <w:rPr>
                <w:rFonts w:hint="eastAsia" w:ascii="宋体" w:hAnsi="宋体" w:cs="宋体"/>
                <w:b/>
                <w:bCs/>
                <w:color w:val="auto"/>
                <w:sz w:val="24"/>
                <w:highlight w:val="none"/>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15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通用技术教室（木工）的学生工作台</w:t>
            </w:r>
            <w:r>
              <w:rPr>
                <w:rFonts w:hint="eastAsia" w:ascii="宋体" w:hAnsi="宋体" w:cs="宋体"/>
                <w:i w:val="0"/>
                <w:iCs w:val="0"/>
                <w:color w:val="auto"/>
                <w:sz w:val="22"/>
                <w:szCs w:val="22"/>
                <w:highlight w:val="none"/>
                <w:u w:val="none"/>
                <w:lang w:val="en-US" w:eastAsia="zh-CN" w:bidi="ar"/>
              </w:rPr>
              <w:t xml:space="preserve">演示</w:t>
            </w:r>
            <w:r/>
          </w:p>
        </w:tc>
        <w:tc>
          <w:tcPr>
            <w:shd w:val="clear" w:color="auto" w:fill="auto"/>
            <w:tcW w:w="5897"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提供</w:t>
            </w:r>
            <w:r>
              <w:rPr>
                <w:rFonts w:hint="eastAsia" w:ascii="宋体" w:hAnsi="宋体" w:eastAsia="宋体" w:cs="宋体"/>
                <w:b/>
                <w:bCs/>
                <w:i w:val="0"/>
                <w:iCs w:val="0"/>
                <w:color w:val="auto"/>
                <w:sz w:val="22"/>
                <w:szCs w:val="22"/>
                <w:highlight w:val="none"/>
                <w:u w:val="none"/>
                <w:lang w:val="en-US" w:eastAsia="zh-CN" w:bidi="ar"/>
              </w:rPr>
              <w:t xml:space="preserve">通用技术教室（木工）的学生工作台实物</w:t>
            </w:r>
            <w:r>
              <w:rPr>
                <w:rFonts w:hint="eastAsia" w:ascii="宋体" w:hAnsi="宋体" w:cs="宋体"/>
                <w:b/>
                <w:bCs/>
                <w:i w:val="0"/>
                <w:iCs w:val="0"/>
                <w:color w:val="auto"/>
                <w:sz w:val="22"/>
                <w:szCs w:val="22"/>
                <w:highlight w:val="none"/>
                <w:u w:val="none"/>
                <w:lang w:val="en-US" w:eastAsia="zh-CN" w:bidi="ar"/>
              </w:rPr>
              <w:t xml:space="preserve">视频</w:t>
            </w:r>
            <w:r>
              <w:rPr>
                <w:rFonts w:hint="eastAsia" w:ascii="宋体" w:hAnsi="宋体" w:eastAsia="宋体" w:cs="宋体"/>
                <w:b/>
                <w:bCs/>
                <w:i w:val="0"/>
                <w:iCs w:val="0"/>
                <w:color w:val="auto"/>
                <w:sz w:val="22"/>
                <w:szCs w:val="22"/>
                <w:highlight w:val="none"/>
                <w:u w:val="none"/>
                <w:lang w:val="en-US" w:eastAsia="zh-CN" w:bidi="ar"/>
              </w:rPr>
              <w:t xml:space="preserve">演示</w:t>
            </w:r>
            <w:r>
              <w:rPr>
                <w:rFonts w:hint="eastAsia" w:ascii="宋体" w:hAnsi="宋体" w:cs="宋体"/>
                <w:b/>
                <w:bCs/>
                <w:i w:val="0"/>
                <w:iCs w:val="0"/>
                <w:color w:val="auto"/>
                <w:sz w:val="22"/>
                <w:szCs w:val="22"/>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整体外观尺寸说明：完整拍摄整套体工作台；现场丈量工作台长宽高尺寸。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结构工艺展示：工作台拼接转角、立柱横梁连接位置，特写连接结构；双手适度摇晃工作台，展示无松动、无异响。</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shd w:val="clear" w:color="auto" w:fill="auto"/>
            <w:tcW w:w="156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（金工）的金工工具</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（木工）的制作工具</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（电工）的电工工具</w:t>
            </w:r>
            <w:r>
              <w:rPr>
                <w:rFonts w:hint="eastAsia" w:ascii="宋体" w:hAnsi="宋体" w:cs="宋体"/>
                <w:i w:val="0"/>
                <w:iCs w:val="0"/>
                <w:color w:val="auto"/>
                <w:sz w:val="22"/>
                <w:szCs w:val="22"/>
                <w:highlight w:val="none"/>
                <w:u w:val="none"/>
                <w:lang w:val="en-US" w:eastAsia="zh-CN" w:bidi="ar"/>
              </w:rPr>
              <w:t xml:space="preserve">演示</w:t>
            </w:r>
            <w:r/>
          </w:p>
        </w:tc>
        <w:tc>
          <w:tcPr>
            <w:shd w:val="clear" w:color="auto" w:fill="auto"/>
            <w:tcW w:w="5897" w:type="dxa"/>
            <w:vAlign w:val="center"/>
            <w:textDirection w:val="lrTb"/>
            <w:noWrap w:val="false"/>
          </w:tcPr>
          <w:p>
            <w:pPr>
              <w:ind w:left="0" w:right="0" w:firstLine="0"/>
              <w:jc w:val="left"/>
              <w:keepLines w:val="0"/>
              <w:keepNext w:val="0"/>
              <w:widowControl/>
              <w:rPr>
                <w:rFonts w:hint="default"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提供以下样品实物视频：</w:t>
            </w:r>
            <w:r/>
          </w:p>
          <w:p>
            <w:pPr>
              <w:numPr>
                <w:ilvl w:val="0"/>
                <w:numId w:val="3"/>
              </w:numPr>
              <w:ind w:left="0" w:right="0" w:firstLine="0"/>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通用技术教室（金工）的金工工具；</w:t>
            </w:r>
            <w:r/>
          </w:p>
          <w:p>
            <w:pPr>
              <w:numPr>
                <w:ilvl w:val="0"/>
                <w:numId w:val="3"/>
              </w:numPr>
              <w:ind w:left="0" w:right="0" w:firstLine="0"/>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通用技术教室（木工）的制作工具；</w:t>
            </w:r>
            <w:r/>
          </w:p>
          <w:p>
            <w:pPr>
              <w:numPr>
                <w:ilvl w:val="0"/>
                <w:numId w:val="0"/>
              </w:numPr>
              <w:ind w:right="0"/>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3、通用技术教室（电工）的电工工具。</w:t>
            </w:r>
            <w:r/>
          </w:p>
          <w:p>
            <w:pPr>
              <w:ind w:left="0" w:right="0" w:firstLine="0"/>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拍摄角度要求：</w:t>
            </w:r>
            <w:r/>
          </w:p>
          <w:p>
            <w:pPr>
              <w:ind w:left="0" w:right="0" w:firstLine="0"/>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①整体外观；</w:t>
            </w:r>
            <w:r/>
          </w:p>
          <w:p>
            <w:pPr>
              <w:ind w:left="0" w:right="0" w:firstLine="0"/>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②正面全景：工具箱完全开启，平视正面拍摄，完整展示箱内所有工具按模具卡槽定点定位摆放。</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highlight w:val="none"/>
              </w:rPr>
            </w:pPr>
            <w:r>
              <w:rPr>
                <w:rFonts w:ascii="宋体" w:hAnsi="宋体" w:cs="宋体"/>
                <w:color w:val="auto"/>
                <w:sz w:val="24"/>
                <w:highlight w:val="none"/>
              </w:rPr>
            </w:r>
            <w:r/>
          </w:p>
        </w:tc>
      </w:tr>
      <w:tr>
        <w:trPr>
          <w:trHeight w:val="454"/>
        </w:trPr>
        <w:tc>
          <w:tcPr>
            <w:tcW w:w="0" w:type="auto"/>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教师端3D建模设备</w:t>
            </w:r>
            <w:r/>
          </w:p>
        </w:tc>
        <w:tc>
          <w:tcPr>
            <w:shd w:val="clear" w:color="auto" w:fill="auto"/>
            <w:tcW w:w="0" w:type="auto"/>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提供教师端3D建模设备实物视频演示：</w:t>
            </w:r>
            <w:r/>
          </w:p>
          <w:p>
            <w:pPr>
              <w:numPr>
                <w:ilvl w:val="0"/>
                <w:numId w:val="4"/>
              </w:numPr>
              <w:ind w:left="0" w:right="0" w:firstLine="0"/>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腔体结构、成型尺寸与平台系统</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展示设备全封闭落地箱体结构；调用设备参数界面展示设备成型空间规格；演示柔性打印平台拆装；设备启动自动开展校准作业，完成全自动调平功能演示。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2、高温打印系统、传感监测与照明</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展示一体化可更换喷嘴；设置喷头、热床目标温度并启动加热，验证喷头最高可达 320℃、热床最高可达 120℃；展示设备内置照明；模拟耗材中断场景，验证断料监测触发；设备运行状态下，振动传感器可识别设备工作振动信号。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3、人机交互、脱机打印与耗材兼容性</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操作≥4.3 英寸彩色触控屏，切换多语言界面；插入 U 盘读取模型文件，完成脱机打印任务下发；现场载入 PLA、TPU 或碳纤维复合类耗材配置方案，证明设备支持多种主流耗材打印。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4、空气安全防护与高速打印性能</w:t>
            </w:r>
            <w:r>
              <w:rPr>
                <w:rFonts w:hint="eastAsia" w:ascii="宋体" w:hAnsi="宋体" w:cs="宋体"/>
                <w:i w:val="0"/>
                <w:iCs w:val="0"/>
                <w:color w:val="auto"/>
                <w:sz w:val="22"/>
                <w:szCs w:val="22"/>
                <w:highlight w:val="none"/>
                <w:u w:val="none"/>
                <w:lang w:val="en-US" w:eastAsia="zh-CN" w:bidi="ar"/>
              </w:rPr>
              <w:t xml:space="preserve">：</w:t>
            </w:r>
            <w:r/>
          </w:p>
          <w:p>
            <w:pPr>
              <w:numPr>
                <w:ilvl w:val="0"/>
                <w:numId w:val="0"/>
              </w:numPr>
              <w:ind w:right="0"/>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开启设备内置空气净化系统，演示 HEPA 过滤模块正常工作；在设备界面调取打印速率设置，展示设备支持高速打印模式，实现≥32mm³/s 打印输出能力。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5、云端智能远程控制功能</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设备接入网络，连接手机移动端；演示手机远程查看打印进度、云端下发切片任务；支持多账号登录访问；调取设备内置模型库，可直接选用模型启动打印。</w:t>
            </w:r>
            <w:r/>
          </w:p>
        </w:tc>
        <w:tc>
          <w:tcPr>
            <w:tcW w:w="0" w:type="auto"/>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pStyle w:val="792"/>
        <w:keepLines w:val="0"/>
        <w:keepNext w:val="0"/>
        <w:pageBreakBefore w:val="0"/>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特别说明：</w:t>
      </w:r>
      <w:r/>
    </w:p>
    <w:p>
      <w:pPr>
        <w:pStyle w:val="792"/>
        <w:ind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1、单个视频附件压缩包大小不得超过50M，整体附件压缩包不得超过300M，压缩包文件格式为zip格式。</w:t>
      </w:r>
      <w:r/>
    </w:p>
    <w:p>
      <w:pPr>
        <w:pStyle w:val="792"/>
        <w:ind w:firstLine="482"/>
        <w:keepLines w:val="0"/>
        <w:keepNext w:val="0"/>
        <w:pageBreakBefore w:val="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2、如因演示视频较大无法上传的，投标人可将演示视频通过邮寄方式或提前递交方式（以U盘形式，密封递交，并注明“项目名称”及“演示视频”字样）。</w:t>
      </w:r>
      <w:r/>
    </w:p>
    <w:p>
      <w:pPr>
        <w:pStyle w:val="792"/>
        <w:ind w:firstLine="482"/>
        <w:keepLines w:val="0"/>
        <w:keepNext w:val="0"/>
        <w:pageBreakBefore w:val="0"/>
        <w:spacing w:line="360" w:lineRule="auto"/>
        <w:rPr>
          <w:b w:val="0"/>
          <w:bCs/>
          <w:color w:val="auto"/>
          <w:highlight w:val="none"/>
        </w:rPr>
      </w:pPr>
      <w:r>
        <w:rPr>
          <w:rFonts w:hint="eastAsia" w:ascii="宋体" w:hAnsi="宋体" w:cs="宋体"/>
          <w:b w:val="0"/>
          <w:bCs/>
          <w:color w:val="auto"/>
          <w:sz w:val="24"/>
          <w:highlight w:val="none"/>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联系方式：13014009996</w:t>
      </w:r>
      <w:r>
        <w:rPr>
          <w:rFonts w:hint="eastAsia" w:ascii="宋体" w:hAnsi="宋体" w:cs="宋体"/>
          <w:b w:val="0"/>
          <w:bCs/>
          <w:color w:val="auto"/>
          <w:sz w:val="24"/>
          <w:highlight w:val="none"/>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、验收标准（验收要求、验收标准和程序）要求：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（三）验收程序要求：</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lang w:eastAsia="zh-CN"/>
        </w:rPr>
        <w:t xml:space="preserve">予以配合。中标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lang w:eastAsia="zh-CN"/>
        </w:rPr>
        <w:t xml:space="preserve">提供的必要文件。</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3、设备安装完成后，采购人安排专人按照货物技术指标要求和中标</w:t>
      </w:r>
      <w:r>
        <w:rPr>
          <w:rFonts w:hint="eastAsia" w:ascii="宋体" w:hAnsi="宋体" w:cs="宋体"/>
          <w:color w:val="auto"/>
          <w:sz w:val="24"/>
          <w:highlight w:val="none"/>
          <w:lang w:val="en-US" w:eastAsia="zh-CN"/>
        </w:rPr>
        <w:t xml:space="preserve">单位</w:t>
      </w:r>
      <w:r>
        <w:rPr>
          <w:rFonts w:hint="eastAsia" w:ascii="宋体" w:hAnsi="宋体" w:cs="宋体"/>
          <w:color w:val="auto"/>
          <w:sz w:val="24"/>
          <w:highlight w:val="none"/>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十</w:t>
      </w:r>
      <w:r>
        <w:rPr>
          <w:rFonts w:hint="eastAsia" w:ascii="宋体" w:hAnsi="宋体" w:eastAsia="宋体" w:cs="宋体"/>
          <w:b/>
          <w:bCs w:val="0"/>
          <w:color w:val="auto"/>
          <w:sz w:val="24"/>
          <w:highlight w:val="none"/>
        </w:rPr>
        <w:t xml:space="preserve">、报价要求</w:t>
      </w:r>
      <w:r/>
    </w:p>
    <w:p>
      <w:pPr>
        <w:ind w:firstLine="48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1</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本项目总预算为人民币861.25万元，且本项目不接收超过采购包1：人民币279.65万元（最高限价）；采购包2：人民币195.85万元（最高限价）；采购包3：人民币196.05万元（最高限价）；采购包4：人民币109.50万元（最高限价）的投标报价。</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highlight w:val="none"/>
          <w:lang w:val="en-US" w:eastAsia="zh-CN"/>
        </w:rPr>
        <w:t xml:space="preserve">十一</w:t>
      </w:r>
      <w:r>
        <w:rPr>
          <w:rFonts w:hint="eastAsia" w:ascii="宋体" w:hAnsi="宋体" w:eastAsia="宋体" w:cs="宋体"/>
          <w:b/>
          <w:bCs/>
          <w:color w:val="auto"/>
          <w:sz w:val="24"/>
          <w:highlight w:val="none"/>
        </w:rPr>
        <w:t xml:space="preserve">、其他要求：见招标文件第五章《拟签订的合同文本》</w:t>
      </w:r>
      <w:r>
        <w:rPr>
          <w:rFonts w:hint="eastAsia" w:ascii="宋体" w:hAnsi="宋体" w:cs="宋体"/>
          <w:b/>
          <w:bCs/>
          <w:color w:val="auto"/>
          <w:sz w:val="24"/>
          <w:highlight w:val="none"/>
          <w:lang w:eastAsia="zh-CN"/>
        </w:rPr>
        <w:t xml:space="preserve">。</w:t>
      </w:r>
      <w:r/>
    </w:p>
    <w:p>
      <w:pPr>
        <w:jc w:val="center"/>
        <w:spacing w:line="360" w:lineRule="auto"/>
        <w:rPr>
          <w:rFonts w:hint="eastAsia" w:asciiTheme="minorEastAsia" w:hAnsiTheme="minorEastAsia" w:eastAsiaTheme="minorEastAsia" w:cstheme="minorEastAsia"/>
          <w:color w:val="auto"/>
          <w:sz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highlight w:val="none"/>
        </w:rPr>
        <w:t xml:space="preserve">第七章</w:t>
      </w:r>
      <w:r>
        <w:rPr>
          <w:rFonts w:hint="eastAsia" w:asciiTheme="minorEastAsia" w:hAnsiTheme="minorEastAsia" w:eastAsiaTheme="minorEastAsia" w:cstheme="minorEastAsia"/>
          <w:b/>
          <w:color w:val="auto"/>
          <w:sz w:val="30"/>
          <w:highlight w:val="none"/>
          <w:lang w:val="en-US" w:eastAsia="zh-CN"/>
        </w:rPr>
        <w:t xml:space="preserve"> </w:t>
      </w:r>
      <w:r>
        <w:rPr>
          <w:rFonts w:hint="eastAsia" w:asciiTheme="minorEastAsia" w:hAnsiTheme="minorEastAsia" w:eastAsiaTheme="minorEastAsia" w:cstheme="minorEastAsia"/>
          <w:b/>
          <w:color w:val="auto"/>
          <w:sz w:val="30"/>
          <w:highlight w:val="none"/>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项目[项目编号：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]招标文件，</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(姓名)代表我方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二、开标一览表格式</w:t>
      </w:r>
      <w:r>
        <w:rPr>
          <w:rFonts w:hint="eastAsia" w:asciiTheme="minorEastAsia" w:hAnsiTheme="minorEastAsia" w:eastAsiaTheme="minorEastAsia" w:cstheme="minorEastAsia"/>
          <w:b/>
          <w:bCs/>
          <w:color w:val="auto"/>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三、分项价格表格式</w:t>
      </w:r>
      <w:r/>
    </w:p>
    <w:p>
      <w:pPr>
        <w:ind w:firstLine="600"/>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货币单位：人民币元</w:t>
      </w:r>
      <w:r/>
    </w:p>
    <w:p>
      <w:pPr>
        <w:ind w:firstLine="31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bl>
      <w:tblPr>
        <w:tblStyle w:val="77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640"/>
        <w:spacing w:line="30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6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投标人对以上数据的真实性负责。</w:t>
      </w:r>
      <w:r/>
    </w:p>
    <w:p>
      <w:pPr>
        <w:numPr>
          <w:ilvl w:val="0"/>
          <w:numId w:val="0"/>
        </w:numPr>
        <w:jc w:val="left"/>
        <w:widowControl/>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3、各采购包分别填写。</w:t>
      </w:r>
      <w:r/>
    </w:p>
    <w:p>
      <w:pPr>
        <w:jc w:val="lef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四、偏离表格式</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项目编号：</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项目名称：</w:t>
      </w:r>
      <w:r/>
    </w:p>
    <w:tbl>
      <w:tblPr>
        <w:tblStyle w:val="80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w:t>
      </w:r>
      <w:r/>
    </w:p>
    <w:p>
      <w:pPr>
        <w:numPr>
          <w:ilvl w:val="0"/>
          <w:numId w:val="5"/>
        </w:num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0"/>
        </w:numPr>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900"/>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jc w:val="center"/>
        <w:spacing w:line="479" w:lineRule="atLeast"/>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五、授权委托书格式</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委托人：</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地址：</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法定代表人：</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职务：</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统一社会信用代码：</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受托人：        性别：男（女）</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年龄：  岁      民族：  族</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职务：</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身份证号：</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兹委托（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）全权代表我企业（公司）参与（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）项目（项目编号：</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）的招、投标活动及签订合同。（</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）无转委托权。</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委托期限自</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日起至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日止。</w:t>
      </w:r>
      <w:r/>
    </w:p>
    <w:p>
      <w:pPr>
        <w:ind w:firstLine="63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受托人（签字或盖章）：</w:t>
      </w:r>
      <w:r/>
    </w:p>
    <w:p>
      <w:pPr>
        <w:pStyle w:val="785"/>
        <w:ind w:left="0" w:firstLine="602"/>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受托人联系方式：</w:t>
      </w:r>
      <w:r>
        <w:rPr>
          <w:rFonts w:hint="eastAsia" w:asciiTheme="minorEastAsia" w:hAnsiTheme="minorEastAsia" w:eastAsiaTheme="minorEastAsia" w:cstheme="minorEastAsia"/>
          <w:b/>
          <w:bCs/>
          <w:color w:val="auto"/>
          <w:sz w:val="28"/>
          <w:szCs w:val="28"/>
          <w:highlight w:val="none"/>
          <w:lang w:val="en-US" w:eastAsia="zh-CN"/>
        </w:rPr>
        <w:t xml:space="preserve">                   </w:t>
      </w:r>
      <w:r>
        <w:rPr>
          <w:rFonts w:hint="eastAsia" w:asciiTheme="minorEastAsia" w:hAnsiTheme="minorEastAsia" w:eastAsiaTheme="minorEastAsia" w:cstheme="minorEastAsia"/>
          <w:b/>
          <w:bCs/>
          <w:color w:val="auto"/>
          <w:sz w:val="28"/>
          <w:szCs w:val="28"/>
          <w:highlight w:val="none"/>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年  月</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 xml:space="preserve">日 </w:t>
      </w:r>
      <w:r/>
    </w:p>
    <w:p>
      <w:pPr>
        <w:spacing w:line="360" w:lineRule="auto"/>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rPr>
        <w:t xml:space="preserve">(受托人</w:t>
      </w:r>
      <w:r>
        <w:rPr>
          <w:rFonts w:hint="eastAsia" w:asciiTheme="minorEastAsia" w:hAnsiTheme="minorEastAsia" w:cstheme="minorEastAsia"/>
          <w:b/>
          <w:bCs/>
          <w:color w:val="auto"/>
          <w:sz w:val="28"/>
          <w:szCs w:val="28"/>
          <w:highlight w:val="none"/>
          <w:lang w:val="en-US" w:eastAsia="zh-CN"/>
        </w:rPr>
        <w:t xml:space="preserve">有效期内的</w:t>
      </w:r>
      <w:r>
        <w:rPr>
          <w:rFonts w:hint="eastAsia" w:asciiTheme="minorEastAsia" w:hAnsiTheme="minorEastAsia" w:eastAsiaTheme="minorEastAsia" w:cstheme="minorEastAsia"/>
          <w:b/>
          <w:bCs/>
          <w:color w:val="auto"/>
          <w:sz w:val="28"/>
          <w:szCs w:val="28"/>
          <w:highlight w:val="none"/>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highlight w:val="none"/>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中小企业声明函</w:t>
      </w:r>
      <w:r>
        <w:rPr>
          <w:rFonts w:hint="eastAsia" w:asciiTheme="minorEastAsia" w:hAnsiTheme="minorEastAsia" w:cstheme="minorEastAsia"/>
          <w:b/>
          <w:bCs/>
          <w:color w:val="auto"/>
          <w:sz w:val="32"/>
          <w:szCs w:val="32"/>
          <w:highlight w:val="none"/>
          <w:lang w:eastAsia="zh-CN"/>
        </w:rPr>
        <w:t xml:space="preserve">（</w:t>
      </w:r>
      <w:r>
        <w:rPr>
          <w:rFonts w:hint="eastAsia" w:asciiTheme="minorEastAsia" w:hAnsiTheme="minorEastAsia" w:cstheme="minorEastAsia"/>
          <w:b/>
          <w:bCs/>
          <w:color w:val="auto"/>
          <w:sz w:val="32"/>
          <w:szCs w:val="32"/>
          <w:highlight w:val="none"/>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w:t>
      </w:r>
      <w:r>
        <w:rPr>
          <w:rFonts w:hint="eastAsia" w:asciiTheme="minorEastAsia" w:hAnsiTheme="minorEastAsia" w:eastAsiaTheme="minorEastAsia" w:cstheme="minorEastAsia"/>
          <w:color w:val="auto"/>
          <w:sz w:val="28"/>
          <w:szCs w:val="28"/>
          <w:highlight w:val="none"/>
        </w:rPr>
        <w:t xml:space="preserve">）的（</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）采购活动，提供的货物全部由符合政策要求的中小企业制造。相关企业的具体情况如下：</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4"/>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784"/>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本企业对上述声明内容的真实性负责。如有虚假，将依法承担相应责任。</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企业名称（电子签章）：</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日期：  年  月  日</w:t>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84"/>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2、从业人员、营业收入、资产总额填报供应商上一年度数据，无上一年度数据的新成立企业可不填报。</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784"/>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8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项目编号：</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r>
      <w:r/>
    </w:p>
    <w:p>
      <w:pPr>
        <w:ind w:firstLine="624"/>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highlight w:val="none"/>
        </w:rPr>
        <w:t xml:space="preserve">〔2017〕 141</w:t>
      </w:r>
      <w:r>
        <w:rPr>
          <w:rFonts w:hint="eastAsia" w:asciiTheme="minorEastAsia" w:hAnsiTheme="minorEastAsia" w:eastAsiaTheme="minorEastAsia" w:cstheme="minorEastAsia"/>
          <w:color w:val="auto"/>
          <w:spacing w:val="6"/>
          <w:sz w:val="28"/>
          <w:szCs w:val="28"/>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pacing w:val="6"/>
          <w:sz w:val="28"/>
          <w:szCs w:val="28"/>
          <w:highlight w:val="none"/>
        </w:rPr>
        <w:t xml:space="preserve">单位的</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日期： 年 月 日</w:t>
      </w:r>
      <w:r/>
    </w:p>
    <w:p>
      <w:pPr>
        <w:ind w:firstLine="45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我单位在参加</w:t>
      </w:r>
      <w:r>
        <w:rPr>
          <w:rFonts w:hint="eastAsia" w:asciiTheme="minorEastAsia" w:hAnsiTheme="minorEastAsia" w:eastAsiaTheme="minorEastAsia" w:cstheme="minorEastAsia"/>
          <w:color w:val="auto"/>
          <w:sz w:val="28"/>
          <w:szCs w:val="28"/>
          <w:highlight w:val="none"/>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u w:val="single"/>
          <w:lang w:val="en-US" w:eastAsia="zh-CN"/>
        </w:rPr>
        <w:t xml:space="preserve">JSZC-320324-HWZX-G2026-0428</w:t>
      </w:r>
      <w:r>
        <w:rPr>
          <w:rFonts w:hint="eastAsia" w:asciiTheme="minorEastAsia" w:hAnsiTheme="minorEastAsia" w:eastAsiaTheme="minorEastAsia" w:cstheme="minorEastAsia"/>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投标人：</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 </w:t>
      </w:r>
      <w:r/>
    </w:p>
    <w:p>
      <w:pP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highlight w:val="none"/>
        </w:rPr>
        <w:t xml:space="preserve">日期： 年 月 日</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jc w:val="center"/>
        <w:spacing w:line="85"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highlight w:val="none"/>
        </w:rPr>
        <w:t xml:space="preserve"> </w:t>
      </w:r>
      <w:r/>
    </w:p>
    <w:p>
      <w:pPr>
        <w:ind w:firstLine="600"/>
        <w:jc w:val="center"/>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九、关于符合本国产品标准的声明函</w:t>
      </w:r>
      <w:r>
        <w:rPr>
          <w:rFonts w:hint="eastAsia"/>
          <w:color w:val="auto"/>
          <w:highlight w:val="none"/>
        </w:rPr>
        <w:t xml:space="preserve"> </w:t>
      </w:r>
      <w:r/>
    </w:p>
    <w:p>
      <w:pPr>
        <w:pStyle w:val="80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800"/>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关于符合本国产品标准的声明函（采购包1）</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4"/>
        <w:ind w:left="0" w:firstLine="561"/>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4"/>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784"/>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0"/>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0"/>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0"/>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00"/>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800"/>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4"/>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4"/>
        <w:ind w:left="0" w:firstLine="560"/>
        <w:keepLines w:val="0"/>
        <w:keepNext w:val="0"/>
        <w:pageBreakBefore w:val="0"/>
        <w:spacing w:after="0" w:line="440" w:lineRule="exact"/>
        <w:widowControl w:val="off"/>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0"/>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0"/>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0"/>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0"/>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0"/>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0"/>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0"/>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0"/>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0"/>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00"/>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关于符合本国产品标准的声明函（采购包3）</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4"/>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4"/>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0"/>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0"/>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0"/>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0"/>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800"/>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关于符合本国产品标准的声明函（采购包4）</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4"/>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4"/>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注：须按招标文件第六章《采购需求》中，二、采购清单中的产品依次填写。</w:t>
      </w:r>
      <w:r/>
    </w:p>
    <w:p>
      <w:pPr>
        <w:pStyle w:val="800"/>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0"/>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00"/>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00"/>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00"/>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00"/>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keepLines w:val="0"/>
        <w:keepNext w:val="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郑重声明：投标人具备履行合同（项目名称：</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所必需的设备和专业技术能力， 具体为：</w:t>
      </w:r>
      <w:r/>
    </w:p>
    <w:p>
      <w:pPr>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1、</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2、</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1、</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u w:val="none"/>
          <w:lang w:val="en-US" w:eastAsia="zh-CN"/>
        </w:rPr>
        <w:t xml:space="preserve">2、</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（证明材料扫描件附后）</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keepLines w:val="0"/>
        <w:keepNext w:val="0"/>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keepLines w:val="0"/>
        <w:keepNext w:val="0"/>
        <w:pageBreakBefore w:val="0"/>
        <w:spacing w:line="360" w:lineRule="auto"/>
        <w:rPr>
          <w:rFonts w:ascii="宋体" w:hAnsi="宋体" w:cs="宋体"/>
          <w:color w:val="auto"/>
          <w:spacing w:val="6"/>
          <w:sz w:val="28"/>
          <w:szCs w:val="28"/>
          <w:highlight w:val="none"/>
        </w:rPr>
      </w:pP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对上述声明的真实性负责。如有虚假，将依法承担相应责任。</w:t>
      </w:r>
      <w:r/>
    </w:p>
    <w:p>
      <w:pPr>
        <w:jc w:val="left"/>
        <w:keepLines w:val="0"/>
        <w:keepNext w:val="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83"/>
        <w:keepLines w:val="0"/>
        <w:keepNext w:val="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keepLines w:val="0"/>
        <w:keepNext w:val="0"/>
        <w:pageBreakBefore w:val="0"/>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投标人（电子签章）：</w:t>
      </w:r>
      <w:r/>
    </w:p>
    <w:p>
      <w:pPr>
        <w:ind w:right="29"/>
        <w:keepLines w:val="0"/>
        <w:keepNext w:val="0"/>
        <w:pageBreakBefore w:val="0"/>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highlight w:val="none"/>
          <w:lang w:val="en-US" w:eastAsia="zh-CN"/>
        </w:rPr>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十一</w:t>
      </w:r>
      <w:r>
        <w:rPr>
          <w:rFonts w:hint="eastAsia" w:asciiTheme="minorEastAsia" w:hAnsiTheme="minorEastAsia" w:eastAsiaTheme="minorEastAsia" w:cstheme="minorEastAsia"/>
          <w:b/>
          <w:bCs/>
          <w:color w:val="auto"/>
          <w:sz w:val="32"/>
          <w:szCs w:val="32"/>
          <w:highlight w:val="none"/>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pStyle w:val="792"/>
        <w:ind w:firstLine="480"/>
        <w:spacing w:line="360" w:lineRule="auto"/>
        <w:rPr>
          <w:color w:val="auto"/>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73"/>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rPr>
                              <w:rStyle w:val="973"/>
                            </w:rPr>
                          </w:pPr>
                          <w:r/>
                          <w:r/>
                        </w:p>
                        <w:p>
                          <w:pPr>
                            <w:rPr>
                              <w:rStyle w:val="973"/>
                            </w:rPr>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rPr>
                        <w:rStyle w:val="973"/>
                      </w:rPr>
                    </w:pPr>
                    <w:r/>
                    <w:r/>
                  </w:p>
                  <w:p>
                    <w:pPr>
                      <w:rPr>
                        <w:rStyle w:val="973"/>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name w:val="Heading 1"/>
    <w:basedOn w:val="767"/>
    <w:next w:val="767"/>
    <w:link w:val="806"/>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0">
    <w:name w:val="Heading 3"/>
    <w:basedOn w:val="767"/>
    <w:next w:val="767"/>
    <w:link w:val="808"/>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09"/>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0"/>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11"/>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13"/>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14"/>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0"/>
    <w:semiHidden/>
    <w:qFormat/>
  </w:style>
  <w:style w:type="table" w:styleId="778" w:default="1">
    <w:name w:val="Normal Table"/>
    <w:uiPriority w:val="0"/>
    <w:semiHidden/>
    <w:qFormat/>
    <w:tblPr>
      <w:tblCellMar>
        <w:left w:w="108" w:type="dxa"/>
        <w:top w:w="0" w:type="dxa"/>
        <w:right w:w="108" w:type="dxa"/>
        <w:bottom w:w="0" w:type="dxa"/>
      </w:tblCellMar>
    </w:tblPr>
  </w:style>
  <w:style w:type="paragraph" w:styleId="779">
    <w:name w:val="toc 7"/>
    <w:basedOn w:val="767"/>
    <w:next w:val="767"/>
    <w:uiPriority w:val="39"/>
    <w:unhideWhenUsed/>
    <w:qFormat/>
    <w:pPr>
      <w:ind w:left="1701" w:right="0" w:firstLine="0"/>
      <w:spacing w:after="57"/>
    </w:pPr>
  </w:style>
  <w:style w:type="paragraph" w:styleId="780">
    <w:name w:val="Normal Indent"/>
    <w:basedOn w:val="767"/>
    <w:uiPriority w:val="0"/>
    <w:qFormat/>
    <w:pPr>
      <w:ind w:firstLine="420"/>
    </w:pPr>
  </w:style>
  <w:style w:type="paragraph" w:styleId="781">
    <w:name w:val="Caption"/>
    <w:basedOn w:val="767"/>
    <w:next w:val="76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2">
    <w:name w:val="annotation text"/>
    <w:basedOn w:val="767"/>
    <w:uiPriority w:val="0"/>
    <w:qFormat/>
    <w:pPr>
      <w:jc w:val="left"/>
    </w:pPr>
  </w:style>
  <w:style w:type="paragraph" w:styleId="783">
    <w:name w:val="Body Text"/>
    <w:basedOn w:val="767"/>
    <w:next w:val="767"/>
    <w:uiPriority w:val="99"/>
    <w:qFormat/>
    <w:pPr>
      <w:spacing w:after="120"/>
    </w:pPr>
    <w:rPr>
      <w:rFonts w:ascii="Calibri" w:hAnsi="Calibri"/>
    </w:rPr>
  </w:style>
  <w:style w:type="paragraph" w:styleId="784">
    <w:name w:val="Body Text Indent"/>
    <w:basedOn w:val="767"/>
    <w:uiPriority w:val="0"/>
    <w:qFormat/>
    <w:pPr>
      <w:ind w:left="420"/>
      <w:spacing w:after="120"/>
    </w:pPr>
    <w:rPr>
      <w:rFonts w:ascii="Calibri" w:hAnsi="Calibri"/>
    </w:rPr>
  </w:style>
  <w:style w:type="paragraph" w:styleId="785">
    <w:name w:val="Block Text"/>
    <w:basedOn w:val="767"/>
    <w:uiPriority w:val="99"/>
    <w:unhideWhenUsed/>
    <w:qFormat/>
    <w:pPr>
      <w:ind w:left="1440" w:right="1440"/>
      <w:spacing w:after="120"/>
    </w:pPr>
  </w:style>
  <w:style w:type="paragraph" w:styleId="786">
    <w:name w:val="toc 5"/>
    <w:basedOn w:val="767"/>
    <w:next w:val="767"/>
    <w:uiPriority w:val="39"/>
    <w:unhideWhenUsed/>
    <w:qFormat/>
    <w:pPr>
      <w:ind w:left="1134" w:right="0" w:firstLine="0"/>
      <w:spacing w:after="57"/>
    </w:pPr>
  </w:style>
  <w:style w:type="paragraph" w:styleId="787">
    <w:name w:val="toc 3"/>
    <w:basedOn w:val="767"/>
    <w:next w:val="767"/>
    <w:uiPriority w:val="39"/>
    <w:unhideWhenUsed/>
    <w:qFormat/>
    <w:pPr>
      <w:ind w:left="567" w:right="0" w:firstLine="0"/>
      <w:spacing w:after="57"/>
    </w:pPr>
  </w:style>
  <w:style w:type="paragraph" w:styleId="788">
    <w:name w:val="toc 8"/>
    <w:basedOn w:val="767"/>
    <w:next w:val="767"/>
    <w:uiPriority w:val="39"/>
    <w:unhideWhenUsed/>
    <w:qFormat/>
    <w:pPr>
      <w:ind w:left="1984" w:right="0" w:firstLine="0"/>
      <w:spacing w:after="57"/>
    </w:pPr>
  </w:style>
  <w:style w:type="paragraph" w:styleId="789">
    <w:name w:val="endnote text"/>
    <w:basedOn w:val="767"/>
    <w:link w:val="951"/>
    <w:uiPriority w:val="99"/>
    <w:semiHidden/>
    <w:unhideWhenUsed/>
    <w:qFormat/>
    <w:pPr>
      <w:spacing w:after="0" w:line="240" w:lineRule="auto"/>
    </w:pPr>
    <w:rPr>
      <w:sz w:val="20"/>
    </w:rPr>
  </w:style>
  <w:style w:type="paragraph" w:styleId="790">
    <w:name w:val="Footer"/>
    <w:basedOn w:val="767"/>
    <w:uiPriority w:val="99"/>
    <w:qFormat/>
    <w:pPr>
      <w:jc w:val="left"/>
      <w:tabs>
        <w:tab w:val="center" w:pos="4153" w:leader="none"/>
        <w:tab w:val="right" w:pos="8306" w:leader="none"/>
      </w:tabs>
    </w:pPr>
    <w:rPr>
      <w:sz w:val="18"/>
      <w:szCs w:val="18"/>
    </w:rPr>
  </w:style>
  <w:style w:type="paragraph" w:styleId="791">
    <w:name w:val="Header"/>
    <w:basedOn w:val="767"/>
    <w:uiPriority w:val="99"/>
    <w:qFormat/>
    <w:pPr>
      <w:jc w:val="center"/>
      <w:tabs>
        <w:tab w:val="center" w:pos="4153" w:leader="none"/>
        <w:tab w:val="right" w:pos="8306" w:leader="none"/>
      </w:tabs>
      <w:pBdr>
        <w:bottom w:val="single" w:color="auto" w:sz="6" w:space="1"/>
      </w:pBdr>
    </w:pPr>
    <w:rPr>
      <w:sz w:val="18"/>
      <w:szCs w:val="18"/>
    </w:rPr>
  </w:style>
  <w:style w:type="paragraph" w:styleId="792">
    <w:name w:val="toc 1"/>
    <w:basedOn w:val="767"/>
    <w:next w:val="767"/>
    <w:uiPriority w:val="39"/>
    <w:qFormat/>
  </w:style>
  <w:style w:type="paragraph" w:styleId="793">
    <w:name w:val="toc 4"/>
    <w:basedOn w:val="767"/>
    <w:next w:val="767"/>
    <w:uiPriority w:val="39"/>
    <w:unhideWhenUsed/>
    <w:qFormat/>
    <w:pPr>
      <w:ind w:left="850" w:right="0" w:firstLine="0"/>
      <w:spacing w:after="57"/>
    </w:pPr>
  </w:style>
  <w:style w:type="paragraph" w:styleId="794">
    <w:name w:val="Subtitle"/>
    <w:basedOn w:val="767"/>
    <w:next w:val="767"/>
    <w:link w:val="817"/>
    <w:uiPriority w:val="11"/>
    <w:qFormat/>
    <w:pPr>
      <w:spacing w:before="200" w:after="200"/>
    </w:pPr>
    <w:rPr>
      <w:sz w:val="24"/>
      <w:szCs w:val="24"/>
    </w:rPr>
  </w:style>
  <w:style w:type="paragraph" w:styleId="795">
    <w:name w:val="footnote text"/>
    <w:basedOn w:val="767"/>
    <w:link w:val="950"/>
    <w:uiPriority w:val="99"/>
    <w:semiHidden/>
    <w:unhideWhenUsed/>
    <w:qFormat/>
    <w:pPr>
      <w:spacing w:after="40" w:line="240" w:lineRule="auto"/>
    </w:pPr>
    <w:rPr>
      <w:sz w:val="18"/>
    </w:rPr>
  </w:style>
  <w:style w:type="paragraph" w:styleId="796">
    <w:name w:val="toc 6"/>
    <w:basedOn w:val="767"/>
    <w:next w:val="767"/>
    <w:uiPriority w:val="39"/>
    <w:unhideWhenUsed/>
    <w:qFormat/>
    <w:pPr>
      <w:ind w:left="1417" w:right="0" w:firstLine="0"/>
      <w:spacing w:after="57"/>
    </w:pPr>
  </w:style>
  <w:style w:type="paragraph" w:styleId="797">
    <w:name w:val="table of figures"/>
    <w:basedOn w:val="767"/>
    <w:next w:val="767"/>
    <w:uiPriority w:val="99"/>
    <w:unhideWhenUsed/>
    <w:qFormat/>
    <w:pPr>
      <w:spacing w:after="0" w:afterAutospacing="0"/>
    </w:pPr>
  </w:style>
  <w:style w:type="paragraph" w:styleId="798">
    <w:name w:val="toc 2"/>
    <w:basedOn w:val="767"/>
    <w:next w:val="767"/>
    <w:uiPriority w:val="39"/>
    <w:unhideWhenUsed/>
    <w:qFormat/>
    <w:pPr>
      <w:ind w:left="283" w:right="0" w:firstLine="0"/>
      <w:spacing w:after="57"/>
    </w:pPr>
  </w:style>
  <w:style w:type="paragraph" w:styleId="799">
    <w:name w:val="toc 9"/>
    <w:basedOn w:val="767"/>
    <w:next w:val="767"/>
    <w:uiPriority w:val="39"/>
    <w:unhideWhenUsed/>
    <w:qFormat/>
    <w:pPr>
      <w:ind w:left="2268" w:right="0" w:firstLine="0"/>
      <w:spacing w:after="57"/>
    </w:pPr>
  </w:style>
  <w:style w:type="paragraph" w:styleId="800">
    <w:name w:val="Normal (Web)"/>
    <w:basedOn w:val="767"/>
    <w:uiPriority w:val="0"/>
    <w:qFormat/>
    <w:pPr>
      <w:jc w:val="left"/>
      <w:spacing w:before="100" w:beforeAutospacing="1" w:after="100" w:afterAutospacing="1"/>
      <w:widowControl/>
    </w:pPr>
    <w:rPr>
      <w:rFonts w:ascii="宋体" w:hAnsi="宋体" w:cs="宋体"/>
      <w:sz w:val="24"/>
    </w:rPr>
  </w:style>
  <w:style w:type="paragraph" w:styleId="801">
    <w:name w:val="Title"/>
    <w:basedOn w:val="767"/>
    <w:next w:val="767"/>
    <w:link w:val="816"/>
    <w:uiPriority w:val="10"/>
    <w:qFormat/>
    <w:pPr>
      <w:contextualSpacing/>
      <w:spacing w:before="300" w:after="200"/>
    </w:pPr>
    <w:rPr>
      <w:sz w:val="48"/>
      <w:szCs w:val="48"/>
    </w:rPr>
  </w:style>
  <w:style w:type="table" w:styleId="802">
    <w:name w:val="Table Grid"/>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basedOn w:val="777"/>
    <w:uiPriority w:val="99"/>
    <w:semiHidden/>
    <w:unhideWhenUsed/>
    <w:qFormat/>
    <w:rPr>
      <w:vertAlign w:val="superscript"/>
    </w:rPr>
  </w:style>
  <w:style w:type="character" w:styleId="804">
    <w:name w:val="Hyperlink"/>
    <w:basedOn w:val="777"/>
    <w:uiPriority w:val="99"/>
    <w:unhideWhenUsed/>
    <w:qFormat/>
    <w:rPr>
      <w:color w:val="0000ff"/>
      <w:u w:val="none"/>
    </w:rPr>
  </w:style>
  <w:style w:type="character" w:styleId="805">
    <w:name w:val="footnote reference"/>
    <w:basedOn w:val="777"/>
    <w:uiPriority w:val="99"/>
    <w:unhideWhenUsed/>
    <w:qFormat/>
    <w:rPr>
      <w:vertAlign w:val="superscript"/>
    </w:rPr>
  </w:style>
  <w:style w:type="character" w:styleId="806" w:customStyle="1">
    <w:name w:val="Heading 1 Char"/>
    <w:basedOn w:val="777"/>
    <w:link w:val="768"/>
    <w:uiPriority w:val="9"/>
    <w:qFormat/>
    <w:rPr>
      <w:rFonts w:ascii="Arial" w:hAnsi="Arial" w:eastAsia="Arial" w:cs="Arial"/>
      <w:sz w:val="40"/>
      <w:szCs w:val="40"/>
    </w:rPr>
  </w:style>
  <w:style w:type="character" w:styleId="807" w:customStyle="1">
    <w:name w:val="Heading 2 Char"/>
    <w:basedOn w:val="777"/>
    <w:uiPriority w:val="9"/>
    <w:qFormat/>
    <w:rPr>
      <w:rFonts w:ascii="Arial" w:hAnsi="Arial" w:eastAsia="Arial" w:cs="Arial"/>
      <w:sz w:val="34"/>
    </w:rPr>
  </w:style>
  <w:style w:type="character" w:styleId="808" w:customStyle="1">
    <w:name w:val="Heading 3 Char"/>
    <w:basedOn w:val="777"/>
    <w:link w:val="770"/>
    <w:uiPriority w:val="9"/>
    <w:qFormat/>
    <w:rPr>
      <w:rFonts w:ascii="Arial" w:hAnsi="Arial" w:eastAsia="Arial" w:cs="Arial"/>
      <w:sz w:val="30"/>
      <w:szCs w:val="30"/>
    </w:rPr>
  </w:style>
  <w:style w:type="character" w:styleId="809" w:customStyle="1">
    <w:name w:val="Heading 4 Char"/>
    <w:basedOn w:val="777"/>
    <w:link w:val="771"/>
    <w:uiPriority w:val="9"/>
    <w:qFormat/>
    <w:rPr>
      <w:rFonts w:ascii="Arial" w:hAnsi="Arial" w:eastAsia="Arial" w:cs="Arial"/>
      <w:b/>
      <w:bCs/>
      <w:sz w:val="26"/>
      <w:szCs w:val="26"/>
    </w:rPr>
  </w:style>
  <w:style w:type="character" w:styleId="810" w:customStyle="1">
    <w:name w:val="Heading 5 Char"/>
    <w:basedOn w:val="777"/>
    <w:link w:val="772"/>
    <w:uiPriority w:val="9"/>
    <w:qFormat/>
    <w:rPr>
      <w:rFonts w:ascii="Arial" w:hAnsi="Arial" w:eastAsia="Arial" w:cs="Arial"/>
      <w:b/>
      <w:bCs/>
      <w:sz w:val="24"/>
      <w:szCs w:val="24"/>
    </w:rPr>
  </w:style>
  <w:style w:type="character" w:styleId="811" w:customStyle="1">
    <w:name w:val="Heading 6 Char"/>
    <w:basedOn w:val="777"/>
    <w:link w:val="773"/>
    <w:uiPriority w:val="9"/>
    <w:qFormat/>
    <w:rPr>
      <w:rFonts w:ascii="Arial" w:hAnsi="Arial" w:eastAsia="Arial" w:cs="Arial"/>
      <w:b/>
      <w:bCs/>
      <w:sz w:val="22"/>
      <w:szCs w:val="22"/>
    </w:rPr>
  </w:style>
  <w:style w:type="character" w:styleId="812" w:customStyle="1">
    <w:name w:val="Heading 7 Char"/>
    <w:basedOn w:val="777"/>
    <w:link w:val="774"/>
    <w:uiPriority w:val="9"/>
    <w:qFormat/>
    <w:rPr>
      <w:rFonts w:ascii="Arial" w:hAnsi="Arial" w:eastAsia="Arial" w:cs="Arial"/>
      <w:b/>
      <w:bCs/>
      <w:i/>
      <w:iCs/>
      <w:sz w:val="22"/>
      <w:szCs w:val="22"/>
    </w:rPr>
  </w:style>
  <w:style w:type="character" w:styleId="813" w:customStyle="1">
    <w:name w:val="Heading 8 Char"/>
    <w:basedOn w:val="777"/>
    <w:link w:val="775"/>
    <w:uiPriority w:val="9"/>
    <w:qFormat/>
    <w:rPr>
      <w:rFonts w:ascii="Arial" w:hAnsi="Arial" w:eastAsia="Arial" w:cs="Arial"/>
      <w:i/>
      <w:iCs/>
      <w:sz w:val="22"/>
      <w:szCs w:val="22"/>
    </w:rPr>
  </w:style>
  <w:style w:type="character" w:styleId="814" w:customStyle="1">
    <w:name w:val="Heading 9 Char"/>
    <w:basedOn w:val="777"/>
    <w:link w:val="776"/>
    <w:uiPriority w:val="9"/>
    <w:qFormat/>
    <w:rPr>
      <w:rFonts w:ascii="Arial" w:hAnsi="Arial" w:eastAsia="Arial" w:cs="Arial"/>
      <w:i/>
      <w:iCs/>
      <w:sz w:val="21"/>
      <w:szCs w:val="21"/>
    </w:r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basedOn w:val="777"/>
    <w:link w:val="801"/>
    <w:uiPriority w:val="10"/>
    <w:qFormat/>
    <w:rPr>
      <w:sz w:val="48"/>
      <w:szCs w:val="48"/>
    </w:rPr>
  </w:style>
  <w:style w:type="character" w:styleId="817" w:customStyle="1">
    <w:name w:val="Subtitle Char"/>
    <w:basedOn w:val="777"/>
    <w:link w:val="794"/>
    <w:uiPriority w:val="11"/>
    <w:qFormat/>
    <w:rPr>
      <w:sz w:val="24"/>
      <w:szCs w:val="24"/>
    </w:rPr>
  </w:style>
  <w:style w:type="paragraph" w:styleId="818">
    <w:name w:val="Quote"/>
    <w:basedOn w:val="767"/>
    <w:next w:val="767"/>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7"/>
    <w:next w:val="767"/>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77"/>
    <w:uiPriority w:val="99"/>
    <w:qFormat/>
  </w:style>
  <w:style w:type="character" w:styleId="823" w:customStyle="1">
    <w:name w:val="Footer Char"/>
    <w:basedOn w:val="777"/>
    <w:uiPriority w:val="99"/>
    <w:qFormat/>
  </w:style>
  <w:style w:type="character" w:styleId="824" w:customStyle="1">
    <w:name w:val="Caption Char"/>
    <w:uiPriority w:val="99"/>
    <w:qFormat/>
  </w:style>
  <w:style w:type="table" w:styleId="825" w:customStyle="1">
    <w:name w:val="Table Grid Light"/>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7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7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7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7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7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7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7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7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7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7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7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7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7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7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7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7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7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7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7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4" w:customStyle="1">
    <w:name w:val="Grid Table 4 - Accent 2"/>
    <w:basedOn w:val="77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5" w:customStyle="1">
    <w:name w:val="Grid Table 4 - Accent 3"/>
    <w:basedOn w:val="77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6" w:customStyle="1">
    <w:name w:val="Grid Table 4 - Accent 4"/>
    <w:basedOn w:val="77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7" w:customStyle="1">
    <w:name w:val="Grid Table 4 - Accent 5"/>
    <w:basedOn w:val="77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8" w:customStyle="1">
    <w:name w:val="Grid Table 4 - Accent 6"/>
    <w:basedOn w:val="77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9"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1" w:customStyle="1">
    <w:name w:val="Grid Table 5 Dark - Accent 2"/>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2" w:customStyle="1">
    <w:name w:val="Grid Table 5 Dark - Accent 3"/>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3" w:customStyle="1">
    <w:name w:val="Grid Table 5 Dark- Accent 4"/>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4" w:customStyle="1">
    <w:name w:val="Grid Table 5 Dark - Accent 5"/>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5" w:customStyle="1">
    <w:name w:val="Grid Table 5 Dark - Accent 6"/>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6"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7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7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7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7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7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2" w:customStyle="1">
    <w:name w:val="Grid Table 6 Colorful - Accent 6"/>
    <w:basedOn w:val="77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3"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7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7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7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7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7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7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7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7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7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7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7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7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7"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7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9" w:customStyle="1">
    <w:name w:val="List Table 2 - Accent 2"/>
    <w:basedOn w:val="77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0" w:customStyle="1">
    <w:name w:val="List Table 2 - Accent 3"/>
    <w:basedOn w:val="77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1" w:customStyle="1">
    <w:name w:val="List Table 2 - Accent 4"/>
    <w:basedOn w:val="77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2" w:customStyle="1">
    <w:name w:val="List Table 2 - Accent 5"/>
    <w:basedOn w:val="77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3" w:customStyle="1">
    <w:name w:val="List Table 2 - Accent 6"/>
    <w:basedOn w:val="77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4"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7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6" w:customStyle="1">
    <w:name w:val="List Table 3 - Accent 2"/>
    <w:basedOn w:val="77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7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7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7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7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1"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7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3" w:customStyle="1">
    <w:name w:val="List Table 4 - Accent 2"/>
    <w:basedOn w:val="77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4" w:customStyle="1">
    <w:name w:val="List Table 4 - Accent 3"/>
    <w:basedOn w:val="77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5" w:customStyle="1">
    <w:name w:val="List Table 4 - Accent 4"/>
    <w:basedOn w:val="77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6" w:customStyle="1">
    <w:name w:val="List Table 4 - Accent 5"/>
    <w:basedOn w:val="77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7" w:customStyle="1">
    <w:name w:val="List Table 4 - Accent 6"/>
    <w:basedOn w:val="77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8"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7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7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7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7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7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7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7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7" w:customStyle="1">
    <w:name w:val="List Table 6 Colorful - Accent 2"/>
    <w:basedOn w:val="77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8" w:customStyle="1">
    <w:name w:val="List Table 6 Colorful - Accent 3"/>
    <w:basedOn w:val="77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9" w:customStyle="1">
    <w:name w:val="List Table 6 Colorful - Accent 4"/>
    <w:basedOn w:val="77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0" w:customStyle="1">
    <w:name w:val="List Table 6 Colorful - Accent 5"/>
    <w:basedOn w:val="77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1" w:customStyle="1">
    <w:name w:val="List Table 6 Colorful - Accent 6"/>
    <w:basedOn w:val="77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2"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7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7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7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7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7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7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1" w:customStyle="1">
    <w:name w:val="Lined - Accent 2"/>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2" w:customStyle="1">
    <w:name w:val="Lined - Accent 3"/>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3" w:customStyle="1">
    <w:name w:val="Lined - Accent 4"/>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4" w:customStyle="1">
    <w:name w:val="Lined - Accent 5"/>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5" w:customStyle="1">
    <w:name w:val="Lined - Accent 6"/>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6" w:customStyle="1">
    <w:name w:val="Bordered &amp; Lined - Accent"/>
    <w:basedOn w:val="7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7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8" w:customStyle="1">
    <w:name w:val="Bordered &amp; Lined - Accent 2"/>
    <w:basedOn w:val="77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9" w:customStyle="1">
    <w:name w:val="Bordered &amp; Lined - Accent 3"/>
    <w:basedOn w:val="77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0" w:customStyle="1">
    <w:name w:val="Bordered &amp; Lined - Accent 4"/>
    <w:basedOn w:val="77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1" w:customStyle="1">
    <w:name w:val="Bordered &amp; Lined - Accent 5"/>
    <w:basedOn w:val="77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2" w:customStyle="1">
    <w:name w:val="Bordered &amp; Lined - Accent 6"/>
    <w:basedOn w:val="77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3" w:customStyle="1">
    <w:name w:val="Bordered"/>
    <w:basedOn w:val="7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7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5" w:customStyle="1">
    <w:name w:val="Bordered - Accent 2"/>
    <w:basedOn w:val="77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6" w:customStyle="1">
    <w:name w:val="Bordered - Accent 3"/>
    <w:basedOn w:val="77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7" w:customStyle="1">
    <w:name w:val="Bordered - Accent 4"/>
    <w:basedOn w:val="77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8" w:customStyle="1">
    <w:name w:val="Bordered - Accent 5"/>
    <w:basedOn w:val="77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9" w:customStyle="1">
    <w:name w:val="Bordered - Accent 6"/>
    <w:basedOn w:val="77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0" w:customStyle="1">
    <w:name w:val="Footnote Text Char"/>
    <w:link w:val="795"/>
    <w:uiPriority w:val="99"/>
    <w:qFormat/>
    <w:rPr>
      <w:sz w:val="18"/>
    </w:rPr>
  </w:style>
  <w:style w:type="character" w:styleId="951" w:customStyle="1">
    <w:name w:val="Endnote Text Char"/>
    <w:link w:val="789"/>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一级条标题"/>
    <w:basedOn w:val="954"/>
    <w:next w:val="9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customStyle="1">
    <w:name w:val="章标题"/>
    <w:next w:val="7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5" w:customStyle="1">
    <w:name w:val="段"/>
    <w:basedOn w:val="956"/>
    <w:next w:val="767"/>
    <w:uiPriority w:val="0"/>
    <w:qFormat/>
    <w:pPr>
      <w:ind w:firstLine="200"/>
      <w:widowControl/>
    </w:pPr>
    <w:rPr>
      <w:sz w:val="20"/>
    </w:rPr>
  </w:style>
  <w:style w:type="paragraph" w:styleId="956" w:customStyle="1">
    <w:name w:val="正文13"/>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首行缩进1"/>
    <w:basedOn w:val="958"/>
    <w:next w:val="962"/>
    <w:uiPriority w:val="0"/>
    <w:qFormat/>
    <w:pPr>
      <w:ind w:firstLine="200"/>
    </w:pPr>
    <w:rPr>
      <w:rFonts w:ascii="仿宋_GB2312" w:eastAsia="仿宋_GB2312"/>
      <w:sz w:val="30"/>
      <w:szCs w:val="30"/>
    </w:rPr>
  </w:style>
  <w:style w:type="paragraph" w:styleId="958" w:customStyle="1">
    <w:name w:val="正文文本11"/>
    <w:basedOn w:val="959"/>
    <w:next w:val="961"/>
    <w:uiPriority w:val="0"/>
    <w:qFormat/>
    <w:pPr>
      <w:spacing w:after="120"/>
    </w:pPr>
  </w:style>
  <w:style w:type="paragraph" w:styleId="959" w:customStyle="1">
    <w:name w:val="正文12"/>
    <w:next w:val="960"/>
    <w:uiPriority w:val="0"/>
    <w:qFormat/>
    <w:pPr>
      <w:jc w:val="both"/>
      <w:widowControl w:val="off"/>
    </w:pPr>
    <w:rPr>
      <w:rFonts w:hint="default" w:ascii="Calibri" w:hAnsi="Calibri" w:eastAsia="宋体" w:cs="Times New Roman"/>
      <w:sz w:val="21"/>
      <w:szCs w:val="24"/>
      <w:lang w:val="en-US" w:eastAsia="zh-CN" w:bidi="ar-SA"/>
    </w:rPr>
  </w:style>
  <w:style w:type="paragraph" w:styleId="960" w:customStyle="1">
    <w:name w:val="标题 21"/>
    <w:basedOn w:val="961"/>
    <w:next w:val="959"/>
    <w:uiPriority w:val="0"/>
    <w:qFormat/>
    <w:pPr>
      <w:jc w:val="left"/>
      <w:keepLines/>
      <w:keepNext/>
      <w:spacing w:before="50"/>
      <w:tabs>
        <w:tab w:val="left" w:pos="0" w:leader="none"/>
      </w:tabs>
    </w:pPr>
    <w:rPr>
      <w:rFonts w:ascii="Arial" w:hAnsi="Arial" w:eastAsia="黑体"/>
      <w:sz w:val="32"/>
      <w:szCs w:val="20"/>
    </w:rPr>
  </w:style>
  <w:style w:type="paragraph" w:styleId="961" w:customStyle="1">
    <w:name w:val="正文111"/>
    <w:next w:val="9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正文首行缩进 211"/>
    <w:basedOn w:val="963"/>
    <w:next w:val="964"/>
    <w:uiPriority w:val="99"/>
    <w:qFormat/>
    <w:pPr>
      <w:ind w:left="0" w:firstLine="420"/>
      <w:spacing w:after="0" w:line="360" w:lineRule="auto"/>
    </w:pPr>
    <w:rPr>
      <w:rFonts w:ascii="宋体" w:hAnsi="宋体"/>
    </w:rPr>
  </w:style>
  <w:style w:type="paragraph" w:styleId="963" w:customStyle="1">
    <w:name w:val="正文文本缩进11"/>
    <w:basedOn w:val="964"/>
    <w:next w:val="964"/>
    <w:uiPriority w:val="0"/>
    <w:qFormat/>
    <w:pPr>
      <w:ind w:left="420"/>
      <w:spacing w:after="120"/>
    </w:pPr>
    <w:rPr>
      <w:rFonts w:ascii="Calibri" w:hAnsi="Calibri" w:eastAsia="等线" w:cs="Times New Roman"/>
    </w:rPr>
  </w:style>
  <w:style w:type="paragraph" w:styleId="964" w:customStyle="1">
    <w:name w:val="正文112"/>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name w:val="List Paragraph"/>
    <w:basedOn w:val="767"/>
    <w:uiPriority w:val="1"/>
    <w:qFormat/>
    <w:pPr>
      <w:ind w:firstLine="420"/>
    </w:pPr>
  </w:style>
  <w:style w:type="paragraph" w:styleId="966" w:customStyle="1">
    <w:name w:val="p0"/>
    <w:basedOn w:val="767"/>
    <w:uiPriority w:val="0"/>
    <w:qFormat/>
    <w:pPr>
      <w:widowControl/>
    </w:pPr>
    <w:rPr>
      <w:szCs w:val="21"/>
    </w:rPr>
  </w:style>
  <w:style w:type="character" w:styleId="967" w:customStyle="1">
    <w:name w:val="NormalCharacter"/>
    <w:uiPriority w:val="0"/>
    <w:semiHidden/>
    <w:qFormat/>
    <w:rPr>
      <w:sz w:val="28"/>
      <w:lang w:val="en-US" w:eastAsia="zh-CN" w:bidi="ar-SA"/>
    </w:rPr>
  </w:style>
  <w:style w:type="character" w:styleId="968" w:customStyle="1">
    <w:name w:val="font81"/>
    <w:basedOn w:val="777"/>
    <w:uiPriority w:val="0"/>
    <w:qFormat/>
    <w:rPr>
      <w:rFonts w:hint="default" w:ascii="Times New Roman" w:hAnsi="Times New Roman" w:cs="Times New Roman"/>
      <w:b/>
      <w:bCs/>
      <w:color w:val="000000"/>
      <w:sz w:val="20"/>
      <w:szCs w:val="20"/>
      <w:u w:val="none"/>
    </w:rPr>
  </w:style>
  <w:style w:type="paragraph" w:styleId="969" w:customStyle="1">
    <w:name w:val="正文1"/>
    <w:basedOn w:val="961"/>
    <w:next w:val="970"/>
    <w:uiPriority w:val="0"/>
    <w:qFormat/>
    <w:pPr>
      <w:jc w:val="left"/>
      <w:spacing w:line="360" w:lineRule="atLeast"/>
    </w:pPr>
    <w:rPr>
      <w:rFonts w:ascii="宋体" w:hAnsiTheme="minorHAnsi" w:eastAsiaTheme="minorEastAsia" w:cstheme="minorBidi"/>
      <w:sz w:val="24"/>
      <w:szCs w:val="20"/>
    </w:rPr>
  </w:style>
  <w:style w:type="paragraph" w:styleId="970" w:customStyle="1">
    <w:name w:val="脚注文本1"/>
    <w:basedOn w:val="969"/>
    <w:next w:val="971"/>
    <w:uiPriority w:val="0"/>
    <w:qFormat/>
    <w:rPr>
      <w:rFonts w:eastAsia="Times New Roman"/>
      <w:sz w:val="18"/>
      <w:szCs w:val="18"/>
    </w:rPr>
  </w:style>
  <w:style w:type="paragraph" w:styleId="971" w:customStyle="1">
    <w:name w:val="索引 51"/>
    <w:basedOn w:val="969"/>
    <w:next w:val="969"/>
    <w:uiPriority w:val="0"/>
    <w:qFormat/>
    <w:pPr>
      <w:ind w:left="798"/>
    </w:pPr>
    <w:rPr>
      <w:rFonts w:ascii="Calibri" w:hAnsi="Calibri"/>
    </w:rPr>
  </w:style>
  <w:style w:type="paragraph" w:styleId="972" w:customStyle="1">
    <w:name w:val="目录 111"/>
    <w:basedOn w:val="961"/>
    <w:next w:val="767"/>
    <w:uiPriority w:val="0"/>
    <w:qFormat/>
    <w:pPr>
      <w:jc w:val="left"/>
      <w:spacing w:after="100" w:line="259" w:lineRule="auto"/>
      <w:widowControl/>
    </w:pPr>
    <w:rPr>
      <w:rFonts w:ascii="Calibri" w:hAnsi="Calibri"/>
      <w:sz w:val="22"/>
      <w:szCs w:val="22"/>
    </w:rPr>
  </w:style>
  <w:style w:type="character" w:styleId="973" w:customStyle="1">
    <w:name w:val="NormalCharacter1"/>
    <w:link w:val="974"/>
    <w:uiPriority w:val="0"/>
    <w:semiHidden/>
    <w:qFormat/>
    <w:rPr>
      <w:rFonts w:hint="default" w:ascii="Times New Roman" w:hAnsi="Times New Roman" w:eastAsia="宋体" w:cs="Times New Roman"/>
      <w:sz w:val="21"/>
      <w:szCs w:val="24"/>
      <w:lang w:val="en-US" w:eastAsia="zh-CN" w:bidi="ar-SA"/>
    </w:rPr>
  </w:style>
  <w:style w:type="paragraph" w:styleId="974" w:customStyle="1">
    <w:name w:val="正文11"/>
    <w:next w:val="975"/>
    <w:link w:val="9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目录 11"/>
    <w:basedOn w:val="969"/>
    <w:next w:val="974"/>
    <w:uiPriority w:val="0"/>
    <w:qFormat/>
    <w:pPr>
      <w:jc w:val="left"/>
      <w:spacing w:before="120" w:after="120"/>
      <w:widowControl/>
    </w:pPr>
    <w:rPr>
      <w:rFonts w:ascii="Calibri" w:hAnsi="Calibri" w:cs="Calibri"/>
      <w:b/>
      <w:bCs/>
      <w:caps/>
      <w:sz w:val="20"/>
      <w:szCs w:val="20"/>
    </w:rPr>
  </w:style>
  <w:style w:type="paragraph" w:styleId="976" w:customStyle="1">
    <w:name w:val="BlockQuote1"/>
    <w:basedOn w:val="767"/>
    <w:uiPriority w:val="0"/>
    <w:qFormat/>
    <w:pPr>
      <w:ind w:left="256" w:right="6" w:firstLine="624"/>
    </w:pPr>
    <w:rPr>
      <w:rFonts w:eastAsia="仿宋_GB2312"/>
      <w:sz w:val="28"/>
    </w:rPr>
  </w:style>
  <w:style w:type="paragraph" w:styleId="977" w:customStyle="1">
    <w:name w:val="纯文本1"/>
    <w:basedOn w:val="978"/>
    <w:uiPriority w:val="0"/>
    <w:qFormat/>
    <w:rPr>
      <w:rFonts w:hAnsi="Courier New"/>
      <w:sz w:val="20"/>
    </w:rPr>
  </w:style>
  <w:style w:type="paragraph" w:styleId="978" w:customStyle="1">
    <w:name w:val="正文121"/>
    <w:next w:val="979"/>
    <w:uiPriority w:val="0"/>
    <w:qFormat/>
    <w:pPr>
      <w:jc w:val="both"/>
      <w:widowControl w:val="off"/>
    </w:pPr>
    <w:rPr>
      <w:rFonts w:hint="default" w:ascii="Calibri" w:hAnsi="Calibri" w:eastAsia="宋体" w:cs="Times New Roman"/>
      <w:sz w:val="21"/>
      <w:szCs w:val="24"/>
      <w:lang w:val="en-US" w:eastAsia="zh-CN" w:bidi="ar-SA"/>
    </w:rPr>
  </w:style>
  <w:style w:type="paragraph" w:styleId="979" w:customStyle="1">
    <w:name w:val="BlockQuote"/>
    <w:basedOn w:val="974"/>
    <w:uiPriority w:val="0"/>
    <w:qFormat/>
    <w:pPr>
      <w:ind w:left="256" w:right="6" w:firstLine="624"/>
    </w:pPr>
    <w:rPr>
      <w:rFonts w:eastAsia="仿宋_GB2312"/>
      <w:sz w:val="28"/>
    </w:rPr>
  </w:style>
  <w:style w:type="paragraph" w:styleId="980" w:customStyle="1">
    <w:name w:val="页脚1"/>
    <w:basedOn w:val="767"/>
    <w:uiPriority w:val="0"/>
    <w:qFormat/>
    <w:pPr>
      <w:jc w:val="left"/>
      <w:tabs>
        <w:tab w:val="center" w:pos="4153" w:leader="none"/>
        <w:tab w:val="right" w:pos="8306" w:leader="none"/>
      </w:tabs>
    </w:pPr>
    <w:rPr>
      <w:sz w:val="18"/>
      <w:szCs w:val="18"/>
    </w:rPr>
  </w:style>
  <w:style w:type="numbering" w:styleId="12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9</cp:revision>
  <dcterms:created xsi:type="dcterms:W3CDTF">2026-04-27T03:14:00Z</dcterms:created>
  <dcterms:modified xsi:type="dcterms:W3CDTF">2026-08-06T04:12:48Z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78E98B3A7A544D27B639F0601AF2E7A5_13</vt:lpwstr>
  </property>
  <property fmtid="{D5CDD505-2E9C-101B-9397-08002B2CF9AE}" pid="4" name="KSOTemplateDocerSaveRecord">
    <vt:lpwstr>eyJoZGlkIjoiMzQ5OTM5MjhmMWMyNjRlZTUzNjBkYTkwNjE3ODIxNDQiLCJ1c2VySWQiOiI2MjAyNjAwNDcifQ==</vt:lpwstr>
  </property>
</Properties>
</file>