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DC7B86">
      <w:pPr>
        <w:keepNext w:val="0"/>
        <w:keepLines w:val="0"/>
        <w:pageBreakBefore/>
        <w:widowControl/>
        <w:kinsoku/>
        <w:wordWrap/>
        <w:overflowPunct/>
        <w:topLinePunct w:val="0"/>
        <w:autoSpaceDE/>
        <w:autoSpaceDN/>
        <w:bidi w:val="0"/>
        <w:adjustRightInd/>
        <w:snapToGrid/>
        <w:spacing w:line="360" w:lineRule="auto"/>
        <w:jc w:val="left"/>
        <w:textAlignment w:val="auto"/>
        <w:rPr>
          <w:rFonts w:hint="eastAsia" w:ascii="宋体" w:hAnsi="宋体" w:cs="宋体"/>
          <w:b/>
          <w:bCs/>
          <w:color w:val="auto"/>
          <w:sz w:val="30"/>
          <w:szCs w:val="30"/>
        </w:rPr>
      </w:pPr>
      <w:r>
        <w:rPr>
          <w:rFonts w:hint="eastAsia" w:ascii="宋体" w:hAnsi="宋体"/>
          <w:color w:val="auto"/>
          <w:sz w:val="24"/>
        </w:rPr>
        <w:t>如有建议或意见，请以书面形式并加盖公章、注明联系人、联系方式，于202</w:t>
      </w:r>
      <w:r>
        <w:rPr>
          <w:rFonts w:hint="eastAsia" w:ascii="宋体" w:hAnsi="宋体"/>
          <w:color w:val="auto"/>
          <w:sz w:val="24"/>
          <w:lang w:val="en-US" w:eastAsia="zh-CN"/>
        </w:rPr>
        <w:t>6</w:t>
      </w:r>
      <w:r>
        <w:rPr>
          <w:rFonts w:hint="eastAsia" w:ascii="宋体" w:hAnsi="宋体"/>
          <w:color w:val="auto"/>
          <w:sz w:val="24"/>
        </w:rPr>
        <w:t>年</w:t>
      </w:r>
      <w:r>
        <w:rPr>
          <w:rFonts w:hint="eastAsia" w:ascii="宋体" w:hAnsi="宋体"/>
          <w:color w:val="auto"/>
          <w:sz w:val="24"/>
          <w:lang w:val="en-US" w:eastAsia="zh-CN"/>
        </w:rPr>
        <w:t>8</w:t>
      </w:r>
      <w:r>
        <w:rPr>
          <w:rFonts w:hint="eastAsia" w:ascii="宋体" w:hAnsi="宋体"/>
          <w:color w:val="auto"/>
          <w:sz w:val="24"/>
        </w:rPr>
        <w:t>月</w:t>
      </w:r>
      <w:r>
        <w:rPr>
          <w:rFonts w:hint="eastAsia" w:ascii="宋体" w:hAnsi="宋体"/>
          <w:color w:val="auto"/>
          <w:sz w:val="24"/>
          <w:lang w:val="en-US" w:eastAsia="zh-CN"/>
        </w:rPr>
        <w:t>7</w:t>
      </w:r>
      <w:r>
        <w:rPr>
          <w:rFonts w:hint="eastAsia" w:ascii="宋体" w:hAnsi="宋体"/>
          <w:color w:val="auto"/>
          <w:sz w:val="24"/>
        </w:rPr>
        <w:t>日17:00之前送至我单位，逾期不受理（如邮寄，202</w:t>
      </w:r>
      <w:r>
        <w:rPr>
          <w:rFonts w:hint="eastAsia" w:ascii="宋体" w:hAnsi="宋体"/>
          <w:color w:val="auto"/>
          <w:sz w:val="24"/>
          <w:lang w:val="en-US" w:eastAsia="zh-CN"/>
        </w:rPr>
        <w:t>6</w:t>
      </w:r>
      <w:r>
        <w:rPr>
          <w:rFonts w:hint="eastAsia" w:ascii="宋体" w:hAnsi="宋体"/>
          <w:color w:val="auto"/>
          <w:sz w:val="24"/>
        </w:rPr>
        <w:t>年</w:t>
      </w:r>
      <w:r>
        <w:rPr>
          <w:rFonts w:hint="eastAsia" w:ascii="宋体" w:hAnsi="宋体"/>
          <w:color w:val="auto"/>
          <w:sz w:val="24"/>
          <w:lang w:val="en-US" w:eastAsia="zh-CN"/>
        </w:rPr>
        <w:t>8</w:t>
      </w:r>
      <w:r>
        <w:rPr>
          <w:rFonts w:hint="eastAsia" w:ascii="宋体" w:hAnsi="宋体"/>
          <w:color w:val="auto"/>
          <w:sz w:val="24"/>
        </w:rPr>
        <w:t>月</w:t>
      </w:r>
      <w:r>
        <w:rPr>
          <w:rFonts w:hint="eastAsia" w:ascii="宋体" w:hAnsi="宋体"/>
          <w:color w:val="auto"/>
          <w:sz w:val="24"/>
          <w:lang w:val="en-US" w:eastAsia="zh-CN"/>
        </w:rPr>
        <w:t>7</w:t>
      </w:r>
      <w:r>
        <w:rPr>
          <w:rFonts w:hint="eastAsia" w:ascii="宋体" w:hAnsi="宋体"/>
          <w:color w:val="auto"/>
          <w:sz w:val="24"/>
        </w:rPr>
        <w:t>日17:00之后到达本单位的邮件将不再受理）。</w:t>
      </w:r>
      <w:bookmarkStart w:id="0" w:name="_GoBack"/>
      <w:bookmarkEnd w:id="0"/>
    </w:p>
    <w:p w14:paraId="72EE4B54">
      <w:pPr>
        <w:keepNext w:val="0"/>
        <w:keepLines w:val="0"/>
        <w:pageBreakBefore/>
        <w:widowControl/>
        <w:kinsoku/>
        <w:wordWrap/>
        <w:overflowPunct/>
        <w:topLinePunct w:val="0"/>
        <w:autoSpaceDE/>
        <w:autoSpaceDN/>
        <w:bidi w:val="0"/>
        <w:adjustRightInd/>
        <w:snapToGrid/>
        <w:spacing w:line="360" w:lineRule="auto"/>
        <w:jc w:val="center"/>
        <w:textAlignment w:val="auto"/>
        <w:rPr>
          <w:rFonts w:ascii="宋体" w:hAnsi="宋体" w:cs="宋体"/>
          <w:color w:val="auto"/>
          <w:sz w:val="30"/>
          <w:szCs w:val="30"/>
        </w:rPr>
      </w:pPr>
      <w:r>
        <w:rPr>
          <w:rFonts w:hint="eastAsia" w:ascii="宋体" w:hAnsi="宋体" w:cs="宋体"/>
          <w:b/>
          <w:bCs/>
          <w:color w:val="auto"/>
          <w:sz w:val="30"/>
          <w:szCs w:val="30"/>
        </w:rPr>
        <w:t>采购需求</w:t>
      </w:r>
    </w:p>
    <w:p w14:paraId="0923459A">
      <w:pPr>
        <w:pStyle w:val="5"/>
        <w:wordWrap w:val="0"/>
        <w:spacing w:line="360" w:lineRule="auto"/>
        <w:rPr>
          <w:rFonts w:ascii="宋体" w:hAnsi="宋体" w:cs="宋体"/>
          <w:b/>
          <w:bCs/>
          <w:color w:val="auto"/>
          <w:sz w:val="24"/>
        </w:rPr>
      </w:pPr>
      <w:r>
        <w:rPr>
          <w:rFonts w:hint="eastAsia" w:ascii="宋体" w:hAnsi="宋体" w:cs="宋体"/>
          <w:b/>
          <w:bCs/>
          <w:color w:val="auto"/>
          <w:sz w:val="24"/>
        </w:rPr>
        <w:t>一、项目概述</w:t>
      </w:r>
    </w:p>
    <w:p w14:paraId="292EAEF2">
      <w:pPr>
        <w:pStyle w:val="5"/>
        <w:wordWrap w:val="0"/>
        <w:spacing w:line="360" w:lineRule="auto"/>
        <w:ind w:firstLine="480"/>
        <w:rPr>
          <w:rFonts w:ascii="宋体" w:hAnsi="宋体" w:cs="宋体"/>
          <w:color w:val="auto"/>
          <w:sz w:val="24"/>
        </w:rPr>
      </w:pPr>
      <w:r>
        <w:rPr>
          <w:rFonts w:hint="eastAsia" w:ascii="宋体" w:hAnsi="宋体" w:cs="宋体"/>
          <w:color w:val="auto"/>
          <w:sz w:val="24"/>
        </w:rPr>
        <w:t>受徐州市公安局的委托就徐州市公安局警务辅助人员团体意外伤害（附加重大疾病）保险项目进行公开招标。确定中标人后，徐州市公安局与中标的保险公司签订政府采购合同，具体签订时间待领取中标通知书后另行通知。</w:t>
      </w:r>
    </w:p>
    <w:p w14:paraId="103433EC">
      <w:pPr>
        <w:pStyle w:val="5"/>
        <w:wordWrap w:val="0"/>
        <w:spacing w:line="360" w:lineRule="auto"/>
        <w:rPr>
          <w:rFonts w:ascii="宋体" w:hAnsi="宋体" w:cs="宋体"/>
          <w:b/>
          <w:bCs/>
          <w:color w:val="auto"/>
          <w:sz w:val="24"/>
        </w:rPr>
      </w:pPr>
      <w:r>
        <w:rPr>
          <w:rFonts w:hint="eastAsia" w:ascii="宋体" w:hAnsi="宋体" w:cs="宋体"/>
          <w:b/>
          <w:bCs/>
          <w:color w:val="auto"/>
          <w:sz w:val="24"/>
        </w:rPr>
        <w:t>二、采购预算金额：人民币</w:t>
      </w:r>
      <w:r>
        <w:rPr>
          <w:rFonts w:hint="eastAsia" w:ascii="宋体" w:hAnsi="宋体" w:cs="宋体"/>
          <w:b/>
          <w:bCs/>
          <w:color w:val="auto"/>
          <w:sz w:val="24"/>
          <w:u w:val="single"/>
        </w:rPr>
        <w:t xml:space="preserve"> 1</w:t>
      </w:r>
      <w:r>
        <w:rPr>
          <w:rFonts w:ascii="宋体" w:hAnsi="宋体" w:cs="宋体"/>
          <w:b/>
          <w:bCs/>
          <w:color w:val="auto"/>
          <w:sz w:val="24"/>
          <w:u w:val="single"/>
        </w:rPr>
        <w:t>76</w:t>
      </w:r>
      <w:r>
        <w:rPr>
          <w:rFonts w:hint="eastAsia" w:ascii="宋体" w:hAnsi="宋体" w:cs="宋体"/>
          <w:b/>
          <w:bCs/>
          <w:color w:val="auto"/>
          <w:sz w:val="24"/>
          <w:u w:val="single"/>
        </w:rPr>
        <w:t>.</w:t>
      </w:r>
      <w:r>
        <w:rPr>
          <w:rFonts w:ascii="宋体" w:hAnsi="宋体" w:cs="宋体"/>
          <w:b/>
          <w:bCs/>
          <w:color w:val="auto"/>
          <w:sz w:val="24"/>
          <w:u w:val="single"/>
        </w:rPr>
        <w:t>91</w:t>
      </w:r>
      <w:r>
        <w:rPr>
          <w:rFonts w:hint="eastAsia" w:ascii="宋体" w:hAnsi="宋体" w:cs="宋体"/>
          <w:b/>
          <w:bCs/>
          <w:color w:val="auto"/>
          <w:sz w:val="24"/>
        </w:rPr>
        <w:t>万元。</w:t>
      </w:r>
    </w:p>
    <w:p w14:paraId="1BCEE468">
      <w:pPr>
        <w:pStyle w:val="5"/>
        <w:wordWrap w:val="0"/>
        <w:spacing w:line="360" w:lineRule="auto"/>
        <w:rPr>
          <w:rFonts w:ascii="宋体" w:hAnsi="宋体" w:cs="宋体"/>
          <w:b/>
          <w:bCs/>
          <w:color w:val="auto"/>
          <w:sz w:val="24"/>
        </w:rPr>
      </w:pPr>
      <w:r>
        <w:rPr>
          <w:rFonts w:hint="eastAsia" w:ascii="宋体" w:hAnsi="宋体" w:cs="宋体"/>
          <w:b/>
          <w:bCs/>
          <w:color w:val="auto"/>
          <w:sz w:val="24"/>
        </w:rPr>
        <w:t>三、保障内容</w:t>
      </w:r>
    </w:p>
    <w:p w14:paraId="7855D4FC">
      <w:pPr>
        <w:pStyle w:val="5"/>
        <w:spacing w:line="360" w:lineRule="auto"/>
        <w:ind w:firstLine="480"/>
        <w:rPr>
          <w:rFonts w:ascii="宋体" w:hAnsi="宋体" w:cs="宋体"/>
          <w:color w:val="auto"/>
          <w:sz w:val="24"/>
        </w:rPr>
      </w:pPr>
      <w:r>
        <w:rPr>
          <w:rFonts w:hint="eastAsia" w:ascii="宋体" w:hAnsi="宋体" w:cs="宋体"/>
          <w:color w:val="auto"/>
          <w:sz w:val="24"/>
        </w:rPr>
        <w:t>1、保障对象</w:t>
      </w:r>
    </w:p>
    <w:p w14:paraId="49FF5BD6">
      <w:pPr>
        <w:pStyle w:val="5"/>
        <w:spacing w:line="360" w:lineRule="auto"/>
        <w:ind w:firstLine="480"/>
        <w:rPr>
          <w:rFonts w:ascii="宋体" w:hAnsi="宋体" w:cs="宋体"/>
          <w:color w:val="auto"/>
          <w:sz w:val="24"/>
        </w:rPr>
      </w:pPr>
      <w:r>
        <w:rPr>
          <w:rFonts w:hint="eastAsia" w:ascii="宋体" w:hAnsi="宋体" w:cs="宋体"/>
          <w:color w:val="auto"/>
          <w:sz w:val="24"/>
        </w:rPr>
        <w:t>徐州市公安辅警：参保人数在</w:t>
      </w:r>
      <w:r>
        <w:rPr>
          <w:rFonts w:hint="eastAsia" w:ascii="宋体" w:hAnsi="宋体" w:cs="宋体"/>
          <w:color w:val="auto"/>
          <w:sz w:val="24"/>
          <w:u w:val="single"/>
        </w:rPr>
        <w:t xml:space="preserve"> 5897 </w:t>
      </w:r>
      <w:r>
        <w:rPr>
          <w:rFonts w:hint="eastAsia" w:ascii="宋体" w:hAnsi="宋体" w:cs="宋体"/>
          <w:color w:val="auto"/>
          <w:sz w:val="24"/>
        </w:rPr>
        <w:t>人左右，具体人数以实际参保人数为准，无年龄限制。</w:t>
      </w:r>
    </w:p>
    <w:p w14:paraId="4B482FFF">
      <w:pPr>
        <w:pStyle w:val="5"/>
        <w:spacing w:line="360" w:lineRule="auto"/>
        <w:ind w:firstLine="480"/>
        <w:rPr>
          <w:rFonts w:ascii="宋体" w:hAnsi="宋体" w:cs="宋体"/>
          <w:color w:val="auto"/>
          <w:sz w:val="24"/>
        </w:rPr>
      </w:pPr>
      <w:r>
        <w:rPr>
          <w:rFonts w:hint="eastAsia" w:ascii="宋体" w:hAnsi="宋体" w:cs="宋体"/>
          <w:color w:val="auto"/>
          <w:sz w:val="24"/>
        </w:rPr>
        <w:t>2、保险年度</w:t>
      </w:r>
    </w:p>
    <w:p w14:paraId="289BCE72">
      <w:pPr>
        <w:pStyle w:val="5"/>
        <w:spacing w:line="360" w:lineRule="auto"/>
        <w:ind w:firstLine="480"/>
        <w:rPr>
          <w:rFonts w:ascii="宋体" w:hAnsi="宋体" w:cs="宋体"/>
          <w:color w:val="auto"/>
          <w:sz w:val="24"/>
        </w:rPr>
      </w:pPr>
      <w:r>
        <w:rPr>
          <w:rFonts w:hint="eastAsia" w:ascii="宋体" w:hAnsi="宋体" w:cs="宋体"/>
          <w:color w:val="auto"/>
          <w:sz w:val="24"/>
        </w:rPr>
        <w:t>本项目保险期限1年。</w:t>
      </w:r>
    </w:p>
    <w:p w14:paraId="3C5EAFF8">
      <w:pPr>
        <w:pStyle w:val="5"/>
        <w:spacing w:line="360" w:lineRule="auto"/>
        <w:ind w:firstLine="480"/>
        <w:rPr>
          <w:rFonts w:ascii="宋体" w:hAnsi="宋体" w:cs="宋体"/>
          <w:color w:val="auto"/>
          <w:sz w:val="24"/>
        </w:rPr>
      </w:pPr>
      <w:r>
        <w:rPr>
          <w:rFonts w:hint="eastAsia" w:ascii="宋体" w:hAnsi="宋体" w:cs="宋体"/>
          <w:color w:val="auto"/>
          <w:sz w:val="24"/>
        </w:rPr>
        <w:t>3、保费：人民币300元/人/年。实际结算金额以购买保险实有人数为准。</w:t>
      </w:r>
    </w:p>
    <w:p w14:paraId="53ABED7D">
      <w:pPr>
        <w:pStyle w:val="5"/>
        <w:spacing w:line="360" w:lineRule="auto"/>
        <w:rPr>
          <w:rFonts w:ascii="宋体" w:hAnsi="宋体" w:cs="宋体"/>
          <w:b/>
          <w:bCs/>
          <w:color w:val="auto"/>
          <w:sz w:val="24"/>
        </w:rPr>
      </w:pPr>
      <w:r>
        <w:rPr>
          <w:rFonts w:hint="eastAsia" w:ascii="宋体" w:hAnsi="宋体" w:cs="宋体"/>
          <w:b/>
          <w:bCs/>
          <w:color w:val="auto"/>
          <w:sz w:val="24"/>
        </w:rPr>
        <w:t>四、具体内容明细</w:t>
      </w:r>
    </w:p>
    <w:tbl>
      <w:tblPr>
        <w:tblStyle w:val="3"/>
        <w:tblW w:w="94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1383"/>
        <w:gridCol w:w="4546"/>
        <w:gridCol w:w="1152"/>
      </w:tblGrid>
      <w:tr w14:paraId="4C42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331" w:type="dxa"/>
            <w:shd w:val="clear" w:color="auto" w:fill="auto"/>
            <w:vAlign w:val="center"/>
          </w:tcPr>
          <w:p w14:paraId="7D6B9DC5">
            <w:pPr>
              <w:jc w:val="center"/>
              <w:rPr>
                <w:rFonts w:ascii="宋体" w:hAnsi="宋体" w:cs="宋体"/>
                <w:b/>
                <w:color w:val="auto"/>
                <w:sz w:val="24"/>
              </w:rPr>
            </w:pPr>
            <w:r>
              <w:rPr>
                <w:rFonts w:hint="eastAsia" w:ascii="宋体" w:hAnsi="宋体" w:cs="宋体"/>
                <w:b/>
                <w:color w:val="auto"/>
                <w:sz w:val="24"/>
              </w:rPr>
              <w:t>保障内容</w:t>
            </w:r>
          </w:p>
        </w:tc>
        <w:tc>
          <w:tcPr>
            <w:tcW w:w="1383" w:type="dxa"/>
            <w:shd w:val="clear" w:color="auto" w:fill="auto"/>
            <w:vAlign w:val="center"/>
          </w:tcPr>
          <w:p w14:paraId="182E4A9B">
            <w:pPr>
              <w:jc w:val="center"/>
              <w:rPr>
                <w:rFonts w:ascii="宋体" w:hAnsi="宋体" w:cs="宋体"/>
                <w:b/>
                <w:color w:val="auto"/>
                <w:sz w:val="24"/>
              </w:rPr>
            </w:pPr>
            <w:r>
              <w:rPr>
                <w:rFonts w:hint="eastAsia" w:ascii="宋体" w:hAnsi="宋体" w:cs="宋体"/>
                <w:b/>
                <w:color w:val="auto"/>
                <w:sz w:val="24"/>
              </w:rPr>
              <w:t>保险金额</w:t>
            </w:r>
          </w:p>
        </w:tc>
        <w:tc>
          <w:tcPr>
            <w:tcW w:w="4546" w:type="dxa"/>
            <w:vAlign w:val="center"/>
          </w:tcPr>
          <w:p w14:paraId="3C571FB9">
            <w:pPr>
              <w:jc w:val="center"/>
              <w:rPr>
                <w:rFonts w:ascii="宋体" w:hAnsi="宋体" w:cs="宋体"/>
                <w:b/>
                <w:color w:val="auto"/>
                <w:sz w:val="24"/>
              </w:rPr>
            </w:pPr>
            <w:r>
              <w:rPr>
                <w:rFonts w:hint="eastAsia" w:ascii="宋体" w:hAnsi="宋体" w:cs="宋体"/>
                <w:b/>
                <w:color w:val="auto"/>
                <w:sz w:val="24"/>
              </w:rPr>
              <w:t>给付标准</w:t>
            </w:r>
          </w:p>
        </w:tc>
        <w:tc>
          <w:tcPr>
            <w:tcW w:w="1152" w:type="dxa"/>
            <w:shd w:val="clear" w:color="auto" w:fill="auto"/>
            <w:vAlign w:val="center"/>
          </w:tcPr>
          <w:p w14:paraId="2460894B">
            <w:pPr>
              <w:jc w:val="center"/>
              <w:rPr>
                <w:rFonts w:ascii="宋体" w:hAnsi="宋体" w:cs="宋体"/>
                <w:b/>
                <w:color w:val="auto"/>
                <w:sz w:val="24"/>
              </w:rPr>
            </w:pPr>
            <w:r>
              <w:rPr>
                <w:rFonts w:hint="eastAsia" w:ascii="宋体" w:hAnsi="宋体" w:cs="宋体"/>
                <w:b/>
                <w:color w:val="auto"/>
                <w:sz w:val="24"/>
              </w:rPr>
              <w:t>保险费</w:t>
            </w:r>
          </w:p>
        </w:tc>
      </w:tr>
      <w:tr w14:paraId="64B6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31" w:type="dxa"/>
            <w:shd w:val="clear" w:color="auto" w:fill="auto"/>
            <w:vAlign w:val="center"/>
          </w:tcPr>
          <w:p w14:paraId="22D851BC">
            <w:pPr>
              <w:jc w:val="center"/>
              <w:rPr>
                <w:rFonts w:ascii="宋体" w:hAnsi="宋体" w:cs="宋体"/>
                <w:color w:val="auto"/>
                <w:sz w:val="24"/>
              </w:rPr>
            </w:pPr>
            <w:r>
              <w:rPr>
                <w:rFonts w:hint="eastAsia" w:ascii="宋体" w:hAnsi="宋体" w:cs="宋体"/>
                <w:color w:val="auto"/>
                <w:sz w:val="24"/>
              </w:rPr>
              <w:t>意外身故</w:t>
            </w:r>
          </w:p>
        </w:tc>
        <w:tc>
          <w:tcPr>
            <w:tcW w:w="1383" w:type="dxa"/>
            <w:shd w:val="clear" w:color="auto" w:fill="auto"/>
            <w:vAlign w:val="center"/>
          </w:tcPr>
          <w:p w14:paraId="759E342C">
            <w:pPr>
              <w:jc w:val="center"/>
              <w:rPr>
                <w:rFonts w:ascii="宋体" w:hAnsi="宋体" w:cs="宋体"/>
                <w:color w:val="auto"/>
                <w:sz w:val="24"/>
              </w:rPr>
            </w:pPr>
            <w:r>
              <w:rPr>
                <w:rFonts w:hint="eastAsia" w:ascii="宋体" w:hAnsi="宋体" w:cs="宋体"/>
                <w:color w:val="auto"/>
                <w:sz w:val="24"/>
              </w:rPr>
              <w:t>200000元</w:t>
            </w:r>
          </w:p>
        </w:tc>
        <w:tc>
          <w:tcPr>
            <w:tcW w:w="4546" w:type="dxa"/>
            <w:vAlign w:val="center"/>
          </w:tcPr>
          <w:p w14:paraId="1EE0695C">
            <w:pPr>
              <w:jc w:val="center"/>
              <w:rPr>
                <w:rFonts w:ascii="宋体" w:hAnsi="宋体" w:cs="宋体"/>
                <w:color w:val="auto"/>
                <w:sz w:val="24"/>
              </w:rPr>
            </w:pPr>
          </w:p>
        </w:tc>
        <w:tc>
          <w:tcPr>
            <w:tcW w:w="1152" w:type="dxa"/>
            <w:vMerge w:val="restart"/>
            <w:shd w:val="clear" w:color="auto" w:fill="auto"/>
            <w:vAlign w:val="center"/>
          </w:tcPr>
          <w:p w14:paraId="4B8CC2D0">
            <w:pPr>
              <w:jc w:val="center"/>
              <w:rPr>
                <w:rFonts w:ascii="宋体" w:hAnsi="宋体" w:cs="宋体"/>
                <w:color w:val="auto"/>
                <w:sz w:val="24"/>
              </w:rPr>
            </w:pPr>
            <w:r>
              <w:rPr>
                <w:rFonts w:hint="eastAsia" w:ascii="宋体" w:hAnsi="宋体" w:cs="宋体"/>
                <w:color w:val="auto"/>
                <w:sz w:val="24"/>
              </w:rPr>
              <w:t>300元/人/年</w:t>
            </w:r>
          </w:p>
        </w:tc>
      </w:tr>
      <w:tr w14:paraId="2632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31" w:type="dxa"/>
            <w:shd w:val="clear" w:color="auto" w:fill="auto"/>
            <w:vAlign w:val="center"/>
          </w:tcPr>
          <w:p w14:paraId="41793935">
            <w:pPr>
              <w:jc w:val="center"/>
              <w:rPr>
                <w:rFonts w:ascii="宋体" w:hAnsi="宋体" w:cs="宋体"/>
                <w:color w:val="auto"/>
                <w:sz w:val="24"/>
              </w:rPr>
            </w:pPr>
            <w:r>
              <w:rPr>
                <w:rFonts w:hint="eastAsia" w:ascii="宋体" w:hAnsi="宋体" w:cs="宋体"/>
                <w:color w:val="auto"/>
                <w:sz w:val="24"/>
              </w:rPr>
              <w:t>猝死</w:t>
            </w:r>
          </w:p>
        </w:tc>
        <w:tc>
          <w:tcPr>
            <w:tcW w:w="1383" w:type="dxa"/>
            <w:shd w:val="clear" w:color="auto" w:fill="auto"/>
            <w:vAlign w:val="center"/>
          </w:tcPr>
          <w:p w14:paraId="6B4FC66E">
            <w:pPr>
              <w:jc w:val="center"/>
              <w:rPr>
                <w:rFonts w:ascii="宋体" w:hAnsi="宋体" w:cs="宋体"/>
                <w:color w:val="auto"/>
                <w:sz w:val="24"/>
              </w:rPr>
            </w:pPr>
            <w:r>
              <w:rPr>
                <w:rFonts w:hint="eastAsia" w:ascii="宋体" w:hAnsi="宋体" w:cs="宋体"/>
                <w:color w:val="auto"/>
                <w:sz w:val="24"/>
              </w:rPr>
              <w:t>50000元</w:t>
            </w:r>
          </w:p>
        </w:tc>
        <w:tc>
          <w:tcPr>
            <w:tcW w:w="4546" w:type="dxa"/>
            <w:vAlign w:val="center"/>
          </w:tcPr>
          <w:p w14:paraId="6E4EE12B">
            <w:pPr>
              <w:jc w:val="center"/>
              <w:rPr>
                <w:rFonts w:ascii="宋体" w:hAnsi="宋体" w:cs="宋体"/>
                <w:color w:val="auto"/>
                <w:sz w:val="24"/>
              </w:rPr>
            </w:pPr>
          </w:p>
        </w:tc>
        <w:tc>
          <w:tcPr>
            <w:tcW w:w="1152" w:type="dxa"/>
            <w:vMerge w:val="continue"/>
            <w:shd w:val="clear" w:color="auto" w:fill="auto"/>
            <w:vAlign w:val="center"/>
          </w:tcPr>
          <w:p w14:paraId="48CABC3D">
            <w:pPr>
              <w:jc w:val="center"/>
              <w:rPr>
                <w:rFonts w:ascii="宋体" w:hAnsi="宋体" w:cs="宋体"/>
                <w:color w:val="auto"/>
                <w:sz w:val="24"/>
                <w:highlight w:val="yellow"/>
              </w:rPr>
            </w:pPr>
          </w:p>
        </w:tc>
      </w:tr>
      <w:tr w14:paraId="2C78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exact"/>
          <w:jc w:val="center"/>
        </w:trPr>
        <w:tc>
          <w:tcPr>
            <w:tcW w:w="2331" w:type="dxa"/>
            <w:shd w:val="clear" w:color="auto" w:fill="auto"/>
            <w:vAlign w:val="center"/>
          </w:tcPr>
          <w:p w14:paraId="0C238B78">
            <w:pPr>
              <w:jc w:val="center"/>
              <w:rPr>
                <w:rFonts w:ascii="宋体" w:hAnsi="宋体" w:cs="宋体"/>
                <w:color w:val="auto"/>
                <w:sz w:val="24"/>
              </w:rPr>
            </w:pPr>
            <w:r>
              <w:rPr>
                <w:rFonts w:hint="eastAsia" w:ascii="宋体" w:hAnsi="宋体" w:cs="宋体"/>
                <w:color w:val="auto"/>
                <w:sz w:val="24"/>
              </w:rPr>
              <w:t>意外伤残</w:t>
            </w:r>
          </w:p>
        </w:tc>
        <w:tc>
          <w:tcPr>
            <w:tcW w:w="1383" w:type="dxa"/>
            <w:shd w:val="clear" w:color="auto" w:fill="auto"/>
            <w:vAlign w:val="center"/>
          </w:tcPr>
          <w:p w14:paraId="3B906015">
            <w:pPr>
              <w:jc w:val="center"/>
              <w:rPr>
                <w:rFonts w:ascii="宋体" w:hAnsi="宋体" w:cs="宋体"/>
                <w:color w:val="auto"/>
                <w:sz w:val="24"/>
              </w:rPr>
            </w:pPr>
            <w:r>
              <w:rPr>
                <w:rFonts w:hint="eastAsia" w:ascii="宋体" w:hAnsi="宋体" w:cs="宋体"/>
                <w:color w:val="auto"/>
                <w:sz w:val="24"/>
              </w:rPr>
              <w:t>200000元</w:t>
            </w:r>
          </w:p>
        </w:tc>
        <w:tc>
          <w:tcPr>
            <w:tcW w:w="4546" w:type="dxa"/>
            <w:vAlign w:val="center"/>
          </w:tcPr>
          <w:p w14:paraId="455C3414">
            <w:pPr>
              <w:jc w:val="center"/>
              <w:rPr>
                <w:rFonts w:ascii="宋体" w:hAnsi="宋体" w:cs="宋体"/>
                <w:color w:val="auto"/>
                <w:sz w:val="24"/>
              </w:rPr>
            </w:pPr>
            <w:r>
              <w:rPr>
                <w:rFonts w:hint="eastAsia" w:ascii="宋体" w:hAnsi="宋体" w:cs="宋体"/>
                <w:color w:val="auto"/>
                <w:sz w:val="24"/>
              </w:rPr>
              <w:t>根据《人身保险伤残程度与保险金给付》表》给付伤残金，最高给付10万元</w:t>
            </w:r>
          </w:p>
        </w:tc>
        <w:tc>
          <w:tcPr>
            <w:tcW w:w="1152" w:type="dxa"/>
            <w:vMerge w:val="continue"/>
            <w:shd w:val="clear" w:color="auto" w:fill="auto"/>
            <w:vAlign w:val="center"/>
          </w:tcPr>
          <w:p w14:paraId="0BE5109D">
            <w:pPr>
              <w:jc w:val="center"/>
              <w:rPr>
                <w:rFonts w:ascii="宋体" w:hAnsi="宋体" w:cs="宋体"/>
                <w:color w:val="auto"/>
                <w:sz w:val="24"/>
                <w:highlight w:val="yellow"/>
              </w:rPr>
            </w:pPr>
          </w:p>
        </w:tc>
      </w:tr>
      <w:tr w14:paraId="7B42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31" w:type="dxa"/>
            <w:shd w:val="clear" w:color="auto" w:fill="auto"/>
            <w:vAlign w:val="center"/>
          </w:tcPr>
          <w:p w14:paraId="05ED8156">
            <w:pPr>
              <w:jc w:val="center"/>
              <w:rPr>
                <w:rFonts w:ascii="宋体" w:hAnsi="宋体" w:cs="宋体"/>
                <w:color w:val="auto"/>
                <w:sz w:val="24"/>
              </w:rPr>
            </w:pPr>
            <w:r>
              <w:rPr>
                <w:rFonts w:hint="eastAsia" w:ascii="宋体" w:hAnsi="宋体" w:cs="宋体"/>
                <w:color w:val="auto"/>
                <w:sz w:val="24"/>
              </w:rPr>
              <w:t>疾病身故</w:t>
            </w:r>
          </w:p>
        </w:tc>
        <w:tc>
          <w:tcPr>
            <w:tcW w:w="1383" w:type="dxa"/>
            <w:shd w:val="clear" w:color="auto" w:fill="auto"/>
            <w:vAlign w:val="center"/>
          </w:tcPr>
          <w:p w14:paraId="338CF2AF">
            <w:pPr>
              <w:jc w:val="center"/>
              <w:rPr>
                <w:rFonts w:ascii="宋体" w:hAnsi="宋体" w:cs="宋体"/>
                <w:color w:val="auto"/>
                <w:sz w:val="24"/>
              </w:rPr>
            </w:pPr>
            <w:r>
              <w:rPr>
                <w:rFonts w:hint="eastAsia" w:ascii="宋体" w:hAnsi="宋体" w:cs="宋体"/>
                <w:color w:val="auto"/>
                <w:sz w:val="24"/>
              </w:rPr>
              <w:t>50000元</w:t>
            </w:r>
          </w:p>
        </w:tc>
        <w:tc>
          <w:tcPr>
            <w:tcW w:w="4546" w:type="dxa"/>
            <w:vAlign w:val="center"/>
          </w:tcPr>
          <w:p w14:paraId="156E0B51">
            <w:pPr>
              <w:jc w:val="center"/>
              <w:rPr>
                <w:rFonts w:ascii="宋体" w:hAnsi="宋体" w:cs="宋体"/>
                <w:color w:val="auto"/>
                <w:sz w:val="24"/>
              </w:rPr>
            </w:pPr>
          </w:p>
        </w:tc>
        <w:tc>
          <w:tcPr>
            <w:tcW w:w="1152" w:type="dxa"/>
            <w:vMerge w:val="continue"/>
            <w:shd w:val="clear" w:color="auto" w:fill="auto"/>
            <w:vAlign w:val="center"/>
          </w:tcPr>
          <w:p w14:paraId="37D11862">
            <w:pPr>
              <w:jc w:val="center"/>
              <w:rPr>
                <w:rFonts w:ascii="宋体" w:hAnsi="宋体" w:cs="宋体"/>
                <w:color w:val="auto"/>
                <w:sz w:val="24"/>
                <w:highlight w:val="yellow"/>
              </w:rPr>
            </w:pPr>
          </w:p>
        </w:tc>
      </w:tr>
      <w:tr w14:paraId="540B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31" w:type="dxa"/>
            <w:shd w:val="clear" w:color="auto" w:fill="auto"/>
            <w:vAlign w:val="center"/>
          </w:tcPr>
          <w:p w14:paraId="5C8F7DF1">
            <w:pPr>
              <w:jc w:val="center"/>
              <w:rPr>
                <w:rFonts w:ascii="宋体" w:hAnsi="宋体" w:cs="宋体"/>
                <w:color w:val="auto"/>
                <w:sz w:val="24"/>
              </w:rPr>
            </w:pPr>
            <w:r>
              <w:rPr>
                <w:rFonts w:hint="eastAsia" w:ascii="宋体" w:hAnsi="宋体" w:cs="宋体"/>
                <w:color w:val="auto"/>
                <w:sz w:val="24"/>
              </w:rPr>
              <w:t>飞机意外身故</w:t>
            </w:r>
          </w:p>
        </w:tc>
        <w:tc>
          <w:tcPr>
            <w:tcW w:w="1383" w:type="dxa"/>
            <w:shd w:val="clear" w:color="auto" w:fill="auto"/>
            <w:vAlign w:val="center"/>
          </w:tcPr>
          <w:p w14:paraId="68E7311B">
            <w:pPr>
              <w:jc w:val="center"/>
              <w:rPr>
                <w:rFonts w:ascii="宋体" w:hAnsi="宋体" w:cs="宋体"/>
                <w:color w:val="auto"/>
                <w:sz w:val="24"/>
              </w:rPr>
            </w:pPr>
            <w:r>
              <w:rPr>
                <w:rFonts w:hint="eastAsia" w:ascii="宋体" w:hAnsi="宋体" w:cs="宋体"/>
                <w:color w:val="auto"/>
                <w:sz w:val="24"/>
              </w:rPr>
              <w:t>500000元</w:t>
            </w:r>
          </w:p>
        </w:tc>
        <w:tc>
          <w:tcPr>
            <w:tcW w:w="4546" w:type="dxa"/>
            <w:vAlign w:val="center"/>
          </w:tcPr>
          <w:p w14:paraId="48CD960B">
            <w:pPr>
              <w:jc w:val="center"/>
              <w:rPr>
                <w:rFonts w:ascii="宋体" w:hAnsi="宋体" w:cs="宋体"/>
                <w:color w:val="auto"/>
                <w:sz w:val="24"/>
              </w:rPr>
            </w:pPr>
          </w:p>
        </w:tc>
        <w:tc>
          <w:tcPr>
            <w:tcW w:w="1152" w:type="dxa"/>
            <w:vMerge w:val="continue"/>
            <w:shd w:val="clear" w:color="auto" w:fill="auto"/>
            <w:vAlign w:val="center"/>
          </w:tcPr>
          <w:p w14:paraId="030D7BB2">
            <w:pPr>
              <w:jc w:val="center"/>
              <w:rPr>
                <w:rFonts w:ascii="宋体" w:hAnsi="宋体" w:cs="宋体"/>
                <w:color w:val="auto"/>
                <w:sz w:val="24"/>
                <w:highlight w:val="yellow"/>
              </w:rPr>
            </w:pPr>
          </w:p>
        </w:tc>
      </w:tr>
      <w:tr w14:paraId="03E4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exact"/>
          <w:jc w:val="center"/>
        </w:trPr>
        <w:tc>
          <w:tcPr>
            <w:tcW w:w="2331" w:type="dxa"/>
            <w:shd w:val="clear" w:color="auto" w:fill="auto"/>
            <w:vAlign w:val="center"/>
          </w:tcPr>
          <w:p w14:paraId="5AB3D79F">
            <w:pPr>
              <w:jc w:val="center"/>
              <w:rPr>
                <w:rFonts w:ascii="宋体" w:hAnsi="宋体" w:cs="宋体"/>
                <w:color w:val="auto"/>
                <w:sz w:val="24"/>
              </w:rPr>
            </w:pPr>
            <w:r>
              <w:rPr>
                <w:rFonts w:hint="eastAsia" w:ascii="宋体" w:hAnsi="宋体" w:cs="宋体"/>
                <w:color w:val="auto"/>
                <w:sz w:val="24"/>
              </w:rPr>
              <w:t>水上交通意外身故</w:t>
            </w:r>
          </w:p>
        </w:tc>
        <w:tc>
          <w:tcPr>
            <w:tcW w:w="1383" w:type="dxa"/>
            <w:shd w:val="clear" w:color="auto" w:fill="auto"/>
            <w:vAlign w:val="center"/>
          </w:tcPr>
          <w:p w14:paraId="2B59CA6E">
            <w:pPr>
              <w:jc w:val="center"/>
              <w:rPr>
                <w:rFonts w:ascii="宋体" w:hAnsi="宋体" w:cs="宋体"/>
                <w:color w:val="auto"/>
                <w:sz w:val="24"/>
              </w:rPr>
            </w:pPr>
            <w:r>
              <w:rPr>
                <w:rFonts w:hint="eastAsia" w:ascii="宋体" w:hAnsi="宋体" w:cs="宋体"/>
                <w:color w:val="auto"/>
                <w:sz w:val="24"/>
              </w:rPr>
              <w:t>300000</w:t>
            </w:r>
          </w:p>
        </w:tc>
        <w:tc>
          <w:tcPr>
            <w:tcW w:w="4546" w:type="dxa"/>
            <w:vAlign w:val="center"/>
          </w:tcPr>
          <w:p w14:paraId="4356FD13">
            <w:pPr>
              <w:jc w:val="center"/>
              <w:rPr>
                <w:rFonts w:ascii="宋体" w:hAnsi="宋体" w:cs="宋体"/>
                <w:color w:val="auto"/>
                <w:sz w:val="24"/>
              </w:rPr>
            </w:pPr>
          </w:p>
        </w:tc>
        <w:tc>
          <w:tcPr>
            <w:tcW w:w="1152" w:type="dxa"/>
            <w:vMerge w:val="continue"/>
            <w:shd w:val="clear" w:color="auto" w:fill="auto"/>
            <w:vAlign w:val="center"/>
          </w:tcPr>
          <w:p w14:paraId="42971B57">
            <w:pPr>
              <w:jc w:val="center"/>
              <w:rPr>
                <w:rFonts w:ascii="宋体" w:hAnsi="宋体" w:cs="宋体"/>
                <w:color w:val="auto"/>
                <w:sz w:val="24"/>
                <w:highlight w:val="yellow"/>
              </w:rPr>
            </w:pPr>
          </w:p>
        </w:tc>
      </w:tr>
      <w:tr w14:paraId="1BAE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2331" w:type="dxa"/>
            <w:shd w:val="clear" w:color="auto" w:fill="auto"/>
            <w:vAlign w:val="center"/>
          </w:tcPr>
          <w:p w14:paraId="3FA6D7B7">
            <w:pPr>
              <w:jc w:val="center"/>
              <w:rPr>
                <w:rFonts w:ascii="宋体" w:hAnsi="宋体" w:cs="宋体"/>
                <w:color w:val="auto"/>
                <w:sz w:val="24"/>
              </w:rPr>
            </w:pPr>
            <w:r>
              <w:rPr>
                <w:rFonts w:hint="eastAsia" w:ascii="宋体" w:hAnsi="宋体" w:cs="宋体"/>
                <w:color w:val="auto"/>
                <w:sz w:val="24"/>
              </w:rPr>
              <w:t>轨道交通意外身故</w:t>
            </w:r>
          </w:p>
        </w:tc>
        <w:tc>
          <w:tcPr>
            <w:tcW w:w="1383" w:type="dxa"/>
            <w:shd w:val="clear" w:color="auto" w:fill="auto"/>
            <w:vAlign w:val="center"/>
          </w:tcPr>
          <w:p w14:paraId="727411E9">
            <w:pPr>
              <w:jc w:val="center"/>
              <w:rPr>
                <w:rFonts w:ascii="宋体" w:hAnsi="宋体" w:cs="宋体"/>
                <w:color w:val="auto"/>
                <w:sz w:val="24"/>
              </w:rPr>
            </w:pPr>
            <w:r>
              <w:rPr>
                <w:rFonts w:hint="eastAsia" w:ascii="宋体" w:hAnsi="宋体" w:cs="宋体"/>
                <w:color w:val="auto"/>
                <w:sz w:val="24"/>
              </w:rPr>
              <w:t>300000</w:t>
            </w:r>
          </w:p>
        </w:tc>
        <w:tc>
          <w:tcPr>
            <w:tcW w:w="4546" w:type="dxa"/>
            <w:vAlign w:val="center"/>
          </w:tcPr>
          <w:p w14:paraId="6BC7B121">
            <w:pPr>
              <w:jc w:val="center"/>
              <w:rPr>
                <w:rFonts w:ascii="宋体" w:hAnsi="宋体" w:cs="宋体"/>
                <w:color w:val="auto"/>
                <w:sz w:val="24"/>
              </w:rPr>
            </w:pPr>
          </w:p>
        </w:tc>
        <w:tc>
          <w:tcPr>
            <w:tcW w:w="1152" w:type="dxa"/>
            <w:vMerge w:val="continue"/>
            <w:shd w:val="clear" w:color="auto" w:fill="auto"/>
            <w:vAlign w:val="center"/>
          </w:tcPr>
          <w:p w14:paraId="627B44AF">
            <w:pPr>
              <w:jc w:val="center"/>
              <w:rPr>
                <w:rFonts w:ascii="宋体" w:hAnsi="宋体" w:cs="宋体"/>
                <w:color w:val="auto"/>
                <w:sz w:val="24"/>
                <w:highlight w:val="yellow"/>
              </w:rPr>
            </w:pPr>
          </w:p>
        </w:tc>
      </w:tr>
      <w:tr w14:paraId="4EC6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31" w:type="dxa"/>
            <w:shd w:val="clear" w:color="auto" w:fill="auto"/>
            <w:vAlign w:val="center"/>
          </w:tcPr>
          <w:p w14:paraId="017FFD05">
            <w:pPr>
              <w:jc w:val="center"/>
              <w:rPr>
                <w:rFonts w:ascii="宋体" w:hAnsi="宋体" w:cs="宋体"/>
                <w:color w:val="auto"/>
                <w:sz w:val="24"/>
              </w:rPr>
            </w:pPr>
            <w:r>
              <w:rPr>
                <w:rFonts w:hint="eastAsia" w:ascii="宋体" w:hAnsi="宋体" w:cs="宋体"/>
                <w:color w:val="auto"/>
                <w:sz w:val="24"/>
              </w:rPr>
              <w:t>机动车意外身故</w:t>
            </w:r>
          </w:p>
        </w:tc>
        <w:tc>
          <w:tcPr>
            <w:tcW w:w="1383" w:type="dxa"/>
            <w:shd w:val="clear" w:color="auto" w:fill="auto"/>
            <w:vAlign w:val="center"/>
          </w:tcPr>
          <w:p w14:paraId="2F017B5F">
            <w:pPr>
              <w:jc w:val="center"/>
              <w:rPr>
                <w:rFonts w:ascii="宋体" w:hAnsi="宋体" w:cs="宋体"/>
                <w:color w:val="auto"/>
                <w:sz w:val="24"/>
              </w:rPr>
            </w:pPr>
            <w:r>
              <w:rPr>
                <w:rFonts w:hint="eastAsia" w:ascii="宋体" w:hAnsi="宋体" w:cs="宋体"/>
                <w:color w:val="auto"/>
                <w:sz w:val="24"/>
              </w:rPr>
              <w:t>200000元</w:t>
            </w:r>
          </w:p>
        </w:tc>
        <w:tc>
          <w:tcPr>
            <w:tcW w:w="4546" w:type="dxa"/>
            <w:vAlign w:val="center"/>
          </w:tcPr>
          <w:p w14:paraId="2D3B4886">
            <w:pPr>
              <w:jc w:val="center"/>
              <w:rPr>
                <w:rFonts w:ascii="宋体" w:hAnsi="宋体" w:cs="宋体"/>
                <w:color w:val="auto"/>
                <w:sz w:val="24"/>
              </w:rPr>
            </w:pPr>
          </w:p>
        </w:tc>
        <w:tc>
          <w:tcPr>
            <w:tcW w:w="1152" w:type="dxa"/>
            <w:vMerge w:val="continue"/>
            <w:shd w:val="clear" w:color="auto" w:fill="auto"/>
            <w:vAlign w:val="center"/>
          </w:tcPr>
          <w:p w14:paraId="6768635A">
            <w:pPr>
              <w:jc w:val="center"/>
              <w:rPr>
                <w:rFonts w:ascii="宋体" w:hAnsi="宋体" w:cs="宋体"/>
                <w:color w:val="auto"/>
                <w:sz w:val="24"/>
                <w:highlight w:val="yellow"/>
              </w:rPr>
            </w:pPr>
          </w:p>
        </w:tc>
      </w:tr>
      <w:tr w14:paraId="706D8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31" w:type="dxa"/>
            <w:shd w:val="clear" w:color="auto" w:fill="auto"/>
            <w:vAlign w:val="center"/>
          </w:tcPr>
          <w:p w14:paraId="20751F73">
            <w:pPr>
              <w:jc w:val="center"/>
              <w:rPr>
                <w:rFonts w:ascii="宋体" w:hAnsi="宋体" w:cs="宋体"/>
                <w:color w:val="auto"/>
                <w:sz w:val="24"/>
              </w:rPr>
            </w:pPr>
            <w:r>
              <w:rPr>
                <w:rFonts w:hint="eastAsia" w:ascii="宋体" w:hAnsi="宋体" w:cs="宋体"/>
                <w:color w:val="auto"/>
                <w:sz w:val="24"/>
              </w:rPr>
              <w:t>重大疾病</w:t>
            </w:r>
          </w:p>
        </w:tc>
        <w:tc>
          <w:tcPr>
            <w:tcW w:w="1383" w:type="dxa"/>
            <w:shd w:val="clear" w:color="auto" w:fill="auto"/>
            <w:vAlign w:val="center"/>
          </w:tcPr>
          <w:p w14:paraId="0703E027">
            <w:pPr>
              <w:jc w:val="center"/>
              <w:rPr>
                <w:rFonts w:ascii="宋体" w:hAnsi="宋体" w:cs="宋体"/>
                <w:color w:val="auto"/>
                <w:sz w:val="24"/>
                <w:highlight w:val="yellow"/>
              </w:rPr>
            </w:pPr>
            <w:r>
              <w:rPr>
                <w:rFonts w:hint="eastAsia" w:ascii="宋体" w:hAnsi="宋体" w:cs="宋体"/>
                <w:color w:val="auto"/>
                <w:sz w:val="24"/>
              </w:rPr>
              <w:t>60000元</w:t>
            </w:r>
          </w:p>
        </w:tc>
        <w:tc>
          <w:tcPr>
            <w:tcW w:w="4546" w:type="dxa"/>
            <w:vAlign w:val="center"/>
          </w:tcPr>
          <w:p w14:paraId="5D62F3F5">
            <w:pPr>
              <w:jc w:val="center"/>
              <w:rPr>
                <w:rFonts w:ascii="宋体" w:hAnsi="宋体" w:cs="宋体"/>
                <w:color w:val="auto"/>
                <w:sz w:val="24"/>
              </w:rPr>
            </w:pPr>
            <w:r>
              <w:rPr>
                <w:rFonts w:hint="eastAsia" w:ascii="宋体" w:hAnsi="宋体" w:cs="宋体"/>
                <w:color w:val="auto"/>
                <w:sz w:val="24"/>
              </w:rPr>
              <w:t>等待期90天</w:t>
            </w:r>
          </w:p>
        </w:tc>
        <w:tc>
          <w:tcPr>
            <w:tcW w:w="1152" w:type="dxa"/>
            <w:vMerge w:val="continue"/>
            <w:shd w:val="clear" w:color="auto" w:fill="auto"/>
            <w:vAlign w:val="center"/>
          </w:tcPr>
          <w:p w14:paraId="5417E443">
            <w:pPr>
              <w:jc w:val="center"/>
              <w:rPr>
                <w:rFonts w:ascii="宋体" w:hAnsi="宋体" w:cs="宋体"/>
                <w:color w:val="auto"/>
                <w:sz w:val="24"/>
                <w:highlight w:val="yellow"/>
              </w:rPr>
            </w:pPr>
          </w:p>
        </w:tc>
      </w:tr>
      <w:tr w14:paraId="4649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331" w:type="dxa"/>
            <w:shd w:val="clear" w:color="auto" w:fill="auto"/>
            <w:vAlign w:val="center"/>
          </w:tcPr>
          <w:p w14:paraId="3597F630">
            <w:pPr>
              <w:jc w:val="center"/>
              <w:rPr>
                <w:rFonts w:ascii="宋体" w:hAnsi="宋体" w:cs="宋体"/>
                <w:color w:val="auto"/>
                <w:sz w:val="24"/>
              </w:rPr>
            </w:pPr>
            <w:r>
              <w:rPr>
                <w:rFonts w:hint="eastAsia" w:ascii="宋体" w:hAnsi="宋体" w:cs="宋体"/>
                <w:color w:val="auto"/>
                <w:sz w:val="24"/>
              </w:rPr>
              <w:t>意外医疗</w:t>
            </w:r>
          </w:p>
          <w:p w14:paraId="23C0F352">
            <w:pPr>
              <w:jc w:val="center"/>
              <w:rPr>
                <w:rFonts w:ascii="宋体" w:hAnsi="宋体" w:cs="宋体"/>
                <w:color w:val="auto"/>
                <w:sz w:val="24"/>
              </w:rPr>
            </w:pPr>
            <w:r>
              <w:rPr>
                <w:rFonts w:hint="eastAsia" w:ascii="宋体" w:hAnsi="宋体" w:cs="宋体"/>
                <w:color w:val="auto"/>
                <w:sz w:val="24"/>
              </w:rPr>
              <w:t>(门、急诊/住院)</w:t>
            </w:r>
          </w:p>
        </w:tc>
        <w:tc>
          <w:tcPr>
            <w:tcW w:w="1383" w:type="dxa"/>
            <w:shd w:val="clear" w:color="auto" w:fill="auto"/>
            <w:vAlign w:val="center"/>
          </w:tcPr>
          <w:p w14:paraId="0C4962F8">
            <w:pPr>
              <w:jc w:val="center"/>
              <w:rPr>
                <w:rFonts w:ascii="宋体" w:hAnsi="宋体" w:cs="宋体"/>
                <w:color w:val="auto"/>
                <w:sz w:val="24"/>
              </w:rPr>
            </w:pPr>
            <w:r>
              <w:rPr>
                <w:rFonts w:hint="eastAsia" w:ascii="宋体" w:hAnsi="宋体" w:cs="宋体"/>
                <w:color w:val="auto"/>
                <w:sz w:val="24"/>
              </w:rPr>
              <w:t>50000元</w:t>
            </w:r>
          </w:p>
        </w:tc>
        <w:tc>
          <w:tcPr>
            <w:tcW w:w="4546" w:type="dxa"/>
            <w:vAlign w:val="center"/>
          </w:tcPr>
          <w:p w14:paraId="2A244CC5">
            <w:pPr>
              <w:jc w:val="center"/>
              <w:rPr>
                <w:rFonts w:ascii="宋体" w:hAnsi="宋体" w:cs="宋体"/>
                <w:color w:val="auto"/>
                <w:sz w:val="24"/>
              </w:rPr>
            </w:pPr>
            <w:r>
              <w:rPr>
                <w:rFonts w:hint="eastAsia" w:ascii="宋体" w:hAnsi="宋体" w:cs="宋体"/>
                <w:color w:val="auto"/>
                <w:sz w:val="24"/>
              </w:rPr>
              <w:t>有无使用医保，免赔额300元，按80%报销（扣除医保统筹给付，剩下自付部分均在赔付范围之内）。</w:t>
            </w:r>
          </w:p>
        </w:tc>
        <w:tc>
          <w:tcPr>
            <w:tcW w:w="1152" w:type="dxa"/>
            <w:vMerge w:val="continue"/>
            <w:shd w:val="clear" w:color="auto" w:fill="auto"/>
            <w:vAlign w:val="center"/>
          </w:tcPr>
          <w:p w14:paraId="4836C979">
            <w:pPr>
              <w:jc w:val="center"/>
              <w:rPr>
                <w:rFonts w:ascii="宋体" w:hAnsi="宋体" w:cs="宋体"/>
                <w:color w:val="auto"/>
                <w:sz w:val="24"/>
                <w:highlight w:val="yellow"/>
              </w:rPr>
            </w:pPr>
          </w:p>
        </w:tc>
      </w:tr>
      <w:tr w14:paraId="5259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331" w:type="dxa"/>
            <w:shd w:val="clear" w:color="auto" w:fill="auto"/>
            <w:vAlign w:val="center"/>
          </w:tcPr>
          <w:p w14:paraId="4AECE13E">
            <w:pPr>
              <w:jc w:val="center"/>
              <w:rPr>
                <w:rFonts w:ascii="宋体" w:hAnsi="宋体" w:cs="宋体"/>
                <w:color w:val="auto"/>
                <w:sz w:val="24"/>
              </w:rPr>
            </w:pPr>
            <w:r>
              <w:rPr>
                <w:rFonts w:hint="eastAsia" w:ascii="宋体" w:hAnsi="宋体" w:cs="宋体"/>
                <w:color w:val="auto"/>
                <w:sz w:val="24"/>
              </w:rPr>
              <w:t>住院医疗</w:t>
            </w:r>
          </w:p>
        </w:tc>
        <w:tc>
          <w:tcPr>
            <w:tcW w:w="1383" w:type="dxa"/>
            <w:shd w:val="clear" w:color="auto" w:fill="auto"/>
            <w:vAlign w:val="center"/>
          </w:tcPr>
          <w:p w14:paraId="543D5CDA">
            <w:pPr>
              <w:jc w:val="center"/>
              <w:rPr>
                <w:rFonts w:ascii="宋体" w:hAnsi="宋体" w:cs="宋体"/>
                <w:color w:val="auto"/>
                <w:sz w:val="24"/>
              </w:rPr>
            </w:pPr>
            <w:r>
              <w:rPr>
                <w:rFonts w:hint="eastAsia" w:ascii="宋体" w:hAnsi="宋体" w:cs="宋体"/>
                <w:color w:val="auto"/>
                <w:sz w:val="24"/>
              </w:rPr>
              <w:t>8000元</w:t>
            </w:r>
          </w:p>
        </w:tc>
        <w:tc>
          <w:tcPr>
            <w:tcW w:w="4546" w:type="dxa"/>
            <w:vAlign w:val="center"/>
          </w:tcPr>
          <w:p w14:paraId="7BB0E5CA">
            <w:pPr>
              <w:jc w:val="center"/>
              <w:rPr>
                <w:rFonts w:ascii="宋体" w:hAnsi="宋体" w:cs="宋体"/>
                <w:color w:val="auto"/>
                <w:sz w:val="24"/>
              </w:rPr>
            </w:pPr>
            <w:r>
              <w:rPr>
                <w:rFonts w:hint="eastAsia" w:ascii="宋体" w:hAnsi="宋体" w:cs="宋体"/>
                <w:color w:val="auto"/>
                <w:sz w:val="24"/>
              </w:rPr>
              <w:t>使用医保免赔额300元，按80%。</w:t>
            </w:r>
          </w:p>
        </w:tc>
        <w:tc>
          <w:tcPr>
            <w:tcW w:w="1152" w:type="dxa"/>
            <w:vMerge w:val="continue"/>
            <w:shd w:val="clear" w:color="auto" w:fill="auto"/>
            <w:vAlign w:val="center"/>
          </w:tcPr>
          <w:p w14:paraId="57372CDA">
            <w:pPr>
              <w:jc w:val="center"/>
              <w:rPr>
                <w:rFonts w:ascii="宋体" w:hAnsi="宋体" w:cs="宋体"/>
                <w:color w:val="auto"/>
                <w:sz w:val="24"/>
                <w:highlight w:val="yellow"/>
              </w:rPr>
            </w:pPr>
          </w:p>
        </w:tc>
      </w:tr>
      <w:tr w14:paraId="7967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331" w:type="dxa"/>
            <w:vMerge w:val="restart"/>
            <w:shd w:val="clear" w:color="auto" w:fill="auto"/>
            <w:vAlign w:val="center"/>
          </w:tcPr>
          <w:p w14:paraId="4A40769B">
            <w:pPr>
              <w:jc w:val="center"/>
              <w:rPr>
                <w:rFonts w:ascii="宋体" w:hAnsi="宋体" w:cs="宋体"/>
                <w:color w:val="auto"/>
                <w:sz w:val="24"/>
              </w:rPr>
            </w:pPr>
            <w:r>
              <w:rPr>
                <w:rFonts w:hint="eastAsia" w:ascii="宋体" w:hAnsi="宋体" w:cs="宋体"/>
                <w:color w:val="auto"/>
                <w:sz w:val="24"/>
              </w:rPr>
              <w:t>住院补贴</w:t>
            </w:r>
          </w:p>
        </w:tc>
        <w:tc>
          <w:tcPr>
            <w:tcW w:w="1383" w:type="dxa"/>
            <w:shd w:val="clear" w:color="auto" w:fill="auto"/>
            <w:vAlign w:val="center"/>
          </w:tcPr>
          <w:p w14:paraId="39433437">
            <w:pPr>
              <w:jc w:val="center"/>
              <w:rPr>
                <w:rFonts w:ascii="宋体" w:hAnsi="宋体" w:cs="宋体"/>
                <w:color w:val="auto"/>
                <w:sz w:val="24"/>
              </w:rPr>
            </w:pPr>
            <w:r>
              <w:rPr>
                <w:rFonts w:hint="eastAsia" w:ascii="宋体" w:hAnsi="宋体" w:cs="宋体"/>
                <w:color w:val="auto"/>
                <w:sz w:val="24"/>
              </w:rPr>
              <w:t>18000元</w:t>
            </w:r>
          </w:p>
        </w:tc>
        <w:tc>
          <w:tcPr>
            <w:tcW w:w="4546" w:type="dxa"/>
            <w:vAlign w:val="center"/>
          </w:tcPr>
          <w:p w14:paraId="72F04339">
            <w:pPr>
              <w:rPr>
                <w:rFonts w:ascii="宋体" w:hAnsi="宋体" w:cs="宋体"/>
                <w:color w:val="auto"/>
                <w:sz w:val="24"/>
              </w:rPr>
            </w:pPr>
            <w:r>
              <w:rPr>
                <w:rFonts w:hint="eastAsia" w:ascii="宋体" w:hAnsi="宋体" w:cs="宋体"/>
                <w:color w:val="auto"/>
                <w:sz w:val="24"/>
              </w:rPr>
              <w:t>普通病房住院每人每天补助80元，疾病住院无等待期，住院当天即赔付；每次住院以30天为限，每年最高补助180天。</w:t>
            </w:r>
          </w:p>
        </w:tc>
        <w:tc>
          <w:tcPr>
            <w:tcW w:w="1152" w:type="dxa"/>
            <w:vMerge w:val="continue"/>
            <w:shd w:val="clear" w:color="auto" w:fill="auto"/>
            <w:vAlign w:val="center"/>
          </w:tcPr>
          <w:p w14:paraId="474939F9">
            <w:pPr>
              <w:jc w:val="center"/>
              <w:rPr>
                <w:rFonts w:ascii="宋体" w:hAnsi="宋体" w:cs="宋体"/>
                <w:color w:val="auto"/>
                <w:sz w:val="24"/>
                <w:highlight w:val="yellow"/>
              </w:rPr>
            </w:pPr>
          </w:p>
        </w:tc>
      </w:tr>
      <w:tr w14:paraId="4C36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2331" w:type="dxa"/>
            <w:vMerge w:val="continue"/>
            <w:shd w:val="clear" w:color="auto" w:fill="auto"/>
            <w:vAlign w:val="center"/>
          </w:tcPr>
          <w:p w14:paraId="6AB517A1">
            <w:pPr>
              <w:jc w:val="center"/>
              <w:rPr>
                <w:rFonts w:ascii="宋体" w:hAnsi="宋体" w:cs="宋体"/>
                <w:color w:val="auto"/>
                <w:sz w:val="24"/>
              </w:rPr>
            </w:pPr>
          </w:p>
        </w:tc>
        <w:tc>
          <w:tcPr>
            <w:tcW w:w="1383" w:type="dxa"/>
            <w:shd w:val="clear" w:color="auto" w:fill="auto"/>
            <w:vAlign w:val="center"/>
          </w:tcPr>
          <w:p w14:paraId="62545F7B">
            <w:pPr>
              <w:jc w:val="center"/>
              <w:rPr>
                <w:rFonts w:ascii="宋体" w:hAnsi="宋体" w:cs="宋体"/>
                <w:color w:val="auto"/>
                <w:sz w:val="24"/>
                <w:highlight w:val="yellow"/>
              </w:rPr>
            </w:pPr>
            <w:r>
              <w:rPr>
                <w:rFonts w:hint="eastAsia" w:ascii="宋体" w:hAnsi="宋体" w:cs="宋体"/>
                <w:color w:val="auto"/>
                <w:sz w:val="24"/>
              </w:rPr>
              <w:t>180000</w:t>
            </w:r>
          </w:p>
        </w:tc>
        <w:tc>
          <w:tcPr>
            <w:tcW w:w="4546" w:type="dxa"/>
            <w:vAlign w:val="center"/>
          </w:tcPr>
          <w:p w14:paraId="712ECC43">
            <w:pPr>
              <w:rPr>
                <w:rFonts w:ascii="宋体" w:hAnsi="宋体" w:cs="宋体"/>
                <w:b/>
                <w:color w:val="auto"/>
                <w:sz w:val="24"/>
              </w:rPr>
            </w:pPr>
            <w:r>
              <w:rPr>
                <w:rFonts w:hint="eastAsia" w:ascii="宋体" w:hAnsi="宋体" w:cs="宋体"/>
                <w:color w:val="auto"/>
                <w:sz w:val="24"/>
              </w:rPr>
              <w:t>入住重症监护室每人每天补助</w:t>
            </w:r>
            <w:r>
              <w:rPr>
                <w:rFonts w:hint="eastAsia" w:ascii="宋体" w:hAnsi="宋体" w:cs="宋体"/>
                <w:b/>
                <w:color w:val="auto"/>
                <w:sz w:val="24"/>
              </w:rPr>
              <w:t>1000</w:t>
            </w:r>
            <w:r>
              <w:rPr>
                <w:rFonts w:hint="eastAsia" w:ascii="宋体" w:hAnsi="宋体" w:cs="宋体"/>
                <w:color w:val="auto"/>
                <w:sz w:val="24"/>
              </w:rPr>
              <w:t>元，疾病住院无等待期；每次住院以30天为限，每年最高补助180天。</w:t>
            </w:r>
          </w:p>
        </w:tc>
        <w:tc>
          <w:tcPr>
            <w:tcW w:w="1152" w:type="dxa"/>
            <w:vMerge w:val="continue"/>
            <w:shd w:val="clear" w:color="auto" w:fill="auto"/>
            <w:vAlign w:val="center"/>
          </w:tcPr>
          <w:p w14:paraId="7A782133">
            <w:pPr>
              <w:jc w:val="center"/>
              <w:rPr>
                <w:rFonts w:ascii="宋体" w:hAnsi="宋体" w:cs="宋体"/>
                <w:color w:val="auto"/>
                <w:sz w:val="24"/>
              </w:rPr>
            </w:pPr>
          </w:p>
        </w:tc>
      </w:tr>
    </w:tbl>
    <w:p w14:paraId="56B2A0E5">
      <w:pPr>
        <w:pStyle w:val="5"/>
        <w:spacing w:line="360" w:lineRule="auto"/>
        <w:ind w:firstLine="480"/>
        <w:rPr>
          <w:rFonts w:ascii="宋体" w:hAnsi="宋体" w:cs="宋体"/>
          <w:color w:val="auto"/>
          <w:sz w:val="24"/>
        </w:rPr>
      </w:pPr>
      <w:r>
        <w:rPr>
          <w:rFonts w:hint="eastAsia" w:ascii="宋体" w:hAnsi="宋体" w:cs="宋体"/>
          <w:color w:val="auto"/>
          <w:sz w:val="24"/>
        </w:rPr>
        <w:t>注：“猝死50000元、疾病身故50000元、普通病房住院每人每天补助</w:t>
      </w:r>
      <w:r>
        <w:rPr>
          <w:rFonts w:ascii="宋体" w:hAnsi="宋体" w:cs="宋体"/>
          <w:color w:val="auto"/>
          <w:sz w:val="24"/>
        </w:rPr>
        <w:t>80</w:t>
      </w:r>
      <w:r>
        <w:rPr>
          <w:rFonts w:hint="eastAsia" w:ascii="宋体" w:hAnsi="宋体" w:cs="宋体"/>
          <w:color w:val="auto"/>
          <w:sz w:val="24"/>
        </w:rPr>
        <w:t>元”这三项可在此基础上适当增加幅度。</w:t>
      </w:r>
    </w:p>
    <w:p w14:paraId="0F1EDFE3">
      <w:pPr>
        <w:pStyle w:val="5"/>
        <w:spacing w:line="360" w:lineRule="auto"/>
        <w:rPr>
          <w:rFonts w:ascii="宋体" w:hAnsi="宋体" w:cs="宋体"/>
          <w:b/>
          <w:bCs/>
          <w:color w:val="auto"/>
          <w:sz w:val="24"/>
        </w:rPr>
      </w:pPr>
      <w:r>
        <w:rPr>
          <w:rFonts w:hint="eastAsia" w:ascii="宋体" w:hAnsi="宋体" w:cs="宋体"/>
          <w:b/>
          <w:bCs/>
          <w:color w:val="auto"/>
          <w:sz w:val="24"/>
        </w:rPr>
        <w:t>五、项目要求</w:t>
      </w:r>
    </w:p>
    <w:p w14:paraId="7AD602F5">
      <w:pPr>
        <w:pStyle w:val="5"/>
        <w:spacing w:line="360" w:lineRule="auto"/>
        <w:ind w:firstLine="480"/>
        <w:rPr>
          <w:rFonts w:ascii="宋体" w:hAnsi="宋体" w:cs="宋体"/>
          <w:color w:val="auto"/>
          <w:sz w:val="24"/>
        </w:rPr>
      </w:pPr>
      <w:r>
        <w:rPr>
          <w:rFonts w:hint="eastAsia" w:ascii="宋体" w:hAnsi="宋体" w:cs="宋体"/>
          <w:color w:val="auto"/>
          <w:sz w:val="24"/>
        </w:rPr>
        <w:t>1、保单及合同生效日期：拟为2027年1月1日，至2027年12月31日。具体承保时间按合同签订后采购人具体要求时间为准。</w:t>
      </w:r>
    </w:p>
    <w:p w14:paraId="5E4A9567">
      <w:pPr>
        <w:pStyle w:val="5"/>
        <w:spacing w:line="360" w:lineRule="auto"/>
        <w:ind w:firstLine="480"/>
        <w:rPr>
          <w:rFonts w:ascii="宋体" w:hAnsi="宋体" w:cs="宋体"/>
          <w:color w:val="auto"/>
          <w:sz w:val="24"/>
        </w:rPr>
      </w:pPr>
      <w:r>
        <w:rPr>
          <w:rFonts w:hint="eastAsia" w:ascii="宋体" w:hAnsi="宋体" w:cs="宋体"/>
          <w:color w:val="auto"/>
          <w:sz w:val="24"/>
        </w:rPr>
        <w:t>2、中标人必须在签订合同前在徐州建立专门的服务机构，指定专人负责，确定地点，形成完善的规章制度和服务体系，以便为服务对象办理承保、理赔、保费结算、投保信息汇总等业务。</w:t>
      </w:r>
    </w:p>
    <w:p w14:paraId="046785E1">
      <w:pPr>
        <w:pStyle w:val="5"/>
        <w:spacing w:line="360" w:lineRule="auto"/>
        <w:ind w:firstLine="480"/>
        <w:rPr>
          <w:rFonts w:ascii="宋体" w:hAnsi="宋体" w:cs="宋体"/>
          <w:color w:val="auto"/>
          <w:sz w:val="24"/>
        </w:rPr>
      </w:pPr>
      <w:r>
        <w:rPr>
          <w:rFonts w:hint="eastAsia" w:ascii="宋体" w:hAnsi="宋体" w:cs="宋体"/>
          <w:color w:val="auto"/>
          <w:sz w:val="24"/>
        </w:rPr>
        <w:t>3、理赔服务：投标人应对有关出险报案、理赔时间、处理办法及措施上有明确的承诺，如有意外伤亡事件，理赔材料提供医院死亡证明；火化证明或户口注销证明。</w:t>
      </w:r>
    </w:p>
    <w:p w14:paraId="4BDBE86E">
      <w:pPr>
        <w:pStyle w:val="5"/>
        <w:spacing w:line="360" w:lineRule="auto"/>
        <w:ind w:firstLine="480"/>
        <w:rPr>
          <w:rFonts w:ascii="宋体" w:hAnsi="宋体" w:cs="宋体"/>
          <w:color w:val="auto"/>
          <w:sz w:val="24"/>
        </w:rPr>
      </w:pPr>
      <w:r>
        <w:rPr>
          <w:rFonts w:hint="eastAsia" w:ascii="宋体" w:hAnsi="宋体" w:cs="宋体"/>
          <w:color w:val="auto"/>
          <w:sz w:val="24"/>
        </w:rPr>
        <w:t>4、宣传服务：宣传服务中标人应根据保险政策及其承诺，配合采购方制定相关辅警团体意外伤害保险宣传彩页或其他宣传方式，发放到参保人员手中，使知晓率达到70%以上。</w:t>
      </w:r>
    </w:p>
    <w:p w14:paraId="072B0674">
      <w:pPr>
        <w:pStyle w:val="5"/>
        <w:spacing w:line="360" w:lineRule="auto"/>
        <w:ind w:firstLine="480"/>
        <w:rPr>
          <w:rFonts w:ascii="宋体" w:hAnsi="宋体" w:cs="宋体"/>
          <w:color w:val="auto"/>
          <w:sz w:val="24"/>
        </w:rPr>
      </w:pPr>
      <w:r>
        <w:rPr>
          <w:rFonts w:hint="eastAsia" w:ascii="宋体" w:hAnsi="宋体" w:cs="宋体"/>
          <w:color w:val="auto"/>
          <w:sz w:val="24"/>
        </w:rPr>
        <w:t>5、投标文件中所用各条款需充分响应本招标文件附件中所附要求。</w:t>
      </w:r>
    </w:p>
    <w:p w14:paraId="16476BC0">
      <w:pPr>
        <w:pStyle w:val="5"/>
        <w:spacing w:line="360" w:lineRule="auto"/>
        <w:ind w:firstLine="480"/>
        <w:rPr>
          <w:rFonts w:ascii="宋体" w:hAnsi="宋体" w:cs="宋体"/>
          <w:color w:val="auto"/>
          <w:sz w:val="24"/>
        </w:rPr>
      </w:pPr>
      <w:r>
        <w:rPr>
          <w:rFonts w:hint="eastAsia" w:ascii="宋体" w:hAnsi="宋体" w:cs="宋体"/>
          <w:color w:val="auto"/>
          <w:sz w:val="24"/>
        </w:rPr>
        <w:t>6、投标人的承诺不得有违反保险行业相关法律法规内容，否则作为无效投标处理。</w:t>
      </w:r>
    </w:p>
    <w:p w14:paraId="39DBB776">
      <w:pPr>
        <w:pStyle w:val="5"/>
        <w:spacing w:line="360" w:lineRule="auto"/>
        <w:ind w:firstLine="480"/>
        <w:rPr>
          <w:rFonts w:ascii="宋体" w:hAnsi="宋体" w:cs="宋体"/>
          <w:color w:val="auto"/>
          <w:sz w:val="24"/>
        </w:rPr>
      </w:pPr>
      <w:r>
        <w:rPr>
          <w:rFonts w:hint="eastAsia" w:ascii="宋体" w:hAnsi="宋体" w:cs="宋体"/>
          <w:color w:val="auto"/>
          <w:sz w:val="24"/>
        </w:rPr>
        <w:t>7、中标人应明确投保、送交保单、保费缴纳、材料交接、赔款划付等有关工作的具体操作程序和步骤，以利于做好徐州市警务辅助团体意外伤害保险的服务工作。</w:t>
      </w:r>
    </w:p>
    <w:p w14:paraId="37787563">
      <w:pPr>
        <w:pStyle w:val="5"/>
        <w:spacing w:line="360" w:lineRule="auto"/>
        <w:ind w:firstLine="480"/>
        <w:rPr>
          <w:rFonts w:ascii="宋体" w:hAnsi="宋体" w:cs="宋体"/>
          <w:color w:val="auto"/>
          <w:sz w:val="24"/>
        </w:rPr>
      </w:pPr>
      <w:r>
        <w:rPr>
          <w:rFonts w:hint="eastAsia" w:ascii="宋体" w:hAnsi="宋体" w:cs="宋体"/>
          <w:color w:val="auto"/>
          <w:sz w:val="24"/>
        </w:rPr>
        <w:t>8、中标承保的保险人在采购方的统一领导下，为参加本保险的被保险人提供全面、便捷、高效的保险服务。协助做好政策宣传、解释等工作。</w:t>
      </w:r>
    </w:p>
    <w:p w14:paraId="6534863C">
      <w:pPr>
        <w:pStyle w:val="5"/>
        <w:spacing w:line="360" w:lineRule="auto"/>
        <w:ind w:firstLine="480"/>
        <w:rPr>
          <w:rFonts w:ascii="宋体" w:hAnsi="宋体" w:cs="宋体"/>
          <w:color w:val="auto"/>
          <w:sz w:val="24"/>
        </w:rPr>
      </w:pPr>
      <w:r>
        <w:rPr>
          <w:rFonts w:hint="eastAsia" w:ascii="宋体" w:hAnsi="宋体" w:cs="宋体"/>
          <w:color w:val="auto"/>
          <w:sz w:val="24"/>
        </w:rPr>
        <w:t>注：1、保险期限：2027年1月1日零时至2027年12月31日二十四时止。</w:t>
      </w:r>
    </w:p>
    <w:p w14:paraId="5F73D1B3">
      <w:pPr>
        <w:pStyle w:val="5"/>
        <w:spacing w:line="360" w:lineRule="auto"/>
        <w:ind w:firstLine="480"/>
        <w:rPr>
          <w:rFonts w:ascii="宋体" w:hAnsi="宋体" w:cs="宋体"/>
          <w:color w:val="auto"/>
          <w:sz w:val="24"/>
        </w:rPr>
      </w:pPr>
      <w:r>
        <w:rPr>
          <w:rFonts w:hint="eastAsia" w:ascii="宋体" w:hAnsi="宋体" w:cs="宋体"/>
          <w:color w:val="auto"/>
          <w:sz w:val="24"/>
        </w:rPr>
        <w:t>特殊情况注明：</w:t>
      </w:r>
    </w:p>
    <w:p w14:paraId="5489F77E">
      <w:pPr>
        <w:pStyle w:val="5"/>
        <w:spacing w:line="360" w:lineRule="auto"/>
        <w:ind w:firstLine="480"/>
        <w:rPr>
          <w:rFonts w:ascii="宋体" w:hAnsi="宋体" w:cs="宋体"/>
          <w:color w:val="auto"/>
          <w:sz w:val="24"/>
        </w:rPr>
      </w:pPr>
      <w:r>
        <w:rPr>
          <w:rFonts w:hint="eastAsia" w:ascii="宋体" w:hAnsi="宋体" w:cs="宋体"/>
          <w:color w:val="auto"/>
          <w:sz w:val="24"/>
        </w:rPr>
        <w:t>（1）住院时间在保险期内，但住院时长超过2027年12月31日的，保险理赔延长至出院时间为止;</w:t>
      </w:r>
    </w:p>
    <w:p w14:paraId="3D999C9B">
      <w:pPr>
        <w:pStyle w:val="5"/>
        <w:spacing w:line="360" w:lineRule="auto"/>
        <w:ind w:firstLine="480"/>
        <w:rPr>
          <w:rFonts w:ascii="宋体" w:hAnsi="宋体" w:cs="宋体"/>
          <w:color w:val="auto"/>
          <w:sz w:val="24"/>
        </w:rPr>
      </w:pPr>
      <w:r>
        <w:rPr>
          <w:rFonts w:hint="eastAsia" w:ascii="宋体" w:hAnsi="宋体" w:cs="宋体"/>
          <w:color w:val="auto"/>
          <w:sz w:val="24"/>
        </w:rPr>
        <w:t>（2）因意外受伤产生的医疗费用，保险理赔应从受伤开始起至治疗完全结束止（比如拆除石膏、钢板等）。</w:t>
      </w:r>
    </w:p>
    <w:p w14:paraId="39CA230E">
      <w:pPr>
        <w:pStyle w:val="5"/>
        <w:spacing w:line="360" w:lineRule="auto"/>
        <w:ind w:firstLine="480"/>
        <w:rPr>
          <w:rFonts w:ascii="宋体" w:hAnsi="宋体" w:cs="宋体"/>
          <w:color w:val="auto"/>
          <w:sz w:val="24"/>
        </w:rPr>
      </w:pPr>
      <w:r>
        <w:rPr>
          <w:rFonts w:hint="eastAsia" w:ascii="宋体" w:hAnsi="宋体" w:cs="宋体"/>
          <w:color w:val="auto"/>
          <w:sz w:val="24"/>
        </w:rPr>
        <w:t>2、参保人员：实际根据实有人数进行核算；</w:t>
      </w:r>
    </w:p>
    <w:p w14:paraId="06B6A1E6">
      <w:pPr>
        <w:pStyle w:val="5"/>
        <w:spacing w:line="360" w:lineRule="auto"/>
        <w:ind w:firstLine="480"/>
        <w:rPr>
          <w:rFonts w:ascii="宋体" w:hAnsi="宋体" w:cs="宋体"/>
          <w:color w:val="auto"/>
          <w:sz w:val="24"/>
        </w:rPr>
      </w:pPr>
      <w:r>
        <w:rPr>
          <w:rFonts w:hint="eastAsia" w:ascii="宋体" w:hAnsi="宋体" w:cs="宋体"/>
          <w:color w:val="auto"/>
          <w:sz w:val="24"/>
        </w:rPr>
        <w:t>3、本项目中因意外导致身故按照就高不就低原则给予一次性赔付；</w:t>
      </w:r>
    </w:p>
    <w:p w14:paraId="2517F5B4">
      <w:pPr>
        <w:pStyle w:val="5"/>
        <w:spacing w:line="360" w:lineRule="auto"/>
        <w:ind w:firstLine="480"/>
        <w:rPr>
          <w:rFonts w:ascii="宋体" w:hAnsi="宋体" w:cs="宋体"/>
          <w:color w:val="auto"/>
          <w:sz w:val="24"/>
        </w:rPr>
      </w:pPr>
      <w:r>
        <w:rPr>
          <w:rFonts w:hint="eastAsia" w:ascii="宋体" w:hAnsi="宋体" w:cs="宋体"/>
          <w:color w:val="auto"/>
          <w:sz w:val="24"/>
        </w:rPr>
        <w:t>4、本项目中所有条款均不设定等待期</w:t>
      </w:r>
      <w:r>
        <w:rPr>
          <w:rFonts w:hint="eastAsia" w:ascii="宋体" w:hAnsi="宋体" w:cs="宋体"/>
          <w:color w:val="auto"/>
          <w:sz w:val="24"/>
          <w:lang w:eastAsia="zh-CN"/>
        </w:rPr>
        <w:t>：</w:t>
      </w:r>
      <w:r>
        <w:rPr>
          <w:rFonts w:hint="eastAsia" w:ascii="宋体" w:hAnsi="宋体" w:cs="宋体"/>
          <w:color w:val="auto"/>
          <w:sz w:val="24"/>
        </w:rPr>
        <w:t>即享受理赔开始时间自合同签订后生效；</w:t>
      </w:r>
    </w:p>
    <w:p w14:paraId="488FAE18">
      <w:r>
        <w:rPr>
          <w:rFonts w:hint="eastAsia" w:ascii="宋体" w:hAnsi="宋体" w:cs="宋体"/>
          <w:b/>
          <w:bCs/>
          <w:color w:val="auto"/>
          <w:sz w:val="24"/>
        </w:rPr>
        <w:t>本“五、项目要求”为不允许偏离的实质性要求和条件，如有偏离，在符合性审查时按照投标无效处理。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EF10DB"/>
    <w:rsid w:val="38CD0FCC"/>
    <w:rsid w:val="78B26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正文缩进1"/>
    <w:basedOn w:val="1"/>
    <w:qFormat/>
    <w:uiPriority w:val="0"/>
    <w:pPr>
      <w:ind w:firstLine="420"/>
    </w:pPr>
  </w:style>
  <w:style w:type="paragraph" w:customStyle="1" w:styleId="5">
    <w:name w:val="正文1111"/>
    <w:next w:val="1"/>
    <w:qFormat/>
    <w:uiPriority w:val="0"/>
    <w:pPr>
      <w:widowControl w:val="0"/>
      <w:jc w:val="both"/>
    </w:pPr>
    <w:rPr>
      <w:rFonts w:ascii="Times New Roman" w:hAnsi="Times New Roman" w:eastAsia="宋体" w:cs="Times New Roman"/>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1331</Words>
  <Characters>1453</Characters>
  <Lines>0</Lines>
  <Paragraphs>0</Paragraphs>
  <TotalTime>0</TotalTime>
  <ScaleCrop>false</ScaleCrop>
  <LinksUpToDate>false</LinksUpToDate>
  <CharactersWithSpaces>1456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2026-08-04T01:44:00Z</dcterms:created>
  <dc:creator>admin</dc:creator>
  <cp:lastModifiedBy>admin</cp:lastModifiedBy>
  <dcterms:modified xsi:type="dcterms:W3CDTF">2026-08-04T01:47:56Z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eyJoZGlkIjoiNmUyNTM2OGQwZjc2MDEzYjY1NzY5Mzg1NjRkMmRmMjciLCJ1c2VySWQiOiIzMDM4NTU2ODgifQ==</vt:lpwstr>
  </property>
  <property fmtid="{D5CDD505-2E9C-101B-9397-08002B2CF9AE}" pid="4" name="ICV">
    <vt:lpwstr>4B74176D28A343E6AB8C6F5F4854922C_12</vt:lpwstr>
  </property>
</Properties>
</file>