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color w:val="auto"/>
          <w:spacing w:val="76"/>
          <w:sz w:val="28"/>
          <w:szCs w:val="28"/>
          <w:highlight w:val="none"/>
        </w:rPr>
      </w:pPr>
      <w:r>
        <w:rPr>
          <w:rFonts w:ascii="宋体" w:hAnsi="宋体" w:cs="宋体"/>
          <w:b/>
          <w:color w:val="auto"/>
          <w:spacing w:val="76"/>
          <w:sz w:val="28"/>
          <w:szCs w:val="28"/>
          <w:highlight w:val="none"/>
        </w:rPr>
      </w:r>
      <w:r/>
    </w:p>
    <w:p>
      <w:pPr>
        <w:pStyle w:val="749"/>
        <w:ind w:firstLine="0"/>
        <w:rPr>
          <w:rFonts w:ascii="宋体" w:hAnsi="宋体" w:cs="宋体"/>
          <w:b/>
          <w:color w:val="auto"/>
          <w:spacing w:val="76"/>
          <w:sz w:val="32"/>
          <w:szCs w:val="32"/>
          <w:highlight w:val="none"/>
        </w:rPr>
      </w:pPr>
      <w:r>
        <w:rPr>
          <w:rFonts w:ascii="宋体" w:hAnsi="宋体" w:cs="宋体"/>
          <w:b/>
          <w:color w:val="auto"/>
          <w:spacing w:val="76"/>
          <w:sz w:val="32"/>
          <w:szCs w:val="32"/>
          <w:highlight w:val="none"/>
        </w:rPr>
      </w:r>
      <w:r/>
    </w:p>
    <w:p>
      <w:pPr>
        <w:pStyle w:val="749"/>
        <w:ind w:firstLine="0"/>
        <w:rPr>
          <w:rFonts w:ascii="宋体" w:hAnsi="宋体" w:cs="宋体"/>
          <w:b/>
          <w:color w:val="auto"/>
          <w:spacing w:val="76"/>
          <w:sz w:val="84"/>
          <w:szCs w:val="84"/>
          <w:highlight w:val="none"/>
        </w:rPr>
      </w:pPr>
      <w:r>
        <w:rPr>
          <w:rFonts w:ascii="宋体" w:hAnsi="宋体" w:cs="宋体"/>
          <w:b/>
          <w:color w:val="auto"/>
          <w:spacing w:val="76"/>
          <w:sz w:val="84"/>
          <w:szCs w:val="84"/>
          <w:highlight w:val="none"/>
        </w:rPr>
      </w:r>
      <w:r/>
    </w:p>
    <w:p>
      <w:pPr>
        <w:jc w:val="center"/>
        <w:rPr>
          <w:rFonts w:ascii="宋体" w:hAnsi="宋体" w:cs="宋体"/>
          <w:b/>
          <w:color w:val="auto"/>
          <w:spacing w:val="76"/>
          <w:sz w:val="120"/>
          <w:szCs w:val="120"/>
          <w:highlight w:val="none"/>
        </w:rPr>
      </w:pPr>
      <w:r>
        <w:rPr>
          <w:rFonts w:hint="eastAsia" w:ascii="宋体" w:hAnsi="宋体" w:cs="宋体"/>
          <w:b/>
          <w:color w:val="auto"/>
          <w:spacing w:val="76"/>
          <w:sz w:val="120"/>
          <w:szCs w:val="120"/>
          <w:highlight w:val="none"/>
        </w:rPr>
        <w:t xml:space="preserve">招标文件</w:t>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jc w:val="center"/>
        <w:rPr>
          <w:rFonts w:hint="default" w:ascii="宋体" w:hAnsi="宋体" w:cs="宋体"/>
          <w:color w:val="auto"/>
          <w:sz w:val="28"/>
          <w:szCs w:val="28"/>
          <w:highlight w:val="none"/>
          <w:lang w:val="en-US"/>
        </w:rPr>
      </w:pPr>
      <w:r>
        <w:rPr>
          <w:rStyle w:val="1028"/>
          <w:rFonts w:hint="eastAsia" w:ascii="仿宋" w:hAnsi="仿宋" w:eastAsia="仿宋" w:cs="仿宋"/>
          <w:b/>
          <w:color w:val="auto"/>
          <w:szCs w:val="21"/>
          <w:highlight w:val="none"/>
        </w:rPr>
        <mc:AlternateContent>
          <mc:Choice Requires="wpg">
            <w:drawing>
              <wp:inline xmlns:wp="http://schemas.openxmlformats.org/drawingml/2006/wordprocessingDrawing" distT="0" distB="0" distL="0" distR="0">
                <wp:extent cx="2741930" cy="185293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5" name="图片 3"/>
                        <pic:cNvPicPr/>
                        <pic:nvPr/>
                      </pic:nvPicPr>
                      <pic:blipFill>
                        <a:blip r:embed="rId14"/>
                        <a:stretch/>
                      </pic:blipFill>
                      <pic:spPr bwMode="auto">
                        <a:xfrm>
                          <a:off x="0" y="0"/>
                          <a:ext cx="2742184" cy="18530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5.9pt;height:145.9pt;mso-wrap-distance-left:0.0pt;mso-wrap-distance-top:0.0pt;mso-wrap-distance-right:0.0pt;mso-wrap-distance-bottom:0.0pt;" stroked="f">
                <v:path textboxrect="0,0,0,0"/>
                <v:imagedata r:id="rId14" o:title=""/>
              </v:shape>
            </w:pict>
          </mc:Fallback>
        </mc:AlternateContent>
      </w:r>
      <w:r/>
    </w:p>
    <w:p>
      <w:pPr>
        <w:pStyle w:val="749"/>
        <w:rPr>
          <w:rFonts w:ascii="宋体" w:hAnsi="宋体" w:cs="宋体"/>
          <w:color w:val="auto"/>
          <w:sz w:val="28"/>
          <w:szCs w:val="28"/>
          <w:highlight w:val="none"/>
        </w:rPr>
      </w:pPr>
      <w:r>
        <w:rPr>
          <w:rFonts w:ascii="宋体" w:hAnsi="宋体" w:cs="宋体"/>
          <w:color w:val="auto"/>
          <w:sz w:val="28"/>
          <w:szCs w:val="28"/>
          <w:highlight w:val="none"/>
        </w:rPr>
      </w:r>
      <w:r/>
    </w:p>
    <w:p>
      <w:pPr>
        <w:ind w:firstLine="320"/>
        <w:spacing w:line="6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JSZC-320300-JTGS-G2026-0028</w:t>
      </w:r>
      <w:r/>
    </w:p>
    <w:p>
      <w:pPr>
        <w:ind w:firstLine="320"/>
        <w:spacing w:line="600" w:lineRule="exact"/>
        <w:rPr>
          <w:rFonts w:ascii="宋体" w:hAnsi="宋体" w:cs="宋体"/>
          <w:color w:val="auto"/>
          <w:sz w:val="32"/>
          <w:szCs w:val="32"/>
          <w:highlight w:val="none"/>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通用硬件设备运维项目</w:t>
      </w:r>
      <w:r/>
    </w:p>
    <w:p>
      <w:pPr>
        <w:ind w:firstLine="320"/>
        <w:jc w:val="left"/>
        <w:spacing w:line="600" w:lineRule="exact"/>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徐州市公安局交通管理支队</w:t>
      </w:r>
      <w:r/>
    </w:p>
    <w:p>
      <w:pPr>
        <w:ind w:right="-159"/>
        <w:spacing w:line="300" w:lineRule="auto"/>
        <w:rPr>
          <w:rFonts w:ascii="宋体" w:hAnsi="宋体" w:cs="宋体"/>
          <w:color w:val="auto"/>
          <w:sz w:val="32"/>
          <w:szCs w:val="32"/>
          <w:highlight w:val="none"/>
        </w:rPr>
      </w:pPr>
      <w:r>
        <w:rPr>
          <w:rFonts w:ascii="宋体" w:hAnsi="宋体" w:cs="宋体"/>
          <w:color w:val="auto"/>
          <w:sz w:val="32"/>
          <w:szCs w:val="32"/>
          <w:highlight w:val="none"/>
        </w:rPr>
      </w:r>
      <w:r/>
    </w:p>
    <w:p>
      <w:pPr>
        <w:ind w:right="-159" w:firstLine="2112"/>
        <w:spacing w:line="300" w:lineRule="auto"/>
        <w:rPr>
          <w:rFonts w:ascii="宋体" w:hAnsi="宋体" w:cs="宋体"/>
          <w:color w:val="auto"/>
          <w:sz w:val="32"/>
          <w:szCs w:val="32"/>
          <w:highlight w:val="none"/>
        </w:rPr>
      </w:pPr>
      <w:r>
        <w:rPr>
          <w:rFonts w:ascii="宋体" w:hAnsi="宋体" w:cs="宋体"/>
          <w:color w:val="auto"/>
          <w:sz w:val="32"/>
          <w:szCs w:val="32"/>
          <w:highlight w:val="none"/>
        </w:rPr>
      </w:r>
      <w:r/>
    </w:p>
    <w:p>
      <w:pPr>
        <w:pStyle w:val="809"/>
        <w:rPr>
          <w:rFonts w:ascii="宋体" w:hAnsi="宋体" w:cs="宋体"/>
          <w:color w:val="auto"/>
          <w:sz w:val="32"/>
          <w:szCs w:val="32"/>
          <w:highlight w:val="none"/>
        </w:rPr>
      </w:pPr>
      <w:r>
        <w:rPr>
          <w:rFonts w:ascii="宋体" w:hAnsi="宋体" w:cs="宋体"/>
          <w:color w:val="auto"/>
          <w:sz w:val="32"/>
          <w:szCs w:val="32"/>
          <w:highlight w:val="none"/>
        </w:rPr>
      </w:r>
      <w:r/>
    </w:p>
    <w:p>
      <w:pPr>
        <w:rPr>
          <w:highlight w:val="none"/>
        </w:rPr>
      </w:pPr>
      <w:r>
        <w:rPr>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采购代理机构：</w:t>
      </w:r>
      <w:r>
        <w:rPr>
          <w:rFonts w:hint="eastAsia" w:ascii="宋体" w:hAnsi="宋体" w:cs="宋体"/>
          <w:color w:val="auto"/>
          <w:sz w:val="32"/>
          <w:szCs w:val="32"/>
          <w:highlight w:val="none"/>
          <w:lang w:eastAsia="zh-CN"/>
        </w:rPr>
        <w:t xml:space="preserve">江苏骏通建设项目管理咨询有限公司</w:t>
      </w:r>
      <w:r/>
    </w:p>
    <w:p>
      <w:pPr>
        <w:jc w:val="center"/>
        <w:spacing w:line="360" w:lineRule="auto"/>
        <w:rPr>
          <w:rFonts w:ascii="宋体" w:hAnsi="宋体" w:cs="宋体"/>
          <w:color w:val="auto"/>
          <w:sz w:val="32"/>
          <w:szCs w:val="32"/>
          <w:highlight w:val="none"/>
        </w:rPr>
      </w:pPr>
      <w:r>
        <w:rPr>
          <w:rFonts w:hint="eastAsia" w:ascii="宋体" w:hAnsi="宋体" w:cs="宋体"/>
          <w:bCs/>
          <w:color w:val="auto"/>
          <w:sz w:val="32"/>
          <w:szCs w:val="32"/>
          <w:highlight w:val="none"/>
        </w:rPr>
        <w:t xml:space="preserve">二〇二六年</w:t>
      </w:r>
      <w:r>
        <w:rPr>
          <w:rFonts w:hint="eastAsia" w:ascii="宋体" w:hAnsi="宋体" w:cs="宋体"/>
          <w:bCs/>
          <w:color w:val="auto"/>
          <w:sz w:val="32"/>
          <w:szCs w:val="32"/>
          <w:highlight w:val="none"/>
          <w:lang w:val="en-US" w:eastAsia="zh-CN"/>
        </w:rPr>
        <w:t xml:space="preserve">七</w:t>
      </w:r>
      <w:r>
        <w:rPr>
          <w:rFonts w:hint="eastAsia" w:ascii="宋体" w:hAnsi="宋体" w:cs="宋体"/>
          <w:bCs/>
          <w:color w:val="auto"/>
          <w:sz w:val="32"/>
          <w:szCs w:val="32"/>
          <w:highlight w:val="none"/>
        </w:rPr>
        <w:t xml:space="preserve">月</w:t>
      </w:r>
      <w:r/>
    </w:p>
    <w:p>
      <w:pPr>
        <w:jc w:val="center"/>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b/>
          <w:color w:val="auto"/>
          <w:sz w:val="28"/>
          <w:szCs w:val="28"/>
          <w:highlight w:val="none"/>
        </w:rPr>
      </w:r>
      <w:r/>
    </w:p>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目 录</w:t>
      </w:r>
      <w:r/>
    </w:p>
    <w:p>
      <w:pPr>
        <w:jc w:val="center"/>
        <w:spacing w:line="51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jc w:val="center"/>
        <w:spacing w:line="51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ind w:firstLine="210"/>
        <w:spacing w:line="24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highlight w:val="none"/>
        </w:rPr>
        <w:fldChar w:fldCharType="separate"/>
      </w:r>
      <w:r>
        <w:rPr>
          <w:rStyle w:val="784"/>
          <w:rFonts w:hint="eastAsia" w:ascii="宋体" w:hAnsi="宋体" w:cs="宋体"/>
          <w:color w:val="auto"/>
          <w:sz w:val="30"/>
          <w:szCs w:val="30"/>
          <w:highlight w:val="none"/>
          <w:u w:val="none"/>
        </w:rPr>
        <w:t xml:space="preserve">第一章 投标邀请</w:t>
      </w:r>
      <w:r>
        <w:rPr>
          <w:rStyle w:val="784"/>
          <w:rFonts w:hint="eastAsia" w:ascii="宋体" w:hAnsi="宋体" w:cs="宋体"/>
          <w:color w:val="auto"/>
          <w:sz w:val="30"/>
          <w:szCs w:val="30"/>
          <w:highlight w:val="none"/>
          <w:u w:val="none"/>
        </w:rPr>
        <w:fldChar w:fldCharType="end"/>
      </w:r>
      <w:r/>
    </w:p>
    <w:p>
      <w:pPr>
        <w:spacing w:line="24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p>
    <w:p>
      <w:pPr>
        <w:ind w:firstLine="210"/>
        <w:spacing w:line="24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highlight w:val="none"/>
        </w:rPr>
        <w:fldChar w:fldCharType="separate"/>
      </w:r>
      <w:r>
        <w:rPr>
          <w:rStyle w:val="784"/>
          <w:rFonts w:hint="eastAsia" w:ascii="宋体" w:hAnsi="宋体" w:cs="宋体"/>
          <w:color w:val="auto"/>
          <w:sz w:val="30"/>
          <w:szCs w:val="30"/>
          <w:highlight w:val="none"/>
          <w:u w:val="none"/>
        </w:rPr>
        <w:t xml:space="preserve">第二章 投标人须知</w:t>
      </w:r>
      <w:r>
        <w:rPr>
          <w:rStyle w:val="784"/>
          <w:rFonts w:hint="eastAsia" w:ascii="宋体" w:hAnsi="宋体" w:cs="宋体"/>
          <w:color w:val="auto"/>
          <w:sz w:val="30"/>
          <w:szCs w:val="30"/>
          <w:highlight w:val="none"/>
          <w:u w:val="none"/>
        </w:rPr>
        <w:fldChar w:fldCharType="end"/>
      </w:r>
      <w:r/>
    </w:p>
    <w:p>
      <w:pPr>
        <w:spacing w:line="24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p>
    <w:p>
      <w:pPr>
        <w:ind w:firstLine="210"/>
        <w:spacing w:line="24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highlight w:val="none"/>
        </w:rPr>
        <w:fldChar w:fldCharType="separate"/>
      </w:r>
      <w:r>
        <w:rPr>
          <w:rStyle w:val="784"/>
          <w:rFonts w:hint="eastAsia" w:ascii="宋体" w:hAnsi="宋体" w:cs="宋体"/>
          <w:color w:val="auto"/>
          <w:sz w:val="30"/>
          <w:szCs w:val="30"/>
          <w:highlight w:val="none"/>
          <w:u w:val="none"/>
        </w:rPr>
        <w:t xml:space="preserve">第三章 投标资料表</w:t>
      </w:r>
      <w:r>
        <w:rPr>
          <w:rStyle w:val="784"/>
          <w:rFonts w:hint="eastAsia" w:ascii="宋体" w:hAnsi="宋体" w:cs="宋体"/>
          <w:color w:val="auto"/>
          <w:sz w:val="30"/>
          <w:szCs w:val="30"/>
          <w:highlight w:val="none"/>
          <w:u w:val="none"/>
        </w:rPr>
        <w:fldChar w:fldCharType="end"/>
      </w:r>
      <w:r/>
    </w:p>
    <w:p>
      <w:pPr>
        <w:spacing w:line="24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p>
    <w:p>
      <w:pPr>
        <w:ind w:firstLine="210"/>
        <w:spacing w:line="24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highlight w:val="none"/>
        </w:rPr>
        <w:fldChar w:fldCharType="separate"/>
      </w:r>
      <w:r>
        <w:rPr>
          <w:rStyle w:val="784"/>
          <w:rFonts w:hint="eastAsia" w:ascii="宋体" w:hAnsi="宋体" w:cs="宋体"/>
          <w:color w:val="auto"/>
          <w:sz w:val="30"/>
          <w:szCs w:val="30"/>
          <w:highlight w:val="none"/>
          <w:u w:val="none"/>
        </w:rPr>
        <w:t xml:space="preserve">第四章 评标标准</w:t>
      </w:r>
      <w:r>
        <w:rPr>
          <w:rStyle w:val="784"/>
          <w:rFonts w:hint="eastAsia" w:ascii="宋体" w:hAnsi="宋体" w:cs="宋体"/>
          <w:color w:val="auto"/>
          <w:sz w:val="30"/>
          <w:szCs w:val="30"/>
          <w:highlight w:val="none"/>
          <w:u w:val="none"/>
        </w:rPr>
        <w:fldChar w:fldCharType="end"/>
      </w:r>
      <w:r/>
    </w:p>
    <w:p>
      <w:pPr>
        <w:spacing w:line="24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p>
    <w:p>
      <w:pPr>
        <w:ind w:firstLine="210"/>
        <w:spacing w:line="24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highlight w:val="none"/>
        </w:rPr>
        <w:fldChar w:fldCharType="separate"/>
      </w:r>
      <w:r>
        <w:rPr>
          <w:rStyle w:val="784"/>
          <w:rFonts w:hint="eastAsia" w:ascii="宋体" w:hAnsi="宋体" w:cs="宋体"/>
          <w:color w:val="auto"/>
          <w:sz w:val="30"/>
          <w:szCs w:val="30"/>
          <w:highlight w:val="none"/>
          <w:u w:val="none"/>
        </w:rPr>
        <w:t xml:space="preserve">第五章 拟签订的合同文本</w:t>
      </w:r>
      <w:r>
        <w:rPr>
          <w:rStyle w:val="784"/>
          <w:rFonts w:hint="eastAsia" w:ascii="宋体" w:hAnsi="宋体" w:cs="宋体"/>
          <w:color w:val="auto"/>
          <w:sz w:val="30"/>
          <w:szCs w:val="30"/>
          <w:highlight w:val="none"/>
          <w:u w:val="none"/>
        </w:rPr>
        <w:fldChar w:fldCharType="end"/>
      </w:r>
      <w:r/>
    </w:p>
    <w:p>
      <w:pPr>
        <w:spacing w:line="24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p>
    <w:p>
      <w:pPr>
        <w:ind w:firstLine="210"/>
        <w:spacing w:line="24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highlight w:val="none"/>
        </w:rPr>
        <w:fldChar w:fldCharType="separate"/>
      </w:r>
      <w:r>
        <w:rPr>
          <w:rStyle w:val="784"/>
          <w:rFonts w:hint="eastAsia" w:ascii="宋体" w:hAnsi="宋体" w:cs="宋体"/>
          <w:color w:val="auto"/>
          <w:sz w:val="30"/>
          <w:szCs w:val="30"/>
          <w:highlight w:val="none"/>
          <w:u w:val="none"/>
        </w:rPr>
        <w:t xml:space="preserve">第六章 采购需求</w:t>
      </w:r>
      <w:r>
        <w:rPr>
          <w:rStyle w:val="784"/>
          <w:rFonts w:hint="eastAsia" w:ascii="宋体" w:hAnsi="宋体" w:cs="宋体"/>
          <w:color w:val="auto"/>
          <w:sz w:val="30"/>
          <w:szCs w:val="30"/>
          <w:highlight w:val="none"/>
          <w:u w:val="none"/>
        </w:rPr>
        <w:fldChar w:fldCharType="end"/>
      </w:r>
      <w:r/>
    </w:p>
    <w:p>
      <w:pPr>
        <w:spacing w:line="24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p>
    <w:p>
      <w:pPr>
        <w:ind w:firstLine="210"/>
        <w:spacing w:line="24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highlight w:val="none"/>
        </w:rPr>
        <w:fldChar w:fldCharType="separate"/>
      </w:r>
      <w:r>
        <w:rPr>
          <w:rStyle w:val="784"/>
          <w:rFonts w:hint="eastAsia" w:ascii="宋体" w:hAnsi="宋体" w:cs="宋体"/>
          <w:color w:val="auto"/>
          <w:sz w:val="30"/>
          <w:szCs w:val="30"/>
          <w:highlight w:val="none"/>
          <w:u w:val="none"/>
        </w:rPr>
        <w:t xml:space="preserve">第七章 投标文件相关格式</w:t>
      </w:r>
      <w:r>
        <w:rPr>
          <w:rStyle w:val="784"/>
          <w:rFonts w:hint="eastAsia" w:ascii="宋体" w:hAnsi="宋体" w:cs="宋体"/>
          <w:color w:val="auto"/>
          <w:sz w:val="30"/>
          <w:szCs w:val="30"/>
          <w:highlight w:val="none"/>
          <w:u w:val="none"/>
        </w:rPr>
        <w:fldChar w:fldCharType="end"/>
      </w:r>
      <w:r/>
    </w:p>
    <w:p>
      <w:pPr>
        <w:jc w:val="center"/>
        <w:spacing w:line="51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jc w:val="center"/>
        <w:spacing w:line="519" w:lineRule="atLeast"/>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b/>
          <w:color w:val="auto"/>
          <w:sz w:val="28"/>
          <w:szCs w:val="28"/>
          <w:highlight w:val="none"/>
        </w:rPr>
      </w:r>
      <w:r/>
    </w:p>
    <w:p>
      <w:pPr>
        <w:jc w:val="center"/>
        <w:spacing w:line="240" w:lineRule="auto"/>
        <w:rPr>
          <w:rFonts w:ascii="宋体" w:hAnsi="宋体" w:cs="宋体"/>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highlight w:val="none"/>
        </w:rPr>
        <w:t xml:space="preserve">《</w:t>
      </w:r>
      <w:r>
        <w:rPr>
          <w:rFonts w:hint="eastAsia" w:ascii="宋体" w:hAnsi="宋体" w:cs="宋体"/>
          <w:b/>
          <w:color w:val="auto"/>
          <w:sz w:val="36"/>
          <w:szCs w:val="36"/>
          <w:highlight w:val="none"/>
          <w:lang w:eastAsia="zh-CN"/>
        </w:rPr>
        <w:t xml:space="preserve">通用硬件设备运维项目</w:t>
      </w:r>
      <w:r>
        <w:rPr>
          <w:rFonts w:hint="eastAsia" w:ascii="宋体" w:hAnsi="宋体" w:cs="宋体"/>
          <w:b/>
          <w:color w:val="auto"/>
          <w:sz w:val="36"/>
          <w:szCs w:val="36"/>
          <w:highlight w:val="none"/>
        </w:rPr>
        <w:t xml:space="preserve">》</w:t>
      </w:r>
      <w:r/>
    </w:p>
    <w:p>
      <w:pPr>
        <w:jc w:val="center"/>
        <w:spacing w:line="240" w:lineRule="auto"/>
        <w:rPr>
          <w:rFonts w:ascii="宋体" w:hAnsi="宋体" w:cs="宋体"/>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highlight w:val="none"/>
        </w:rPr>
        <w:t xml:space="preserve">招标文件</w:t>
      </w:r>
      <w:r/>
    </w:p>
    <w:p>
      <w:pPr>
        <w:ind w:firstLine="60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highlight w:val="none"/>
        </w:rPr>
        <w:t xml:space="preserve">第一章 投标邀请</w:t>
      </w:r>
      <w:r/>
    </w:p>
    <w:p>
      <w:pPr>
        <w:ind w:firstLine="480"/>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u w:val="single"/>
          <w:lang w:eastAsia="zh-CN"/>
        </w:rPr>
        <w:t xml:space="preserve">江苏骏通建设项目管理咨询有限公司</w:t>
      </w:r>
      <w:r>
        <w:rPr>
          <w:rFonts w:hint="eastAsia" w:ascii="宋体" w:hAnsi="宋体" w:cs="宋体"/>
          <w:color w:val="auto"/>
          <w:sz w:val="24"/>
          <w:szCs w:val="24"/>
          <w:highlight w:val="none"/>
        </w:rPr>
        <w:t xml:space="preserve">对</w:t>
      </w:r>
      <w:r>
        <w:rPr>
          <w:rFonts w:hint="eastAsia" w:ascii="宋体" w:hAnsi="宋体" w:cs="宋体"/>
          <w:color w:val="auto"/>
          <w:sz w:val="24"/>
          <w:szCs w:val="24"/>
          <w:highlight w:val="none"/>
          <w:u w:val="single"/>
          <w:lang w:eastAsia="zh-CN"/>
        </w:rPr>
        <w:t xml:space="preserve">通用硬件设备运维项目</w:t>
      </w:r>
      <w:r>
        <w:rPr>
          <w:rFonts w:hint="eastAsia" w:ascii="宋体" w:hAnsi="宋体" w:cs="宋体"/>
          <w:color w:val="auto"/>
          <w:sz w:val="24"/>
          <w:szCs w:val="24"/>
          <w:highlight w:val="none"/>
        </w:rPr>
        <w:t xml:space="preserve">进行公开招标采购，现邀请符合相关条件的供应商投标。</w:t>
      </w:r>
      <w:r/>
    </w:p>
    <w:p>
      <w:pPr>
        <w:keepLines w:val="0"/>
        <w:keepNext w:val="0"/>
        <w:pageBreakBefore w:val="0"/>
        <w:spacing w:line="36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一、项目名称和项目编号</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(一)项目名称：</w:t>
      </w:r>
      <w:r>
        <w:rPr>
          <w:rFonts w:hint="eastAsia" w:ascii="宋体" w:hAnsi="宋体" w:cs="宋体"/>
          <w:color w:val="auto"/>
          <w:sz w:val="24"/>
          <w:szCs w:val="24"/>
          <w:highlight w:val="none"/>
          <w:lang w:eastAsia="zh-CN"/>
        </w:rPr>
        <w:t xml:space="preserve">通用硬件设备运维项目</w:t>
      </w:r>
      <w:r/>
    </w:p>
    <w:p>
      <w:pPr>
        <w:keepLines w:val="0"/>
        <w:keepNext w:val="0"/>
        <w:pageBreakBefore w:val="0"/>
        <w:spacing w:line="36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(二)项目编号：</w:t>
      </w:r>
      <w:r>
        <w:rPr>
          <w:rFonts w:hint="eastAsia" w:ascii="宋体" w:hAnsi="宋体" w:cs="宋体"/>
          <w:b/>
          <w:bCs/>
          <w:color w:val="auto"/>
          <w:sz w:val="24"/>
          <w:szCs w:val="24"/>
          <w:highlight w:val="none"/>
          <w:lang w:eastAsia="zh-CN"/>
        </w:rPr>
        <w:t xml:space="preserve">JSZC-320300-JTGS-G2026-0028</w:t>
      </w:r>
      <w:r>
        <w:rPr>
          <w:rFonts w:hint="eastAsia" w:ascii="宋体" w:hAnsi="宋体" w:cs="宋体"/>
          <w:b/>
          <w:bCs/>
          <w:color w:val="auto"/>
          <w:sz w:val="24"/>
          <w:szCs w:val="24"/>
          <w:highlight w:val="none"/>
        </w:rPr>
        <w:t xml:space="preserve"> </w:t>
      </w:r>
      <w:r/>
    </w:p>
    <w:p>
      <w:pPr>
        <w:keepLines w:val="0"/>
        <w:keepNext w:val="0"/>
        <w:pageBreakBefore w:val="0"/>
        <w:spacing w:line="36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二、对投标人的资格要求</w:t>
      </w:r>
      <w:r/>
    </w:p>
    <w:p>
      <w:pPr>
        <w:keepLines w:val="0"/>
        <w:keepNext w:val="0"/>
        <w:pageBreakBefore w:val="0"/>
        <w:spacing w:line="36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详见本项目公开招标公告。</w:t>
      </w:r>
      <w:r/>
    </w:p>
    <w:p>
      <w:pPr>
        <w:keepLines w:val="0"/>
        <w:keepNext w:val="0"/>
        <w:pageBreakBefore w:val="0"/>
        <w:spacing w:line="36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三、获取招标文件</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1、潜在投标人访问电子招标投标交易平台的网络地址和方法：</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（5）招标代理机构（采购代理机构）将数据电文形式的采购文件加载至“苏采云”系统，供潜在投标人下载或者查阅。</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（6）苏采云系统使用谷歌浏览器参与开标。</w:t>
      </w:r>
      <w:r/>
    </w:p>
    <w:p>
      <w:pPr>
        <w:keepLines w:val="0"/>
        <w:keepNext w:val="0"/>
        <w:pageBreakBefore w:val="0"/>
        <w:spacing w:line="36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2、售价：免费。</w:t>
      </w:r>
      <w:r/>
    </w:p>
    <w:p>
      <w:pPr>
        <w:keepLines w:val="0"/>
        <w:keepNext w:val="0"/>
        <w:pageBreakBefore w:val="0"/>
        <w:spacing w:line="36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四、投标有关信息</w:t>
      </w:r>
      <w:r/>
    </w:p>
    <w:p>
      <w:pPr>
        <w:keepLines w:val="0"/>
        <w:keepNext w:val="0"/>
        <w:pageBreakBefore w:val="0"/>
        <w:spacing w:line="36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（一）投标截止时间：2026年</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8</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月</w:t>
      </w:r>
      <w:r>
        <w:rPr>
          <w:rFonts w:hint="eastAsia" w:ascii="宋体" w:hAnsi="宋体" w:cs="宋体"/>
          <w:b/>
          <w:bCs/>
          <w:color w:val="auto"/>
          <w:sz w:val="24"/>
          <w:szCs w:val="24"/>
          <w:highlight w:val="none"/>
          <w:u w:val="single"/>
          <w:lang w:val="en-US" w:eastAsia="zh-CN"/>
        </w:rPr>
        <w:t xml:space="preserve"> 20 </w:t>
      </w:r>
      <w:r>
        <w:rPr>
          <w:rFonts w:hint="eastAsia" w:ascii="宋体" w:hAnsi="宋体" w:cs="宋体"/>
          <w:b/>
          <w:bCs/>
          <w:color w:val="auto"/>
          <w:sz w:val="24"/>
          <w:szCs w:val="24"/>
          <w:highlight w:val="none"/>
        </w:rPr>
        <w:t xml:space="preserve">日北京时间09：30。</w:t>
      </w:r>
      <w:r/>
    </w:p>
    <w:p>
      <w:pPr>
        <w:keepLines w:val="0"/>
        <w:keepNext w:val="0"/>
        <w:pageBreakBefore w:val="0"/>
        <w:spacing w:line="36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（二）开标时间：2026年</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8 </w:t>
      </w:r>
      <w:r>
        <w:rPr>
          <w:rFonts w:hint="eastAsia" w:ascii="宋体" w:hAnsi="宋体" w:cs="宋体"/>
          <w:b/>
          <w:bCs/>
          <w:color w:val="auto"/>
          <w:sz w:val="24"/>
          <w:szCs w:val="24"/>
          <w:highlight w:val="none"/>
        </w:rPr>
        <w:t xml:space="preserve">月</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  20  </w:t>
      </w:r>
      <w:r>
        <w:rPr>
          <w:rFonts w:hint="eastAsia" w:ascii="宋体" w:hAnsi="宋体" w:cs="宋体"/>
          <w:b/>
          <w:bCs/>
          <w:color w:val="auto"/>
          <w:sz w:val="24"/>
          <w:szCs w:val="24"/>
          <w:highlight w:val="none"/>
        </w:rPr>
        <w:t xml:space="preserve">日北京时间09：30。</w:t>
      </w:r>
      <w:r/>
    </w:p>
    <w:p>
      <w:pPr>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（三）开标地点：</w:t>
      </w:r>
      <w:r>
        <w:rPr>
          <w:rFonts w:hint="eastAsia" w:ascii="宋体" w:hAnsi="宋体" w:cs="宋体"/>
          <w:color w:val="auto"/>
          <w:sz w:val="24"/>
          <w:szCs w:val="24"/>
          <w:highlight w:val="none"/>
        </w:rPr>
        <w:t xml:space="preserve">“苏采云”系统“开标大厅”或进入徐州政府采购网--业务工作--用户登录，点击“苏采云”进入系统“开标大厅”。</w:t>
      </w:r>
      <w:r/>
    </w:p>
    <w:p>
      <w:pPr>
        <w:keepLines w:val="0"/>
        <w:keepNext w:val="0"/>
        <w:pageBreakBefore w:val="0"/>
        <w:spacing w:line="36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五、采购人</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徐州市公安局交通管理支队</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（二）地址：</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highlight w:val="none"/>
          <w:lang w:eastAsia="zh-CN"/>
        </w:rPr>
        <w:t xml:space="preserve">徐州市泉山区祥湖路3号</w:t>
      </w:r>
      <w:r/>
    </w:p>
    <w:p>
      <w:pP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（三）采购项目联系人：彭光伟</w:t>
      </w:r>
      <w:r>
        <w:rPr>
          <w:rFonts w:hint="eastAsia" w:ascii="宋体" w:hAnsi="宋体" w:cs="宋体"/>
          <w:color w:val="auto"/>
          <w:sz w:val="24"/>
          <w:szCs w:val="24"/>
          <w:highlight w:val="none"/>
          <w:lang w:val="en-US" w:eastAsia="zh-CN"/>
        </w:rPr>
        <w:t xml:space="preserve"> </w:t>
      </w:r>
      <w:r/>
    </w:p>
    <w:p>
      <w:pP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（四）联系方式：0516-83642690</w:t>
      </w:r>
      <w:r>
        <w:rPr>
          <w:rFonts w:hint="eastAsia" w:ascii="宋体" w:hAnsi="宋体" w:cs="宋体"/>
          <w:color w:val="auto"/>
          <w:sz w:val="24"/>
          <w:szCs w:val="24"/>
          <w:highlight w:val="none"/>
          <w:lang w:val="en-US" w:eastAsia="zh-CN"/>
        </w:rPr>
        <w:t xml:space="preserve"> </w:t>
      </w:r>
      <w:r/>
    </w:p>
    <w:p>
      <w:pPr>
        <w:keepLines w:val="0"/>
        <w:keepNext w:val="0"/>
        <w:pageBreakBefore w:val="0"/>
        <w:spacing w:line="36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六、采购代理机构</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江苏骏通建设项目管理咨询有限公司</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（二）地址：</w:t>
      </w:r>
      <w:r>
        <w:rPr>
          <w:rFonts w:hint="eastAsia" w:ascii="宋体" w:hAnsi="宋体" w:cs="宋体"/>
          <w:color w:val="auto"/>
          <w:sz w:val="24"/>
          <w:szCs w:val="24"/>
          <w:highlight w:val="none"/>
          <w:lang w:eastAsia="zh-CN"/>
        </w:rPr>
        <w:t xml:space="preserve">徐州市泉山区矿大科技园同创新座B区4号楼三层</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李振</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（四）联系电话：</w:t>
      </w:r>
      <w:r>
        <w:rPr>
          <w:rFonts w:hint="eastAsia" w:ascii="宋体" w:hAnsi="宋体" w:cs="宋体"/>
          <w:color w:val="auto"/>
          <w:sz w:val="24"/>
          <w:szCs w:val="24"/>
          <w:highlight w:val="none"/>
          <w:lang w:eastAsia="zh-CN"/>
        </w:rPr>
        <w:t xml:space="preserve">0516-83891178</w:t>
      </w:r>
      <w:r/>
    </w:p>
    <w:p>
      <w:pPr>
        <w:ind w:firstLine="600"/>
        <w:spacing w:line="36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ind w:firstLine="600"/>
        <w:spacing w:line="36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ind w:firstLine="600"/>
        <w:spacing w:line="36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ind w:firstLine="600"/>
        <w:spacing w:line="36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ind w:firstLine="600"/>
        <w:spacing w:line="36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jc w:val="center"/>
        <w:spacing w:line="720" w:lineRule="atLeast"/>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83" w:bottom="1440" w:left="1803" w:header="851" w:footer="992" w:gutter="0"/>
          <w:cols w:num="1" w:sep="0" w:space="0" w:equalWidth="1"/>
          <w:docGrid w:linePitch="360"/>
        </w:sectPr>
        <w:outlineLvl w:val="0"/>
      </w:pPr>
      <w:r>
        <w:rPr>
          <w:rFonts w:ascii="宋体" w:hAnsi="宋体" w:cs="宋体"/>
          <w:b/>
          <w:color w:val="auto"/>
          <w:sz w:val="28"/>
          <w:szCs w:val="28"/>
          <w:highlight w:val="none"/>
        </w:rPr>
      </w:r>
      <w:r/>
    </w:p>
    <w:p>
      <w:pPr>
        <w:numPr>
          <w:ilvl w:val="0"/>
          <w:numId w:val="2"/>
        </w:numPr>
        <w:jc w:val="center"/>
        <w:spacing w:line="360" w:lineRule="auto"/>
        <w:rPr>
          <w:rFonts w:hint="eastAsia" w:ascii="宋体" w:hAnsi="宋体" w:cs="宋体"/>
          <w:b/>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highlight w:val="none"/>
        </w:rPr>
        <w:t xml:space="preserve">投标人须知</w:t>
      </w:r>
      <w:r/>
    </w:p>
    <w:p>
      <w:pPr>
        <w:pStyle w:val="775"/>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r>
      <w:r/>
    </w:p>
    <w:p>
      <w:pPr>
        <w:pStyle w:val="775"/>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r>
      <w:r/>
    </w:p>
    <w:p>
      <w:pPr>
        <w:pStyle w:val="775"/>
        <w:ind w:left="0" w:right="0"/>
        <w:jc w:val="center"/>
        <w:keepLines w:val="0"/>
        <w:keepNext w:val="0"/>
        <w:spacing w:before="0" w:beforeAutospacing="0" w:after="0" w:afterAutospacing="0"/>
        <w:widowControl w:val="off"/>
        <w:rPr>
          <w:sz w:val="30"/>
          <w:szCs w:val="3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0"/>
          <w:szCs w:val="30"/>
          <w:highlight w:val="none"/>
        </w:rPr>
        <w:t xml:space="preserve">目</w:t>
      </w:r>
      <w:r>
        <w:rPr>
          <w:rFonts w:hint="eastAsia" w:cs="宋体"/>
          <w:color w:val="000000"/>
          <w:sz w:val="30"/>
          <w:szCs w:val="30"/>
          <w:highlight w:val="none"/>
          <w:lang w:val="en-US" w:eastAsia="zh-CN"/>
        </w:rPr>
        <w:t xml:space="preserve"> </w:t>
      </w:r>
      <w:r>
        <w:rPr>
          <w:rFonts w:hint="eastAsia" w:ascii="宋体" w:hAnsi="宋体" w:eastAsia="宋体" w:cs="宋体"/>
          <w:color w:val="000000"/>
          <w:sz w:val="30"/>
          <w:szCs w:val="30"/>
          <w:highlight w:val="none"/>
        </w:rPr>
        <w:t xml:space="preserve">录</w:t>
      </w:r>
      <w:r/>
    </w:p>
    <w:p>
      <w:pPr>
        <w:pStyle w:val="775"/>
        <w:ind w:left="420"/>
        <w:jc w:val="both"/>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z w:val="28"/>
          <w:szCs w:val="28"/>
          <w:highlight w:val="none"/>
        </w:rPr>
        <w:t xml:space="preserve"> </w:t>
      </w:r>
      <w:r/>
    </w:p>
    <w:p>
      <w:pPr>
        <w:pStyle w:val="775"/>
        <w:ind w:left="1896"/>
        <w:jc w:val="both"/>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lang w:val="en-US" w:eastAsia="zh-CN" w:bidi="ar-SA"/>
        </w:rPr>
        <w:t xml:space="preserve">一、总则</w:t>
      </w:r>
      <w:r/>
    </w:p>
    <w:p>
      <w:pPr>
        <w:pStyle w:val="775"/>
        <w:ind w:left="1896"/>
        <w:jc w:val="both"/>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lang w:val="en-US" w:eastAsia="zh-CN" w:bidi="ar-SA"/>
        </w:rPr>
        <w:t xml:space="preserve">二、招标</w:t>
      </w:r>
      <w:r/>
    </w:p>
    <w:p>
      <w:pPr>
        <w:pStyle w:val="775"/>
        <w:ind w:left="1896"/>
        <w:jc w:val="both"/>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lang w:val="en-US" w:eastAsia="zh-CN" w:bidi="ar-SA"/>
        </w:rPr>
        <w:t xml:space="preserve">三、投标</w:t>
      </w:r>
      <w:r/>
    </w:p>
    <w:p>
      <w:pPr>
        <w:pStyle w:val="775"/>
        <w:ind w:left="1896"/>
        <w:jc w:val="both"/>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lang w:val="en-US" w:eastAsia="zh-CN" w:bidi="ar-SA"/>
        </w:rPr>
        <w:t xml:space="preserve">四、开标</w:t>
      </w:r>
      <w:r/>
    </w:p>
    <w:p>
      <w:pPr>
        <w:pStyle w:val="775"/>
        <w:ind w:left="1896"/>
        <w:jc w:val="both"/>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lang w:val="en-US" w:eastAsia="zh-CN" w:bidi="ar-SA"/>
        </w:rPr>
        <w:t xml:space="preserve">五、评标</w:t>
      </w:r>
      <w:r/>
    </w:p>
    <w:p>
      <w:pPr>
        <w:pStyle w:val="775"/>
        <w:ind w:left="1896"/>
        <w:jc w:val="both"/>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lang w:val="en-US" w:eastAsia="zh-CN" w:bidi="ar-SA"/>
        </w:rPr>
        <w:t xml:space="preserve">六、定标</w:t>
      </w:r>
      <w:r/>
    </w:p>
    <w:p>
      <w:pPr>
        <w:pStyle w:val="775"/>
        <w:ind w:left="1896"/>
        <w:jc w:val="both"/>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lang w:val="en-US" w:eastAsia="zh-CN" w:bidi="ar-SA"/>
        </w:rPr>
        <w:t xml:space="preserve">七、政府采购合同</w:t>
      </w:r>
      <w:r/>
    </w:p>
    <w:p>
      <w:pPr>
        <w:pStyle w:val="775"/>
        <w:ind w:left="1896"/>
        <w:jc w:val="both"/>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lang w:val="en-US" w:eastAsia="zh-CN" w:bidi="ar-SA"/>
        </w:rPr>
        <w:t xml:space="preserve">八、询问和质疑</w:t>
      </w:r>
      <w:r/>
    </w:p>
    <w:p>
      <w:pPr>
        <w:pStyle w:val="775"/>
        <w:ind w:left="1896"/>
        <w:jc w:val="both"/>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lang w:val="en-US" w:eastAsia="zh-CN" w:bidi="ar-SA"/>
        </w:rPr>
        <w:t xml:space="preserve">九、电子招标投标交易平台</w:t>
      </w:r>
      <w:r/>
    </w:p>
    <w:p>
      <w:pPr>
        <w:pStyle w:val="756"/>
        <w:numPr>
          <w:ilvl w:val="0"/>
          <w:numId w:val="0"/>
        </w:numPr>
        <w:ind w:right="1440"/>
        <w:rPr>
          <w:highlight w:val="none"/>
        </w:rPr>
      </w:pPr>
      <w:r>
        <w:rPr>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一、总则</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（六）投标人的资格条件：</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2.投标人授权代表系指法定代表人或受法人委托的受托人。</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二、招标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（八）招标文件应包括以下内容：</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第一章，投标邀请；</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第二章，投标人须知；</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第三章，投标资料表；</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第四章，评标标准；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第五章，拟签订的合同文本；</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第六章，采购需求；</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第七章，投标文件相关格式。</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（九）招标文件澄清或者修改：</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2.现场考察以本文件第三章《投标资料表》中的要求为准。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3.开标前答疑会以本文件第三章《投标资料表》中的要求为准。</w:t>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三、投标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（十二）投标文件的构成：</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1.投标文件的构成以本文件第三章《投标资料表》中的要求为准。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（十三）投标函和价格表、商务条件、交货和提供服务的时间：</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2.商务条件以本文件第三章《投标资料表》中的要求为准。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（十四）投标报价要求：</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1.投标人应按照招标文件的要求报出分项价格和总价。</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3.采购人不支付报价以外的任何费用。</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（十五）投标货币。以本文件第三章《投标资料表》中所提要求为准。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（十六）投标有效期：</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（十七）投标文件的编制要求和签署要求：</w:t>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（十八）投标文件的盖章要求</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1.投标文件的盖章要求以招标文件第三章《投标资料表》中的要求为准。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（二十二）本项目不允许分包。</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（二十四）有下列情形之一的，其投标无效。</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1.不同投标人的投标文件，由同一单位或者个人编制；</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2.不同投标人委托同一单位或者个人办理投标事宜；</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5.不同投标人的投标文件相互混装；</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7.电子投标文件未按规定期限投标的；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8.电子投标文件未按招标文件要求签章的；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9.投标人未在规定时间内解密电子投标文件的；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10.投标文件未按招标文件规定的内容和要求填写的；没有在投标系统指定位置上传对应文件、材料的。</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11.纸质投标文件未按招标文件要求签署、盖章的；</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12.不具备招标文件中规定的资格要求的；</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13.报价超过招标文件中规定的预算金额或者最高限价的；</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14.投标文件含有采购人不能接受的附加条件的；</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15.法律、法规和招标文件规定的其他无效情形。</w:t>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四、开标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pStyle w:val="810"/>
        <w:ind w:firstLine="60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1.开标时间及地点。开标应当在招标文件确定的提交投标文件截止时间的同一时间公开进行；开标地点应当为招标文件中预先确定的地点。</w:t>
      </w:r>
      <w:r/>
    </w:p>
    <w:p>
      <w:pPr>
        <w:pStyle w:val="810"/>
        <w:ind w:firstLine="60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2.由电子招标投标交易平台主持，邀请投标人参加。</w:t>
      </w:r>
      <w:r/>
    </w:p>
    <w:p>
      <w:pPr>
        <w:pStyle w:val="810"/>
        <w:ind w:firstLine="60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3.所有投标单位使用 CA 证书在开标时间时，解密各自投标文件，投标人不足3家的，不得评标。</w:t>
      </w:r>
      <w:r/>
    </w:p>
    <w:p>
      <w:pPr>
        <w:pStyle w:val="810"/>
        <w:ind w:firstLine="60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5.投标人代表对开标过程和开标记录有疑义的，或者认为采购人、采购代理机构相关工作人员有需要回避情形的，应当场提出询问或者提出回避申请。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6.投标人未参加开标的，视同认可开标结果。</w:t>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五、评标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1.评标工作由采购代理机构负责组织，并履行下列职责：</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（2）宣布评标纪律；</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（3）公布投标人名单，告知评审专家应当回避的情形；</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（4）组织评标委员会推选评标组长（采购人代表不得担任组长）；</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（6）根据评标委员会的要求介绍政府采购相关政策法规、招标文件；</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\o "http://www.caigou2003.com/" </w:instrText>
      </w:r>
      <w:r>
        <w:rPr>
          <w:rFonts w:hint="eastAsia" w:ascii="宋体" w:hAnsi="宋体" w:eastAsia="宋体" w:cs="宋体"/>
          <w:color w:val="auto"/>
          <w:sz w:val="24"/>
          <w:szCs w:val="24"/>
          <w:highlight w:val="none"/>
        </w:rPr>
        <w:fldChar w:fldCharType="separate"/>
      </w:r>
      <w:r>
        <w:rPr>
          <w:rStyle w:val="784"/>
          <w:rFonts w:hint="eastAsia" w:ascii="宋体" w:hAnsi="宋体" w:eastAsia="宋体" w:cs="宋体"/>
          <w:color w:val="auto"/>
          <w:sz w:val="24"/>
          <w:szCs w:val="24"/>
          <w:highlight w:val="none"/>
          <w:u w:val="none"/>
        </w:rPr>
        <w:t xml:space="preserve">政府采购</w:t>
      </w:r>
      <w:r>
        <w:rPr>
          <w:rStyle w:val="784"/>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（10）处理与评标有关的其他事项。</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2.评标委员会负责具体评标事务，并独立履行下列职责：</w:t>
      </w:r>
      <w:r/>
    </w:p>
    <w:p>
      <w:pPr>
        <w:ind w:firstLine="45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firstLine="45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（2）要求投标人对投标文件有关事项作出澄清或者说明；</w:t>
      </w:r>
      <w:r/>
    </w:p>
    <w:p>
      <w:pPr>
        <w:ind w:firstLine="45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（3）对投标文件进行比较和评价；</w:t>
      </w:r>
      <w:r/>
    </w:p>
    <w:p>
      <w:pPr>
        <w:ind w:firstLine="45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（4）确定中标候选人名单，以及根据采购人委托直接确定中标人；</w:t>
      </w:r>
      <w:r/>
    </w:p>
    <w:p>
      <w:pPr>
        <w:ind w:firstLine="45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firstLine="45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（二十七）评标方法分为最低评标价法和综合评分法。</w:t>
      </w:r>
      <w:r/>
    </w:p>
    <w:p>
      <w:pPr>
        <w:ind w:firstLine="45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（二十八）评标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1.评标工作程序：</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（1）投标文件初审。</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①资格性审查。</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②符合性审查。</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（2）澄清有关问题。</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（3）比较与评价。</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（4）推荐中标候选供应商名单。</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（5）编写评审报告（评标报告）。</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\o "http://lilun.caigou2003.com/recijiedu/2365668.html" </w:instrText>
      </w:r>
      <w:r>
        <w:rPr>
          <w:rFonts w:hint="eastAsia" w:ascii="宋体" w:hAnsi="宋体" w:eastAsia="宋体" w:cs="宋体"/>
          <w:color w:val="auto"/>
          <w:sz w:val="24"/>
          <w:szCs w:val="24"/>
          <w:highlight w:val="none"/>
        </w:rPr>
        <w:fldChar w:fldCharType="separate"/>
      </w:r>
      <w:r>
        <w:rPr>
          <w:rStyle w:val="784"/>
          <w:rFonts w:hint="eastAsia" w:ascii="宋体" w:hAnsi="宋体" w:eastAsia="宋体" w:cs="宋体"/>
          <w:color w:val="auto"/>
          <w:sz w:val="24"/>
          <w:szCs w:val="24"/>
          <w:highlight w:val="none"/>
          <w:u w:val="none"/>
        </w:rPr>
        <w:t xml:space="preserve">最低评标价法</w:t>
      </w:r>
      <w:r>
        <w:rPr>
          <w:rStyle w:val="784"/>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auto"/>
          <w:sz w:val="24"/>
          <w:szCs w:val="24"/>
          <w:highlight w:val="none"/>
        </w:rPr>
        <w:fldChar w:fldCharType="separate"/>
      </w:r>
      <w:r>
        <w:rPr>
          <w:rStyle w:val="784"/>
          <w:rFonts w:hint="eastAsia" w:ascii="宋体" w:hAnsi="宋体" w:eastAsia="宋体" w:cs="宋体"/>
          <w:color w:val="auto"/>
          <w:sz w:val="24"/>
          <w:szCs w:val="24"/>
          <w:highlight w:val="none"/>
          <w:u w:val="none"/>
        </w:rPr>
        <w:t xml:space="preserve">综合评分法</w:t>
      </w:r>
      <w:r>
        <w:rPr>
          <w:rStyle w:val="784"/>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（二十九）投标文件报价出现前后不一致的，按照下列规定修正：</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2.大写金额和小写金额不一致的，以大写金额为准；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firstLine="600"/>
        <w:keepLines w:val="0"/>
        <w:keepNext w:val="0"/>
        <w:pageBreakBefore w:val="0"/>
        <w:spacing w:line="40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同时出现两种以上不一致的，按照前款规定的顺序修正。</w:t>
      </w:r>
      <w:r>
        <w:rPr>
          <w:rFonts w:hint="eastAsia" w:ascii="宋体" w:hAnsi="宋体" w:eastAsia="宋体" w:cs="宋体"/>
          <w:b/>
          <w:bCs/>
          <w:color w:val="auto"/>
          <w:sz w:val="24"/>
          <w:szCs w:val="24"/>
          <w:highlight w:val="none"/>
        </w:rPr>
        <w:t xml:space="preserve">将修正后的报价，形成投标人的澄清、说明或补正材料，经投标人确认后产生约束力。投标人不确认的，其投标无效。</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（三十）实施政府采购异常低价审查的有关要求：</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一）评审过程中出现下列情形之一的，评审委员会应当启动异常低价投标（响应）审查程序：</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4.评审（评标）委员会基于专业判断，认为供应商报价过低，有可能影响产品质量或者不能诚信履约的其他情形相关法律法规对供应商报价有规定的，从其规定。</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highlight w:val="none"/>
        </w:rPr>
        <w:t xml:space="preserve">提供项目具体成本测算等与报价合理性相关的书面说明及必要的证明材料，包括但不限于原材料成本、人工成本、制造费用等</w:t>
      </w:r>
      <w:r>
        <w:rPr>
          <w:rFonts w:hint="eastAsia" w:ascii="宋体" w:hAnsi="宋体" w:eastAsia="宋体" w:cs="宋体"/>
          <w:color w:val="auto"/>
          <w:sz w:val="24"/>
          <w:szCs w:val="24"/>
          <w:highlight w:val="none"/>
        </w:rPr>
        <w:t xml:space="preserve">，给予相关供应商的合理时间一般不少于30分钟。其中，属于第3项情形，供应商已随投标（响应）文件一并提交相关书面说明及必要的证明材料的，在评审现场可不再重复提交。</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（三十二）废标条款：</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出现下列情形之一的，应予废标。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2.出现影响采购公正的违法、违规行为的；</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3.投标人的报价均超过了采购预算，采购人不能支付的；</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4.因重大变故，采购任务取消的。</w:t>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六、定标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七、政府采购合同</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（三十六）签订政府采购合同（合同签订方式）：</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firstLine="56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2.中标或者中标人拒绝与采购人签订合同的，采购人可以按照评审报告推荐的中标或者成交候选人名单排序，确定下一个候选人为中标人，也可以重新开展政府采购活动。</w:t>
      </w:r>
      <w:r/>
    </w:p>
    <w:p>
      <w:pPr>
        <w:ind w:firstLine="56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中标人无正当理由拒签合同的，或在签订书面合同时向采购人提出修改合同或者附加条件，采购人取消其中标资格。给采购人造成的损失的，中标人还应当予以赔偿。损失包括但不限于重新招标费用、成交价格高于本次招标价格部分、实现赔偿的诉讼费、律师费等费用。对依法必须进行招标的项目的中标人，由有关行政监督部门责令改正。</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（三十八）履约保证金：详见《第三章 投标资料表》。</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（三十九）腐败和欺诈行为：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（1）腐败和欺诈行为的含义：</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（2）如果被推荐的中标人有腐败和欺诈行为，将取消其中标资格。</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八、询问和质疑</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（四十）询问和质疑</w:t>
      </w:r>
      <w:r/>
    </w:p>
    <w:p>
      <w:pPr>
        <w:ind w:firstLine="600"/>
        <w:keepLines w:val="0"/>
        <w:keepNext w:val="0"/>
        <w:pageBreakBefore w:val="0"/>
        <w:spacing w:line="40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highlight w:val="none"/>
        </w:rPr>
        <w:t xml:space="preserve"> </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（四十一）电子招标投标交易平台（即“苏采云”系统，网址：http://jszfcg.jsczt.cn/）相关要求是本招标文件的组成部分。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特别说明：“苏采云”系统通过“江苏省政府采购一体化不见面开标大厅”提醒投标人。投标人自行查看，投标人因自身原因不及时查看导致没收到信息，“苏采云”系统不承担任何责任。</w:t>
      </w:r>
      <w:r/>
    </w:p>
    <w:p>
      <w:pPr>
        <w:ind w:firstLine="602"/>
        <w:jc w:val="center"/>
        <w:spacing w:line="36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jc w:val="center"/>
        <w:spacing w:line="72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8"/>
          <w:szCs w:val="28"/>
          <w:highlight w:val="none"/>
        </w:rPr>
        <w:br w:type="page" w:clear="all"/>
      </w:r>
      <w:r/>
    </w:p>
    <w:p>
      <w:pPr>
        <w:jc w:val="center"/>
        <w:spacing w:line="36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highlight w:val="none"/>
        </w:rPr>
        <w:t xml:space="preserve">第三章 投标资料表</w:t>
      </w:r>
      <w:r/>
    </w:p>
    <w:p>
      <w:pPr>
        <w:ind w:firstLine="560"/>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780"/>
        <w:tblW w:w="51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2"/>
        <w:gridCol w:w="7468"/>
      </w:tblGrid>
      <w:tr>
        <w:trPr>
          <w:jc w:val="center"/>
          <w:trHeight w:val="406"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条款项号</w:t>
            </w:r>
            <w:r/>
          </w:p>
        </w:tc>
        <w:tc>
          <w:tcPr>
            <w:tcMar>
              <w:left w:w="108" w:type="dxa"/>
              <w:top w:w="0" w:type="dxa"/>
              <w:right w:w="108" w:type="dxa"/>
              <w:bottom w:w="0" w:type="dxa"/>
            </w:tcMar>
            <w:tcW w:w="4296"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内 容</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w:t>
            </w:r>
            <w:r/>
          </w:p>
        </w:tc>
        <w:tc>
          <w:tcPr>
            <w:tcMar>
              <w:left w:w="108" w:type="dxa"/>
              <w:top w:w="0" w:type="dxa"/>
              <w:right w:w="108" w:type="dxa"/>
              <w:bottom w:w="0" w:type="dxa"/>
            </w:tcMar>
            <w:tcW w:w="4296" w:type="pct"/>
            <w:vAlign w:val="top"/>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总则</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徐州市公安局交通管理支队</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本次采购采用的政府采购方式：公开招标</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采购人确定的采购项目属性：服务</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本项目采购代理机构：</w:t>
            </w:r>
            <w:r>
              <w:rPr>
                <w:rFonts w:hint="eastAsia" w:ascii="宋体" w:hAnsi="宋体" w:cs="宋体"/>
                <w:color w:val="auto"/>
                <w:sz w:val="24"/>
                <w:szCs w:val="24"/>
                <w:highlight w:val="none"/>
                <w:lang w:eastAsia="zh-CN"/>
              </w:rPr>
              <w:t xml:space="preserve">江苏骏通建设项目管理咨询有限公司</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(六)</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投标人的资格条件：</w:t>
            </w:r>
            <w:r/>
          </w:p>
          <w:p>
            <w:pPr>
              <w:ind w:left="0" w:right="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一、符合《中华人民共和国政府采购法》第二十二条的规定；</w:t>
            </w:r>
            <w:r/>
          </w:p>
          <w:p>
            <w:pPr>
              <w:pStyle w:val="775"/>
              <w:ind w:left="0" w:right="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bidi="ar-SA"/>
              </w:rPr>
              <w:t xml:space="preserve">二、落实政府采购政策需满足的资格要求：此项目属于专门面向中小微企业采购的项目，投标人应为中小微企业、监狱企业、残疾人福利性单位。</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同时明确相关事项如下：</w:t>
            </w:r>
            <w:r/>
          </w:p>
          <w:p>
            <w:pPr>
              <w:ind w:left="0" w:right="0" w:firstLine="28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1、本项目不接受联合体参与采购活动。</w:t>
            </w:r>
            <w:r/>
          </w:p>
          <w:p>
            <w:pPr>
              <w:ind w:left="0" w:right="0" w:firstLine="28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2、单位负责人为同一人或者存在直接控股、管理关系的不同供应商，不得参加同一合同项下的政府采购活动。</w:t>
            </w:r>
            <w:r/>
          </w:p>
          <w:p>
            <w:pPr>
              <w:ind w:left="0" w:right="0" w:firstLine="28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3、为本采购项目提供整体设计、规范编制或者项目管理、监理、检测等服务的供应商，不得再参加本采购项目的采购活动。</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查询及使用供应商信用记录：</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由采购人查询信用信息。</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查询渠道包括：</w:t>
            </w:r>
            <w:r/>
          </w:p>
          <w:p>
            <w:pPr>
              <w:ind w:left="0" w:right="0" w:firstLine="280"/>
              <w:jc w:val="left"/>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1、“信用中国”网（www.creditchina.gov.cn）；</w:t>
            </w:r>
            <w:r/>
          </w:p>
          <w:p>
            <w:pPr>
              <w:ind w:left="0" w:right="0" w:firstLine="280"/>
              <w:jc w:val="left"/>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2、中国政府采购网（www.ccgp.gov.cn）；</w:t>
            </w:r>
            <w:r/>
          </w:p>
          <w:p>
            <w:pPr>
              <w:ind w:left="0" w:right="0" w:firstLine="280"/>
              <w:jc w:val="left"/>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3、“信用江苏”网（http://credit.jiangsu.gov.cn/）；</w:t>
            </w:r>
            <w:r/>
          </w:p>
          <w:p>
            <w:pPr>
              <w:ind w:left="0" w:right="0" w:firstLine="280"/>
              <w:jc w:val="left"/>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4、“信用中国(江苏徐州)”网（http://www.xuzhoucredit.gov.cn）；</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截止时点（查询环节）：开标后资格审查结束前。</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信用信息查询记录和证据留存的具体方式：网页截屏打印，与其他采购文件一并保存。</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信用信息的使用规则：</w:t>
            </w:r>
            <w:r/>
          </w:p>
          <w:p>
            <w:pPr>
              <w:ind w:left="0" w:right="0" w:firstLine="48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(七)</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w:t>
            </w:r>
            <w:r/>
          </w:p>
        </w:tc>
        <w:tc>
          <w:tcPr>
            <w:tcMar>
              <w:left w:w="108" w:type="dxa"/>
              <w:top w:w="0" w:type="dxa"/>
              <w:right w:w="108" w:type="dxa"/>
              <w:bottom w:w="0" w:type="dxa"/>
            </w:tcMar>
            <w:tcW w:w="4296" w:type="pct"/>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招标</w:t>
            </w:r>
            <w:r/>
          </w:p>
        </w:tc>
      </w:tr>
      <w:tr>
        <w:trPr>
          <w:jc w:val="center"/>
          <w:trHeight w:val="1519"/>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)1</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(九)2</w:t>
            </w:r>
            <w:r/>
          </w:p>
        </w:tc>
        <w:tc>
          <w:tcPr>
            <w:tcMar>
              <w:left w:w="108" w:type="dxa"/>
              <w:top w:w="0" w:type="dxa"/>
              <w:right w:w="108" w:type="dxa"/>
              <w:bottom w:w="0" w:type="dxa"/>
            </w:tcMar>
            <w:tcW w:w="4296" w:type="pct"/>
            <w:vAlign w:val="top"/>
            <w:textDirection w:val="lrTb"/>
            <w:noWrap w:val="false"/>
          </w:tcPr>
          <w:p>
            <w:pPr>
              <w:pStyle w:val="775"/>
              <w:ind w:left="0" w:right="0"/>
              <w:jc w:val="both"/>
              <w:keepLines w:val="0"/>
              <w:keepNext w:val="0"/>
              <w:spacing w:before="0" w:beforeAutospacing="0" w:after="0" w:afterAutospacing="0" w:line="312"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不安排现场考察，投标人自行考察。</w:t>
            </w:r>
            <w:r/>
          </w:p>
          <w:p>
            <w:pPr>
              <w:ind w:left="0" w:right="0"/>
              <w:keepLines w:val="0"/>
              <w:keepNext w:val="0"/>
              <w:pageBreakBefore w:val="0"/>
              <w:spacing w:line="240" w:lineRule="auto"/>
              <w:widowControl w:val="off"/>
              <w:tabs>
                <w:tab w:val="left" w:pos="5760" w:leader="none"/>
              </w:tabs>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(九)3</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不安排开标前答疑会。</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w:t>
            </w:r>
            <w:r/>
          </w:p>
        </w:tc>
        <w:tc>
          <w:tcPr>
            <w:tcMar>
              <w:left w:w="108" w:type="dxa"/>
              <w:top w:w="0" w:type="dxa"/>
              <w:right w:w="108" w:type="dxa"/>
              <w:bottom w:w="0" w:type="dxa"/>
            </w:tcMar>
            <w:tcW w:w="4296" w:type="pct"/>
            <w:vAlign w:val="top"/>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投标</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(十一)</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投标文件的语言为中文</w:t>
            </w:r>
            <w:r/>
          </w:p>
        </w:tc>
      </w:tr>
      <w:tr>
        <w:trPr>
          <w:jc w:val="center"/>
          <w:trHeight w:val="6556"/>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(十二)1</w:t>
            </w:r>
            <w:r/>
          </w:p>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(十二)2</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线上投标文件编制要求：</w:t>
            </w:r>
            <w:r/>
          </w:p>
          <w:p>
            <w:pPr>
              <w:ind w:left="0" w:right="0"/>
              <w:keepLines w:val="0"/>
              <w:keepNext w:val="0"/>
              <w:pageBreakBefore w:val="0"/>
              <w:spacing w:line="240" w:lineRule="auto"/>
              <w:widowControl w:val="off"/>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请按照以下要求（包括但不限于以下要求）制作：</w:t>
            </w:r>
            <w:r/>
          </w:p>
          <w:p>
            <w:pPr>
              <w:ind w:left="0" w:right="0"/>
              <w:keepLines w:val="0"/>
              <w:keepNext w:val="0"/>
              <w:pageBreakBefore w:val="0"/>
              <w:spacing w:line="240" w:lineRule="auto"/>
              <w:widowControl w:val="off"/>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一、基本目录</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1、《开标一览表》（加盖电子签章，政府采购客户端工具输入报价自动生成）。</w:t>
            </w:r>
            <w:r/>
          </w:p>
          <w:p>
            <w:pPr>
              <w:ind w:left="0" w:right="0"/>
              <w:keepLines w:val="0"/>
              <w:keepNext w:val="0"/>
              <w:pageBreakBefore w:val="0"/>
              <w:spacing w:line="240" w:lineRule="auto"/>
              <w:widowControl w:val="off"/>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二、资格条件（必须提供，否则投标将被拒绝）</w:t>
            </w:r>
            <w:r/>
          </w:p>
          <w:p>
            <w:pPr>
              <w:ind w:left="0" w:right="0"/>
              <w:keepLines w:val="0"/>
              <w:keepNext w:val="0"/>
              <w:pageBreakBefore w:val="0"/>
              <w:spacing w:line="24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投标人合法有效的营业执照扫描件，或事业单位法人证书扫描件，或民办非企业单位登记证书扫描件</w:t>
            </w:r>
            <w:r>
              <w:rPr>
                <w:rFonts w:hint="eastAsia" w:ascii="宋体" w:hAnsi="宋体" w:cs="宋体"/>
                <w:color w:val="auto"/>
                <w:sz w:val="24"/>
                <w:szCs w:val="24"/>
                <w:highlight w:val="none"/>
                <w:lang w:eastAsia="zh-CN"/>
              </w:rPr>
              <w:t xml:space="preserve">；</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财务状况报告（即提供投标人的本项目开标时间（不含开标当月）前6个月内任何时间的</w:t>
            </w:r>
            <w:r>
              <w:rPr>
                <w:rFonts w:hint="eastAsia" w:ascii="宋体" w:hAnsi="宋体" w:cs="宋体"/>
                <w:b/>
                <w:color w:val="auto"/>
                <w:sz w:val="24"/>
                <w:szCs w:val="24"/>
                <w:highlight w:val="none"/>
              </w:rPr>
              <w:t xml:space="preserve">资产负债表、利润表扫描件各一份</w:t>
            </w:r>
            <w:r>
              <w:rPr>
                <w:rFonts w:hint="eastAsia" w:ascii="宋体" w:hAnsi="宋体" w:cs="宋体"/>
                <w:color w:val="auto"/>
                <w:sz w:val="24"/>
                <w:szCs w:val="24"/>
                <w:highlight w:val="none"/>
              </w:rPr>
              <w:t xml:space="preserve">；或提供投标人</w:t>
            </w:r>
            <w:r>
              <w:rPr>
                <w:rFonts w:hint="eastAsia" w:ascii="宋体" w:hAnsi="宋体" w:cs="宋体"/>
                <w:color w:val="auto"/>
                <w:sz w:val="24"/>
                <w:szCs w:val="24"/>
                <w:highlight w:val="none"/>
                <w:lang w:val="en-US" w:eastAsia="zh-CN"/>
              </w:rPr>
              <w:t xml:space="preserve">上年度</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2025年度</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经审计的财务报告扫描件</w:t>
            </w:r>
            <w:r>
              <w:rPr>
                <w:rFonts w:hint="eastAsia" w:ascii="宋体" w:hAnsi="宋体" w:cs="宋体"/>
                <w:color w:val="auto"/>
                <w:sz w:val="24"/>
                <w:szCs w:val="24"/>
                <w:highlight w:val="none"/>
              </w:rPr>
              <w:t xml:space="preserve">一份；或投标人的本项目开标时间（不含开标当月）前6个月内银行出具的</w:t>
            </w:r>
            <w:r>
              <w:rPr>
                <w:rFonts w:hint="eastAsia" w:ascii="宋体" w:hAnsi="宋体" w:cs="宋体"/>
                <w:b/>
                <w:color w:val="auto"/>
                <w:sz w:val="24"/>
                <w:szCs w:val="24"/>
                <w:highlight w:val="none"/>
              </w:rPr>
              <w:t xml:space="preserve">资信证明扫描件</w:t>
            </w:r>
            <w:r>
              <w:rPr>
                <w:rFonts w:hint="eastAsia" w:ascii="宋体" w:hAnsi="宋体" w:cs="宋体"/>
                <w:color w:val="auto"/>
                <w:sz w:val="24"/>
                <w:szCs w:val="24"/>
                <w:highlight w:val="none"/>
              </w:rPr>
              <w:t xml:space="preserve">一份）；</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投标人的本项目开标时间（不含开标当月）前6个月内任何1个月的</w:t>
            </w:r>
            <w:r>
              <w:rPr>
                <w:rFonts w:hint="eastAsia" w:ascii="宋体" w:hAnsi="宋体" w:cs="宋体"/>
                <w:b/>
                <w:color w:val="auto"/>
                <w:sz w:val="24"/>
                <w:szCs w:val="24"/>
                <w:highlight w:val="none"/>
              </w:rPr>
              <w:t xml:space="preserve">依法缴纳税收扫描件和社会保障资金扫描件</w:t>
            </w:r>
            <w:r>
              <w:rPr>
                <w:rFonts w:hint="eastAsia" w:ascii="宋体" w:hAnsi="宋体" w:cs="宋体"/>
                <w:color w:val="auto"/>
                <w:sz w:val="24"/>
                <w:szCs w:val="24"/>
                <w:highlight w:val="none"/>
              </w:rPr>
              <w:t xml:space="preserve">的相关材料</w:t>
            </w:r>
            <w:r>
              <w:rPr>
                <w:rFonts w:hint="eastAsia" w:ascii="宋体" w:hAnsi="宋体" w:cs="宋体"/>
                <w:b/>
                <w:color w:val="auto"/>
                <w:sz w:val="24"/>
                <w:szCs w:val="24"/>
                <w:highlight w:val="none"/>
              </w:rPr>
              <w:t xml:space="preserve">各一份</w:t>
            </w:r>
            <w:r>
              <w:rPr>
                <w:rFonts w:hint="eastAsia" w:ascii="宋体" w:hAnsi="宋体" w:cs="宋体"/>
                <w:color w:val="auto"/>
                <w:sz w:val="24"/>
                <w:szCs w:val="24"/>
                <w:highlight w:val="none"/>
              </w:rPr>
              <w:t xml:space="preserve">（依法免税或不需要缴纳社会保障资金的供应商,提供相应文件扫描件证明其依法免税或不需要缴纳社会保障资金)；</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lang w:eastAsia="zh-CN"/>
              </w:rPr>
              <w:t xml:space="preserve">）</w:t>
            </w:r>
            <w:r>
              <w:rPr>
                <w:rFonts w:hint="eastAsia" w:ascii="宋体" w:hAnsi="宋体" w:eastAsia="宋体" w:cs="宋体"/>
                <w:color w:val="000000"/>
                <w:sz w:val="24"/>
                <w:szCs w:val="24"/>
                <w:highlight w:val="none"/>
              </w:rPr>
              <w:t xml:space="preserve">具有履行合同所必需的设备和专业技术能力（投标文件中提供《具备履行合同所必需的设备和专业技术能力的书面声明（附证明材料扫描件）》，加盖电子签章，格式见招标文件第七章《投标文件相关格式》,所附证明材料扫描件可不加盖电子签章）；</w:t>
            </w:r>
            <w:r/>
          </w:p>
          <w:p>
            <w:pPr>
              <w:ind w:left="0" w:right="0"/>
              <w:keepLines w:val="0"/>
              <w:keepNext w:val="0"/>
              <w:pageBreakBefore w:val="0"/>
              <w:spacing w:line="24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投标人参加政府采购活动前3年内在经营活动中没有重大违法记录的书面声明，加盖</w:t>
            </w:r>
            <w:r>
              <w:rPr>
                <w:rFonts w:hint="eastAsia" w:ascii="宋体" w:hAnsi="宋体" w:cs="宋体"/>
                <w:b/>
                <w:color w:val="auto"/>
                <w:sz w:val="24"/>
                <w:szCs w:val="24"/>
                <w:highlight w:val="none"/>
              </w:rPr>
              <w:t xml:space="preserve">电子签章</w:t>
            </w:r>
            <w:r>
              <w:rPr>
                <w:rFonts w:hint="eastAsia" w:ascii="宋体" w:hAnsi="宋体" w:cs="宋体"/>
                <w:color w:val="auto"/>
                <w:sz w:val="24"/>
                <w:szCs w:val="24"/>
                <w:highlight w:val="none"/>
              </w:rPr>
              <w:t xml:space="preserve">，格式见本文件第七章《投标文件相关格式》。</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本项目为专门面向中小微企业采购的项目，</w:t>
            </w:r>
            <w:r>
              <w:rPr>
                <w:rFonts w:hint="eastAsia" w:ascii="宋体" w:hAnsi="宋体" w:cs="宋体"/>
                <w:color w:val="auto"/>
                <w:sz w:val="24"/>
                <w:szCs w:val="24"/>
                <w:highlight w:val="none"/>
              </w:rPr>
              <w:t xml:space="preserve">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注：</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三、符合条件（必须提供，否则投标无效）</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(一)报价</w:t>
            </w:r>
            <w:r/>
          </w:p>
          <w:p>
            <w:pPr>
              <w:ind w:left="0" w:right="0"/>
              <w:keepLines w:val="0"/>
              <w:keepNext w:val="0"/>
              <w:pageBreakBefore w:val="0"/>
              <w:spacing w:line="240" w:lineRule="auto"/>
              <w:widowControl w:val="off"/>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1、《报价符合性审查》。</w:t>
            </w:r>
            <w:r>
              <w:rPr>
                <w:rFonts w:hint="eastAsia" w:ascii="宋体" w:hAnsi="宋体" w:eastAsia="宋体" w:cs="宋体"/>
                <w:i w:val="0"/>
                <w:iCs w:val="0"/>
                <w:caps w:val="0"/>
                <w:color w:val="auto"/>
                <w:spacing w:val="0"/>
                <w:sz w:val="24"/>
                <w:szCs w:val="24"/>
                <w:highlight w:val="none"/>
                <w:shd w:val="clear" w:color="auto"/>
              </w:rPr>
              <w:t xml:space="preserve">属于投标（响应）报价低于采购项目最高限价45%的，即投标（响应）报价&lt;采购项目最高限价×45%，供应商可随投标（响应）文件一并提交相关书面说明及必要的证明材料。</w:t>
            </w:r>
            <w:r/>
          </w:p>
          <w:p>
            <w:pPr>
              <w:ind w:left="0" w:right="0"/>
              <w:keepLines w:val="0"/>
              <w:keepNext w:val="0"/>
              <w:pageBreakBefore w:val="0"/>
              <w:spacing w:line="24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《开标一览表》。</w:t>
            </w:r>
            <w:r>
              <w:rPr>
                <w:rFonts w:hint="eastAsia" w:ascii="宋体" w:hAnsi="宋体" w:cs="宋体"/>
                <w:color w:val="auto"/>
                <w:sz w:val="24"/>
                <w:szCs w:val="24"/>
                <w:highlight w:val="none"/>
              </w:rPr>
              <w:t xml:space="preserve">政府采购客户端工具输入报价自动生成。</w:t>
            </w:r>
            <w:r/>
          </w:p>
          <w:p>
            <w:pPr>
              <w:ind w:left="0" w:right="0"/>
              <w:keepLines w:val="0"/>
              <w:keepNext w:val="0"/>
              <w:pageBreakBefore w:val="0"/>
              <w:spacing w:line="240" w:lineRule="auto"/>
              <w:widowControl w:val="off"/>
              <w:rPr>
                <w:rFonts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rPr>
              <w:t xml:space="preserve">、《分项价格表》。</w:t>
            </w:r>
            <w:r>
              <w:rPr>
                <w:rFonts w:hint="eastAsia" w:ascii="宋体" w:hAnsi="宋体" w:cs="宋体"/>
                <w:b w:val="0"/>
                <w:bCs/>
                <w:color w:val="auto"/>
                <w:sz w:val="24"/>
                <w:szCs w:val="24"/>
                <w:highlight w:val="none"/>
              </w:rPr>
              <w:t xml:space="preserve">要求加盖电子签章，格式见本文件第七章《投标文件相关格式》（</w:t>
            </w:r>
            <w:r>
              <w:rPr>
                <w:rFonts w:hint="eastAsia" w:ascii="宋体" w:hAnsi="宋体" w:cs="宋体"/>
                <w:b/>
                <w:bCs w:val="0"/>
                <w:color w:val="auto"/>
                <w:sz w:val="24"/>
                <w:szCs w:val="24"/>
                <w:highlight w:val="none"/>
              </w:rPr>
              <w:t xml:space="preserve">必须</w:t>
            </w:r>
            <w:r>
              <w:rPr>
                <w:rFonts w:hint="eastAsia" w:ascii="宋体" w:hAnsi="宋体" w:cs="宋体"/>
                <w:b/>
                <w:bCs w:val="0"/>
                <w:color w:val="auto"/>
                <w:sz w:val="24"/>
                <w:szCs w:val="24"/>
                <w:highlight w:val="none"/>
                <w:lang w:val="en-US" w:eastAsia="zh-CN"/>
              </w:rPr>
              <w:t xml:space="preserve">按照招标文件格式</w:t>
            </w:r>
            <w:r>
              <w:rPr>
                <w:rFonts w:hint="eastAsia" w:ascii="宋体" w:hAnsi="宋体" w:cs="宋体"/>
                <w:b/>
                <w:bCs w:val="0"/>
                <w:color w:val="auto"/>
                <w:sz w:val="24"/>
                <w:szCs w:val="24"/>
                <w:highlight w:val="none"/>
              </w:rPr>
              <w:t xml:space="preserve">提供，否则在符合性审查时按照投标无效处理</w:t>
            </w:r>
            <w:r>
              <w:rPr>
                <w:rFonts w:hint="eastAsia" w:ascii="宋体" w:hAnsi="宋体" w:cs="宋体"/>
                <w:b w:val="0"/>
                <w:bCs/>
                <w:color w:val="auto"/>
                <w:sz w:val="24"/>
                <w:szCs w:val="24"/>
                <w:highlight w:val="none"/>
              </w:rPr>
              <w:t xml:space="preserve">）。</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（二）商务资信</w:t>
            </w:r>
            <w:r/>
          </w:p>
          <w:p>
            <w:pPr>
              <w:ind w:left="0" w:right="0"/>
              <w:keepLines w:val="0"/>
              <w:keepNext w:val="0"/>
              <w:pageBreakBefore w:val="0"/>
              <w:spacing w:line="240" w:lineRule="auto"/>
              <w:widowControl w:val="off"/>
              <w:rPr>
                <w:rFonts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1、《投标函》</w:t>
            </w:r>
            <w:r>
              <w:rPr>
                <w:rFonts w:hint="eastAsia" w:ascii="宋体" w:hAnsi="宋体" w:cs="宋体"/>
                <w:b w:val="0"/>
                <w:bCs w:val="0"/>
                <w:color w:val="auto"/>
                <w:sz w:val="24"/>
                <w:szCs w:val="24"/>
                <w:highlight w:val="none"/>
              </w:rPr>
              <w:t xml:space="preserve">（加盖电子签章，格式见招标文件第七章《投标文件相关格式》。）</w:t>
            </w:r>
            <w:r/>
          </w:p>
          <w:p>
            <w:pPr>
              <w:ind w:left="0" w:right="0"/>
              <w:keepLines w:val="0"/>
              <w:keepNext w:val="0"/>
              <w:pageBreakBefore w:val="0"/>
              <w:spacing w:line="240" w:lineRule="auto"/>
              <w:widowControl w:val="off"/>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2、</w:t>
            </w:r>
            <w:r>
              <w:rPr>
                <w:rFonts w:hint="eastAsia" w:ascii="宋体" w:hAnsi="宋体" w:cs="宋体"/>
                <w:b/>
                <w:color w:val="auto"/>
                <w:sz w:val="24"/>
                <w:szCs w:val="24"/>
                <w:highlight w:val="none"/>
              </w:rPr>
              <w:t xml:space="preserve">《授权委托书》。</w:t>
            </w:r>
            <w:r>
              <w:rPr>
                <w:rFonts w:hint="eastAsia" w:ascii="宋体" w:hAnsi="宋体" w:cs="宋体"/>
                <w:b w:val="0"/>
                <w:bCs/>
                <w:color w:val="auto"/>
                <w:sz w:val="24"/>
                <w:szCs w:val="24"/>
                <w:highlight w:val="none"/>
              </w:rPr>
              <w:t xml:space="preserve">要求加盖电子签章，格式见本文件第七章《投标文件相关格式》（必须提供，否则在符合性审查时按照投标无效处理）</w:t>
            </w:r>
            <w:r>
              <w:rPr>
                <w:rFonts w:hint="eastAsia" w:ascii="宋体" w:hAnsi="宋体" w:cs="宋体"/>
                <w:b/>
                <w:color w:val="auto"/>
                <w:sz w:val="24"/>
                <w:szCs w:val="24"/>
                <w:highlight w:val="none"/>
              </w:rPr>
              <w:t xml:space="preserve">（特别提醒：如公司法定代表人直接参与本项目投标的，提供法定代表人身份证明（并附身份证扫描件），可不单独提供《授权委托书》）。</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（三）技术响应</w:t>
            </w:r>
            <w:r/>
          </w:p>
          <w:p>
            <w:pPr>
              <w:ind w:left="0" w:right="0"/>
              <w:keepLines w:val="0"/>
              <w:keepNext w:val="0"/>
              <w:pageBreakBefore w:val="0"/>
              <w:spacing w:line="240" w:lineRule="auto"/>
              <w:widowControl w:val="off"/>
              <w:rPr>
                <w:rFonts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1、《偏离表》</w:t>
            </w:r>
            <w:r>
              <w:rPr>
                <w:rFonts w:hint="eastAsia" w:ascii="宋体" w:hAnsi="宋体" w:cs="宋体"/>
                <w:b w:val="0"/>
                <w:bCs w:val="0"/>
                <w:color w:val="auto"/>
                <w:sz w:val="24"/>
                <w:szCs w:val="24"/>
                <w:highlight w:val="none"/>
              </w:rPr>
              <w:t xml:space="preserve">（加盖电子签章，格式见招标文件第七章《投标文件相关格式》。）</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w:t>
            </w:r>
            <w:r>
              <w:rPr>
                <w:rFonts w:hint="eastAsia" w:ascii="宋体" w:hAnsi="宋体" w:cs="宋体"/>
                <w:b/>
                <w:bCs/>
                <w:color w:val="auto"/>
                <w:sz w:val="24"/>
                <w:szCs w:val="24"/>
                <w:highlight w:val="none"/>
              </w:rPr>
              <w:t xml:space="preserve">法律、法规和招标文件规定的其他无效情形。</w:t>
            </w:r>
            <w:r/>
          </w:p>
          <w:p>
            <w:pPr>
              <w:numPr>
                <w:ilvl w:val="0"/>
                <w:numId w:val="0"/>
              </w:numPr>
              <w:ind w:right="0"/>
              <w:keepLines w:val="0"/>
              <w:keepNext w:val="0"/>
              <w:pageBreakBefore w:val="0"/>
              <w:spacing w:line="240" w:lineRule="auto"/>
              <w:widowControl w:val="off"/>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r>
            <w:r/>
          </w:p>
          <w:p>
            <w:pPr>
              <w:numPr>
                <w:ilvl w:val="0"/>
                <w:numId w:val="0"/>
              </w:numPr>
              <w:ind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rPr>
              <w:t xml:space="preserve">综合评审评分项</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（一）技术部分</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rPr>
              <w:t xml:space="preserve">、</w:t>
            </w:r>
            <w:r>
              <w:rPr>
                <w:rFonts w:hint="eastAsia" w:ascii="Calibri" w:hAnsi="Calibri" w:cs="Calibri"/>
                <w:b/>
                <w:bCs/>
                <w:color w:val="auto"/>
                <w:sz w:val="24"/>
                <w:szCs w:val="24"/>
                <w:highlight w:val="none"/>
                <w:lang w:eastAsia="zh-CN"/>
              </w:rPr>
              <w:t xml:space="preserve">项目实施</w:t>
            </w:r>
            <w:r>
              <w:rPr>
                <w:rFonts w:ascii="Calibri" w:hAnsi="Calibri" w:cs="Calibri"/>
                <w:b/>
                <w:bCs/>
                <w:color w:val="auto"/>
                <w:sz w:val="24"/>
                <w:szCs w:val="24"/>
                <w:highlight w:val="none"/>
                <w:lang w:eastAsia="zh-CN"/>
              </w:rPr>
              <w:t xml:space="preserve">方案</w:t>
            </w:r>
            <w:r>
              <w:rPr>
                <w:rFonts w:hint="eastAsia" w:ascii="宋体" w:hAnsi="宋体" w:cs="宋体"/>
                <w:color w:val="auto"/>
                <w:sz w:val="24"/>
                <w:szCs w:val="24"/>
                <w:highlight w:val="none"/>
              </w:rPr>
              <w:t xml:space="preserve">（要求见招标文件第六章《采购需求》及第四章《评标标准》中《评分细则》）；</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、机房硬件及网络日常巡检与维护服务方案</w:t>
            </w:r>
            <w:r>
              <w:rPr>
                <w:rFonts w:hint="eastAsia" w:ascii="宋体" w:hAnsi="宋体" w:cs="宋体"/>
                <w:color w:val="auto"/>
                <w:sz w:val="24"/>
                <w:szCs w:val="24"/>
                <w:highlight w:val="none"/>
              </w:rPr>
              <w:t xml:space="preserve">（要求见招标文件第六章《采购需求》及第四章《评标标准》中《评分细则》）；</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、除机房及网络以外的设备日常巡检与维护服务方案</w:t>
            </w:r>
            <w:r>
              <w:rPr>
                <w:rFonts w:hint="eastAsia" w:ascii="宋体" w:hAnsi="宋体" w:cs="宋体"/>
                <w:color w:val="auto"/>
                <w:sz w:val="24"/>
                <w:szCs w:val="24"/>
                <w:highlight w:val="none"/>
              </w:rPr>
              <w:t xml:space="preserve">（要求见招标文件第六章《采购需求》及第四章《评标标准》中《评分细则》）；</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w:t>
            </w:r>
            <w:r>
              <w:rPr>
                <w:rFonts w:hint="eastAsia" w:ascii="Calibri" w:hAnsi="Calibri" w:cs="Calibri"/>
                <w:b/>
                <w:bCs/>
                <w:color w:val="auto"/>
                <w:sz w:val="24"/>
                <w:szCs w:val="24"/>
                <w:highlight w:val="none"/>
                <w:lang w:eastAsia="zh-CN"/>
              </w:rPr>
              <w:t xml:space="preserve">集成指挥平台硬件日常巡检与维护服务方案</w:t>
            </w:r>
            <w:r>
              <w:rPr>
                <w:rFonts w:hint="eastAsia" w:ascii="宋体" w:hAnsi="宋体" w:cs="宋体"/>
                <w:color w:val="auto"/>
                <w:sz w:val="24"/>
                <w:szCs w:val="24"/>
                <w:highlight w:val="none"/>
              </w:rPr>
              <w:t xml:space="preserve">（要求见招标文件第六章《采购需求》及第四章《评标标准》中《评分细则》）；</w:t>
            </w:r>
            <w:r/>
          </w:p>
          <w:p>
            <w:pPr>
              <w:ind w:left="0" w:right="0"/>
              <w:keepLines w:val="0"/>
              <w:keepNext w:val="0"/>
              <w:pageBreakBefore w:val="0"/>
              <w:spacing w:line="24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w:t>
            </w:r>
            <w:r>
              <w:rPr>
                <w:rFonts w:hint="eastAsia" w:ascii="Calibri" w:hAnsi="Calibri" w:cs="Calibri"/>
                <w:b/>
                <w:bCs/>
                <w:color w:val="auto"/>
                <w:sz w:val="24"/>
                <w:szCs w:val="24"/>
                <w:highlight w:val="none"/>
                <w:lang w:eastAsia="zh-CN"/>
              </w:rPr>
              <w:t xml:space="preserve">应急处理与数据备份方案</w:t>
            </w:r>
            <w:r>
              <w:rPr>
                <w:rFonts w:hint="eastAsia" w:ascii="宋体" w:hAnsi="宋体" w:cs="宋体"/>
                <w:color w:val="auto"/>
                <w:sz w:val="24"/>
                <w:szCs w:val="24"/>
                <w:highlight w:val="none"/>
              </w:rPr>
              <w:t xml:space="preserve">（要求见招标文件第六章《采购需求》及第四章《评标标准》中《评分细则》）；</w:t>
            </w:r>
            <w:r/>
          </w:p>
          <w:p>
            <w:pPr>
              <w:pStyle w:val="756"/>
              <w:ind w:left="0" w:right="-108" w:firstLine="0"/>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zh-CN" w:bidi="ar-SA"/>
              </w:rPr>
              <w:t xml:space="preserve">、安全保密方案</w:t>
            </w:r>
            <w:r>
              <w:rPr>
                <w:rFonts w:hint="eastAsia" w:ascii="宋体" w:hAnsi="宋体" w:cs="宋体"/>
                <w:color w:val="auto"/>
                <w:sz w:val="24"/>
                <w:szCs w:val="24"/>
                <w:highlight w:val="none"/>
              </w:rPr>
              <w:t xml:space="preserve">（要求见招标文件第六章《采购需求》及第四章《评标标准》中《评分细则》）；</w:t>
            </w:r>
            <w:r/>
          </w:p>
          <w:p>
            <w:pPr>
              <w:pStyle w:val="756"/>
              <w:ind w:left="0" w:right="112" w:firstLine="0"/>
              <w:rPr>
                <w:rFonts w:hint="default"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7</w:t>
            </w:r>
            <w:r>
              <w:rPr>
                <w:rFonts w:hint="eastAsia" w:ascii="宋体" w:hAnsi="宋体" w:eastAsia="宋体" w:cs="宋体"/>
                <w:b/>
                <w:bCs/>
                <w:color w:val="auto"/>
                <w:sz w:val="24"/>
                <w:szCs w:val="24"/>
                <w:highlight w:val="none"/>
                <w:lang w:val="en-US" w:eastAsia="zh-CN" w:bidi="ar-SA"/>
              </w:rPr>
              <w:t xml:space="preserve">、延期维保服务</w:t>
            </w:r>
            <w:r>
              <w:rPr>
                <w:rFonts w:hint="eastAsia" w:ascii="宋体" w:hAnsi="宋体" w:cs="宋体"/>
                <w:color w:val="auto"/>
                <w:sz w:val="24"/>
                <w:szCs w:val="24"/>
                <w:highlight w:val="none"/>
              </w:rPr>
              <w:t xml:space="preserve">（要求见招标文件第六章《采购需求》及第四章《评标标准》中《评分细则》）；</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、评分细则中评分得分需提供的相关证明文件扫描件。</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（二）</w:t>
            </w:r>
            <w:r>
              <w:rPr>
                <w:rFonts w:hint="eastAsia" w:ascii="宋体" w:hAnsi="宋体" w:cs="宋体"/>
                <w:b/>
                <w:bCs/>
                <w:color w:val="auto"/>
                <w:sz w:val="24"/>
                <w:szCs w:val="24"/>
                <w:highlight w:val="none"/>
              </w:rPr>
              <w:t xml:space="preserve">商务部分</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1、投标人业绩</w:t>
            </w:r>
            <w:r>
              <w:rPr>
                <w:rFonts w:hint="eastAsia" w:ascii="宋体" w:hAnsi="宋体" w:cs="宋体"/>
                <w:color w:val="auto"/>
                <w:sz w:val="24"/>
                <w:szCs w:val="24"/>
                <w:highlight w:val="none"/>
              </w:rPr>
              <w:t xml:space="preserve">（要求见招标文件第四章《评标标准》中《评分细则》）；</w:t>
            </w:r>
            <w:r/>
          </w:p>
          <w:p>
            <w:pPr>
              <w:ind w:left="0" w:right="0"/>
              <w:keepLines w:val="0"/>
              <w:keepNext w:val="0"/>
              <w:pageBreakBefore w:val="0"/>
              <w:spacing w:line="24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2、投标人评价</w:t>
            </w:r>
            <w:r>
              <w:rPr>
                <w:rFonts w:hint="eastAsia" w:ascii="宋体" w:hAnsi="宋体" w:cs="宋体"/>
                <w:color w:val="auto"/>
                <w:sz w:val="24"/>
                <w:szCs w:val="24"/>
                <w:highlight w:val="none"/>
              </w:rPr>
              <w:t xml:space="preserve">（要求见招标文件第四章《评标标准》中《评分细则》）；</w:t>
            </w:r>
            <w:r/>
          </w:p>
          <w:p>
            <w:pPr>
              <w:ind w:left="0" w:right="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人员配备</w:t>
            </w:r>
            <w:r>
              <w:rPr>
                <w:rFonts w:hint="eastAsia" w:ascii="宋体" w:hAnsi="宋体" w:cs="宋体"/>
                <w:color w:val="auto"/>
                <w:sz w:val="24"/>
                <w:szCs w:val="24"/>
                <w:highlight w:val="none"/>
              </w:rPr>
              <w:t xml:space="preserve">（要求见招标文件第四章《评标标准》中《评分细则》）；</w:t>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、投标人其它证明文件及材料扫描件。</w:t>
            </w:r>
            <w:r/>
          </w:p>
          <w:p>
            <w:pPr>
              <w:ind w:left="0" w:right="0"/>
              <w:keepLines w:val="0"/>
              <w:keepNext w:val="0"/>
              <w:pageBreakBefore w:val="0"/>
              <w:spacing w:line="24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p>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五、其他部分</w:t>
            </w:r>
            <w:r/>
          </w:p>
          <w:p>
            <w:pPr>
              <w:ind w:left="0" w:right="0"/>
              <w:keepLines w:val="0"/>
              <w:keepNext w:val="0"/>
              <w:pageBreakBefore w:val="0"/>
              <w:spacing w:line="24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1、价格折扣文件格式：无。</w:t>
            </w:r>
            <w:r/>
          </w:p>
          <w:p>
            <w:pPr>
              <w:ind w:left="0" w:right="0"/>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b/>
                <w:color w:val="auto"/>
                <w:sz w:val="24"/>
                <w:szCs w:val="24"/>
                <w:highlight w:val="none"/>
              </w:rPr>
              <w:t xml:space="preserve">注</w:t>
            </w:r>
            <w:r>
              <w:rPr>
                <w:rFonts w:hint="eastAsia" w:ascii="宋体" w:hAnsi="宋体" w:cs="宋体"/>
                <w:color w:val="auto"/>
                <w:sz w:val="24"/>
                <w:szCs w:val="24"/>
                <w:highlight w:val="none"/>
              </w:rPr>
              <w:t xml:space="preserve">：</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1、投标人应对以上文件的合法性、真实性负责。</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(十三)2</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商务条件见：</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一、本文件第四章《评标标准》中《评分细则》。</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二、本文件第三章《投标资料表》中(十二)1和(十二)2。</w:t>
            </w:r>
            <w:r/>
          </w:p>
        </w:tc>
      </w:tr>
      <w:tr>
        <w:trPr>
          <w:jc w:val="center"/>
          <w:trHeight w:val="998"/>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)3</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交货和提供服务的时间：</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见本文件第五章 《拟签订的合同文本》及本文件第六章《采购需求》。</w:t>
            </w:r>
            <w:r/>
          </w:p>
        </w:tc>
      </w:tr>
      <w:tr>
        <w:trPr>
          <w:jc w:val="center"/>
          <w:trHeight w:val="90"/>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eastAsia="宋体" w:cs="宋体"/>
                <w:b/>
                <w:bCs/>
                <w:color w:val="000000"/>
                <w:sz w:val="24"/>
                <w:szCs w:val="24"/>
                <w:highlight w:val="none"/>
              </w:rPr>
              <w:t xml:space="preserve">本项目不接受单价超过限价，总价不超过127.8万元（采购项目预算金额）的投标报价。</w:t>
            </w:r>
            <w:r>
              <w:rPr>
                <w:rFonts w:hint="eastAsia" w:asciiTheme="minorEastAsia" w:hAnsiTheme="minorEastAsia"/>
                <w:b/>
                <w:bCs/>
                <w:color w:val="auto"/>
                <w:sz w:val="24"/>
                <w:szCs w:val="24"/>
                <w:highlight w:val="none"/>
                <w:lang w:eastAsia="zh-CN"/>
              </w:rPr>
              <w:t xml:space="preserve">采购人不再支付报价以外的任何费用。</w:t>
            </w:r>
            <w:r/>
          </w:p>
        </w:tc>
      </w:tr>
      <w:tr>
        <w:trPr>
          <w:jc w:val="center"/>
          <w:trHeight w:val="469"/>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rPr>
              <w:t xml:space="preserve">)</w:t>
            </w:r>
            <w:r/>
          </w:p>
        </w:tc>
        <w:tc>
          <w:tcPr>
            <w:tcMar>
              <w:left w:w="108" w:type="dxa"/>
              <w:top w:w="0" w:type="dxa"/>
              <w:right w:w="108" w:type="dxa"/>
              <w:bottom w:w="0" w:type="dxa"/>
            </w:tcMar>
            <w:tcW w:w="4296" w:type="pct"/>
            <w:vAlign w:val="center"/>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以人民币报价。</w:t>
            </w:r>
            <w:r/>
          </w:p>
        </w:tc>
      </w:tr>
      <w:tr>
        <w:trPr>
          <w:jc w:val="center"/>
          <w:trHeight w:val="3692"/>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（十七）</w:t>
            </w:r>
            <w:r/>
          </w:p>
        </w:tc>
        <w:tc>
          <w:tcPr>
            <w:tcMar>
              <w:left w:w="108" w:type="dxa"/>
              <w:top w:w="0" w:type="dxa"/>
              <w:right w:w="108" w:type="dxa"/>
              <w:bottom w:w="0" w:type="dxa"/>
            </w:tcMar>
            <w:tcW w:w="4296" w:type="pct"/>
            <w:vAlign w:val="center"/>
            <w:textDirection w:val="lrTb"/>
            <w:noWrap w:val="false"/>
          </w:tcPr>
          <w:p>
            <w:pPr>
              <w:ind w:left="0" w:right="0" w:firstLine="48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投标人须用政府采购客户端工具导入“苏采云”系统下载的采购文件（后缀名为“.kedt”）后，离线编制投标文件。供应商操作手册及政府采购客户端工具可通过“苏采云”系统（网址：</w:t>
            </w:r>
            <w:r>
              <w:rPr>
                <w:color w:val="auto"/>
                <w:sz w:val="24"/>
                <w:szCs w:val="24"/>
                <w:highlight w:val="none"/>
              </w:rPr>
              <w:fldChar w:fldCharType="begin"/>
            </w:r>
            <w:r>
              <w:rPr>
                <w:color w:val="auto"/>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color w:val="auto"/>
                <w:sz w:val="24"/>
                <w:szCs w:val="24"/>
                <w:highlight w:val="none"/>
              </w:rPr>
              <w:fldChar w:fldCharType="separate"/>
            </w:r>
            <w:r>
              <w:rPr>
                <w:rStyle w:val="784"/>
                <w:rFonts w:hint="eastAsia" w:ascii="宋体" w:hAnsi="宋体" w:cs="宋体"/>
                <w:color w:val="auto"/>
                <w:sz w:val="24"/>
                <w:szCs w:val="24"/>
                <w:highlight w:val="none"/>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784"/>
                <w:rFonts w:hint="eastAsia" w:ascii="宋体" w:hAnsi="宋体" w:cs="宋体"/>
                <w:color w:val="auto"/>
                <w:sz w:val="24"/>
                <w:szCs w:val="24"/>
                <w:highlight w:val="none"/>
                <w:u w:val="none"/>
              </w:rPr>
              <w:fldChar w:fldCharType="end"/>
            </w:r>
            <w:r/>
          </w:p>
          <w:p>
            <w:pPr>
              <w:ind w:left="0" w:right="0" w:firstLine="56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投标人应当通过“苏采云”系统提交数据电文形式的投标文件（即电子投标）。</w:t>
            </w:r>
            <w:r/>
          </w:p>
          <w:p>
            <w:pPr>
              <w:ind w:left="0" w:right="0" w:firstLine="48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特别说明：政府采购客户端工具需要导出加密的投标文件（后缀名为</w:t>
            </w:r>
            <w:r>
              <w:rPr>
                <w:rFonts w:hint="eastAsia" w:ascii="宋体" w:hAnsi="宋体" w:cs="宋体"/>
                <w:b/>
                <w:bCs/>
                <w:color w:val="auto"/>
                <w:sz w:val="24"/>
                <w:szCs w:val="24"/>
                <w:highlight w:val="none"/>
              </w:rPr>
              <w:t xml:space="preserve">zip</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投标文件不得超过150M！</w:t>
            </w:r>
            <w:r/>
          </w:p>
        </w:tc>
      </w:tr>
      <w:tr>
        <w:trPr>
          <w:jc w:val="center"/>
          <w:trHeight w:val="90"/>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(十八)1</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见本文件第三章《投标资料表》中(十二)1和(十二)2</w:t>
            </w:r>
            <w:r/>
          </w:p>
        </w:tc>
      </w:tr>
      <w:tr>
        <w:trPr>
          <w:jc w:val="center"/>
          <w:trHeight w:val="1439"/>
        </w:trPr>
        <w:tc>
          <w:tcPr>
            <w:tcMar>
              <w:left w:w="108" w:type="dxa"/>
              <w:top w:w="0" w:type="dxa"/>
              <w:right w:w="108" w:type="dxa"/>
              <w:bottom w:w="0" w:type="dxa"/>
            </w:tcMar>
            <w:tcW w:w="703" w:type="pct"/>
            <w:textDirection w:val="lrTb"/>
            <w:noWrap w:val="false"/>
          </w:tcPr>
          <w:p>
            <w:pPr>
              <w:ind w:right="0"/>
              <w:jc w:val="both"/>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(十九)</w:t>
            </w:r>
            <w:r/>
          </w:p>
        </w:tc>
        <w:tc>
          <w:tcPr>
            <w:tcMar>
              <w:left w:w="108" w:type="dxa"/>
              <w:top w:w="0" w:type="dxa"/>
              <w:right w:w="108" w:type="dxa"/>
              <w:bottom w:w="0" w:type="dxa"/>
            </w:tcMar>
            <w:tcW w:w="4296" w:type="pct"/>
            <w:textDirection w:val="lrTb"/>
            <w:noWrap w:val="false"/>
          </w:tcPr>
          <w:p>
            <w:pPr>
              <w:ind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投标文件的提交与接收：</w:t>
            </w:r>
            <w:r>
              <w:rPr>
                <w:rFonts w:hint="eastAsia" w:ascii="宋体" w:hAnsi="宋体" w:cs="宋体"/>
                <w:color w:val="auto"/>
                <w:sz w:val="24"/>
                <w:szCs w:val="24"/>
                <w:highlight w:val="none"/>
              </w:rPr>
              <w:t xml:space="preserve"> </w:t>
            </w:r>
            <w:r/>
          </w:p>
          <w:p>
            <w:pPr>
              <w:ind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1、投标文件提交与接收时间：2026年</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8 </w:t>
            </w:r>
            <w:r>
              <w:rPr>
                <w:rFonts w:hint="eastAsia" w:ascii="宋体" w:hAnsi="宋体" w:cs="宋体"/>
                <w:b/>
                <w:bCs/>
                <w:color w:val="auto"/>
                <w:sz w:val="24"/>
                <w:szCs w:val="24"/>
                <w:highlight w:val="none"/>
              </w:rPr>
              <w:t xml:space="preserve">月</w:t>
            </w:r>
            <w:r>
              <w:rPr>
                <w:rFonts w:hint="eastAsia" w:ascii="宋体" w:hAnsi="宋体" w:cs="宋体"/>
                <w:b/>
                <w:bCs/>
                <w:color w:val="auto"/>
                <w:sz w:val="24"/>
                <w:szCs w:val="24"/>
                <w:highlight w:val="none"/>
                <w:u w:val="single"/>
                <w:lang w:val="en-US" w:eastAsia="zh-CN"/>
              </w:rPr>
              <w:t xml:space="preserve"> 20 </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日09:30前。</w:t>
            </w:r>
            <w:r/>
          </w:p>
          <w:p>
            <w:pPr>
              <w:ind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2、投标文件提交与接收地点：</w:t>
            </w:r>
            <w:r>
              <w:rPr>
                <w:rFonts w:hint="eastAsia" w:ascii="宋体" w:hAnsi="宋体" w:cs="宋体"/>
                <w:color w:val="auto"/>
                <w:sz w:val="24"/>
                <w:szCs w:val="24"/>
                <w:highlight w:val="none"/>
              </w:rPr>
              <w:t xml:space="preserve">投标人应当通过“苏采云”系统提交数据电文形式的投标文件（即电子投标），“苏采云”系统自动接收。</w:t>
            </w:r>
            <w:r/>
          </w:p>
        </w:tc>
      </w:tr>
      <w:tr>
        <w:trPr>
          <w:jc w:val="center"/>
          <w:trHeight w:val="1244"/>
        </w:trPr>
        <w:tc>
          <w:tcPr>
            <w:tcMar>
              <w:left w:w="108" w:type="dxa"/>
              <w:top w:w="0" w:type="dxa"/>
              <w:right w:w="108" w:type="dxa"/>
              <w:bottom w:w="0" w:type="dxa"/>
            </w:tcMar>
            <w:tcW w:w="703" w:type="pct"/>
            <w:vMerge w:val="restar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w:t>
            </w:r>
            <w:r/>
          </w:p>
        </w:tc>
        <w:tc>
          <w:tcPr>
            <w:tcMar>
              <w:left w:w="108" w:type="dxa"/>
              <w:top w:w="0" w:type="dxa"/>
              <w:right w:w="108" w:type="dxa"/>
              <w:bottom w:w="0" w:type="dxa"/>
            </w:tcMar>
            <w:tcW w:w="4296" w:type="pct"/>
            <w:textDirection w:val="lrTb"/>
            <w:noWrap w:val="false"/>
          </w:tcPr>
          <w:p>
            <w:pPr>
              <w:ind w:left="0" w:right="0" w:firstLine="48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电子投标文件应由其法定代表人或法定代表人授权代表在规定的网上投标时间内，</w:t>
            </w:r>
            <w:r>
              <w:rPr>
                <w:rFonts w:hint="eastAsia" w:ascii="宋体" w:hAnsi="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703"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p>
        </w:tc>
        <w:tc>
          <w:tcPr>
            <w:shd w:val="clear" w:color="auto" w:fill="auto"/>
            <w:tcMar>
              <w:left w:w="108" w:type="dxa"/>
              <w:top w:w="0" w:type="dxa"/>
              <w:right w:w="108" w:type="dxa"/>
              <w:bottom w:w="0" w:type="dxa"/>
            </w:tcMar>
            <w:tcW w:w="4296" w:type="pct"/>
            <w:vAlign w:val="top"/>
            <w:textDirection w:val="lrTb"/>
            <w:noWrap w:val="false"/>
          </w:tcPr>
          <w:p>
            <w:pPr>
              <w:ind w:firstLine="480"/>
              <w:jc w:val="left"/>
              <w:widowControl/>
              <w:rPr>
                <w:rFonts w:ascii="宋体" w:hAnsi="宋体" w:cs="宋体"/>
                <w:color w:val="auto"/>
                <w:sz w:val="24"/>
                <w:highlight w:val="none"/>
              </w:rP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highlight w:val="none"/>
              </w:rPr>
              <w:t xml:space="preserve">开标时间后</w:t>
            </w:r>
            <w:r>
              <w:rPr>
                <w:rFonts w:hint="eastAsia" w:ascii="宋体" w:hAnsi="宋体" w:cs="宋体"/>
                <w:color w:val="auto"/>
                <w:sz w:val="24"/>
                <w:highlight w:val="none"/>
              </w:rPr>
              <w:t xml:space="preserve">，通过“苏采云”系统（使用“CA数字证书”）解密。解密时限：进入解密环节后，</w:t>
            </w:r>
            <w:r>
              <w:rPr>
                <w:rFonts w:hint="eastAsia" w:ascii="宋体" w:hAnsi="宋体" w:cs="宋体"/>
                <w:b/>
                <w:bCs/>
                <w:color w:val="auto"/>
                <w:sz w:val="24"/>
                <w:highlight w:val="none"/>
              </w:rPr>
              <w:t xml:space="preserve">30分钟内。</w:t>
            </w:r>
            <w:r/>
          </w:p>
          <w:p>
            <w:pPr>
              <w:ind w:firstLine="480"/>
              <w:jc w:val="left"/>
              <w:widowControl/>
              <w:rPr>
                <w:rFonts w:ascii="宋体" w:hAnsi="宋体" w:cs="宋体"/>
                <w:color w:val="auto"/>
                <w:sz w:val="24"/>
                <w:highlight w:val="none"/>
              </w:rPr>
            </w:pPr>
            <w:r>
              <w:rPr>
                <w:rFonts w:hint="eastAsia" w:ascii="宋体" w:hAnsi="宋体" w:cs="宋体"/>
                <w:color w:val="auto"/>
                <w:sz w:val="24"/>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bCs/>
                <w:color w:val="auto"/>
                <w:sz w:val="24"/>
                <w:highlight w:val="none"/>
              </w:rPr>
              <w:t xml:space="preserve">“苏采云”系统生成开标记录并向社会公众公布，但依法应当保密的除外。</w:t>
            </w:r>
            <w:r/>
          </w:p>
        </w:tc>
      </w:tr>
      <w:tr>
        <w:trPr>
          <w:jc w:val="center"/>
        </w:trPr>
        <w:tc>
          <w:tcPr>
            <w:tcMar>
              <w:left w:w="108" w:type="dxa"/>
              <w:top w:w="0" w:type="dxa"/>
              <w:right w:w="108" w:type="dxa"/>
              <w:bottom w:w="0" w:type="dxa"/>
            </w:tcMar>
            <w:tcW w:w="703"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p>
        </w:tc>
        <w:tc>
          <w:tcPr>
            <w:shd w:val="clear" w:color="auto" w:fill="auto"/>
            <w:tcMar>
              <w:left w:w="108" w:type="dxa"/>
              <w:top w:w="0" w:type="dxa"/>
              <w:right w:w="108" w:type="dxa"/>
              <w:bottom w:w="0" w:type="dxa"/>
            </w:tcMar>
            <w:tcW w:w="4296" w:type="pct"/>
            <w:vAlign w:val="top"/>
            <w:textDirection w:val="lrTb"/>
            <w:noWrap w:val="false"/>
          </w:tcPr>
          <w:p>
            <w:pPr>
              <w:ind w:firstLine="480"/>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“苏采云”系统生成开标记录并</w:t>
            </w:r>
            <w:r>
              <w:rPr>
                <w:rFonts w:hint="eastAsia" w:ascii="宋体" w:hAnsi="宋体" w:cs="宋体"/>
                <w:b/>
                <w:bCs/>
                <w:color w:val="auto"/>
                <w:sz w:val="24"/>
                <w:highlight w:val="none"/>
              </w:rPr>
              <w:t xml:space="preserve">向社会公众公布后5分钟内</w:t>
            </w:r>
            <w:r>
              <w:rPr>
                <w:rFonts w:hint="eastAsia" w:ascii="宋体" w:hAnsi="宋体" w:cs="宋体"/>
                <w:color w:val="auto"/>
                <w:sz w:val="24"/>
                <w:highlight w:val="none"/>
              </w:rPr>
              <w:t xml:space="preserve">，投标人通过“苏采云”系统（使用“CA数字证书”）</w:t>
            </w:r>
            <w:r>
              <w:rPr>
                <w:rFonts w:hint="eastAsia" w:ascii="宋体" w:hAnsi="宋体" w:cs="宋体"/>
                <w:b/>
                <w:bCs/>
                <w:color w:val="auto"/>
                <w:sz w:val="24"/>
                <w:highlight w:val="none"/>
              </w:rPr>
              <w:t xml:space="preserve">确认开标过程</w:t>
            </w:r>
            <w:r>
              <w:rPr>
                <w:rFonts w:hint="eastAsia" w:ascii="宋体" w:hAnsi="宋体" w:cs="宋体"/>
                <w:color w:val="auto"/>
                <w:sz w:val="24"/>
                <w:highlight w:val="none"/>
              </w:rPr>
              <w:t xml:space="preserve">。在以上时间内投标人没有确认的，视同该投标人认可开标结果。</w:t>
            </w:r>
            <w:r/>
          </w:p>
        </w:tc>
      </w:tr>
      <w:tr>
        <w:trPr>
          <w:jc w:val="center"/>
        </w:trPr>
        <w:tc>
          <w:tcPr>
            <w:tcMar>
              <w:left w:w="108" w:type="dxa"/>
              <w:top w:w="0" w:type="dxa"/>
              <w:right w:w="108" w:type="dxa"/>
              <w:bottom w:w="0" w:type="dxa"/>
            </w:tcMar>
            <w:tcW w:w="703"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p>
        </w:tc>
        <w:tc>
          <w:tcPr>
            <w:shd w:val="clear" w:color="auto" w:fill="auto"/>
            <w:tcMar>
              <w:left w:w="108" w:type="dxa"/>
              <w:top w:w="0" w:type="dxa"/>
              <w:right w:w="108" w:type="dxa"/>
              <w:bottom w:w="0" w:type="dxa"/>
            </w:tcMar>
            <w:tcW w:w="4296" w:type="pct"/>
            <w:vAlign w:val="top"/>
            <w:textDirection w:val="lrTb"/>
            <w:noWrap w:val="false"/>
          </w:tcPr>
          <w:p>
            <w:pPr>
              <w:ind w:firstLine="480"/>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703"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p>
        </w:tc>
        <w:tc>
          <w:tcPr>
            <w:shd w:val="clear" w:color="auto" w:fill="auto"/>
            <w:tcMar>
              <w:left w:w="108" w:type="dxa"/>
              <w:top w:w="0" w:type="dxa"/>
              <w:right w:w="108" w:type="dxa"/>
              <w:bottom w:w="0" w:type="dxa"/>
            </w:tcMar>
            <w:tcW w:w="4296" w:type="pct"/>
            <w:vAlign w:val="top"/>
            <w:textDirection w:val="lrTb"/>
            <w:noWrap w:val="false"/>
          </w:tcPr>
          <w:p>
            <w:pPr>
              <w:pStyle w:val="775"/>
              <w:ind w:firstLine="480"/>
              <w:spacing w:before="0" w:beforeAutospacing="0" w:after="0" w:afterAutospacing="0"/>
              <w:shd w:val="clear" w:color="auto" w:fill="ffffff"/>
              <w:rPr>
                <w:rFonts w:hint="eastAsia" w:ascii="宋体" w:hAnsi="宋体" w:eastAsia="宋体" w:cs="宋体"/>
                <w:color w:val="auto"/>
                <w:sz w:val="24"/>
                <w:szCs w:val="24"/>
                <w:highlight w:val="none"/>
                <w:lang w:val="en-US" w:eastAsia="zh-CN" w:bidi="ar-SA"/>
              </w:rPr>
            </w:pPr>
            <w:r>
              <w:rPr>
                <w:rFonts w:hint="eastAsia"/>
                <w:color w:val="auto"/>
                <w:highlight w:val="none"/>
              </w:rPr>
              <w:t xml:space="preserve">投标文件解密失败的补救方案</w:t>
            </w:r>
            <w:r>
              <w:rPr>
                <w:rFonts w:hint="eastAsia"/>
                <w:color w:val="auto"/>
                <w:highlight w:val="none"/>
                <w:lang w:eastAsia="zh-CN"/>
              </w:rPr>
              <w:t xml:space="preserve">：</w:t>
            </w:r>
            <w:r>
              <w:rPr>
                <w:rFonts w:hint="eastAsia"/>
                <w:color w:val="auto"/>
                <w:highlight w:val="none"/>
              </w:rPr>
              <w:t xml:space="preserve">无。</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w:t>
            </w:r>
            <w:r/>
          </w:p>
        </w:tc>
        <w:tc>
          <w:tcPr>
            <w:tcMar>
              <w:left w:w="108" w:type="dxa"/>
              <w:top w:w="0" w:type="dxa"/>
              <w:right w:w="108" w:type="dxa"/>
              <w:bottom w:w="0" w:type="dxa"/>
            </w:tcMar>
            <w:tcW w:w="4296" w:type="pct"/>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开标</w:t>
            </w:r>
            <w:r/>
          </w:p>
        </w:tc>
      </w:tr>
      <w:tr>
        <w:trPr>
          <w:jc w:val="center"/>
          <w:trHeight w:val="1793"/>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(二十五)1</w:t>
            </w:r>
            <w:r/>
          </w:p>
        </w:tc>
        <w:tc>
          <w:tcPr>
            <w:tcMar>
              <w:left w:w="108" w:type="dxa"/>
              <w:top w:w="0" w:type="dxa"/>
              <w:right w:w="108" w:type="dxa"/>
              <w:bottom w:w="0" w:type="dxa"/>
            </w:tcMar>
            <w:tcW w:w="4296" w:type="pct"/>
            <w:vAlign w:val="center"/>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开标时间及地点：</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1、开标时间：</w:t>
            </w:r>
            <w:r>
              <w:rPr>
                <w:rFonts w:hint="eastAsia" w:ascii="宋体" w:hAnsi="宋体" w:cs="宋体"/>
                <w:b/>
                <w:color w:val="auto"/>
                <w:sz w:val="24"/>
                <w:szCs w:val="24"/>
                <w:highlight w:val="none"/>
              </w:rPr>
              <w:t xml:space="preserve">2026年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8</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20 </w:t>
            </w:r>
            <w:r>
              <w:rPr>
                <w:rFonts w:hint="eastAsia" w:ascii="宋体" w:hAnsi="宋体" w:cs="宋体"/>
                <w:b/>
                <w:color w:val="auto"/>
                <w:sz w:val="24"/>
                <w:szCs w:val="24"/>
                <w:highlight w:val="none"/>
              </w:rPr>
              <w:t xml:space="preserve">日09：30（标准时间）。</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2、开标地点：</w:t>
            </w:r>
            <w:r>
              <w:rPr>
                <w:rFonts w:hint="eastAsia" w:ascii="宋体" w:hAnsi="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(二十六)</w:t>
            </w:r>
            <w:r/>
          </w:p>
        </w:tc>
        <w:tc>
          <w:tcPr>
            <w:tcMar>
              <w:left w:w="108" w:type="dxa"/>
              <w:top w:w="0" w:type="dxa"/>
              <w:right w:w="108" w:type="dxa"/>
              <w:bottom w:w="0" w:type="dxa"/>
            </w:tcMar>
            <w:tcW w:w="4296" w:type="pct"/>
            <w:vAlign w:val="center"/>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五</w:t>
            </w:r>
            <w:r/>
          </w:p>
        </w:tc>
        <w:tc>
          <w:tcPr>
            <w:tcMar>
              <w:left w:w="108" w:type="dxa"/>
              <w:top w:w="0" w:type="dxa"/>
              <w:right w:w="108" w:type="dxa"/>
              <w:bottom w:w="0" w:type="dxa"/>
            </w:tcMar>
            <w:tcW w:w="4296" w:type="pct"/>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评标</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(二十七)</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采用综合评分法。</w:t>
            </w:r>
            <w:r/>
          </w:p>
        </w:tc>
      </w:tr>
      <w:tr>
        <w:trPr>
          <w:jc w:val="center"/>
          <w:trHeight w:val="90"/>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(二十八)</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一、推荐中标候选供应商名单。中标候选供应商数量应当根据采购需要确定，但必须按顺序排列中标候选供应商。</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w:t>
            </w:r>
            <w:r>
              <w:rPr>
                <w:rFonts w:cs="仿宋" w:asciiTheme="minorEastAsia" w:hAnsiTheme="minorEastAsia"/>
                <w:color w:val="auto"/>
                <w:sz w:val="24"/>
                <w:szCs w:val="24"/>
                <w:highlight w:val="none"/>
                <w:lang w:eastAsia="zh-CN"/>
              </w:rPr>
              <w:t xml:space="preserve">采用综合评分法的，按评审后得分由高到低顺序排列。得分相同的，按投标报价由低到高顺序排列。</w:t>
            </w:r>
            <w:r>
              <w:rPr>
                <w:rFonts w:hint="eastAsia" w:cs="仿宋" w:asciiTheme="minorEastAsia" w:hAnsiTheme="minorEastAsia"/>
                <w:color w:val="auto"/>
                <w:sz w:val="24"/>
                <w:szCs w:val="24"/>
                <w:highlight w:val="none"/>
                <w:lang w:eastAsia="zh-CN"/>
              </w:rPr>
              <w:t xml:space="preserve">得分且投标报价相同的，按项目</w:t>
            </w:r>
            <w:r>
              <w:rPr>
                <w:rFonts w:hint="eastAsia" w:cs="仿宋" w:asciiTheme="minorEastAsia" w:hAnsiTheme="minorEastAsia"/>
                <w:color w:val="auto"/>
                <w:sz w:val="24"/>
                <w:szCs w:val="24"/>
                <w:highlight w:val="none"/>
                <w:lang w:val="en-US" w:eastAsia="zh-CN"/>
              </w:rPr>
              <w:t xml:space="preserve">技术</w:t>
            </w:r>
            <w:r>
              <w:rPr>
                <w:rFonts w:hint="eastAsia" w:cs="仿宋" w:asciiTheme="minorEastAsia" w:hAnsiTheme="minorEastAsia"/>
                <w:color w:val="auto"/>
                <w:sz w:val="24"/>
                <w:szCs w:val="24"/>
                <w:highlight w:val="none"/>
                <w:lang w:eastAsia="zh-CN"/>
              </w:rPr>
              <w:t xml:space="preserve">方案得分顺序排列。</w:t>
            </w:r>
            <w:r/>
          </w:p>
          <w:p>
            <w:pPr>
              <w:ind w:left="0" w:right="0"/>
              <w:keepLines w:val="0"/>
              <w:keepNext w:val="0"/>
              <w:pageBreakBefore w:val="0"/>
              <w:spacing w:line="24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三、采购人应当自收到评标报告之日起5个工作日内，在评标报告确定的中标候选人名单中按得分最高顺序确定一名中标人。</w:t>
            </w:r>
            <w:r/>
          </w:p>
        </w:tc>
      </w:tr>
      <w:tr>
        <w:trPr>
          <w:jc w:val="center"/>
          <w:trHeight w:val="3251"/>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（二十九）</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1、评标中需要投标人对投标文件澄清或者说明的，应当通过“苏采云”系统交换数据电文。在评标期间，请投标人保持在线。</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16"/>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（三十）</w:t>
            </w:r>
            <w:r/>
          </w:p>
        </w:tc>
        <w:tc>
          <w:tcPr>
            <w:tcMar>
              <w:left w:w="108" w:type="dxa"/>
              <w:top w:w="0" w:type="dxa"/>
              <w:right w:w="108" w:type="dxa"/>
              <w:bottom w:w="0" w:type="dxa"/>
            </w:tcMar>
            <w:tcW w:w="4296" w:type="pct"/>
            <w:textDirection w:val="lrTb"/>
            <w:noWrap w:val="false"/>
          </w:tcPr>
          <w:p>
            <w:pPr>
              <w:ind w:firstLine="480"/>
              <w:rPr>
                <w:rFonts w:ascii="宋体" w:hAnsi="宋体" w:cs="宋体"/>
                <w:color w:val="auto"/>
                <w:sz w:val="24"/>
                <w:highlight w:val="none"/>
              </w:rPr>
            </w:pPr>
            <w:r/>
            <w:bookmarkStart w:id="0" w:name="OLE_LINK7"/>
            <w:r/>
            <w:bookmarkStart w:id="1" w:name="OLE_LINK4"/>
            <w:r>
              <w:rPr>
                <w:rFonts w:hint="eastAsia" w:ascii="宋体" w:hAnsi="宋体" w:cs="宋体"/>
                <w:color w:val="auto"/>
                <w:sz w:val="24"/>
                <w:highlight w:val="none"/>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highlight w:val="none"/>
              </w:rPr>
              <w:t xml:space="preserve">项目具体成本测算等与报价合理性相关的书面说明及相关证明材料</w:t>
            </w:r>
            <w:r>
              <w:rPr>
                <w:rFonts w:hint="eastAsia" w:ascii="宋体" w:hAnsi="宋体" w:cs="宋体"/>
                <w:color w:val="auto"/>
                <w:sz w:val="24"/>
                <w:highlight w:val="none"/>
              </w:rPr>
              <w:t xml:space="preserve">，对投标（响应）价格作出解释，由评审委员会</w:t>
            </w:r>
            <w:r>
              <w:rPr>
                <w:rFonts w:hint="eastAsia" w:ascii="宋体" w:hAnsi="宋体" w:cs="宋体"/>
                <w:b/>
                <w:color w:val="auto"/>
                <w:sz w:val="24"/>
                <w:highlight w:val="none"/>
              </w:rPr>
              <w:t xml:space="preserve">结合同类产品在主要电商平台的价格、该行业当地薪资水平等情况</w:t>
            </w:r>
            <w:r>
              <w:rPr>
                <w:rFonts w:hint="eastAsia" w:ascii="宋体" w:hAnsi="宋体" w:cs="宋体"/>
                <w:color w:val="auto"/>
                <w:sz w:val="24"/>
                <w:highlight w:val="none"/>
              </w:rPr>
              <w:t xml:space="preserve">，依据专业经验对供应商报价合理性进行判断。投标（响应）供应商</w:t>
            </w:r>
            <w:r>
              <w:rPr>
                <w:rFonts w:hint="eastAsia" w:ascii="宋体" w:hAnsi="宋体" w:cs="宋体"/>
                <w:b/>
                <w:color w:val="auto"/>
                <w:sz w:val="24"/>
                <w:highlight w:val="none"/>
              </w:rPr>
              <w:t xml:space="preserve">不提供书面说明、证明材料，或者提供的书面说明、证明材料不能证明其报价合理性的，评审委员会应当将其作为无效投标（响应）处理。</w:t>
            </w:r>
            <w:bookmarkEnd w:id="0"/>
            <w:r/>
            <w:bookmarkEnd w:id="1"/>
            <w:r/>
            <w:r/>
          </w:p>
          <w:p>
            <w:pPr>
              <w:ind w:left="0" w:right="0"/>
              <w:keepLines w:val="0"/>
              <w:keepNext w:val="0"/>
              <w:pageBreakBefore w:val="0"/>
              <w:spacing w:line="24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特别说明：“苏采云”系统通过“江苏省政府采购一体化不见面开标大厅</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提醒投标人，投标人自行查看。投标人未及时查看或因自身原因导致未收到信息的，责任自负。</w:t>
            </w:r>
            <w:r/>
          </w:p>
        </w:tc>
      </w:tr>
      <w:tr>
        <w:trPr>
          <w:jc w:val="center"/>
          <w:trHeight w:val="354"/>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七</w:t>
            </w:r>
            <w:r/>
          </w:p>
        </w:tc>
        <w:tc>
          <w:tcPr>
            <w:tcMar>
              <w:left w:w="108" w:type="dxa"/>
              <w:top w:w="0" w:type="dxa"/>
              <w:right w:w="108" w:type="dxa"/>
              <w:bottom w:w="0" w:type="dxa"/>
            </w:tcMar>
            <w:tcW w:w="4296" w:type="pct"/>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政府采购合同</w:t>
            </w:r>
            <w:r/>
          </w:p>
        </w:tc>
      </w:tr>
      <w:tr>
        <w:trPr>
          <w:jc w:val="center"/>
          <w:trHeight w:val="759"/>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w:t>
            </w:r>
            <w:r>
              <w:rPr>
                <w:rFonts w:hint="eastAsia" w:ascii="宋体" w:hAnsi="宋体" w:cs="宋体"/>
                <w:color w:val="auto"/>
                <w:sz w:val="24"/>
                <w:szCs w:val="24"/>
                <w:highlight w:val="none"/>
                <w:lang w:val="en-US" w:eastAsia="zh-CN"/>
              </w:rPr>
              <w:t xml:space="preserve">六</w:t>
            </w:r>
            <w:r>
              <w:rPr>
                <w:rFonts w:hint="eastAsia" w:ascii="宋体" w:hAnsi="宋体" w:cs="宋体"/>
                <w:color w:val="auto"/>
                <w:sz w:val="24"/>
                <w:szCs w:val="24"/>
                <w:highlight w:val="none"/>
              </w:rPr>
              <w:t xml:space="preserve">)</w:t>
            </w:r>
            <w:r/>
          </w:p>
        </w:tc>
        <w:tc>
          <w:tcPr>
            <w:tcMar>
              <w:left w:w="108" w:type="dxa"/>
              <w:top w:w="0" w:type="dxa"/>
              <w:right w:w="108" w:type="dxa"/>
              <w:bottom w:w="0" w:type="dxa"/>
            </w:tcMar>
            <w:tcW w:w="4296" w:type="pct"/>
            <w:vAlign w:val="center"/>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采购人与中标（成交）人应当在中标（成交）通知书发出之日起30日内，按照</w:t>
            </w:r>
            <w:r>
              <w:rPr>
                <w:rFonts w:hint="eastAsia" w:ascii="宋体" w:hAnsi="宋体" w:cs="宋体"/>
                <w:color w:val="auto"/>
                <w:sz w:val="24"/>
                <w:szCs w:val="24"/>
                <w:highlight w:val="none"/>
                <w:lang w:val="en-US" w:eastAsia="zh-CN"/>
              </w:rPr>
              <w:t xml:space="preserve">招标</w:t>
            </w:r>
            <w:r>
              <w:rPr>
                <w:rFonts w:hint="eastAsia" w:ascii="宋体" w:hAnsi="宋体" w:cs="宋体"/>
                <w:color w:val="auto"/>
                <w:sz w:val="24"/>
                <w:szCs w:val="24"/>
                <w:highlight w:val="none"/>
              </w:rPr>
              <w:t xml:space="preserve">文件确定的事项签订政府采购合同。</w:t>
            </w:r>
            <w:r/>
          </w:p>
        </w:tc>
      </w:tr>
      <w:tr>
        <w:trPr>
          <w:jc w:val="center"/>
          <w:trHeight w:val="433"/>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w:t>
            </w:r>
            <w:r>
              <w:rPr>
                <w:rFonts w:hint="eastAsia" w:ascii="宋体" w:hAnsi="宋体" w:cs="宋体"/>
                <w:color w:val="auto"/>
                <w:sz w:val="24"/>
                <w:szCs w:val="24"/>
                <w:highlight w:val="none"/>
                <w:lang w:val="en-US" w:eastAsia="zh-CN"/>
              </w:rPr>
              <w:t xml:space="preserve">八</w:t>
            </w:r>
            <w:r>
              <w:rPr>
                <w:rFonts w:hint="eastAsia" w:ascii="宋体" w:hAnsi="宋体" w:cs="宋体"/>
                <w:color w:val="auto"/>
                <w:sz w:val="24"/>
                <w:szCs w:val="24"/>
                <w:highlight w:val="none"/>
              </w:rPr>
              <w:t xml:space="preserve">)</w:t>
            </w:r>
            <w:r/>
          </w:p>
        </w:tc>
        <w:tc>
          <w:tcPr>
            <w:tcMar>
              <w:left w:w="108" w:type="dxa"/>
              <w:top w:w="0" w:type="dxa"/>
              <w:right w:w="108" w:type="dxa"/>
              <w:bottom w:w="0" w:type="dxa"/>
            </w:tcMar>
            <w:tcW w:w="4296" w:type="pct"/>
            <w:vAlign w:val="center"/>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履约保证金：详见招标文件第五章《拟签订的合同文本》。</w:t>
            </w:r>
            <w:r/>
          </w:p>
        </w:tc>
      </w:tr>
      <w:tr>
        <w:trPr>
          <w:jc w:val="center"/>
          <w:trHeight w:val="2229"/>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四十</w:t>
            </w:r>
            <w:r>
              <w:rPr>
                <w:rFonts w:hint="eastAsia" w:ascii="宋体" w:hAnsi="宋体" w:cs="宋体"/>
                <w:color w:val="auto"/>
                <w:sz w:val="24"/>
                <w:szCs w:val="24"/>
                <w:highlight w:val="none"/>
              </w:rPr>
              <w:t xml:space="preserve">)</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left="0" w:right="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李振</w:t>
            </w:r>
            <w:r>
              <w:rPr>
                <w:rFonts w:hint="eastAsia" w:ascii="宋体" w:hAnsi="宋体" w:cs="宋体"/>
                <w:color w:val="auto"/>
                <w:sz w:val="24"/>
                <w:szCs w:val="24"/>
                <w:highlight w:val="none"/>
              </w:rPr>
              <w:t xml:space="preserve">      联系电话：0516-</w:t>
            </w:r>
            <w:r>
              <w:rPr>
                <w:rFonts w:hint="eastAsia" w:ascii="宋体" w:hAnsi="宋体" w:cs="宋体"/>
                <w:color w:val="auto"/>
                <w:sz w:val="24"/>
                <w:szCs w:val="24"/>
                <w:highlight w:val="none"/>
                <w:lang w:val="en-US" w:eastAsia="zh-CN"/>
              </w:rPr>
              <w:t xml:space="preserve">83891178</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地址：徐州市泉山区矿大科技园同创新座B区4号楼三层</w:t>
            </w:r>
            <w:r/>
          </w:p>
        </w:tc>
      </w:tr>
      <w:tr>
        <w:trPr>
          <w:jc w:val="center"/>
          <w:trHeight w:val="984"/>
        </w:trPr>
        <w:tc>
          <w:tcPr>
            <w:tcMar>
              <w:left w:w="108" w:type="dxa"/>
              <w:top w:w="0" w:type="dxa"/>
              <w:right w:w="108" w:type="dxa"/>
              <w:bottom w:w="0" w:type="dxa"/>
            </w:tcMar>
            <w:tcW w:w="703" w:type="pct"/>
            <w:vMerge w:val="restar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附加说明</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中标人在收到中标通知书时，须向采购人和采购代理机构提交《开标一览表》和《分项价格表》的数据文件（WORD格式）。</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邮箱：</w:t>
            </w:r>
            <w:r>
              <w:rPr>
                <w:rFonts w:hint="eastAsia" w:asciiTheme="minorEastAsia" w:hAnsiTheme="minorEastAsia" w:eastAsiaTheme="minorEastAsia" w:cstheme="minorEastAsia"/>
                <w:color w:val="auto"/>
                <w:sz w:val="24"/>
                <w:szCs w:val="24"/>
                <w:highlight w:val="none"/>
                <w:lang w:val="en-US" w:eastAsia="zh-CN"/>
              </w:rPr>
              <w:t xml:space="preserve">jsjtxz@126.com</w:t>
            </w:r>
            <w:r/>
          </w:p>
        </w:tc>
      </w:tr>
      <w:tr>
        <w:trPr>
          <w:jc w:val="center"/>
          <w:trHeight w:val="4970"/>
        </w:trPr>
        <w:tc>
          <w:tcPr>
            <w:tcMar>
              <w:left w:w="108" w:type="dxa"/>
              <w:top w:w="0" w:type="dxa"/>
              <w:right w:w="108" w:type="dxa"/>
              <w:bottom w:w="0" w:type="dxa"/>
            </w:tcMar>
            <w:tcW w:w="703" w:type="pct"/>
            <w:vMerge w:val="continue"/>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1、评标中需要投标人对投标文件澄清或者说明的，应当通过“苏采云”系统交换数据电文。在评标期间，请投标人保持在线。</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pageBreakBefore w:val="0"/>
              <w:spacing w:line="24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4、招标文件中如需“授权代表签字或盖章”，供应商可打印成文档。签字或盖章后再扫描上传，最后再电子签章。</w:t>
            </w:r>
            <w:r/>
          </w:p>
          <w:p>
            <w:pPr>
              <w:ind w:left="0" w:right="0"/>
              <w:keepLines w:val="0"/>
              <w:keepNext w:val="0"/>
              <w:pageBreakBefore w:val="0"/>
              <w:spacing w:line="24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5、中标人在收到中标通知书时，须向采购人和采购代理机构提交完整纸质版的投标文件（需盖投标人公章且胶装成册，1正</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副本）。</w:t>
            </w:r>
            <w:r/>
          </w:p>
        </w:tc>
      </w:tr>
    </w:tbl>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color w:val="auto"/>
          <w:sz w:val="28"/>
          <w:szCs w:val="28"/>
          <w:highlight w:val="none"/>
        </w:rPr>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本章附件：</w:t>
      </w:r>
      <w:r>
        <w:rPr>
          <w:rFonts w:hint="eastAsia" w:ascii="宋体" w:hAnsi="宋体" w:cs="宋体"/>
          <w:b/>
          <w:color w:val="auto"/>
          <w:sz w:val="28"/>
          <w:szCs w:val="28"/>
          <w:highlight w:val="none"/>
        </w:rPr>
        <w:t xml:space="preserve">招标代理服务收费标准</w:t>
      </w:r>
      <w:r/>
    </w:p>
    <w:tbl>
      <w:tblPr>
        <w:tblStyle w:val="74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42"/>
        <w:gridCol w:w="3272"/>
      </w:tblGrid>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中标或者成交金额</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费率</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最低收费金额(每个委托项目)</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5000元</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50万元以下(含50万元)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50-400万元(含400万元)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400-1000万元(含1000万元)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1000-5000万元(含5000万元)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0.8%</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5000-1亿元(含1亿元)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0.25%</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1-10亿元(含10亿元)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0.05%</w:t>
            </w:r>
            <w:r/>
          </w:p>
        </w:tc>
      </w:tr>
      <w:tr>
        <w:trPr>
          <w:jc w:val="center"/>
          <w:trHeight w:val="547"/>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10-50亿元(含50亿元)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0.01%</w:t>
            </w:r>
            <w:r/>
          </w:p>
        </w:tc>
      </w:tr>
      <w:tr>
        <w:trPr>
          <w:jc w:val="center"/>
          <w:trHeight w:val="547"/>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50亿元以上</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0.005%</w:t>
            </w:r>
            <w:r/>
          </w:p>
        </w:tc>
      </w:tr>
    </w:tbl>
    <w:p>
      <w:pPr>
        <w:pStyle w:val="775"/>
        <w:ind w:left="0" w:right="0"/>
        <w:keepLines w:val="0"/>
        <w:keepNext w:val="0"/>
        <w:spacing w:before="0" w:beforeAutospacing="0" w:after="0" w:afterAutospacing="0" w:line="288"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说 明 ：</w:t>
      </w:r>
      <w:r/>
    </w:p>
    <w:p>
      <w:pPr>
        <w:pStyle w:val="775"/>
        <w:keepLines w:val="0"/>
        <w:keepNext w:val="0"/>
        <w:spacing w:before="0" w:beforeAutospacing="0" w:after="0" w:afterAutospacing="0" w:line="288"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1.按上表计算的收费为代理服务全过程的收费金额。各社会代理机构不再收取采购文件制作售卖费用。</w:t>
      </w:r>
      <w:r/>
    </w:p>
    <w:p>
      <w:pPr>
        <w:pStyle w:val="775"/>
        <w:keepLines w:val="0"/>
        <w:keepNext w:val="0"/>
        <w:spacing w:before="0" w:beforeAutospacing="0" w:after="0" w:afterAutospacing="0" w:line="288"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2.代理服务费按差额定率累进法计算。</w:t>
      </w:r>
      <w:r/>
    </w:p>
    <w:p>
      <w:pPr>
        <w:pStyle w:val="775"/>
        <w:keepLines w:val="0"/>
        <w:keepNext w:val="0"/>
        <w:spacing w:before="0" w:beforeAutospacing="0" w:after="0" w:afterAutospacing="0" w:line="288"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3.代理服务费基准金额(按差额定率累进法计算的)=中标金额(按差额定率累进法计算的)*费率(%)</w:t>
      </w:r>
      <w:r/>
    </w:p>
    <w:p>
      <w:pPr>
        <w:pStyle w:val="775"/>
        <w:keepLines w:val="0"/>
        <w:keepNext w:val="0"/>
        <w:spacing w:before="0" w:beforeAutospacing="0" w:after="0" w:afterAutospacing="0" w:line="288"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4.代理服务费应收取金额=代理服务费基准金额(按差额定率累进法计算)的合计数。</w:t>
      </w:r>
      <w:r/>
    </w:p>
    <w:p>
      <w:pPr>
        <w:pStyle w:val="775"/>
        <w:keepLines w:val="0"/>
        <w:keepNext w:val="0"/>
        <w:spacing w:before="0" w:beforeAutospacing="0" w:after="0" w:afterAutospacing="0" w:line="288"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5.定点类等无金额或事先不能计算出价格总额的项目，按中标(成交)金额100万元计算。</w:t>
      </w:r>
      <w:r/>
    </w:p>
    <w:p>
      <w:pPr>
        <w:pStyle w:val="775"/>
        <w:keepLines w:val="0"/>
        <w:keepNext w:val="0"/>
        <w:spacing w:before="0" w:beforeAutospacing="0" w:after="0" w:afterAutospacing="0" w:line="288"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6.有分包(分标段)的按一个项目计算。</w:t>
      </w:r>
      <w:r/>
    </w:p>
    <w:p>
      <w:pPr>
        <w:pStyle w:val="775"/>
        <w:jc w:val="both"/>
        <w:keepLines w:val="0"/>
        <w:keepNext w:val="0"/>
        <w:spacing w:before="0" w:beforeAutospacing="0" w:after="0" w:afterAutospacing="0" w:line="288"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7.以上价格为协会指导价，双方可根据项目难易程度和优质优价原则协商确定。</w:t>
      </w:r>
      <w:r/>
    </w:p>
    <w:p>
      <w:pPr>
        <w:pStyle w:val="756"/>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756"/>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756"/>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highlight w:val="none"/>
        </w:rPr>
      </w:pPr>
      <w:r>
        <w:rPr>
          <w:rFonts w:hint="eastAsia"/>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756"/>
        <w:rPr>
          <w:highlight w:val="none"/>
        </w:rPr>
      </w:pPr>
      <w:r>
        <w:rPr>
          <w:highlight w:val="none"/>
        </w:rPr>
      </w:r>
      <w:r/>
    </w:p>
    <w:p>
      <w:pPr>
        <w:numPr>
          <w:ilvl w:val="0"/>
          <w:numId w:val="3"/>
        </w:numPr>
        <w:jc w:val="center"/>
        <w:spacing w:line="360" w:lineRule="auto"/>
        <w:rPr>
          <w:rFonts w:ascii="宋体" w:hAnsi="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评标标准</w:t>
      </w:r>
      <w:r/>
    </w:p>
    <w:tbl>
      <w:tblPr>
        <w:tblStyle w:val="747"/>
        <w:tblW w:w="101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6"/>
        <w:gridCol w:w="1413"/>
        <w:gridCol w:w="7448"/>
      </w:tblGrid>
      <w:tr>
        <w:trPr>
          <w:jc w:val="center"/>
          <w:trHeight w:val="601"/>
        </w:trPr>
        <w:tc>
          <w:tcPr>
            <w:gridSpan w:val="2"/>
            <w:tcW w:w="2669" w:type="dxa"/>
            <w:vAlign w:val="center"/>
            <w:textDirection w:val="lrTb"/>
            <w:noWrap w:val="false"/>
          </w:tcPr>
          <w:p>
            <w:pPr>
              <w:jc w:val="center"/>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项目</w:t>
            </w:r>
            <w:r/>
          </w:p>
        </w:tc>
        <w:tc>
          <w:tcPr>
            <w:tcW w:w="7448" w:type="dxa"/>
            <w:vAlign w:val="center"/>
            <w:textDirection w:val="lrTb"/>
            <w:noWrap w:val="false"/>
          </w:tcPr>
          <w:p>
            <w:pPr>
              <w:jc w:val="center"/>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评分办法</w:t>
            </w:r>
            <w:r/>
          </w:p>
        </w:tc>
      </w:tr>
      <w:tr>
        <w:trPr>
          <w:jc w:val="center"/>
          <w:trHeight w:val="90"/>
        </w:trPr>
        <w:tc>
          <w:tcPr>
            <w:tcW w:w="125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w:t>
            </w:r>
            <w:r/>
          </w:p>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部分</w:t>
            </w:r>
            <w:r/>
          </w:p>
          <w:p>
            <w:pPr>
              <w:jc w:val="cente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tcW w:w="1413" w:type="dxa"/>
            <w:vAlign w:val="center"/>
            <w:textDirection w:val="lrTb"/>
            <w:noWrap w:val="false"/>
          </w:tcPr>
          <w:p>
            <w:pPr>
              <w:jc w:val="center"/>
              <w:spacing w:after="0"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tcW w:w="7448" w:type="dxa"/>
            <w:vAlign w:val="center"/>
            <w:textDirection w:val="lrTb"/>
            <w:noWrap w:val="false"/>
          </w:tcPr>
          <w:p>
            <w:pPr>
              <w:pStyle w:val="775"/>
              <w:ind w:left="0" w:right="0"/>
              <w:jc w:val="both"/>
              <w:keepLines w:val="0"/>
              <w:keepNext w:val="0"/>
              <w:spacing w:before="0" w:beforeAutospacing="0" w:after="0" w:afterAutospacing="0" w:line="240" w:lineRule="auto"/>
              <w:widowControl w:val="off"/>
              <w:rPr>
                <w:rFonts w:hint="eastAsia"/>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采用低价优先法计算，即满足招标文件要求且投标人评审价格最低的投标报价为评标基准价，其价格得分为满分；</w:t>
            </w:r>
            <w:r/>
          </w:p>
          <w:p>
            <w:pPr>
              <w:pStyle w:val="775"/>
              <w:jc w:val="both"/>
              <w:keepLines w:val="0"/>
              <w:keepNext w:val="0"/>
              <w:spacing w:before="0" w:beforeAutospacing="0" w:after="0" w:afterAutospacing="0" w:line="240" w:lineRule="auto"/>
              <w:widowControl w:val="off"/>
              <w:rPr>
                <w:rFonts w:hint="eastAsia"/>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各投标人价格得分=评标基准价（投标人的最低评审价格）÷各投标人评审价格×</w:t>
            </w:r>
            <w:r>
              <w:rPr>
                <w:rFonts w:hint="eastAsia"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w:t>
            </w:r>
            <w:r/>
          </w:p>
          <w:p>
            <w:pPr>
              <w:pStyle w:val="775"/>
              <w:jc w:val="both"/>
              <w:spacing w:before="0" w:beforeAutospacing="0" w:after="0" w:afterAutospacing="0" w:line="240" w:lineRule="auto"/>
              <w:widowControl w:val="off"/>
              <w:rPr>
                <w:rFonts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rPr>
              <w:t xml:space="preserve">得分四舍五入保留小数点后2位。</w:t>
            </w:r>
            <w:r/>
          </w:p>
        </w:tc>
      </w:tr>
      <w:tr>
        <w:trPr>
          <w:jc w:val="center"/>
          <w:trHeight w:val="2327"/>
        </w:trPr>
        <w:tc>
          <w:tcPr>
            <w:tcW w:w="1256" w:type="dxa"/>
            <w:vAlign w:val="center"/>
            <w:vMerge w:val="restart"/>
            <w:textDirection w:val="lrTb"/>
            <w:noWrap w:val="false"/>
          </w:tcPr>
          <w:p>
            <w:pPr>
              <w:numPr>
                <w:ilvl w:val="255"/>
                <w:numId w:val="0"/>
              </w:numPr>
              <w:jc w:val="center"/>
              <w:spacing w:after="0" w:line="240" w:lineRule="auto"/>
              <w:rPr>
                <w:rFonts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商务</w:t>
            </w:r>
            <w:r/>
          </w:p>
          <w:p>
            <w:pPr>
              <w:numPr>
                <w:ilvl w:val="255"/>
                <w:numId w:val="0"/>
              </w:numPr>
              <w:jc w:val="cente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部分</w:t>
            </w:r>
            <w:r/>
          </w:p>
          <w:p>
            <w:pPr>
              <w:numPr>
                <w:ilvl w:val="255"/>
                <w:numId w:val="0"/>
              </w:numPr>
              <w:jc w:val="cente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分）</w:t>
            </w:r>
            <w:r/>
          </w:p>
        </w:tc>
        <w:tc>
          <w:tcPr>
            <w:tcW w:w="141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p>
          <w:p>
            <w:pPr>
              <w:numPr>
                <w:ilvl w:val="255"/>
                <w:numId w:val="0"/>
              </w:numPr>
              <w:jc w:val="center"/>
              <w:spacing w:after="0"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numPr>
                <w:ilvl w:val="255"/>
                <w:numId w:val="0"/>
              </w:numPr>
              <w:jc w:val="cente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tcW w:w="7448" w:type="dxa"/>
            <w:vAlign w:val="center"/>
            <w:textDirection w:val="lrTb"/>
            <w:noWrap w:val="false"/>
          </w:tcPr>
          <w:p>
            <w:pPr>
              <w:ind w:right="-143"/>
              <w:spacing w:after="0" w:line="24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投标文件中提供投标人自202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月1日以来（时间以合同签订时间为准）具有与本项目</w:t>
            </w:r>
            <w:r>
              <w:rPr>
                <w:rFonts w:hint="eastAsia" w:ascii="宋体" w:hAnsi="宋体" w:eastAsia="宋体" w:cs="宋体"/>
                <w:color w:val="auto"/>
                <w:sz w:val="24"/>
                <w:szCs w:val="24"/>
                <w:highlight w:val="none"/>
                <w:lang w:eastAsia="zh-CN"/>
              </w:rPr>
              <w:t xml:space="preserve">采购标的</w:t>
            </w:r>
            <w:r>
              <w:rPr>
                <w:rFonts w:hint="eastAsia" w:ascii="宋体" w:hAnsi="宋体" w:eastAsia="宋体" w:cs="宋体"/>
                <w:color w:val="auto"/>
                <w:sz w:val="24"/>
                <w:szCs w:val="24"/>
                <w:highlight w:val="none"/>
              </w:rPr>
              <w:t xml:space="preserve">相同或类似</w:t>
            </w:r>
            <w:r>
              <w:rPr>
                <w:rFonts w:hint="eastAsia" w:ascii="宋体" w:hAnsi="宋体" w:eastAsia="宋体" w:cs="宋体"/>
                <w:color w:val="auto"/>
                <w:sz w:val="24"/>
                <w:szCs w:val="24"/>
                <w:highlight w:val="none"/>
                <w:lang w:eastAsia="zh-CN"/>
              </w:rPr>
              <w:t xml:space="preserve">业绩的，每有</w:t>
            </w:r>
            <w:r>
              <w:rPr>
                <w:rFonts w:hint="eastAsia" w:ascii="宋体" w:hAnsi="宋体" w:cs="宋体"/>
                <w:color w:val="auto"/>
                <w:sz w:val="24"/>
                <w:szCs w:val="24"/>
                <w:highlight w:val="none"/>
                <w:lang w:eastAsia="zh-CN"/>
              </w:rPr>
              <w:t xml:space="preserve">一个得1分，最高得2分。</w:t>
            </w:r>
            <w:r/>
          </w:p>
          <w:p>
            <w:pPr>
              <w:spacing w:after="0" w:line="240" w:lineRule="auto"/>
              <w:rPr>
                <w:rFonts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eastAsia="zh-CN"/>
              </w:rPr>
              <w:t xml:space="preserve">注：投标文件中同时提供中标（成交）通知书原件扫描件、合同原件扫描件、发票（或对应银行收款进账凭证）原件扫描件并加盖电子签章，业绩合同中主要内容、总金额等清晰可见，缺一或提供内容模糊不清的不得分。</w:t>
            </w:r>
            <w:r/>
          </w:p>
        </w:tc>
      </w:tr>
      <w:tr>
        <w:trPr>
          <w:jc w:val="center"/>
          <w:trHeight w:val="1580"/>
        </w:trPr>
        <w:tc>
          <w:tcPr>
            <w:tcW w:w="1256" w:type="dxa"/>
            <w:vAlign w:val="center"/>
            <w:vMerge w:val="continue"/>
            <w:textDirection w:val="lrTb"/>
            <w:noWrap w:val="false"/>
          </w:tcPr>
          <w:p>
            <w:pPr>
              <w:numPr>
                <w:ilvl w:val="255"/>
                <w:numId w:val="0"/>
              </w:numPr>
              <w:jc w:val="center"/>
              <w:spacing w:after="0" w:line="24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1413" w:type="dxa"/>
            <w:vAlign w:val="center"/>
            <w:textDirection w:val="lrTb"/>
            <w:noWrap w:val="false"/>
          </w:tcPr>
          <w:p>
            <w:pPr>
              <w:numPr>
                <w:ilvl w:val="255"/>
                <w:numId w:val="0"/>
              </w:num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p>
          <w:p>
            <w:pPr>
              <w:numPr>
                <w:ilvl w:val="255"/>
                <w:numId w:val="0"/>
              </w:numPr>
              <w:jc w:val="cente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评价</w:t>
            </w:r>
            <w:r/>
          </w:p>
          <w:p>
            <w:pPr>
              <w:numPr>
                <w:ilvl w:val="255"/>
                <w:numId w:val="0"/>
              </w:numPr>
              <w:jc w:val="cente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tcW w:w="7448" w:type="dxa"/>
            <w:vAlign w:val="center"/>
            <w:textDirection w:val="lrTb"/>
            <w:noWrap w:val="false"/>
          </w:tcPr>
          <w:p>
            <w:pPr>
              <w:numPr>
                <w:ilvl w:val="0"/>
                <w:numId w:val="0"/>
              </w:num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投标人通过ISO9001质量管理体系认证、ISO14001环境管理体系认证、ISO45001职业健康安全管理体系认证、</w:t>
            </w:r>
            <w:r>
              <w:rPr>
                <w:rFonts w:hint="eastAsia" w:ascii="宋体" w:hAnsi="宋体" w:eastAsia="宋体" w:cs="宋体"/>
                <w:color w:val="auto"/>
                <w:sz w:val="24"/>
                <w:szCs w:val="20"/>
                <w:highlight w:val="none"/>
              </w:rPr>
              <w:t xml:space="preserve">ISO27001信息安全管理体系标准认证</w:t>
            </w:r>
            <w:r>
              <w:rPr>
                <w:rFonts w:hint="eastAsia" w:ascii="宋体" w:hAnsi="宋体" w:eastAsia="宋体" w:cs="宋体"/>
                <w:color w:val="auto"/>
                <w:sz w:val="24"/>
                <w:szCs w:val="24"/>
                <w:highlight w:val="none"/>
                <w:lang w:eastAsia="zh-CN"/>
              </w:rPr>
              <w:t xml:space="preserve">的每提供一个得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分，本项最多</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spacing w:after="0" w:line="240" w:lineRule="auto"/>
              <w:rPr>
                <w:rFonts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eastAsia="zh-CN"/>
              </w:rPr>
              <w:t xml:space="preserve">注：投标文件中证书原件扫描件并加盖电子签章</w:t>
            </w:r>
            <w:r>
              <w:rPr>
                <w:rFonts w:hint="eastAsia" w:ascii="宋体" w:hAnsi="宋体" w:eastAsia="宋体" w:cs="宋体"/>
                <w:b/>
                <w:bCs/>
                <w:color w:val="auto"/>
                <w:sz w:val="24"/>
                <w:szCs w:val="24"/>
                <w:highlight w:val="none"/>
              </w:rPr>
              <w:t xml:space="preserve">及国家市场监督管理总局全国认证认可信息公共服务平台(网址: http://cx.cnca.cn/CertECloud/result/skipResultList)查询证书状态为有效的截图证明材料</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不提供或提供不全的不得分</w:t>
            </w:r>
            <w:r>
              <w:rPr>
                <w:rFonts w:hint="eastAsia" w:ascii="宋体" w:hAnsi="宋体" w:eastAsia="宋体" w:cs="宋体"/>
                <w:b/>
                <w:bCs/>
                <w:color w:val="auto"/>
                <w:sz w:val="24"/>
                <w:szCs w:val="24"/>
                <w:highlight w:val="none"/>
                <w:lang w:eastAsia="zh-CN"/>
              </w:rPr>
              <w:t xml:space="preserve">。</w:t>
            </w:r>
            <w:r/>
          </w:p>
        </w:tc>
      </w:tr>
      <w:tr>
        <w:trPr>
          <w:jc w:val="center"/>
          <w:trHeight w:val="1580"/>
        </w:trPr>
        <w:tc>
          <w:tcPr>
            <w:tcW w:w="1256" w:type="dxa"/>
            <w:vAlign w:val="center"/>
            <w:vMerge w:val="continue"/>
            <w:textDirection w:val="lrTb"/>
            <w:noWrap w:val="false"/>
          </w:tcPr>
          <w:p>
            <w:pPr>
              <w:numPr>
                <w:ilvl w:val="255"/>
                <w:numId w:val="0"/>
              </w:numPr>
              <w:jc w:val="center"/>
              <w:spacing w:after="0" w:line="24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1413" w:type="dxa"/>
            <w:vAlign w:val="center"/>
            <w:textDirection w:val="lrTb"/>
            <w:noWrap w:val="false"/>
          </w:tcPr>
          <w:p>
            <w:pPr>
              <w:numPr>
                <w:ilvl w:val="255"/>
                <w:numId w:val="0"/>
              </w:num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人员配备（8分）</w:t>
            </w:r>
            <w:r/>
          </w:p>
        </w:tc>
        <w:tc>
          <w:tcPr>
            <w:tcW w:w="7448" w:type="dxa"/>
            <w:vAlign w:val="center"/>
            <w:textDirection w:val="lrTb"/>
            <w:noWrap w:val="false"/>
          </w:tcPr>
          <w:p>
            <w:pPr>
              <w:pStyle w:val="775"/>
              <w:numPr>
                <w:ilvl w:val="0"/>
                <w:numId w:val="4"/>
              </w:numPr>
              <w:jc w:val="both"/>
              <w:spacing w:before="0" w:beforeAutospacing="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b w:val="0"/>
                <w:bCs w:val="0"/>
                <w:color w:val="auto"/>
                <w:sz w:val="24"/>
                <w:szCs w:val="24"/>
                <w:highlight w:val="none"/>
                <w:lang w:val="en-US" w:eastAsia="zh-CN"/>
              </w:rPr>
              <w:t xml:space="preserve">项目团队人员</w:t>
            </w:r>
            <w:r>
              <w:rPr>
                <w:rFonts w:hint="eastAsia" w:cs="宋体"/>
                <w:b w:val="0"/>
                <w:bCs w:val="0"/>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具有工信部和人社部颁发</w:t>
            </w:r>
            <w:r>
              <w:rPr>
                <w:rFonts w:hint="eastAsia" w:cs="宋体"/>
                <w:color w:val="auto"/>
                <w:sz w:val="24"/>
                <w:szCs w:val="24"/>
                <w:highlight w:val="none"/>
                <w:lang w:val="en-US" w:eastAsia="zh-CN"/>
              </w:rPr>
              <w:t xml:space="preserve">的系统集成项目管理工程师证书的，得2分；</w:t>
            </w:r>
            <w:r/>
          </w:p>
          <w:p>
            <w:pPr>
              <w:pStyle w:val="775"/>
              <w:numPr>
                <w:ilvl w:val="0"/>
                <w:numId w:val="4"/>
              </w:numPr>
              <w:jc w:val="both"/>
              <w:spacing w:before="0" w:beforeAutospacing="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b w:val="0"/>
                <w:bCs w:val="0"/>
                <w:color w:val="auto"/>
                <w:sz w:val="24"/>
                <w:szCs w:val="24"/>
                <w:highlight w:val="none"/>
                <w:lang w:val="en-US" w:eastAsia="zh-CN"/>
              </w:rPr>
              <w:t xml:space="preserve">项目团队人员</w:t>
            </w:r>
            <w:r>
              <w:rPr>
                <w:rFonts w:hint="eastAsia" w:cs="宋体"/>
                <w:b w:val="0"/>
                <w:bCs w:val="0"/>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具有工信部和人社部颁发</w:t>
            </w:r>
            <w:r>
              <w:rPr>
                <w:rFonts w:hint="eastAsia" w:cs="宋体"/>
                <w:color w:val="auto"/>
                <w:sz w:val="24"/>
                <w:szCs w:val="24"/>
                <w:highlight w:val="none"/>
                <w:lang w:val="en-US" w:eastAsia="zh-CN"/>
              </w:rPr>
              <w:t xml:space="preserve">的网络工程师证书的，得2分；</w:t>
            </w:r>
            <w:r/>
          </w:p>
          <w:p>
            <w:pPr>
              <w:pStyle w:val="775"/>
              <w:numPr>
                <w:ilvl w:val="0"/>
                <w:numId w:val="4"/>
              </w:numPr>
              <w:jc w:val="both"/>
              <w:spacing w:before="0" w:beforeAutospacing="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lang w:val="en-US" w:eastAsia="zh-CN"/>
              </w:rPr>
              <w:t xml:space="preserve">项目团队人员中</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中国信息安全测评中心</w:t>
            </w:r>
            <w:r>
              <w:rPr>
                <w:rFonts w:hint="eastAsia" w:ascii="宋体" w:hAnsi="宋体" w:eastAsia="宋体" w:cs="宋体"/>
                <w:color w:val="auto"/>
                <w:sz w:val="24"/>
                <w:szCs w:val="24"/>
                <w:highlight w:val="none"/>
              </w:rPr>
              <w:t xml:space="preserve">颁发</w:t>
            </w:r>
            <w:r>
              <w:rPr>
                <w:rFonts w:hint="eastAsia"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注册信息安全专业人员（CISP）证书</w:t>
            </w:r>
            <w:r>
              <w:rPr>
                <w:rFonts w:hint="eastAsia"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，得2分；</w:t>
            </w:r>
            <w:r/>
          </w:p>
          <w:p>
            <w:pPr>
              <w:pStyle w:val="775"/>
              <w:numPr>
                <w:ilvl w:val="0"/>
                <w:numId w:val="4"/>
              </w:numPr>
              <w:jc w:val="both"/>
              <w:spacing w:before="0" w:beforeAutospacing="0" w:afterAutospacing="0"/>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b w:val="0"/>
                <w:bCs w:val="0"/>
                <w:color w:val="auto"/>
                <w:sz w:val="24"/>
                <w:szCs w:val="24"/>
                <w:highlight w:val="none"/>
                <w:lang w:val="en-US" w:eastAsia="zh-CN"/>
              </w:rPr>
              <w:t xml:space="preserve">项目团队人员</w:t>
            </w:r>
            <w:r>
              <w:rPr>
                <w:rFonts w:hint="eastAsia" w:cs="宋体"/>
                <w:b w:val="0"/>
                <w:bCs w:val="0"/>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具有国家应急管理部颁发的</w:t>
            </w:r>
            <w:r>
              <w:rPr>
                <w:rFonts w:hint="eastAsia" w:cs="宋体"/>
                <w:color w:val="auto"/>
                <w:sz w:val="24"/>
                <w:szCs w:val="24"/>
                <w:highlight w:val="none"/>
                <w:lang w:val="en-US" w:eastAsia="zh-CN"/>
              </w:rPr>
              <w:t xml:space="preserve">低压电工证的，得2分。</w:t>
            </w:r>
            <w:r/>
          </w:p>
          <w:p>
            <w:pPr>
              <w:pStyle w:val="775"/>
              <w:jc w:val="both"/>
              <w:spacing w:before="0" w:beforeAutospacing="0" w:afterAutospacing="0"/>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pPr>
            <w:r>
              <w:rPr>
                <w:rFonts w:hint="eastAsia" w:cs="宋体"/>
                <w:b/>
                <w:bCs/>
                <w:color w:val="auto"/>
                <w:sz w:val="24"/>
                <w:szCs w:val="24"/>
                <w:highlight w:val="none"/>
                <w:lang w:val="en-US" w:eastAsia="zh-CN"/>
              </w:rPr>
              <w:t xml:space="preserve">注：1人多种证书按1种证书计算，投标文件中提供上述人员相关证书的扫描件及投标人本项目开标时间前6个月（不含开标当月）任一个月为上述人员缴纳社保的证明材料的扫描件。</w:t>
            </w:r>
            <w:r/>
          </w:p>
        </w:tc>
      </w:tr>
      <w:tr>
        <w:trPr>
          <w:jc w:val="center"/>
          <w:trHeight w:val="446"/>
        </w:trPr>
        <w:tc>
          <w:tcPr>
            <w:tcW w:w="1256" w:type="dxa"/>
            <w:vAlign w:val="center"/>
            <w:vMerge w:val="restart"/>
            <w:textDirection w:val="lrTb"/>
            <w:noWrap w:val="false"/>
          </w:tcPr>
          <w:p>
            <w:pPr>
              <w:numPr>
                <w:ilvl w:val="255"/>
                <w:numId w:val="0"/>
              </w:num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技术部分（</w:t>
            </w:r>
            <w:r>
              <w:rPr>
                <w:rFonts w:hint="eastAsia" w:ascii="宋体" w:hAnsi="宋体" w:cs="宋体"/>
                <w:color w:val="auto"/>
                <w:sz w:val="24"/>
                <w:szCs w:val="24"/>
                <w:highlight w:val="none"/>
                <w:lang w:val="en-US" w:eastAsia="zh-CN"/>
              </w:rPr>
              <w:t xml:space="preserve">61</w:t>
            </w:r>
            <w:r>
              <w:rPr>
                <w:rFonts w:hint="eastAsia" w:ascii="宋体" w:hAnsi="宋体" w:eastAsia="宋体" w:cs="宋体"/>
                <w:color w:val="auto"/>
                <w:sz w:val="24"/>
                <w:szCs w:val="24"/>
                <w:highlight w:val="none"/>
                <w:lang w:val="en-US" w:eastAsia="zh-CN"/>
              </w:rPr>
              <w:t xml:space="preserve">）</w:t>
            </w:r>
            <w:r/>
          </w:p>
        </w:tc>
        <w:tc>
          <w:tcPr>
            <w:tcW w:w="1413" w:type="dxa"/>
            <w:vAlign w:val="center"/>
            <w:textDirection w:val="lrTb"/>
            <w:noWrap w:val="false"/>
          </w:tcPr>
          <w:p>
            <w:pPr>
              <w:pStyle w:val="775"/>
              <w:jc w:val="center"/>
              <w:spacing w:line="240" w:lineRule="auto"/>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lang w:eastAsia="zh-CN"/>
              </w:rPr>
              <w:t xml:space="preserve">项目实施方案</w:t>
            </w:r>
            <w:r/>
          </w:p>
          <w:p>
            <w:pPr>
              <w:pStyle w:val="775"/>
              <w:jc w:val="center"/>
              <w:rPr>
                <w:rFonts w:hint="eastAsia" w:ascii="宋体" w:hAnsi="宋体" w:eastAsia="宋体" w:cs="宋体"/>
                <w:color w:val="auto"/>
                <w:highlight w:val="none"/>
                <w:lang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lang w:eastAsia="zh-CN"/>
              </w:rPr>
              <w:t xml:space="preserve">（</w:t>
            </w:r>
            <w:r>
              <w:rPr>
                <w:rFonts w:hint="eastAsia" w:cs="宋体"/>
                <w:color w:val="auto"/>
                <w:sz w:val="24"/>
                <w:szCs w:val="24"/>
                <w:highlight w:val="none"/>
                <w:lang w:val="en-US" w:eastAsia="zh-CN"/>
              </w:rPr>
              <w:t xml:space="preserve"> 6 </w:t>
            </w:r>
            <w:r>
              <w:rPr>
                <w:rFonts w:hint="eastAsia" w:ascii="宋体" w:hAnsi="宋体" w:eastAsia="宋体" w:cs="宋体"/>
                <w:color w:val="auto"/>
                <w:sz w:val="24"/>
                <w:szCs w:val="24"/>
                <w:highlight w:val="none"/>
                <w:lang w:eastAsia="zh-CN"/>
              </w:rPr>
              <w:t xml:space="preserve">分）</w:t>
            </w:r>
            <w:r/>
          </w:p>
        </w:tc>
        <w:tc>
          <w:tcPr>
            <w:tcW w:w="7448" w:type="dxa"/>
            <w:vAlign w:val="center"/>
            <w:textDirection w:val="lrTb"/>
            <w:noWrap w:val="false"/>
          </w:tcPr>
          <w:p>
            <w:pPr>
              <w:pStyle w:val="775"/>
              <w:jc w:val="both"/>
              <w:spacing w:before="0" w:beforeAutospacing="0" w:afterAutospacing="0"/>
              <w:widowControl w:val="off"/>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lang w:eastAsia="zh-CN"/>
              </w:rPr>
              <w:t xml:space="preserve">根据提供详细的项目实施方案，包括但不限于详细的日常维护，系统维护，巡视计划，巡查记录表管理方案等，对内容的全面性、可行性、针对性进行评价。</w:t>
            </w:r>
            <w:r/>
          </w:p>
          <w:p>
            <w:pPr>
              <w:pStyle w:val="775"/>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全面性(</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分)：全面具体详实得</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分；全面性一般得</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分，不全面得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p>
            <w:pPr>
              <w:pStyle w:val="775"/>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针对性(</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分)：针对性强得</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分；针对性一般得</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分；针对性不强得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p>
            <w:pPr>
              <w:pStyle w:val="775"/>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分；可行性一般得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p>
            <w:pPr>
              <w:pStyle w:val="775"/>
              <w:jc w:val="both"/>
              <w:spacing w:before="0" w:beforeAutospacing="0" w:afterAutospacing="0"/>
              <w:widowControl w:val="off"/>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lang w:eastAsia="zh-CN"/>
              </w:rPr>
              <w:t xml:space="preserve">未提供的得0分。本项最高得</w:t>
            </w: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分，最低得0分。</w:t>
            </w:r>
            <w:r/>
          </w:p>
        </w:tc>
      </w:tr>
      <w:tr>
        <w:trPr>
          <w:jc w:val="center"/>
          <w:trHeight w:val="2961"/>
        </w:trPr>
        <w:tc>
          <w:tcPr>
            <w:tcW w:w="1256" w:type="dxa"/>
            <w:vAlign w:val="center"/>
            <w:vMerge w:val="continue"/>
            <w:textDirection w:val="lrTb"/>
            <w:noWrap w:val="false"/>
          </w:tcPr>
          <w:p>
            <w:pPr>
              <w:numPr>
                <w:ilvl w:val="255"/>
                <w:numId w:val="0"/>
              </w:numPr>
              <w:jc w:val="center"/>
              <w:spacing w:after="0" w:line="24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1413" w:type="dxa"/>
            <w:vAlign w:val="center"/>
            <w:textDirection w:val="lrTb"/>
            <w:noWrap w:val="false"/>
          </w:tcPr>
          <w:p>
            <w:pPr>
              <w:pStyle w:val="775"/>
              <w:jc w:val="center"/>
              <w:widowControl w:val="off"/>
              <w:rPr>
                <w:rFonts w:hint="eastAsia" w:ascii="宋体" w:hAnsi="宋体" w:eastAsia="宋体" w:cs="宋体"/>
                <w:i w:val="0"/>
                <w:iCs w:val="0"/>
                <w:color w:val="auto"/>
                <w:sz w:val="24"/>
                <w:szCs w:val="24"/>
                <w:highlight w:val="none"/>
                <w:u w:val="none"/>
                <w:lang w:val="en-US" w:eastAsia="zh-CN" w:bidi="ar"/>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i w:val="0"/>
                <w:iCs w:val="0"/>
                <w:color w:val="auto"/>
                <w:sz w:val="24"/>
                <w:szCs w:val="24"/>
                <w:highlight w:val="none"/>
                <w:u w:val="none"/>
                <w:lang w:val="en-US" w:eastAsia="zh-CN" w:bidi="ar"/>
              </w:rPr>
              <w:t xml:space="preserve">机房硬件及网络日常巡检与维护服务方案</w:t>
            </w:r>
            <w:r/>
          </w:p>
          <w:p>
            <w:pPr>
              <w:pStyle w:val="775"/>
              <w:jc w:val="center"/>
              <w:widowControl w:val="off"/>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i w:val="0"/>
                <w:iCs w:val="0"/>
                <w:color w:val="auto"/>
                <w:sz w:val="24"/>
                <w:szCs w:val="24"/>
                <w:highlight w:val="none"/>
                <w:u w:val="none"/>
                <w:lang w:val="en-US" w:eastAsia="zh-CN" w:bidi="ar"/>
              </w:rPr>
              <w:t xml:space="preserve">（</w:t>
            </w:r>
            <w:r>
              <w:rPr>
                <w:rFonts w:hint="eastAsia" w:cs="宋体"/>
                <w:i w:val="0"/>
                <w:iCs w:val="0"/>
                <w:color w:val="auto"/>
                <w:sz w:val="24"/>
                <w:szCs w:val="24"/>
                <w:highlight w:val="none"/>
                <w:u w:val="none"/>
                <w:lang w:val="en-US" w:eastAsia="zh-CN" w:bidi="ar"/>
              </w:rPr>
              <w:t xml:space="preserve">14</w:t>
            </w:r>
            <w:r>
              <w:rPr>
                <w:rFonts w:hint="eastAsia" w:ascii="宋体" w:hAnsi="宋体" w:eastAsia="宋体" w:cs="宋体"/>
                <w:i w:val="0"/>
                <w:iCs w:val="0"/>
                <w:color w:val="auto"/>
                <w:sz w:val="24"/>
                <w:szCs w:val="24"/>
                <w:highlight w:val="none"/>
                <w:u w:val="none"/>
                <w:lang w:val="en-US" w:eastAsia="zh-CN" w:bidi="ar"/>
              </w:rPr>
              <w:t xml:space="preserve">分）</w:t>
            </w:r>
            <w:r/>
          </w:p>
        </w:tc>
        <w:tc>
          <w:tcPr>
            <w:tcW w:w="7448" w:type="dxa"/>
            <w:vAlign w:val="center"/>
            <w:textDirection w:val="lrTb"/>
            <w:noWrap w:val="false"/>
          </w:tcPr>
          <w:p>
            <w:pPr>
              <w:pStyle w:val="775"/>
              <w:jc w:val="both"/>
              <w:spacing w:before="0" w:beforeAutospacing="0" w:afterAutospacing="0"/>
              <w:widowControl w:val="off"/>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lang w:eastAsia="zh-CN"/>
              </w:rPr>
              <w:t xml:space="preserve">根据提供的</w:t>
            </w:r>
            <w:r>
              <w:rPr>
                <w:rFonts w:hint="eastAsia" w:ascii="宋体" w:hAnsi="宋体" w:eastAsia="宋体" w:cs="宋体"/>
                <w:i w:val="0"/>
                <w:iCs w:val="0"/>
                <w:color w:val="auto"/>
                <w:sz w:val="24"/>
                <w:szCs w:val="24"/>
                <w:highlight w:val="none"/>
                <w:u w:val="none"/>
                <w:lang w:val="en-US" w:eastAsia="zh-CN" w:bidi="ar"/>
              </w:rPr>
              <w:t xml:space="preserve">机房硬件及网络日常巡检与维护服务方案</w:t>
            </w:r>
            <w:r>
              <w:rPr>
                <w:rFonts w:hint="eastAsia" w:ascii="宋体" w:hAnsi="宋体" w:eastAsia="宋体" w:cs="宋体"/>
                <w:color w:val="auto"/>
                <w:sz w:val="24"/>
                <w:szCs w:val="24"/>
                <w:highlight w:val="none"/>
                <w:lang w:eastAsia="zh-CN"/>
              </w:rPr>
              <w:t xml:space="preserve">，对内容的全面性、可行性、针对性进行评价。</w:t>
            </w:r>
            <w:r/>
          </w:p>
          <w:p>
            <w:pPr>
              <w:pStyle w:val="775"/>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全面性(</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分)：全面具体详实得</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分；较全面得</w:t>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分；全面性一般得</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分，不全面得</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775"/>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针对性(</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分)：针对性强得</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分；针对性较强得</w:t>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分；针对性一般得</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分；针对性不强得</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775"/>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可行性（</w:t>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分)：符合实际切实可行得</w:t>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切实可行得</w:t>
            </w:r>
            <w:r>
              <w:rPr>
                <w:rFonts w:hint="eastAsia" w:cs="宋体"/>
                <w:color w:val="auto"/>
                <w:sz w:val="24"/>
                <w:szCs w:val="24"/>
                <w:highlight w:val="none"/>
                <w:lang w:val="en-US" w:eastAsia="zh-CN"/>
              </w:rPr>
              <w:t xml:space="preserve">3分，</w:t>
            </w:r>
            <w:r>
              <w:rPr>
                <w:rFonts w:hint="eastAsia" w:ascii="宋体" w:hAnsi="宋体" w:eastAsia="宋体" w:cs="宋体"/>
                <w:color w:val="auto"/>
                <w:sz w:val="24"/>
                <w:szCs w:val="24"/>
                <w:highlight w:val="none"/>
              </w:rPr>
              <w:t xml:space="preserve">可行性一般得</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775"/>
              <w:jc w:val="both"/>
              <w:spacing w:before="0" w:beforeAutospacing="0" w:afterAutospacing="0"/>
              <w:widowControl w:val="off"/>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lang w:eastAsia="zh-CN"/>
              </w:rPr>
              <w:t xml:space="preserve">未提供的得0分。本项最高得</w:t>
            </w:r>
            <w:r>
              <w:rPr>
                <w:rFonts w:hint="eastAsia"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分，最低得0分。</w:t>
            </w:r>
            <w:r/>
          </w:p>
        </w:tc>
      </w:tr>
      <w:tr>
        <w:trPr>
          <w:jc w:val="center"/>
          <w:trHeight w:val="433"/>
        </w:trPr>
        <w:tc>
          <w:tcPr>
            <w:tcW w:w="1256" w:type="dxa"/>
            <w:vAlign w:val="center"/>
            <w:vMerge w:val="continue"/>
            <w:textDirection w:val="lrTb"/>
            <w:noWrap w:val="false"/>
          </w:tcPr>
          <w:p>
            <w:pPr>
              <w:numPr>
                <w:ilvl w:val="255"/>
                <w:numId w:val="0"/>
              </w:numPr>
              <w:jc w:val="center"/>
              <w:spacing w:after="0" w:line="24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shd w:val="clear" w:color="auto" w:fill="auto"/>
            <w:tcW w:w="1413" w:type="dxa"/>
            <w:vAlign w:val="center"/>
            <w:textDirection w:val="lrTb"/>
            <w:noWrap w:val="false"/>
          </w:tcPr>
          <w:p>
            <w:pPr>
              <w:pStyle w:val="775"/>
              <w:jc w:val="center"/>
              <w:widowControl w:val="off"/>
              <w:rPr>
                <w:rFonts w:hint="eastAsia" w:ascii="宋体" w:hAnsi="宋体" w:eastAsia="宋体" w:cs="宋体"/>
                <w:i w:val="0"/>
                <w:iCs w:val="0"/>
                <w:color w:val="auto"/>
                <w:sz w:val="24"/>
                <w:szCs w:val="24"/>
                <w:highlight w:val="none"/>
                <w:u w:val="none"/>
                <w:lang w:val="en-US" w:eastAsia="zh-CN" w:bidi="ar"/>
              </w:rPr>
              <w:pBdr>
                <w:top w:val="none" w:color="auto" w:sz="0" w:space="0"/>
                <w:left w:val="none" w:color="auto" w:sz="0" w:space="0"/>
                <w:bottom w:val="none" w:color="auto" w:sz="0" w:space="0"/>
                <w:right w:val="none" w:color="auto" w:sz="0" w:space="0"/>
                <w:between w:val="none" w:color="auto" w:sz="0" w:space="0"/>
              </w:pBdr>
            </w:pPr>
            <w:r>
              <w:rPr>
                <w:rFonts w:hint="eastAsia" w:cs="宋体"/>
                <w:i w:val="0"/>
                <w:iCs w:val="0"/>
                <w:color w:val="auto"/>
                <w:sz w:val="24"/>
                <w:szCs w:val="24"/>
                <w:highlight w:val="none"/>
                <w:u w:val="none"/>
                <w:lang w:val="en-US" w:eastAsia="zh-CN" w:bidi="ar"/>
              </w:rPr>
              <w:t xml:space="preserve">除机房及网络以外的设备</w:t>
            </w:r>
            <w:r>
              <w:rPr>
                <w:rFonts w:hint="eastAsia" w:ascii="宋体" w:hAnsi="宋体" w:eastAsia="宋体" w:cs="宋体"/>
                <w:i w:val="0"/>
                <w:iCs w:val="0"/>
                <w:color w:val="auto"/>
                <w:sz w:val="24"/>
                <w:szCs w:val="24"/>
                <w:highlight w:val="none"/>
                <w:u w:val="none"/>
                <w:lang w:val="en-US" w:eastAsia="zh-CN" w:bidi="ar"/>
              </w:rPr>
              <w:t xml:space="preserve">日常巡检与维护服务方案</w:t>
            </w:r>
            <w:r/>
          </w:p>
          <w:p>
            <w:pPr>
              <w:pStyle w:val="775"/>
              <w:jc w:val="center"/>
              <w:widowControl w:val="off"/>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i w:val="0"/>
                <w:iCs w:val="0"/>
                <w:color w:val="auto"/>
                <w:sz w:val="24"/>
                <w:szCs w:val="24"/>
                <w:highlight w:val="none"/>
                <w:u w:val="none"/>
                <w:lang w:val="en-US" w:eastAsia="zh-CN" w:bidi="ar"/>
              </w:rPr>
              <w:t xml:space="preserve">（</w:t>
            </w:r>
            <w:r>
              <w:rPr>
                <w:rFonts w:hint="eastAsia" w:cs="宋体"/>
                <w:i w:val="0"/>
                <w:iCs w:val="0"/>
                <w:color w:val="auto"/>
                <w:sz w:val="24"/>
                <w:szCs w:val="24"/>
                <w:highlight w:val="none"/>
                <w:u w:val="none"/>
                <w:lang w:val="en-US" w:eastAsia="zh-CN" w:bidi="ar"/>
              </w:rPr>
              <w:t xml:space="preserve">14</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W w:w="7448" w:type="dxa"/>
            <w:vAlign w:val="center"/>
            <w:textDirection w:val="lrTb"/>
            <w:noWrap w:val="false"/>
          </w:tcPr>
          <w:p>
            <w:pPr>
              <w:pStyle w:val="775"/>
              <w:jc w:val="both"/>
              <w:spacing w:before="0" w:beforeAutospacing="0" w:afterAutospacing="0"/>
              <w:widowControl w:val="off"/>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pPr>
            <w:r>
              <w:rPr>
                <w:rFonts w:hint="eastAsia" w:cs="宋体"/>
                <w:i w:val="0"/>
                <w:iCs w:val="0"/>
                <w:color w:val="auto"/>
                <w:sz w:val="24"/>
                <w:szCs w:val="24"/>
                <w:highlight w:val="none"/>
                <w:u w:val="none"/>
                <w:lang w:val="en-US" w:eastAsia="zh-CN" w:bidi="ar"/>
              </w:rPr>
              <w:t xml:space="preserve">除机房及网络以外的设备（</w:t>
            </w:r>
            <w:r>
              <w:rPr>
                <w:rFonts w:hint="eastAsia" w:cs="宋体"/>
                <w:color w:val="auto"/>
                <w:sz w:val="24"/>
                <w:szCs w:val="24"/>
                <w:highlight w:val="none"/>
                <w:lang w:val="en-US" w:eastAsia="zh-CN"/>
              </w:rPr>
              <w:t xml:space="preserve">包含支队与车管所办公考试区域内的弱电设备、通信指挥车、警务通软硬件、</w:t>
            </w:r>
            <w:r>
              <w:rPr>
                <w:rFonts w:hint="eastAsia" w:ascii="宋体" w:hAnsi="宋体" w:eastAsia="宋体" w:cs="宋体"/>
                <w:color w:val="auto"/>
                <w:sz w:val="24"/>
                <w:szCs w:val="24"/>
                <w:highlight w:val="none"/>
                <w:lang w:eastAsia="zh-CN"/>
              </w:rPr>
              <w:t xml:space="preserve">视频会议硬件</w:t>
            </w:r>
            <w:r>
              <w:rPr>
                <w:rFonts w:hint="eastAsia" w:cs="宋体"/>
                <w:color w:val="auto"/>
                <w:sz w:val="24"/>
                <w:szCs w:val="24"/>
                <w:highlight w:val="none"/>
                <w:lang w:val="en-US" w:eastAsia="zh-CN"/>
              </w:rPr>
              <w:t xml:space="preserve">等</w:t>
            </w:r>
            <w:r>
              <w:rPr>
                <w:rFonts w:hint="eastAsia" w:cs="宋体"/>
                <w:i w:val="0"/>
                <w:iCs w:val="0"/>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lang w:eastAsia="zh-CN"/>
              </w:rPr>
              <w:t xml:space="preserve">日常巡检与维护服务方案，对内容的全面性、可行性、针对性进行评价。</w:t>
            </w:r>
            <w:r/>
          </w:p>
          <w:p>
            <w:pPr>
              <w:pStyle w:val="775"/>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全面性(</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分)：全面具体详实得</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分；较全面得</w:t>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分；全面性一般得</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分，不全面得</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775"/>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针对性(</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分)：针对性强得</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分；针对性较强得</w:t>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分；针对性一般得</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分；针对性不强得</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775"/>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可行性（</w:t>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分)：符合实际切实可行得</w:t>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切实可行得</w:t>
            </w:r>
            <w:r>
              <w:rPr>
                <w:rFonts w:hint="eastAsia" w:cs="宋体"/>
                <w:color w:val="auto"/>
                <w:sz w:val="24"/>
                <w:szCs w:val="24"/>
                <w:highlight w:val="none"/>
                <w:lang w:val="en-US" w:eastAsia="zh-CN"/>
              </w:rPr>
              <w:t xml:space="preserve">3分，</w:t>
            </w:r>
            <w:r>
              <w:rPr>
                <w:rFonts w:hint="eastAsia" w:ascii="宋体" w:hAnsi="宋体" w:eastAsia="宋体" w:cs="宋体"/>
                <w:color w:val="auto"/>
                <w:sz w:val="24"/>
                <w:szCs w:val="24"/>
                <w:highlight w:val="none"/>
              </w:rPr>
              <w:t xml:space="preserve">可行性一般得</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775"/>
              <w:jc w:val="both"/>
              <w:spacing w:before="0" w:beforeAutospacing="0" w:afterAutospacing="0"/>
              <w:widowControl w:val="off"/>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lang w:eastAsia="zh-CN"/>
              </w:rPr>
              <w:t xml:space="preserve">未提供的得0分。本项最高得</w:t>
            </w:r>
            <w:r>
              <w:rPr>
                <w:rFonts w:hint="eastAsia"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分，最低得0分。</w:t>
            </w:r>
            <w:r/>
          </w:p>
        </w:tc>
      </w:tr>
      <w:tr>
        <w:trPr>
          <w:jc w:val="center"/>
          <w:trHeight w:val="332"/>
        </w:trPr>
        <w:tc>
          <w:tcPr>
            <w:tcW w:w="1256" w:type="dxa"/>
            <w:vAlign w:val="center"/>
            <w:vMerge w:val="continue"/>
            <w:textDirection w:val="lrTb"/>
            <w:noWrap w:val="false"/>
          </w:tcPr>
          <w:p>
            <w:pPr>
              <w:numPr>
                <w:ilvl w:val="255"/>
                <w:numId w:val="0"/>
              </w:numPr>
              <w:jc w:val="center"/>
              <w:spacing w:after="0" w:line="24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1413" w:type="dxa"/>
            <w:vAlign w:val="center"/>
            <w:textDirection w:val="lrTb"/>
            <w:noWrap w:val="false"/>
          </w:tcPr>
          <w:p>
            <w:pPr>
              <w:pStyle w:val="775"/>
              <w:jc w:val="center"/>
              <w:widowControl w:val="off"/>
              <w:rPr>
                <w:rFonts w:hint="eastAsia" w:ascii="宋体" w:hAnsi="宋体" w:eastAsia="宋体" w:cs="宋体"/>
                <w:i w:val="0"/>
                <w:iCs w:val="0"/>
                <w:color w:val="auto"/>
                <w:sz w:val="24"/>
                <w:szCs w:val="24"/>
                <w:highlight w:val="none"/>
                <w:u w:val="none"/>
                <w:lang w:val="en-US" w:eastAsia="zh-CN" w:bidi="ar"/>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i w:val="0"/>
                <w:iCs w:val="0"/>
                <w:color w:val="auto"/>
                <w:sz w:val="24"/>
                <w:szCs w:val="24"/>
                <w:highlight w:val="none"/>
                <w:u w:val="none"/>
                <w:lang w:val="en-US" w:eastAsia="zh-CN" w:bidi="ar"/>
              </w:rPr>
              <w:t xml:space="preserve">集成指挥平台硬件日常巡检与维护服务方案</w:t>
            </w:r>
            <w:r/>
          </w:p>
          <w:p>
            <w:pPr>
              <w:pStyle w:val="775"/>
              <w:jc w:val="center"/>
              <w:widowControl w:val="off"/>
              <w:rPr>
                <w:rFonts w:hint="eastAsia" w:ascii="宋体" w:hAnsi="宋体" w:eastAsia="宋体" w:cs="宋体"/>
                <w:i w:val="0"/>
                <w:iCs w:val="0"/>
                <w:color w:val="auto"/>
                <w:sz w:val="24"/>
                <w:szCs w:val="24"/>
                <w:highlight w:val="none"/>
                <w:u w:val="none"/>
                <w:lang w:val="en-US" w:eastAsia="zh-CN" w:bidi="ar"/>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i w:val="0"/>
                <w:iCs w:val="0"/>
                <w:color w:val="auto"/>
                <w:sz w:val="24"/>
                <w:szCs w:val="24"/>
                <w:highlight w:val="none"/>
                <w:u w:val="none"/>
                <w:lang w:val="en-US" w:eastAsia="zh-CN" w:bidi="ar"/>
              </w:rPr>
              <w:t xml:space="preserve">（12分）</w:t>
            </w:r>
            <w:r/>
          </w:p>
        </w:tc>
        <w:tc>
          <w:tcPr>
            <w:tcW w:w="7448" w:type="dxa"/>
            <w:vAlign w:val="center"/>
            <w:textDirection w:val="lrTb"/>
            <w:noWrap w:val="false"/>
          </w:tcPr>
          <w:p>
            <w:pPr>
              <w:pStyle w:val="775"/>
              <w:jc w:val="both"/>
              <w:spacing w:before="0" w:beforeAutospacing="0" w:afterAutospacing="0"/>
              <w:widowControl w:val="off"/>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lang w:eastAsia="zh-CN"/>
              </w:rPr>
              <w:t xml:space="preserve">根据提供的集成指挥平台硬件日常巡检与维护服务方案，对内容的全面性、可行性、针对性进行评价。</w:t>
            </w:r>
            <w:r/>
          </w:p>
          <w:p>
            <w:pPr>
              <w:pStyle w:val="775"/>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全面性(</w:t>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分；较全面得</w:t>
            </w: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分；全面性一般得</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分，不全面得</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775"/>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针对性(</w:t>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分)：针对性强得</w:t>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分；针对性较强得</w:t>
            </w: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分；针对性一般得</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分；针对性不强得</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775"/>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可行性（</w:t>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分)：符合实际切实可行得</w:t>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切实可行得</w:t>
            </w:r>
            <w:r>
              <w:rPr>
                <w:rFonts w:hint="eastAsia" w:cs="宋体"/>
                <w:color w:val="auto"/>
                <w:sz w:val="24"/>
                <w:szCs w:val="24"/>
                <w:highlight w:val="none"/>
                <w:lang w:val="en-US" w:eastAsia="zh-CN"/>
              </w:rPr>
              <w:t xml:space="preserve">3分，</w:t>
            </w:r>
            <w:r>
              <w:rPr>
                <w:rFonts w:hint="eastAsia" w:ascii="宋体" w:hAnsi="宋体" w:eastAsia="宋体" w:cs="宋体"/>
                <w:color w:val="auto"/>
                <w:sz w:val="24"/>
                <w:szCs w:val="24"/>
                <w:highlight w:val="none"/>
              </w:rPr>
              <w:t xml:space="preserve">可行性一般得</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775"/>
              <w:jc w:val="both"/>
              <w:spacing w:before="0" w:beforeAutospacing="0" w:afterAutospacing="0"/>
              <w:widowControl w:val="off"/>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lang w:eastAsia="zh-CN"/>
              </w:rPr>
              <w:t xml:space="preserve">未提供的得0分。本项最高得</w:t>
            </w:r>
            <w:r>
              <w:rPr>
                <w:rFonts w:hint="eastAsia"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分，最低得0分。</w:t>
            </w:r>
            <w:r/>
          </w:p>
        </w:tc>
      </w:tr>
      <w:tr>
        <w:trPr>
          <w:jc w:val="center"/>
          <w:trHeight w:val="358"/>
        </w:trPr>
        <w:tc>
          <w:tcPr>
            <w:tcW w:w="1256" w:type="dxa"/>
            <w:vAlign w:val="center"/>
            <w:vMerge w:val="continue"/>
            <w:textDirection w:val="lrTb"/>
            <w:noWrap w:val="false"/>
          </w:tcPr>
          <w:p>
            <w:pPr>
              <w:numPr>
                <w:ilvl w:val="255"/>
                <w:numId w:val="0"/>
              </w:numPr>
              <w:jc w:val="center"/>
              <w:spacing w:after="0" w:line="24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413" w:type="dxa"/>
            <w:vAlign w:val="center"/>
            <w:textDirection w:val="lrTb"/>
            <w:noWrap w:val="false"/>
          </w:tcPr>
          <w:p>
            <w:pPr>
              <w:pStyle w:val="775"/>
              <w:jc w:val="center"/>
              <w:widowControl w:val="off"/>
              <w:rPr>
                <w:rFonts w:hint="eastAsia" w:ascii="宋体" w:hAnsi="宋体" w:eastAsia="宋体" w:cs="宋体"/>
                <w:i w:val="0"/>
                <w:iCs w:val="0"/>
                <w:color w:val="auto"/>
                <w:sz w:val="24"/>
                <w:szCs w:val="24"/>
                <w:highlight w:val="none"/>
                <w:u w:val="none"/>
                <w:lang w:val="en-US" w:eastAsia="zh-CN" w:bidi="ar"/>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i w:val="0"/>
                <w:iCs w:val="0"/>
                <w:color w:val="auto"/>
                <w:sz w:val="24"/>
                <w:szCs w:val="24"/>
                <w:highlight w:val="none"/>
                <w:u w:val="none"/>
                <w:lang w:val="en-US" w:eastAsia="zh-CN" w:bidi="ar"/>
              </w:rPr>
              <w:t xml:space="preserve">应急处理与数据备份方案</w:t>
            </w:r>
            <w:r/>
          </w:p>
          <w:p>
            <w:pPr>
              <w:pStyle w:val="775"/>
              <w:jc w:val="center"/>
              <w:widowControl w:val="off"/>
              <w:rPr>
                <w:rFonts w:hint="eastAsia" w:ascii="宋体" w:hAnsi="宋体" w:eastAsia="宋体" w:cs="宋体"/>
                <w:i w:val="0"/>
                <w:iCs w:val="0"/>
                <w:color w:val="auto"/>
                <w:sz w:val="24"/>
                <w:szCs w:val="24"/>
                <w:highlight w:val="none"/>
                <w:u w:val="none"/>
                <w:lang w:val="en-US" w:eastAsia="zh-CN" w:bidi="ar"/>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i w:val="0"/>
                <w:iCs w:val="0"/>
                <w:color w:val="auto"/>
                <w:sz w:val="24"/>
                <w:szCs w:val="24"/>
                <w:highlight w:val="none"/>
                <w:u w:val="none"/>
                <w:lang w:val="en-US" w:eastAsia="zh-CN" w:bidi="ar"/>
              </w:rPr>
              <w:t xml:space="preserve">（7分）</w:t>
            </w:r>
            <w:r/>
          </w:p>
        </w:tc>
        <w:tc>
          <w:tcPr>
            <w:tcW w:w="7448" w:type="dxa"/>
            <w:vAlign w:val="center"/>
            <w:textDirection w:val="lrTb"/>
            <w:noWrap w:val="false"/>
          </w:tcPr>
          <w:p>
            <w:pPr>
              <w:pStyle w:val="775"/>
              <w:jc w:val="both"/>
              <w:spacing w:before="0" w:beforeAutospacing="0" w:afterAutospacing="0"/>
              <w:widowControl w:val="off"/>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lang w:eastAsia="zh-CN"/>
              </w:rPr>
              <w:t xml:space="preserve">根据提供的</w:t>
            </w:r>
            <w:r>
              <w:rPr>
                <w:rFonts w:hint="eastAsia" w:ascii="宋体" w:hAnsi="宋体" w:eastAsia="宋体" w:cs="宋体"/>
                <w:i w:val="0"/>
                <w:iCs w:val="0"/>
                <w:color w:val="auto"/>
                <w:sz w:val="24"/>
                <w:szCs w:val="24"/>
                <w:highlight w:val="none"/>
                <w:u w:val="none"/>
                <w:lang w:val="en-US" w:eastAsia="zh-CN" w:bidi="ar"/>
              </w:rPr>
              <w:t xml:space="preserve">应急处理</w:t>
            </w:r>
            <w:r>
              <w:rPr>
                <w:rFonts w:hint="eastAsia" w:cs="宋体"/>
                <w:i w:val="0"/>
                <w:iCs w:val="0"/>
                <w:color w:val="auto"/>
                <w:sz w:val="24"/>
                <w:szCs w:val="24"/>
                <w:highlight w:val="none"/>
                <w:u w:val="none"/>
                <w:lang w:val="en-US" w:eastAsia="zh-CN" w:bidi="ar"/>
              </w:rPr>
              <w:t xml:space="preserve">、重大故障应对</w:t>
            </w:r>
            <w:r>
              <w:rPr>
                <w:rFonts w:hint="eastAsia" w:ascii="宋体" w:hAnsi="宋体" w:eastAsia="宋体" w:cs="宋体"/>
                <w:i w:val="0"/>
                <w:iCs w:val="0"/>
                <w:color w:val="auto"/>
                <w:sz w:val="24"/>
                <w:szCs w:val="24"/>
                <w:highlight w:val="none"/>
                <w:u w:val="none"/>
                <w:lang w:val="en-US" w:eastAsia="zh-CN" w:bidi="ar"/>
              </w:rPr>
              <w:t xml:space="preserve">与数据备份方案</w:t>
            </w:r>
            <w:r>
              <w:rPr>
                <w:rFonts w:hint="eastAsia" w:ascii="宋体" w:hAnsi="宋体" w:eastAsia="宋体" w:cs="宋体"/>
                <w:color w:val="auto"/>
                <w:sz w:val="24"/>
                <w:szCs w:val="24"/>
                <w:highlight w:val="none"/>
                <w:lang w:eastAsia="zh-CN"/>
              </w:rPr>
              <w:t xml:space="preserve">，对内容的全面性、可行性、针对性进行评价。</w:t>
            </w:r>
            <w:r/>
          </w:p>
          <w:p>
            <w:pPr>
              <w:pStyle w:val="775"/>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全面性(</w:t>
            </w: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分)：全面具体详实得</w:t>
            </w: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分；全面性一般得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分，不全面得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p>
            <w:pPr>
              <w:pStyle w:val="775"/>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针对性(</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分)：针对性强得</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分；针对性一般得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分；针对性不强得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p>
            <w:pPr>
              <w:pStyle w:val="775"/>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分；可行性一般得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p>
            <w:pPr>
              <w:pStyle w:val="775"/>
              <w:jc w:val="both"/>
              <w:spacing w:before="0" w:beforeAutospacing="0" w:after="0" w:afterAutospacing="0"/>
              <w:widowControl w:val="off"/>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lang w:eastAsia="zh-CN"/>
              </w:rPr>
              <w:t xml:space="preserve">未提供的得0分。本项最高得</w:t>
            </w: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分，最低得0分。</w:t>
            </w:r>
            <w:r/>
          </w:p>
        </w:tc>
      </w:tr>
      <w:tr>
        <w:trPr>
          <w:jc w:val="center"/>
          <w:trHeight w:val="855"/>
        </w:trPr>
        <w:tc>
          <w:tcPr>
            <w:tcW w:w="1256" w:type="dxa"/>
            <w:vAlign w:val="center"/>
            <w:vMerge w:val="continue"/>
            <w:textDirection w:val="lrTb"/>
            <w:noWrap w:val="false"/>
          </w:tcPr>
          <w:p>
            <w:pPr>
              <w:numPr>
                <w:ilvl w:val="255"/>
                <w:numId w:val="0"/>
              </w:numPr>
              <w:jc w:val="center"/>
              <w:spacing w:after="0" w:line="24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1413" w:type="dxa"/>
            <w:vAlign w:val="center"/>
            <w:textDirection w:val="lrTb"/>
            <w:noWrap w:val="false"/>
          </w:tcPr>
          <w:p>
            <w:pPr>
              <w:pStyle w:val="775"/>
              <w:jc w:val="center"/>
              <w:widowControl w:val="off"/>
              <w:rPr>
                <w:rFonts w:hint="eastAsia" w:ascii="宋体" w:hAnsi="宋体" w:eastAsia="宋体" w:cs="宋体"/>
                <w:i w:val="0"/>
                <w:iCs w:val="0"/>
                <w:color w:val="auto"/>
                <w:sz w:val="24"/>
                <w:szCs w:val="24"/>
                <w:highlight w:val="none"/>
                <w:u w:val="none"/>
                <w:lang w:val="en-US" w:eastAsia="zh-CN" w:bidi="ar"/>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i w:val="0"/>
                <w:iCs w:val="0"/>
                <w:color w:val="auto"/>
                <w:sz w:val="24"/>
                <w:szCs w:val="24"/>
                <w:highlight w:val="none"/>
                <w:u w:val="none"/>
                <w:lang w:val="en-US" w:eastAsia="zh-CN" w:bidi="ar"/>
              </w:rPr>
              <w:t xml:space="preserve">安全保密方案</w:t>
            </w:r>
            <w:r/>
          </w:p>
          <w:p>
            <w:pPr>
              <w:pStyle w:val="775"/>
              <w:jc w:val="center"/>
              <w:widowControl w:val="off"/>
              <w:rPr>
                <w:rFonts w:hint="eastAsia" w:ascii="宋体" w:hAnsi="宋体" w:eastAsia="宋体" w:cs="宋体"/>
                <w:i w:val="0"/>
                <w:iCs w:val="0"/>
                <w:color w:val="auto"/>
                <w:sz w:val="24"/>
                <w:szCs w:val="24"/>
                <w:highlight w:val="none"/>
                <w:u w:val="none"/>
                <w:lang w:val="en-US" w:eastAsia="zh-CN" w:bidi="ar"/>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i w:val="0"/>
                <w:iCs w:val="0"/>
                <w:color w:val="auto"/>
                <w:sz w:val="24"/>
                <w:szCs w:val="24"/>
                <w:highlight w:val="none"/>
                <w:u w:val="none"/>
                <w:lang w:val="en-US" w:eastAsia="zh-CN" w:bidi="ar"/>
              </w:rPr>
              <w:t xml:space="preserve">（</w:t>
            </w:r>
            <w:r>
              <w:rPr>
                <w:rFonts w:hint="eastAsia"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tc>
        <w:tc>
          <w:tcPr>
            <w:tcW w:w="7448" w:type="dxa"/>
            <w:vAlign w:val="center"/>
            <w:textDirection w:val="lrTb"/>
            <w:noWrap w:val="false"/>
          </w:tcPr>
          <w:p>
            <w:pPr>
              <w:pStyle w:val="775"/>
              <w:jc w:val="both"/>
              <w:spacing w:before="0" w:beforeAutospacing="0" w:afterAutospacing="0"/>
              <w:widowControl w:val="off"/>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lang w:eastAsia="zh-CN"/>
              </w:rPr>
              <w:t xml:space="preserve">根据提供的</w:t>
            </w:r>
            <w:r>
              <w:rPr>
                <w:rFonts w:hint="eastAsia" w:ascii="宋体" w:hAnsi="宋体" w:eastAsia="宋体" w:cs="宋体"/>
                <w:i w:val="0"/>
                <w:iCs w:val="0"/>
                <w:color w:val="auto"/>
                <w:sz w:val="24"/>
                <w:szCs w:val="24"/>
                <w:highlight w:val="none"/>
                <w:u w:val="none"/>
                <w:lang w:val="en-US" w:eastAsia="zh-CN" w:bidi="ar"/>
              </w:rPr>
              <w:t xml:space="preserve">安全保密方案</w:t>
            </w:r>
            <w:r>
              <w:rPr>
                <w:rFonts w:hint="eastAsia" w:ascii="宋体" w:hAnsi="宋体" w:eastAsia="宋体" w:cs="宋体"/>
                <w:color w:val="auto"/>
                <w:sz w:val="24"/>
                <w:szCs w:val="24"/>
                <w:highlight w:val="none"/>
                <w:lang w:eastAsia="zh-CN"/>
              </w:rPr>
              <w:t xml:space="preserve">，对内容的全面性、可行性、针对性进行评价。</w:t>
            </w:r>
            <w:r/>
          </w:p>
          <w:p>
            <w:pPr>
              <w:pStyle w:val="775"/>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全面性(</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分)：全面具体详实得</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分；全面性一般得</w:t>
            </w:r>
            <w:r>
              <w:rPr>
                <w:rFonts w:hint="eastAsia"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分，不全面得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p>
            <w:pPr>
              <w:pStyle w:val="775"/>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针对性(</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分)：针对性强得</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分；针对性一般得</w:t>
            </w:r>
            <w:r>
              <w:rPr>
                <w:rFonts w:hint="eastAsia"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分；针对性不强得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p>
            <w:pPr>
              <w:pStyle w:val="775"/>
              <w:jc w:val="both"/>
              <w:spacing w:before="0" w:beforeAutospacing="0" w:afterAutospacing="0"/>
              <w:widowControl w:val="off"/>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lang w:eastAsia="zh-CN"/>
              </w:rPr>
              <w:t xml:space="preserve">未提供的得0分。本项最高得</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分，最低得0分。</w:t>
            </w:r>
            <w:r/>
          </w:p>
        </w:tc>
      </w:tr>
      <w:tr>
        <w:trPr>
          <w:jc w:val="center"/>
          <w:trHeight w:val="855"/>
        </w:trPr>
        <w:tc>
          <w:tcPr>
            <w:tcW w:w="1256" w:type="dxa"/>
            <w:vAlign w:val="center"/>
            <w:textDirection w:val="lrTb"/>
            <w:noWrap w:val="false"/>
          </w:tcPr>
          <w:p>
            <w:pPr>
              <w:numPr>
                <w:ilvl w:val="255"/>
                <w:numId w:val="0"/>
              </w:numPr>
              <w:jc w:val="center"/>
              <w:spacing w:after="0" w:line="24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1413" w:type="dxa"/>
            <w:vAlign w:val="center"/>
            <w:textDirection w:val="lrTb"/>
            <w:noWrap w:val="false"/>
          </w:tcPr>
          <w:p>
            <w:pPr>
              <w:pStyle w:val="775"/>
              <w:jc w:val="center"/>
              <w:widowControl w:val="off"/>
              <w:rPr>
                <w:rFonts w:hint="eastAsia" w:cs="宋体"/>
                <w:i w:val="0"/>
                <w:iCs w:val="0"/>
                <w:color w:val="auto"/>
                <w:sz w:val="24"/>
                <w:szCs w:val="24"/>
                <w:highlight w:val="none"/>
                <w:u w:val="none"/>
                <w:lang w:val="en-US" w:eastAsia="zh-CN" w:bidi="ar"/>
              </w:rPr>
              <w:pBdr>
                <w:top w:val="none" w:color="auto" w:sz="0" w:space="0"/>
                <w:left w:val="none" w:color="auto" w:sz="0" w:space="0"/>
                <w:bottom w:val="none" w:color="auto" w:sz="0" w:space="0"/>
                <w:right w:val="none" w:color="auto" w:sz="0" w:space="0"/>
                <w:between w:val="none" w:color="auto" w:sz="0" w:space="0"/>
              </w:pBdr>
            </w:pPr>
            <w:r>
              <w:rPr>
                <w:rFonts w:hint="eastAsia" w:cs="宋体"/>
                <w:i w:val="0"/>
                <w:iCs w:val="0"/>
                <w:color w:val="auto"/>
                <w:sz w:val="24"/>
                <w:szCs w:val="24"/>
                <w:highlight w:val="none"/>
                <w:u w:val="none"/>
                <w:lang w:val="en-US" w:eastAsia="zh-CN" w:bidi="ar"/>
              </w:rPr>
              <w:t xml:space="preserve">延期维保服务</w:t>
            </w:r>
            <w:r/>
          </w:p>
          <w:p>
            <w:pPr>
              <w:pStyle w:val="775"/>
              <w:jc w:val="center"/>
              <w:widowControl w:val="off"/>
              <w:rPr>
                <w:rFonts w:hint="default" w:ascii="宋体" w:hAnsi="宋体" w:eastAsia="宋体" w:cs="宋体"/>
                <w:i w:val="0"/>
                <w:iCs w:val="0"/>
                <w:color w:val="auto"/>
                <w:sz w:val="24"/>
                <w:szCs w:val="24"/>
                <w:highlight w:val="none"/>
                <w:u w:val="none"/>
                <w:lang w:val="en-US" w:eastAsia="zh-CN" w:bidi="ar"/>
              </w:rPr>
              <w:pBdr>
                <w:top w:val="none" w:color="auto" w:sz="0" w:space="0"/>
                <w:left w:val="none" w:color="auto" w:sz="0" w:space="0"/>
                <w:bottom w:val="none" w:color="auto" w:sz="0" w:space="0"/>
                <w:right w:val="none" w:color="auto" w:sz="0" w:space="0"/>
                <w:between w:val="none" w:color="auto" w:sz="0" w:space="0"/>
              </w:pBdr>
            </w:pPr>
            <w:r>
              <w:rPr>
                <w:rFonts w:hint="eastAsia" w:cs="宋体"/>
                <w:i w:val="0"/>
                <w:iCs w:val="0"/>
                <w:color w:val="auto"/>
                <w:sz w:val="24"/>
                <w:szCs w:val="24"/>
                <w:highlight w:val="none"/>
                <w:u w:val="none"/>
                <w:lang w:val="en-US" w:eastAsia="zh-CN" w:bidi="ar"/>
              </w:rPr>
              <w:t xml:space="preserve">（6分）</w:t>
            </w:r>
            <w:r/>
          </w:p>
        </w:tc>
        <w:tc>
          <w:tcPr>
            <w:tcW w:w="7448" w:type="dxa"/>
            <w:vAlign w:val="center"/>
            <w:textDirection w:val="lrTb"/>
            <w:noWrap w:val="false"/>
          </w:tcPr>
          <w:p>
            <w:pPr>
              <w:pStyle w:val="775"/>
              <w:jc w:val="both"/>
              <w:spacing w:before="0" w:beforeAutospacing="0" w:afterAutospacing="0"/>
              <w:widowControl w:val="off"/>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pPr>
            <w:r>
              <w:rPr>
                <w:rFonts w:hint="eastAsia" w:cs="宋体"/>
                <w:color w:val="auto"/>
                <w:sz w:val="24"/>
                <w:szCs w:val="24"/>
                <w:highlight w:val="none"/>
                <w:lang w:val="en-US" w:eastAsia="zh-CN"/>
              </w:rPr>
              <w:t xml:space="preserve">满足采购需求基本服务期限的不得分，每增加 10 天延期服务的，得 2 分，本项最高 6 分。</w:t>
            </w:r>
            <w:r/>
          </w:p>
        </w:tc>
      </w:tr>
    </w:tbl>
    <w:p>
      <w:pPr>
        <w:pStyle w:val="787"/>
        <w:rPr>
          <w:highlight w:val="none"/>
        </w:rPr>
      </w:pPr>
      <w:r>
        <w:rPr>
          <w:highlight w:val="none"/>
        </w:rPr>
      </w:r>
      <w:r/>
    </w:p>
    <w:p>
      <w:pPr>
        <w:spacing w:line="51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color w:val="auto"/>
          <w:sz w:val="24"/>
          <w:highlight w:val="none"/>
        </w:rPr>
        <w:t xml:space="preserve">本章说明：本项目采用综合评分法。评分结果精确到小数点后两位。</w:t>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第五章 拟签订的合同文本</w:t>
      </w:r>
      <w:r/>
    </w:p>
    <w:p>
      <w:pPr>
        <w:spacing w:line="360" w:lineRule="auto"/>
        <w:rPr>
          <w:rFonts w:ascii="仿宋" w:hAnsi="仿宋" w:eastAsia="仿宋"/>
          <w:b/>
          <w:bCs/>
          <w:color w:val="auto"/>
          <w:sz w:val="28"/>
          <w:szCs w:val="28"/>
          <w:highlight w:val="none"/>
          <w:lang w:eastAsia="zh-CN"/>
        </w:rPr>
      </w:pPr>
      <w:r>
        <w:rPr>
          <w:rFonts w:ascii="仿宋" w:hAnsi="仿宋" w:eastAsia="仿宋"/>
          <w:b/>
          <w:bCs/>
          <w:color w:val="auto"/>
          <w:sz w:val="28"/>
          <w:szCs w:val="28"/>
          <w:highlight w:val="none"/>
          <w:lang w:eastAsia="zh-CN"/>
        </w:rPr>
      </w:r>
      <w:r/>
    </w:p>
    <w:p>
      <w:pPr>
        <w:spacing w:line="360" w:lineRule="auto"/>
        <w:rPr>
          <w:rFonts w:ascii="仿宋" w:hAnsi="仿宋" w:eastAsia="仿宋"/>
          <w:b/>
          <w:bCs/>
          <w:color w:val="auto"/>
          <w:sz w:val="28"/>
          <w:szCs w:val="28"/>
          <w:highlight w:val="none"/>
          <w:lang w:eastAsia="zh-CN"/>
        </w:rPr>
      </w:pPr>
      <w:r>
        <w:rPr>
          <w:rFonts w:ascii="仿宋" w:hAnsi="仿宋" w:eastAsia="仿宋"/>
          <w:b/>
          <w:bCs/>
          <w:color w:val="auto"/>
          <w:sz w:val="28"/>
          <w:szCs w:val="28"/>
          <w:highlight w:val="none"/>
          <w:lang w:eastAsia="zh-CN"/>
        </w:rPr>
      </w:r>
      <w:r/>
    </w:p>
    <w:p>
      <w:pPr>
        <w:spacing w:line="360" w:lineRule="auto"/>
        <w:rPr>
          <w:rFonts w:ascii="宋体" w:hAnsi="宋体" w:eastAsia="宋体" w:cs="宋体"/>
          <w:b/>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项目名称：</w:t>
      </w:r>
      <w:r>
        <w:rPr>
          <w:rFonts w:hint="eastAsia" w:ascii="宋体" w:hAnsi="宋体" w:cs="宋体"/>
          <w:b/>
          <w:bCs/>
          <w:color w:val="auto"/>
          <w:sz w:val="28"/>
          <w:szCs w:val="28"/>
          <w:highlight w:val="none"/>
          <w:lang w:eastAsia="zh-CN"/>
        </w:rPr>
        <w:t xml:space="preserve">通用硬件设备运维项目</w:t>
      </w:r>
      <w:r/>
    </w:p>
    <w:p>
      <w:pPr>
        <w:spacing w:line="360" w:lineRule="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eastAsia="zh-CN"/>
        </w:rPr>
        <w:t xml:space="preserve">项目编号：</w:t>
      </w:r>
      <w:r>
        <w:rPr>
          <w:rFonts w:hint="eastAsia" w:ascii="宋体" w:hAnsi="宋体" w:eastAsia="宋体" w:cs="宋体"/>
          <w:b/>
          <w:bCs/>
          <w:color w:val="auto"/>
          <w:sz w:val="28"/>
          <w:szCs w:val="28"/>
          <w:highlight w:val="none"/>
          <w:lang w:val="en-US" w:eastAsia="zh-CN"/>
        </w:rPr>
        <w:t xml:space="preserve">   </w:t>
      </w:r>
      <w:r/>
    </w:p>
    <w:p>
      <w:pPr>
        <w:spacing w:line="360" w:lineRule="auto"/>
        <w:rPr>
          <w:rFonts w:ascii="宋体" w:hAnsi="宋体" w:eastAsia="宋体" w:cs="宋体"/>
          <w:b/>
          <w:bCs/>
          <w:color w:val="auto"/>
          <w:sz w:val="28"/>
          <w:szCs w:val="28"/>
          <w:highlight w:val="none"/>
          <w:lang w:eastAsia="zh-CN"/>
        </w:rPr>
      </w:pPr>
      <w:r>
        <w:rPr>
          <w:rFonts w:ascii="宋体" w:hAnsi="宋体" w:eastAsia="宋体" w:cs="宋体"/>
          <w:b/>
          <w:bCs/>
          <w:color w:val="auto"/>
          <w:sz w:val="28"/>
          <w:szCs w:val="28"/>
          <w:highlight w:val="none"/>
          <w:lang w:eastAsia="zh-CN"/>
        </w:rPr>
      </w:r>
      <w:r/>
    </w:p>
    <w:p>
      <w:pPr>
        <w:spacing w:line="360" w:lineRule="auto"/>
        <w:rPr>
          <w:rFonts w:ascii="宋体" w:hAnsi="宋体" w:eastAsia="宋体" w:cs="宋体"/>
          <w:b/>
          <w:bCs/>
          <w:color w:val="auto"/>
          <w:sz w:val="28"/>
          <w:szCs w:val="28"/>
          <w:highlight w:val="none"/>
          <w:lang w:eastAsia="zh-CN"/>
        </w:rPr>
      </w:pPr>
      <w:r>
        <w:rPr>
          <w:rFonts w:ascii="宋体" w:hAnsi="宋体" w:eastAsia="宋体" w:cs="宋体"/>
          <w:b/>
          <w:bCs/>
          <w:color w:val="auto"/>
          <w:sz w:val="28"/>
          <w:szCs w:val="28"/>
          <w:highlight w:val="none"/>
          <w:lang w:eastAsia="zh-CN"/>
        </w:rPr>
      </w:r>
      <w:r/>
    </w:p>
    <w:p>
      <w:pPr>
        <w:spacing w:line="360" w:lineRule="auto"/>
        <w:rPr>
          <w:rFonts w:ascii="宋体" w:hAnsi="宋体" w:eastAsia="宋体" w:cs="宋体"/>
          <w:b/>
          <w:bCs/>
          <w:color w:val="auto"/>
          <w:sz w:val="28"/>
          <w:szCs w:val="28"/>
          <w:highlight w:val="none"/>
          <w:lang w:eastAsia="zh-CN"/>
        </w:rPr>
      </w:pPr>
      <w:r>
        <w:rPr>
          <w:rFonts w:ascii="宋体" w:hAnsi="宋体" w:eastAsia="宋体" w:cs="宋体"/>
          <w:b/>
          <w:bCs/>
          <w:color w:val="auto"/>
          <w:sz w:val="28"/>
          <w:szCs w:val="28"/>
          <w:highlight w:val="none"/>
          <w:lang w:eastAsia="zh-CN"/>
        </w:rPr>
      </w:r>
      <w:r/>
    </w:p>
    <w:p>
      <w:pPr>
        <w:jc w:val="center"/>
        <w:spacing w:line="360" w:lineRule="auto"/>
        <w:rPr>
          <w:rFonts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lang w:eastAsia="zh-CN"/>
        </w:rPr>
        <w:t xml:space="preserve">政府采购合同</w:t>
      </w:r>
      <w:r/>
    </w:p>
    <w:p>
      <w:pPr>
        <w:spacing w:line="360" w:lineRule="auto"/>
        <w:rPr>
          <w:rFonts w:ascii="宋体" w:hAnsi="宋体" w:eastAsia="宋体" w:cs="宋体"/>
          <w:b/>
          <w:color w:val="auto"/>
          <w:sz w:val="28"/>
          <w:szCs w:val="28"/>
          <w:highlight w:val="none"/>
          <w:lang w:eastAsia="zh-CN"/>
        </w:rPr>
      </w:pPr>
      <w:r>
        <w:rPr>
          <w:rFonts w:ascii="宋体" w:hAnsi="宋体" w:eastAsia="宋体" w:cs="宋体"/>
          <w:b/>
          <w:color w:val="auto"/>
          <w:sz w:val="28"/>
          <w:szCs w:val="28"/>
          <w:highlight w:val="none"/>
          <w:lang w:eastAsia="zh-CN"/>
        </w:rPr>
      </w:r>
      <w:r/>
    </w:p>
    <w:p>
      <w:pPr>
        <w:spacing w:line="360" w:lineRule="auto"/>
        <w:rPr>
          <w:rFonts w:ascii="宋体" w:hAnsi="宋体" w:eastAsia="宋体" w:cs="宋体"/>
          <w:b/>
          <w:color w:val="auto"/>
          <w:sz w:val="28"/>
          <w:szCs w:val="28"/>
          <w:highlight w:val="none"/>
          <w:lang w:eastAsia="zh-CN"/>
        </w:rPr>
      </w:pPr>
      <w:r>
        <w:rPr>
          <w:rFonts w:ascii="宋体" w:hAnsi="宋体" w:eastAsia="宋体" w:cs="宋体"/>
          <w:b/>
          <w:color w:val="auto"/>
          <w:sz w:val="28"/>
          <w:szCs w:val="28"/>
          <w:highlight w:val="none"/>
          <w:lang w:eastAsia="zh-CN"/>
        </w:rPr>
      </w:r>
      <w:r/>
    </w:p>
    <w:p>
      <w:pPr>
        <w:spacing w:line="360" w:lineRule="auto"/>
        <w:rPr>
          <w:rFonts w:ascii="宋体" w:hAnsi="宋体" w:eastAsia="宋体" w:cs="宋体"/>
          <w:b/>
          <w:color w:val="auto"/>
          <w:sz w:val="28"/>
          <w:szCs w:val="28"/>
          <w:highlight w:val="none"/>
          <w:lang w:eastAsia="zh-CN"/>
        </w:rPr>
      </w:pPr>
      <w:r>
        <w:rPr>
          <w:rFonts w:ascii="宋体" w:hAnsi="宋体" w:eastAsia="宋体" w:cs="宋体"/>
          <w:b/>
          <w:color w:val="auto"/>
          <w:sz w:val="28"/>
          <w:szCs w:val="28"/>
          <w:highlight w:val="none"/>
          <w:lang w:eastAsia="zh-CN"/>
        </w:rPr>
      </w:r>
      <w:r/>
    </w:p>
    <w:p>
      <w:pPr>
        <w:spacing w:line="360" w:lineRule="auto"/>
        <w:rPr>
          <w:rFonts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 xml:space="preserve">采购人</w:t>
      </w:r>
      <w:r>
        <w:rPr>
          <w:rFonts w:hint="eastAsia" w:ascii="宋体" w:hAnsi="宋体" w:eastAsia="宋体" w:cs="宋体"/>
          <w:b/>
          <w:bCs/>
          <w:color w:val="auto"/>
          <w:sz w:val="28"/>
          <w:szCs w:val="28"/>
          <w:highlight w:val="none"/>
          <w:lang w:eastAsia="zh-CN"/>
        </w:rPr>
        <w:t xml:space="preserve">：</w:t>
      </w:r>
      <w:r>
        <w:rPr>
          <w:rFonts w:hint="eastAsia" w:ascii="宋体" w:hAnsi="宋体" w:cs="宋体"/>
          <w:b/>
          <w:bCs/>
          <w:color w:val="auto"/>
          <w:sz w:val="28"/>
          <w:szCs w:val="28"/>
          <w:highlight w:val="none"/>
          <w:lang w:eastAsia="zh-CN"/>
        </w:rPr>
        <w:t xml:space="preserve">徐州市公安局交通管理支队</w:t>
      </w:r>
      <w:r>
        <w:rPr>
          <w:rFonts w:hint="eastAsia" w:ascii="宋体" w:hAnsi="宋体" w:eastAsia="宋体" w:cs="宋体"/>
          <w:b/>
          <w:color w:val="auto"/>
          <w:sz w:val="28"/>
          <w:szCs w:val="28"/>
          <w:highlight w:val="none"/>
          <w:lang w:eastAsia="zh-CN"/>
        </w:rPr>
        <w:t xml:space="preserve">（以下称甲方）</w:t>
      </w:r>
      <w:r/>
    </w:p>
    <w:p>
      <w:pPr>
        <w:spacing w:line="360" w:lineRule="auto"/>
        <w:rPr>
          <w:rFonts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 xml:space="preserve">供应商：</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lang w:eastAsia="zh-CN"/>
        </w:rPr>
        <w:t xml:space="preserve">（以下称乙方）</w:t>
      </w:r>
      <w:r/>
    </w:p>
    <w:p>
      <w:pPr>
        <w:ind w:firstLine="442"/>
        <w:spacing w:line="480" w:lineRule="exact"/>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ind w:firstLine="442"/>
        <w:spacing w:line="480" w:lineRule="exact"/>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ind w:firstLine="442"/>
        <w:spacing w:line="480" w:lineRule="exact"/>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ind w:firstLine="442"/>
        <w:spacing w:line="480" w:lineRule="exact"/>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ind w:firstLine="442"/>
        <w:spacing w:line="480" w:lineRule="exact"/>
        <w:rPr>
          <w:rFonts w:ascii="宋体" w:hAnsi="宋体" w:eastAsia="宋体" w:cs="宋体"/>
          <w:color w:val="auto"/>
          <w:highlight w:val="none"/>
          <w:lang w:eastAsia="zh-CN"/>
        </w:rPr>
      </w:pPr>
      <w:r>
        <w:rPr>
          <w:rFonts w:hint="eastAsia" w:ascii="宋体" w:hAnsi="宋体" w:eastAsia="宋体" w:cs="宋体"/>
          <w:b/>
          <w:color w:val="auto"/>
          <w:highlight w:val="none"/>
          <w:lang w:eastAsia="zh-CN"/>
        </w:rPr>
        <w:t xml:space="preserve">友情提醒：采购人与中标、中标人应当在中标、成交通知书发出之日起三十日内，按照采购文件确定的事项签订政府采购合同。</w:t>
      </w:r>
      <w:r/>
    </w:p>
    <w:p>
      <w:pPr>
        <w:ind w:firstLine="442"/>
        <w:spacing w:line="480" w:lineRule="exact"/>
        <w:rPr>
          <w:rFonts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ind w:right="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甲方：                                  </w:t>
      </w:r>
      <w:r/>
    </w:p>
    <w:p>
      <w:pPr>
        <w:ind w:right="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乙方：                             </w:t>
      </w:r>
      <w:r>
        <w:rPr>
          <w:rFonts w:hint="eastAsia" w:ascii="宋体" w:hAnsi="宋体" w:eastAsia="宋体" w:cs="宋体"/>
          <w:color w:val="auto"/>
          <w:sz w:val="24"/>
          <w:szCs w:val="24"/>
          <w:highlight w:val="none"/>
          <w:lang w:val="en-US" w:eastAsia="zh-CN"/>
        </w:rPr>
        <w:t xml:space="preserve">      </w:t>
      </w:r>
      <w:r/>
    </w:p>
    <w:p>
      <w:pPr>
        <w:ind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签订时间：</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签订地点：</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甲、乙双方根据《中华人民共和国政府采购法》、《中华人民共和国民法典》，按照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通用硬件设备运维项目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eastAsia="zh-CN"/>
        </w:rPr>
        <w:t xml:space="preserve">发出的中标通知书、招标文件及乙方的投标文件等，按照平等、自愿的原则，经友好协商，签订本合同。</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一、合同文件的组成部分：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1.中标通知书；</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2.合同补充条款或说明；</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3.乙方的投标文件；</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4.招标文件；</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5.合同附件。</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二、合同范围：甲方同意从乙方购买、乙方同意向甲方提供的合同标的以及相关维保服务。</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三、项目方案：详见合同附件1。</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四、人员配备方案：详见合同附件2。</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五、响应时间和综合保障服务方案：详见合同附件3。</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eastAsia="zh-CN"/>
        </w:rPr>
        <w:t xml:space="preserve">、通用硬件设备运维项目考评办法：详见合同附件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eastAsia="zh-CN"/>
        </w:rPr>
        <w:t xml:space="preserve">、合同总价：￥</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元（大写：人民币</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元整）。</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lang w:eastAsia="zh-CN"/>
        </w:rPr>
        <w:t xml:space="preserve">、支付（采购资金的支付方式、时间、条件）：</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1.经双方协商一致，选择以下第</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种付款方式：</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①付款方式1（提交预付款保函的）</w:t>
      </w:r>
      <w:r/>
    </w:p>
    <w:p>
      <w:pPr>
        <w:pStyle w:val="811"/>
        <w:ind w:firstLine="56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合同总价的百分之四十(40%)即￥</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大写：人民币</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作为预付款，在合同签订生效且乙方向甲方出具合同总价的百分之四十（40%)即￥</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大写：人民币</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的预付款保函，甲方自收到发票（发票金额为合同总价的40 %）后10个工作日内，将资金支付到合同约定的乙方账户。</w:t>
      </w:r>
      <w:r/>
    </w:p>
    <w:p>
      <w:pPr>
        <w:pStyle w:val="811"/>
        <w:ind w:firstLine="560"/>
        <w:spacing w:line="360" w:lineRule="auto"/>
        <w:rPr>
          <w:rFonts w:hint="eastAsia" w:ascii="宋体" w:hAnsi="宋体" w:cs="宋体"/>
          <w:color w:val="auto"/>
          <w:sz w:val="24"/>
          <w:highlight w:val="none"/>
        </w:rPr>
      </w:pPr>
      <w:r>
        <w:rPr>
          <w:rFonts w:hint="eastAsia" w:ascii="宋体" w:hAnsi="宋体" w:eastAsia="宋体" w:cs="宋体"/>
          <w:color w:val="000000"/>
          <w:sz w:val="24"/>
          <w:szCs w:val="24"/>
          <w:highlight w:val="none"/>
        </w:rPr>
        <w:t xml:space="preserve">履约期满前，经甲方考核，根据考核结果，支付剩余合同款。由甲方办理政府采购资金结算手续，余款全部支付给乙方。（注：此条符合苏财购〔2020〕52号文件要求）</w:t>
      </w:r>
      <w:r>
        <w:rPr>
          <w:rFonts w:hint="eastAsia" w:ascii="宋体" w:hAnsi="宋体" w:cs="宋体"/>
          <w:color w:val="auto"/>
          <w:sz w:val="24"/>
          <w:highlight w:val="none"/>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②付款方式2（不提交预付款保函的）</w:t>
      </w:r>
      <w:r/>
    </w:p>
    <w:p>
      <w:pPr>
        <w:pStyle w:val="811"/>
        <w:ind w:firstLine="56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合同总价的百分之</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十(</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0%)即￥</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大写：</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人民币作为预付款，在合同签订生效，甲方自收到发票（发票金额为合同总价的</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0%）后10个工作日内，将资金支付到合同约定的乙方账户。</w:t>
      </w:r>
      <w:r/>
    </w:p>
    <w:p>
      <w:pPr>
        <w:pStyle w:val="811"/>
        <w:ind w:firstLine="560"/>
        <w:spacing w:line="360" w:lineRule="auto"/>
        <w:rPr>
          <w:rFonts w:hint="eastAsia" w:ascii="宋体" w:hAnsi="宋体" w:cs="宋体"/>
          <w:color w:val="auto"/>
          <w:sz w:val="24"/>
          <w:highlight w:val="none"/>
        </w:rPr>
      </w:pPr>
      <w:r>
        <w:rPr>
          <w:rFonts w:hint="eastAsia" w:ascii="宋体" w:hAnsi="宋体" w:eastAsia="宋体" w:cs="宋体"/>
          <w:color w:val="000000"/>
          <w:sz w:val="24"/>
          <w:szCs w:val="24"/>
          <w:highlight w:val="none"/>
        </w:rPr>
        <w:t xml:space="preserve">履约期满前，经甲方考核，根据考核结果，支付剩余合同款。由甲方办理政府采购资金结算手续，余款全部支付给乙方。（注：此条符合苏财购〔2020〕52号文件要求）</w:t>
      </w:r>
      <w:r>
        <w:rPr>
          <w:rFonts w:hint="eastAsia" w:ascii="宋体" w:hAnsi="宋体" w:cs="宋体"/>
          <w:color w:val="auto"/>
          <w:sz w:val="24"/>
          <w:highlight w:val="none"/>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.合同约定的乙方账户</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开户银行：</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银行帐号：</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.履约保证金：签订合同前，乙方应向甲方支付履约保证金，履约保证金金额为中标金额的百分之十（10%）大写：人民币</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元（小写：¥</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元），履约保证金不计利息。</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履约保证金缴纳形式：支票、汇票、本票或者金融机构、担保机构出具的保函等非现金形式缴纳，乙方可自愿使用履约保函（保险代替缴纳履约保证金具体详见《关于在全省政府采购领域推行电子履约保函（保险）的通知（苏财购〔2023〕150号）规定》)。</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注：履约保证金退还的方式、时间、条件和不予退还的情形：</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退还方式：由甲方将履约保证金无息退还至乙方账户。</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退还时间：本项目服务期满后15个工作日内无息退还。</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退还条件：本项目合同义务履行完毕。</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不予退还的情形：乙方拒绝履行合同义务，或乙方履行合同义务</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lang w:eastAsia="zh-CN"/>
        </w:rPr>
        <w:t xml:space="preserve">不符合合同约定，经甲方提出三次以上整改要求后仍然无法整改达标。</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买方逾期退还履约保证金的，每逾期（10）天，买方向卖方支付履约保证金的（0.05）%的违约金，但违约金的总数不超过履约保证金的（5）%。</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lang w:eastAsia="zh-CN"/>
        </w:rPr>
        <w:t xml:space="preserve">、项目服务期限：</w:t>
      </w:r>
      <w:r>
        <w:rPr>
          <w:rFonts w:hint="eastAsia" w:ascii="宋体" w:hAnsi="宋体" w:eastAsia="宋体" w:cs="宋体"/>
          <w:bCs w:val="0"/>
          <w:color w:val="auto"/>
          <w:sz w:val="24"/>
          <w:szCs w:val="24"/>
          <w:highlight w:val="none"/>
          <w:lang w:eastAsia="zh-CN"/>
        </w:rPr>
        <w:t xml:space="preserve">2026年</w:t>
      </w:r>
      <w:r>
        <w:rPr>
          <w:rFonts w:hint="eastAsia" w:ascii="宋体" w:hAnsi="宋体" w:eastAsia="宋体" w:cs="宋体"/>
          <w:bCs w:val="0"/>
          <w:color w:val="auto"/>
          <w:sz w:val="24"/>
          <w:szCs w:val="24"/>
          <w:highlight w:val="none"/>
          <w:lang w:val="en-US" w:eastAsia="zh-CN"/>
        </w:rPr>
        <w:t xml:space="preserve">   </w:t>
      </w:r>
      <w:r>
        <w:rPr>
          <w:rFonts w:hint="eastAsia" w:ascii="宋体" w:hAnsi="宋体" w:eastAsia="宋体" w:cs="宋体"/>
          <w:bCs w:val="0"/>
          <w:color w:val="auto"/>
          <w:sz w:val="24"/>
          <w:szCs w:val="24"/>
          <w:highlight w:val="none"/>
          <w:lang w:eastAsia="zh-CN"/>
        </w:rPr>
        <w:t xml:space="preserve">月</w:t>
      </w:r>
      <w:r>
        <w:rPr>
          <w:rFonts w:hint="eastAsia" w:ascii="宋体" w:hAnsi="宋体" w:eastAsia="宋体" w:cs="宋体"/>
          <w:bCs w:val="0"/>
          <w:color w:val="auto"/>
          <w:sz w:val="24"/>
          <w:szCs w:val="24"/>
          <w:highlight w:val="none"/>
          <w:lang w:val="en-US" w:eastAsia="zh-CN"/>
        </w:rPr>
        <w:t xml:space="preserve">    </w:t>
      </w:r>
      <w:r>
        <w:rPr>
          <w:rFonts w:hint="eastAsia" w:ascii="宋体" w:hAnsi="宋体" w:eastAsia="宋体" w:cs="宋体"/>
          <w:bCs w:val="0"/>
          <w:color w:val="auto"/>
          <w:sz w:val="24"/>
          <w:szCs w:val="24"/>
          <w:highlight w:val="none"/>
          <w:lang w:eastAsia="zh-CN"/>
        </w:rPr>
        <w:t xml:space="preserve">日至2027年</w:t>
      </w:r>
      <w:r>
        <w:rPr>
          <w:rFonts w:hint="eastAsia" w:ascii="宋体" w:hAnsi="宋体" w:eastAsia="宋体" w:cs="宋体"/>
          <w:bCs w:val="0"/>
          <w:color w:val="auto"/>
          <w:sz w:val="24"/>
          <w:szCs w:val="24"/>
          <w:highlight w:val="none"/>
          <w:lang w:val="en-US" w:eastAsia="zh-CN"/>
        </w:rPr>
        <w:t xml:space="preserve">    </w:t>
      </w:r>
      <w:r>
        <w:rPr>
          <w:rFonts w:hint="eastAsia" w:ascii="宋体" w:hAnsi="宋体" w:eastAsia="宋体" w:cs="宋体"/>
          <w:bCs w:val="0"/>
          <w:color w:val="auto"/>
          <w:sz w:val="24"/>
          <w:szCs w:val="24"/>
          <w:highlight w:val="none"/>
          <w:lang w:eastAsia="zh-CN"/>
        </w:rPr>
        <w:t xml:space="preserve">月</w:t>
      </w:r>
      <w:r>
        <w:rPr>
          <w:rFonts w:hint="eastAsia" w:ascii="宋体" w:hAnsi="宋体" w:eastAsia="宋体" w:cs="宋体"/>
          <w:bCs w:val="0"/>
          <w:color w:val="auto"/>
          <w:sz w:val="24"/>
          <w:szCs w:val="24"/>
          <w:highlight w:val="none"/>
          <w:lang w:val="en-US" w:eastAsia="zh-CN"/>
        </w:rPr>
        <w:t xml:space="preserve">    </w:t>
      </w:r>
      <w:r>
        <w:rPr>
          <w:rFonts w:hint="eastAsia" w:ascii="宋体" w:hAnsi="宋体" w:eastAsia="宋体" w:cs="宋体"/>
          <w:bCs w:val="0"/>
          <w:color w:val="auto"/>
          <w:sz w:val="24"/>
          <w:szCs w:val="24"/>
          <w:highlight w:val="none"/>
          <w:lang w:eastAsia="zh-CN"/>
        </w:rPr>
        <w:t xml:space="preserve">日。</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十、甲乙双方的权利和义务</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1.甲方的权利和义务</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(1)甲方应按照合同约定向乙方支付项目费用；</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(2)甲方应指导人员规范操作、定期检查系统运行情况及维保情况; </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(3)甲方有义务为乙方提供必要的工作条件；</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(4)甲方应指导人员规范操作、定期检查系统运行情况及维保情况；</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(5)因</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造成重大影响的，甲方有权提前终止合同。</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2.乙方的权利和义务</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(1)乙方应认真执行投标文件[项目编号：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]中的所有承诺内容。</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(2)乙方及其工作人员应保守在为甲方服务期间所知悉的技术秘密、商业秘密等。</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、甲乙双方违约责任</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1.根据合同要求，出现下列条件之一视为甲方违约：</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a.甲方无故单方面取消或终止项目；</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b.甲方在乙方按期完成服务工作并经甲方评价通过后，甲方借口拖延不按合同约定的比例和金额付款。发生以上两种情况之一，甲方应按合同总价的10%赔偿乙方；</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2.根据合同要求，出现下列条件之一视为乙方违约：</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a.项目正式实施后乙方不能在双方约定的时间内开始服务；</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b.运行维护服务要求达不到甲乙双方的约定。发生以上两种情况之一，乙方应按合同总价的10%赔偿甲方。</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3.其他违约责任依据《中华人民共和国民法典》相关条款确定。</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本合同任何一方不履行或不全面履行或迟延履行本合同项下其承担的义务，均构成违约，应承担违约责任，向对方赔偿因此遭受的经济损失；如前述违约致使本合同无法继续履行或履行不必要时，另一方有权解除本合同，并要求违约方赔偿因合同解除而遭受的经济损失。</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甲方若发现乙方向甲方提交的投标资料以及本合同所载内容有弄虚作假、隐瞒事实内容等情形的，甲方有权视情形单方解除本合同，乙方除应退还甲方已支付的合同款外，还应向甲方支付合同总金额20%的违约金。</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、服务评价标准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乙方履约每</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eastAsia="zh-CN"/>
        </w:rPr>
        <w:t xml:space="preserve">，向甲方提供深度巡检报告等资料，甲方成立维保服务评价小组对乙方维保服务质量进行考核。考核实行量化打分制，考核按《通用硬件设备运维项目考评办法》（详见合同附件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）执行。</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rPr>
        <w:t xml:space="preserve">运维服务</w:t>
      </w:r>
      <w:r>
        <w:rPr>
          <w:rFonts w:hint="eastAsia" w:ascii="宋体" w:hAnsi="宋体" w:eastAsia="宋体" w:cs="宋体"/>
          <w:color w:val="auto"/>
          <w:sz w:val="24"/>
          <w:szCs w:val="24"/>
          <w:highlight w:val="none"/>
          <w:lang w:val="en-US" w:eastAsia="zh-CN"/>
        </w:rPr>
        <w:t xml:space="preserve">支付</w:t>
      </w:r>
      <w:r>
        <w:rPr>
          <w:rFonts w:hint="eastAsia" w:ascii="宋体" w:hAnsi="宋体" w:eastAsia="宋体" w:cs="宋体"/>
          <w:color w:val="auto"/>
          <w:sz w:val="24"/>
          <w:szCs w:val="24"/>
          <w:highlight w:val="none"/>
        </w:rPr>
        <w:t xml:space="preserve">费用具体公式为：</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合同运行维护支付费用=合同应付金额-（累计考核扣分数×3000）。</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、保密条款</w:t>
      </w:r>
      <w:r/>
    </w:p>
    <w:p>
      <w:pPr>
        <w:ind w:left="0" w:right="0" w:firstLine="480"/>
        <w:jc w:val="both"/>
        <w:keepLines w:val="0"/>
        <w:keepNext w:val="0"/>
        <w:pageBreakBefore w:val="0"/>
        <w:spacing w:before="0" w:after="0" w:line="36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乙方在提供服务时涉及的系统数据及其他有关资料和数据等，乙方应负责保密，不得以任何方式向第三方泄露或提供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签订合同前乙方按照甲方要求签订保密协议。</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、解决争议的方式</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1.在执行本合同中所发生的或与本合同有关的一切争端，甲方和乙方应通过友好协商的办法进行解决。如协商不成，向徐州仲裁委员会申请仲裁。</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、合同生效</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1.本合同在甲乙双方加盖公章或合同专用章后生效。</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2.甲方收到乙方按政府采购合同金额（合同总价）的10%提交的履约保证金（乙方以支票、汇票、本票或者金融机构、担保机构出具的保函等非现金形式提交给甲方）。</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3.乙方在项目实施阶段需提供的资料作为本项目所签订合同的正式附件，与合同正本具有同等的法律约束力。</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bookmarkStart w:id="2" w:name="_Toc27138"/>
      <w:r>
        <w:rPr>
          <w:rFonts w:hint="eastAsia" w:ascii="宋体" w:hAnsi="宋体" w:eastAsia="宋体" w:cs="宋体"/>
          <w:color w:val="auto"/>
          <w:sz w:val="24"/>
          <w:szCs w:val="24"/>
          <w:highlight w:val="none"/>
          <w:lang w:eastAsia="zh-CN"/>
        </w:rPr>
        <w:t xml:space="preserve">4.合同一式肆份，具有同等法律效力，甲方贰份，乙方贰份。</w:t>
      </w:r>
      <w:bookmarkEnd w:id="2"/>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eastAsia="zh-CN"/>
        </w:rPr>
        <w:t xml:space="preserve">、其他</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1.本合同的订立、效力、解释、履行和争议的解决均适用中华人民共和国法律。</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任何一方没有行使其权利或没有就对方的违约行为采取任何行动，不应被视为是对相关权利的放弃或对追究违约责任或义务的放弃。任何一方放弃针对对方的任何权利，或放弃追究对方的任何过失，不应视为对任何其他权利或追究任何其他过失的放弃。所有放弃应书面做出。</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如果本合同的任何条款在被有管辖权的法院或仲裁机构认定为无效、不合法或无法执行时，本合同其他条款的有效性、合法性和可执行性将不会受到影响。此种情况下，双方将以有效的规定替换该规定，且该有效规定应尽可能接近原规定和本合同相应的精神和宗旨。</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4.本合同其他未尽事宜及与采购文件有矛盾之处，以招标文件[项目编号：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]为准。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5.按照《财政部关于做好政府采购信息公开工作的通知》（财库〔2015〕135号），甲方依据《保守国家秘密法》等法律制度规定确定本合同</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部分涉及国家秘密，该涉及国家秘密部分不公告；甲方依据《反不正当竞争法》等法律制度的规定与乙方约定本合同        部分涉及商业秘密，该涉及商业秘密部分不公告。</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甲方（签章）： ____________________________  </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地址： ____________________________________</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电话： ____________________________________ </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法定代表人或授权代表(签名)： ______________ </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乙方（签章）： ____________________________</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地址： ____________________________________</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电话： ____________________________________ </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开户银行： ________________________________       </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银行</w:t>
      </w:r>
      <w:r>
        <w:rPr>
          <w:rFonts w:hint="eastAsia" w:ascii="宋体" w:hAnsi="宋体" w:eastAsia="宋体" w:cs="宋体"/>
          <w:color w:val="auto"/>
          <w:sz w:val="24"/>
          <w:szCs w:val="24"/>
          <w:highlight w:val="none"/>
          <w:lang w:val="en-US" w:eastAsia="zh-CN"/>
        </w:rPr>
        <w:t xml:space="preserve">账号</w:t>
      </w:r>
      <w:r>
        <w:rPr>
          <w:rFonts w:hint="eastAsia" w:ascii="宋体" w:hAnsi="宋体" w:eastAsia="宋体" w:cs="宋体"/>
          <w:color w:val="auto"/>
          <w:sz w:val="24"/>
          <w:szCs w:val="24"/>
          <w:highlight w:val="none"/>
          <w:lang w:eastAsia="zh-CN"/>
        </w:rPr>
        <w:t xml:space="preserve">： ________________________________  </w:t>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法定代表人或授权代表(签名)： ______________</w:t>
      </w:r>
      <w:r/>
    </w:p>
    <w:p>
      <w:pPr>
        <w:ind w:right="0"/>
        <w:jc w:val="center"/>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right="0"/>
        <w:jc w:val="center"/>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right="0"/>
        <w:jc w:val="center"/>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right="0"/>
        <w:jc w:val="center"/>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right="0"/>
        <w:jc w:val="center"/>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right="0"/>
        <w:jc w:val="center"/>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合同附件</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合同附件1：《项目方案》</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(要求见招标文件第六章《采购需求》；合同见乙方投标文件中《项目方案》。)</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合同附件2：《人员配备》</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(要求见招标文件第六章《采购需求》；合同见乙方投标文件中《人员配备》。)</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合同附件3：《响应时间和综合保障服务方案》</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(要求见招标文件第六章《采购需求》；合同见乙方投标文件中《响应时间和综合保障服务方案》。)</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合同附件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 通用硬件设备运维项目考评办法</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ind w:left="0" w:right="0" w:firstLine="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合同附件4</w:t>
      </w:r>
      <w:r/>
    </w:p>
    <w:p>
      <w:pPr>
        <w:ind w:firstLine="560"/>
        <w:jc w:val="center"/>
        <w:spacing w:line="360" w:lineRule="auto"/>
        <w:rPr>
          <w:rFonts w:hint="eastAsia" w:ascii="宋体" w:hAnsi="宋体" w:cs="宋体"/>
          <w:sz w:val="28"/>
          <w:szCs w:val="28"/>
          <w:highlight w:val="none"/>
        </w:rPr>
      </w:pPr>
      <w:r>
        <w:rPr>
          <w:rFonts w:hint="eastAsia" w:ascii="宋体" w:hAnsi="宋体" w:eastAsia="宋体" w:cs="宋体"/>
          <w:color w:val="auto"/>
          <w:sz w:val="28"/>
          <w:szCs w:val="28"/>
          <w:highlight w:val="none"/>
          <w:lang w:eastAsia="zh-CN"/>
        </w:rPr>
        <w:t xml:space="preserve">通用硬件设备运维项目考评办法</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考核以</w:t>
      </w:r>
      <w:r>
        <w:rPr>
          <w:rFonts w:hint="eastAsia" w:ascii="宋体" w:hAnsi="宋体" w:cs="宋体"/>
          <w:szCs w:val="21"/>
          <w:highlight w:val="none"/>
          <w:lang w:val="en-US" w:eastAsia="zh-CN"/>
        </w:rPr>
        <w:t xml:space="preserve">扣分</w:t>
      </w:r>
      <w:r>
        <w:rPr>
          <w:rFonts w:hint="eastAsia" w:ascii="宋体" w:hAnsi="宋体" w:cs="宋体"/>
          <w:szCs w:val="21"/>
          <w:highlight w:val="none"/>
        </w:rPr>
        <w:t xml:space="preserve">制的方式进行，每</w:t>
      </w:r>
      <w:r>
        <w:rPr>
          <w:rFonts w:hint="eastAsia" w:ascii="宋体" w:hAnsi="宋体" w:cs="宋体"/>
          <w:szCs w:val="21"/>
          <w:highlight w:val="none"/>
          <w:lang w:val="en-US" w:eastAsia="zh-CN"/>
        </w:rPr>
        <w:t xml:space="preserve">月</w:t>
      </w:r>
      <w:r>
        <w:rPr>
          <w:rFonts w:hint="eastAsia" w:ascii="宋体" w:hAnsi="宋体" w:cs="宋体"/>
          <w:szCs w:val="21"/>
          <w:highlight w:val="none"/>
        </w:rPr>
        <w:t xml:space="preserve">进行考核</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服务期满汇总</w:t>
      </w:r>
      <w:r>
        <w:rPr>
          <w:rFonts w:hint="eastAsia" w:ascii="宋体" w:hAnsi="宋体" w:cs="宋体"/>
          <w:szCs w:val="21"/>
          <w:highlight w:val="none"/>
        </w:rPr>
        <w:t xml:space="preserve">。考核项目视频会议保障、集成指挥平台运维、机房运维、应急响应、文档台账、投诉情况、安全规范、退出机制8个部分。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1.视频会议保障</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1.1.日常工作考核</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定期检查摄像头是否清晰，是否能够正常工作，达不到要求发现一次扣1分。定期检查麦克风是否能够正常接收声音，是否出现杂音，达不到要求发现一次扣1分。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定期检查音响是否能够正常播放声音,接线是否松动等基本情况。达不到要求的发现一次扣1分。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定期检查显示屏是否能够正常显示画面，是否出现花屏、黑屏等问题，信号正确，各部件连接坚固无松动。达不到要求的发现一次扣1分。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定期检查视频会议设备是否正常运行，保证网络运行稳定流畅。达不到要求的发现一次扣1分。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1.2.本职工作考核</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必须严格执行视频会议的操作程序，不得随意拆卸和挪用视频会议设备，不得随意更改设备配置，在会议期间，必须现场（或后台）值守，不得擅离岗位，会议结束后，检查话筒，关闭设备。达不到要求的发现一次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检查视频会议系统的传输链路进行整体维护，确保正常运行。达不到要求的发现一次扣1分。参加视频会议设备联调，如因管理员没有及时开启视频设备导致视频无法召开或出现故障。达不到要求的发现一次扣</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严禁在视频会议专用电脑上安装无关软件，并定期做好病毒防护等安全维护工作（未经允许，严禁私接任何U盘）。达不到要求的发现一次扣10分。会议中如有会场意外中断，严禁自行修改配置，及时联系主会场管理员把会场重新加入到会议中，如遇时间较长，可采用临时性视频会议方案。达不到要求的发现一次扣</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1.3.服务达标考核</w:t>
      </w:r>
      <w:r/>
    </w:p>
    <w:p>
      <w:pPr>
        <w:ind w:firstLine="56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重要视频会议期间维保人员应按支队要求在场值守，</w:t>
      </w:r>
      <w:r>
        <w:rPr>
          <w:rFonts w:hint="eastAsia" w:ascii="宋体" w:hAnsi="宋体" w:cs="宋体"/>
          <w:szCs w:val="21"/>
          <w:highlight w:val="none"/>
        </w:rPr>
        <w:t xml:space="preserve">发生故障时需立即</w:t>
      </w:r>
      <w:r>
        <w:rPr>
          <w:rFonts w:hint="eastAsia" w:ascii="宋体" w:hAnsi="宋体" w:cs="宋体"/>
          <w:szCs w:val="21"/>
          <w:highlight w:val="none"/>
          <w:lang w:val="en-US" w:eastAsia="zh-CN"/>
        </w:rPr>
        <w:t xml:space="preserve">响应并开始排查和维修工作</w:t>
      </w:r>
      <w:r>
        <w:rPr>
          <w:rFonts w:hint="eastAsia" w:ascii="宋体" w:hAnsi="宋体" w:cs="宋体"/>
          <w:szCs w:val="21"/>
          <w:highlight w:val="none"/>
        </w:rPr>
        <w:t xml:space="preserve">。系统修复时间一般故障不超过10分钟，严重故障不超过半小时。达不到要求的一次扣2分。（备注：如遇特殊情况，要及时汇报）</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一般问题：工作日白天（8时至19时）维修人员到达故障服务现场的时间应不大于</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小时，工作日夜间（19时至次日8时）和国家法定节假日维修人员到达故障服务现场的时间应不大于</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小时；达不到要求的发现一次扣2分。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严重故障：应在</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分钟内人员响应，</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小时内到达故障服务现场；达不到要求的发现一次扣10分。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1.4.</w:t>
      </w:r>
      <w:r>
        <w:rPr>
          <w:rFonts w:hint="eastAsia" w:ascii="宋体" w:hAnsi="宋体" w:cs="宋体"/>
          <w:szCs w:val="21"/>
          <w:highlight w:val="none"/>
          <w:lang w:val="en-US" w:eastAsia="zh-CN"/>
        </w:rPr>
        <w:t xml:space="preserve">服务质态</w:t>
      </w:r>
      <w:r>
        <w:rPr>
          <w:rFonts w:hint="eastAsia" w:ascii="宋体" w:hAnsi="宋体" w:cs="宋体"/>
          <w:szCs w:val="21"/>
          <w:highlight w:val="none"/>
        </w:rPr>
        <w:t xml:space="preserve">考核</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设备正常工作率达95%（月度），每降1%扣</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每月工作数据未按要求上报的，由乙方的相关负责人说明情况。第二次以上每发现一次扣1分。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重大故障分析报告，无分析报告扣2分，未按照甲方规定时间内上交的扣1分。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协作交管支队完成相关延伸工作，不配合一次扣2分。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工作人员必须遵守劳动纪律和相关保密协议，并服从管理，达不到要求的发现一次扣</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2.集成指挥平台</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2.1.平台业务不可用</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因维保范围内的硬件、网络、软件等故障，造成平台业务中断超过30分钟扣1分，每增加15分钟加扣1分，最多扣</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2.2.维保服务质量</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（1）故障解决率：平台功能性故障，解决时间不超过4小时，每过30分钟扣1分，最多扣10分。其他非功能性故障，解决时间不超过12小时，每过1小时扣1分，最多扣10分。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（2）故障响应时间：达到现场时间不超过</w:t>
      </w:r>
      <w:r>
        <w:rPr>
          <w:rFonts w:hint="eastAsia" w:ascii="宋体" w:hAnsi="宋体" w:cs="宋体"/>
          <w:szCs w:val="21"/>
          <w:highlight w:val="none"/>
          <w:lang w:val="en-US" w:eastAsia="zh-CN"/>
        </w:rPr>
        <w:t xml:space="preserve">2小时</w:t>
      </w:r>
      <w:r>
        <w:rPr>
          <w:rFonts w:hint="eastAsia" w:ascii="宋体" w:hAnsi="宋体" w:cs="宋体"/>
          <w:szCs w:val="21"/>
          <w:highlight w:val="none"/>
        </w:rPr>
        <w:t xml:space="preserve">。每迟</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0分钟扣1分。最多扣5分。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3.机房运维</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3.1.日常运维</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机房环境监测需每日早9点、午2点、晚5点各进行一次（监测内容包含不限于温度、湿度、UPS容量、门禁等），未按此时间点监测并记录，每次扣1分；监测数据中温度超出18-27℃范围、湿度超出40%-60%范围，或洁净度不符合行业相关标准且未在1小时内处理，每次扣2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机房内设备需按型号分类摆放，同一类设备间距不小于30厘米，线缆需沿机柜边缘或专用线槽整理固定，出现设备混杂摆放、间距不足或线缆散乱拖地等情况，每次扣1分。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机房空调需每周一检查滤网清洁度和运行噪音；空调故障导致机房温度超出正常范围持续2小时以上，或UPS故障导致机房断电持续1小时以上，扣5分。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3.2.设备管理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核心设备台账需包含设备唯一编号、生产厂家、保修期限、历次维修记录等信息，缺少任意一项扣1分，直至扣满3分；设备发生硬件更换、位置变动等情况后，未在24小时内更新台账信息，每次扣1分。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设备日常巡检需每日检查设备指示灯状态、运行温度，每周检查设备日志，未按此执行导致潜在故障未发现，每次扣1分；设备发生故障后，故障需在</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小时内修复不扣分，4小时以内修复扣1分，每</w:t>
      </w:r>
      <w:r>
        <w:rPr>
          <w:rFonts w:hint="eastAsia" w:ascii="宋体" w:hAnsi="宋体" w:cs="宋体"/>
          <w:szCs w:val="21"/>
          <w:highlight w:val="none"/>
          <w:lang w:val="en-US" w:eastAsia="zh-CN"/>
        </w:rPr>
        <w:t xml:space="preserve">多</w:t>
      </w:r>
      <w:r>
        <w:rPr>
          <w:rFonts w:hint="eastAsia" w:ascii="宋体" w:hAnsi="宋体" w:cs="宋体"/>
          <w:szCs w:val="21"/>
          <w:highlight w:val="none"/>
        </w:rPr>
        <w:t xml:space="preserve">延误4小时扣1分（最长扣</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3.3.应急处理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应急预案需涵盖断电、火灾、洪水、网络攻击等至少8种突发事件，缺少任意一种扣1分，直至扣满5分；应急预案需每季度组织一次演练，并有详细演练记录，未按季度演练或记录不完整，扣2分。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发生突发事件时，需在15分钟内响应，</w:t>
      </w:r>
      <w:r>
        <w:rPr>
          <w:rFonts w:hint="eastAsia" w:ascii="宋体" w:hAnsi="宋体" w:cs="宋体"/>
          <w:szCs w:val="21"/>
          <w:highlight w:val="none"/>
          <w:lang w:val="en-US" w:eastAsia="zh-CN"/>
        </w:rPr>
        <w:t xml:space="preserve">2小时</w:t>
      </w:r>
      <w:r>
        <w:rPr>
          <w:rFonts w:hint="eastAsia" w:ascii="宋体" w:hAnsi="宋体" w:cs="宋体"/>
          <w:szCs w:val="21"/>
          <w:highlight w:val="none"/>
        </w:rPr>
        <w:t xml:space="preserve">内到达现场处理，未按此时间要求执行，每次扣1分；因处理不当导致故障影响范围扩大或造成经济损失1万元以上，扣</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3.4.机房规范</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机房出入需登记姓名、身份证号、出入时间、事由等信息，无关人员进入机房，每次扣1分；出入记录缺少任意一项信息，每次扣1分。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机房消防设施需配备足够数量的灭火器、烟雾报警器，灭火器需在有效期内，烟雾报警器需每月测试灵敏度，不符合要求或未定期检查，每次扣3分；发生消防安全事故，造成设备损坏或人员受伤，由中标公司承担责任，扣</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4.应急响应</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备品备件下单后，超出相应时间1天扣1分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整机维护下单后，超出相应时间1天扣1分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备品备件更换配件不符合要求扣1分，有质量问题的扣1分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整机更换不符合要求，扣1分，有质量问题的扣1分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整机以及配件维修更换：整机以及配件包含的功能模块的配置不得低于支队现有同款设备功能模块的配置</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5.文档台账</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文档台账包含不限于视频会议、集成指挥平台、机房运维等。</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周度报告：每周1前提交维保周度总结报告，包含不限于维护文档、资产台账、工作内容、问题汇总、巡检记录、处理步骤。每迟1天扣1分，最多扣5分。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月度报告：每月10日前提交维保月度总结报告，每迟1天扣1分，最多扣5分。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维保期满，需在到期前3天内</w:t>
      </w:r>
      <w:r>
        <w:rPr>
          <w:rFonts w:hint="eastAsia" w:ascii="宋体" w:hAnsi="宋体" w:cs="宋体"/>
          <w:szCs w:val="21"/>
          <w:highlight w:val="none"/>
          <w:lang w:val="en-US" w:eastAsia="zh-CN"/>
        </w:rPr>
        <w:t xml:space="preserve">提供整体</w:t>
      </w:r>
      <w:r>
        <w:rPr>
          <w:rFonts w:hint="eastAsia" w:ascii="宋体" w:hAnsi="宋体" w:cs="宋体"/>
          <w:szCs w:val="21"/>
          <w:highlight w:val="none"/>
        </w:rPr>
        <w:t xml:space="preserve">服务报告。服务结束后15天内提交，每迟1天扣1分，最多扣5分。其他报告：故障报告每次故障后2天内提交，每迟1天扣1分，最多扣5分未按要求建立相应的运维管理制度的扣1分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6.投诉情况</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维保过程中，因态度、效率等问题，引发基层大队、支队领导、新闻媒体曝光投诉，经核实，发生一次扣</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中标人巡查、维护质量问题、或存在维护效率不及时造成人员、财物损伤的，由中标单位承担，每发现1次，扣</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分，扣完为止。</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7.退出机制</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若中标单位违反信息安全要求的行为，造成严重后果的，则终止合同。</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发生违反双方《保密协议》的约定、违反安全管理的行为，或发生交管支队及上级单位认定的其他影响业务系统运行的严重违规行为等。</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交管支队有权在综合评估中标单位维保服务</w:t>
      </w:r>
      <w:r>
        <w:rPr>
          <w:rFonts w:hint="eastAsia" w:ascii="宋体" w:hAnsi="宋体" w:cs="宋体"/>
          <w:szCs w:val="21"/>
          <w:highlight w:val="none"/>
        </w:rPr>
        <w:t xml:space="preserve">情况的基础上，根据其行为后果决定终止合同，并开展调查取证，提交上级有关部门，进行失信惩戒，违反法律的将追究单位和责任人的法律责任，违反安全管理的具体行为，包括但不限于；网络安全方面，擅自建立跨网跨域运维通道，违规连接公安网络，设置应用系统后门、木马等恶意程序，恶意探测扫描网络及系统，拆除破坏监管设施、程序等：数据安全方面，违规下载、留存、使用公安数据，篡改、毁损、出售公安数据等；安全保密方面，擅自扩大与合作事项相关信息的知悉范围，不及时清除、收回离职离岗或者不再参与信息化建设人员持有的公安文档资料、数据等。</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中标人</w:t>
      </w:r>
      <w:r>
        <w:rPr>
          <w:rFonts w:hint="eastAsia" w:ascii="宋体" w:hAnsi="宋体" w:cs="宋体"/>
          <w:szCs w:val="21"/>
          <w:highlight w:val="none"/>
          <w:lang w:val="en-US" w:eastAsia="zh-CN"/>
        </w:rPr>
        <w:t xml:space="preserve">单月</w:t>
      </w:r>
      <w:r>
        <w:rPr>
          <w:rFonts w:hint="eastAsia" w:ascii="宋体" w:hAnsi="宋体" w:cs="宋体"/>
          <w:szCs w:val="21"/>
          <w:highlight w:val="none"/>
        </w:rPr>
        <w:t xml:space="preserve">考评</w:t>
      </w:r>
      <w:r>
        <w:rPr>
          <w:rFonts w:hint="eastAsia" w:ascii="宋体" w:hAnsi="宋体" w:cs="宋体"/>
          <w:szCs w:val="21"/>
          <w:highlight w:val="none"/>
          <w:lang w:val="en-US" w:eastAsia="zh-CN"/>
        </w:rPr>
        <w:t xml:space="preserve">扣</w:t>
      </w:r>
      <w:r>
        <w:rPr>
          <w:rFonts w:hint="eastAsia" w:ascii="宋体" w:hAnsi="宋体" w:cs="宋体"/>
          <w:szCs w:val="21"/>
          <w:highlight w:val="none"/>
        </w:rPr>
        <w:t xml:space="preserve">分</w:t>
      </w:r>
      <w:r>
        <w:rPr>
          <w:rFonts w:hint="eastAsia" w:ascii="宋体" w:hAnsi="宋体" w:cs="宋体"/>
          <w:szCs w:val="21"/>
          <w:highlight w:val="none"/>
          <w:lang w:val="en-US" w:eastAsia="zh-CN"/>
        </w:rPr>
        <w:t xml:space="preserve">高</w:t>
      </w:r>
      <w:r>
        <w:rPr>
          <w:rFonts w:hint="eastAsia" w:ascii="宋体" w:hAnsi="宋体" w:cs="宋体"/>
          <w:szCs w:val="21"/>
          <w:highlight w:val="none"/>
        </w:rPr>
        <w:t xml:space="preserve">于</w:t>
      </w:r>
      <w:r>
        <w:rPr>
          <w:rFonts w:hint="eastAsia" w:ascii="宋体" w:hAnsi="宋体" w:cs="宋体"/>
          <w:szCs w:val="21"/>
          <w:highlight w:val="none"/>
          <w:lang w:val="en-US" w:eastAsia="zh-CN"/>
        </w:rPr>
        <w:t xml:space="preserve">20</w:t>
      </w:r>
      <w:r>
        <w:rPr>
          <w:rFonts w:hint="eastAsia" w:ascii="宋体" w:hAnsi="宋体" w:cs="宋体"/>
          <w:szCs w:val="21"/>
          <w:highlight w:val="none"/>
        </w:rPr>
        <w:t xml:space="preserve">分的</w:t>
      </w:r>
      <w:r>
        <w:rPr>
          <w:rFonts w:hint="eastAsia" w:ascii="宋体" w:hAnsi="宋体" w:cs="宋体"/>
          <w:szCs w:val="21"/>
          <w:highlight w:val="none"/>
          <w:lang w:eastAsia="zh-CN"/>
        </w:rPr>
        <w:t xml:space="preserve">、</w:t>
      </w:r>
      <w:r>
        <w:rPr>
          <w:rFonts w:hint="eastAsia" w:ascii="宋体" w:hAnsi="宋体" w:cs="宋体"/>
          <w:szCs w:val="21"/>
          <w:highlight w:val="none"/>
        </w:rPr>
        <w:t xml:space="preserve">因中标人原因导致采购人蒙受重大经济、名誉损失的</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招标人有权单方面解除合同，并追究中标人违约责任</w:t>
      </w:r>
      <w:r>
        <w:rPr>
          <w:rFonts w:hint="eastAsia" w:ascii="宋体" w:hAnsi="宋体" w:cs="宋体"/>
          <w:szCs w:val="21"/>
          <w:highlight w:val="none"/>
        </w:rPr>
        <w:t xml:space="preserve">。</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8.</w:t>
      </w:r>
      <w:r>
        <w:rPr>
          <w:rFonts w:hint="eastAsia" w:ascii="宋体" w:hAnsi="宋体" w:cs="宋体"/>
          <w:szCs w:val="21"/>
          <w:highlight w:val="none"/>
          <w:lang w:val="en-US" w:eastAsia="zh-CN"/>
        </w:rPr>
        <w:t xml:space="preserve">合同费用计算</w:t>
      </w:r>
      <w:r>
        <w:rPr>
          <w:rFonts w:hint="eastAsia" w:ascii="宋体" w:hAnsi="宋体" w:cs="宋体"/>
          <w:szCs w:val="21"/>
          <w:highlight w:val="none"/>
        </w:rPr>
        <w:t xml:space="preserve">方式</w:t>
      </w:r>
      <w:r/>
    </w:p>
    <w:p>
      <w:pPr>
        <w:ind w:firstLine="56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合同</w:t>
      </w:r>
      <w:r>
        <w:rPr>
          <w:rFonts w:hint="eastAsia" w:ascii="宋体" w:hAnsi="宋体" w:cs="宋体"/>
          <w:szCs w:val="21"/>
          <w:highlight w:val="none"/>
        </w:rPr>
        <w:t xml:space="preserve">运维服务</w:t>
      </w:r>
      <w:r>
        <w:rPr>
          <w:rFonts w:hint="eastAsia" w:ascii="宋体" w:hAnsi="宋体" w:cs="宋体"/>
          <w:szCs w:val="21"/>
          <w:highlight w:val="none"/>
          <w:lang w:val="en-US" w:eastAsia="zh-CN"/>
        </w:rPr>
        <w:t xml:space="preserve">支付</w:t>
      </w:r>
      <w:r>
        <w:rPr>
          <w:rFonts w:hint="eastAsia" w:ascii="宋体" w:hAnsi="宋体" w:cs="宋体"/>
          <w:szCs w:val="21"/>
          <w:highlight w:val="none"/>
        </w:rPr>
        <w:t xml:space="preserve">费用具体公式为：</w:t>
      </w:r>
      <w:r/>
    </w:p>
    <w:p>
      <w:pPr>
        <w:ind w:firstLine="560"/>
        <w:spacing w:line="360" w:lineRule="auto"/>
        <w:rPr>
          <w:rFonts w:ascii="宋体" w:hAnsi="宋体" w:cs="宋体"/>
          <w:szCs w:val="21"/>
          <w:highlight w:val="none"/>
        </w:rPr>
      </w:pPr>
      <w:r>
        <w:rPr>
          <w:rFonts w:hint="eastAsia" w:ascii="宋体" w:hAnsi="宋体" w:cs="宋体"/>
          <w:szCs w:val="21"/>
          <w:highlight w:val="none"/>
          <w:lang w:val="en-US" w:eastAsia="zh-CN"/>
        </w:rPr>
        <w:t xml:space="preserve">合同</w:t>
      </w:r>
      <w:r>
        <w:rPr>
          <w:rFonts w:hint="eastAsia" w:ascii="宋体" w:hAnsi="宋体" w:cs="宋体"/>
          <w:szCs w:val="21"/>
          <w:highlight w:val="none"/>
        </w:rPr>
        <w:t xml:space="preserve">运行维护</w:t>
      </w:r>
      <w:r>
        <w:rPr>
          <w:rFonts w:hint="eastAsia" w:ascii="宋体" w:hAnsi="宋体" w:cs="宋体"/>
          <w:szCs w:val="21"/>
          <w:highlight w:val="none"/>
          <w:lang w:val="en-US" w:eastAsia="zh-CN"/>
        </w:rPr>
        <w:t xml:space="preserve">支付</w:t>
      </w:r>
      <w:r>
        <w:rPr>
          <w:rFonts w:hint="eastAsia" w:ascii="宋体" w:hAnsi="宋体" w:cs="宋体"/>
          <w:szCs w:val="21"/>
          <w:highlight w:val="none"/>
        </w:rPr>
        <w:t xml:space="preserve">费用=</w:t>
      </w:r>
      <w:r>
        <w:rPr>
          <w:rFonts w:hint="eastAsia" w:ascii="宋体" w:hAnsi="宋体" w:cs="宋体"/>
          <w:szCs w:val="21"/>
          <w:highlight w:val="none"/>
          <w:lang w:val="en-US" w:eastAsia="zh-CN"/>
        </w:rPr>
        <w:t xml:space="preserve">合同应付金额-</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累计考核扣分数</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3000）</w:t>
      </w:r>
      <w:r>
        <w:rPr>
          <w:rFonts w:hint="eastAsia" w:ascii="宋体" w:hAnsi="宋体" w:cs="宋体"/>
          <w:szCs w:val="21"/>
          <w:highlight w:val="none"/>
        </w:rPr>
        <w:t xml:space="preserve">。</w:t>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ins w:id="0" w:author="李振" w:date="2026-07-28T01:46:43Z" oouserid="李振">
        <w:r>
          <w:rPr>
            <w:rFonts w:hint="eastAsia" w:ascii="宋体" w:hAnsi="宋体" w:eastAsia="宋体" w:cs="宋体"/>
            <w:color w:val="auto"/>
            <w:sz w:val="24"/>
            <w:szCs w:val="24"/>
            <w:highlight w:val="none"/>
            <w:lang w:eastAsia="zh-CN"/>
          </w:rPr>
        </w:r>
      </w:ins>
      <w:r>
        <w:rPr>
          <w:rFonts w:hint="eastAsia" w:ascii="宋体" w:hAnsi="宋体" w:eastAsia="宋体" w:cs="宋体"/>
          <w:color w:val="auto"/>
          <w:sz w:val="24"/>
          <w:szCs w:val="24"/>
          <w:highlight w:val="none"/>
          <w:lang w:eastAsia="zh-CN"/>
        </w:rPr>
      </w:r>
    </w:p>
    <w:p>
      <w:pPr>
        <w:ind w:left="0" w:right="0" w:firstLine="0"/>
        <w:jc w:val="both"/>
        <w:keepLines w:val="0"/>
        <w:keepNext w:val="0"/>
        <w:pageBreakBefore w:val="0"/>
        <w:spacing w:before="240" w:after="24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jc w:val="center"/>
        <w:spacing w:line="360" w:lineRule="auto"/>
        <w:rPr>
          <w:rFonts w:ascii="宋体" w:hAnsi="宋体" w:cs="宋体"/>
          <w:color w:val="auto"/>
          <w:sz w:val="30"/>
          <w:szCs w:val="30"/>
          <w:highlight w:val="none"/>
        </w:rPr>
      </w:pPr>
      <w:r>
        <w:rPr>
          <w:rFonts w:hint="eastAsia" w:ascii="宋体" w:hAnsi="宋体" w:cs="宋体"/>
          <w:b/>
          <w:color w:val="auto"/>
          <w:sz w:val="30"/>
          <w:szCs w:val="30"/>
          <w:highlight w:val="none"/>
        </w:rPr>
        <w:t xml:space="preserve">第六章 采购需求</w:t>
      </w:r>
      <w:bookmarkStart w:id="3" w:name="_Toc322457054"/>
      <w:r/>
      <w:bookmarkEnd w:id="3"/>
      <w:r/>
      <w:bookmarkStart w:id="4" w:name="_Toc324452802"/>
      <w:r/>
      <w:bookmarkEnd w:id="4"/>
      <w:r/>
      <w:r/>
    </w:p>
    <w:p>
      <w:pPr>
        <w:numPr>
          <w:ilvl w:val="0"/>
          <w:numId w:val="5"/>
        </w:numPr>
        <w:ind w:left="0" w:firstLine="0"/>
        <w:spacing w:line="360" w:lineRule="auto"/>
        <w:rPr>
          <w:rFonts w:hint="eastAsia" w:ascii="宋体" w:hAnsi="宋体" w:cs="宋体"/>
          <w:b/>
          <w:szCs w:val="21"/>
          <w:highlight w:val="none"/>
          <w:lang w:eastAsia="zh-CN"/>
        </w:rPr>
        <w:outlineLvl w:val="0"/>
      </w:pPr>
      <w:r>
        <w:rPr>
          <w:rFonts w:hint="eastAsia" w:ascii="宋体" w:hAnsi="宋体" w:cs="宋体"/>
          <w:b/>
          <w:szCs w:val="21"/>
          <w:highlight w:val="none"/>
          <w:lang w:eastAsia="zh-CN"/>
        </w:rPr>
        <w:t xml:space="preserve">采购项目说明</w:t>
      </w:r>
      <w:r/>
    </w:p>
    <w:p>
      <w:pPr>
        <w:ind w:firstLine="482"/>
        <w:spacing w:line="360" w:lineRule="auto"/>
        <w:rPr>
          <w:rFonts w:hint="eastAsia" w:eastAsia="宋体" w:cs="宋体" w:asciiTheme="minorEastAsia" w:hAnsiTheme="minorEastAsia"/>
          <w:szCs w:val="21"/>
          <w:highlight w:val="none"/>
          <w:lang w:eastAsia="zh-CN"/>
        </w:rPr>
      </w:pPr>
      <w:r>
        <w:rPr>
          <w:rFonts w:hint="eastAsia" w:cs="宋体" w:asciiTheme="minorEastAsia" w:hAnsiTheme="minorEastAsia"/>
          <w:szCs w:val="21"/>
          <w:highlight w:val="none"/>
        </w:rPr>
        <w:t xml:space="preserve">（一）采购人：</w:t>
      </w:r>
      <w:r>
        <w:rPr>
          <w:rFonts w:hint="eastAsia" w:cs="宋体" w:asciiTheme="minorEastAsia" w:hAnsiTheme="minorEastAsia"/>
          <w:szCs w:val="21"/>
          <w:highlight w:val="none"/>
          <w:lang w:eastAsia="zh-CN"/>
        </w:rPr>
        <w:t xml:space="preserve">徐州市公安局交通管理支队</w:t>
      </w:r>
      <w:r/>
    </w:p>
    <w:p>
      <w:pPr>
        <w:ind w:firstLine="482"/>
        <w:spacing w:line="360" w:lineRule="auto"/>
        <w:rPr>
          <w:rFonts w:cs="宋体" w:asciiTheme="minorEastAsia" w:hAnsiTheme="minorEastAsia"/>
          <w:szCs w:val="21"/>
          <w:highlight w:val="none"/>
        </w:rPr>
      </w:pPr>
      <w:r>
        <w:rPr>
          <w:rFonts w:hint="eastAsia" w:cs="宋体" w:asciiTheme="minorEastAsia" w:hAnsiTheme="minorEastAsia"/>
          <w:szCs w:val="21"/>
          <w:highlight w:val="none"/>
        </w:rPr>
        <w:t xml:space="preserve">（二）采购项目名称：</w:t>
      </w:r>
      <w:r>
        <w:rPr>
          <w:rFonts w:hint="eastAsia" w:cs="宋体" w:asciiTheme="minorEastAsia" w:hAnsiTheme="minorEastAsia"/>
          <w:szCs w:val="21"/>
          <w:highlight w:val="none"/>
        </w:rPr>
        <w:t xml:space="preserve">通用硬件设备运维项目</w:t>
      </w:r>
      <w:r>
        <w:rPr>
          <w:rFonts w:hint="eastAsia" w:cs="宋体" w:asciiTheme="minorEastAsia" w:hAnsiTheme="minorEastAsia"/>
          <w:szCs w:val="21"/>
          <w:highlight w:val="none"/>
        </w:rPr>
      </w:r>
      <w:r/>
    </w:p>
    <w:p>
      <w:pPr>
        <w:ind w:firstLine="482"/>
        <w:spacing w:line="360" w:lineRule="auto"/>
        <w:rPr>
          <w:rFonts w:hint="default" w:cs="宋体" w:asciiTheme="minorEastAsia" w:hAnsiTheme="minorEastAsia"/>
          <w:szCs w:val="21"/>
          <w:highlight w:val="none"/>
          <w:lang w:val="en-US"/>
        </w:rPr>
      </w:pPr>
      <w:r>
        <w:rPr>
          <w:rFonts w:hint="eastAsia" w:cs="宋体" w:asciiTheme="minorEastAsia" w:hAnsiTheme="minorEastAsia"/>
          <w:szCs w:val="21"/>
          <w:highlight w:val="none"/>
        </w:rPr>
        <w:t xml:space="preserve">（三）采购标的：</w:t>
      </w:r>
      <w:r>
        <w:rPr>
          <w:rFonts w:hint="eastAsia" w:cs="宋体" w:asciiTheme="minorEastAsia" w:hAnsiTheme="minorEastAsia"/>
          <w:szCs w:val="21"/>
          <w:highlight w:val="none"/>
          <w:lang w:val="en-US" w:eastAsia="zh-CN"/>
        </w:rPr>
        <w:t xml:space="preserve">通用硬件设备运维项目</w:t>
      </w:r>
      <w:r/>
    </w:p>
    <w:p>
      <w:pPr>
        <w:ind w:firstLine="482"/>
        <w:spacing w:line="360" w:lineRule="auto"/>
        <w:rPr>
          <w:rFonts w:cs="宋体" w:asciiTheme="minorEastAsia" w:hAnsiTheme="minorEastAsia"/>
          <w:szCs w:val="21"/>
          <w:highlight w:val="none"/>
        </w:rPr>
      </w:pPr>
      <w:r>
        <w:rPr>
          <w:rFonts w:hint="eastAsia" w:cs="宋体" w:asciiTheme="minorEastAsia" w:hAnsiTheme="minorEastAsia"/>
          <w:szCs w:val="21"/>
          <w:highlight w:val="none"/>
        </w:rPr>
        <w:t xml:space="preserve">（四）本项目属于专门面向中小微企业采购的项目，供应商应为中小微企业、监狱企业、残疾人福利性单位。对应的中小企业划分标准所属行业为（其他未列明服务业）。</w:t>
      </w:r>
      <w:r/>
    </w:p>
    <w:p>
      <w:pPr>
        <w:ind w:firstLine="480"/>
        <w:spacing w:line="360" w:lineRule="auto"/>
        <w:rPr>
          <w:rFonts w:cs="宋体" w:asciiTheme="minorEastAsia" w:hAnsiTheme="minorEastAsia"/>
          <w:szCs w:val="21"/>
          <w:highlight w:val="none"/>
        </w:rPr>
      </w:pPr>
      <w:r>
        <w:rPr>
          <w:rFonts w:hint="eastAsia" w:cs="宋体" w:asciiTheme="minorEastAsia" w:hAnsiTheme="minorEastAsia"/>
          <w:szCs w:val="21"/>
          <w:highlight w:val="none"/>
        </w:rPr>
        <w:t xml:space="preserve">（五）本项目不接受单价超过限价，结算总价</w:t>
      </w:r>
      <w:r>
        <w:rPr>
          <w:rFonts w:hint="eastAsia" w:cs="宋体" w:asciiTheme="minorEastAsia" w:hAnsiTheme="minorEastAsia"/>
          <w:szCs w:val="21"/>
          <w:highlight w:val="none"/>
          <w:lang w:val="en-US" w:eastAsia="zh-CN"/>
        </w:rPr>
        <w:t xml:space="preserve">不</w:t>
      </w:r>
      <w:r>
        <w:rPr>
          <w:rFonts w:hint="eastAsia" w:cs="宋体" w:asciiTheme="minorEastAsia" w:hAnsiTheme="minorEastAsia"/>
          <w:szCs w:val="21"/>
          <w:highlight w:val="none"/>
        </w:rPr>
        <w:t xml:space="preserve">超过</w:t>
      </w:r>
      <w:r>
        <w:rPr>
          <w:rFonts w:hint="eastAsia" w:cs="宋体" w:asciiTheme="minorEastAsia" w:hAnsiTheme="minorEastAsia"/>
          <w:szCs w:val="21"/>
          <w:highlight w:val="none"/>
          <w:lang w:val="en-US" w:eastAsia="zh-CN"/>
        </w:rPr>
        <w:t xml:space="preserve">127.8</w:t>
      </w:r>
      <w:r>
        <w:rPr>
          <w:rFonts w:hint="eastAsia" w:cs="宋体" w:asciiTheme="minorEastAsia" w:hAnsiTheme="minorEastAsia"/>
          <w:szCs w:val="21"/>
          <w:highlight w:val="none"/>
        </w:rPr>
        <w:t xml:space="preserve">万元（采购项目预算金额）的投标报价。</w:t>
      </w:r>
      <w:r/>
    </w:p>
    <w:p>
      <w:pPr>
        <w:numPr>
          <w:ilvl w:val="0"/>
          <w:numId w:val="5"/>
        </w:numPr>
        <w:ind w:left="0" w:firstLine="0"/>
        <w:spacing w:line="360" w:lineRule="auto"/>
        <w:rPr>
          <w:rFonts w:hint="eastAsia" w:ascii="宋体" w:hAnsi="宋体" w:cs="宋体"/>
          <w:b/>
          <w:szCs w:val="21"/>
          <w:highlight w:val="none"/>
          <w:lang w:eastAsia="zh-CN"/>
        </w:rPr>
        <w:outlineLvl w:val="0"/>
      </w:pPr>
      <w:r>
        <w:rPr>
          <w:rFonts w:hint="eastAsia" w:ascii="宋体" w:hAnsi="宋体" w:cs="宋体"/>
          <w:b/>
          <w:szCs w:val="21"/>
          <w:highlight w:val="none"/>
          <w:lang w:eastAsia="zh-CN"/>
        </w:rPr>
        <w:t xml:space="preserve">项目概述</w:t>
      </w:r>
      <w:r/>
    </w:p>
    <w:p>
      <w:pPr>
        <w:ind w:firstLine="482"/>
        <w:spacing w:line="360" w:lineRule="auto"/>
        <w:rPr>
          <w:rFonts w:hint="eastAsia" w:ascii="宋体" w:hAnsi="宋体" w:cs="宋体"/>
          <w:bCs/>
          <w:szCs w:val="21"/>
          <w:highlight w:val="none"/>
          <w:lang w:eastAsia="zh-CN"/>
        </w:rPr>
      </w:pPr>
      <w:r>
        <w:rPr>
          <w:rFonts w:hint="eastAsia" w:ascii="宋体" w:hAnsi="宋体" w:cs="宋体"/>
          <w:bCs/>
          <w:szCs w:val="21"/>
          <w:highlight w:val="none"/>
          <w:lang w:eastAsia="zh-CN"/>
        </w:rPr>
        <w:t xml:space="preserve">交管支队通用硬件设备运维项目预算127.8万元，资金来源2026-2027年跨年度预算。</w:t>
      </w:r>
      <w:r/>
    </w:p>
    <w:p>
      <w:pPr>
        <w:ind w:firstLine="482"/>
        <w:spacing w:line="360" w:lineRule="auto"/>
        <w:rPr>
          <w:rFonts w:hint="eastAsia" w:ascii="宋体" w:hAnsi="宋体" w:cs="宋体"/>
          <w:bCs/>
          <w:szCs w:val="21"/>
          <w:highlight w:val="none"/>
          <w:lang w:eastAsia="zh-CN"/>
        </w:rPr>
      </w:pPr>
      <w:r>
        <w:rPr>
          <w:rFonts w:hint="eastAsia" w:ascii="宋体" w:hAnsi="宋体" w:cs="宋体"/>
          <w:bCs/>
          <w:szCs w:val="21"/>
          <w:highlight w:val="none"/>
          <w:lang w:eastAsia="zh-CN"/>
        </w:rPr>
        <w:t xml:space="preserve">服务内容：1、交管支队公安网(集指平台，执法记录仪、警务通等)、2、视频专网机房脱保设备、3、车驾管机房脱保以及支队办公区域内的全部弱电设备(监控、门禁)、4、执法记录仪后台设备、5、移动警务通终端及其后台设备、6、公安交通集成指挥平台硬件设备、7、视频会议硬件设备以及移动通信指挥车。开展相应的硬件巡检、维修保养等工作。</w:t>
      </w:r>
      <w:r/>
    </w:p>
    <w:p>
      <w:pPr>
        <w:ind w:firstLine="482"/>
        <w:spacing w:line="360" w:lineRule="auto"/>
        <w:rPr>
          <w:rFonts w:hint="eastAsia" w:ascii="宋体" w:hAnsi="宋体" w:cs="宋体"/>
          <w:bCs/>
          <w:szCs w:val="21"/>
          <w:highlight w:val="none"/>
          <w:lang w:eastAsia="zh-CN"/>
        </w:rPr>
      </w:pPr>
      <w:r>
        <w:rPr>
          <w:rFonts w:hint="eastAsia" w:ascii="宋体" w:hAnsi="宋体" w:cs="宋体"/>
          <w:bCs/>
          <w:szCs w:val="21"/>
          <w:highlight w:val="none"/>
          <w:lang w:eastAsia="zh-CN"/>
        </w:rPr>
        <w:t xml:space="preserve">服务期限：计划为2026年9月25日至2027年3月</w:t>
      </w:r>
      <w:r>
        <w:rPr>
          <w:rFonts w:hint="eastAsia" w:ascii="宋体" w:hAnsi="宋体" w:cs="宋体"/>
          <w:bCs/>
          <w:szCs w:val="21"/>
          <w:highlight w:val="none"/>
          <w:lang w:val="en-US" w:eastAsia="zh-CN"/>
        </w:rPr>
        <w:t xml:space="preserve">31</w:t>
      </w:r>
      <w:r>
        <w:rPr>
          <w:rFonts w:hint="eastAsia" w:ascii="宋体" w:hAnsi="宋体" w:cs="宋体"/>
          <w:bCs/>
          <w:szCs w:val="21"/>
          <w:highlight w:val="none"/>
          <w:lang w:eastAsia="zh-CN"/>
        </w:rPr>
        <w:t xml:space="preserve">日。</w:t>
      </w:r>
      <w:r/>
    </w:p>
    <w:p>
      <w:pPr>
        <w:numPr>
          <w:ilvl w:val="0"/>
          <w:numId w:val="5"/>
        </w:numPr>
        <w:ind w:left="0" w:firstLine="0"/>
        <w:spacing w:line="360" w:lineRule="auto"/>
        <w:rPr>
          <w:rFonts w:hint="eastAsia" w:ascii="宋体" w:hAnsi="宋体" w:cs="宋体"/>
          <w:b/>
          <w:szCs w:val="21"/>
          <w:highlight w:val="none"/>
          <w:lang w:eastAsia="zh-CN"/>
        </w:rPr>
        <w:outlineLvl w:val="0"/>
      </w:pPr>
      <w:r>
        <w:rPr>
          <w:rFonts w:hint="eastAsia" w:ascii="宋体" w:hAnsi="宋体" w:cs="宋体"/>
          <w:b/>
          <w:szCs w:val="21"/>
          <w:highlight w:val="none"/>
          <w:lang w:eastAsia="zh-CN"/>
        </w:rPr>
        <w:t xml:space="preserve">总体设计与技术要求</w:t>
      </w:r>
      <w:r/>
    </w:p>
    <w:p>
      <w:pPr>
        <w:ind w:firstLine="480"/>
        <w:spacing w:line="360" w:lineRule="auto"/>
        <w:rPr>
          <w:rFonts w:hint="eastAsia" w:ascii="宋体" w:hAnsi="宋体" w:cs="宋体"/>
          <w:bCs/>
          <w:szCs w:val="21"/>
          <w:highlight w:val="none"/>
        </w:rPr>
      </w:pPr>
      <w:r>
        <w:rPr>
          <w:rFonts w:hint="eastAsia" w:ascii="宋体" w:hAnsi="宋体" w:cs="宋体"/>
          <w:bCs/>
          <w:szCs w:val="21"/>
          <w:highlight w:val="none"/>
        </w:rPr>
        <w:t xml:space="preserve">本项目总体设计、硬件部署、运维保障、安全管理全流程工作须严格遵照国家、公安、交通行业现行法律法规、标准规范执行，适用标准包含但不限于：</w:t>
      </w:r>
      <w:r/>
    </w:p>
    <w:p>
      <w:pPr>
        <w:numPr>
          <w:ilvl w:val="0"/>
          <w:numId w:val="6"/>
        </w:numPr>
        <w:ind w:left="425" w:hanging="425"/>
        <w:spacing w:line="360" w:lineRule="auto"/>
        <w:rPr>
          <w:rFonts w:hint="eastAsia" w:ascii="宋体" w:hAnsi="宋体" w:cs="宋体"/>
          <w:bCs/>
          <w:szCs w:val="21"/>
          <w:highlight w:val="none"/>
        </w:rPr>
      </w:pPr>
      <w:r>
        <w:rPr>
          <w:rFonts w:hint="eastAsia" w:ascii="宋体" w:hAnsi="宋体" w:cs="宋体"/>
          <w:bCs/>
          <w:szCs w:val="21"/>
          <w:highlight w:val="none"/>
        </w:rPr>
        <w:t xml:space="preserve">GB/T22239《信息安全技术网络安全等级保护基本要求》，落实公安信息系统安全防护、访问管控、日志审计等安全建设运维要求；</w:t>
      </w:r>
      <w:r/>
    </w:p>
    <w:p>
      <w:pPr>
        <w:numPr>
          <w:ilvl w:val="0"/>
          <w:numId w:val="6"/>
        </w:numPr>
        <w:ind w:left="425" w:hanging="425"/>
        <w:spacing w:line="360" w:lineRule="auto"/>
        <w:rPr>
          <w:rFonts w:hint="eastAsia" w:ascii="宋体" w:hAnsi="宋体" w:cs="宋体"/>
          <w:bCs/>
          <w:szCs w:val="21"/>
          <w:highlight w:val="none"/>
        </w:rPr>
      </w:pPr>
      <w:r>
        <w:rPr>
          <w:rFonts w:hint="eastAsia" w:ascii="宋体" w:hAnsi="宋体" w:cs="宋体"/>
          <w:bCs/>
          <w:szCs w:val="21"/>
          <w:highlight w:val="none"/>
        </w:rPr>
        <w:t xml:space="preserve">GB50174《数据中心设计规范》、GB/T2887《计算机场地通用规范》，规范机房环境、供配电、机柜布局等硬件基础建设运维；</w:t>
      </w:r>
      <w:r/>
    </w:p>
    <w:p>
      <w:pPr>
        <w:numPr>
          <w:ilvl w:val="0"/>
          <w:numId w:val="6"/>
        </w:numPr>
        <w:ind w:left="425" w:hanging="425"/>
        <w:spacing w:line="360" w:lineRule="auto"/>
        <w:rPr>
          <w:rFonts w:hint="eastAsia" w:ascii="宋体" w:hAnsi="宋体" w:cs="宋体"/>
          <w:bCs/>
          <w:szCs w:val="21"/>
          <w:highlight w:val="none"/>
        </w:rPr>
      </w:pPr>
      <w:r>
        <w:rPr>
          <w:rFonts w:hint="eastAsia" w:ascii="宋体" w:hAnsi="宋体" w:cs="宋体"/>
          <w:bCs/>
          <w:szCs w:val="21"/>
          <w:highlight w:val="none"/>
        </w:rPr>
        <w:t xml:space="preserve">GB/T34960系列《信息技术设备运维服务》通用及服务器、存储、网络、终端运维分项标准，规范各类交管硬件巡检、故障处置、维保作业流程；</w:t>
      </w:r>
      <w:r/>
    </w:p>
    <w:p>
      <w:pPr>
        <w:numPr>
          <w:ilvl w:val="0"/>
          <w:numId w:val="6"/>
        </w:numPr>
        <w:ind w:left="425" w:hanging="425"/>
        <w:spacing w:line="360" w:lineRule="auto"/>
        <w:rPr>
          <w:rFonts w:hint="eastAsia" w:ascii="宋体" w:hAnsi="宋体" w:cs="宋体"/>
          <w:bCs/>
          <w:szCs w:val="21"/>
          <w:highlight w:val="none"/>
        </w:rPr>
      </w:pPr>
      <w:r>
        <w:rPr>
          <w:rFonts w:hint="eastAsia" w:ascii="宋体" w:hAnsi="宋体" w:cs="宋体"/>
          <w:bCs/>
          <w:szCs w:val="21"/>
          <w:highlight w:val="none"/>
        </w:rPr>
        <w:t xml:space="preserve">GB/T28181《公共安全视频监控联网系统信息传输、交换、控制技术要求》，满足电警、卡口、监控设备联网、视频传输存储技术规范；</w:t>
      </w:r>
      <w:r/>
    </w:p>
    <w:p>
      <w:pPr>
        <w:numPr>
          <w:ilvl w:val="0"/>
          <w:numId w:val="6"/>
        </w:numPr>
        <w:ind w:left="425" w:hanging="425"/>
        <w:spacing w:line="360" w:lineRule="auto"/>
        <w:rPr>
          <w:rFonts w:hint="eastAsia" w:ascii="宋体" w:hAnsi="宋体" w:cs="宋体"/>
          <w:bCs/>
          <w:szCs w:val="21"/>
          <w:highlight w:val="none"/>
        </w:rPr>
      </w:pPr>
      <w:r>
        <w:rPr>
          <w:rFonts w:hint="eastAsia" w:ascii="宋体" w:hAnsi="宋体" w:cs="宋体"/>
          <w:bCs/>
          <w:szCs w:val="21"/>
          <w:highlight w:val="none"/>
        </w:rPr>
        <w:t xml:space="preserve">GA/T1068《公安信息通信网机房运维规范》、GA/T1069《公安信息通信网设备运维服务规范》，遵循公安专网机房与硬件运维专属管理要求；</w:t>
      </w:r>
      <w:r/>
    </w:p>
    <w:p>
      <w:pPr>
        <w:numPr>
          <w:ilvl w:val="0"/>
          <w:numId w:val="6"/>
        </w:numPr>
        <w:ind w:left="425" w:hanging="425"/>
        <w:spacing w:line="360" w:lineRule="auto"/>
        <w:rPr>
          <w:rFonts w:hint="eastAsia" w:ascii="宋体" w:hAnsi="宋体" w:cs="宋体"/>
          <w:bCs/>
          <w:szCs w:val="21"/>
          <w:highlight w:val="none"/>
        </w:rPr>
      </w:pPr>
      <w:r>
        <w:rPr>
          <w:rFonts w:hint="eastAsia" w:ascii="宋体" w:hAnsi="宋体" w:cs="宋体"/>
          <w:bCs/>
          <w:szCs w:val="21"/>
          <w:highlight w:val="none"/>
        </w:rPr>
        <w:t xml:space="preserve">GA/T1316、GA/T1317《高清卡口、电子警察系统技术要求》，保障交管外场取证设备设计、运维、图像取证合规有效；</w:t>
      </w:r>
      <w:r/>
    </w:p>
    <w:p>
      <w:pPr>
        <w:numPr>
          <w:ilvl w:val="0"/>
          <w:numId w:val="6"/>
        </w:numPr>
        <w:ind w:left="425" w:hanging="425"/>
        <w:spacing w:line="360" w:lineRule="auto"/>
        <w:rPr>
          <w:rFonts w:hint="eastAsia" w:ascii="宋体" w:hAnsi="宋体" w:cs="宋体"/>
          <w:bCs/>
          <w:szCs w:val="21"/>
          <w:highlight w:val="none"/>
        </w:rPr>
      </w:pPr>
      <w:r>
        <w:rPr>
          <w:rFonts w:hint="eastAsia" w:ascii="宋体" w:hAnsi="宋体" w:cs="宋体"/>
          <w:bCs/>
          <w:szCs w:val="21"/>
          <w:highlight w:val="none"/>
        </w:rPr>
        <w:t xml:space="preserve">GB50311、GB50312《综合布线系统工程设计、验收规范》，统一机房及前端线路施工、检修、改造技术标准；</w:t>
      </w:r>
      <w:r/>
    </w:p>
    <w:p>
      <w:pPr>
        <w:numPr>
          <w:ilvl w:val="0"/>
          <w:numId w:val="6"/>
        </w:numPr>
        <w:ind w:left="425" w:hanging="425"/>
        <w:spacing w:line="360" w:lineRule="auto"/>
        <w:rPr>
          <w:rFonts w:hint="eastAsia" w:ascii="宋体" w:hAnsi="宋体" w:cs="宋体"/>
          <w:bCs/>
          <w:szCs w:val="21"/>
          <w:highlight w:val="none"/>
        </w:rPr>
      </w:pPr>
      <w:r>
        <w:rPr>
          <w:rFonts w:hint="eastAsia" w:ascii="宋体" w:hAnsi="宋体" w:cs="宋体"/>
          <w:bCs/>
          <w:szCs w:val="21"/>
          <w:highlight w:val="none"/>
        </w:rPr>
        <w:t xml:space="preserve">GA/T1394《公安信息化项目建设总体技术规范》、GA/T1395《公安信息系统运维服务规范》，约束项目总体架构设计、运维服务管理；</w:t>
      </w:r>
      <w:r/>
    </w:p>
    <w:p>
      <w:pPr>
        <w:numPr>
          <w:ilvl w:val="0"/>
          <w:numId w:val="6"/>
        </w:numPr>
        <w:ind w:left="425" w:hanging="425"/>
        <w:spacing w:line="360" w:lineRule="auto"/>
        <w:rPr>
          <w:rFonts w:hint="eastAsia" w:ascii="宋体" w:hAnsi="宋体" w:cs="宋体"/>
          <w:bCs/>
          <w:szCs w:val="21"/>
          <w:highlight w:val="none"/>
        </w:rPr>
      </w:pPr>
      <w:r>
        <w:rPr>
          <w:rFonts w:hint="eastAsia" w:ascii="宋体" w:hAnsi="宋体" w:cs="宋体"/>
          <w:bCs/>
          <w:szCs w:val="21"/>
          <w:highlight w:val="none"/>
        </w:rPr>
        <w:t xml:space="preserve">《中华人民共和国网络安全法》《数据安全法》《保守国家秘密法》及公安信息保密相关管理规定，严守交管业务数据与内网保密安全；</w:t>
      </w:r>
      <w:r/>
    </w:p>
    <w:p>
      <w:pPr>
        <w:numPr>
          <w:ilvl w:val="0"/>
          <w:numId w:val="6"/>
        </w:numPr>
        <w:ind w:left="425" w:hanging="425"/>
        <w:spacing w:line="360" w:lineRule="auto"/>
        <w:rPr>
          <w:rFonts w:hint="eastAsia" w:ascii="宋体" w:hAnsi="宋体" w:cs="宋体"/>
          <w:bCs/>
          <w:szCs w:val="21"/>
          <w:highlight w:val="none"/>
        </w:rPr>
      </w:pPr>
      <w:r>
        <w:rPr>
          <w:rFonts w:ascii="宋体" w:hAnsi="宋体" w:eastAsia="宋体" w:cs="宋体"/>
          <w:sz w:val="21"/>
          <w:szCs w:val="21"/>
          <w:highlight w:val="none"/>
        </w:rPr>
        <w:t xml:space="preserve">现行有效道路交通管理、公安信息化工程验收、UPS及机房空调配套设备相关国家、行业规范管理制度。</w:t>
      </w:r>
      <w:r/>
    </w:p>
    <w:p>
      <w:pPr>
        <w:ind w:firstLine="480"/>
        <w:spacing w:line="360" w:lineRule="auto"/>
        <w:rPr>
          <w:rFonts w:ascii="宋体" w:hAnsi="宋体" w:cs="宋体"/>
          <w:bCs/>
          <w:szCs w:val="21"/>
          <w:highlight w:val="none"/>
        </w:rPr>
      </w:pPr>
      <w:r>
        <w:rPr>
          <w:rFonts w:hint="eastAsia" w:ascii="宋体" w:hAnsi="宋体" w:cs="宋体"/>
          <w:bCs/>
          <w:szCs w:val="21"/>
          <w:highlight w:val="none"/>
        </w:rPr>
        <w:t xml:space="preserve">以上“国家、行业、地方标准与规范”以及其他的相关行业规范中涉及的技术要求、相关标准发生变化的以最新标准为准。</w:t>
      </w:r>
      <w:r/>
    </w:p>
    <w:p>
      <w:pPr>
        <w:numPr>
          <w:ilvl w:val="0"/>
          <w:numId w:val="5"/>
        </w:numPr>
        <w:ind w:left="0" w:firstLine="0"/>
        <w:spacing w:line="360" w:lineRule="auto"/>
        <w:rPr>
          <w:rFonts w:hint="eastAsia" w:ascii="宋体" w:hAnsi="宋体" w:cs="宋体"/>
          <w:b/>
          <w:szCs w:val="21"/>
          <w:highlight w:val="none"/>
          <w:lang w:val="en-US" w:eastAsia="zh-CN"/>
        </w:rPr>
        <w:outlineLvl w:val="0"/>
      </w:pPr>
      <w:r>
        <w:rPr>
          <w:rFonts w:hint="eastAsia" w:ascii="宋体" w:hAnsi="宋体" w:cs="宋体"/>
          <w:b/>
          <w:szCs w:val="21"/>
          <w:highlight w:val="none"/>
          <w:lang w:val="en-US" w:eastAsia="zh-CN"/>
        </w:rPr>
        <w:t xml:space="preserve">项目实施及技术服务要求</w:t>
      </w:r>
      <w:r/>
    </w:p>
    <w:p>
      <w:pPr>
        <w:ind w:firstLine="480"/>
        <w:spacing w:line="360" w:lineRule="auto"/>
        <w:rPr>
          <w:rFonts w:hint="eastAsia" w:ascii="宋体" w:hAnsi="宋体" w:cs="宋体"/>
          <w:b/>
          <w:szCs w:val="21"/>
          <w:highlight w:val="none"/>
          <w:lang w:eastAsia="zh-CN"/>
        </w:rPr>
        <w:outlineLvl w:val="1"/>
      </w:pPr>
      <w:r>
        <w:rPr>
          <w:rFonts w:hint="eastAsia" w:ascii="宋体" w:hAnsi="宋体" w:cs="宋体"/>
          <w:b/>
          <w:szCs w:val="21"/>
          <w:highlight w:val="none"/>
          <w:lang w:val="en-US" w:eastAsia="zh-CN"/>
        </w:rPr>
        <w:t xml:space="preserve">4.1</w:t>
      </w:r>
      <w:r>
        <w:rPr>
          <w:rFonts w:hint="eastAsia" w:ascii="宋体" w:hAnsi="宋体" w:cs="宋体"/>
          <w:b/>
          <w:szCs w:val="21"/>
          <w:highlight w:val="none"/>
          <w:lang w:eastAsia="zh-CN"/>
        </w:rPr>
        <w:t xml:space="preserve">机房基础环境硬件维保要求</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在合同签订后一周内针对“设备维护清单”中的机房环境硬件所有设备进行全面排查，对于发现的设备软硬件故障和检测出的各类隐患需形成最终解决方案报告。报告提交采购人并获得认可后，由采购人监督、投标人组织技术力量妥善解决报告中的所有问题。该报告将作为验收文档的组成部分并入验收评价报告。</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完全了解采购人当前使用的空调和UPS，知悉设备维护方式，具备相应维护能力，可针对采购人的设备开展日常维护保养工作并提供合理有效的空调使用建议。</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提供7×24小时安全保障服务，保障机房安全运行，周期性巡检数据中心各空调及UPS，每次巡检提供书面巡检报告，并根据巡检报告及时与采购人进行交流，及时协调解决维护工作中的问题。</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对机房基础运行环境的7×24小时安全保障服务，对机房进行巡检，及时处置机房环境报警及相关故障，保障机房安全。</w:t>
      </w:r>
      <w:r/>
    </w:p>
    <w:p>
      <w:pPr>
        <w:ind w:firstLine="480"/>
        <w:spacing w:line="360" w:lineRule="auto"/>
        <w:rPr>
          <w:rFonts w:hint="eastAsia" w:ascii="宋体" w:hAnsi="宋体" w:cs="宋体"/>
          <w:b/>
          <w:bCs w:val="0"/>
          <w:szCs w:val="21"/>
          <w:highlight w:val="none"/>
          <w:lang w:eastAsia="zh-CN"/>
        </w:rPr>
        <w:outlineLvl w:val="1"/>
      </w:pPr>
      <w:r>
        <w:rPr>
          <w:rFonts w:hint="eastAsia" w:ascii="宋体" w:hAnsi="宋体" w:cs="宋体"/>
          <w:b/>
          <w:bCs w:val="0"/>
          <w:szCs w:val="21"/>
          <w:highlight w:val="none"/>
          <w:lang w:val="en-US" w:eastAsia="zh-CN"/>
        </w:rPr>
        <w:t xml:space="preserve">4.2 </w:t>
      </w:r>
      <w:r>
        <w:rPr>
          <w:rFonts w:hint="eastAsia" w:ascii="宋体" w:hAnsi="宋体" w:cs="宋体"/>
          <w:b/>
          <w:bCs w:val="0"/>
          <w:szCs w:val="21"/>
          <w:highlight w:val="none"/>
          <w:lang w:eastAsia="zh-CN"/>
        </w:rPr>
        <w:t xml:space="preserve">IT基础设施硬件资源维保要求</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在合同签订后一周内针对“设备维护清单”中的IT基础设施硬件所有设备进行全面排查，对于发现的设备软硬件故障和检测出的各类隐患需形成最终解决方案报告。报告提交采购人并获得认可后，由采购人监督、组织技术力量妥善解决报告中的所有问题。该报告将作为验收文档的组成部分并入验收评价报告。</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完全了解采购人当前使用的各类服务器及存储等各种硬件设备，知悉设备维护方式，建立必要的底数资料，具备相应维护能力，可针对采购人的设备开展日常管理和维护工作，包括但不限于软件安装、硬件配置、固件补丁更新等。</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制定可行和有针对性的故障解决方案和处理流程，可以满足日常的故障处理要求。</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对硬件设备提供7×24小时安全保障服务。</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针对“设备维护清单”中的所有设备，开展定期巡检并及时发现设备故障和安全隐患，按需制定合理的巡检方法和详实的巡检指标，必要时提供书面巡检报告，并根据巡检报告及时与采购人进行交流，及时协调解决维护工作中的问题。</w:t>
      </w:r>
      <w:r/>
    </w:p>
    <w:p>
      <w:pPr>
        <w:ind w:firstLine="480"/>
        <w:spacing w:line="360" w:lineRule="auto"/>
        <w:rPr>
          <w:rFonts w:hint="eastAsia" w:ascii="宋体" w:hAnsi="宋体" w:cs="宋体"/>
          <w:b/>
          <w:bCs w:val="0"/>
          <w:szCs w:val="21"/>
          <w:highlight w:val="none"/>
          <w:lang w:eastAsia="zh-CN"/>
        </w:rPr>
        <w:outlineLvl w:val="1"/>
      </w:pPr>
      <w:r>
        <w:rPr>
          <w:rFonts w:hint="eastAsia" w:ascii="宋体" w:hAnsi="宋体" w:cs="宋体"/>
          <w:b/>
          <w:bCs w:val="0"/>
          <w:szCs w:val="21"/>
          <w:highlight w:val="none"/>
          <w:lang w:eastAsia="zh-CN"/>
        </w:rPr>
        <w:t xml:space="preserve">4.3.网络及设备维保要求</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在合同签订后一周内针对“设备维护清单”中的网络设备所有设备进行全面排查，对于发现的设备软硬件故障和检测出的各类隐患需形成最终解决方案报告。报告提交采购人并获得认可后，由采购人监督、组织技术力量妥善解决报告中的所有问题。该报告将作为验收文档的组成部分并入验收评价报告。</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完全了解采购人当前使用的各类网络交换机设备，知悉设备维护方式，建立必要的底数资料，具备相应维护能力，可针对采购人的设备开展日常管理和维护工作，包括但不限于设备日常维护配置、补丁漏洞更新、安全加固、设备和网络系统优化。</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针对“设备维护清单”中的网络设备进行定期巡检并及时发现设备故障和安全隐患，按需制定合理的巡检方法和详实的巡检指标，必要时提供书面巡检报告，并根据巡检报告及时与采购人进行交流，及时协调解决维护工作中的问题。</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制定可行和有针对性的故障解决方案和设备运行日志收集分析方案，可以满足日常的故障处理和网络故障事件回溯的需求。</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按照采购人的要求，完成全局各类网络设备的搬迁；运行方式的调整：配置、优化、联调；附属设施扩容、调整以及软硬件故障的诊断和排除；故障的应急处置以及各类网络设备的日常监测、运行保障，重要时间节点值守等。</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提供加强服务，在重大安保任务、敏感时间节点、网络重大割接或其它任何对业务应用产生重大影响的时刻，能够根据业务需要增加安排工程师提供加强服务。</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应配备日常维护、应急抢修必须的维护终端、网线钳、工具包、标签机、检测工具等辅助设备，并提供维保所需相关耗材。</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提供网络及设备7×24小时的安全保障服务，该项工作如需多人协作完成，由中标人自行提供。</w:t>
      </w:r>
      <w:r/>
    </w:p>
    <w:p>
      <w:pPr>
        <w:ind w:firstLine="480"/>
        <w:spacing w:line="360" w:lineRule="auto"/>
        <w:rPr>
          <w:rFonts w:hint="eastAsia" w:ascii="宋体" w:hAnsi="宋体" w:cs="宋体"/>
          <w:b/>
          <w:bCs w:val="0"/>
          <w:szCs w:val="21"/>
          <w:highlight w:val="none"/>
          <w:lang w:eastAsia="zh-CN"/>
        </w:rPr>
        <w:outlineLvl w:val="1"/>
      </w:pPr>
      <w:r>
        <w:rPr>
          <w:rFonts w:hint="eastAsia" w:ascii="宋体" w:hAnsi="宋体" w:cs="宋体"/>
          <w:b/>
          <w:bCs w:val="0"/>
          <w:szCs w:val="21"/>
          <w:highlight w:val="none"/>
          <w:lang w:eastAsia="zh-CN"/>
        </w:rPr>
        <w:t xml:space="preserve">4.4.安全设备维保要求</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针对“设备维护清单”中的安全设备提供不少于</w:t>
      </w:r>
      <w:r>
        <w:rPr>
          <w:rFonts w:hint="eastAsia" w:ascii="宋体" w:hAnsi="宋体" w:cs="宋体"/>
          <w:b w:val="0"/>
          <w:bCs/>
          <w:szCs w:val="21"/>
          <w:highlight w:val="none"/>
          <w:lang w:val="en-US" w:eastAsia="zh-CN"/>
        </w:rPr>
        <w:t xml:space="preserve">半</w:t>
      </w:r>
      <w:r>
        <w:rPr>
          <w:rFonts w:hint="eastAsia" w:ascii="宋体" w:hAnsi="宋体" w:cs="宋体"/>
          <w:b w:val="0"/>
          <w:bCs/>
          <w:szCs w:val="21"/>
          <w:highlight w:val="none"/>
          <w:lang w:eastAsia="zh-CN"/>
        </w:rPr>
        <w:t xml:space="preserve">年的软件升级及维保服务，服务内容至少包括故障判断、报修登记、版本优化升级。提供7×24小时的电话咨询服务和7×24小时的远程技术支持服务。</w:t>
      </w:r>
      <w:r/>
    </w:p>
    <w:p>
      <w:pPr>
        <w:ind w:firstLine="480"/>
        <w:spacing w:line="360" w:lineRule="auto"/>
        <w:rPr>
          <w:rFonts w:hint="eastAsia" w:ascii="宋体" w:hAnsi="宋体" w:cs="宋体"/>
          <w:b w:val="0"/>
          <w:bCs/>
          <w:szCs w:val="21"/>
          <w:highlight w:val="none"/>
          <w:lang w:eastAsia="zh-CN"/>
        </w:rPr>
        <w:outlineLvl w:val="1"/>
      </w:pPr>
      <w:r>
        <w:rPr>
          <w:rFonts w:hint="eastAsia" w:ascii="宋体" w:hAnsi="宋体" w:cs="宋体"/>
          <w:b/>
          <w:bCs w:val="0"/>
          <w:szCs w:val="21"/>
          <w:highlight w:val="none"/>
          <w:lang w:eastAsia="zh-CN"/>
        </w:rPr>
        <w:t xml:space="preserve">4.5.系统平台重大故障应急处理和业务可持续要求</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投标人应具备针对重要业务系统平台，如虚拟化平台、大数据平台、运维安全审计管控系统、负载均衡系统，出现重大故障时的应急处理和业务保障能力，尤其是各业务平台的管理节点、业务节点出现单点或多点物理故障时，投标人可以针对由此出现的问题和附带业务损害提前制定应对预案，根据预案中的处理流程进行故障恢复，确保重大故障出现后平台业务的可持续性，如有可能提供备用系统进行业务接管，提升业务系统的运行质态，缩短故障恢复时间。</w:t>
      </w:r>
      <w:r/>
    </w:p>
    <w:p>
      <w:pPr>
        <w:ind w:firstLine="480"/>
        <w:spacing w:line="360" w:lineRule="auto"/>
        <w:rPr>
          <w:rFonts w:hint="eastAsia" w:ascii="宋体" w:hAnsi="宋体" w:cs="宋体"/>
          <w:b/>
          <w:bCs w:val="0"/>
          <w:szCs w:val="21"/>
          <w:highlight w:val="none"/>
          <w:lang w:eastAsia="zh-CN"/>
        </w:rPr>
        <w:outlineLvl w:val="1"/>
      </w:pPr>
      <w:r>
        <w:rPr>
          <w:rFonts w:hint="eastAsia" w:ascii="宋体" w:hAnsi="宋体" w:cs="宋体"/>
          <w:b/>
          <w:bCs w:val="0"/>
          <w:szCs w:val="21"/>
          <w:highlight w:val="none"/>
          <w:lang w:eastAsia="zh-CN"/>
        </w:rPr>
        <w:t xml:space="preserve">4.6.重要业务或设备运行监控要求</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针对重要业务系统使用的IT基础设施提供7×24小时的不间断高可用监控服务，可以在构成重要业务系统的计算单元、存储单元、网络单元运行异常时第一时间给出告警信息。可以集中收集不同业务系统各网元的告警和运行信息，且告警和运行信息具备可回溯性和可视化特性，方便故障处理时根据信息时间快速锁定原因。</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提供针对云平台/虚拟化平台服务器或虚拟机的在线监控服务，可以通过多种监控指标确定主机和业务存活状态，集中收集并可视化展示主机或虚拟机的当前和历史重要运行信息，包括但不限于CPU负荷、内存占用、磁盘使用、操作系统核心运行指标等。</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提供针对云平台/虚拟化平台以太网交换机的在线监控服务，可以通过多种监控指标确定网络设备的存活状态，可视化以太网交换机当前和历史重要运行信息，包括但不限于CPU负荷、内存占用、接口状态、接口流量、拓扑互联，对以太网设备的重要运行指标在第一时间给出告警通知，包括但不限于主机运行负载过高、接口带宽过高、接口转发异常帧、设备配置变动、异常登录、堆叠组成员异常重启等。</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提供针对云平台/虚拟化平台使用的存储设备在线监控服务，可以通过多种监控指标确定存储设备的存活状态，集中收集并可视化展示存储当前和历史重要运行信息，包括但不限于接口吞吐、IOPS、空间分配占用等，当存储设备的业务侧读写异常或者空间占用达到只读水位时可以在第一时间提供可回溯查询的告警信息。</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针对监控服务的实现提供必要的硬件支持设备，必须避免各类硬件单点故障带来的监控服务失效问题，确保服务的高可用性和持续性。</w:t>
      </w:r>
      <w:r/>
    </w:p>
    <w:p>
      <w:pPr>
        <w:ind w:firstLine="480"/>
        <w:spacing w:line="360" w:lineRule="auto"/>
        <w:rPr>
          <w:rFonts w:hint="eastAsia" w:ascii="宋体" w:hAnsi="宋体" w:cs="宋体"/>
          <w:b/>
          <w:bCs w:val="0"/>
          <w:szCs w:val="21"/>
          <w:highlight w:val="none"/>
          <w:lang w:eastAsia="zh-CN"/>
        </w:rPr>
        <w:outlineLvl w:val="1"/>
      </w:pPr>
      <w:r>
        <w:rPr>
          <w:rFonts w:hint="eastAsia" w:ascii="宋体" w:hAnsi="宋体" w:cs="宋体"/>
          <w:b/>
          <w:bCs w:val="0"/>
          <w:szCs w:val="21"/>
          <w:highlight w:val="none"/>
          <w:lang w:eastAsia="zh-CN"/>
        </w:rPr>
        <w:t xml:space="preserve">4.7.重要业务数据备份要求</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根据业务运行需要梳理云计算平台/虚拟化平台业务虚拟机的业务特点和文件备份需求，规划业务虚拟机的备份策略和备份执行路径。</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提供支持不同类型操作系统的可集中化管理的文件备份服务平台，备份需要支持符合“IT硬件设备维护资产明细”的发行版本。</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对现有业务数据备份系统平台的备份能力进行增强，解决现有业务数据备份系统平台备份并发量过小的问题。</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保证备份存储空间的高可靠性，规避单盘故障导致的备份数据失效。</w:t>
      </w:r>
      <w:r/>
    </w:p>
    <w:p>
      <w:pPr>
        <w:ind w:firstLine="480"/>
        <w:spacing w:line="360" w:lineRule="auto"/>
        <w:rPr>
          <w:rFonts w:hint="eastAsia" w:ascii="宋体" w:hAnsi="宋体" w:cs="宋体"/>
          <w:b/>
          <w:bCs w:val="0"/>
          <w:szCs w:val="21"/>
          <w:highlight w:val="none"/>
          <w:lang w:eastAsia="zh-CN"/>
        </w:rPr>
        <w:outlineLvl w:val="1"/>
      </w:pPr>
      <w:r>
        <w:rPr>
          <w:rFonts w:hint="eastAsia" w:ascii="宋体" w:hAnsi="宋体" w:cs="宋体"/>
          <w:b/>
          <w:bCs w:val="0"/>
          <w:szCs w:val="21"/>
          <w:highlight w:val="none"/>
          <w:lang w:eastAsia="zh-CN"/>
        </w:rPr>
        <w:t xml:space="preserve">4.8.机房管理及维护要求</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落实机房管理规章制度，做好人员出入机房的审核、登记及管理工作。对进入机房的人员进行登记；监督业务系统人员机房工作时间，无采购人批准严禁人员提前进入和滞留在机房内；对外场人员在机房内部进行的所有安装、调试、维护工作，机房管理人员需要按照规范制度进行监督。</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按照运维管理规范对系统部署、上线、停机维护、下线、监控报警及故障处置等各类事件进行管理，处理运维系统产生的各类事件信息，告警等异常信息及时进行处置并上报。</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需对机房内所有设备和材料数量进行清点并登记，承担机房设备和材料丢失风险，玩忽职守造成采购人设备和材料丢失的，采购人有权索赔，情节严重的有权终止合同。</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依托采购人的运维系统，梳理和维护机房的系统、设备等资源信息，形成完整的日常维护服务台账，并及时做好资料变更工作。</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根据采购的人的业务需要，提供不大于4次的小批量跨机房设备搬迁服务（设备类型包括：计算、存储、网络、安全等设备，同时提供必要的综合布线、理线服务），配合完成设备的上下架工作，提供上架所需的相关配件（光纤、挡板、电源线），配合完成业务系统的迁移调试，确保设备迁移后业务的正常运行。搬迁过程中所需要的软件、硬件及其他各项投入由中标人提供（部署后硬盘不返还），因此产生的各项费用由中标人承担。</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按照机房保洁制度规范要求，需对数据中心机房内部及值班环境的地板、机柜、门、桥架等相关设施进行不少于1次/月的清洁工作，清洁工作主要集中在机房和新建技术用房机房；同时按照采购人需求不定期提供必要机房清理工作，如物品清理、线缆梳理等。</w:t>
      </w:r>
      <w:r/>
    </w:p>
    <w:p>
      <w:pPr>
        <w:ind w:firstLine="480"/>
        <w:spacing w:line="360" w:lineRule="auto"/>
        <w:rPr>
          <w:rFonts w:hint="eastAsia" w:ascii="宋体" w:hAnsi="宋体" w:cs="宋体"/>
          <w:b/>
          <w:bCs w:val="0"/>
          <w:szCs w:val="21"/>
          <w:highlight w:val="none"/>
          <w:lang w:eastAsia="zh-CN"/>
        </w:rPr>
        <w:outlineLvl w:val="1"/>
      </w:pPr>
      <w:r>
        <w:rPr>
          <w:rFonts w:hint="eastAsia" w:ascii="宋体" w:hAnsi="宋体" w:cs="宋体"/>
          <w:b/>
          <w:bCs w:val="0"/>
          <w:szCs w:val="21"/>
          <w:highlight w:val="none"/>
          <w:lang w:eastAsia="zh-CN"/>
        </w:rPr>
        <w:t xml:space="preserve">4.9.备品备件要求</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需储备易损的内存、硬盘等备用件，便于及时更换故障硬件，采购人不定期对储备件情况进行检查。采购人会针对每次检查形成制式储备件检查报告，该报告将作为验收文档的组成部分并入验收评价报告。采购人将依据储备件生产厂商、规格、数量等指标形成储备件检查结果并计入检查报告。若检查结果存在不合格的情况，将被视为不符合验收标准要求。备品备件应按照原厂硬件或经采购人认可的符合原厂技术参数要求的硬件进行采购储备。</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所有新旧设备必须附上二维码，扫描二维码必须能查询到出厂、安装、维修、更换信息，还包括时间、巡检次数等信息，所有更换的旧设备要登记入库，备注更换时间、设备状态、设备品牌型号等必要信息，同时按照固定资产管理规定履行相关手续，以备办理固定资产报废流程。</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整机以及配件维修更换：整机以及配件包含的功能模块的配置不得低于支队现有同款设备功能模块的配置。</w:t>
      </w:r>
      <w:r/>
    </w:p>
    <w:p>
      <w:pPr>
        <w:ind w:firstLine="480"/>
        <w:spacing w:line="360" w:lineRule="auto"/>
        <w:rPr>
          <w:rFonts w:hint="eastAsia" w:ascii="宋体" w:hAnsi="宋体" w:cs="宋体"/>
          <w:b w:val="0"/>
          <w:bCs/>
          <w:szCs w:val="21"/>
          <w:highlight w:val="none"/>
          <w:lang w:eastAsia="zh-CN"/>
        </w:rPr>
        <w:outlineLvl w:val="1"/>
      </w:pPr>
      <w:r>
        <w:rPr>
          <w:rFonts w:hint="eastAsia" w:ascii="宋体" w:hAnsi="宋体" w:cs="宋体"/>
          <w:b/>
          <w:bCs w:val="0"/>
          <w:szCs w:val="21"/>
          <w:highlight w:val="none"/>
          <w:lang w:eastAsia="zh-CN"/>
        </w:rPr>
        <w:t xml:space="preserve">4.10.指挥车运维要求</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1、保障交管支队指挥车移动指挥平台设备(包含与平台相关所有设备、终端操作台、机架、线路、接口等，下同)正常运行，针对上述设备实施安全巡查、维护保养、隐患排査处理、故障处置、应急处置、安保保障、有效运行、系统优化调试、升级改造等运行维护服务，确保设备正常、安全、可靠、整洁、完整、牢固。在服务期内，所有设备发生的所有安全事故由成交方承担全部责任并处理相关事宜，所有设备发生丢失、损毁等情况，由成交方承担全部责任和损失并处理相关事宜。</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2、老旧设备、线路、接口升级改造。</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3、提供随车保障服务。</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4、定期做好平台设备内外部的杂物清理任务，确保平台设备用电、消防安全。</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5、外接网络的连接、调试、优化，网络安全管理，安全防护。</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6、提供不低于1辆保障服务车辆，跟随指挥车进行保障服务。</w:t>
      </w:r>
      <w:r/>
    </w:p>
    <w:p>
      <w:pPr>
        <w:ind w:firstLine="480"/>
        <w:spacing w:line="360" w:lineRule="auto"/>
        <w:rPr>
          <w:rFonts w:hint="eastAsia" w:ascii="宋体" w:hAnsi="宋体" w:cs="宋体"/>
          <w:b/>
          <w:bCs w:val="0"/>
          <w:szCs w:val="21"/>
          <w:highlight w:val="none"/>
          <w:lang w:eastAsia="zh-CN"/>
        </w:rPr>
        <w:outlineLvl w:val="1"/>
      </w:pPr>
      <w:r>
        <w:rPr>
          <w:rFonts w:hint="eastAsia" w:ascii="宋体" w:hAnsi="宋体" w:cs="宋体"/>
          <w:b/>
          <w:bCs w:val="0"/>
          <w:szCs w:val="21"/>
          <w:highlight w:val="none"/>
          <w:lang w:eastAsia="zh-CN"/>
        </w:rPr>
        <w:t xml:space="preserve">4.11.视频会议维护要求</w:t>
      </w:r>
      <w:r/>
    </w:p>
    <w:p>
      <w:pPr>
        <w:ind w:firstLine="480"/>
        <w:spacing w:line="360" w:lineRule="auto"/>
        <w:rPr>
          <w:rFonts w:hint="eastAsia" w:ascii="宋体" w:hAnsi="宋体" w:cs="宋体"/>
          <w:b w:val="0"/>
          <w:bCs/>
          <w:szCs w:val="21"/>
          <w:highlight w:val="none"/>
          <w:lang w:eastAsia="zh-CN"/>
        </w:rPr>
        <w:outlineLvl w:val="2"/>
      </w:pPr>
      <w:r>
        <w:rPr>
          <w:rFonts w:hint="eastAsia" w:ascii="宋体" w:hAnsi="宋体" w:cs="宋体"/>
          <w:b w:val="0"/>
          <w:bCs/>
          <w:szCs w:val="21"/>
          <w:highlight w:val="none"/>
          <w:lang w:eastAsia="zh-CN"/>
        </w:rPr>
        <w:t xml:space="preserve">一、运维服务要求</w:t>
      </w:r>
      <w:r/>
    </w:p>
    <w:p>
      <w:pPr>
        <w:ind w:firstLine="480"/>
        <w:spacing w:line="360" w:lineRule="auto"/>
        <w:rPr>
          <w:rFonts w:hint="eastAsia" w:ascii="宋体" w:hAnsi="宋体" w:cs="宋体"/>
          <w:b w:val="0"/>
          <w:bCs/>
          <w:szCs w:val="21"/>
          <w:highlight w:val="none"/>
          <w:lang w:eastAsia="zh-CN"/>
        </w:rPr>
        <w:outlineLvl w:val="3"/>
      </w:pPr>
      <w:r>
        <w:rPr>
          <w:rFonts w:hint="eastAsia" w:ascii="宋体" w:hAnsi="宋体" w:cs="宋体"/>
          <w:b w:val="0"/>
          <w:bCs/>
          <w:szCs w:val="21"/>
          <w:highlight w:val="none"/>
          <w:lang w:eastAsia="zh-CN"/>
        </w:rPr>
        <w:t xml:space="preserve">1.常态化维保与巡检</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按照服务内容，提供针对本项目的维保设备提交维保与巡检工作方案。包含并且不限于巡检方式、巡检内容、所需专业设备、时间进度安排、管理制度等。巡检方式是指预防性巡检、故障排查和设备检查。</w:t>
      </w:r>
      <w:r/>
    </w:p>
    <w:p>
      <w:pPr>
        <w:ind w:firstLine="480"/>
        <w:spacing w:line="360" w:lineRule="auto"/>
        <w:rPr>
          <w:rFonts w:hint="eastAsia" w:ascii="宋体" w:hAnsi="宋体" w:cs="宋体"/>
          <w:b w:val="0"/>
          <w:bCs/>
          <w:szCs w:val="21"/>
          <w:highlight w:val="none"/>
          <w:lang w:eastAsia="zh-CN"/>
        </w:rPr>
        <w:outlineLvl w:val="3"/>
      </w:pPr>
      <w:r>
        <w:rPr>
          <w:rFonts w:hint="eastAsia" w:ascii="宋体" w:hAnsi="宋体" w:cs="宋体"/>
          <w:b w:val="0"/>
          <w:bCs/>
          <w:szCs w:val="21"/>
          <w:highlight w:val="none"/>
          <w:lang w:eastAsia="zh-CN"/>
        </w:rPr>
        <w:t xml:space="preserve">2.巡检内容</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‌（1）设备巡检‌：通过设备巡检，及时发现缺陷，确保设备运行在最优化状态。巡检内容包括检查设备的完好性、图像质量、声音信号质量等‌。</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‌（2）运行环境检查‌：检查机房的空调运行情况、清洁情况、供电系统、防静电措施等，确保设备在良好的环境中运行‌。</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‌（3）所需专业设备是指巡检时使用的各种专业设备由中标供应商自行提供。</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（4）时间进度安排：需要每月对所有系统与设备进行巡检，巡检时不能影响常态化的工作。</w:t>
      </w:r>
      <w:r/>
    </w:p>
    <w:p>
      <w:pPr>
        <w:ind w:firstLine="480"/>
        <w:spacing w:line="360" w:lineRule="auto"/>
        <w:rPr>
          <w:rFonts w:hint="eastAsia" w:ascii="宋体" w:hAnsi="宋体" w:cs="宋体"/>
          <w:b w:val="0"/>
          <w:bCs/>
          <w:szCs w:val="21"/>
          <w:highlight w:val="none"/>
          <w:lang w:eastAsia="zh-CN"/>
        </w:rPr>
        <w:outlineLvl w:val="3"/>
      </w:pPr>
      <w:r>
        <w:rPr>
          <w:rFonts w:hint="eastAsia" w:ascii="宋体" w:hAnsi="宋体" w:cs="宋体"/>
          <w:b w:val="0"/>
          <w:bCs/>
          <w:szCs w:val="21"/>
          <w:highlight w:val="none"/>
          <w:lang w:eastAsia="zh-CN"/>
        </w:rPr>
        <w:t xml:space="preserve">3.巡检管理制度</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（1）记录巡检时间、地点、发现的问题及完成的工作内容。对于发现的问题，及时通知维修人员进行维修，并填写维修单记录。巡检过程中必须认真细致，确保每一个细节都被检查到‌。</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（2）本维保项目成立技术支撑团队，提供7×24小时的远程技术支持，当服务人手不足或力量不足时，及时安排团队人员到现场协助解决问题。</w:t>
      </w:r>
      <w:r/>
    </w:p>
    <w:p>
      <w:pPr>
        <w:ind w:firstLine="480"/>
        <w:spacing w:line="360" w:lineRule="auto"/>
        <w:rPr>
          <w:rFonts w:hint="eastAsia" w:ascii="宋体" w:hAnsi="宋体" w:cs="宋体"/>
          <w:b w:val="0"/>
          <w:bCs/>
          <w:szCs w:val="21"/>
          <w:highlight w:val="none"/>
          <w:lang w:eastAsia="zh-CN"/>
        </w:rPr>
        <w:outlineLvl w:val="3"/>
      </w:pPr>
      <w:r>
        <w:rPr>
          <w:rFonts w:hint="eastAsia" w:ascii="宋体" w:hAnsi="宋体" w:cs="宋体"/>
          <w:b w:val="0"/>
          <w:bCs/>
          <w:szCs w:val="21"/>
          <w:highlight w:val="none"/>
          <w:lang w:eastAsia="zh-CN"/>
        </w:rPr>
        <w:t xml:space="preserve">4.硬件故障维修与更换</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（1）按照服务内容，提供针对本项目的硬件故障维修与更换工作流程，至少包含故障预案、故障维修内容。</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2）硬件故障维修与更换工作流程：硬件主要指视频会议终端、麦克风、摄像机、矩阵、中控、显示设备、调音台、功放、音箱等设备，需要保持健康的运行状态，需要提前预防性的维修和更换，提供备件后再行离场维修。</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（3）硬件故障预案</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针对每个设备提出故障的处理与应急预案，要求在短时间之内处理因为硬件而引起的系统故障。</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（4）故障维修内容</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从预防性和实时性两个角度提出维修内容，确保故障的预判性处置与服务人员的实时解决故障。</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（5）主要更换配件（备件）内容</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根据现场设备的使用年限，提出主要更换配件（备件）的具体内容与方案，确保备件对常态化运行的针对性。</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基于常态化运行与巡检，对于系统与设备，要求提出常态化的系统备份、硬件备份、硬件维修与更换方案与措施，做到会议系统无隐患运行，出现故障能够在不影响常态化会议议程的前提下进行更换与维修。</w:t>
      </w:r>
      <w:r/>
    </w:p>
    <w:p>
      <w:pPr>
        <w:ind w:firstLine="480"/>
        <w:spacing w:line="360" w:lineRule="auto"/>
        <w:rPr>
          <w:rFonts w:hint="eastAsia" w:ascii="宋体" w:hAnsi="宋体" w:cs="宋体"/>
          <w:b w:val="0"/>
          <w:bCs/>
          <w:szCs w:val="21"/>
          <w:highlight w:val="none"/>
          <w:lang w:eastAsia="zh-CN"/>
        </w:rPr>
        <w:outlineLvl w:val="3"/>
      </w:pPr>
      <w:r>
        <w:rPr>
          <w:rFonts w:hint="eastAsia" w:ascii="宋体" w:hAnsi="宋体" w:cs="宋体"/>
          <w:b w:val="0"/>
          <w:bCs/>
          <w:szCs w:val="21"/>
          <w:highlight w:val="none"/>
          <w:lang w:eastAsia="zh-CN"/>
        </w:rPr>
        <w:t xml:space="preserve">5.软件故障处置和恢复</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1）整个视频会议系统具有统一的控制软件，能够基于集中控制，同时各系统与各场所也能单独控制，集中式与分布式相结合。控制软件与控制终端的稳定性至关重要，要求各类控制操作具有备份、应急，当某一环节出现故障，迅速启动备份或者应急控制方案，会议系统无故障感觉，会议流程不受任何影响。</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（2）按照服务内容，提供针对本项目的软件故障处置和恢复方案，至少包含故障预案、处理方式、所需专业工具、时间进度安排等内容。</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（3）故障预案是指预防性和实时性软件故障处理预案，确保控制软件和会议系统软件始终保持可用状态。</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（4）处理方式：是指预防性和实时性控制软件故障处理方式，常态化巡检软件的底层数据是否正常，软件备份与恢复方式等等。</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（5）所需专业工具是指软件巡检、备份、恢复等等所需要的工具，在常态化工作情况下，在服从甲方管理的条件，保证网络安全的前提下使用。</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（6）时间进度安排是指软件故障处置和恢复的时段安排，不能影响常态化的工作，巡检间隔不能超过一个月，故障处置不能超过2小时。</w:t>
      </w:r>
      <w:r/>
    </w:p>
    <w:p>
      <w:pPr>
        <w:ind w:firstLine="480"/>
        <w:spacing w:line="360" w:lineRule="auto"/>
        <w:rPr>
          <w:rFonts w:hint="eastAsia" w:ascii="宋体" w:hAnsi="宋体" w:cs="宋体"/>
          <w:b w:val="0"/>
          <w:bCs/>
          <w:szCs w:val="21"/>
          <w:highlight w:val="none"/>
          <w:lang w:eastAsia="zh-CN"/>
        </w:rPr>
        <w:outlineLvl w:val="3"/>
      </w:pPr>
      <w:r>
        <w:rPr>
          <w:rFonts w:hint="eastAsia" w:ascii="宋体" w:hAnsi="宋体" w:cs="宋体"/>
          <w:b w:val="0"/>
          <w:bCs/>
          <w:szCs w:val="21"/>
          <w:highlight w:val="none"/>
          <w:lang w:val="en-US" w:eastAsia="zh-CN"/>
        </w:rPr>
        <w:t xml:space="preserve">6</w:t>
      </w:r>
      <w:r>
        <w:rPr>
          <w:rFonts w:hint="eastAsia" w:ascii="宋体" w:hAnsi="宋体" w:cs="宋体"/>
          <w:b w:val="0"/>
          <w:bCs/>
          <w:szCs w:val="21"/>
          <w:highlight w:val="none"/>
          <w:lang w:eastAsia="zh-CN"/>
        </w:rPr>
        <w:t xml:space="preserve">.重大活动安保保障</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重大活动安保任务时需要不限于地点的现场临时架设会议系统，中标人需要提供除服务人员外的人财物的全方位支持，保障重大安保工作的顺利进行，出具具体的安保临时架设会议系统方案。</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安保临时架设会议系统要求：搭建合适的传输网络，协助整理现场会议环境，安装临时会议设备、测试与调试会议效果，现场保障会议系统，活动结束后拆除临时设备，清理会议现场，运输与交付临时会议系统与设备。</w:t>
      </w:r>
      <w:r/>
    </w:p>
    <w:p>
      <w:pPr>
        <w:ind w:firstLine="480"/>
        <w:spacing w:line="360" w:lineRule="auto"/>
        <w:rPr>
          <w:rFonts w:hint="eastAsia" w:ascii="宋体" w:hAnsi="宋体" w:cs="宋体"/>
          <w:b w:val="0"/>
          <w:bCs/>
          <w:szCs w:val="21"/>
          <w:highlight w:val="none"/>
          <w:lang w:eastAsia="zh-CN"/>
        </w:rPr>
        <w:outlineLvl w:val="3"/>
      </w:pPr>
      <w:r>
        <w:rPr>
          <w:rFonts w:hint="eastAsia" w:ascii="宋体" w:hAnsi="宋体" w:cs="宋体"/>
          <w:b w:val="0"/>
          <w:bCs/>
          <w:szCs w:val="21"/>
          <w:highlight w:val="none"/>
          <w:lang w:val="en-US" w:eastAsia="zh-CN"/>
        </w:rPr>
        <w:t xml:space="preserve">7</w:t>
      </w:r>
      <w:r>
        <w:rPr>
          <w:rFonts w:hint="eastAsia" w:ascii="宋体" w:hAnsi="宋体" w:cs="宋体"/>
          <w:b w:val="0"/>
          <w:bCs/>
          <w:szCs w:val="21"/>
          <w:highlight w:val="none"/>
          <w:lang w:eastAsia="zh-CN"/>
        </w:rPr>
        <w:t xml:space="preserve">.现有会场设备集成优化要求</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根据支队会场设备的使用状态，出具会场的设备清单，分析出设备的疲劳程度，出具各硬件子系统的结构原理图纸、现场设备安装位置图纸，分析各会场各子系统的合理性、先进性程度，提出优化方案。</w:t>
      </w:r>
      <w:r/>
    </w:p>
    <w:p>
      <w:pPr>
        <w:ind w:firstLine="480"/>
        <w:spacing w:line="360" w:lineRule="auto"/>
        <w:rPr>
          <w:rFonts w:hint="eastAsia" w:ascii="宋体" w:hAnsi="宋体" w:cs="宋体"/>
          <w:b w:val="0"/>
          <w:bCs/>
          <w:szCs w:val="21"/>
          <w:highlight w:val="none"/>
          <w:lang w:eastAsia="zh-CN"/>
        </w:rPr>
        <w:outlineLvl w:val="3"/>
      </w:pPr>
      <w:r>
        <w:rPr>
          <w:rFonts w:hint="eastAsia" w:ascii="宋体" w:hAnsi="宋体" w:cs="宋体"/>
          <w:b w:val="0"/>
          <w:bCs/>
          <w:szCs w:val="21"/>
          <w:highlight w:val="none"/>
          <w:lang w:val="en-US" w:eastAsia="zh-CN"/>
        </w:rPr>
        <w:t xml:space="preserve">8</w:t>
      </w:r>
      <w:r>
        <w:rPr>
          <w:rFonts w:hint="eastAsia" w:ascii="宋体" w:hAnsi="宋体" w:cs="宋体"/>
          <w:b w:val="0"/>
          <w:bCs/>
          <w:szCs w:val="21"/>
          <w:highlight w:val="none"/>
          <w:lang w:eastAsia="zh-CN"/>
        </w:rPr>
        <w:t xml:space="preserve">.保密要求</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（1）中标人保证其公司人员在服务期间所接触的采购人各种文件，数据，系统资料，系统操作等严格遵守采购人保密制度，不得向第三方透露。</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（2）公安业务系统数据属于公安秘密，投标人应当严格遵守相关规定，严禁泄漏公安秘密，未经采购人确认，中标人的其公司人员不得对采购人业务系统作任何操作，参与项目维保人员必须做到以下几点：</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1）只在规定的区域实行规定的工作，不得进入与之无关的工作区域；</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2）不得在机房设备上建立与工作无关的网站、网页和服务；不得在设备中传输、粘贴有害信息或与工作无关的信息；</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3）不得擅自对设备进行扫描、探测和入侵信息系统；</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4）不得对工作信息和资源越权访问、违规使用；</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5）不得私自允许他人接触和使用机房设备；</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6）严禁将工作用设备和文件带离机房；</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7）未经机房管理部门同意，严禁以任何方式和介质拷贝服务器上的任何信息及项目中涉及的信息；</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8）对工作中接触到的信息做到保密；</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9）不准擅自摘抄、下载、复制、拍摄、提供、销毁或私自留存相关文件、资料（含电子文档）；严禁违反“一机两用”规定；不准在私人交往中谈论相关工作；</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10）不得有其他任何危害公安信息安全的行为。</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3）按照各级公安机关对公安信息网络的安全要求，由中标人与采购人签定安全保密协议，落实公安网络安全及信息保密的各项规定。中标人对服务工程师必须进行相关安全保密教育，与采购人签订保密协议，有履行保密的责任和义务。</w:t>
      </w:r>
      <w:r/>
    </w:p>
    <w:p>
      <w:pPr>
        <w:ind w:firstLine="480"/>
        <w:spacing w:line="360" w:lineRule="auto"/>
        <w:rPr>
          <w:rFonts w:hint="eastAsia" w:ascii="宋体" w:hAnsi="宋体" w:cs="宋体"/>
          <w:b w:val="0"/>
          <w:bCs/>
          <w:szCs w:val="21"/>
          <w:highlight w:val="none"/>
          <w:lang w:eastAsia="zh-CN"/>
        </w:rPr>
        <w:outlineLvl w:val="3"/>
      </w:pPr>
      <w:r>
        <w:rPr>
          <w:rFonts w:hint="eastAsia" w:ascii="宋体" w:hAnsi="宋体" w:cs="宋体"/>
          <w:b w:val="0"/>
          <w:bCs/>
          <w:szCs w:val="21"/>
          <w:highlight w:val="none"/>
          <w:lang w:val="en-US" w:eastAsia="zh-CN"/>
        </w:rPr>
        <w:t xml:space="preserve">9</w:t>
      </w:r>
      <w:r>
        <w:rPr>
          <w:rFonts w:hint="eastAsia" w:ascii="宋体" w:hAnsi="宋体" w:cs="宋体"/>
          <w:b w:val="0"/>
          <w:bCs/>
          <w:szCs w:val="21"/>
          <w:highlight w:val="none"/>
          <w:lang w:eastAsia="zh-CN"/>
        </w:rPr>
        <w:t xml:space="preserve">.应急预案要求</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1）投标人需根据本项目的维保服务内容，为本项目提供的可行的应急预案。预案中需提供能够处理运行维护服务实施过程中可能面临的各种突发问题（如硬件故障、网络瘫痪、机房断电、重大活动保障等）的应急预案。</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需包括且不限于以下内容：</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1）硬件故障发生后的音箱、功放、视频会议终端、控制软件、控制终端等的恢复措施；</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2）故障发生后软硬件的检查、分析及恢复、应急事件处理方案；</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3）故障发生的处理步骤；</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4）重大活动时的通信、资源和人员、应急处理方案；</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（2）为确保本项目在出现硬件故障后能及时恢复，投标人所有备件能充分满足本项目各类硬件设备的更换需求。</w:t>
      </w:r>
      <w:r/>
    </w:p>
    <w:p>
      <w:pPr>
        <w:ind w:firstLine="480"/>
        <w:spacing w:line="360" w:lineRule="auto"/>
        <w:rPr>
          <w:rFonts w:hint="eastAsia" w:ascii="宋体" w:hAnsi="宋体" w:cs="宋体"/>
          <w:b/>
          <w:bCs w:val="0"/>
          <w:szCs w:val="21"/>
          <w:highlight w:val="none"/>
          <w:lang w:eastAsia="zh-CN"/>
        </w:rPr>
        <w:outlineLvl w:val="1"/>
      </w:pPr>
      <w:r>
        <w:rPr>
          <w:rFonts w:hint="eastAsia" w:ascii="宋体" w:hAnsi="宋体" w:cs="宋体"/>
          <w:b/>
          <w:bCs w:val="0"/>
          <w:szCs w:val="21"/>
          <w:highlight w:val="none"/>
          <w:lang w:eastAsia="zh-CN"/>
        </w:rPr>
        <w:t xml:space="preserve">4.12.集成指挥平台维护要求</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提供设备的日常巡检、系统升级、应急处理、故障处理、性能优化与调整、故障设备的备件提供等服务，确保平台7×24小时不间断安全稳定运行。其具体内容主要包括:</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(一)服务器设备维护</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检查服务器是否正常运行，是否有指示硬件故障报警;检查操作系统，通过查看系统日志等方式分析判断系统的运行状况;检查服务器卷组信息、文件系统、日志状态;检查内存、CPU、磁盘、网络等的使用情况，记录异常信息。在不影响设备及系统正常运行的前提下，维护服务器操作系统，清理盘的系统垃圾文件;分析判断服务器可能存在的故障隐患及原因，第一时间提出修复、改善建议;微码升级;征求支队意见后更新操作系统补丁、扫描系统漏洞。</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修补系统软件最新补丁(包括操作系统以及服务器相关插件、驱动程序等)，提供系统软件咨询服务，包括系统升级扩充方案，系统软件运行过程中的各种技术问题等。</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提供磁盘空间整理，日志文件的分析，以及系统健康检查，性能分析及调整优化，确保相关业务系统服务器功能正常、数据安全、系统稳定。在业务系统性能低下的时候，协助应用开发商制定业务系统级的优化方案，并对信息系统性能进行系统级调优，提高业务系统运行性能。</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(二)存储设备维护</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检查设备是否正常运行，有无异常情况(如风扇异常声音，硬盘故障灯亮起等);是否有硬件故障报警;检查存储系统内部是否有故障预警;检查磁带库备份是否正常运行;检查磁盘及磁带库的剩余空间。</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根据需求进行微码升级;分析判断存储系统可能存在的故障隐患及原因，第一时间提出修复、改善建议并根据采购人的决定进行实施。</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按要求在存储上进行存储空间的划分、分配、映射，在各操作系统上挂载存储空间。</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对存储的使用情况和性能指标进行监控，对日志进行分析，对空间不足及性能问题提出解决方案，在征得采购人认可的情况下进行调整。</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定期对存储使用情况进行汇总并上交报表。</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(三)网络设备维护</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对网络系统进行巡检和监测，巡检内容包括:网络设备日志分析、网络设备运行状态分析、链路状态分析、系统资源占用情况分析:及时排查故障，对需要调整的部分配置经授权同意后进行修改。</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1.规划、设计、搭建、维护网络环境;</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2.持续改进日常操作以及优化网络管理，制定网络互连规范;</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3.负责所有网络设备的日常检査、检修、替换和保修，建立网络系统例行检查和维护的规范和文档，维护并保证网络正常的运行环境，及时发现异常情况并处理;</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4.根据支队的相关要求按照规范进行网络设备的互连，制定或调整ACL规则，应用到相应端口，并配合安全人员进行测试;</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分析</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5.监控并分析网络的流量信息，收集网络设备的关键syslog信息并进行</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6.建立网络拓扑、IP规划分布、布线系统等文档资料，及时按要求撰写更新。</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7.在需要的情况下，配合支队进行应急演练、系统调整、升级、等级勤务保障等非故障性事务的处理。</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(四)安全设备维护</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检查边界接入平台(数据交换、视频接入、单向光闸、网闸等)安全设备硬件使用状态、检查硬件警示状态、设备业务备份、业务运行情况、设备使用率等情况。</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对边界接入设备进行巡检，并做好相关巡检日志记录。按要求做好日常系统优化、业务接入、故障排查等工作。</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检查设备是否正常运行，有无异常情况(如风扇异常声音，故障灯亮起等)，并做好相关巡检记录。</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按需求配置、调整、安装、迁移边界接入，接入、调整、优化业务。巡检边界接入业务是否正常运行，有无业务告警，并做好相关巡检记录</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(五)其他维护</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val="en-US" w:eastAsia="zh-CN"/>
        </w:rPr>
        <w:t xml:space="preserve">根据支队需求</w:t>
      </w:r>
      <w:r>
        <w:rPr>
          <w:rFonts w:hint="eastAsia" w:ascii="宋体" w:hAnsi="宋体" w:cs="宋体"/>
          <w:b w:val="0"/>
          <w:bCs/>
          <w:szCs w:val="21"/>
          <w:highlight w:val="none"/>
          <w:lang w:eastAsia="zh-CN"/>
        </w:rPr>
        <w:t xml:space="preserve">及时协助支队直属单位、各县(市、区)完成卡口、音视频、指挥调度等接入工作监督、督促、协助相关单位按照考核要求保持好视频卡口点位、执法取证设备运行质量，协助做好非交管自建监控设备的接入工作。完成</w:t>
      </w:r>
      <w:r>
        <w:rPr>
          <w:rFonts w:hint="eastAsia" w:ascii="宋体" w:hAnsi="宋体" w:cs="宋体"/>
          <w:b w:val="0"/>
          <w:bCs/>
          <w:szCs w:val="21"/>
          <w:highlight w:val="none"/>
          <w:lang w:val="en-US" w:eastAsia="zh-CN"/>
        </w:rPr>
        <w:t xml:space="preserve">上级单位所</w:t>
      </w:r>
      <w:r>
        <w:rPr>
          <w:rFonts w:hint="eastAsia" w:ascii="宋体" w:hAnsi="宋体" w:cs="宋体"/>
          <w:b w:val="0"/>
          <w:bCs/>
          <w:szCs w:val="21"/>
          <w:highlight w:val="none"/>
          <w:lang w:eastAsia="zh-CN"/>
        </w:rPr>
        <w:t xml:space="preserve">下达的设备调整、接入、功能性升级等工作，以及其他上级要求的有关集成指挥平台的考核问题。</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(六)日常巡检</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每日完成正常巡检工作。巡检完成后，认真填写巡检单，以便维护轨迹形成文档。</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每月完成维保月度总结报告，包含工作情况、问题汇总和处理步骤等内容每</w:t>
      </w:r>
      <w:r>
        <w:rPr>
          <w:rFonts w:hint="eastAsia" w:ascii="宋体" w:hAnsi="宋体" w:cs="宋体"/>
          <w:b w:val="0"/>
          <w:bCs/>
          <w:szCs w:val="21"/>
          <w:highlight w:val="none"/>
          <w:lang w:val="en-US" w:eastAsia="zh-CN"/>
        </w:rPr>
        <w:t xml:space="preserve">月</w:t>
      </w:r>
      <w:r>
        <w:rPr>
          <w:rFonts w:hint="eastAsia" w:ascii="宋体" w:hAnsi="宋体" w:cs="宋体"/>
          <w:b w:val="0"/>
          <w:bCs/>
          <w:szCs w:val="21"/>
          <w:highlight w:val="none"/>
          <w:lang w:eastAsia="zh-CN"/>
        </w:rPr>
        <w:t xml:space="preserve">完成</w:t>
      </w:r>
      <w:r>
        <w:rPr>
          <w:rFonts w:hint="eastAsia" w:ascii="宋体" w:hAnsi="宋体" w:cs="宋体"/>
          <w:b w:val="0"/>
          <w:bCs/>
          <w:szCs w:val="21"/>
          <w:highlight w:val="none"/>
          <w:lang w:val="en-US" w:eastAsia="zh-CN"/>
        </w:rPr>
        <w:t xml:space="preserve">一次</w:t>
      </w:r>
      <w:r>
        <w:rPr>
          <w:rFonts w:hint="eastAsia" w:ascii="宋体" w:hAnsi="宋体" w:cs="宋体"/>
          <w:b w:val="0"/>
          <w:bCs/>
          <w:szCs w:val="21"/>
          <w:highlight w:val="none"/>
          <w:lang w:eastAsia="zh-CN"/>
        </w:rPr>
        <w:t xml:space="preserve">服务报告，维护结束后完成</w:t>
      </w:r>
      <w:r>
        <w:rPr>
          <w:rFonts w:hint="eastAsia" w:ascii="宋体" w:hAnsi="宋体" w:cs="宋体"/>
          <w:b w:val="0"/>
          <w:bCs/>
          <w:szCs w:val="21"/>
          <w:highlight w:val="none"/>
          <w:lang w:val="en-US" w:eastAsia="zh-CN"/>
        </w:rPr>
        <w:t xml:space="preserve">项目整体</w:t>
      </w:r>
      <w:r>
        <w:rPr>
          <w:rFonts w:hint="eastAsia" w:ascii="宋体" w:hAnsi="宋体" w:cs="宋体"/>
          <w:b w:val="0"/>
          <w:bCs/>
          <w:szCs w:val="21"/>
          <w:highlight w:val="none"/>
          <w:lang w:eastAsia="zh-CN"/>
        </w:rPr>
        <w:t xml:space="preserve">服务报告。在报告中需要提供本</w:t>
      </w:r>
      <w:r>
        <w:rPr>
          <w:rFonts w:hint="eastAsia" w:ascii="宋体" w:hAnsi="宋体" w:cs="宋体"/>
          <w:b w:val="0"/>
          <w:bCs/>
          <w:szCs w:val="21"/>
          <w:highlight w:val="none"/>
          <w:lang w:val="en-US" w:eastAsia="zh-CN"/>
        </w:rPr>
        <w:t xml:space="preserve">服务期</w:t>
      </w:r>
      <w:r>
        <w:rPr>
          <w:rFonts w:hint="eastAsia" w:ascii="宋体" w:hAnsi="宋体" w:cs="宋体"/>
          <w:b w:val="0"/>
          <w:bCs/>
          <w:szCs w:val="21"/>
          <w:highlight w:val="none"/>
          <w:lang w:eastAsia="zh-CN"/>
        </w:rPr>
        <w:t xml:space="preserve">的主要故障次数统计、系统性能评估报告、系统维护建议及日常故障处理的报告单。</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(七)专家巡检</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定期即</w:t>
      </w:r>
      <w:r>
        <w:rPr>
          <w:rFonts w:hint="eastAsia" w:ascii="宋体" w:hAnsi="宋体" w:cs="宋体"/>
          <w:b w:val="0"/>
          <w:bCs/>
          <w:szCs w:val="21"/>
          <w:highlight w:val="none"/>
          <w:lang w:val="en-US" w:eastAsia="zh-CN"/>
        </w:rPr>
        <w:t xml:space="preserve">服务期内</w:t>
      </w:r>
      <w:r>
        <w:rPr>
          <w:rFonts w:hint="eastAsia" w:ascii="宋体" w:hAnsi="宋体" w:cs="宋体"/>
          <w:b w:val="0"/>
          <w:bCs/>
          <w:szCs w:val="21"/>
          <w:highlight w:val="none"/>
          <w:lang w:eastAsia="zh-CN"/>
        </w:rPr>
        <w:t xml:space="preserve">不少于6次(每月一次)的资深工程师定期巡检，及时与用户进行交流，及时协调解决维护工作中的问题。在</w:t>
      </w:r>
      <w:r>
        <w:rPr>
          <w:rFonts w:hint="eastAsia" w:ascii="宋体" w:hAnsi="宋体" w:cs="宋体"/>
          <w:b w:val="0"/>
          <w:bCs/>
          <w:szCs w:val="21"/>
          <w:highlight w:val="none"/>
          <w:lang w:val="en-US" w:eastAsia="zh-CN"/>
        </w:rPr>
        <w:t xml:space="preserve">服务期</w:t>
      </w:r>
      <w:r>
        <w:rPr>
          <w:rFonts w:hint="eastAsia" w:ascii="宋体" w:hAnsi="宋体" w:cs="宋体"/>
          <w:b w:val="0"/>
          <w:bCs/>
          <w:szCs w:val="21"/>
          <w:highlight w:val="none"/>
          <w:lang w:eastAsia="zh-CN"/>
        </w:rPr>
        <w:t xml:space="preserve">维护完成后提供</w:t>
      </w:r>
      <w:r>
        <w:rPr>
          <w:rFonts w:hint="eastAsia" w:ascii="宋体" w:hAnsi="宋体" w:cs="宋体"/>
          <w:b w:val="0"/>
          <w:bCs/>
          <w:szCs w:val="21"/>
          <w:highlight w:val="none"/>
          <w:lang w:val="en-US" w:eastAsia="zh-CN"/>
        </w:rPr>
        <w:t xml:space="preserve">整体</w:t>
      </w:r>
      <w:r>
        <w:rPr>
          <w:rFonts w:hint="eastAsia" w:ascii="宋体" w:hAnsi="宋体" w:cs="宋体"/>
          <w:b w:val="0"/>
          <w:bCs/>
          <w:szCs w:val="21"/>
          <w:highlight w:val="none"/>
          <w:lang w:eastAsia="zh-CN"/>
        </w:rPr>
        <w:t xml:space="preserve">维护报告，在报告中需要提供主要故障次数统计、系统性能评估报告、系统维护建议及日常故障处理的报告单。巡检完成后，认真填写巡检单，以便维护轨迹形成文档。</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(八)网络安全事件</w:t>
      </w:r>
      <w:r/>
    </w:p>
    <w:p>
      <w:pPr>
        <w:ind w:firstLine="480"/>
        <w:spacing w:line="360" w:lineRule="auto"/>
        <w:rPr>
          <w:rFonts w:hint="default"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服务期</w:t>
      </w:r>
      <w:r>
        <w:rPr>
          <w:rFonts w:hint="eastAsia" w:ascii="宋体" w:hAnsi="宋体" w:cs="宋体"/>
          <w:b w:val="0"/>
          <w:bCs/>
          <w:szCs w:val="21"/>
          <w:highlight w:val="none"/>
          <w:lang w:eastAsia="zh-CN"/>
        </w:rPr>
        <w:t xml:space="preserve">内网络安全事件发生次数小于等于一次。</w:t>
      </w:r>
      <w:r>
        <w:rPr>
          <w:rFonts w:hint="eastAsia" w:ascii="宋体" w:hAnsi="宋体" w:cs="宋体"/>
          <w:b w:val="0"/>
          <w:bCs/>
          <w:szCs w:val="21"/>
          <w:highlight w:val="none"/>
          <w:lang w:val="en-US" w:eastAsia="zh-CN"/>
        </w:rPr>
        <w:t xml:space="preserve">如超过一次，视为违反信息安全且造成严重后果。</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供应商应保证其公司人员在服务期间所接触的采购方各种文件，数据，系统资料，系统操作等严格遵守采购方保密制度，不得向第三方透露。</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公安业务系统数据属于公安秘密，供应商应当严格遵守相关规定，严禁泄漏公安秘密，未经采购方人员确认，供应商人员不得对采购方业务系统作任何操作。供应商应保证其公司人员在采购方服务期间所接触的各种文件，数据、信息、系统资料，系统操作等严格遵守采购方保密制度，不得向第三方透按照各级公安机关对公安信息网络和公安视频网的安全要求，由供应商与采购方签订安全保密协议，落实公安网络安全及信息保密的各项规定。</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(九)设备管理资料</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提供维保范围内设备资源信息台账表格需具备设备序列号、设备机架号、设备登录账号、设备配置信息、质保期限等基本属性;</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提供维保范围内设备跳线资源台账表格需具备每根跳线源端设备、终端设备、机柜配线架端口等基本属性;</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提供维保范围内网络设备资源台账表格需具备网络设备名称、设备端口、网络IP地址、网络VLAN号、所属系统等基本属性;</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按照设备、跳线、网络资源信息台账表格对现有资源建立全面的资源信息台账库。</w:t>
      </w:r>
      <w:r/>
    </w:p>
    <w:p>
      <w:pPr>
        <w:numPr>
          <w:ilvl w:val="0"/>
          <w:numId w:val="5"/>
        </w:numPr>
        <w:ind w:left="0" w:firstLine="0"/>
        <w:spacing w:line="360" w:lineRule="auto"/>
        <w:rPr>
          <w:rFonts w:hint="eastAsia" w:ascii="宋体" w:hAnsi="宋体" w:cs="宋体"/>
          <w:b/>
          <w:szCs w:val="21"/>
          <w:highlight w:val="none"/>
          <w:lang w:eastAsia="zh-CN"/>
        </w:rPr>
      </w:pPr>
      <w:r>
        <w:rPr>
          <w:rFonts w:hint="eastAsia" w:ascii="宋体" w:hAnsi="宋体" w:cs="宋体"/>
          <w:b/>
          <w:szCs w:val="21"/>
          <w:highlight w:val="none"/>
          <w:lang w:val="en-US" w:eastAsia="zh-CN"/>
        </w:rPr>
        <w:t xml:space="preserve">IT硬件设备维护资产明细</w:t>
      </w:r>
      <w:r/>
    </w:p>
    <w:tbl>
      <w:tblPr>
        <w:tblStyle w:val="747"/>
        <w:tblpPr w:horzAnchor="page" w:tblpX="1794" w:vertAnchor="text" w:tblpY="380" w:leftFromText="180" w:topFromText="0" w:rightFromText="180" w:bottomFromText="0"/>
        <w:tblW w:w="85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8"/>
        <w:gridCol w:w="1058"/>
        <w:gridCol w:w="1916"/>
        <w:gridCol w:w="1663"/>
        <w:gridCol w:w="2307"/>
        <w:gridCol w:w="770"/>
      </w:tblGrid>
      <w:tr>
        <w:trPr>
          <w:trHeight w:val="20"/>
        </w:trPr>
        <w:tc>
          <w:tcPr>
            <w:tcW w:w="878" w:type="dxa"/>
            <w:vAlign w:val="center"/>
            <w:textDirection w:val="lrTb"/>
            <w:noWrap/>
          </w:tcPr>
          <w:p>
            <w:pPr>
              <w:jc w:val="center"/>
              <w:spacing w:after="0" w:line="240" w:lineRule="auto"/>
              <w:rPr>
                <w:rFonts w:hint="eastAsia" w:ascii="宋体" w:hAnsi="宋体" w:eastAsia="宋体" w:cs="宋体"/>
                <w:b/>
                <w:bCs/>
                <w:color w:val="000000"/>
                <w:sz w:val="20"/>
                <w:szCs w:val="20"/>
                <w:highlight w:val="none"/>
                <w:lang w:eastAsia="zh-CN"/>
              </w:rPr>
            </w:pPr>
            <w:r>
              <w:rPr>
                <w:rFonts w:hint="eastAsia" w:ascii="宋体" w:hAnsi="宋体" w:eastAsia="宋体" w:cs="宋体"/>
                <w:b/>
                <w:bCs/>
                <w:color w:val="000000"/>
                <w:sz w:val="20"/>
                <w:szCs w:val="20"/>
                <w:highlight w:val="none"/>
                <w:lang w:eastAsia="zh-CN"/>
              </w:rPr>
              <w:t xml:space="preserve">序号</w:t>
            </w:r>
            <w:r/>
          </w:p>
        </w:tc>
        <w:tc>
          <w:tcPr>
            <w:tcW w:w="1058" w:type="dxa"/>
            <w:vAlign w:val="center"/>
            <w:textDirection w:val="lrTb"/>
            <w:noWrap/>
          </w:tcPr>
          <w:p>
            <w:pPr>
              <w:jc w:val="center"/>
              <w:spacing w:after="0" w:line="240" w:lineRule="auto"/>
              <w:rPr>
                <w:rFonts w:hint="eastAsia" w:ascii="宋体" w:hAnsi="宋体" w:eastAsia="宋体" w:cs="宋体"/>
                <w:b/>
                <w:bCs/>
                <w:color w:val="000000"/>
                <w:sz w:val="20"/>
                <w:szCs w:val="20"/>
                <w:highlight w:val="none"/>
                <w:lang w:eastAsia="zh-CN"/>
              </w:rPr>
            </w:pPr>
            <w:r>
              <w:rPr>
                <w:rFonts w:hint="eastAsia" w:ascii="宋体" w:hAnsi="宋体" w:eastAsia="宋体" w:cs="宋体"/>
                <w:b/>
                <w:bCs/>
                <w:color w:val="000000"/>
                <w:sz w:val="20"/>
                <w:szCs w:val="20"/>
                <w:highlight w:val="none"/>
                <w:lang w:eastAsia="zh-CN"/>
              </w:rPr>
              <w:t xml:space="preserve">厂商</w:t>
            </w:r>
            <w:r/>
          </w:p>
        </w:tc>
        <w:tc>
          <w:tcPr>
            <w:tcW w:w="1916" w:type="dxa"/>
            <w:vAlign w:val="center"/>
            <w:textDirection w:val="lrTb"/>
            <w:noWrap/>
          </w:tcPr>
          <w:p>
            <w:pPr>
              <w:spacing w:after="0" w:line="240" w:lineRule="auto"/>
              <w:rPr>
                <w:rFonts w:hint="eastAsia" w:ascii="宋体" w:hAnsi="宋体" w:eastAsia="宋体" w:cs="宋体"/>
                <w:b/>
                <w:bCs/>
                <w:color w:val="000000"/>
                <w:sz w:val="20"/>
                <w:szCs w:val="20"/>
                <w:highlight w:val="none"/>
                <w:lang w:eastAsia="zh-CN"/>
              </w:rPr>
            </w:pPr>
            <w:r>
              <w:rPr>
                <w:rFonts w:hint="eastAsia" w:ascii="宋体" w:hAnsi="宋体" w:eastAsia="宋体" w:cs="宋体"/>
                <w:b/>
                <w:bCs/>
                <w:color w:val="000000"/>
                <w:sz w:val="20"/>
                <w:szCs w:val="20"/>
                <w:highlight w:val="none"/>
                <w:lang w:eastAsia="zh-CN"/>
              </w:rPr>
              <w:t xml:space="preserve">设备名称</w:t>
            </w:r>
            <w:r/>
          </w:p>
        </w:tc>
        <w:tc>
          <w:tcPr>
            <w:tcW w:w="1663" w:type="dxa"/>
            <w:vAlign w:val="center"/>
            <w:textDirection w:val="lrTb"/>
            <w:noWrap/>
          </w:tcPr>
          <w:p>
            <w:pPr>
              <w:spacing w:after="0" w:line="240" w:lineRule="auto"/>
              <w:rPr>
                <w:rFonts w:hint="eastAsia" w:ascii="宋体" w:hAnsi="宋体" w:eastAsia="宋体" w:cs="宋体"/>
                <w:b/>
                <w:bCs/>
                <w:color w:val="000000"/>
                <w:sz w:val="20"/>
                <w:szCs w:val="20"/>
                <w:highlight w:val="none"/>
                <w:lang w:eastAsia="zh-CN"/>
              </w:rPr>
            </w:pPr>
            <w:r>
              <w:rPr>
                <w:rFonts w:hint="eastAsia" w:ascii="宋体" w:hAnsi="宋体" w:eastAsia="宋体" w:cs="宋体"/>
                <w:b/>
                <w:bCs/>
                <w:color w:val="000000"/>
                <w:sz w:val="20"/>
                <w:szCs w:val="20"/>
                <w:highlight w:val="none"/>
                <w:lang w:eastAsia="zh-CN"/>
              </w:rPr>
              <w:t xml:space="preserve">设备型号</w:t>
            </w:r>
            <w:r/>
          </w:p>
        </w:tc>
        <w:tc>
          <w:tcPr>
            <w:tcW w:w="2307" w:type="dxa"/>
            <w:vAlign w:val="center"/>
            <w:textDirection w:val="lrTb"/>
            <w:noWrap w:val="false"/>
          </w:tcPr>
          <w:p>
            <w:pPr>
              <w:spacing w:after="0" w:line="240" w:lineRule="auto"/>
              <w:rPr>
                <w:rFonts w:hint="eastAsia" w:ascii="宋体" w:hAnsi="宋体" w:eastAsia="宋体" w:cs="宋体"/>
                <w:b/>
                <w:bCs/>
                <w:color w:val="000000"/>
                <w:sz w:val="20"/>
                <w:szCs w:val="20"/>
                <w:highlight w:val="none"/>
                <w:lang w:eastAsia="zh-CN"/>
              </w:rPr>
            </w:pPr>
            <w:r>
              <w:rPr>
                <w:rFonts w:hint="eastAsia" w:ascii="宋体" w:hAnsi="宋体" w:eastAsia="宋体" w:cs="宋体"/>
                <w:b/>
                <w:bCs/>
                <w:color w:val="000000"/>
                <w:sz w:val="20"/>
                <w:szCs w:val="20"/>
                <w:highlight w:val="none"/>
                <w:lang w:eastAsia="zh-CN"/>
              </w:rPr>
              <w:t xml:space="preserve">设备分类</w:t>
            </w:r>
            <w:r/>
          </w:p>
        </w:tc>
        <w:tc>
          <w:tcPr>
            <w:tcW w:w="770" w:type="dxa"/>
            <w:vAlign w:val="center"/>
            <w:textDirection w:val="lrTb"/>
            <w:noWrap/>
          </w:tcPr>
          <w:p>
            <w:pPr>
              <w:jc w:val="center"/>
              <w:spacing w:after="0" w:line="240" w:lineRule="auto"/>
              <w:rPr>
                <w:rFonts w:hint="eastAsia" w:ascii="宋体" w:hAnsi="宋体" w:eastAsia="宋体" w:cs="宋体"/>
                <w:b/>
                <w:bCs/>
                <w:color w:val="000000"/>
                <w:sz w:val="20"/>
                <w:szCs w:val="20"/>
                <w:highlight w:val="none"/>
                <w:lang w:eastAsia="zh-CN"/>
              </w:rPr>
            </w:pPr>
            <w:r>
              <w:rPr>
                <w:rFonts w:hint="eastAsia" w:ascii="宋体" w:hAnsi="宋体" w:eastAsia="宋体" w:cs="宋体"/>
                <w:b/>
                <w:bCs/>
                <w:color w:val="000000"/>
                <w:sz w:val="20"/>
                <w:szCs w:val="20"/>
                <w:highlight w:val="none"/>
                <w:lang w:eastAsia="zh-CN"/>
              </w:rPr>
              <w:t xml:space="preserve">数量</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IBM</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通用服务器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X3850X5</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华三</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通用服务器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H3CR4900G2</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通用服务器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FLEX</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通用服务器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2288HV3</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通用服务器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2288HV5</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通用服务器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5885HV5</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宝德</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通用服务器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DSG-5480-HK</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曙光</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通用服务器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R630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合众</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通用服务器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HZ1000-G</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光纤级联交换机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SNS2224</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交换机</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光纤级联交换机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SNS2124</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交换机</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浪潮</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光纤交换机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FS6700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交换机</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EMC</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通用存储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VNX3200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光纤存储</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通用数据存储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5310V5</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通用数据存储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5310V5扩展柜</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通用数据存储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5300V5</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通用数据存储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5300V5扩展柜</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存储扩展柜</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通用数据存储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2200V3</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浪潮</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通用数据存储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AS5500G2</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核心交换机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华为S12700E-8</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网络交换机</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汇聚交换机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华为S7703</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网络交换机</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汇聚交换机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华为S7706</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网络交换机</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汇聚交换机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华为S5730-68C</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网络交换机</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接入交换机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华为S5720S-52x</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网络交换机</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27</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接入交换机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华为S5720-32P-EI-AC</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网络交换机</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天融信</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出口防火墙</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NGFW4000-UF</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网康</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出口行为管理</w:t>
            </w:r>
            <w:r/>
          </w:p>
        </w:tc>
        <w:tc>
          <w:tcPr>
            <w:shd w:val="clear" w:color="000000" w:fill="ffffff"/>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NI3200-50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浙江信电</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手持警务一体机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T999-XD</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手持终端</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科达</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会议点调音视频指挥调度终端</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科达NEX1100-50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会议设备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科达</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会议点调无线耳挂</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无线耳挂D10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会议设备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科达</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会议点调桌面一体式指挥调度终端</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科达SKYD510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会议设备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科达</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一体式视频终端50寸单屏</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科达NEX1100YND-50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会议设备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科达</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分布式视频终端</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科达H800A</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会议设备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明基</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视频会议投影</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明基EP26A</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会议设备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其他</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视频会议音响功放</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科达配套</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会议设备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科达</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MCU集中控制单元</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KDV8000A</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会议设备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科达</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高清视频会议终端</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H900-A</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会议设备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科达</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高清视频会议终端</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H600-LC</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会议设备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科达</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高清触控视频会议终端</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KDV1000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会议设备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科达</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监控平台</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KDM2802A-G2</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执法仪设备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科达</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视图库主节点</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KProServer2000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执法仪设备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科达</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KcloudStor2100/VS200H</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执法仪设备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科达</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远程升级服务器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KProServer2000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执法仪设备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科达</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远控平台</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KProServer2000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执法仪设备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科达</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执法平台</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KProServer2000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执法仪设备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科达</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视图库</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KProServer2000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执法仪设备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科达</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KEDACOM</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KEDACOM</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执法仪设备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浪潮</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数据库服务器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NF8460M4</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数据库服务器</w:t>
            </w:r>
            <w:r/>
          </w:p>
        </w:tc>
        <w:tc>
          <w:tcPr>
            <w:tcW w:w="77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浪潮</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存储设备</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AS5300G2</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存储设备</w:t>
            </w:r>
            <w:r/>
          </w:p>
        </w:tc>
        <w:tc>
          <w:tcPr>
            <w:tcW w:w="77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浪潮</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综合应用平台分发库数据库服务器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NF8460M4</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综合应用平台分发库数据库服务器</w:t>
            </w:r>
            <w:r/>
          </w:p>
        </w:tc>
        <w:tc>
          <w:tcPr>
            <w:tcW w:w="77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浪潮</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应用服务器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NF5280M4</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应用服务器</w:t>
            </w:r>
            <w:r/>
          </w:p>
        </w:tc>
        <w:tc>
          <w:tcPr>
            <w:tcW w:w="77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浪潮</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信息接入服务器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NF5280M4</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信息接入服务器</w:t>
            </w:r>
            <w:r/>
          </w:p>
        </w:tc>
        <w:tc>
          <w:tcPr>
            <w:tcW w:w="77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浪潮</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二次识别服务器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NF5280M4</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二次识别服务器</w:t>
            </w:r>
            <w:r/>
          </w:p>
        </w:tc>
        <w:tc>
          <w:tcPr>
            <w:tcW w:w="77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浪潮</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管理节点服务器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NF5280M4</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管理节点服务器</w:t>
            </w:r>
            <w:r/>
          </w:p>
        </w:tc>
        <w:tc>
          <w:tcPr>
            <w:tcW w:w="77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浪潮</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流式计算服务器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NF5280M4</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流式计算服务器</w:t>
            </w:r>
            <w:r/>
          </w:p>
        </w:tc>
        <w:tc>
          <w:tcPr>
            <w:tcW w:w="77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浪潮</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数据节点服务器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NF5280M4</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数据节点服务器</w:t>
            </w:r>
            <w:r/>
          </w:p>
        </w:tc>
        <w:tc>
          <w:tcPr>
            <w:tcW w:w="77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迪普</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负载均衡器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ADX3000-GC</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负载均衡器</w:t>
            </w:r>
            <w:r/>
          </w:p>
        </w:tc>
        <w:tc>
          <w:tcPr>
            <w:tcW w:w="77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立元</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视频服务器网关</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nView-8603</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视频服务器网关</w:t>
            </w:r>
            <w:r/>
          </w:p>
        </w:tc>
        <w:tc>
          <w:tcPr>
            <w:tcW w:w="77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大数据研判系统</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大数据研判系统</w:t>
            </w:r>
            <w:r/>
          </w:p>
        </w:tc>
        <w:tc>
          <w:tcPr>
            <w:tcW w:w="77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60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以图搜车一体机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以图搜车一体机</w:t>
            </w:r>
            <w:r/>
          </w:p>
        </w:tc>
        <w:tc>
          <w:tcPr>
            <w:tcW w:w="77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61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万兆核心交换机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S7506E</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万兆核心交换机</w:t>
            </w:r>
            <w:r/>
          </w:p>
        </w:tc>
        <w:tc>
          <w:tcPr>
            <w:tcW w:w="77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62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迪普</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接入交换机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LSW3620-24GT4XGS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接入交换机</w:t>
            </w:r>
            <w:r/>
          </w:p>
        </w:tc>
        <w:tc>
          <w:tcPr>
            <w:tcW w:w="77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63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大数据服务器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DS-VE2212X</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大数据服务器</w:t>
            </w:r>
            <w:r/>
          </w:p>
        </w:tc>
        <w:tc>
          <w:tcPr>
            <w:tcW w:w="77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64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网神</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安全隔离与信息交换系统</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安全隔离与信息交换系统</w:t>
            </w:r>
            <w:r/>
          </w:p>
        </w:tc>
        <w:tc>
          <w:tcPr>
            <w:tcW w:w="77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65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科士达</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一体化机柜</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IDU</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一体化机柜</w:t>
            </w:r>
            <w:r/>
          </w:p>
        </w:tc>
        <w:tc>
          <w:tcPr>
            <w:tcW w:w="77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66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网神</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网闸</w:t>
            </w:r>
            <w:r/>
          </w:p>
        </w:tc>
        <w:tc>
          <w:tcPr>
            <w:tcW w:w="16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网神-SecSIS3600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网络设备硬件</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67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接入交换机</w:t>
            </w:r>
            <w:r/>
          </w:p>
        </w:tc>
        <w:tc>
          <w:tcPr>
            <w:tcW w:w="16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华为-5735S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网络设备硬件</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68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接入交换机</w:t>
            </w:r>
            <w:r/>
          </w:p>
        </w:tc>
        <w:tc>
          <w:tcPr>
            <w:tcW w:w="16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华为-5700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网络设备硬件</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69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RG</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接入交换机</w:t>
            </w:r>
            <w:r/>
          </w:p>
        </w:tc>
        <w:tc>
          <w:tcPr>
            <w:tcW w:w="16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RG-NBS1824GC</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网络设备硬件</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70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网御星云</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防火墙</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网御星云-V6000-F5510E</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网络设备硬件</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71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H3C</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接入交换机</w:t>
            </w:r>
            <w:r/>
          </w:p>
        </w:tc>
        <w:tc>
          <w:tcPr>
            <w:tcW w:w="16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H3C-7506</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网络设备硬件</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72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接入交换机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H3C-24P</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网络设备硬件</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73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H3C</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接入交换机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H3C-48PI</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网络设备硬件</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74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网御星云</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准入系统</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网御星云-NAC-3500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网络设备硬件</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75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天行网安</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万兆数据交换系统</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天行网安-Topwalk</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网络设备硬件</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76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TIM级联服务器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DS-VE22S-B</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77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TIM云存储接入服务器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DS-VE22S-B</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78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TIM-iac1设备接入服务器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DS-VE22S-B</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79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cpas检查站组件2服务器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DS-VM21S-B</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80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云存储2.0运维服务器1</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DS-VE2208C-RBC</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81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云存储2.0运维服务器2</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IS-VSE2326X-QFA</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82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云存储2.0运维服务器3</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IS-VSE2326X-QFA</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83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云存储2.0运维服务器4</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IS-VSE2326X-QFA</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84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存储1</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DS-A81024S-ICVS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85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存储2</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DS-A81024S-ICVS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86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存储3</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DS-A81024S-ICVS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87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存储4</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DS-A81024S-ICVS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88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存储5</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DS-A81024S-ICVS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89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存储6</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DS-A81024S-ICVS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90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存储7</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DS-A81024S-ICVS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91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存储8</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DS-A71024R-ICVS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92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存储9</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DS-A71024R-ICVS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93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存储10</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DS-A71024R-ICVS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94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存储11</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DS-A71024R-ICVS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95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存储12</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DS-A71024R-ICVS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96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存储13</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DS-A71024R-ICVS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97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存储14</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DS-A71024R-ICVS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98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存储15</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DS-A71024R-ICVS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99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存储16</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DS-A71024R-ICVS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100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存储17</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DS-A71024R-ICVS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101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存储18</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DS-A71024R-ICVS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102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存储19</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DS-A71024R-ICVS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103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存储20</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DS-A71024R-ICVS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104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存储21</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DS-A71024R-ICVS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105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存储22</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DS-A71024R-ICVS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106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存储23</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DS-A71024R-ICVS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107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存储24</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DS-A71024R-ICVS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108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存储25</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109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存储26</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110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存储27</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111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存储28</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112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存储29</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113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存储30</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114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存储31</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115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存储32</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116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存储33</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117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存储34</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118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存储35</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119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存储36</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120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存储37</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121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存储38</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122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存储39</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123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存储40</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124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存储41</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125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存储42</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126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存储43</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127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存储44</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128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存储45</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129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存储46</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130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存储47</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131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存储48</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132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存储49</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133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存储50</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134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存储51</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135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存储52</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136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存储53</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137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存储54</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138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存储55</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139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存储56</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140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存储57</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141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存储58</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142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存储59</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143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存储60</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144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存储61</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145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存储62</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146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存储63</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147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存储64</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148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存储65</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违法管理平台硬件设备（海康）</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149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视频联网平台</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DH-DSS-T9100F</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违法管理平台硬件设备（大华）</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150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视图库系统</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DH-DSS-C9400F</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违法管理平台硬件设备（大华）</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151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平台国标对接网关</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DH-AGS-B9101</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违法管理平台硬件设备（大华）</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152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平台国标对接网关</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DH-AGS-B9101</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违法管理平台硬件设备（大华）</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vMerge w:val="restart"/>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153</w:t>
            </w:r>
            <w:r/>
          </w:p>
        </w:tc>
        <w:tc>
          <w:tcPr>
            <w:tcW w:w="1058" w:type="dxa"/>
            <w:vAlign w:val="center"/>
            <w:vMerge w:val="restart"/>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916" w:type="dxa"/>
            <w:vAlign w:val="center"/>
            <w:vMerge w:val="restart"/>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数据推送系统</w:t>
            </w:r>
            <w:r/>
          </w:p>
        </w:tc>
        <w:tc>
          <w:tcPr>
            <w:tcW w:w="16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DH-DSS-C8902S3C</w:t>
            </w:r>
            <w:r/>
          </w:p>
        </w:tc>
        <w:tc>
          <w:tcPr>
            <w:tcW w:w="2307" w:type="dxa"/>
            <w:vAlign w:val="center"/>
            <w:vMerge w:val="restart"/>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违法管理平台硬件设备（大华）</w:t>
            </w:r>
            <w:r/>
          </w:p>
        </w:tc>
        <w:tc>
          <w:tcPr>
            <w:tcW w:w="770" w:type="dxa"/>
            <w:vAlign w:val="center"/>
            <w:vMerge w:val="restart"/>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vMerge w:val="continue"/>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W w:w="1058" w:type="dxa"/>
            <w:vAlign w:val="center"/>
            <w:vMerge w:val="continue"/>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W w:w="1916" w:type="dxa"/>
            <w:vAlign w:val="center"/>
            <w:vMerge w:val="continue"/>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W w:w="16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DH-DSS-C-Data-Platform</w:t>
            </w:r>
            <w:r/>
          </w:p>
        </w:tc>
        <w:tc>
          <w:tcPr>
            <w:tcW w:w="2307" w:type="dxa"/>
            <w:vAlign w:val="center"/>
            <w:vMerge w:val="continue"/>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W w:w="770" w:type="dxa"/>
            <w:vAlign w:val="center"/>
            <w:vMerge w:val="continue"/>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154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Oracle小型云库</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DH-CCS5200XB-ORC</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违法管理平台硬件设备（大华）</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155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916"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T9100-Node</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DH-DSS-T9100D-S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违法管理平台硬件设备（大华）</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156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启明星辰</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堡垒机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OSM-3600-S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157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启明星辰</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数审系统</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GE1500ER</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158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启明星辰</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日审系统</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TSOC-SA1800-JSNJ</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159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核心交换机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S12712</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160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接入交换机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S5720-28P-LI-AC</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80</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161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接入交换机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S5720S-56C-EI-48</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162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启明星辰</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防火墙</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USG-FW-4000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163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启明星辰</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上网行为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IBM-N2035</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164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启明星辰</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web应用防护</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WAF6000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165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启明星辰</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IDS</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NT600-C</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166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合众</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数据交换平台</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DC-6000-2310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167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核心交换机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S7710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168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汇聚交换机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S5720-56C-EI-48S-AC</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169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接入交换机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S5720-28P-LI-AC</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60</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170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天融信</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视频资产准入</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TopVMSTVM-CP-5000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171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核心交换机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S7710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172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汇聚交换机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S5720-56C-EI-48S-AC</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173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接入交换机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S5720-28P-LI-AC</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99</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174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核心交换机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S7710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175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接入交换机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S5720-28P-LI-AC</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70</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176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天融信</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防火墙-1</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topsecNGFW-4000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177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启明星辰</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防火墙-2</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USG-FW-4000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178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启明星辰</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VSG</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NGIPS5000-C-SR-VSG</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179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启明星辰</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IDS</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NT600-C</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180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核心交换机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S12712</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181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接入交换机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S5720-28P-LI-AC</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17</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182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接入交换机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S5720-52P-LI-AC</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183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曙光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公安网数据库服务器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I980-G30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服务器及存储设备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184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曙光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机动车电子档案服务器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I840-G30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服务器及存储设备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185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曙光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中间件服务器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I840-G30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服务器及存储设备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186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曙光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公安网数据库存储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DS800-G35H</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服务器及存储设备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187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曙光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数据库服务器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I980-G30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服务器及存储设备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188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曙光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数据库存储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DS800-G35</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服务器及存储设备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189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曙光</w:t>
            </w:r>
            <w:r/>
          </w:p>
        </w:tc>
        <w:tc>
          <w:tcPr>
            <w:tcW w:w="1916" w:type="dxa"/>
            <w:vAlign w:val="center"/>
            <w:vMerge w:val="restart"/>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考试网服务器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I620-G30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服务器及存储设备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190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联想</w:t>
            </w:r>
            <w:r/>
          </w:p>
        </w:tc>
        <w:tc>
          <w:tcPr>
            <w:tcW w:w="1916" w:type="dxa"/>
            <w:vAlign w:val="center"/>
            <w:vMerge w:val="continue"/>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SR-590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服务器及存储设备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191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曙光</w:t>
            </w:r>
            <w:r/>
          </w:p>
        </w:tc>
        <w:tc>
          <w:tcPr>
            <w:tcW w:w="1916" w:type="dxa"/>
            <w:vAlign w:val="center"/>
            <w:vMerge w:val="continue"/>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I420-G30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服务器及存储设备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192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H3C</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虚拟化交换机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H3CS6520X-18C-SI</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服务器及存储设备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193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曙光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宿主服务器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I620-G30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服务器及存储设备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6</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194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曙光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数据存储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DS800-G35</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服务器及存储设备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195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博科</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光纤交换机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Brocade300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服务器及存储设备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196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曙光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分布式存储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opara-G30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服务器及存储设备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20</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197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存储交换机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S6735S-S24X6C</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服务器及存储设备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198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业务交换机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S5720-28P-LI</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服务器及存储设备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199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接入交换机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S5720-28P-LI-AC</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服务器及存储设备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200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锐菲</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视频融合网关</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YLIT-IASTW-2N128</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服务器及存储设备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201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接入交换机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S5720-28P-LI-AC</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服务器及存储设备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202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启明星辰</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防火墙</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DS-SG100-V200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203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锐菲</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视频融合网关</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YLIT-IASTW-2N128</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服务器及存储设备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204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音视频巡查服务器（含软件）</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DS-VEC22L-U</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服务器及存储设备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205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视频存储管理节点</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DS-A5120RL-CVMN</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服务器及存储设备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206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视频存储节点</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服务器及存储设备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6</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207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合众</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视频交换平台</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VG-350-B-H2000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服务器及存储设备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208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接入交换机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S5720-28P-LI-AC</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209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启明星辰</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防火墙</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USG-FW-4000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210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音视频巡查服务器（含软件）</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DS-VEC22L-U</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服务器及存储设备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211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曙光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曙光银色一体机</w:t>
            </w:r>
            <w:r/>
          </w:p>
        </w:tc>
        <w:tc>
          <w:tcPr>
            <w:tcW w:w="16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I5-6200U/4G/128G</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电脑终端设备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380</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212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奇放</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奇放黑色一体机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i5-6400/4G/256G</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电脑终端设备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70</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213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国产定制</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定制黑色一体机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I3-8100/4GB/256GB/</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电脑终端设备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49</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214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叁凡</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叁凡科技</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定制型号</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电脑终端设备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215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叁凡</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叁凡科技</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定制型号</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电脑终端设备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7</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216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国产定制</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自助缴费-1</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定制型号</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电脑终端设备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217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国产定制</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自助缴费-2</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定制型号</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电脑终端设备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218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AOC</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窗口显示器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AOCT4012M</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电脑终端设备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26</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219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国产定制</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安卓控制盒</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26</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220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叫号控制器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X-DCS3000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221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叫号功放</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X-DA4125</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222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叫号喇叭</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L-VWP06A</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10</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223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吸顶音响3W</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L-VCM-06D</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87</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224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广播控制器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霍尼韦尔DCS-3000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7</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225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广播功放</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霍尼韦尔X-4125</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6</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226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多音源一体机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X-MAP04</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227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网络连接模块</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X-NRI</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228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分布式智能系统控制器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X-DCS3000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229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广播功放4x125W</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X-DA4125</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230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广播功放2x250W</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X-DA2250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231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广播功放4x500W</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X-DA1500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232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网络寻呼控制台</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X-NPMS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233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控制电脑</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T6900C</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234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电源时序器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AS-3228S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235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强插电源</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AS-3220S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236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音控开关60W</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HN-VC60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237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壁挂音箱6W</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L-VWP06A</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25</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238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电源时序器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霍尼韦尔AS3228S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239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室外防水音柱20W/40W</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L-VOM40A</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70</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240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分布式智能系统控制器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X-DCS3000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241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广播功放4x125W</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X-DA4125</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242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广播功放2x250W</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X-DA2250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243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广播功放4x500W</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X-DA1500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244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音控开关60W</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HN-VC60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245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吸顶音响3W</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L-VCM-06D</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64</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246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壁挂音箱6W</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L-VWP06A</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19</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247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广播功放</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霍尼韦尔X-4125</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248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广播控制器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霍尼韦尔DCS-3000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249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分布式智能系统控制器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X-DCS3000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250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广播功放4x125W</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X-DA4125</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251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广播功放2x250W</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X-DA2250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252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广播功放4x500W</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X-DA1500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253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音控开关60W</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HN-VC60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254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吸顶音响3W</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L-VCM-06D</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59</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255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壁挂音箱6W</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L-VWP06A</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16</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256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室外功放</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霍尼韦尔X-4125</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6</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257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广播控制器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霍尼韦尔DCS-3000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258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广播功放</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霍尼韦尔X-4125</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259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分布式智能系统控制器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X-DCS3000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260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广播功放4x125W</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X-DA4125</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261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广播功放2x250W</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X-DA2250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262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广播功放4x500W</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X-DA1500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263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音控开关60W</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HN-VC60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264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吸顶音响3W</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L-VCM-06D</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57</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265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霍尼韦尔</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壁挂音箱6W</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L-VWP06A</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16</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266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国产定制</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宣传教育</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定制型号</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18</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267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国产定制</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导航指示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定制型号</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268</w:t>
            </w:r>
            <w:r/>
          </w:p>
        </w:tc>
        <w:tc>
          <w:tcPr>
            <w:tcW w:w="105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LED大屏</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DH-PHSIA1.8-SS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32.6</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269</w:t>
            </w:r>
            <w:r/>
          </w:p>
        </w:tc>
        <w:tc>
          <w:tcPr>
            <w:tcW w:w="105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LVP603S-X</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270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国产定制</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转化器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国产优质</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271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中科曙光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银色一体机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定制型号</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272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国产定制</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宣传教育</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55寸定制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273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国产定制</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宣传教育</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55寸定制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274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国产定制</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体检引导屏</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82寸定制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275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国产定制</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宣传教育</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120寸定制安卓系统</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276</w:t>
            </w:r>
            <w:r/>
          </w:p>
        </w:tc>
        <w:tc>
          <w:tcPr>
            <w:tcW w:w="105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屏体</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大华DH-PHSIA1.8-SS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32.6</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277</w:t>
            </w:r>
            <w:r/>
          </w:p>
        </w:tc>
        <w:tc>
          <w:tcPr>
            <w:tcW w:w="105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矩阵</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大华LVP603S-X</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278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国产定制</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信息发布盒</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定制型号</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279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国产定制</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控制器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国产优质</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280</w:t>
            </w:r>
            <w:r/>
          </w:p>
        </w:tc>
        <w:tc>
          <w:tcPr>
            <w:tcW w:w="105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户外P6全彩屏</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DH-PHEOA6-SS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47.77</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281</w:t>
            </w:r>
            <w:r/>
          </w:p>
        </w:tc>
        <w:tc>
          <w:tcPr>
            <w:tcW w:w="105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空调</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海信</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282</w:t>
            </w:r>
            <w:r/>
          </w:p>
        </w:tc>
        <w:tc>
          <w:tcPr>
            <w:tcW w:w="105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视屏处理器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DH-DSCON3000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283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国产定制</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信息发布盒</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定制型号</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284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中科曙光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信息发布控制电脑</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曙光一体机</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285</w:t>
            </w:r>
            <w:r/>
          </w:p>
        </w:tc>
        <w:tc>
          <w:tcPr>
            <w:tcW w:w="105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LED大屏</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DH-PHSIA1.8-SS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34</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286</w:t>
            </w:r>
            <w:r/>
          </w:p>
        </w:tc>
        <w:tc>
          <w:tcPr>
            <w:tcW w:w="105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大屏多屏控制器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LVP603S-X</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287</w:t>
            </w:r>
            <w:r/>
          </w:p>
        </w:tc>
        <w:tc>
          <w:tcPr>
            <w:tcW w:w="105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LED大屏</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DH-PHSIA1.8-SS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288</w:t>
            </w:r>
            <w:r/>
          </w:p>
        </w:tc>
        <w:tc>
          <w:tcPr>
            <w:tcW w:w="105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大屏多屏控制器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LVP603S-X</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289</w:t>
            </w:r>
            <w:r/>
          </w:p>
        </w:tc>
        <w:tc>
          <w:tcPr>
            <w:tcW w:w="105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LED大屏</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DH-PHSIA1.8-SS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290</w:t>
            </w:r>
            <w:r/>
          </w:p>
        </w:tc>
        <w:tc>
          <w:tcPr>
            <w:tcW w:w="105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大屏多屏控制器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LVP603S-X</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291</w:t>
            </w:r>
            <w:r/>
          </w:p>
        </w:tc>
        <w:tc>
          <w:tcPr>
            <w:tcW w:w="105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LED大屏</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DH-PHSIA1.8-SS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292</w:t>
            </w:r>
            <w:r/>
          </w:p>
        </w:tc>
        <w:tc>
          <w:tcPr>
            <w:tcW w:w="105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大屏多屏控制器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LVP603S-X</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293</w:t>
            </w:r>
            <w:r/>
          </w:p>
        </w:tc>
        <w:tc>
          <w:tcPr>
            <w:tcW w:w="105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LCD液晶拼接大屏</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DHL550UDM-ES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294</w:t>
            </w:r>
            <w:r/>
          </w:p>
        </w:tc>
        <w:tc>
          <w:tcPr>
            <w:tcW w:w="105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显示屏独立主控</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MCTRL</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6</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295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解码器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DS-6912UD</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296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国产定制</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竖屏广告屏</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定制型号</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297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国产定制</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吊装电视机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定制型号</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298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国产定制</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竖屏广告屏</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定制型号</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299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创维</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吊装电视机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创维</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9</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300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创维</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吊装电视机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创维</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301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海康平台服务器（含平台）</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DS-VE22S-B</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服务器及存储设备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302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海康云存储管理节点</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DS-A5120RL-CVMN</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服务器及存储设备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303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视频云存储节点</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DS-A71024R-CVS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服务器及存储设备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15</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304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双目摄像机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DS-2CD682FG-XC</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30</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305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半球网络摄像机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DS-2CD714WE-LS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138</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306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人脸</w:t>
            </w:r>
            <w:r>
              <w:rPr>
                <w:rFonts w:hint="eastAsia" w:ascii="宋体" w:hAnsi="宋体" w:cs="宋体"/>
                <w:color w:val="000000"/>
                <w:sz w:val="20"/>
                <w:szCs w:val="20"/>
                <w:highlight w:val="none"/>
                <w:lang w:eastAsia="zh-CN"/>
              </w:rPr>
              <w:t xml:space="preserve">抓拍</w:t>
            </w:r>
            <w:r>
              <w:rPr>
                <w:rFonts w:hint="eastAsia" w:ascii="宋体" w:hAnsi="宋体" w:eastAsia="宋体" w:cs="宋体"/>
                <w:color w:val="000000"/>
                <w:sz w:val="20"/>
                <w:szCs w:val="20"/>
                <w:highlight w:val="none"/>
                <w:lang w:eastAsia="zh-CN"/>
              </w:rPr>
              <w:t xml:space="preserve">摄像机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DS-2CD7A8HG-IR</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20</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307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网络枪机摄像机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DS-2CD7A4LKS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55</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308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视频交换机24口</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S5720-28P-LI</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15</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309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英谷</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摄像机电源12V30A</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英谷YGMJYQ36012</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30</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310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网络红外球机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DS-2DF82FGH</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8</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311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网络枪机摄像机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DS-2CD7A4LKS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165</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312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视频交换机24口</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S5720-28P-LI</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15</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313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英谷</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摄像机电源12V30A</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英谷YGMJYQ36012</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15</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314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半球网络摄像机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DS-2CD714WE-LS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89</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315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人脸</w:t>
            </w:r>
            <w:r>
              <w:rPr>
                <w:rFonts w:hint="eastAsia" w:ascii="宋体" w:hAnsi="宋体" w:cs="宋体"/>
                <w:color w:val="000000"/>
                <w:sz w:val="20"/>
                <w:szCs w:val="20"/>
                <w:highlight w:val="none"/>
                <w:lang w:eastAsia="zh-CN"/>
              </w:rPr>
              <w:t xml:space="preserve">抓拍</w:t>
            </w:r>
            <w:r>
              <w:rPr>
                <w:rFonts w:hint="eastAsia" w:ascii="宋体" w:hAnsi="宋体" w:eastAsia="宋体" w:cs="宋体"/>
                <w:color w:val="000000"/>
                <w:sz w:val="20"/>
                <w:szCs w:val="20"/>
                <w:highlight w:val="none"/>
                <w:lang w:eastAsia="zh-CN"/>
              </w:rPr>
              <w:t xml:space="preserve">摄像机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DS-2CD7A8HG-IR</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316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视频交换机24口</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S5720-28P-LI</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10</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317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英谷</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摄像机电源12V30A</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英谷YGMJYQ36012</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10</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318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半球网络摄像机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DS-2CD714WE-LS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157</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319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人脸</w:t>
            </w:r>
            <w:r>
              <w:rPr>
                <w:rFonts w:hint="eastAsia" w:ascii="宋体" w:hAnsi="宋体" w:cs="宋体"/>
                <w:color w:val="000000"/>
                <w:sz w:val="20"/>
                <w:szCs w:val="20"/>
                <w:highlight w:val="none"/>
                <w:lang w:eastAsia="zh-CN"/>
              </w:rPr>
              <w:t xml:space="preserve">抓拍</w:t>
            </w:r>
            <w:r>
              <w:rPr>
                <w:rFonts w:hint="eastAsia" w:ascii="宋体" w:hAnsi="宋体" w:eastAsia="宋体" w:cs="宋体"/>
                <w:color w:val="000000"/>
                <w:sz w:val="20"/>
                <w:szCs w:val="20"/>
                <w:highlight w:val="none"/>
                <w:lang w:eastAsia="zh-CN"/>
              </w:rPr>
              <w:t xml:space="preserve">摄像机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DS-2CD7A8HG-IR</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320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视频交换机24口</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S5720-28P-LI</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321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英谷</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摄像机电源12V30A</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英谷YGMJYQ36012</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322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半球网络摄像机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DS-2CD714WE-LS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88</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323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人脸</w:t>
            </w:r>
            <w:r>
              <w:rPr>
                <w:rFonts w:hint="eastAsia" w:ascii="宋体" w:hAnsi="宋体" w:cs="宋体"/>
                <w:color w:val="000000"/>
                <w:sz w:val="20"/>
                <w:szCs w:val="20"/>
                <w:highlight w:val="none"/>
                <w:lang w:eastAsia="zh-CN"/>
              </w:rPr>
              <w:t xml:space="preserve">抓拍</w:t>
            </w:r>
            <w:r>
              <w:rPr>
                <w:rFonts w:hint="eastAsia" w:ascii="宋体" w:hAnsi="宋体" w:eastAsia="宋体" w:cs="宋体"/>
                <w:color w:val="000000"/>
                <w:sz w:val="20"/>
                <w:szCs w:val="20"/>
                <w:highlight w:val="none"/>
                <w:lang w:eastAsia="zh-CN"/>
              </w:rPr>
              <w:t xml:space="preserve">摄像机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DS-2CD7A8HG-IR</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6</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324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视频交换机24口</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S5720-28P-LI</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6</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325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英谷</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摄像机电源12V30A</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英谷YGMJYQ36012</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6</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326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网络枪机摄像机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DS-2CD7A4LKS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172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327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网络红外球机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DS-2DF82GH</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8</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328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视频交换机24口</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S5720-28P-LI</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9</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329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英谷</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摄像机电源12V30A</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英谷YGMJYQ36012</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15</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330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网络枪机摄像机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DS-2CD7A4LKS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118</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331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网络红外球机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DS-2DF82GH</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9</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332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视频交换机24口</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S5720-28P-LI</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10</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333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英谷</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摄像机电源12V30A</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英谷YGMJYQ36012</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20</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334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海康硬盘录像机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YT-H4SN</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335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人脸一体机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DS-K1T607</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336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门禁控制器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DS-K2602</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337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人脸一体机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DS-K1T607</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338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门禁控制器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DS-K2602</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339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人脸一体机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DS-K1T607</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340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门禁控制器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DS-K2602</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341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考勤人脸打卡机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DS-K1T673M</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342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双车位识别器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DS-TCP145-K(6mm)</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停车场管理系统设备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20</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343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三车位识别器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DS-TCP345-K（4mm）</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停车场管理系统设备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110</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344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单向引导屏</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DS-TVL121-3-6D</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停车场管理系统设备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345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双向引导屏</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DS-TVL121-6-6D</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停车场管理系统设备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346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三向引导屏</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DS-TVL121-9-6D</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停车场管理系统设备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347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组合余位屏</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DS-TVB200/一个模组</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停车场管理系统设备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348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智能道闸</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DS-TMG400-HL</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停车场管理系统设备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349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出/入口控制机纯车牌识别版闸机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DS-TPE300-W</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停车场管理系统设备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350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海康威视</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诱导管理主机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DS-TPM400-P(3T)</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停车场管理系统设备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351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24口交换机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S5720-28P-LI</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352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LED显示屏</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DH-PHSIA1.8-SS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20.3</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353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大华矩阵（含板卡）</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LVP603S-X</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354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海信</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LED显示器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海信TLM40V66PK</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355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Yamaha</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24路高品质调音台</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Yamaha</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356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SONIC-PRO</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处理器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SONIC-PRO</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357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Motivity</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音箱</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Motivity</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6</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358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SONIC-PRO</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功放</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SONIC-PRO</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359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AUDIO-TECHNICA</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无线话筒</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AUDIO-TECHNICA</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360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Motivity</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均衡器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Motivity</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361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Adiuoteleco</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电源时序器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Adiuoteleco</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362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加视诚</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人脸采集签到机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加视诚</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363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自动进出三通道双向闸机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364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室内高速球机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20</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365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24口交换机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S5700-28C-RWR-EI</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366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创维</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电视机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创维</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367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阿卡斯</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HDMI网络转换器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阿卡斯</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368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研扬</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现场教育监督管理系统主机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研扬</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7</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369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施耐德</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动力柜</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施耐德定制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370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施耐德</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UPS配电柜</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施耐德定制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371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新风机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XF800D</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372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冷池空调</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NETCOL5000-A</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373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环境空调</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NETCOL8000-A</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374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动环控制主机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WM5MSERVERB5</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375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S5720-28X-PWR-SI</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376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32路网络视频接入</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PACKEGVCN540-32</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377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半球型网络摄像机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CAMERAIPC6325</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14</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378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两门门禁控制器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2D00RRS485ACS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379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指纹/密码/读卡器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CHD200G1CK</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6</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380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冷池平板</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AGS2-W09</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381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温湿度计</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13</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382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海湾</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温感探测器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海湾JTW-ZCD-G3N</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13</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383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海湾</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烟感探测器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海湾JTY-GD-G3T</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16</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384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安全出口指示灯</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385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放气勿入指示灯</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386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声光报警灯</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387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紧急启动按钮</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388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海湾</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气体控制器主机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海湾GST-QKP04</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389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海湾</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火灾报警控制器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海湾JB-QB-GST200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390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七氟丙烷气柜</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GQQ120/2.5-JA</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9</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391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施耐德</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动力配电柜</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施耐德定制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392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施耐德</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UPS直流配电柜</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施耐德定制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393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UPS</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UPS5000-E-500K</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394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理士</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理士电池</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12V200AH</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320</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395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精密空调</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NETCOL8000-A</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396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正亚</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新风机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X-15G</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397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多功能传感器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华为配套定制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398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半球型网络摄像机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CAMERAIPC6325</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399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两门门禁控制器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2D00RRS485ACS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400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指纹/密码/读卡器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CHD200G1CK</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401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温湿度计</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华为配套定制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402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安全出口指示灯</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403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海湾</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温感探测器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海湾JTW-ZCD-G3N</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404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海湾</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烟感探测器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海湾JTY-GD-G3T</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405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放气勿入指示灯</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406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声光报警灯</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407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紧急启动按钮</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GSF-LD-8318</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408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气体控制器主机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GST-QKP01</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409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七氟丙烷气柜</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GQQ120/2.5-JA</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410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施耐德</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配电柜</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施耐德定制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411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UPS</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UPS2000-G-20KRTL</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412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理士</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电池</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12V40AH</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413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精密空调</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NETCOL5000-A</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414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冷通道平板</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AGS-W09</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415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半球型网络摄像机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CAMERAIPC6325</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416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两门门禁控制器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2D00RRS485ACS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417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指纹/密码/读卡器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CHD200G1CK</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418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温湿度计</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华为配套定制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419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温感探测器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JTW-ZCD-G3N</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420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烟感探测器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JTY-GD-G3T</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421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安全出口指示灯</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422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放气勿入指示灯</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423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声光报警灯</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424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紧急启动按钮</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GSF-LD-8318</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425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气体控制器主机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GST-QKP01</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426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七氟丙烷气柜</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GQQ90/2.5-JA</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427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施耐德</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配电柜</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施耐德定制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428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UPS</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UPS5000-E-125K</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429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电池</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12V200AH</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40</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430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精密空调</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NETCOL5000-A</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431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冷通道平板</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AGS2-W09</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432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多功能传感器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华为配套定制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433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半球型网络摄像机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CAMERAIPC6325</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434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两门门禁控制器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2D00RRS485ACS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435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指纹/密码/读卡器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CHD200G1CK</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安防门禁及监控设备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436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温湿度计</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华为配套定制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437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温感探测器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JTW-ZCD-G3N</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438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烟感探测器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JTY-GD-G3T</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439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安全出口指示灯</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440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放气勿入指示灯</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441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声光报警灯</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442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紧急启动按钮</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GSF-LD-8318</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443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气体控制器主机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GST-QKP01</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444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剑安</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七氟丙烷气柜</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GQQ120/2.5-JA</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445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AVCIT</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中控主机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AVCIT</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446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科达</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科达视频会议主机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SKIX500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447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雅马哈</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雅马哈调音台</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MG16</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448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Motivity</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均衡器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DBX231X</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449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新动力</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新动力电源时序器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CRV-P8-NET</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450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铁三角</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无线话筒主机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铁三角ATW-R2100B</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451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SONIC</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音频处理器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MATRIX404</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452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TAIDEN</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会议主机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HCS-4100MC</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453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Motivity</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反馈抑制器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MotivityDF-224</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454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效果器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TC-AudioAS-600P</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455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SONIC</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功放</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MA-2200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456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SONIC</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功放</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MA-2300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457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Adiuoteleco</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电源时序器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Q80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458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tplink</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TP无线路由器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AP302C</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459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TAIDEN</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桌面话筒</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HCS-4341DB/50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15</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460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Motivity</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音响</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AT-08</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461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TAIDEN</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鹅颈话筒</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HCS-4338NC-DI50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462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apple</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平板</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IPAD7</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463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吸顶喇叭</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L-VCM-06D</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464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铂睿</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室内彩色显示屏</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BXP-TF-2161(V1)</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15.3</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465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铂睿</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网络多屏处理器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BR-DMSB516</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466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国产定制</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配电柜</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467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TAIDEN</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全数字化标准会议系统主机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HCS-4100MC/50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468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雅马哈</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24路高品质数模结合型调音台</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MGP24X24</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469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SONIC</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处理器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MATRIX404</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470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SONIC</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反馈抑制器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MATRIX402</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471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Motivity</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音箱</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AT-08</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472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SONIC</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功放</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MA-2300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473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SONIC</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音箱</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CM-6</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6</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474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AUDIO-TECHNICA</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无线话筒</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ATW-2120B</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475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Adiuoteleco</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电源时序器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Q80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476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AVCIT</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分布式输入节点-HD</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477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TP-LINIK</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路由器（无线AP）</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TP-LINIKTL-WDR6700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478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S5700-28C-PWR-EI</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479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网路IP继电器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CRV-P8NET</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480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LED电子显示屏</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DH-PHSIA1.8-SS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12.3</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481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大华</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显示屏独立主控</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DH-LCS-M600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482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国产定制</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配电柜</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电力及机房环控系统设备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483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TAIDEN</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全数字化标准会议系统主机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HCS-4100MC/50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484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录音大师</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数字调音台</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DIGILIVE16</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485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SONIC</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处理器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MATRIX808</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486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Motivity</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音箱</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M-10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8</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487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SONIC</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功放</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MA210K</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488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Motivity</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音箱</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AT-18S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489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SONIC</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功放</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MA-210K</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490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Motivity</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音箱</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AT-08</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491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AUDIO-TECHNICA</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无线话筒</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ATW-2120B</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492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Motivity</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均衡器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GEQ230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493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Kramer</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监听音响</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Dolev-5</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494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Adiuoteleco</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电源时序器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Q80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495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TAIDEN</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矩阵</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TMX-0404SDI2</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496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apple</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控制平板</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IPAD7</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497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AVCIT</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分布式输入节点-SDI</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AVCIT</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3</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498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AVCIT</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分布式输入节点-HDMI</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AVCIT</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499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AVCIT</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分布式输出节点-HDMI</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AVCIT</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4</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500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AVCIT</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网络IP继电器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AVCIT</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501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tplink</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路由器(无线AP)</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TP-LINIKTL-WDR6700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502</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交换机</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华为S5720-28P</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网络及安全设备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503</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BAB</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LED成像灯</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BAB</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16</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504</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BAB</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280W图案光速灯</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BAB</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6</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505</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BAB</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LED染色灯</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BAB</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24</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506</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BAB</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三基色会议冷光灯</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BAB</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507</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BAB</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1024金刚控制台</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BAB</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508</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BAB</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信号放大器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BAB</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509</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BAB</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直通硅箱</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BAB</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510</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铂睿</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室内全彩屏</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BXP-TF-2161(V1)</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23.3</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511</w:t>
            </w:r>
            <w:r/>
          </w:p>
        </w:tc>
        <w:tc>
          <w:tcPr>
            <w:tcW w:w="105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铂睿</w:t>
            </w:r>
            <w:r/>
          </w:p>
        </w:tc>
        <w:tc>
          <w:tcPr>
            <w:tcW w:w="1916"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网络多屏处理器</w:t>
            </w:r>
            <w:r/>
          </w:p>
        </w:tc>
        <w:tc>
          <w:tcPr>
            <w:tcW w:w="1663"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BR-DMSB516</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信息显示及广播设备</w:t>
            </w:r>
            <w:r/>
          </w:p>
        </w:tc>
        <w:tc>
          <w:tcPr>
            <w:tcW w:w="770"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eastAsia="zh-CN"/>
              </w:rPr>
              <w:t xml:space="preserve">51</w:t>
            </w:r>
            <w:r>
              <w:rPr>
                <w:rFonts w:hint="eastAsia" w:ascii="宋体" w:hAnsi="宋体" w:cs="宋体"/>
                <w:color w:val="000000"/>
                <w:sz w:val="20"/>
                <w:szCs w:val="20"/>
                <w:highlight w:val="none"/>
                <w:lang w:val="en-US" w:eastAsia="zh-CN"/>
              </w:rPr>
              <w:t xml:space="preserve">2</w:t>
            </w:r>
            <w:r/>
          </w:p>
        </w:tc>
        <w:tc>
          <w:tcPr>
            <w:tcW w:w="1058"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利亚德</w:t>
            </w:r>
            <w:r/>
          </w:p>
        </w:tc>
        <w:tc>
          <w:tcPr>
            <w:tcW w:w="1916" w:type="dxa"/>
            <w:vAlign w:val="center"/>
            <w:textDirection w:val="lrTb"/>
            <w:noWrap w:val="false"/>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LED大屏模组</w:t>
            </w:r>
            <w:r/>
          </w:p>
        </w:tc>
        <w:tc>
          <w:tcPr>
            <w:tcW w:w="1663"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MG012</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指挥中心综合显示系统配件</w:t>
            </w:r>
            <w:r/>
          </w:p>
        </w:tc>
        <w:tc>
          <w:tcPr>
            <w:tcW w:w="770"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2020</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51</w:t>
            </w:r>
            <w:r>
              <w:rPr>
                <w:rFonts w:hint="eastAsia" w:ascii="宋体" w:hAnsi="宋体" w:cs="宋体"/>
                <w:color w:val="000000"/>
                <w:sz w:val="20"/>
                <w:szCs w:val="20"/>
                <w:highlight w:val="none"/>
                <w:lang w:val="en-US" w:eastAsia="zh-CN"/>
              </w:rPr>
              <w:t xml:space="preserve">3</w:t>
            </w:r>
            <w:r/>
          </w:p>
        </w:tc>
        <w:tc>
          <w:tcPr>
            <w:tcW w:w="1058"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利亚德</w:t>
            </w:r>
            <w:r/>
          </w:p>
        </w:tc>
        <w:tc>
          <w:tcPr>
            <w:tcW w:w="1916" w:type="dxa"/>
            <w:vAlign w:val="center"/>
            <w:textDirection w:val="lrTb"/>
            <w:noWrap w:val="false"/>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LED大屏模组（条屏）</w:t>
            </w:r>
            <w:r/>
          </w:p>
        </w:tc>
        <w:tc>
          <w:tcPr>
            <w:tcW w:w="1663"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MG015</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指挥中心综合显示系统配件</w:t>
            </w:r>
            <w:r/>
          </w:p>
        </w:tc>
        <w:tc>
          <w:tcPr>
            <w:tcW w:w="770"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170</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51</w:t>
            </w:r>
            <w:r>
              <w:rPr>
                <w:rFonts w:hint="eastAsia" w:ascii="宋体" w:hAnsi="宋体" w:cs="宋体"/>
                <w:color w:val="000000"/>
                <w:sz w:val="20"/>
                <w:szCs w:val="20"/>
                <w:highlight w:val="none"/>
                <w:lang w:val="en-US" w:eastAsia="zh-CN"/>
              </w:rPr>
              <w:t xml:space="preserve">4</w:t>
            </w:r>
            <w:r/>
          </w:p>
        </w:tc>
        <w:tc>
          <w:tcPr>
            <w:tcW w:w="1058"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利亚德</w:t>
            </w:r>
            <w:r/>
          </w:p>
        </w:tc>
        <w:tc>
          <w:tcPr>
            <w:tcW w:w="1916" w:type="dxa"/>
            <w:vAlign w:val="center"/>
            <w:textDirection w:val="lrTb"/>
            <w:noWrap w:val="false"/>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大屏LED控制卡</w:t>
            </w:r>
            <w:r/>
          </w:p>
        </w:tc>
        <w:tc>
          <w:tcPr>
            <w:tcW w:w="1663"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SM700-1</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指挥中心综合显示系统配件</w:t>
            </w:r>
            <w:r/>
          </w:p>
        </w:tc>
        <w:tc>
          <w:tcPr>
            <w:tcW w:w="770"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51</w:t>
            </w:r>
            <w:r>
              <w:rPr>
                <w:rFonts w:hint="eastAsia" w:ascii="宋体" w:hAnsi="宋体" w:cs="宋体"/>
                <w:color w:val="000000"/>
                <w:sz w:val="20"/>
                <w:szCs w:val="20"/>
                <w:highlight w:val="none"/>
                <w:lang w:val="en-US" w:eastAsia="zh-CN"/>
              </w:rPr>
              <w:t xml:space="preserve">5</w:t>
            </w:r>
            <w:r/>
          </w:p>
        </w:tc>
        <w:tc>
          <w:tcPr>
            <w:tcW w:w="1058"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利亚德</w:t>
            </w:r>
            <w:r/>
          </w:p>
        </w:tc>
        <w:tc>
          <w:tcPr>
            <w:tcW w:w="1916" w:type="dxa"/>
            <w:vAlign w:val="center"/>
            <w:textDirection w:val="lrTb"/>
            <w:noWrap w:val="false"/>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LED大屏模组控制板</w:t>
            </w:r>
            <w:r/>
          </w:p>
        </w:tc>
        <w:tc>
          <w:tcPr>
            <w:tcW w:w="1663"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32版，4接口</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指挥中心综合显示系统配件</w:t>
            </w:r>
            <w:r/>
          </w:p>
        </w:tc>
        <w:tc>
          <w:tcPr>
            <w:tcW w:w="770"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550</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51</w:t>
            </w:r>
            <w:r>
              <w:rPr>
                <w:rFonts w:hint="eastAsia" w:ascii="宋体" w:hAnsi="宋体" w:cs="宋体"/>
                <w:color w:val="000000"/>
                <w:sz w:val="20"/>
                <w:szCs w:val="20"/>
                <w:highlight w:val="none"/>
                <w:lang w:val="en-US" w:eastAsia="zh-CN"/>
              </w:rPr>
              <w:t xml:space="preserve">6</w:t>
            </w:r>
            <w:r/>
          </w:p>
        </w:tc>
        <w:tc>
          <w:tcPr>
            <w:tcW w:w="1058"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利亚德</w:t>
            </w:r>
            <w:r/>
          </w:p>
        </w:tc>
        <w:tc>
          <w:tcPr>
            <w:tcW w:w="1916" w:type="dxa"/>
            <w:vAlign w:val="center"/>
            <w:textDirection w:val="lrTb"/>
            <w:noWrap w:val="false"/>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视频处理器</w:t>
            </w:r>
            <w:r/>
          </w:p>
        </w:tc>
        <w:tc>
          <w:tcPr>
            <w:tcW w:w="1663"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LYD-N2160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指挥中心综合显示系统配件</w:t>
            </w:r>
            <w:r/>
          </w:p>
        </w:tc>
        <w:tc>
          <w:tcPr>
            <w:tcW w:w="770"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51</w:t>
            </w:r>
            <w:r>
              <w:rPr>
                <w:rFonts w:hint="eastAsia" w:ascii="宋体" w:hAnsi="宋体" w:cs="宋体"/>
                <w:color w:val="000000"/>
                <w:sz w:val="20"/>
                <w:szCs w:val="20"/>
                <w:highlight w:val="none"/>
                <w:lang w:val="en-US" w:eastAsia="zh-CN"/>
              </w:rPr>
              <w:t xml:space="preserve">7</w:t>
            </w:r>
            <w:r/>
          </w:p>
        </w:tc>
        <w:tc>
          <w:tcPr>
            <w:tcW w:w="1058"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利亚德</w:t>
            </w:r>
            <w:r/>
          </w:p>
        </w:tc>
        <w:tc>
          <w:tcPr>
            <w:tcW w:w="1916" w:type="dxa"/>
            <w:vAlign w:val="center"/>
            <w:textDirection w:val="lrTb"/>
            <w:noWrap w:val="false"/>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LED大屏接收卡</w:t>
            </w:r>
            <w:r/>
          </w:p>
        </w:tc>
        <w:tc>
          <w:tcPr>
            <w:tcW w:w="1663"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X300-1 ROHS</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指挥中心综合显示系统配件</w:t>
            </w:r>
            <w:r/>
          </w:p>
        </w:tc>
        <w:tc>
          <w:tcPr>
            <w:tcW w:w="770"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550</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51</w:t>
            </w:r>
            <w:r>
              <w:rPr>
                <w:rFonts w:hint="eastAsia" w:ascii="宋体" w:hAnsi="宋体" w:cs="宋体"/>
                <w:color w:val="000000"/>
                <w:sz w:val="20"/>
                <w:szCs w:val="20"/>
                <w:highlight w:val="none"/>
                <w:lang w:val="en-US" w:eastAsia="zh-CN"/>
              </w:rPr>
              <w:t xml:space="preserve">8</w:t>
            </w:r>
            <w:r/>
          </w:p>
        </w:tc>
        <w:tc>
          <w:tcPr>
            <w:tcW w:w="1058"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利亚德</w:t>
            </w:r>
            <w:r/>
          </w:p>
        </w:tc>
        <w:tc>
          <w:tcPr>
            <w:tcW w:w="1916" w:type="dxa"/>
            <w:vAlign w:val="center"/>
            <w:textDirection w:val="lrTb"/>
            <w:noWrap w:val="false"/>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模组电源</w:t>
            </w:r>
            <w:r/>
          </w:p>
        </w:tc>
        <w:tc>
          <w:tcPr>
            <w:tcW w:w="1663"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项目定制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指挥中心综合显示系统配件</w:t>
            </w:r>
            <w:r/>
          </w:p>
        </w:tc>
        <w:tc>
          <w:tcPr>
            <w:tcW w:w="770"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550</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51</w:t>
            </w:r>
            <w:r>
              <w:rPr>
                <w:rFonts w:hint="eastAsia" w:ascii="宋体" w:hAnsi="宋体" w:cs="宋体"/>
                <w:color w:val="000000"/>
                <w:sz w:val="20"/>
                <w:szCs w:val="20"/>
                <w:highlight w:val="none"/>
                <w:lang w:val="en-US" w:eastAsia="zh-CN"/>
              </w:rPr>
              <w:t xml:space="preserve">9</w:t>
            </w:r>
            <w:r/>
          </w:p>
        </w:tc>
        <w:tc>
          <w:tcPr>
            <w:tcW w:w="1058"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国产</w:t>
            </w:r>
            <w:r/>
          </w:p>
        </w:tc>
        <w:tc>
          <w:tcPr>
            <w:tcW w:w="1916" w:type="dxa"/>
            <w:vAlign w:val="center"/>
            <w:textDirection w:val="lrTb"/>
            <w:noWrap w:val="false"/>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拼控连接线缆</w:t>
            </w:r>
            <w:r/>
          </w:p>
        </w:tc>
        <w:tc>
          <w:tcPr>
            <w:tcW w:w="1663"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项目定制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指挥中心综合显示系统配件</w:t>
            </w:r>
            <w:r/>
          </w:p>
        </w:tc>
        <w:tc>
          <w:tcPr>
            <w:tcW w:w="770"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eastAsia="zh-CN"/>
              </w:rPr>
              <w:t xml:space="preserve">5</w:t>
            </w:r>
            <w:r>
              <w:rPr>
                <w:rFonts w:hint="eastAsia" w:ascii="宋体" w:hAnsi="宋体" w:cs="宋体"/>
                <w:color w:val="000000"/>
                <w:sz w:val="20"/>
                <w:szCs w:val="20"/>
                <w:highlight w:val="none"/>
                <w:lang w:val="en-US" w:eastAsia="zh-CN"/>
              </w:rPr>
              <w:t xml:space="preserve">20</w:t>
            </w:r>
            <w:r/>
          </w:p>
        </w:tc>
        <w:tc>
          <w:tcPr>
            <w:tcW w:w="1058"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国产</w:t>
            </w:r>
            <w:r/>
          </w:p>
        </w:tc>
        <w:tc>
          <w:tcPr>
            <w:tcW w:w="1916" w:type="dxa"/>
            <w:vAlign w:val="center"/>
            <w:textDirection w:val="lrTb"/>
            <w:noWrap w:val="false"/>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模组电源线</w:t>
            </w:r>
            <w:r/>
          </w:p>
        </w:tc>
        <w:tc>
          <w:tcPr>
            <w:tcW w:w="1663"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项目定制</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指挥中心综合显示系统配件</w:t>
            </w:r>
            <w:r/>
          </w:p>
        </w:tc>
        <w:tc>
          <w:tcPr>
            <w:tcW w:w="770"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eastAsia="zh-CN"/>
              </w:rPr>
              <w:t xml:space="preserve">5</w:t>
            </w:r>
            <w:r>
              <w:rPr>
                <w:rFonts w:hint="eastAsia" w:ascii="宋体" w:hAnsi="宋体" w:cs="宋体"/>
                <w:color w:val="000000"/>
                <w:sz w:val="20"/>
                <w:szCs w:val="20"/>
                <w:highlight w:val="none"/>
                <w:lang w:val="en-US" w:eastAsia="zh-CN"/>
              </w:rPr>
              <w:t xml:space="preserve">21</w:t>
            </w:r>
            <w:r/>
          </w:p>
        </w:tc>
        <w:tc>
          <w:tcPr>
            <w:tcW w:w="1058"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一舟</w:t>
            </w:r>
            <w:r/>
          </w:p>
        </w:tc>
        <w:tc>
          <w:tcPr>
            <w:tcW w:w="1916" w:type="dxa"/>
            <w:vAlign w:val="center"/>
            <w:textDirection w:val="lrTb"/>
            <w:noWrap w:val="false"/>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网线</w:t>
            </w:r>
            <w:r/>
          </w:p>
        </w:tc>
        <w:tc>
          <w:tcPr>
            <w:tcW w:w="1663"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UTP</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指挥中心综合显示系统配件</w:t>
            </w:r>
            <w:r/>
          </w:p>
        </w:tc>
        <w:tc>
          <w:tcPr>
            <w:tcW w:w="770"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eastAsia="zh-CN"/>
              </w:rPr>
              <w:t xml:space="preserve">5</w:t>
            </w:r>
            <w:r>
              <w:rPr>
                <w:rFonts w:hint="eastAsia" w:ascii="宋体" w:hAnsi="宋体" w:cs="宋体"/>
                <w:color w:val="000000"/>
                <w:sz w:val="20"/>
                <w:szCs w:val="20"/>
                <w:highlight w:val="none"/>
                <w:lang w:val="en-US" w:eastAsia="zh-CN"/>
              </w:rPr>
              <w:t xml:space="preserve">22</w:t>
            </w:r>
            <w:r/>
          </w:p>
        </w:tc>
        <w:tc>
          <w:tcPr>
            <w:tcW w:w="1058"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普联技术有限公司</w:t>
            </w:r>
            <w:r/>
          </w:p>
        </w:tc>
        <w:tc>
          <w:tcPr>
            <w:tcW w:w="1916" w:type="dxa"/>
            <w:vAlign w:val="center"/>
            <w:textDirection w:val="lrTb"/>
            <w:noWrap w:val="false"/>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千兆交换机</w:t>
            </w:r>
            <w:r/>
          </w:p>
        </w:tc>
        <w:tc>
          <w:tcPr>
            <w:tcW w:w="1663"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TL-SH1226</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指挥中心综合显示系统配件</w:t>
            </w:r>
            <w:r/>
          </w:p>
        </w:tc>
        <w:tc>
          <w:tcPr>
            <w:tcW w:w="770"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eastAsia="zh-CN"/>
              </w:rPr>
              <w:t xml:space="preserve">5</w:t>
            </w:r>
            <w:r>
              <w:rPr>
                <w:rFonts w:hint="eastAsia" w:ascii="宋体" w:hAnsi="宋体" w:cs="宋体"/>
                <w:color w:val="000000"/>
                <w:sz w:val="20"/>
                <w:szCs w:val="20"/>
                <w:highlight w:val="none"/>
                <w:lang w:val="en-US" w:eastAsia="zh-CN"/>
              </w:rPr>
              <w:t xml:space="preserve">23</w:t>
            </w:r>
            <w:r/>
          </w:p>
        </w:tc>
        <w:tc>
          <w:tcPr>
            <w:tcW w:w="1058"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利亚德</w:t>
            </w:r>
            <w:r/>
          </w:p>
        </w:tc>
        <w:tc>
          <w:tcPr>
            <w:tcW w:w="1916" w:type="dxa"/>
            <w:vAlign w:val="center"/>
            <w:textDirection w:val="lrTb"/>
            <w:noWrap w:val="false"/>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PLC控制模块</w:t>
            </w:r>
            <w:r/>
          </w:p>
        </w:tc>
        <w:tc>
          <w:tcPr>
            <w:tcW w:w="1663"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LYD-PLC50</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指挥中心综合显示系统配件</w:t>
            </w:r>
            <w:r/>
          </w:p>
        </w:tc>
        <w:tc>
          <w:tcPr>
            <w:tcW w:w="770"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eastAsia="zh-CN"/>
              </w:rPr>
              <w:t xml:space="preserve">5</w:t>
            </w:r>
            <w:r>
              <w:rPr>
                <w:rFonts w:hint="eastAsia" w:ascii="宋体" w:hAnsi="宋体" w:cs="宋体"/>
                <w:color w:val="000000"/>
                <w:sz w:val="20"/>
                <w:szCs w:val="20"/>
                <w:highlight w:val="none"/>
                <w:lang w:val="en-US" w:eastAsia="zh-CN"/>
              </w:rPr>
              <w:t xml:space="preserve">24</w:t>
            </w:r>
            <w:r/>
          </w:p>
        </w:tc>
        <w:tc>
          <w:tcPr>
            <w:tcW w:w="1058"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正泰</w:t>
            </w:r>
            <w:r/>
          </w:p>
        </w:tc>
        <w:tc>
          <w:tcPr>
            <w:tcW w:w="1916" w:type="dxa"/>
            <w:vAlign w:val="center"/>
            <w:textDirection w:val="lrTb"/>
            <w:noWrap w:val="false"/>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空气开关</w:t>
            </w:r>
            <w:r/>
          </w:p>
        </w:tc>
        <w:tc>
          <w:tcPr>
            <w:tcW w:w="1663"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NXB-63</w:t>
            </w:r>
            <w:r/>
          </w:p>
        </w:tc>
        <w:tc>
          <w:tcPr>
            <w:tcW w:w="230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 xml:space="preserve">指挥中心综合显示系统配件</w:t>
            </w:r>
            <w:r/>
          </w:p>
        </w:tc>
        <w:tc>
          <w:tcPr>
            <w:tcW w:w="770"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0"/>
        </w:trPr>
        <w:tc>
          <w:tcPr>
            <w:tcW w:w="878" w:type="dxa"/>
            <w:vAlign w:val="center"/>
            <w:textDirection w:val="lrTb"/>
            <w:noWrap/>
          </w:tcPr>
          <w:p>
            <w:pPr>
              <w:ind w:firstLine="0"/>
              <w:jc w:val="center"/>
              <w:keepLines w:val="0"/>
              <w:keepNext w:val="0"/>
              <w:pageBreakBefore w:val="0"/>
              <w:spacing w:after="0" w:line="240" w:lineRule="auto"/>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eastAsia="zh-CN"/>
              </w:rPr>
              <w:t xml:space="preserve">5</w:t>
            </w:r>
            <w:r>
              <w:rPr>
                <w:rFonts w:hint="eastAsia" w:ascii="宋体" w:hAnsi="宋体" w:cs="宋体"/>
                <w:color w:val="000000"/>
                <w:sz w:val="20"/>
                <w:szCs w:val="20"/>
                <w:highlight w:val="none"/>
                <w:lang w:val="en-US" w:eastAsia="zh-CN"/>
              </w:rPr>
              <w:t xml:space="preserve">25</w:t>
            </w:r>
            <w:r/>
          </w:p>
        </w:tc>
        <w:tc>
          <w:tcPr>
            <w:tcW w:w="1058"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正泰</w:t>
            </w:r>
            <w:r/>
          </w:p>
        </w:tc>
        <w:tc>
          <w:tcPr>
            <w:tcW w:w="1916" w:type="dxa"/>
            <w:vAlign w:val="center"/>
            <w:textDirection w:val="lrTb"/>
            <w:noWrap w:val="false"/>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漏电断路器</w:t>
            </w:r>
            <w:r/>
          </w:p>
        </w:tc>
        <w:tc>
          <w:tcPr>
            <w:tcW w:w="1663"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NM1-250s/3300</w:t>
            </w:r>
            <w:r/>
          </w:p>
        </w:tc>
        <w:tc>
          <w:tcPr>
            <w:tcW w:w="2307"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eastAsia="宋体" w:cs="宋体"/>
                <w:color w:val="000000"/>
                <w:sz w:val="20"/>
                <w:szCs w:val="20"/>
                <w:highlight w:val="none"/>
                <w:lang w:eastAsia="zh-CN"/>
              </w:rPr>
              <w:t xml:space="preserve">指挥中心综合显示系统配件</w:t>
            </w:r>
            <w:r/>
          </w:p>
        </w:tc>
        <w:tc>
          <w:tcPr>
            <w:tcW w:w="770"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r>
      <w:tr>
        <w:trPr>
          <w:trHeight w:val="404"/>
        </w:trPr>
        <w:tc>
          <w:tcPr>
            <w:tcW w:w="878"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526</w:t>
            </w:r>
            <w:r/>
          </w:p>
        </w:tc>
        <w:tc>
          <w:tcPr>
            <w:tcW w:w="105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天行网安</w:t>
            </w:r>
            <w:r/>
          </w:p>
        </w:tc>
        <w:tc>
          <w:tcPr>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万兆数据交换系统</w:t>
            </w:r>
            <w:r/>
          </w:p>
        </w:tc>
        <w:tc>
          <w:tcPr>
            <w:tcW w:w="16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DTP-5609-Y</w:t>
            </w:r>
            <w:r/>
          </w:p>
        </w:tc>
        <w:tc>
          <w:tcPr>
            <w:tcW w:w="2307" w:type="dxa"/>
            <w:vAlign w:val="center"/>
            <w:textDirection w:val="lrTb"/>
            <w:noWrap w:val="false"/>
          </w:tcPr>
          <w:p>
            <w:pPr>
              <w:jc w:val="center"/>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安全边界设备</w:t>
            </w:r>
            <w:r/>
          </w:p>
        </w:tc>
        <w:tc>
          <w:tcPr>
            <w:tcW w:w="770"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429"/>
        </w:trPr>
        <w:tc>
          <w:tcPr>
            <w:tcW w:w="878"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527</w:t>
            </w:r>
            <w:r/>
          </w:p>
        </w:tc>
        <w:tc>
          <w:tcPr>
            <w:tcW w:w="105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天行网安</w:t>
            </w:r>
            <w:r/>
          </w:p>
        </w:tc>
        <w:tc>
          <w:tcPr>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万兆请求服务系统</w:t>
            </w:r>
            <w:r/>
          </w:p>
        </w:tc>
        <w:tc>
          <w:tcPr>
            <w:tcW w:w="16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RSS-5259</w:t>
            </w:r>
            <w:r/>
          </w:p>
        </w:tc>
        <w:tc>
          <w:tcPr>
            <w:tcW w:w="2307" w:type="dxa"/>
            <w:vAlign w:val="center"/>
            <w:textDirection w:val="lrTb"/>
            <w:noWrap w:val="false"/>
          </w:tcPr>
          <w:p>
            <w:pPr>
              <w:jc w:val="center"/>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安全边界设备</w:t>
            </w:r>
            <w:r/>
          </w:p>
        </w:tc>
        <w:tc>
          <w:tcPr>
            <w:tcW w:w="770"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429"/>
        </w:trPr>
        <w:tc>
          <w:tcPr>
            <w:tcW w:w="878"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528</w:t>
            </w:r>
            <w:r/>
          </w:p>
        </w:tc>
        <w:tc>
          <w:tcPr>
            <w:tcW w:w="105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天行网安</w:t>
            </w:r>
            <w:r/>
          </w:p>
        </w:tc>
        <w:tc>
          <w:tcPr>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万兆数据交换系统</w:t>
            </w:r>
            <w:r/>
          </w:p>
        </w:tc>
        <w:tc>
          <w:tcPr>
            <w:tcW w:w="16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DTP-5259</w:t>
            </w:r>
            <w:r/>
          </w:p>
        </w:tc>
        <w:tc>
          <w:tcPr>
            <w:tcW w:w="2307" w:type="dxa"/>
            <w:vAlign w:val="center"/>
            <w:textDirection w:val="lrTb"/>
            <w:noWrap w:val="false"/>
          </w:tcPr>
          <w:p>
            <w:pPr>
              <w:jc w:val="center"/>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安全边界设备</w:t>
            </w:r>
            <w:r/>
          </w:p>
        </w:tc>
        <w:tc>
          <w:tcPr>
            <w:tcW w:w="770"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484"/>
        </w:trPr>
        <w:tc>
          <w:tcPr>
            <w:tcW w:w="878"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529</w:t>
            </w:r>
            <w:r/>
          </w:p>
        </w:tc>
        <w:tc>
          <w:tcPr>
            <w:tcW w:w="105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天行网安</w:t>
            </w:r>
            <w:r/>
          </w:p>
        </w:tc>
        <w:tc>
          <w:tcPr>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万兆视频交换系统</w:t>
            </w:r>
            <w:r/>
          </w:p>
        </w:tc>
        <w:tc>
          <w:tcPr>
            <w:tcW w:w="16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MTP-5259</w:t>
            </w:r>
            <w:r/>
          </w:p>
        </w:tc>
        <w:tc>
          <w:tcPr>
            <w:tcW w:w="2307" w:type="dxa"/>
            <w:vAlign w:val="center"/>
            <w:textDirection w:val="lrTb"/>
            <w:noWrap w:val="false"/>
          </w:tcPr>
          <w:p>
            <w:pPr>
              <w:jc w:val="center"/>
              <w:keepLines w:val="0"/>
              <w:keepNext w:val="0"/>
              <w:widowControl/>
              <w:rPr>
                <w:rFonts w:hint="eastAsia" w:ascii="宋体" w:hAnsi="宋体" w:cs="宋体"/>
                <w:color w:val="000000"/>
                <w:sz w:val="20"/>
                <w:szCs w:val="20"/>
                <w:highlight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安全边界设备</w:t>
            </w:r>
            <w:r/>
          </w:p>
        </w:tc>
        <w:tc>
          <w:tcPr>
            <w:tcW w:w="770" w:type="dxa"/>
            <w:vAlign w:val="center"/>
            <w:textDirection w:val="lrTb"/>
            <w:noWrap/>
          </w:tcPr>
          <w:p>
            <w:pPr>
              <w:jc w:val="center"/>
              <w:keepLines w:val="0"/>
              <w:keepNext w:val="0"/>
              <w:widowControl/>
              <w:rPr>
                <w:rFonts w:hint="eastAsia" w:ascii="宋体" w:hAnsi="宋体" w:eastAsia="宋体" w:cs="宋体"/>
                <w:color w:val="000000"/>
                <w:sz w:val="20"/>
                <w:szCs w:val="20"/>
                <w:highlight w:val="none"/>
                <w:lang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bl>
    <w:p>
      <w:pPr>
        <w:ind w:firstLine="0"/>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r>
      <w:r/>
    </w:p>
    <w:p>
      <w:pPr>
        <w:ind w:firstLine="482"/>
        <w:spacing w:line="360" w:lineRule="auto"/>
        <w:rPr>
          <w:rFonts w:hint="default"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投标人需知上表为交管支队主要维护设备明细表，相应辅材附件不再单列。</w:t>
      </w:r>
      <w:r/>
    </w:p>
    <w:p>
      <w:pPr>
        <w:numPr>
          <w:ilvl w:val="0"/>
          <w:numId w:val="5"/>
        </w:numPr>
        <w:ind w:left="0" w:firstLine="0"/>
        <w:spacing w:line="360" w:lineRule="auto"/>
        <w:rPr>
          <w:rFonts w:hint="eastAsia" w:ascii="宋体" w:hAnsi="宋体" w:cs="宋体"/>
          <w:b/>
          <w:szCs w:val="21"/>
          <w:highlight w:val="none"/>
          <w:lang w:eastAsia="zh-CN"/>
        </w:rPr>
      </w:pPr>
      <w:r>
        <w:rPr>
          <w:rFonts w:hint="eastAsia" w:ascii="宋体" w:hAnsi="宋体" w:cs="宋体"/>
          <w:b/>
          <w:szCs w:val="21"/>
          <w:highlight w:val="none"/>
          <w:lang w:eastAsia="zh-CN"/>
        </w:rPr>
        <w:t xml:space="preserve">人员配备要求</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1．人员配备数量要求</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投标人为本项目配备专门技术队伍，人员配备总数9人。</w:t>
      </w:r>
      <w:r/>
    </w:p>
    <w:p>
      <w:pPr>
        <w:ind w:firstLine="482"/>
        <w:spacing w:line="360" w:lineRule="auto"/>
        <w:rPr>
          <w:rFonts w:hint="eastAsia" w:ascii="宋体" w:hAnsi="宋体" w:cs="宋体"/>
          <w:b/>
          <w:bCs w:val="0"/>
          <w:szCs w:val="21"/>
          <w:highlight w:val="none"/>
          <w:lang w:eastAsia="zh-CN"/>
        </w:rPr>
      </w:pPr>
      <w:r>
        <w:rPr>
          <w:rFonts w:hint="eastAsia" w:ascii="宋体" w:hAnsi="宋体" w:cs="宋体"/>
          <w:b/>
          <w:bCs w:val="0"/>
          <w:szCs w:val="21"/>
          <w:highlight w:val="none"/>
          <w:lang w:eastAsia="zh-CN"/>
        </w:rPr>
        <w:t xml:space="preserve">说明：本“（</w:t>
      </w:r>
      <w:r>
        <w:rPr>
          <w:rFonts w:hint="eastAsia" w:ascii="宋体" w:hAnsi="宋体" w:cs="宋体"/>
          <w:b/>
          <w:bCs w:val="0"/>
          <w:szCs w:val="21"/>
          <w:highlight w:val="none"/>
          <w:lang w:val="en-US" w:eastAsia="zh-CN"/>
        </w:rPr>
        <w:t xml:space="preserve">1</w:t>
      </w:r>
      <w:r>
        <w:rPr>
          <w:rFonts w:hint="eastAsia" w:ascii="宋体" w:hAnsi="宋体" w:cs="宋体"/>
          <w:b/>
          <w:bCs w:val="0"/>
          <w:szCs w:val="21"/>
          <w:highlight w:val="none"/>
          <w:lang w:eastAsia="zh-CN"/>
        </w:rPr>
        <w:t xml:space="preserve">）人员配备数量要求”是不允许偏离的实质性要求和条件，如有负偏离，在符合性审查时按照投标无效处理。</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2．人员配备具体要求</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IT基础设施运维工程师2名，熟悉计算机、服务器软硬件故障判断、维修、系统安装和公</w:t>
      </w:r>
      <w:r>
        <w:rPr>
          <w:rFonts w:hint="eastAsia" w:ascii="宋体" w:hAnsi="宋体" w:cs="宋体"/>
          <w:b w:val="0"/>
          <w:bCs/>
          <w:szCs w:val="21"/>
          <w:highlight w:val="none"/>
          <w:lang w:eastAsia="zh-CN"/>
        </w:rPr>
        <w:t xml:space="preserve">安专用软件安装使用的能力。各类私有云平台、虚拟化平台、存储系统及其它IT基础设施的日常管理工作，并具备符合“IT硬件设备维护资产明细”的服务器、通用磁盘存储阵列、网络设备、负载均衡设备等相关IT硬件设备的软硬件调试、故障诊断及故障处理能力，掌握各类常用操作系统和基础服务的安装、部署能力；了解和掌握各类符合“IT硬件设备维护资产明细”的操作系统的网络配置和故障排除流程，须能熟练对各类数据库进行安装、配置、更新存储指令编写等基础维护工作；熟悉基本的电脑软硬件故障判断、维修、系统安装和公安专用软件安装使用的能力。</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（2）视频会议运维工程师1名</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val="en-US" w:eastAsia="zh-CN"/>
        </w:rPr>
        <w:t xml:space="preserve">应</w:t>
      </w:r>
      <w:r>
        <w:rPr>
          <w:rFonts w:hint="eastAsia" w:ascii="宋体" w:hAnsi="宋体" w:cs="宋体"/>
          <w:b w:val="0"/>
          <w:bCs/>
          <w:szCs w:val="21"/>
          <w:highlight w:val="none"/>
          <w:lang w:eastAsia="zh-CN"/>
        </w:rPr>
        <w:t xml:space="preserve">具备视频会议系统运维经验，拟服务人员提供无犯罪证明材料并签署保密协议。具备现场应急处理能力，特别是重大活动或临时等视频会议场景下，做好会议连续性工作。</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会议保障服务要求：</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1）系统监控：对网络视频会议系统进行实时监控，包括设备状态、网络状态、会议质量等方面，以便及时发现并处理潜在问题。</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2）定期对系统进行维护保养，包括设备巡检、软件更新、数据备份等，以确保系统处于良好状态。</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3）当系统出现故障时，迅速定位问题，采取有效措施进行处理，恢复系统的正常运行。</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4）加强系统安全管理，防止黑客攻击、病毒入侵等安全威胁，保障系统的安全性和稳定性。</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5）根据系统使用情况和业务需求，对系统进行性能优化，提高会议质量和使用体验。</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6）提供优质的客户服务，包括问题解答、技术支持、培训等方面，帮助用户更好地使用网络视频会议系统。</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人员技能要求：</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1）系统架构搭建与配置：负责MCU（多点控制单元）的部署与参数配置，包括会议带宽分配、参会终端接入权限、多会场音视频交互协议适配（如H.323、SIP），确保跨区域、跨终端的会议信号互联互通。</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2）统筹音视频采集系统（摄像头、麦克风）、显示系统（投影仪、大屏、显示器）、扩声系统（音响、功放）的点位布局与信号链路设计，例如：根据会议室大小确定摄像头拍摄角度、麦克风拾音范围，确保声音清晰无啸叫、画面覆盖全场。</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3）处理系统性技术问题：如MCU崩溃导致会议中断、音视频不同步、多会场信号冲突等，通过日志分析、信号抓包（借助Wireshark等工具）定位根源，协调厂商提供技术支持（如固件升级、硬件维修）。</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4）优化系统性能：根据会议规模（如重大会议）调整MCU节点服务器负载，确保网络带宽（网络子系统）满足音视频传输需求（如上行/下行带宽分配、QoS优先级设置）。</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（3）集成指挥平台运维人员2名</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服务器与操作系统管理：熟练掌握Linux（CentOS、Ubuntu等）和WindowsServer操作系统的日常管理，包括用户权限配置、进程监控、服务启停、日志分析（如通过`grep`、`tail`等命令定位系统级故障）。能对服务器硬件（CPU、内存、磁盘、网络卡）进行性能监控和基础故障排查，识别资源瓶颈（如磁盘满导致系统卡顿、内存泄漏等）并及时处理。</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数据库运维能力：精通MySQL、Oracle等关系型数据库的日常维护，包括备份与恢复（定时全量备份、增量备份策略）、索引优化、慢查询分析（通过`explain`命令优化SQL语句），确保海量交通数据（卡口记录、违法信息等）的存储和查询效率。能处理数据库常见问题：如死锁排查、连接数超限、表空间不足等，避免因数据库故障导致平台数据加载失败或查询超时。</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网络与设备适配能力：熟悉公安专网（如公安信息网、视频专网）的网络架构和安全规范，能排查网络连接问题（如IP冲突、子网掩码错误、防火墙规则限制导致的设备/系统通信中断）。掌握与平台对接的硬件设备调试：包括卡口相机、电子警察、信号控制机、视频监控终端等，能通过设备管理界面或协议测试工具（如Wireshark）确认数据传输是否正常，解决设备离线、数据丢包等问题。</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应用系统运维：熟悉平台部署架构（如微服务、分布式部署），能启停后端服务、重启应用节点，排查服务崩溃、接口调用失败等问题（通过查看应用日志定位代码级或配置级错误）。掌握前端页面故障处理：如浏览器兼容性问题（指挥中心大屏显示异常）、JS脚本报错、数据可视化图表加载失败等，能通过F12开发者工具分析并协调开发团队修复。</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快速故障定位与处置：具备清晰的故障排查思路：能按“硬件→网络→系统→应用→数据”层级逐步定位问题，例如平台登录失败时，先检查服务器是否在线→网络是否通→数据库连接是否正常→应用服务是否启动。掌握常见故障的应急处理方案：如系统卡顿可临时重启服务、数据同步中断可手动触发同步脚本、视频流卡顿可切换备用传输链路等，确保核心功能（如缉查布控预警）不中断。</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应急场景支撑能力：在交通拥堵、事故处置、重大活动安保等应急场景中，能快速响应平台需求：如临时扩容视频调阅通道、优先保障指挥中心大屏的数据刷新频率、协助民警调取指定时段的车辆轨迹数据等。熟悉平台的容灾备份机制，能在极端情况下（如服务器宕机）启动备用节点，配合完成系统切换。</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（4）机房巡检工程师1名</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负责各机房日常巡检，</w:t>
      </w:r>
      <w:r>
        <w:rPr>
          <w:rFonts w:hint="eastAsia" w:ascii="宋体" w:hAnsi="宋体" w:cs="宋体"/>
          <w:b w:val="0"/>
          <w:bCs/>
          <w:szCs w:val="21"/>
          <w:highlight w:val="none"/>
          <w:lang w:eastAsia="zh-CN"/>
        </w:rPr>
        <w:t xml:space="preserve">重点检查电力系统、空调、新风系统、环境监控系统运行状态。机房高压配电线路、供配电设备的巡视检查，确保供电稳定、安全。及时发现设备异常、故障隐患，按流程上报并配合处置。规范填写巡检记录、运行报表、故障台账，保证数据真实完整。严格遵守机房安全、保密及运维管理规定，执行7×24小时应急响应要求。能独立完成机房电力、空调、新风、环控系统的日常巡检、状态判断。能识别高压线路、配电柜、开关、仪表等运行异常及安全隐患。掌握基本故障现象判断，能准确记录告警信息并上报。熟悉机房安全操作规范，具备安全用电、防火、应急处置意识。</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（5）警务通设备维护工程师1名</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负责警务通终端及配套前后端设备的日常维护、故障排查与维修。完成警务通设备系统安装、软件部署、参数配置、版本升级。对故障设备进行软硬件故障判断、维修、更换及返厂处理。做好设备登记、维修记录、台账管理，保障设备正常使用。配合公安业务需求，提供现场技术支持与应急保障。熟练进行警务通设备硬件故障检测、维修、部件更换。熟练完成设备系统重装、刷机、驱动安装、应用部署。能排查网络、账号、权限、软件运行等常见问题。具备基础的数据备份、恢复及安全加固能力。</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（6）安防监控工程师1名</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一、岗位职责</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负责区域内大屏显示系统、公共广播系统、区域安防监控系统、停车场管理系统的日常巡检、维护保养、故障排查与维修。完成各系统设备安装、调试、配置、升级及线路检查，确保系统稳定运行。及时处理黑屏、无信号、无声、离线、卡顿、道闸异常、广播杂音等故障。规范填写巡检记录、维修台账、故障报告，做好备品备件管理。服从应急保障与值班安排，配合完成各类技术保障任务。</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二、专业能力要求：</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大屏显示系统：熟练维护LED屏、拼接屏、解码器、矩阵、控制软件，处理拼接、开窗、信号切换等问题。</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广播系统：熟练调试功放、音箱、话筒、广播主机，排查无声、杂音、啸叫等故障。</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安防监控系统：熟悉摄像头、NVR、存储、网络传输，能排查图像异常、设备离线等问题。</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停车场管理系统：熟悉道闸、车牌识别、收费终端、管理软件，处理抬杆异常、识别失败等故障。</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具备系统安装、调试、数据备份、基础网络排查能力。</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（7）网络工程师1名</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t xml:space="preserve">熟悉党政机关单位常用网络架构和线路组网方案，负责公安网、视频网、互联网各区域网络和安全设备的日常巡检、故障排查、配置调试、线路保障，确保网络安全稳定运行。熟练配置交换机、路由器、防火墙、行为管理、负载均衡等网络设备。能排查网络不通、卡顿、攻击、病毒等常见问题。掌握网络安全、权限管理、日志查看等基础运维。能规范填写巡检、故障、运维记录。</w:t>
      </w:r>
      <w:r/>
    </w:p>
    <w:p>
      <w:pPr>
        <w:ind w:firstLine="480"/>
        <w:spacing w:line="360" w:lineRule="auto"/>
        <w:rPr>
          <w:rFonts w:hint="default"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3.其他要求</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val="en-US" w:eastAsia="zh-CN"/>
        </w:rPr>
        <w:t xml:space="preserve">服务</w:t>
      </w:r>
      <w:r>
        <w:rPr>
          <w:rFonts w:hint="eastAsia" w:ascii="宋体" w:hAnsi="宋体" w:cs="宋体"/>
          <w:b w:val="0"/>
          <w:bCs/>
          <w:szCs w:val="21"/>
          <w:highlight w:val="none"/>
          <w:lang w:eastAsia="zh-CN"/>
        </w:rPr>
        <w:t xml:space="preserve">人员遇到</w:t>
      </w:r>
      <w:r>
        <w:rPr>
          <w:rFonts w:hint="eastAsia" w:ascii="宋体" w:hAnsi="宋体" w:cs="宋体"/>
          <w:b w:val="0"/>
          <w:bCs/>
          <w:szCs w:val="21"/>
          <w:highlight w:val="none"/>
          <w:lang w:val="en-US" w:eastAsia="zh-CN"/>
        </w:rPr>
        <w:t xml:space="preserve">特殊节点或</w:t>
      </w:r>
      <w:r>
        <w:rPr>
          <w:rFonts w:hint="eastAsia" w:ascii="宋体" w:hAnsi="宋体" w:cs="宋体"/>
          <w:b w:val="0"/>
          <w:bCs/>
          <w:szCs w:val="21"/>
          <w:highlight w:val="none"/>
          <w:lang w:eastAsia="zh-CN"/>
        </w:rPr>
        <w:t xml:space="preserve">重大活动的，</w:t>
      </w:r>
      <w:r>
        <w:rPr>
          <w:rFonts w:hint="eastAsia" w:ascii="宋体" w:hAnsi="宋体" w:cs="宋体"/>
          <w:b w:val="0"/>
          <w:bCs/>
          <w:szCs w:val="21"/>
          <w:highlight w:val="none"/>
          <w:lang w:val="en-US" w:eastAsia="zh-CN"/>
        </w:rPr>
        <w:t xml:space="preserve">须服从支队管理安排，按规定前往指定地点，随时响应</w:t>
      </w:r>
      <w:r>
        <w:rPr>
          <w:rFonts w:hint="eastAsia" w:ascii="宋体" w:hAnsi="宋体" w:cs="宋体"/>
          <w:b w:val="0"/>
          <w:bCs/>
          <w:szCs w:val="21"/>
          <w:highlight w:val="none"/>
          <w:lang w:eastAsia="zh-CN"/>
        </w:rPr>
        <w:t xml:space="preserve">。</w:t>
      </w:r>
      <w:r/>
    </w:p>
    <w:p>
      <w:pPr>
        <w:ind w:firstLine="480"/>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val="en-US" w:eastAsia="zh-CN"/>
        </w:rPr>
        <w:t xml:space="preserve">服务</w:t>
      </w:r>
      <w:r>
        <w:rPr>
          <w:rFonts w:hint="eastAsia" w:ascii="宋体" w:hAnsi="宋体" w:cs="宋体"/>
          <w:b w:val="0"/>
          <w:bCs/>
          <w:szCs w:val="21"/>
          <w:highlight w:val="none"/>
          <w:lang w:eastAsia="zh-CN"/>
        </w:rPr>
        <w:t xml:space="preserve">人员的主要工作范围：负责常规现场设备的巡检、设备调试、设备维修、会议保障以及应急处突等相关工作。</w:t>
      </w:r>
      <w:r>
        <w:rPr>
          <w:rFonts w:hint="eastAsia" w:ascii="宋体" w:hAnsi="宋体" w:cs="宋体"/>
          <w:b w:val="0"/>
          <w:bCs/>
          <w:szCs w:val="21"/>
          <w:highlight w:val="none"/>
          <w:lang w:val="en-US" w:eastAsia="zh-CN"/>
        </w:rPr>
        <w:t xml:space="preserve">服务人员</w:t>
      </w:r>
      <w:r>
        <w:rPr>
          <w:rFonts w:hint="eastAsia" w:ascii="宋体" w:hAnsi="宋体" w:cs="宋体"/>
          <w:b w:val="0"/>
          <w:bCs/>
          <w:szCs w:val="21"/>
          <w:highlight w:val="none"/>
          <w:lang w:eastAsia="zh-CN"/>
        </w:rPr>
        <w:t xml:space="preserve">必须无条件遵守徐州市公安局交通管理支队所有的管理规定、规范标准、行为准则等内容，支队的对接人员有权利对派驻的技术人员进行工作分配和调度。</w:t>
      </w:r>
      <w:r/>
    </w:p>
    <w:p>
      <w:pPr>
        <w:ind w:firstLine="482"/>
        <w:spacing w:line="360" w:lineRule="auto"/>
        <w:rPr>
          <w:rFonts w:hint="eastAsia" w:ascii="宋体" w:hAnsi="宋体" w:cs="宋体"/>
          <w:b w:val="0"/>
          <w:bCs/>
          <w:szCs w:val="21"/>
          <w:highlight w:val="none"/>
          <w:lang w:eastAsia="zh-CN"/>
        </w:rPr>
      </w:pPr>
      <w:r>
        <w:rPr>
          <w:rFonts w:hint="eastAsia" w:ascii="宋体" w:hAnsi="宋体" w:cs="宋体"/>
          <w:b w:val="0"/>
          <w:bCs/>
          <w:szCs w:val="21"/>
          <w:highlight w:val="none"/>
          <w:lang w:eastAsia="zh-CN"/>
        </w:rPr>
      </w:r>
      <w:r/>
    </w:p>
    <w:p>
      <w:pPr>
        <w:numPr>
          <w:ilvl w:val="0"/>
          <w:numId w:val="5"/>
        </w:numPr>
        <w:ind w:left="0" w:firstLine="0"/>
        <w:spacing w:line="360" w:lineRule="auto"/>
        <w:rPr>
          <w:rFonts w:hint="eastAsia" w:ascii="宋体" w:hAnsi="宋体" w:cs="宋体"/>
          <w:b/>
          <w:szCs w:val="21"/>
          <w:highlight w:val="none"/>
          <w:lang w:eastAsia="zh-CN"/>
        </w:rPr>
      </w:pPr>
      <w:r>
        <w:rPr>
          <w:rFonts w:hint="eastAsia" w:ascii="宋体" w:hAnsi="宋体" w:cs="宋体"/>
          <w:b/>
          <w:szCs w:val="21"/>
          <w:highlight w:val="none"/>
          <w:lang w:eastAsia="zh-CN"/>
        </w:rPr>
        <w:t xml:space="preserve">质保及服务响应要求</w:t>
      </w:r>
      <w:r/>
    </w:p>
    <w:p>
      <w:pPr>
        <w:ind w:firstLine="482"/>
        <w:spacing w:line="360" w:lineRule="auto"/>
        <w:rPr>
          <w:rFonts w:hint="eastAsia" w:ascii="宋体" w:hAnsi="宋体" w:cs="宋体"/>
          <w:bCs/>
          <w:szCs w:val="21"/>
          <w:highlight w:val="none"/>
          <w:lang w:eastAsia="zh-CN"/>
        </w:rPr>
      </w:pPr>
      <w:r>
        <w:rPr>
          <w:rFonts w:hint="eastAsia" w:ascii="宋体" w:hAnsi="宋体" w:cs="宋体"/>
          <w:bCs/>
          <w:szCs w:val="21"/>
          <w:highlight w:val="none"/>
          <w:lang w:eastAsia="zh-CN"/>
        </w:rPr>
        <w:t xml:space="preserve">1.提供7×24小时维护技术支持服务。</w:t>
      </w:r>
      <w:r/>
    </w:p>
    <w:p>
      <w:pPr>
        <w:ind w:firstLine="482"/>
        <w:spacing w:line="360" w:lineRule="auto"/>
        <w:rPr>
          <w:rFonts w:hint="eastAsia" w:ascii="宋体" w:hAnsi="宋体" w:cs="宋体"/>
          <w:bCs/>
          <w:szCs w:val="21"/>
          <w:highlight w:val="none"/>
          <w:lang w:eastAsia="zh-CN"/>
        </w:rPr>
      </w:pPr>
      <w:r>
        <w:rPr>
          <w:rFonts w:hint="eastAsia" w:ascii="宋体" w:hAnsi="宋体" w:cs="宋体"/>
          <w:bCs/>
          <w:szCs w:val="21"/>
          <w:highlight w:val="none"/>
          <w:lang w:eastAsia="zh-CN"/>
        </w:rPr>
        <w:t xml:space="preserve">2.系统发生故障时，</w:t>
      </w:r>
      <w:r>
        <w:rPr>
          <w:rFonts w:hint="eastAsia" w:ascii="宋体" w:hAnsi="宋体" w:cs="宋体"/>
          <w:bCs/>
          <w:szCs w:val="21"/>
          <w:highlight w:val="none"/>
          <w:lang w:val="en-US" w:eastAsia="zh-CN"/>
        </w:rPr>
        <w:t xml:space="preserve">15</w:t>
      </w:r>
      <w:r>
        <w:rPr>
          <w:rFonts w:hint="eastAsia" w:ascii="宋体" w:hAnsi="宋体" w:cs="宋体"/>
          <w:bCs/>
          <w:szCs w:val="21"/>
          <w:highlight w:val="none"/>
          <w:lang w:eastAsia="zh-CN"/>
        </w:rPr>
        <w:t xml:space="preserve">分钟内发现并通知采购人；如果确定不能通过远程技术支持方式解决，应立即安排技术人员</w:t>
      </w:r>
      <w:r>
        <w:rPr>
          <w:rFonts w:hint="eastAsia" w:ascii="宋体" w:hAnsi="宋体" w:cs="宋体"/>
          <w:bCs/>
          <w:szCs w:val="21"/>
          <w:highlight w:val="none"/>
          <w:lang w:val="en-US" w:eastAsia="zh-CN"/>
        </w:rPr>
        <w:t xml:space="preserve">1小时</w:t>
      </w:r>
      <w:r>
        <w:rPr>
          <w:rFonts w:hint="eastAsia" w:ascii="宋体" w:hAnsi="宋体" w:cs="宋体"/>
          <w:bCs/>
          <w:szCs w:val="21"/>
          <w:highlight w:val="none"/>
          <w:lang w:eastAsia="zh-CN"/>
        </w:rPr>
        <w:t xml:space="preserve">到达采购人指定现场进行软硬件系统的故障处理，非严重硬件故障要求2小时恢复，保证系统能够正常运行；其它软硬件故障必须在24小时内恢复，保证系统能够正常运行。</w:t>
      </w:r>
      <w:r/>
    </w:p>
    <w:p>
      <w:pPr>
        <w:ind w:firstLine="482"/>
        <w:spacing w:line="360" w:lineRule="auto"/>
        <w:rPr>
          <w:rFonts w:hint="eastAsia" w:ascii="宋体" w:hAnsi="宋体" w:cs="宋体"/>
          <w:bCs/>
          <w:szCs w:val="21"/>
          <w:highlight w:val="none"/>
          <w:lang w:eastAsia="zh-CN"/>
        </w:rPr>
      </w:pPr>
      <w:r>
        <w:rPr>
          <w:rFonts w:hint="eastAsia" w:ascii="宋体" w:hAnsi="宋体" w:cs="宋体"/>
          <w:bCs/>
          <w:szCs w:val="21"/>
          <w:highlight w:val="none"/>
          <w:lang w:eastAsia="zh-CN"/>
        </w:rPr>
        <w:t xml:space="preserve">3.在特殊应用情况下，需提供产品及相关的现场技术保障，如准备时间充裕，采购人提前两天通过电话或者书面通知，接到通知后提供不低于连续24小时的现场技术服务。对于采购人的重要保障请求，包括重大节假日、国家军事、政治活动、雷雨天气、重大故障处理、重大网络割接、重点通讯保障等期间的服务保障请求时，因工作特点需要，需在指定时间段内提供具有丰富支撑能力和问题解决能力的技术工程师到现场实施相关保障服务。具体服务内容依据现场服务要求为准，采购人不再另行支付费用。</w:t>
      </w:r>
      <w:r/>
    </w:p>
    <w:p>
      <w:pPr>
        <w:ind w:firstLine="482"/>
        <w:spacing w:line="360" w:lineRule="auto"/>
        <w:rPr>
          <w:rFonts w:hint="eastAsia" w:ascii="宋体" w:hAnsi="宋体" w:cs="宋体"/>
          <w:bCs/>
          <w:szCs w:val="21"/>
          <w:highlight w:val="none"/>
          <w:lang w:eastAsia="zh-CN"/>
        </w:rPr>
      </w:pPr>
      <w:r>
        <w:rPr>
          <w:rFonts w:hint="eastAsia" w:ascii="宋体" w:hAnsi="宋体" w:cs="宋体"/>
          <w:bCs/>
          <w:szCs w:val="21"/>
          <w:highlight w:val="none"/>
          <w:lang w:eastAsia="zh-CN"/>
        </w:rPr>
        <w:t xml:space="preserve">4.针对“设备维护清单”列表中的所有硬件设备及由这些硬件设备所构建的上</w:t>
      </w:r>
      <w:r>
        <w:rPr>
          <w:rFonts w:hint="eastAsia" w:ascii="宋体" w:hAnsi="宋体" w:cs="宋体"/>
          <w:bCs/>
          <w:szCs w:val="21"/>
          <w:highlight w:val="none"/>
          <w:lang w:eastAsia="zh-CN"/>
        </w:rPr>
        <w:t xml:space="preserve">层业务系统，中标人应对这些设备、系统进行定期的维护管理和配置优化改造，确保采购人整个信息系统运转的高效、稳定和安全，减少和避免系统性能瓶颈，杜绝信息系统安全事故，并且能根据采购人需要，提供信息系统运行的合理化建议和方案；同时，针对这些硬件设备、业务系统，中标人需在指定时间段内提供丰富支撑能力和问题解决能力的技术支持工程师到现场实施相关保障服务（服务内容包括但不限于设备相关软硬件调试，数据库安装、配置、编程、存储过程编写和维护；服务总体时间不低于60天）。现场实施服务按照现场服务标准，中标人不再另行收取费用。</w:t>
      </w:r>
      <w:r/>
    </w:p>
    <w:p>
      <w:pPr>
        <w:ind w:firstLine="482"/>
        <w:spacing w:line="360" w:lineRule="auto"/>
        <w:rPr>
          <w:rFonts w:ascii="宋体" w:hAnsi="宋体" w:cs="宋体"/>
          <w:b/>
          <w:bCs/>
          <w:szCs w:val="21"/>
          <w:highlight w:val="none"/>
        </w:rPr>
      </w:pPr>
      <w:r>
        <w:rPr>
          <w:rFonts w:hint="eastAsia" w:ascii="宋体" w:hAnsi="宋体" w:cs="宋体"/>
          <w:b/>
          <w:bCs/>
          <w:szCs w:val="21"/>
          <w:highlight w:val="none"/>
          <w:lang w:eastAsia="zh-CN"/>
        </w:rPr>
        <w:t xml:space="preserve">八、</w:t>
      </w:r>
      <w:r>
        <w:rPr>
          <w:rFonts w:hint="eastAsia" w:ascii="宋体" w:hAnsi="宋体" w:cs="宋体"/>
          <w:b/>
          <w:bCs/>
          <w:szCs w:val="21"/>
          <w:highlight w:val="none"/>
        </w:rPr>
        <w:t xml:space="preserve">最高单价限价清单</w:t>
      </w:r>
      <w:r/>
    </w:p>
    <w:tbl>
      <w:tblPr>
        <w:tblStyle w:val="74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49"/>
        <w:gridCol w:w="6307"/>
        <w:gridCol w:w="1060"/>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大类名称</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维保常用备品备件配件</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最高限价（元）</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基础</w:t>
            </w:r>
            <w:r>
              <w:rPr>
                <w:rFonts w:hint="eastAsia" w:ascii="宋体" w:hAnsi="宋体" w:eastAsia="宋体" w:cs="宋体"/>
                <w:i w:val="0"/>
                <w:iCs w:val="0"/>
                <w:color w:val="auto"/>
                <w:sz w:val="21"/>
                <w:szCs w:val="21"/>
                <w:highlight w:val="none"/>
                <w:u w:val="none"/>
                <w:lang w:val="en-US" w:eastAsia="zh-CN" w:bidi="ar"/>
              </w:rPr>
              <w:t xml:space="preserve">费用</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人员保障服务费用</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阿里云学法减分服务</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适用于两个教育学法减分，满足六合一平台使用</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15450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执法记录仪服务器设备</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480GBSSD服务器硬盘、960GBSSD服务器硬盘、raid卡</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3315</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执法记录仪平台</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执法记录仪平台硬件设备维修更换</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54899</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信息发布一体机</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信息发布一体机软硬件支持</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3250</w: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执法警务通软硬件</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移动警务通终端软件及其后端设备、P999-XD警务通电池、P999-XD二代证、P999-XD液晶屏、P999-XD后置摄像头、P999-XD主板、P999-XD打印机芯/滚轴</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8857</w:t>
            </w:r>
            <w:r/>
          </w:p>
        </w:tc>
      </w:tr>
      <w:tr>
        <w:trPr>
          <w:trHeight w:val="250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机房及支队弱电</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包含支队、各勤务大队和高速大队机房</w:t>
            </w:r>
            <w:r>
              <w:rPr>
                <w:rStyle w:val="1019"/>
                <w:rFonts w:ascii="宋体" w:hAnsi="宋体" w:eastAsia="宋体" w:cs="宋体"/>
                <w:color w:val="auto"/>
                <w:sz w:val="21"/>
                <w:szCs w:val="21"/>
                <w:highlight w:val="none"/>
                <w:lang w:val="en-US" w:eastAsia="zh-CN" w:bidi="ar"/>
              </w:rPr>
              <w:t xml:space="preserve">，六类网线、网线布放、模块端接、水晶头制作、标签制作、面板安装、钢制镀锌线槽、PVC线槽、配线架安装、理线器安装、机柜搬运、机柜安装、设备拆除、设备安装、网络测试、弱电桥架、室内光纤敷设、光纤配线架、光纤熔接、光纤测试、网络、光纤跳线、摄像头安装调试、墙面下管、地板拆除、地板安装、语音主干配线架、大对数电缆、原有电话设备拆除、超五类水晶头）、六类水晶头、不锈钢线槽、光缆、光端机、3层交换设备。</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2950</w:t>
            </w:r>
            <w:r/>
          </w:p>
        </w:tc>
      </w:tr>
      <w:tr>
        <w:trPr>
          <w:trHeight w:val="456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视频会议设备</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处理机板、以太网交换板(电口)、数字混音板、高清媒体处理单元、摄像机机芯、主板、机芯结构件、外壳、电源适配器、主板、电源模块、无线模块、天线、OLED屏、风扇、机箱、Hi3531编解码芯片、接口板、国密芯片、编解码芯片、电源、灯板部件、整机机箱、KDV-M-SDIC——HD-SDII——I模块、</w:t>
            </w:r>
            <w:r>
              <w:rPr>
                <w:rFonts w:hint="eastAsia" w:ascii="宋体" w:hAnsi="宋体" w:eastAsia="宋体" w:cs="宋体"/>
                <w:i w:val="0"/>
                <w:iCs w:val="0"/>
                <w:color w:val="auto"/>
                <w:sz w:val="21"/>
                <w:szCs w:val="21"/>
                <w:highlight w:val="none"/>
                <w:u w:val="none"/>
                <w:lang w:val="en-US" w:eastAsia="zh-CN" w:bidi="ar"/>
              </w:rPr>
              <w:t xml:space="preserve">KDV-M-SDID——HD-SDII——O模块、12v500mA电源视配器、显示屏、发射器模块、接收器模块、卡农/6.5mm音频输出接口、频率调制器、R各类输入输出接口、输出调节旋钮、、高精度电平指示灯、4路输入4路输出接口（凤凰插）、数字调音台32路一拖二模块化、接口箱、手拉手话筒、科达会议摄像头、整机分布式节点（输入）、整机分布式节点（输出）、整机分布式节点（控制）、视频会议平板软件定制版、网络机顶盒、4G移动路由器、HDMI-高清线-20米、HDMI-高清线-10米、信号源切换器、无线双向对讲呼叫器</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59861</w:t>
            </w:r>
            <w:r/>
          </w:p>
        </w:tc>
      </w:tr>
      <w:tr>
        <w:trPr>
          <w:trHeight w:val="318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车管所305机房环境设备</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功率模块25KVA*4、风扇组件、保险丝、防雷模块、滤</w:t>
            </w:r>
            <w:r>
              <w:rPr>
                <w:rFonts w:hint="eastAsia" w:ascii="宋体" w:hAnsi="宋体" w:eastAsia="宋体" w:cs="宋体"/>
                <w:i w:val="0"/>
                <w:iCs w:val="0"/>
                <w:color w:val="auto"/>
                <w:sz w:val="21"/>
                <w:szCs w:val="21"/>
                <w:highlight w:val="none"/>
                <w:u w:val="none"/>
                <w:lang w:val="en-US" w:eastAsia="zh-CN" w:bidi="ar"/>
              </w:rPr>
              <w:t xml:space="preserve">波器、整流器、逆变器、通讯监控模块、控制板、输入/输出接线端子、显示屏、功率模块30KVA、过滤网、加湿器、皮带、干燥过滤器、上水阀、电磁阀、加热器、压缩机、加氟、排水阀、风扇电机、膨胀阀、控制器、连接阀门、铜管、电池（12V100AH）、电池间连接线、电池箱/架、电池组直流开关、温湿度传感器、烟雾传感器、UPS监控模块、配电监控模块、温湿度监控模块、烟雾监控模块、精密空调监控模块、报警模块、接线端子、主机风扇组件、网络机柜、锐捷交换机、超五类网线、电源线、插排、线槽、机房窗纱套件-2A、机房窗纱套件-4A</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27615</w:t>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350兆警用基地台天馈系统</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350兆警用全向天线HH-350Z、全向天线支架、馈管HCAAYZ-50-12(1/2`)、避雷器CA-23RP、馈管连接头、馈管接地套件、馈管转接头、设备跳线1M、安装服务费、设备维护、设备跳线4M、天线共用器</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3195</w: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安全设备</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电源、8端口电板卡、4端口万兆光板卡、光模块（万兆多模）万兆多模LC双芯模块、威胁情报库、僵木蠕攻击库、入侵规则库、病毒库、应用识别库、URL库/应用特征库、CPU、内存、主板、硬盘、光模块。</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45680</w: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网络设备</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扇、电源、千兆单模模块、总装机箱、主控板、交换网板、万兆光板卡、千兆光板卡、千兆电板卡、万兆多模LC双芯模块、千兆电口板、千兆光口板、TP-LINKTL-R483G（整机）、TP-LINKTL-SG1008D（整机）、交换机A、交换机B、交换机C、交换机D、28口万兆光口交换机、浪潮服务器网卡、TP-LINKTL-SG1005D（整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57665</w: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违法平台</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固态硬盘、机械硬盘、风扇、电源、主板、阵列卡、网卡、企业级硬盘、服务器电源、服务器内存、服务器主板、存储电源、云存储主板、云存储IOT硬盘</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92100</w: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集成指挥平台</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浪潮服务器、DDR4内存、视频图像融合接入网关/YLIT-IASTW-1U128/原力智联、备份库服务器、服务器硬盘，硬盘扩容背板。</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19116</w:t>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指挥中心综合显示系统</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LED大屏模组、LED大屏模组(条屏)、大屏LED控制卡、LED大屏模组控制板、视频处理器、LED大屏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接收卡、模组电源、拼控连接线缆、模组电源线、网线、千兆交换机、PLC控制模块、空气开关、漏电断路器</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14260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二类区网络设备</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视频交换平台系统升级及硬件维修</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1545</w:t>
            </w:r>
            <w:r/>
          </w:p>
        </w:tc>
      </w:tr>
      <w:tr>
        <w:trPr>
          <w:trHeight w:val="280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存储设备</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存储控制器存储电源、存储4端口16GBI/O模块扩展卡、存储控制器、硬盘笼扩展柜、DPE冷却模块/风扇、DPE存储处理器、存储连接线缆、NL-SAS存储硬盘、存储电池整机模块、华为存储控制器64位多核处理器、FC扩展子板卡、电源（控制框）、电源（硬盘框）、存储SSD固态磁盘、高压直流4端口I/O模块、华为存储控制器32位多核处理器、电源（控制框）、电源（硬盘框）、高压直流32GB4端口I/O模块、华为存储控制器16位多核处理器、高压直流16GB4端口I/O模块</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47028</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指挥车</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指挥车维护</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890</w: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服务器设备</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DR4内存16G-64G、多品牌服务器主板、服务器PCIE接口、HBA卡、服务器电源450W-900W、服务器前置风扇、SSD服务器硬盘120GB-1.92TB、SAS/NL-SAS服务器硬盘300GB-8TB、服务器阵列卡6GB-12GB、刀箱FLEX集群框、刀箱FLEX风扇、刀箱稳压采集模块、刀箱10GB网络交换背板、刀箱内装式电源模块、刀箱8GBSAN交换机背板</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43509</w:t>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车管所业务窗口终端</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台式机主板、笔记本主板、一体机主板、机</w:t>
            </w:r>
            <w:r>
              <w:rPr>
                <w:rFonts w:hint="eastAsia" w:ascii="宋体" w:hAnsi="宋体" w:eastAsia="宋体" w:cs="宋体"/>
                <w:i w:val="0"/>
                <w:iCs w:val="0"/>
                <w:color w:val="auto"/>
                <w:sz w:val="21"/>
                <w:szCs w:val="21"/>
                <w:highlight w:val="none"/>
                <w:u w:val="none"/>
                <w:lang w:val="en-US" w:eastAsia="zh-CN" w:bidi="ar"/>
              </w:rPr>
              <w:t xml:space="preserve">械硬盘、SATA固态硬盘、M.2固态硬盘、DDR3内存条、DDR4内存条、DDR5内存条、台式机ATX电源、笔记本电源适配器、小交换机电源适配器、显示屏、主板、电源板、逻辑板、HDMI连接线、VGA连接线、SATA硬盘线、USB延长线、打印机电缆、USB键盘、笔记本键盘、USB鼠标、USB外置摄像头、显示器、3060显卡、一体机电源、普通电源、主板电池、500G硬盘、CPU、内存、屏幕、键盘鼠标、16G内存、硬盘、打印机、身份证阅读器、摄像头、27寸显示器、电脑主板、违法处理高拍仪、二代身份证读卡器和签名板</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16303</w:t>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车管所教育审验系统</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审验学习接口认证检测、现场教育监督管理系统主机、音箱、功放、无线话筒、均衡器、电源时序器、自动进出三通道双向闸机、室内高速球机、HDMI网络转换器、人脸采集签到机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37861</w:t>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车管所会议广播系统</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会议中控主机、视频会议主机、调音台、均衡器、电源时序器、无线话筒主机、音频处理器、反馈抑制器、效果器、功放、音响、吸顶喇叭、平板、网络多屏处理器、1拖四手持麦克风、音视频巡查系统接口</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45610</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车管所停车管理系统</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双车位识别器、三车位识别器、单向引导屏、双向引导屏、三向引导屏、组合余位屏、智能道闸、闸机、诱导管理主机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9538</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车管所大屏显示系统</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一体屏幕、LED背光模组、显示电源、显示模组、显示模组芯片、显示模组主板、模组控制器、模组供电电源、大屏中央主控、40寸液晶显示器、信息发布盒、85寸液晶显示器、内置网络发布主机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8506</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车管所安防监控及门禁系统</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室外枪机、室内枪机、室内球机、室外全景、室外云台、监控电源、人脸识别一体机、门禁控制器、磁力锁</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3412</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车管所排队叫号系统</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排队取号机、叫号控制器、叫号功放、叫号喇叭、叫号屏、分布式智能系统控制器、广播功放、排队叫号系统接口</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27971</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车管所综合布线</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室内六类网线、室外六类网线、12芯铠装（含熔纤）、24芯铠装（含熔纤）、室内跳线（含熔纤）、2芯光缆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车管所自助机系统</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自助机接口</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15449</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车管所车辆检验网虚拟化平台系统</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NTP设备</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1390</w: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车管所核心机房环境</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体式UPS主机、滤网、压缩机、氟利昂、外风机风扇、逆向阀、冷凝器、蒸发器、膨胀阀、加湿器、加热器、风机、理士12V200ah铅酸电池、整机、逆变器、整流器、主板、静态开关、40A、200A、主机、温度模块、水侵模块、硬盘录像机、存储盘、显示pad、显示pad电池、机房冷通道pad电池</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50635</w:t>
            </w:r>
            <w:r/>
          </w:p>
        </w:tc>
      </w:tr>
      <w:tr>
        <w:trPr>
          <w:trHeight w:val="188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车管所通用网络及安全</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特征库续费-（入侵库、AV库、IDP攻击，AV库，僵木蠕库）、板卡、主板、电源、数据存储盘、IDS/IPS、核心交换机（48千兆光接口板）、核心交换机（48电接口板）、核心交换机万兆光接口板、主控板、交换网板、AC电源、风扇模块、机箱、48电接口板、千兆光接口板、机箱、接入交换机整机、千兆单模光模块、光转电模块SFP转RJ45、桌面交换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76342</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车管所通用服务器及存储</w:t>
            </w:r>
            <w:r/>
          </w:p>
        </w:tc>
        <w:tc>
          <w:tcPr>
            <w:shd w:val="clear" w:color="auto" w:fill="auto"/>
            <w:tcBorders>
              <w:top w:val="single" w:color="000000" w:sz="4" w:space="0"/>
              <w:left w:val="single" w:color="000000" w:sz="4" w:space="0"/>
              <w:bottom w:val="single" w:color="000000" w:sz="4" w:space="0"/>
              <w:right w:val="single" w:color="000000" w:sz="4" w:space="0"/>
            </w:tcBorders>
            <w:tcW w:w="63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内存、SAS硬盘、SSD硬盘、SATA数据盘、CPU、主板、HBA卡、风扇模块、电源、阵列卡、硬盘背板、电子档案服务器接口认证</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33278</w:t>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1、本清单所列单项最高限价为投标人对应分项报价上限，投标人任何分项报价均不得超出对应最高限价,具体维护数量见“五、IT硬件设备维护资产明细”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2.本项目维保服务采用固定单价包干模式，中标单价为合同执行结算依据，服务周期内为保障全部设备稳定正常运行所产生的全部维修、更换、配件、人工、辅材等一切相关费用，均包含在中标报价内，</w:t>
      </w:r>
      <w:r>
        <w:rPr>
          <w:rFonts w:hint="eastAsia" w:ascii="宋体" w:hAnsi="宋体" w:cs="宋体"/>
          <w:szCs w:val="21"/>
          <w:highlight w:val="none"/>
          <w:lang w:val="en-US" w:eastAsia="zh-CN"/>
        </w:rPr>
        <w:t xml:space="preserve">结算金额不得超过合同金额</w:t>
      </w:r>
      <w:r>
        <w:rPr>
          <w:rFonts w:hint="eastAsia" w:ascii="宋体" w:hAnsi="宋体" w:cs="宋体"/>
          <w:szCs w:val="21"/>
          <w:highlight w:val="none"/>
        </w:rPr>
        <w:t xml:space="preserve">；</w:t>
      </w:r>
      <w:r/>
    </w:p>
    <w:p>
      <w:pPr>
        <w:ind w:firstLine="480"/>
        <w:spacing w:line="360" w:lineRule="auto"/>
        <w:rPr>
          <w:rFonts w:hint="eastAsia" w:ascii="宋体" w:hAnsi="宋体" w:cs="宋体"/>
          <w:bCs/>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具体支付金额根据考核结果情况进行计量支付，具体计算方式见“八、通用硬件设备运维项目考评办法”</w:t>
      </w:r>
      <w:r>
        <w:rPr>
          <w:rFonts w:hint="eastAsia" w:ascii="宋体" w:hAnsi="宋体" w:cs="宋体"/>
          <w:szCs w:val="21"/>
          <w:highlight w:val="none"/>
        </w:rPr>
        <w:t xml:space="preserve">。</w:t>
      </w:r>
      <w:r/>
    </w:p>
    <w:p>
      <w:pPr>
        <w:ind w:firstLine="482"/>
        <w:spacing w:line="360" w:lineRule="auto"/>
        <w:rPr>
          <w:rFonts w:hint="eastAsia" w:ascii="宋体" w:hAnsi="宋体" w:cs="宋体"/>
          <w:szCs w:val="21"/>
          <w:highlight w:val="none"/>
        </w:rPr>
      </w:pPr>
      <w:r>
        <w:rPr>
          <w:rFonts w:hint="eastAsia" w:ascii="宋体" w:hAnsi="宋体" w:cs="宋体"/>
          <w:szCs w:val="21"/>
          <w:highlight w:val="none"/>
        </w:rPr>
        <w:t xml:space="preserve">注：</w:t>
      </w:r>
      <w:r>
        <w:rPr>
          <w:rFonts w:hint="eastAsia" w:ascii="宋体" w:hAnsi="宋体" w:cs="宋体"/>
          <w:szCs w:val="21"/>
          <w:highlight w:val="none"/>
          <w:lang w:val="en-US" w:eastAsia="zh-CN"/>
        </w:rPr>
        <w:t xml:space="preserve">以上限价</w:t>
      </w:r>
      <w:r>
        <w:rPr>
          <w:rFonts w:hint="eastAsia" w:ascii="宋体" w:hAnsi="宋体" w:cs="宋体"/>
          <w:szCs w:val="21"/>
          <w:highlight w:val="none"/>
        </w:rPr>
        <w:t xml:space="preserve">均含</w:t>
      </w:r>
      <w:r>
        <w:rPr>
          <w:rFonts w:hint="eastAsia" w:ascii="宋体" w:hAnsi="宋体" w:cs="宋体"/>
          <w:szCs w:val="21"/>
          <w:highlight w:val="none"/>
          <w:lang w:val="en-US" w:eastAsia="zh-CN"/>
        </w:rPr>
        <w:t xml:space="preserve">旧设备拆除、新设备</w:t>
      </w:r>
      <w:r>
        <w:rPr>
          <w:rFonts w:hint="eastAsia" w:ascii="宋体" w:hAnsi="宋体" w:cs="宋体"/>
          <w:szCs w:val="21"/>
          <w:highlight w:val="none"/>
        </w:rPr>
        <w:t xml:space="preserve">安装</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调试、搬运、垃圾处置、施工协调、安全文明施工费、工程保险费等一切相关费用</w:t>
      </w:r>
      <w:r>
        <w:rPr>
          <w:rFonts w:hint="eastAsia" w:ascii="宋体" w:hAnsi="宋体" w:cs="宋体"/>
          <w:szCs w:val="21"/>
          <w:highlight w:val="none"/>
        </w:rPr>
        <w:t xml:space="preserve">。</w:t>
      </w:r>
      <w:r/>
    </w:p>
    <w:p>
      <w:pPr>
        <w:numPr>
          <w:ilvl w:val="0"/>
          <w:numId w:val="5"/>
        </w:numPr>
        <w:ind w:left="0" w:firstLine="0"/>
        <w:spacing w:line="360" w:lineRule="auto"/>
        <w:rPr>
          <w:rFonts w:hint="eastAsia" w:ascii="宋体" w:hAnsi="宋体" w:cs="宋体"/>
          <w:b/>
          <w:szCs w:val="21"/>
          <w:highlight w:val="none"/>
          <w:lang w:eastAsia="zh-CN"/>
        </w:rPr>
      </w:pPr>
      <w:r>
        <w:rPr>
          <w:rFonts w:hint="eastAsia" w:ascii="宋体" w:hAnsi="宋体" w:cs="宋体"/>
          <w:b/>
          <w:szCs w:val="21"/>
          <w:highlight w:val="none"/>
          <w:lang w:eastAsia="zh-CN"/>
        </w:rPr>
        <w:t xml:space="preserve">通用硬件设备运维项目考评办法</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考核以</w:t>
      </w:r>
      <w:r>
        <w:rPr>
          <w:rFonts w:hint="eastAsia" w:ascii="宋体" w:hAnsi="宋体" w:cs="宋体"/>
          <w:szCs w:val="21"/>
          <w:highlight w:val="none"/>
          <w:lang w:val="en-US" w:eastAsia="zh-CN"/>
        </w:rPr>
        <w:t xml:space="preserve">扣分</w:t>
      </w:r>
      <w:r>
        <w:rPr>
          <w:rFonts w:hint="eastAsia" w:ascii="宋体" w:hAnsi="宋体" w:cs="宋体"/>
          <w:szCs w:val="21"/>
          <w:highlight w:val="none"/>
        </w:rPr>
        <w:t xml:space="preserve">制的方式进行，每</w:t>
      </w:r>
      <w:r>
        <w:rPr>
          <w:rFonts w:hint="eastAsia" w:ascii="宋体" w:hAnsi="宋体" w:cs="宋体"/>
          <w:szCs w:val="21"/>
          <w:highlight w:val="none"/>
          <w:lang w:val="en-US" w:eastAsia="zh-CN"/>
        </w:rPr>
        <w:t xml:space="preserve">月</w:t>
      </w:r>
      <w:r>
        <w:rPr>
          <w:rFonts w:hint="eastAsia" w:ascii="宋体" w:hAnsi="宋体" w:cs="宋体"/>
          <w:szCs w:val="21"/>
          <w:highlight w:val="none"/>
        </w:rPr>
        <w:t xml:space="preserve">进行考核</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服务期满汇总</w:t>
      </w:r>
      <w:r>
        <w:rPr>
          <w:rFonts w:hint="eastAsia" w:ascii="宋体" w:hAnsi="宋体" w:cs="宋体"/>
          <w:szCs w:val="21"/>
          <w:highlight w:val="none"/>
        </w:rPr>
        <w:t xml:space="preserve">。考核项目视频会议保障、集成指挥平台运维、机房运维、应急响应、文档台账、投诉情况、安全规范、退出机制8个部分。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1.视频会议保障</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1.1.日常工作考核</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定期检查摄像头是否清晰，是否能够正常工作，达不到要求发现一次扣1分。定期检查麦克风是否能够正常接收声音，是否出现杂音，达不到要求发现一次扣1分。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定期检查音响是否能够正常播放声音,接线是否松动等基本情况。达不到要求的发现一次扣1分。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定期检查显示屏是否能够正常显示画面，是否出现花屏、黑屏等问题，信号正确，各部件连接坚固无松动。达不到要求的发现一次扣1分。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定期检查视频会议设备是否正常运行，保证网络运行稳定流畅。达不到要求的发现一次扣1分。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1.2.本职工作考核</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必须严格执行视频会议的操作程序，不得随意拆卸和挪用视频会议设备，不得随意更改设备配置，在会议期间，必须现场（或后台）值守，不得擅离岗位，会议结束后，检查话筒，关闭设备。达不到要求的发现一次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检查视频会议系统的传输链路进行整体维护，确保正常运行。达不到要求的发现一次扣1分。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参加视频会议设备联调，如因管理员没有及时开启视频设备导致视频无法召开或出现故障。达不到要求的发现一次扣</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严禁在视频会议专用电脑上安装无关软件，并定期做好病毒防护等安全维护工作（未经允许，严禁私接任何U盘）。达不到要求的发现一次扣10分。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会议中如有会场意外中断，严禁自行修改配置，及时联系主会场管理员把会场重新加入到会议中，如遇时间较长，可采用临时性视频会议方案。达不到要求的发现一次扣</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1.3.服务达标考核</w:t>
      </w:r>
      <w:r/>
    </w:p>
    <w:p>
      <w:pPr>
        <w:ind w:firstLine="56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重要视频会议期间维保人员应按支队要求在场值守，</w:t>
      </w:r>
      <w:r>
        <w:rPr>
          <w:rFonts w:hint="eastAsia" w:ascii="宋体" w:hAnsi="宋体" w:cs="宋体"/>
          <w:szCs w:val="21"/>
          <w:highlight w:val="none"/>
        </w:rPr>
        <w:t xml:space="preserve">发生故障时需立即</w:t>
      </w:r>
      <w:r>
        <w:rPr>
          <w:rFonts w:hint="eastAsia" w:ascii="宋体" w:hAnsi="宋体" w:cs="宋体"/>
          <w:szCs w:val="21"/>
          <w:highlight w:val="none"/>
          <w:lang w:val="en-US" w:eastAsia="zh-CN"/>
        </w:rPr>
        <w:t xml:space="preserve">响应并开始排查和维修工作</w:t>
      </w:r>
      <w:r>
        <w:rPr>
          <w:rFonts w:hint="eastAsia" w:ascii="宋体" w:hAnsi="宋体" w:cs="宋体"/>
          <w:szCs w:val="21"/>
          <w:highlight w:val="none"/>
        </w:rPr>
        <w:t xml:space="preserve">。系统修复时间一般故障不超过10分钟，严重故障不超过半小时。达不到要求的一次扣2分。（备注：如遇特殊情况，要及时汇报）</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一般问题：工作日白天（8时至19时）维修人员到达故障服务现场的时间应不大于</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小时，工作日夜间（19时至次日8时）和国家法定节假日维修人员到达故障服务现场的时间应不大于</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小时；达不到要求的发现一次扣2分。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严重故障：应在</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分钟内人员响应，</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小时内到达故障服务现场；达不到要求的发现一次扣10分。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1.4.</w:t>
      </w:r>
      <w:r>
        <w:rPr>
          <w:rFonts w:hint="eastAsia" w:ascii="宋体" w:hAnsi="宋体" w:cs="宋体"/>
          <w:szCs w:val="21"/>
          <w:highlight w:val="none"/>
          <w:lang w:val="en-US" w:eastAsia="zh-CN"/>
        </w:rPr>
        <w:t xml:space="preserve">服务质态</w:t>
      </w:r>
      <w:r>
        <w:rPr>
          <w:rFonts w:hint="eastAsia" w:ascii="宋体" w:hAnsi="宋体" w:cs="宋体"/>
          <w:szCs w:val="21"/>
          <w:highlight w:val="none"/>
        </w:rPr>
        <w:t xml:space="preserve">考核</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设备正常工作率达95%（月度），每降1%扣5分。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每月工作数据未按要求上报的，由乙方的相关负责人说明情况。第二次以上每发现一次扣1分。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重大故障分析报告，无分析报告扣2分，未按照甲方规定时间内上交的扣1分。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协作交管支队完成相关延伸工作，不配合一次扣2分。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工作人员必须遵守劳动纪律和相关保密协议，并服从管理，达不到要求的发现一次扣</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2.集成指挥平台</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2.1.平台业务不可用</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因维保范围内的硬件、网络、软件等故障，造成平台业务中断超过30分钟扣1分，每增加15分钟加扣1分，</w:t>
      </w:r>
      <w:r>
        <w:rPr>
          <w:rFonts w:hint="eastAsia" w:ascii="宋体" w:hAnsi="宋体" w:cs="宋体"/>
          <w:szCs w:val="21"/>
          <w:highlight w:val="none"/>
          <w:lang w:val="en-US" w:eastAsia="zh-CN"/>
        </w:rPr>
        <w:t xml:space="preserve">单次</w:t>
      </w:r>
      <w:r>
        <w:rPr>
          <w:rFonts w:hint="eastAsia" w:ascii="宋体" w:hAnsi="宋体" w:cs="宋体"/>
          <w:szCs w:val="21"/>
          <w:highlight w:val="none"/>
        </w:rPr>
        <w:t xml:space="preserve">最多扣</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2.2.维保服务质量</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（1）故障解决率：平台功能性故障，解决时间不超过4小时，每过30分钟扣1分，最多扣10分。其他非功能性故障，解决时间不超过12小时，每过1小时扣1分，最多扣10分。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（2）故障响应时间：达到现场时间不超过</w:t>
      </w:r>
      <w:r>
        <w:rPr>
          <w:rFonts w:hint="eastAsia" w:ascii="宋体" w:hAnsi="宋体" w:cs="宋体"/>
          <w:szCs w:val="21"/>
          <w:highlight w:val="none"/>
          <w:lang w:val="en-US" w:eastAsia="zh-CN"/>
        </w:rPr>
        <w:t xml:space="preserve">2小时</w:t>
      </w:r>
      <w:r>
        <w:rPr>
          <w:rFonts w:hint="eastAsia" w:ascii="宋体" w:hAnsi="宋体" w:cs="宋体"/>
          <w:szCs w:val="21"/>
          <w:highlight w:val="none"/>
        </w:rPr>
        <w:t xml:space="preserve">。每迟</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0分钟扣1分。最多扣5分。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3.机房运维</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3.1.日常运维</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机房环境监测需每日早9点、午2点、晚5点各进行一次（监测内容包含不限于温度、湿度、UPS容量、门禁等），未按此时间点监测并记录，每次扣1分；监测数据中温度超出18-27℃范围、湿度超出40%-60%范围，或洁净度不符合行业相关标准且未在1小时内处理，每次扣2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机房内设备需按型号分类摆放，同一类设备间距不小于30厘米，线缆需沿机柜边缘或专用线槽整理固定，出现设备混杂摆放、间距不足或线缆散乱拖地等情况，每次扣1分。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机房空调需每周一检查滤网清洁度和运行噪音；空调故障导致机房温度超出正常范围持续2小时以上，或UPS故障导致机房断电持续1小时以上，扣5分。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3.2.设备管理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核心设备台账需包含设备唯一编号、生产厂家、保修期限、历次维修记录等信息，缺少任意一项扣1分，直至扣满3分；设备发生硬件更换、位置变动等情况后，未在24小时内更新台账信息，每次扣1分。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设备日常巡检需每日检查设备指示灯状态、运行温度，每周检查设备日志，未按此执行导致潜在故障未发现，每次扣1分；设备发生故障后，故障需在</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小时内修复不扣分，4小时以内修复扣1分，每</w:t>
      </w:r>
      <w:r>
        <w:rPr>
          <w:rFonts w:hint="eastAsia" w:ascii="宋体" w:hAnsi="宋体" w:cs="宋体"/>
          <w:szCs w:val="21"/>
          <w:highlight w:val="none"/>
          <w:lang w:val="en-US" w:eastAsia="zh-CN"/>
        </w:rPr>
        <w:t xml:space="preserve">多</w:t>
      </w:r>
      <w:r>
        <w:rPr>
          <w:rFonts w:hint="eastAsia" w:ascii="宋体" w:hAnsi="宋体" w:cs="宋体"/>
          <w:szCs w:val="21"/>
          <w:highlight w:val="none"/>
        </w:rPr>
        <w:t xml:space="preserve">延误4小时扣1分（最长扣</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3.3.应急处理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应急预案需涵盖断电、火灾、洪水、网络攻击等至少8种突发事件，缺少任意一种扣1分，直至扣满5分；应急预案需每季度组织一次演练，并有详细演练记录，未按季度演练或记录不完整，扣2分。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发生突发事件时，需在15分钟内响应，</w:t>
      </w:r>
      <w:r>
        <w:rPr>
          <w:rFonts w:hint="eastAsia" w:ascii="宋体" w:hAnsi="宋体" w:cs="宋体"/>
          <w:szCs w:val="21"/>
          <w:highlight w:val="none"/>
          <w:lang w:val="en-US" w:eastAsia="zh-CN"/>
        </w:rPr>
        <w:t xml:space="preserve">2小时</w:t>
      </w:r>
      <w:r>
        <w:rPr>
          <w:rFonts w:hint="eastAsia" w:ascii="宋体" w:hAnsi="宋体" w:cs="宋体"/>
          <w:szCs w:val="21"/>
          <w:highlight w:val="none"/>
        </w:rPr>
        <w:t xml:space="preserve">内到达现场处理，未按此时间要求执行，每次扣1分；因处理不当导致故障影响范围扩大或造成经济损失1万元以上，扣</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3.4.机房规范</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机房出入需登记姓名、身份证号、出入时间、事由等信息，无关人员进入机房，每次扣1分；出入记录缺少任意一项信息，每次扣1分。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机房消防设施需配备足够数量的灭火器、烟雾报警器，灭火器需在有效期内，烟雾报警器需每月测试灵敏度，不符合要求或未定期检查，每次扣3分；发生消防安全事故，造成设备损坏或人员受伤，由中标公司承担责任，扣</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4.应急响应</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备品备件下单后，超出相应时间1天扣1分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整机维护下单后，超出相应时间1天扣1分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备品备件更换配件不符合要求扣1分，有质量问题的扣1分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整机更换不符合要求，扣1分，有质量问题的扣1分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整机以及配件维修更换：整机以及配件包含的功能模块的配置不得低于支队现有同款设备功能模块的配置</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5.文档台账</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文档台账包含不限于视频会议、集成指挥平台、机房运维等。</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周度报告：每周1前提交维保周度总结报告，包含不限于维护文档、资产台账、工作内容、问题汇总、巡检记录、处理步骤。每迟1天扣1分，最多扣5分。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月度报告：每月10日前提交维保月度总结报告，每迟1天扣1分，最多扣5分。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维保期满，需在到期前3天内</w:t>
      </w:r>
      <w:r>
        <w:rPr>
          <w:rFonts w:hint="eastAsia" w:ascii="宋体" w:hAnsi="宋体" w:cs="宋体"/>
          <w:szCs w:val="21"/>
          <w:highlight w:val="none"/>
          <w:lang w:val="en-US" w:eastAsia="zh-CN"/>
        </w:rPr>
        <w:t xml:space="preserve">提供整体</w:t>
      </w:r>
      <w:r>
        <w:rPr>
          <w:rFonts w:hint="eastAsia" w:ascii="宋体" w:hAnsi="宋体" w:cs="宋体"/>
          <w:szCs w:val="21"/>
          <w:highlight w:val="none"/>
        </w:rPr>
        <w:t xml:space="preserve">服务报告。服务结束后15天内提交，每迟1天扣1分，最多扣5分。其他报告：故障报告每次故障后2天内提交，每迟1天扣1分，最多扣5分未按要求建立相应的运维管理制度的扣1分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6.投诉情况</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维保过程中，因态度、效率等问题，引发基层大队、支队领导、新闻媒体曝光投诉，经核实，发生一次扣</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中标人巡查、维护质量问题、或存在维护效率不及时造成人员、财物损伤的，由中标单位承担，每发现1次，扣</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分，扣完为止。</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7.退出机制</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若中标单位违反信息安全要求的行为，造成严重后果的，则终止合同。</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发生违反双方《保密协议》的约定、违反安全管理的行为，或发生交管支队及上级单位认定的其他影响业务系统运行的严重违规行为等。</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交管支队有权在综合评估中标单位维保服务</w:t>
      </w:r>
      <w:r>
        <w:rPr>
          <w:rFonts w:hint="eastAsia" w:ascii="宋体" w:hAnsi="宋体" w:cs="宋体"/>
          <w:szCs w:val="21"/>
          <w:highlight w:val="none"/>
        </w:rPr>
        <w:t xml:space="preserve">情况的基础上，根据其行为后果决定终止合同，并开展调查取证，提交上级有关部门，进行失信惩戒，违反法律的将追究单位和责任人的法律责任，违反安全管理的具体行为，包括但不限于；网络安全方面，擅自建立跨网跨域运维通道，违规连接公安网络，设置应用系统后门、木马等恶意程序，恶意探测扫描网络及系统，拆除破坏监管设施、程序等：数据安全方面，违规下载、留存、使用公安数据，篡改、毁损、出售公安数据等；安全保密方面，擅自扩大与合作事项相关信息的知悉范围，不及时清除、收回离职离岗或者不再参与信息化建设人员持有的公安文档资料、数据等。</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中标人</w:t>
      </w:r>
      <w:r>
        <w:rPr>
          <w:rFonts w:hint="eastAsia" w:ascii="宋体" w:hAnsi="宋体" w:cs="宋体"/>
          <w:szCs w:val="21"/>
          <w:highlight w:val="none"/>
          <w:lang w:val="en-US" w:eastAsia="zh-CN"/>
        </w:rPr>
        <w:t xml:space="preserve">单月</w:t>
      </w:r>
      <w:r>
        <w:rPr>
          <w:rFonts w:hint="eastAsia" w:ascii="宋体" w:hAnsi="宋体" w:cs="宋体"/>
          <w:szCs w:val="21"/>
          <w:highlight w:val="none"/>
        </w:rPr>
        <w:t xml:space="preserve">考评</w:t>
      </w:r>
      <w:r>
        <w:rPr>
          <w:rFonts w:hint="eastAsia" w:ascii="宋体" w:hAnsi="宋体" w:cs="宋体"/>
          <w:szCs w:val="21"/>
          <w:highlight w:val="none"/>
          <w:lang w:val="en-US" w:eastAsia="zh-CN"/>
        </w:rPr>
        <w:t xml:space="preserve">扣</w:t>
      </w:r>
      <w:r>
        <w:rPr>
          <w:rFonts w:hint="eastAsia" w:ascii="宋体" w:hAnsi="宋体" w:cs="宋体"/>
          <w:szCs w:val="21"/>
          <w:highlight w:val="none"/>
        </w:rPr>
        <w:t xml:space="preserve">分</w:t>
      </w:r>
      <w:r>
        <w:rPr>
          <w:rFonts w:hint="eastAsia" w:ascii="宋体" w:hAnsi="宋体" w:cs="宋体"/>
          <w:szCs w:val="21"/>
          <w:highlight w:val="none"/>
          <w:lang w:val="en-US" w:eastAsia="zh-CN"/>
        </w:rPr>
        <w:t xml:space="preserve">高</w:t>
      </w:r>
      <w:r>
        <w:rPr>
          <w:rFonts w:hint="eastAsia" w:ascii="宋体" w:hAnsi="宋体" w:cs="宋体"/>
          <w:szCs w:val="21"/>
          <w:highlight w:val="none"/>
        </w:rPr>
        <w:t xml:space="preserve">于</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分的</w:t>
      </w:r>
      <w:r>
        <w:rPr>
          <w:rFonts w:hint="eastAsia" w:ascii="宋体" w:hAnsi="宋体" w:cs="宋体"/>
          <w:szCs w:val="21"/>
          <w:highlight w:val="none"/>
          <w:lang w:eastAsia="zh-CN"/>
        </w:rPr>
        <w:t xml:space="preserve">、</w:t>
      </w:r>
      <w:r>
        <w:rPr>
          <w:rFonts w:hint="eastAsia" w:ascii="宋体" w:hAnsi="宋体" w:cs="宋体"/>
          <w:szCs w:val="21"/>
          <w:highlight w:val="none"/>
        </w:rPr>
        <w:t xml:space="preserve">因中标人原因导致采购人蒙受重大经济、名誉损失的</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招标人有权单方面解除合同，并追究中标人违约责任</w:t>
      </w:r>
      <w:r>
        <w:rPr>
          <w:rFonts w:hint="eastAsia" w:ascii="宋体" w:hAnsi="宋体" w:cs="宋体"/>
          <w:szCs w:val="21"/>
          <w:highlight w:val="none"/>
        </w:rPr>
        <w:t xml:space="preserve">。</w:t>
      </w:r>
      <w:r/>
    </w:p>
    <w:p>
      <w:pPr>
        <w:ind w:firstLine="560"/>
        <w:spacing w:line="360" w:lineRule="auto"/>
        <w:rPr>
          <w:rFonts w:hint="eastAsia" w:ascii="宋体" w:hAnsi="宋体" w:cs="宋体"/>
          <w:szCs w:val="21"/>
          <w:highlight w:val="none"/>
        </w:rPr>
      </w:pPr>
      <w:r>
        <w:rPr>
          <w:rFonts w:hint="eastAsia" w:ascii="宋体" w:hAnsi="宋体" w:cs="宋体"/>
          <w:szCs w:val="21"/>
          <w:highlight w:val="none"/>
        </w:rPr>
        <w:t xml:space="preserve">8.</w:t>
      </w:r>
      <w:r>
        <w:rPr>
          <w:rFonts w:hint="eastAsia" w:ascii="宋体" w:hAnsi="宋体" w:cs="宋体"/>
          <w:szCs w:val="21"/>
          <w:highlight w:val="none"/>
          <w:lang w:val="en-US" w:eastAsia="zh-CN"/>
        </w:rPr>
        <w:t xml:space="preserve">合同费用计算</w:t>
      </w:r>
      <w:r>
        <w:rPr>
          <w:rFonts w:hint="eastAsia" w:ascii="宋体" w:hAnsi="宋体" w:cs="宋体"/>
          <w:szCs w:val="21"/>
          <w:highlight w:val="none"/>
        </w:rPr>
        <w:t xml:space="preserve">方式</w:t>
      </w:r>
      <w:r/>
    </w:p>
    <w:p>
      <w:pPr>
        <w:ind w:firstLine="56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合同</w:t>
      </w:r>
      <w:r>
        <w:rPr>
          <w:rFonts w:hint="eastAsia" w:ascii="宋体" w:hAnsi="宋体" w:cs="宋体"/>
          <w:szCs w:val="21"/>
          <w:highlight w:val="none"/>
        </w:rPr>
        <w:t xml:space="preserve">运维服务</w:t>
      </w:r>
      <w:r>
        <w:rPr>
          <w:rFonts w:hint="eastAsia" w:ascii="宋体" w:hAnsi="宋体" w:cs="宋体"/>
          <w:szCs w:val="21"/>
          <w:highlight w:val="none"/>
          <w:lang w:val="en-US" w:eastAsia="zh-CN"/>
        </w:rPr>
        <w:t xml:space="preserve">支付</w:t>
      </w:r>
      <w:r>
        <w:rPr>
          <w:rFonts w:hint="eastAsia" w:ascii="宋体" w:hAnsi="宋体" w:cs="宋体"/>
          <w:szCs w:val="21"/>
          <w:highlight w:val="none"/>
        </w:rPr>
        <w:t xml:space="preserve">费用具体公式为：</w:t>
      </w:r>
      <w:r/>
    </w:p>
    <w:p>
      <w:pPr>
        <w:ind w:firstLine="560"/>
        <w:spacing w:line="360" w:lineRule="auto"/>
        <w:rPr>
          <w:rFonts w:ascii="宋体" w:hAnsi="宋体" w:cs="宋体"/>
          <w:szCs w:val="21"/>
          <w:highlight w:val="none"/>
        </w:rPr>
      </w:pPr>
      <w:r>
        <w:rPr>
          <w:rFonts w:hint="eastAsia" w:ascii="宋体" w:hAnsi="宋体" w:cs="宋体"/>
          <w:szCs w:val="21"/>
          <w:highlight w:val="none"/>
          <w:lang w:val="en-US" w:eastAsia="zh-CN"/>
        </w:rPr>
        <w:t xml:space="preserve">合同</w:t>
      </w:r>
      <w:r>
        <w:rPr>
          <w:rFonts w:hint="eastAsia" w:ascii="宋体" w:hAnsi="宋体" w:cs="宋体"/>
          <w:szCs w:val="21"/>
          <w:highlight w:val="none"/>
        </w:rPr>
        <w:t xml:space="preserve">运行维护</w:t>
      </w:r>
      <w:r>
        <w:rPr>
          <w:rFonts w:hint="eastAsia" w:ascii="宋体" w:hAnsi="宋体" w:cs="宋体"/>
          <w:szCs w:val="21"/>
          <w:highlight w:val="none"/>
          <w:lang w:val="en-US" w:eastAsia="zh-CN"/>
        </w:rPr>
        <w:t xml:space="preserve">支付</w:t>
      </w:r>
      <w:r>
        <w:rPr>
          <w:rFonts w:hint="eastAsia" w:ascii="宋体" w:hAnsi="宋体" w:cs="宋体"/>
          <w:szCs w:val="21"/>
          <w:highlight w:val="none"/>
        </w:rPr>
        <w:t xml:space="preserve">费用=</w:t>
      </w:r>
      <w:r>
        <w:rPr>
          <w:rFonts w:hint="eastAsia" w:ascii="宋体" w:hAnsi="宋体" w:cs="宋体"/>
          <w:szCs w:val="21"/>
          <w:highlight w:val="none"/>
          <w:lang w:val="en-US" w:eastAsia="zh-CN"/>
        </w:rPr>
        <w:t xml:space="preserve">合同应付金额-</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累计考核扣分数</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3000）</w:t>
      </w:r>
      <w:r>
        <w:rPr>
          <w:rFonts w:hint="eastAsia" w:ascii="宋体" w:hAnsi="宋体" w:cs="宋体"/>
          <w:szCs w:val="21"/>
          <w:highlight w:val="none"/>
        </w:rPr>
        <w:t xml:space="preserve">。</w:t>
      </w:r>
      <w:r/>
    </w:p>
    <w:p>
      <w:pPr>
        <w:numPr>
          <w:ilvl w:val="0"/>
          <w:numId w:val="5"/>
        </w:numPr>
        <w:ind w:left="0" w:firstLine="0"/>
        <w:spacing w:line="360" w:lineRule="auto"/>
        <w:rPr>
          <w:rFonts w:hint="eastAsia" w:ascii="宋体" w:hAnsi="宋体" w:cs="宋体"/>
          <w:b/>
          <w:szCs w:val="21"/>
          <w:highlight w:val="none"/>
          <w:lang w:eastAsia="zh-CN"/>
        </w:rPr>
      </w:pPr>
      <w:r>
        <w:rPr>
          <w:rFonts w:hint="eastAsia" w:ascii="宋体" w:hAnsi="宋体" w:cs="宋体"/>
          <w:b/>
          <w:szCs w:val="21"/>
          <w:highlight w:val="none"/>
          <w:lang w:eastAsia="zh-CN"/>
        </w:rPr>
        <w:t xml:space="preserve">其他要求</w:t>
      </w:r>
      <w:r/>
    </w:p>
    <w:p>
      <w:pPr>
        <w:pStyle w:val="77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中标人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779"/>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考核、付款、保密等</w:t>
      </w:r>
      <w:r>
        <w:rPr>
          <w:rFonts w:hint="eastAsia" w:ascii="宋体" w:hAnsi="宋体" w:eastAsia="宋体" w:cs="宋体"/>
          <w:sz w:val="21"/>
          <w:szCs w:val="21"/>
          <w:highlight w:val="none"/>
          <w:lang w:val="en-US" w:eastAsia="zh-CN"/>
        </w:rPr>
        <w:t xml:space="preserve">具体</w:t>
      </w:r>
      <w:r>
        <w:rPr>
          <w:rFonts w:hint="eastAsia" w:ascii="宋体" w:hAnsi="宋体" w:eastAsia="宋体" w:cs="宋体"/>
          <w:sz w:val="21"/>
          <w:szCs w:val="21"/>
          <w:highlight w:val="none"/>
          <w:lang w:eastAsia="zh-CN"/>
        </w:rPr>
        <w:t xml:space="preserve">要求</w:t>
      </w:r>
      <w:r>
        <w:rPr>
          <w:rFonts w:hint="eastAsia" w:ascii="宋体" w:hAnsi="宋体" w:eastAsia="宋体" w:cs="宋体"/>
          <w:sz w:val="21"/>
          <w:szCs w:val="21"/>
          <w:highlight w:val="none"/>
        </w:rPr>
        <w:t xml:space="preserve">见招标文件第五章《拟签订的合同文本》。</w:t>
      </w:r>
      <w:r/>
    </w:p>
    <w:p>
      <w:pPr>
        <w:pStyle w:val="779"/>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jc w:val="both"/>
        <w:spacing w:line="360" w:lineRule="auto"/>
        <w:rPr>
          <w:rFonts w:hint="eastAsia" w:ascii="宋体" w:hAnsi="宋体" w:cs="宋体"/>
          <w:b/>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highlight w:val="none"/>
        </w:rPr>
      </w:r>
      <w:r/>
    </w:p>
    <w:p>
      <w:pPr>
        <w:pStyle w:val="787"/>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787"/>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787"/>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787"/>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787"/>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787"/>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787"/>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787"/>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787"/>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787"/>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787"/>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787"/>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787"/>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spacing w:line="360" w:lineRule="auto"/>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highlight w:val="none"/>
        </w:rPr>
        <w:t xml:space="preserve">第七章 投标文件相关格式</w:t>
      </w:r>
      <w:r/>
    </w:p>
    <w:p>
      <w:pPr>
        <w:ind w:firstLine="640"/>
        <w:jc w:val="center"/>
        <w:spacing w:line="360" w:lineRule="auto"/>
        <w:rPr>
          <w:rFonts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一、投标函格式</w:t>
      </w:r>
      <w:r/>
    </w:p>
    <w:p>
      <w:pPr>
        <w:keepLines w:val="0"/>
        <w:keepNext w:val="0"/>
        <w:pageBreakBefore w:val="0"/>
        <w:spacing w:line="40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致：</w:t>
      </w:r>
      <w:r>
        <w:rPr>
          <w:rFonts w:hint="eastAsia" w:ascii="宋体" w:hAnsi="宋体" w:cs="宋体"/>
          <w:color w:val="auto"/>
          <w:sz w:val="24"/>
          <w:szCs w:val="24"/>
          <w:highlight w:val="none"/>
          <w:lang w:eastAsia="zh-CN"/>
        </w:rPr>
        <w:t xml:space="preserve">徐州市公安局交通管理支队</w:t>
      </w:r>
      <w:r/>
    </w:p>
    <w:p>
      <w:pPr>
        <w:ind w:firstLine="600"/>
        <w:keepLines w:val="0"/>
        <w:keepNext w:val="0"/>
        <w:pageBreakBefore w:val="0"/>
        <w:spacing w:line="400" w:lineRule="exact"/>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]招标文件，</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(姓名)代表我方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（投标人的名称）全权处理本次投标的有关事宜。</w:t>
      </w:r>
      <w:r/>
    </w:p>
    <w:p>
      <w:pPr>
        <w:ind w:firstLine="600"/>
        <w:keepLines w:val="0"/>
        <w:keepNext w:val="0"/>
        <w:pageBreakBefore w:val="0"/>
        <w:spacing w:line="400" w:lineRule="exact"/>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据此函，投标人承诺并同意如下： </w:t>
      </w:r>
      <w:r/>
    </w:p>
    <w:p>
      <w:pPr>
        <w:ind w:firstLine="480"/>
        <w:keepLines w:val="0"/>
        <w:keepNext w:val="0"/>
        <w:pageBreakBefore w:val="0"/>
        <w:spacing w:line="400" w:lineRule="exact"/>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1、投标人唯一投标报价见《开标一览表》。</w:t>
      </w:r>
      <w:r/>
    </w:p>
    <w:p>
      <w:pPr>
        <w:ind w:firstLine="480"/>
        <w:keepLines w:val="0"/>
        <w:keepNext w:val="0"/>
        <w:pageBreakBefore w:val="0"/>
        <w:spacing w:line="40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2、投标人将按招标文件的规定履行合同责任和义务。</w:t>
      </w:r>
      <w:r/>
    </w:p>
    <w:p>
      <w:pPr>
        <w:ind w:firstLine="480"/>
        <w:keepLines w:val="0"/>
        <w:keepNext w:val="0"/>
        <w:pageBreakBefore w:val="0"/>
        <w:spacing w:line="40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3、投标人已详细审查全部招标文件，包括第[插入编号] [补遗书][如果有的话]。投标人完全理解并同意放弃对这方面有不明及误解的权力。</w:t>
      </w:r>
      <w:r/>
    </w:p>
    <w:p>
      <w:pPr>
        <w:ind w:firstLine="480"/>
        <w:keepLines w:val="0"/>
        <w:keepNext w:val="0"/>
        <w:pageBreakBefore w:val="0"/>
        <w:spacing w:line="40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4、投标有效期为90天。</w:t>
      </w:r>
      <w:r/>
    </w:p>
    <w:p>
      <w:pPr>
        <w:ind w:firstLine="480"/>
        <w:keepLines w:val="0"/>
        <w:keepNext w:val="0"/>
        <w:pageBreakBefore w:val="0"/>
        <w:spacing w:line="40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5、投标人同意提供按照贵方可能要求的与其投标有关的一切数据或资料，完全理解贵方不一定接受最低价的投标或收到的任何投标。</w:t>
      </w:r>
      <w:r/>
    </w:p>
    <w:p>
      <w:pPr>
        <w:ind w:firstLine="480"/>
        <w:keepLines w:val="0"/>
        <w:keepNext w:val="0"/>
        <w:pageBreakBefore w:val="0"/>
        <w:spacing w:line="40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6、招标文件中关于“投标文件的密封（加密）要求”的规定由采购人或采购代理机构有权解释，投标人完全理解招标文件中关于“投标文件的密封（加密）要求”的规定。</w:t>
      </w:r>
      <w:r/>
    </w:p>
    <w:p>
      <w:pPr>
        <w:ind w:firstLine="480"/>
        <w:keepLines w:val="0"/>
        <w:keepNext w:val="0"/>
        <w:pageBreakBefore w:val="0"/>
        <w:spacing w:line="40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7、投标人同意按照招标文件规定支付招标代理服务费。</w:t>
      </w:r>
      <w:r/>
    </w:p>
    <w:p>
      <w:pPr>
        <w:ind w:firstLine="480"/>
        <w:keepLines w:val="0"/>
        <w:keepNext w:val="0"/>
        <w:pageBreakBefore w:val="0"/>
        <w:spacing w:line="40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8、采购人或采购代理机构有权将我单位本项目投标文件中的《开标一览表》和《分项价格表》予以公示，公示的方式由采购人或采购代理机构有权确定。如我单位被确定为中标供应商，采购人或采购代理机构有权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0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9、投标人对投标文件的真实性负责。采购人有权对投标人投标文件的真实性进行核实，如投标人不能在采购人规定的时间内向采购人提供有效的证明文件，将被采购人视为放弃中标资格。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0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10、与本投标有关的一切正式往来信函请寄：</w:t>
      </w:r>
      <w:r/>
    </w:p>
    <w:p>
      <w:pPr>
        <w:ind w:firstLine="1200"/>
        <w:keepLines w:val="0"/>
        <w:keepNext w:val="0"/>
        <w:pageBreakBefore w:val="0"/>
        <w:spacing w:line="400" w:lineRule="exact"/>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地址： </w:t>
      </w:r>
      <w:r/>
    </w:p>
    <w:p>
      <w:pPr>
        <w:ind w:firstLine="120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电话： </w:t>
      </w:r>
      <w:r>
        <w:rPr>
          <w:rFonts w:hint="eastAsia" w:ascii="宋体" w:hAnsi="宋体" w:cs="宋体"/>
          <w:color w:val="auto"/>
          <w:sz w:val="24"/>
          <w:szCs w:val="24"/>
          <w:highlight w:val="none"/>
          <w:lang w:val="en-US" w:eastAsia="zh-CN"/>
        </w:rPr>
        <w:t xml:space="preserve">         手机号码： </w:t>
      </w:r>
      <w:r/>
    </w:p>
    <w:p>
      <w:pPr>
        <w:ind w:firstLine="1200"/>
        <w:keepLines w:val="0"/>
        <w:keepNext w:val="0"/>
        <w:pageBreakBefore w:val="0"/>
        <w:spacing w:line="400" w:lineRule="exact"/>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ind w:firstLine="3804"/>
        <w:keepLines w:val="0"/>
        <w:keepNext w:val="0"/>
        <w:pageBreakBefore w:val="0"/>
        <w:spacing w:line="400" w:lineRule="exact"/>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firstLine="3840"/>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日</w:t>
      </w:r>
      <w:r/>
    </w:p>
    <w:p>
      <w:pPr>
        <w:ind w:firstLine="640"/>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r>
      <w:r/>
    </w:p>
    <w:p>
      <w:pPr>
        <w:ind w:firstLine="640"/>
        <w:jc w:val="center"/>
        <w:spacing w:line="360" w:lineRule="auto"/>
        <w:rPr>
          <w:rFonts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二、开标一览表格式</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jc w:val="left"/>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600"/>
        <w:jc w:val="center"/>
        <w:spacing w:line="360" w:lineRule="auto"/>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bCs/>
          <w:color w:val="auto"/>
          <w:sz w:val="32"/>
          <w:szCs w:val="32"/>
          <w:highlight w:val="none"/>
        </w:rPr>
      </w:r>
      <w:r/>
    </w:p>
    <w:p>
      <w:pPr>
        <w:ind w:firstLine="600"/>
        <w:jc w:val="center"/>
        <w:spacing w:line="360" w:lineRule="auto"/>
        <w:rPr>
          <w:rFonts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三、分项价格表格式</w:t>
      </w:r>
      <w:r/>
    </w:p>
    <w:p>
      <w:pPr>
        <w:ind w:firstLine="6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bl>
      <w:tblPr>
        <w:tblStyle w:val="74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49"/>
        <w:gridCol w:w="6307"/>
        <w:gridCol w:w="1060"/>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大类名称</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维保常用备品备件配件</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投标报价</w:t>
            </w:r>
            <w:r>
              <w:rPr>
                <w:rFonts w:hint="eastAsia" w:ascii="宋体" w:hAnsi="宋体" w:eastAsia="宋体" w:cs="宋体"/>
                <w:i w:val="0"/>
                <w:iCs w:val="0"/>
                <w:color w:val="auto"/>
                <w:sz w:val="21"/>
                <w:szCs w:val="21"/>
                <w:highlight w:val="none"/>
                <w:u w:val="none"/>
                <w:lang w:val="en-US" w:eastAsia="zh-CN" w:bidi="ar"/>
              </w:rPr>
              <w:t xml:space="preserve">（元）</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基础</w:t>
            </w:r>
            <w:r>
              <w:rPr>
                <w:rFonts w:hint="eastAsia" w:ascii="宋体" w:hAnsi="宋体" w:eastAsia="宋体" w:cs="宋体"/>
                <w:i w:val="0"/>
                <w:iCs w:val="0"/>
                <w:color w:val="auto"/>
                <w:sz w:val="21"/>
                <w:szCs w:val="21"/>
                <w:highlight w:val="none"/>
                <w:u w:val="none"/>
                <w:lang w:val="en-US" w:eastAsia="zh-CN" w:bidi="ar"/>
              </w:rPr>
              <w:t xml:space="preserve">费用</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人员保障服务费用</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阿里云学法减分服务</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适用于两个教育学法减分，满足六合一平台使用</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执法记录仪服务器设备</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480GBSSD服务器硬盘、960GBSSD服务器硬盘、raid卡</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执法记录仪平台</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执法记录仪平台硬件设备维修更换</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信息发布一体机</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信息发布一体机软硬件支持</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执法警务通软硬件</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移动警务通终端软件及其后端设备、P999-XD警务通电池、P999-XD二代证、P999-XD液晶屏、P999-XD后置摄像头、P999-XD主板、P999-XD打印机芯/滚轴</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50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机房及支队弱电</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包含支队、各勤务大队和高速大队机房</w:t>
            </w:r>
            <w:r>
              <w:rPr>
                <w:rStyle w:val="1019"/>
                <w:rFonts w:ascii="宋体" w:hAnsi="宋体" w:eastAsia="宋体" w:cs="宋体"/>
                <w:color w:val="auto"/>
                <w:sz w:val="21"/>
                <w:szCs w:val="21"/>
                <w:highlight w:val="none"/>
                <w:lang w:val="en-US" w:eastAsia="zh-CN" w:bidi="ar"/>
              </w:rPr>
              <w:t xml:space="preserve">，六类网线、网线布放、模块端接、水晶头制作、标签制作、面板安装、钢制镀锌线槽、PVC线槽、配线架安装、理线器安装、机柜搬运、机柜安装、设备拆除、设备安装、网络测试、弱电桥架、室内光纤敷设、光纤配线架、光纤熔接、光纤测试、网络、光纤跳线、摄像头安装调试、墙面下管、地板拆除、地板安装、语音主干配线架、大对数电缆、原有电话设备拆除、超五类水晶头）、六类水晶头、不锈钢线槽、光缆、光端机、3层交换设备。</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56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视频会议设备</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处理机板、以太网交换板(电口)、数字混音板、高清媒体处理单元、摄像机机芯、主板、机芯结构件、外壳、电源适配器、主板、电源模块、无线模块、天线、OLED屏、风扇、机箱、Hi3531编解码芯片、接口板、国密芯片、编解码芯片、电源、灯板部件、整机机箱、KDV-M-SDIC——HD-SDII——I模块、</w:t>
            </w:r>
            <w:r>
              <w:rPr>
                <w:rFonts w:hint="eastAsia" w:ascii="宋体" w:hAnsi="宋体" w:eastAsia="宋体" w:cs="宋体"/>
                <w:i w:val="0"/>
                <w:iCs w:val="0"/>
                <w:color w:val="auto"/>
                <w:sz w:val="21"/>
                <w:szCs w:val="21"/>
                <w:highlight w:val="none"/>
                <w:u w:val="none"/>
                <w:lang w:val="en-US" w:eastAsia="zh-CN" w:bidi="ar"/>
              </w:rPr>
              <w:t xml:space="preserve">KDV-M-SDID——HD-SDII——O模块、12v500mA电源视配器、显示屏、发射器模块、接收器模块、卡农/6.5mm音频输出接口、频率调制器、R各类输入输出接口、输出调节旋钮、、高精度电平指示灯、4路输入4路输出接口（凤凰插）、数字调音台32路一拖二模块化、接口箱、手拉手话筒、科达会议摄像头、整机分布式节点（输入）、整机分布式节点（输出）、整机分布式节点（控制）、视频会议平板软件定制版、网络机顶盒、4G移动路由器、HDMI-高清线-20米、HDMI-高清线-10米、信号源切换器、无线双向对讲呼叫器</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18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车管所305机房环境设备</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功率模块25KVA*4、风扇组件、保险丝、防雷模块、滤</w:t>
            </w:r>
            <w:r>
              <w:rPr>
                <w:rFonts w:hint="eastAsia" w:ascii="宋体" w:hAnsi="宋体" w:eastAsia="宋体" w:cs="宋体"/>
                <w:i w:val="0"/>
                <w:iCs w:val="0"/>
                <w:color w:val="auto"/>
                <w:sz w:val="21"/>
                <w:szCs w:val="21"/>
                <w:highlight w:val="none"/>
                <w:u w:val="none"/>
                <w:lang w:val="en-US" w:eastAsia="zh-CN" w:bidi="ar"/>
              </w:rPr>
              <w:t xml:space="preserve">波器、整流器、逆变器、通讯监控模块、控制板、输入/输出接线端子、显示屏、功率模块30KVA、过滤网、加湿器、皮带、干燥过滤器、上水阀、电磁阀、加热器、压缩机、加氟、排水阀、风扇电机、膨胀阀、控制器、连接阀门、铜管、电池（12V100AH）、电池间连接线、电池箱/架、电池组直流开关、温湿度传感器、烟雾传感器、UPS监控模块、配电监控模块、温湿度监控模块、烟雾监控模块、精密空调监控模块、报警模块、接线端子、主机风扇组件、网络机柜、锐捷交换机、超五类网线、电源线、插排、线槽、机房窗纱套件-2A、机房窗纱套件-4A</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350兆警用基地台天馈系统</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350兆警用全向天线HH-350Z、全向天线支架、馈管HCAAYZ-50-12(1/2`)、避雷器CA-23RP、馈管连接头、馈管接地套件、馈管转接头、设备跳线1M、安装服务费、设备维护、设备跳线4M、天线共用器</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安全设备</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电源、8端口电板卡、4端口万兆光板卡、光模块（万兆多模）万兆多模LC双芯模块、威胁情报库、僵木蠕攻击库、入侵规则库、病毒库、应用识别库、URL库/应用特征库、CPU、内存、主板、硬盘、光模块。</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网络设备</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扇、电源、千兆单模模块、总装机箱、主控板、交换网板、万兆光板卡、千兆光板卡、千兆电板卡、万兆多模LC双芯模块、千兆电口板、千兆光口板、TP-LINKTL-R483G（整机）、TP-LINKTL-SG1008D（整机）、交换机A、交换机B、交换机C、交换机D、28口万兆光口交换机、浪潮服务器网卡、TP-LINKTL-SG1005D（整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违法平台</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固态硬盘、机械硬盘、风扇、电源、主板、阵列卡、网卡、企业级硬盘、服务器电源、服务器内存、服务器主板、存储电源、云存储主板、云存储IOT硬盘</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集成指挥平台</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浪潮服务器、DDR4内存、视频图像融合接入网关/YLIT-IASTW-1U128/原力智联、备份库服务器、服务器硬盘，硬盘扩容背板。</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指挥中心综合显示系统</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LED大屏模组、LED大屏模组(条屏)、大屏LED控制卡、LED大屏模组控制板、视频处理器、LED大屏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接收卡、模组电源、拼控连接线缆、模组电源线、网线、千兆交换机、PLC控制模块、空气开关、漏电断路器</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二类区网络设备</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视频交换平台系统升级及硬件维修</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80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存储设备</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存储控制器存储电源、存储4端口16GBI/O模块扩展卡、存储控制器、硬盘笼扩展柜、DPE冷却模块/风扇、DPE存储处理器、存储连接线缆、NL-SAS存储硬盘、存储电池整机模块、华为存储控制器64位多核处理器、FC扩展子板卡、电源（控制框）、电源（硬盘框）、存储SSD固态磁盘、高压直流4端口I/O模块、华为存储控制器32位多核处理器、电源（控制框）、电源（硬盘框）、高压直流32GB4端口I/O模块、华为存储控制器16位多核处理器、高压直流16GB4端口I/O模块</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指挥车</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指挥车维护</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服务器设备</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DR4内存16G-64G、多品牌服务器主板、服务器PCIE接口、HBA卡、服务器电源450W-900W、服务器前置风扇、SSD服务器硬盘120GB-1.92TB、SAS/NL-SAS服务器硬盘300GB-8TB、服务器阵列卡6GB-12GB、刀箱FLEX集群框、刀箱FLEX风扇、刀箱稳压采集模块、刀箱10GB网络交换背板、刀箱内装式电源模块、刀箱8GBSAN交换机背板</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车管所业务窗口终端</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台式机主板、笔记本主板、一体机主板、机</w:t>
            </w:r>
            <w:r>
              <w:rPr>
                <w:rFonts w:hint="eastAsia" w:ascii="宋体" w:hAnsi="宋体" w:eastAsia="宋体" w:cs="宋体"/>
                <w:i w:val="0"/>
                <w:iCs w:val="0"/>
                <w:color w:val="auto"/>
                <w:sz w:val="21"/>
                <w:szCs w:val="21"/>
                <w:highlight w:val="none"/>
                <w:u w:val="none"/>
                <w:lang w:val="en-US" w:eastAsia="zh-CN" w:bidi="ar"/>
              </w:rPr>
              <w:t xml:space="preserve">械硬盘、SATA固态硬盘、M.2固态硬盘、DDR3内存条、DDR4内存条、DDR5内存条、台式机ATX电源、笔记本电源适配器、小交换机电源适配器、显示屏、主板、电源板、逻辑板、HDMI连接线、VGA连接线、SATA硬盘线、USB延长线、打印机电缆、USB键盘、笔记本键盘、USB鼠标、USB外置摄像头、显示器、3060显卡、一体机电源、普通电源、主板电池、500G硬盘、CPU、内存、屏幕、键盘鼠标、16G内存、硬盘、打印机、身份证阅读器、摄像头、27寸显示器、电脑主板、违法处理高拍仪、二代身份证读卡器和签名板</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车管所教育审验系统</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审验学习接口认证检测、现场教育监督管理系统主机、音箱、功放、无线话筒、均衡器、电源时序器、自动进出三通道双向闸机、室内高速球机、HDMI网络转换器、人脸采集签到机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车管所会议广播系统</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会议中控主机、视频会议主机、调音台、均衡器、电源时序器、无线话筒主机、音频处理器、反馈抑制器、效果器、功放、音响、吸顶喇叭、平板、网络多屏处理器、1拖四手持麦克风、音视频巡查系统接口</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车管所停车管理系统</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双车位识别器、三车位识别器、单向引导屏、双向引导屏、三向引导屏、组合余位屏、智能道闸、闸机、诱导管理主机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车管所大屏显示系统</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一体屏幕、LED背光模组、显示电源、显示模组、显示模组芯片、显示模组主板、模组控制器、模组供电电源、大屏中央主控、40寸液晶显示器、信息发布盒、85寸液晶显示器、内置网络发布主机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车管所安防监控及门禁系统</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室外枪机、室内枪机、室内球机、室外全景、室外云台、监控电源、人脸识别一体机、门禁控制器、磁力锁</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车管所排队叫号系统</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排队取号机、叫号控制器、叫号功放、叫号喇叭、叫号屏、分布式智能系统控制器、广播功放、排队叫号系统接口</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车管所综合布线</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室内六类网线、室外六类网线、12芯铠装（含熔纤）、24芯铠装（含熔纤）、室内跳线（含熔纤）、2芯光缆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车管所自助机系统</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自助机接口</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车管所车辆检验网虚拟化平台系统</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NTP设备</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车管所核心机房环境</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体式UPS主机、滤网、压缩机、氟利昂、外风机风扇、逆向阀、冷凝器、蒸发器、膨胀阀、加湿器、加热器、风机、理士12V200ah铅酸电池、整机、逆变器、整流器、主板、静态开关、40A、200A、主机、温度模块、水侵模块、硬盘录像机、存储盘、显示pad、显示pad电池、机房冷通道pad电池</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88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车管所通用网络及安全</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特征库续费-（入侵库、AV库、IDP攻击，AV库，僵木蠕库）、板卡、主板、电源、数据存储盘、IDS/IPS、核心交换机（48千兆光接口板）、核心交换机（48电接口板）、核心交换机万兆光接口板、主控板、交换网板、AC电源、风扇模块、机箱、48电接口板、千兆光接口板、机箱、接入交换机整机、千兆单模光模块、光转电模块SFP转RJ45、桌面交换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车管所通用服务器及存储</w:t>
            </w:r>
            <w:r/>
          </w:p>
        </w:tc>
        <w:tc>
          <w:tcPr>
            <w:shd w:val="clear" w:color="auto" w:fill="auto"/>
            <w:tcBorders>
              <w:top w:val="single" w:color="000000" w:sz="4" w:space="0"/>
              <w:left w:val="single" w:color="000000" w:sz="4" w:space="0"/>
              <w:bottom w:val="single" w:color="000000" w:sz="4" w:space="0"/>
              <w:right w:val="single" w:color="000000" w:sz="4" w:space="0"/>
            </w:tcBorders>
            <w:tcW w:w="630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内存、SAS硬盘、SSD硬盘、SATA数据盘、CPU、主板、HBA卡、风扇模块、电源、阵列卡、硬盘背板、电子档案服务器接口认证</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080"/>
        </w:trPr>
        <w:tc>
          <w:tcPr>
            <w:gridSpan w:val="2"/>
            <w:shd w:val="clear" w:color="auto" w:fill="auto"/>
            <w:tcBorders>
              <w:top w:val="single" w:color="000000" w:sz="4" w:space="0"/>
              <w:left w:val="single" w:color="000000" w:sz="4" w:space="0"/>
              <w:bottom w:val="single" w:color="000000" w:sz="4" w:space="0"/>
              <w:right w:val="single" w:color="000000" w:sz="4" w:space="0"/>
            </w:tcBorders>
            <w:tcW w:w="7456"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pStyle w:val="756"/>
        <w:rPr>
          <w:rFonts w:ascii="宋体" w:hAnsi="宋体" w:cs="宋体"/>
          <w:color w:val="auto"/>
          <w:sz w:val="24"/>
          <w:szCs w:val="24"/>
          <w:highlight w:val="none"/>
        </w:rPr>
      </w:pPr>
      <w:r>
        <w:rPr>
          <w:rFonts w:ascii="宋体" w:hAnsi="宋体" w:cs="宋体"/>
          <w:color w:val="auto"/>
          <w:sz w:val="24"/>
          <w:szCs w:val="24"/>
          <w:highlight w:val="none"/>
        </w:rPr>
      </w:r>
      <w:r/>
    </w:p>
    <w:p>
      <w:pPr>
        <w:ind w:firstLine="3640"/>
        <w:spacing w:line="30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36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说明</w:t>
      </w:r>
      <w:r>
        <w:rPr>
          <w:rFonts w:hint="eastAsia" w:ascii="宋体" w:hAnsi="宋体" w:cs="宋体"/>
          <w:color w:val="auto"/>
          <w:sz w:val="24"/>
          <w:szCs w:val="24"/>
          <w:highlight w:val="none"/>
        </w:rPr>
        <w:t xml:space="preserve">：</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1、如果单项报价超过单项最高控制价，将视为没有实质性响应招标文件。</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、投标人对以上数据的真实性负责。</w:t>
      </w:r>
      <w:r/>
    </w:p>
    <w:p>
      <w:pPr>
        <w:pStyle w:val="756"/>
        <w:ind w:left="0" w:firstLine="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w:t>
      </w:r>
      <w:r/>
    </w:p>
    <w:p>
      <w:pPr>
        <w:pStyle w:val="756"/>
        <w:ind w:left="0" w:right="740" w:firstLine="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①如果不按照招标文件格式提供详细分项价格表的，将视为没有实质性响应招标文件。</w:t>
      </w:r>
      <w:r/>
    </w:p>
    <w:p>
      <w:pPr>
        <w:pStyle w:val="756"/>
        <w:ind w:left="0" w:firstLine="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②投标人对以上数据的真实性负责。</w:t>
      </w:r>
      <w:r/>
    </w:p>
    <w:p>
      <w:pPr>
        <w:ind w:firstLine="0"/>
        <w:jc w:val="left"/>
        <w:spacing w:line="240" w:lineRule="auto"/>
        <w:widowControl/>
        <w:rPr>
          <w:rFonts w:ascii="宋体" w:hAnsi="宋体" w:cs="宋体"/>
          <w:color w:val="auto"/>
          <w:sz w:val="28"/>
          <w:szCs w:val="28"/>
          <w:highlight w:val="none"/>
        </w:rPr>
        <w:pBdr>
          <w:top w:val="none" w:color="auto" w:sz="0" w:space="0"/>
          <w:left w:val="none" w:color="auto" w:sz="0" w:space="0"/>
          <w:bottom w:val="none" w:color="auto" w:sz="0" w:space="0"/>
          <w:right w:val="none" w:color="auto" w:sz="0" w:space="0"/>
        </w:pBdr>
      </w:pPr>
      <w:r>
        <w:rPr>
          <w:rFonts w:hint="eastAsia" w:ascii="宋体" w:hAnsi="宋体" w:cs="宋体"/>
          <w:b/>
          <w:bCs/>
          <w:color w:val="auto"/>
          <w:sz w:val="24"/>
          <w:szCs w:val="24"/>
          <w:highlight w:val="none"/>
        </w:rPr>
        <w:t xml:space="preserve">采购人或采购代理机构有权将以上内容进行公示。</w:t>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r>
      <w:r/>
    </w:p>
    <w:p>
      <w:pPr>
        <w:jc w:val="center"/>
        <w:spacing w:line="360" w:lineRule="auto"/>
        <w:rPr>
          <w:rFonts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四、偏离表格式</w:t>
      </w:r>
      <w:r/>
    </w:p>
    <w:p>
      <w:pPr>
        <w:ind w:firstLine="6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项目编号：</w:t>
      </w:r>
      <w:r/>
    </w:p>
    <w:p>
      <w:pPr>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项目名称：</w:t>
      </w:r>
      <w:r/>
    </w:p>
    <w:tbl>
      <w:tblPr>
        <w:tblStyle w:val="78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486"/>
        <w:gridCol w:w="1488"/>
        <w:gridCol w:w="1796"/>
        <w:gridCol w:w="1355"/>
        <w:gridCol w:w="1568"/>
      </w:tblGrid>
      <w:tr>
        <w:trPr>
          <w:trHeight w:val="794"/>
        </w:trPr>
        <w:tc>
          <w:tcPr>
            <w:tcMar>
              <w:left w:w="108" w:type="dxa"/>
              <w:top w:w="0" w:type="dxa"/>
              <w:right w:w="108" w:type="dxa"/>
              <w:bottom w:w="0" w:type="dxa"/>
            </w:tcMar>
            <w:tcW w:w="482" w:type="pct"/>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序号</w:t>
            </w:r>
            <w:r/>
          </w:p>
        </w:tc>
        <w:tc>
          <w:tcPr>
            <w:tcMar>
              <w:left w:w="108" w:type="dxa"/>
              <w:top w:w="0" w:type="dxa"/>
              <w:right w:w="108" w:type="dxa"/>
              <w:bottom w:w="0" w:type="dxa"/>
            </w:tcMar>
            <w:tcW w:w="872" w:type="pct"/>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偏离内容</w:t>
            </w:r>
            <w:r/>
          </w:p>
        </w:tc>
        <w:tc>
          <w:tcPr>
            <w:tcMar>
              <w:left w:w="108" w:type="dxa"/>
              <w:top w:w="0" w:type="dxa"/>
              <w:right w:w="108" w:type="dxa"/>
              <w:bottom w:w="0" w:type="dxa"/>
            </w:tcMar>
            <w:tcW w:w="873" w:type="pct"/>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招标文件的要求</w:t>
            </w:r>
            <w:r/>
          </w:p>
        </w:tc>
        <w:tc>
          <w:tcPr>
            <w:tcMar>
              <w:left w:w="108" w:type="dxa"/>
              <w:top w:w="0" w:type="dxa"/>
              <w:right w:w="108" w:type="dxa"/>
              <w:bottom w:w="0" w:type="dxa"/>
            </w:tcMar>
            <w:tcW w:w="1054" w:type="pct"/>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投标文件中的内容</w:t>
            </w:r>
            <w:r/>
          </w:p>
        </w:tc>
        <w:tc>
          <w:tcPr>
            <w:tcMar>
              <w:left w:w="108" w:type="dxa"/>
              <w:top w:w="0" w:type="dxa"/>
              <w:right w:w="108" w:type="dxa"/>
              <w:bottom w:w="0" w:type="dxa"/>
            </w:tcMar>
            <w:tcW w:w="795" w:type="pct"/>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（正/负/无）偏离</w:t>
            </w:r>
            <w:r/>
          </w:p>
        </w:tc>
        <w:tc>
          <w:tcPr>
            <w:tcMar>
              <w:left w:w="108" w:type="dxa"/>
              <w:top w:w="0" w:type="dxa"/>
              <w:right w:w="108" w:type="dxa"/>
              <w:bottom w:w="0" w:type="dxa"/>
            </w:tcMar>
            <w:tcW w:w="920" w:type="pct"/>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说明</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bl>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注</w:t>
      </w:r>
      <w:r>
        <w:rPr>
          <w:rFonts w:hint="eastAsia" w:ascii="宋体" w:hAnsi="宋体" w:cs="宋体"/>
          <w:color w:val="auto"/>
          <w:sz w:val="28"/>
          <w:szCs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spacing w:line="71"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3900"/>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 年 月 日</w:t>
      </w:r>
      <w:r/>
    </w:p>
    <w:p>
      <w:pPr>
        <w:ind w:firstLine="6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ind w:firstLine="600"/>
        <w:jc w:val="center"/>
        <w:spacing w:line="479" w:lineRule="atLeast"/>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bCs/>
          <w:color w:val="auto"/>
          <w:sz w:val="32"/>
          <w:szCs w:val="32"/>
          <w:highlight w:val="none"/>
        </w:rPr>
      </w:r>
      <w:r/>
    </w:p>
    <w:p>
      <w:pPr>
        <w:ind w:firstLine="600"/>
        <w:jc w:val="center"/>
        <w:spacing w:line="479" w:lineRule="atLeast"/>
        <w:rPr>
          <w:rFonts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五、法定代表人身份证明或法定代表人授权委托书</w:t>
      </w:r>
      <w:r/>
    </w:p>
    <w:p>
      <w:pPr>
        <w:pStyle w:val="775"/>
        <w:ind w:left="0" w:right="0"/>
        <w:jc w:val="center"/>
        <w:keepLines w:val="0"/>
        <w:keepNext w:val="0"/>
        <w:spacing w:before="260" w:beforeAutospacing="0" w:after="260" w:afterAutospacing="0" w:line="415" w:lineRule="auto"/>
        <w:widowControl w:val="off"/>
        <w:rPr>
          <w:rFonts w:hint="eastAsia" w:ascii="宋体" w:hAnsi="宋体" w:eastAsia="宋体" w:cs="宋体"/>
          <w:b/>
          <w:bCs/>
          <w:color w:val="auto"/>
          <w:sz w:val="30"/>
          <w:szCs w:val="3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8"/>
          <w:szCs w:val="28"/>
          <w:highlight w:val="none"/>
          <w:lang w:val="en-US" w:eastAsia="zh-CN"/>
        </w:rPr>
        <w:t xml:space="preserve">    </w:t>
      </w:r>
      <w:r>
        <w:rPr>
          <w:rFonts w:hint="eastAsia" w:ascii="宋体" w:hAnsi="宋体" w:eastAsia="宋体" w:cs="宋体"/>
          <w:b/>
          <w:bCs/>
          <w:color w:val="auto"/>
          <w:sz w:val="30"/>
          <w:szCs w:val="30"/>
          <w:highlight w:val="none"/>
          <w:lang w:val="en-US" w:eastAsia="zh-CN" w:bidi="ar-SA"/>
        </w:rPr>
        <w:t xml:space="preserve"> 法定代表人身份证明（如法定代表人参加时提供）</w:t>
      </w:r>
      <w:r/>
    </w:p>
    <w:p>
      <w:pPr>
        <w:pStyle w:val="775"/>
        <w:jc w:val="both"/>
        <w:keepLines w:val="0"/>
        <w:keepNext w:val="0"/>
        <w:spacing w:before="0" w:beforeAutospacing="0" w:after="0" w:afterAutospacing="0" w:line="0" w:lineRule="atLeast"/>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highlight w:val="none"/>
        </w:rPr>
        <w:t xml:space="preserve">投标人名称：</w:t>
      </w:r>
      <w:r>
        <w:rPr>
          <w:rFonts w:hint="default" w:ascii="Times New Roman" w:hAnsi="Times New Roman" w:cs="Times New Roman"/>
          <w:color w:val="000000"/>
          <w:sz w:val="28"/>
          <w:szCs w:val="28"/>
          <w:highlight w:val="none"/>
          <w:u w:val="single"/>
        </w:rPr>
        <w:t xml:space="preserve">                 </w:t>
      </w:r>
      <w:r>
        <w:rPr>
          <w:rFonts w:hint="eastAsia" w:ascii="Times New Roman" w:hAnsi="Times New Roman" w:cs="Times New Roman"/>
          <w:color w:val="000000"/>
          <w:sz w:val="28"/>
          <w:szCs w:val="28"/>
          <w:highlight w:val="none"/>
          <w:u w:val="single"/>
          <w:lang w:val="en-US" w:eastAsia="zh-CN"/>
        </w:rPr>
        <w:t xml:space="preserve">     </w:t>
      </w:r>
      <w:r>
        <w:rPr>
          <w:rFonts w:hint="default" w:ascii="Times New Roman" w:hAnsi="Times New Roman" w:cs="Times New Roman"/>
          <w:color w:val="000000"/>
          <w:sz w:val="28"/>
          <w:szCs w:val="28"/>
          <w:highlight w:val="none"/>
          <w:u w:val="single"/>
        </w:rPr>
        <w:t xml:space="preserve">           </w:t>
      </w:r>
      <w:r>
        <w:rPr>
          <w:rFonts w:hint="default" w:ascii="Times New Roman" w:hAnsi="Times New Roman" w:cs="Times New Roman"/>
          <w:color w:val="000000"/>
          <w:sz w:val="28"/>
          <w:szCs w:val="28"/>
          <w:highlight w:val="none"/>
        </w:rPr>
        <w:t xml:space="preserve"> </w:t>
      </w:r>
      <w:r/>
    </w:p>
    <w:p>
      <w:pPr>
        <w:pStyle w:val="775"/>
        <w:jc w:val="both"/>
        <w:keepLines w:val="0"/>
        <w:keepNext w:val="0"/>
        <w:spacing w:before="0" w:beforeAutospacing="0" w:after="0" w:afterAutospacing="0" w:line="0" w:lineRule="atLeast"/>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highlight w:val="none"/>
        </w:rPr>
        <w:t xml:space="preserve">姓名：</w:t>
      </w:r>
      <w:r>
        <w:rPr>
          <w:rFonts w:hint="default" w:ascii="Times New Roman" w:hAnsi="Times New Roman" w:cs="Times New Roman"/>
          <w:color w:val="000000"/>
          <w:sz w:val="28"/>
          <w:szCs w:val="28"/>
          <w:highlight w:val="none"/>
          <w:u w:val="single"/>
        </w:rPr>
        <w:t xml:space="preserve">     </w:t>
      </w:r>
      <w:r>
        <w:rPr>
          <w:rFonts w:hint="eastAsia" w:ascii="Times New Roman" w:hAnsi="Times New Roman" w:cs="Times New Roman"/>
          <w:color w:val="000000"/>
          <w:sz w:val="28"/>
          <w:szCs w:val="28"/>
          <w:highlight w:val="none"/>
          <w:u w:val="single"/>
          <w:lang w:val="en-US" w:eastAsia="zh-CN"/>
        </w:rPr>
        <w:t xml:space="preserve">       </w:t>
      </w:r>
      <w:r>
        <w:rPr>
          <w:rFonts w:hint="default" w:ascii="Times New Roman" w:hAnsi="Times New Roman" w:cs="Times New Roman"/>
          <w:color w:val="000000"/>
          <w:sz w:val="28"/>
          <w:szCs w:val="28"/>
          <w:highlight w:val="none"/>
          <w:u w:val="single"/>
        </w:rPr>
        <w:t xml:space="preserve">   </w:t>
      </w:r>
      <w:r>
        <w:rPr>
          <w:rFonts w:hint="eastAsia" w:ascii="Times New Roman" w:hAnsi="Times New Roman" w:cs="Times New Roman"/>
          <w:color w:val="000000"/>
          <w:sz w:val="28"/>
          <w:szCs w:val="28"/>
          <w:highlight w:val="none"/>
          <w:u w:val="single"/>
          <w:lang w:val="en-US" w:eastAsia="zh-CN"/>
        </w:rPr>
        <w:t xml:space="preserve">   </w:t>
      </w:r>
      <w:r>
        <w:rPr>
          <w:rFonts w:hint="default" w:ascii="Times New Roman" w:hAnsi="Times New Roman" w:cs="Times New Roman"/>
          <w:color w:val="000000"/>
          <w:sz w:val="28"/>
          <w:szCs w:val="28"/>
          <w:highlight w:val="none"/>
        </w:rPr>
        <w:t xml:space="preserve">性别：</w:t>
      </w:r>
      <w:r>
        <w:rPr>
          <w:rFonts w:hint="default" w:ascii="Times New Roman" w:hAnsi="Times New Roman" w:cs="Times New Roman"/>
          <w:color w:val="000000"/>
          <w:sz w:val="28"/>
          <w:szCs w:val="28"/>
          <w:highlight w:val="none"/>
          <w:u w:val="single"/>
        </w:rPr>
        <w:t xml:space="preserve">   </w:t>
      </w:r>
      <w:r>
        <w:rPr>
          <w:rFonts w:hint="eastAsia" w:ascii="Times New Roman" w:hAnsi="Times New Roman" w:cs="Times New Roman"/>
          <w:color w:val="000000"/>
          <w:sz w:val="28"/>
          <w:szCs w:val="28"/>
          <w:highlight w:val="none"/>
          <w:u w:val="single"/>
          <w:lang w:val="en-US" w:eastAsia="zh-CN"/>
        </w:rPr>
        <w:t xml:space="preserve">    </w:t>
      </w:r>
      <w:r>
        <w:rPr>
          <w:rFonts w:hint="default" w:ascii="Times New Roman" w:hAnsi="Times New Roman" w:cs="Times New Roman"/>
          <w:color w:val="000000"/>
          <w:sz w:val="28"/>
          <w:szCs w:val="28"/>
          <w:highlight w:val="none"/>
          <w:u w:val="single"/>
        </w:rPr>
        <w:t xml:space="preserve">    </w:t>
      </w:r>
      <w:r>
        <w:rPr>
          <w:rFonts w:hint="eastAsia" w:ascii="Times New Roman" w:hAnsi="Times New Roman" w:cs="Times New Roman"/>
          <w:color w:val="000000"/>
          <w:sz w:val="28"/>
          <w:szCs w:val="28"/>
          <w:highlight w:val="none"/>
          <w:u w:val="single"/>
          <w:lang w:val="en-US" w:eastAsia="zh-CN"/>
        </w:rPr>
        <w:t xml:space="preserve">  </w:t>
      </w:r>
      <w:r>
        <w:rPr>
          <w:rFonts w:hint="default" w:ascii="Times New Roman" w:hAnsi="Times New Roman" w:cs="Times New Roman"/>
          <w:color w:val="000000"/>
          <w:sz w:val="28"/>
          <w:szCs w:val="28"/>
          <w:highlight w:val="none"/>
          <w:u w:val="single"/>
        </w:rPr>
        <w:t xml:space="preserve">  </w:t>
      </w:r>
      <w:r>
        <w:rPr>
          <w:rFonts w:hint="default" w:ascii="Times New Roman" w:hAnsi="Times New Roman" w:cs="Times New Roman"/>
          <w:color w:val="000000"/>
          <w:sz w:val="28"/>
          <w:szCs w:val="28"/>
          <w:highlight w:val="none"/>
        </w:rPr>
        <w:t xml:space="preserve">年龄：</w:t>
      </w:r>
      <w:r>
        <w:rPr>
          <w:rFonts w:hint="default" w:ascii="Times New Roman" w:hAnsi="Times New Roman" w:cs="Times New Roman"/>
          <w:color w:val="000000"/>
          <w:sz w:val="28"/>
          <w:szCs w:val="28"/>
          <w:highlight w:val="none"/>
          <w:u w:val="single"/>
        </w:rPr>
        <w:t xml:space="preserve">    </w:t>
      </w:r>
      <w:r>
        <w:rPr>
          <w:rFonts w:hint="eastAsia" w:ascii="Times New Roman" w:hAnsi="Times New Roman" w:cs="Times New Roman"/>
          <w:color w:val="000000"/>
          <w:sz w:val="28"/>
          <w:szCs w:val="28"/>
          <w:highlight w:val="none"/>
          <w:u w:val="single"/>
          <w:lang w:val="en-US" w:eastAsia="zh-CN"/>
        </w:rPr>
        <w:t xml:space="preserve">       </w:t>
      </w:r>
      <w:r>
        <w:rPr>
          <w:rFonts w:hint="default" w:ascii="Times New Roman" w:hAnsi="Times New Roman" w:cs="Times New Roman"/>
          <w:color w:val="000000"/>
          <w:sz w:val="28"/>
          <w:szCs w:val="28"/>
          <w:highlight w:val="none"/>
          <w:u w:val="single"/>
        </w:rPr>
        <w:t xml:space="preserve">    </w:t>
      </w:r>
      <w:r>
        <w:rPr>
          <w:rFonts w:hint="default" w:ascii="Times New Roman" w:hAnsi="Times New Roman" w:cs="Times New Roman"/>
          <w:color w:val="000000"/>
          <w:sz w:val="28"/>
          <w:szCs w:val="28"/>
          <w:highlight w:val="none"/>
        </w:rPr>
        <w:t xml:space="preserve">职务：</w:t>
      </w:r>
      <w:r>
        <w:rPr>
          <w:rFonts w:hint="default" w:ascii="Times New Roman" w:hAnsi="Times New Roman" w:cs="Times New Roman"/>
          <w:color w:val="000000"/>
          <w:sz w:val="28"/>
          <w:szCs w:val="28"/>
          <w:highlight w:val="none"/>
          <w:u w:val="single"/>
        </w:rPr>
        <w:t xml:space="preserve">    </w:t>
      </w:r>
      <w:r>
        <w:rPr>
          <w:rFonts w:hint="eastAsia" w:ascii="Times New Roman" w:hAnsi="Times New Roman" w:cs="Times New Roman"/>
          <w:color w:val="000000"/>
          <w:sz w:val="28"/>
          <w:szCs w:val="28"/>
          <w:highlight w:val="none"/>
          <w:u w:val="single"/>
          <w:lang w:val="en-US" w:eastAsia="zh-CN"/>
        </w:rPr>
        <w:t xml:space="preserve">           </w:t>
      </w:r>
      <w:r>
        <w:rPr>
          <w:rFonts w:hint="default" w:ascii="Times New Roman" w:hAnsi="Times New Roman" w:cs="Times New Roman"/>
          <w:color w:val="000000"/>
          <w:sz w:val="28"/>
          <w:szCs w:val="28"/>
          <w:highlight w:val="none"/>
          <w:u w:val="single"/>
        </w:rPr>
        <w:t xml:space="preserve"> </w:t>
      </w:r>
      <w:r>
        <w:rPr>
          <w:rFonts w:hint="eastAsia" w:ascii="Times New Roman" w:hAnsi="Times New Roman" w:cs="Times New Roman"/>
          <w:color w:val="000000"/>
          <w:sz w:val="28"/>
          <w:szCs w:val="28"/>
          <w:highlight w:val="none"/>
          <w:u w:val="single"/>
          <w:lang w:val="en-US" w:eastAsia="zh-CN"/>
        </w:rPr>
        <w:t xml:space="preserve">  </w:t>
      </w:r>
      <w:r>
        <w:rPr>
          <w:rFonts w:hint="default" w:ascii="Times New Roman" w:hAnsi="Times New Roman" w:cs="Times New Roman"/>
          <w:color w:val="000000"/>
          <w:sz w:val="28"/>
          <w:szCs w:val="28"/>
          <w:highlight w:val="none"/>
          <w:u w:val="single"/>
        </w:rPr>
        <w:t xml:space="preserve">   </w:t>
      </w:r>
      <w:r/>
    </w:p>
    <w:p>
      <w:pPr>
        <w:pStyle w:val="775"/>
        <w:jc w:val="both"/>
        <w:keepLines w:val="0"/>
        <w:keepNext w:val="0"/>
        <w:spacing w:before="0" w:beforeAutospacing="0" w:after="0" w:afterAutospacing="0" w:line="0" w:lineRule="atLeast"/>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highlight w:val="none"/>
        </w:rPr>
        <w:t xml:space="preserve">系</w:t>
      </w:r>
      <w:r>
        <w:rPr>
          <w:rFonts w:hint="default" w:ascii="Times New Roman" w:hAnsi="Times New Roman" w:cs="Times New Roman"/>
          <w:color w:val="000000"/>
          <w:sz w:val="28"/>
          <w:szCs w:val="28"/>
          <w:highlight w:val="none"/>
          <w:u w:val="single"/>
        </w:rPr>
        <w:t xml:space="preserve">                             </w:t>
      </w:r>
      <w:r>
        <w:rPr>
          <w:rFonts w:hint="default" w:ascii="Times New Roman" w:hAnsi="Times New Roman" w:cs="Times New Roman"/>
          <w:color w:val="000000"/>
          <w:sz w:val="28"/>
          <w:szCs w:val="28"/>
          <w:highlight w:val="none"/>
        </w:rPr>
        <w:t xml:space="preserve">（投标人名称）的法定代表人。</w:t>
      </w:r>
      <w:r/>
    </w:p>
    <w:p>
      <w:pPr>
        <w:pStyle w:val="775"/>
        <w:ind w:left="0" w:firstLine="1689"/>
        <w:jc w:val="both"/>
        <w:keepLines w:val="0"/>
        <w:keepNext w:val="0"/>
        <w:spacing w:before="0" w:beforeAutospacing="0" w:after="0" w:afterAutospacing="0" w:line="0" w:lineRule="atLeast"/>
        <w:widowControl w:val="off"/>
        <w:rPr>
          <w:rFonts w:hint="eastAsia" w:ascii="宋体" w:hAnsi="宋体" w:eastAsia="宋体" w:cs="宋体"/>
          <w:color w:val="000000"/>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r>
      <w:r/>
    </w:p>
    <w:p>
      <w:pPr>
        <w:pStyle w:val="775"/>
        <w:ind w:left="0" w:firstLine="1689"/>
        <w:jc w:val="both"/>
        <w:keepLines w:val="0"/>
        <w:keepNext w:val="0"/>
        <w:spacing w:before="0" w:beforeAutospacing="0" w:after="0" w:afterAutospacing="0" w:line="0" w:lineRule="atLeast"/>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特此证明。</w:t>
      </w:r>
      <w:r/>
    </w:p>
    <w:p>
      <w:pPr>
        <w:pStyle w:val="775"/>
        <w:ind w:left="0" w:firstLine="1689"/>
        <w:jc w:val="both"/>
        <w:keepLines w:val="0"/>
        <w:keepNext w:val="0"/>
        <w:spacing w:before="0" w:beforeAutospacing="0" w:after="0" w:afterAutospacing="0" w:line="0" w:lineRule="atLeast"/>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z w:val="28"/>
          <w:szCs w:val="28"/>
          <w:highlight w:val="none"/>
        </w:rPr>
        <w:t xml:space="preserve"> </w:t>
      </w:r>
      <w:r/>
    </w:p>
    <w:p>
      <w:pPr>
        <w:pStyle w:val="775"/>
        <w:ind w:left="0" w:firstLine="480"/>
        <w:jc w:val="right"/>
        <w:keepLines w:val="0"/>
        <w:keepNext w:val="0"/>
        <w:spacing w:before="0" w:beforeAutospacing="0" w:after="0" w:afterAutospacing="0" w:line="48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                                        投标人：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（盖电子签章）</w:t>
      </w:r>
      <w:r/>
    </w:p>
    <w:p>
      <w:pPr>
        <w:pStyle w:val="775"/>
        <w:ind w:left="0" w:firstLine="480"/>
        <w:jc w:val="right"/>
        <w:keepLines w:val="0"/>
        <w:keepNext w:val="0"/>
        <w:spacing w:before="0" w:beforeAutospacing="0" w:after="0" w:afterAutospacing="0" w:line="48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日期：   年  月  日</w:t>
      </w:r>
      <w:r/>
    </w:p>
    <w:p>
      <w:pPr>
        <w:pStyle w:val="775"/>
        <w:ind w:left="0" w:firstLine="1478"/>
        <w:jc w:val="right"/>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 </w:t>
      </w:r>
      <w:r/>
    </w:p>
    <w:p>
      <w:pPr>
        <w:pStyle w:val="775"/>
        <w:jc w:val="both"/>
        <w:keepLines w:val="0"/>
        <w:keepNext w:val="0"/>
        <w:spacing w:before="0" w:beforeAutospacing="0" w:after="0" w:afterAutospacing="0" w:line="0" w:lineRule="atLeast"/>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附：</w:t>
      </w:r>
      <w:r/>
    </w:p>
    <w:tbl>
      <w:tblPr>
        <w:tblStyle w:val="747"/>
        <w:tblW w:w="0" w:type="auto"/>
        <w:tblCellSpacing w:w="0" w:type="dxa"/>
        <w:tblInd w:w="5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34"/>
      </w:tblGrid>
      <w:tr>
        <w:trPr>
          <w:tblCellSpacing w:w="0" w:type="dxa"/>
          <w:trHeight w:val="2473"/>
        </w:trPr>
        <w:tc>
          <w:tcPr>
            <w:shd w:val="clear" w:color="auto" w:fill="auto"/>
            <w:tcBorders>
              <w:top w:val="single" w:color="000000" w:sz="4" w:space="0"/>
              <w:left w:val="single" w:color="000000" w:sz="4" w:space="0"/>
              <w:bottom w:val="single" w:color="000000" w:sz="4" w:space="0"/>
              <w:right w:val="single" w:color="000000" w:sz="4" w:space="0"/>
            </w:tcBorders>
            <w:tcW w:w="7934" w:type="dxa"/>
            <w:vAlign w:val="center"/>
            <w:textDirection w:val="lrTb"/>
            <w:noWrap w:val="false"/>
          </w:tcPr>
          <w:p>
            <w:pPr>
              <w:pStyle w:val="775"/>
              <w:ind w:left="0" w:firstLine="950"/>
              <w:jc w:val="center"/>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z w:val="28"/>
                <w:szCs w:val="28"/>
                <w:highlight w:val="none"/>
              </w:rPr>
              <w:t xml:space="preserve"> </w:t>
            </w:r>
            <w:r/>
          </w:p>
          <w:p>
            <w:pPr>
              <w:pStyle w:val="775"/>
              <w:ind w:left="0" w:firstLine="2382"/>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(法定代表人身份证扫描件附后)</w:t>
            </w:r>
            <w:r/>
          </w:p>
          <w:p>
            <w:pPr>
              <w:pStyle w:val="775"/>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z w:val="28"/>
                <w:szCs w:val="28"/>
                <w:highlight w:val="none"/>
              </w:rPr>
              <w:t xml:space="preserve"> </w:t>
            </w:r>
            <w:r/>
          </w:p>
        </w:tc>
      </w:tr>
    </w:tbl>
    <w:p>
      <w:pPr>
        <w:pStyle w:val="775"/>
        <w:ind w:left="0" w:firstLine="1478"/>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75"/>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pStyle w:val="756"/>
        <w:rPr>
          <w:rFonts w:ascii="宋体" w:hAnsi="宋体" w:cs="宋体"/>
          <w:color w:val="auto"/>
          <w:sz w:val="28"/>
          <w:szCs w:val="28"/>
          <w:highlight w:val="none"/>
        </w:rPr>
      </w:pPr>
      <w:r>
        <w:rPr>
          <w:rFonts w:ascii="宋体" w:hAnsi="宋体" w:cs="宋体"/>
          <w:color w:val="auto"/>
          <w:sz w:val="28"/>
          <w:szCs w:val="28"/>
          <w:highlight w:val="none"/>
        </w:rPr>
      </w:r>
      <w:r/>
    </w:p>
    <w:p>
      <w:pPr>
        <w:pStyle w:val="756"/>
        <w:rPr>
          <w:rFonts w:ascii="宋体" w:hAnsi="宋体" w:cs="宋体"/>
          <w:color w:val="auto"/>
          <w:sz w:val="28"/>
          <w:szCs w:val="28"/>
          <w:highlight w:val="none"/>
        </w:rPr>
      </w:pPr>
      <w:r>
        <w:rPr>
          <w:rFonts w:ascii="宋体" w:hAnsi="宋体" w:cs="宋体"/>
          <w:color w:val="auto"/>
          <w:sz w:val="28"/>
          <w:szCs w:val="28"/>
          <w:highlight w:val="none"/>
        </w:rPr>
      </w:r>
      <w:r/>
    </w:p>
    <w:p>
      <w:pPr>
        <w:pStyle w:val="756"/>
        <w:rPr>
          <w:rFonts w:ascii="宋体" w:hAnsi="宋体" w:cs="宋体"/>
          <w:color w:val="auto"/>
          <w:sz w:val="28"/>
          <w:szCs w:val="28"/>
          <w:highlight w:val="none"/>
        </w:rPr>
      </w:pPr>
      <w:r>
        <w:rPr>
          <w:rFonts w:ascii="宋体" w:hAnsi="宋体" w:cs="宋体"/>
          <w:color w:val="auto"/>
          <w:sz w:val="28"/>
          <w:szCs w:val="28"/>
          <w:highlight w:val="none"/>
        </w:rPr>
      </w:r>
      <w:r/>
    </w:p>
    <w:p>
      <w:pPr>
        <w:pStyle w:val="756"/>
        <w:rPr>
          <w:rFonts w:ascii="宋体" w:hAnsi="宋体" w:cs="宋体"/>
          <w:color w:val="auto"/>
          <w:sz w:val="28"/>
          <w:szCs w:val="28"/>
          <w:highlight w:val="none"/>
        </w:rPr>
      </w:pPr>
      <w:r>
        <w:rPr>
          <w:rFonts w:ascii="宋体" w:hAnsi="宋体" w:cs="宋体"/>
          <w:color w:val="auto"/>
          <w:sz w:val="28"/>
          <w:szCs w:val="28"/>
          <w:highlight w:val="none"/>
        </w:rPr>
      </w:r>
      <w:r/>
    </w:p>
    <w:p>
      <w:pPr>
        <w:pStyle w:val="756"/>
        <w:rPr>
          <w:rFonts w:ascii="宋体" w:hAnsi="宋体" w:cs="宋体"/>
          <w:color w:val="auto"/>
          <w:sz w:val="28"/>
          <w:szCs w:val="28"/>
          <w:highlight w:val="none"/>
        </w:rPr>
      </w:pPr>
      <w:r>
        <w:rPr>
          <w:rFonts w:ascii="宋体" w:hAnsi="宋体" w:cs="宋体"/>
          <w:color w:val="auto"/>
          <w:sz w:val="28"/>
          <w:szCs w:val="28"/>
          <w:highlight w:val="none"/>
        </w:rPr>
      </w:r>
      <w:r/>
    </w:p>
    <w:p>
      <w:pPr>
        <w:pStyle w:val="756"/>
        <w:rPr>
          <w:rFonts w:ascii="宋体" w:hAnsi="宋体" w:cs="宋体"/>
          <w:color w:val="auto"/>
          <w:sz w:val="28"/>
          <w:szCs w:val="28"/>
          <w:highlight w:val="none"/>
        </w:rPr>
      </w:pPr>
      <w:r>
        <w:rPr>
          <w:rFonts w:ascii="宋体" w:hAnsi="宋体" w:cs="宋体"/>
          <w:color w:val="auto"/>
          <w:sz w:val="28"/>
          <w:szCs w:val="28"/>
          <w:highlight w:val="none"/>
        </w:rPr>
      </w:r>
      <w:r/>
    </w:p>
    <w:p>
      <w:pPr>
        <w:pStyle w:val="756"/>
        <w:rPr>
          <w:rFonts w:ascii="宋体" w:hAnsi="宋体" w:cs="宋体"/>
          <w:color w:val="auto"/>
          <w:sz w:val="28"/>
          <w:szCs w:val="28"/>
          <w:highlight w:val="none"/>
        </w:rPr>
      </w:pPr>
      <w:r>
        <w:rPr>
          <w:rFonts w:ascii="宋体" w:hAnsi="宋体" w:cs="宋体"/>
          <w:color w:val="auto"/>
          <w:sz w:val="28"/>
          <w:szCs w:val="28"/>
          <w:highlight w:val="none"/>
        </w:rPr>
      </w:r>
      <w:r/>
    </w:p>
    <w:p>
      <w:pPr>
        <w:pStyle w:val="775"/>
        <w:ind w:left="0" w:right="0"/>
        <w:jc w:val="center"/>
        <w:keepLines w:val="0"/>
        <w:keepNext w:val="0"/>
        <w:spacing w:before="260" w:beforeAutospacing="0" w:after="260" w:afterAutospacing="0" w:line="415" w:lineRule="auto"/>
        <w:widowControl w:val="off"/>
        <w:rPr>
          <w:rFonts w:ascii="宋体" w:hAnsi="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highlight w:val="none"/>
          <w:lang w:val="en-US" w:eastAsia="zh-CN" w:bidi="ar-SA"/>
        </w:rPr>
        <w:t xml:space="preserve">法定代表人授权委托书（如授权委托人参加时提供）</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委托人：</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地址：</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法定代表人：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职务：</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统一社会信用代码：</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受托人：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性别：男（女）</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年龄：  岁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民族：   族</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职务：</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身份证号：</w:t>
      </w:r>
      <w:r/>
    </w:p>
    <w:p>
      <w:pPr>
        <w:ind w:firstLine="6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兹委托（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）全权代表我企业（公司）参与（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）的招、投标活动及签订合同。（</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w:t>
      </w:r>
      <w:r/>
    </w:p>
    <w:p>
      <w:pPr>
        <w:ind w:firstLine="6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委托期限自</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日起至</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日止。</w:t>
      </w:r>
      <w:r/>
    </w:p>
    <w:p>
      <w:pPr>
        <w:ind w:firstLine="63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特此授权委托。</w:t>
      </w:r>
      <w:r/>
    </w:p>
    <w:p>
      <w:pPr>
        <w:ind w:firstLine="6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ind w:firstLine="600"/>
        <w:spacing w:line="479" w:lineRule="atLeast"/>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委托人（电子签章）：</w:t>
      </w:r>
      <w:r/>
    </w:p>
    <w:p>
      <w:pPr>
        <w:ind w:firstLine="6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ind w:firstLine="600"/>
        <w:spacing w:line="479" w:lineRule="atLeast"/>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法定代表人（签字或盖章）： </w:t>
      </w:r>
      <w:r/>
    </w:p>
    <w:p>
      <w:pPr>
        <w:ind w:firstLine="600"/>
        <w:spacing w:line="479" w:lineRule="atLeast"/>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8"/>
          <w:szCs w:val="28"/>
          <w:highlight w:val="none"/>
        </w:rPr>
      </w:r>
      <w:r/>
    </w:p>
    <w:p>
      <w:pPr>
        <w:ind w:firstLine="600"/>
        <w:spacing w:line="479" w:lineRule="atLeast"/>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受托人（签字或盖章）：</w:t>
      </w:r>
      <w:r/>
    </w:p>
    <w:p>
      <w:pPr>
        <w:ind w:firstLine="6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pStyle w:val="756"/>
        <w:ind w:left="0" w:firstLine="602"/>
        <w:rPr>
          <w:rFonts w:ascii="宋体" w:hAnsi="宋体" w:cs="宋体"/>
          <w:color w:val="auto"/>
          <w:sz w:val="28"/>
          <w:szCs w:val="28"/>
          <w:highlight w:val="none"/>
        </w:rPr>
      </w:pPr>
      <w:r>
        <w:rPr>
          <w:rFonts w:hint="eastAsia" w:ascii="宋体" w:hAnsi="宋体" w:cs="宋体"/>
          <w:b/>
          <w:bCs/>
          <w:color w:val="auto"/>
          <w:sz w:val="28"/>
          <w:szCs w:val="28"/>
          <w:highlight w:val="none"/>
        </w:rPr>
        <w:t xml:space="preserve">受托人联系方式：      邮箱：</w:t>
      </w:r>
      <w:r/>
    </w:p>
    <w:p>
      <w:pPr>
        <w:ind w:firstLine="6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ind w:right="600" w:firstLine="6150"/>
        <w:spacing w:line="479" w:lineRule="atLeast"/>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年 月 日 </w:t>
      </w:r>
      <w:r/>
    </w:p>
    <w:p>
      <w:pPr>
        <w:spacing w:line="479" w:lineRule="atLeast"/>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(受托人身份证扫描件附后)</w:t>
      </w:r>
      <w:r/>
    </w:p>
    <w:p>
      <w:pPr>
        <w:ind w:firstLine="600"/>
        <w:jc w:val="center"/>
        <w:spacing w:before="100" w:after="100" w:line="479" w:lineRule="atLeast"/>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b/>
          <w:bCs/>
          <w:color w:val="auto"/>
          <w:sz w:val="28"/>
          <w:szCs w:val="28"/>
          <w:highlight w:val="none"/>
        </w:rPr>
      </w:r>
      <w:r/>
    </w:p>
    <w:p>
      <w:pPr>
        <w:ind w:firstLine="600"/>
        <w:jc w:val="center"/>
        <w:spacing w:before="100" w:after="100"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六、中小企业声明函格式</w:t>
      </w:r>
      <w:r/>
    </w:p>
    <w:p>
      <w:pPr>
        <w:ind w:firstLine="600"/>
        <w:jc w:val="center"/>
        <w:spacing w:before="100" w:after="100"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中小企业声明函</w:t>
      </w:r>
      <w:r/>
    </w:p>
    <w:p>
      <w:pPr>
        <w:spacing w:before="100" w:after="100" w:line="480" w:lineRule="exac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项目编号：</w:t>
      </w:r>
      <w:r/>
    </w:p>
    <w:p>
      <w:pPr>
        <w:spacing w:before="100" w:after="100" w:line="480" w:lineRule="exac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项目名称：</w:t>
      </w:r>
      <w:r/>
    </w:p>
    <w:p>
      <w:pPr>
        <w:ind w:firstLine="48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本公司郑重声明，根据《政府采购促进中小企业发展管理办法》（财库[2020]46号）的规定，本公司参加（</w:t>
      </w:r>
      <w:r>
        <w:rPr>
          <w:rFonts w:hint="eastAsia" w:ascii="宋体" w:hAnsi="宋体" w:cs="宋体"/>
          <w:color w:val="auto"/>
          <w:sz w:val="28"/>
          <w:szCs w:val="28"/>
          <w:highlight w:val="none"/>
          <w:u w:val="single"/>
          <w:lang w:val="en-US" w:eastAsia="zh-CN"/>
        </w:rPr>
        <w:t xml:space="preserve">单位名称</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项目名称</w:t>
      </w:r>
      <w:r>
        <w:rPr>
          <w:rFonts w:hint="eastAsia" w:ascii="宋体" w:hAnsi="宋体" w:cs="宋体"/>
          <w:color w:val="auto"/>
          <w:sz w:val="28"/>
          <w:szCs w:val="28"/>
          <w:highlight w:val="none"/>
        </w:rPr>
        <w:t xml:space="preserve">）采购活动，服务全部由符合政策要求的中小企业承接。相关企业 （含联合体中的中小企业、签订分包意向协议的中小企业 ）的具体情况如下：</w:t>
      </w:r>
      <w:r/>
    </w:p>
    <w:p>
      <w:pPr>
        <w:ind w:firstLine="480"/>
        <w:spacing w:line="48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通用硬件设备运维项目</w:t>
      </w:r>
      <w:r>
        <w:rPr>
          <w:rFonts w:hint="eastAsia" w:ascii="宋体" w:hAnsi="宋体" w:cs="宋体"/>
          <w:color w:val="auto"/>
          <w:sz w:val="28"/>
          <w:szCs w:val="28"/>
          <w:highlight w:val="none"/>
        </w:rPr>
        <w:t xml:space="preserve">），属于</w:t>
      </w: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rPr>
        <w:t xml:space="preserve">）</w:t>
      </w:r>
      <w:r>
        <w:rPr>
          <w:rFonts w:hint="eastAsia" w:ascii="宋体" w:hAnsi="宋体" w:cs="宋体"/>
          <w:color w:val="auto"/>
          <w:sz w:val="28"/>
          <w:szCs w:val="28"/>
          <w:highlight w:val="none"/>
        </w:rPr>
        <w:t xml:space="preserve">行业；承建（承接）企业为</w:t>
      </w:r>
      <w:r>
        <w:rPr>
          <w:rFonts w:hint="eastAsia" w:ascii="宋体" w:hAnsi="宋体" w:cs="宋体"/>
          <w:color w:val="auto"/>
          <w:sz w:val="28"/>
          <w:szCs w:val="28"/>
          <w:highlight w:val="none"/>
          <w:u w:val="single"/>
        </w:rPr>
        <w:t xml:space="preserve">   （企业名称）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（□中型企业、□小型企业、□微型企业，请</w:t>
      </w:r>
      <w:r>
        <w:rPr>
          <w:rFonts w:hint="eastAsia" w:ascii="宋体" w:hAnsi="宋体" w:cs="宋体"/>
          <w:color w:val="auto"/>
          <w:sz w:val="28"/>
          <w:szCs w:val="28"/>
          <w:highlight w:val="none"/>
          <w:lang w:val="en-US" w:eastAsia="zh-CN"/>
        </w:rPr>
        <w:t xml:space="preserve">填写或</w:t>
      </w:r>
      <w:r>
        <w:rPr>
          <w:rFonts w:hint="eastAsia" w:ascii="宋体" w:hAnsi="宋体" w:cs="宋体"/>
          <w:color w:val="auto"/>
          <w:sz w:val="28"/>
          <w:szCs w:val="28"/>
          <w:highlight w:val="none"/>
        </w:rPr>
        <w:t xml:space="preserve">勾选！）</w:t>
      </w:r>
      <w:r>
        <w:rPr>
          <w:rFonts w:hint="eastAsia" w:ascii="宋体" w:hAnsi="宋体" w:cs="宋体"/>
          <w:color w:val="auto"/>
          <w:sz w:val="28"/>
          <w:szCs w:val="28"/>
          <w:highlight w:val="none"/>
          <w:lang w:eastAsia="zh-CN"/>
        </w:rPr>
        <w:t xml:space="preserve">。</w:t>
      </w:r>
      <w:r/>
    </w:p>
    <w:p>
      <w:pPr>
        <w:pStyle w:val="775"/>
        <w:ind w:left="0" w:right="0" w:firstLine="482"/>
        <w:jc w:val="both"/>
        <w:keepLines w:val="0"/>
        <w:keepNext w:val="0"/>
        <w:spacing w:before="0" w:beforeAutospacing="0" w:after="0" w:afterAutospacing="0" w:line="312" w:lineRule="auto"/>
        <w:widowControl w:val="off"/>
        <w:rPr>
          <w:rFonts w:hint="eastAsia" w:ascii="宋体" w:hAnsi="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w:t>
      </w:r>
      <w:r/>
    </w:p>
    <w:p>
      <w:pPr>
        <w:pStyle w:val="754"/>
        <w:ind w:left="0"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pStyle w:val="754"/>
        <w:ind w:left="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注：本采购项目属于“其他未列明行业”行业。</w:t>
      </w:r>
      <w:r/>
    </w:p>
    <w:p>
      <w:pPr>
        <w:pStyle w:val="754"/>
        <w:ind w:left="0"/>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754"/>
        <w:spacing w:line="48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企业名称（电子签章）：</w:t>
      </w:r>
      <w:r/>
    </w:p>
    <w:p>
      <w:pPr>
        <w:pStyle w:val="754"/>
        <w:spacing w:line="48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日期：  年  月  日</w:t>
      </w:r>
      <w:r/>
    </w:p>
    <w:p>
      <w:pPr>
        <w:spacing w:before="100" w:after="100" w:line="480" w:lineRule="exac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color w:val="auto"/>
          <w:sz w:val="28"/>
          <w:szCs w:val="28"/>
          <w:highlight w:val="none"/>
        </w:rPr>
      </w:r>
      <w:r/>
    </w:p>
    <w:p>
      <w:pPr>
        <w:pStyle w:val="754"/>
        <w:ind w:left="0"/>
        <w:jc w:val="left"/>
        <w:spacing w:after="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754"/>
        <w:ind w:left="0"/>
        <w:jc w:val="left"/>
        <w:spacing w:after="0"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说明：</w:t>
      </w:r>
      <w:r/>
    </w:p>
    <w:p>
      <w:pPr>
        <w:jc w:val="left"/>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jc w:val="left"/>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2、从业人员、营业收入、资产总额填报供应商上一年度数据，无上一年度数据的新成立企业可不填报。</w:t>
      </w:r>
      <w:r/>
    </w:p>
    <w:p>
      <w:pPr>
        <w:jc w:val="left"/>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3、中标人为小型、微型企业的，采购人或者其委托的采购代理机构有权随中标、成交结果同时公告其《中小企业声明函》，接受社会监督。</w:t>
      </w:r>
      <w:r/>
    </w:p>
    <w:p>
      <w:pPr>
        <w:jc w:val="left"/>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4、执行江苏省财政厅关于进一步加大政府采购支持中小企业力度的通知（苏财购〔2022〕45号）的规定。</w:t>
      </w:r>
      <w:r/>
    </w:p>
    <w:p>
      <w:pPr>
        <w:jc w:val="left"/>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5、投标人提供的《中小企业声明函》与事实不符的，依照《政府采购法》第七十七条第一款的规定追究法律责任。</w:t>
      </w:r>
      <w:r/>
    </w:p>
    <w:p>
      <w:pPr>
        <w:jc w:val="left"/>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6、《中小企业声明函》查询渠道用微信搜索“中小企业规模类型自测小程序”。</w:t>
      </w:r>
      <w:r/>
    </w:p>
    <w:p>
      <w:pPr>
        <w:pStyle w:val="756"/>
        <w:ind w:left="0" w:firstLine="0"/>
        <w:rPr>
          <w:rFonts w:ascii="宋体" w:hAnsi="宋体" w:cs="宋体"/>
          <w:color w:val="auto"/>
          <w:sz w:val="28"/>
          <w:szCs w:val="28"/>
          <w:highlight w:val="none"/>
        </w:rPr>
      </w:pPr>
      <w:r>
        <w:rPr>
          <w:rFonts w:ascii="宋体" w:hAnsi="宋体" w:cs="宋体"/>
          <w:color w:val="auto"/>
          <w:sz w:val="28"/>
          <w:szCs w:val="28"/>
          <w:highlight w:val="none"/>
        </w:rPr>
      </w:r>
      <w:r/>
    </w:p>
    <w:p>
      <w:pPr>
        <w:ind w:firstLine="600"/>
        <w:jc w:val="cente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2386330" cy="3783965"/>
                <wp:effectExtent l="0" t="0" r="6350" b="1079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5"/>
                        <a:stretch/>
                      </pic:blipFill>
                      <pic:spPr bwMode="auto">
                        <a:xfrm>
                          <a:off x="0" y="0"/>
                          <a:ext cx="2386330" cy="3783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7.9pt;height:297.9pt;mso-wrap-distance-left:0.0pt;mso-wrap-distance-top:0.0pt;mso-wrap-distance-right:0.0pt;mso-wrap-distance-bottom:0.0pt;" stroked="f">
                <v:path textboxrect="0,0,0,0"/>
                <v:imagedata r:id="rId15" o:title=""/>
              </v:shape>
            </w:pict>
          </mc:Fallback>
        </mc:AlternateContent>
      </w:r>
      <w:r>
        <w:rPr>
          <w:rFonts w:hint="eastAsia" w:ascii="宋体" w:hAnsi="宋体" w:cs="宋体"/>
          <w:color w:val="auto"/>
          <w:sz w:val="28"/>
          <w:szCs w:val="28"/>
          <w:highlight w:val="none"/>
        </w:rPr>
        <w:br w:type="page" w:clear="all"/>
      </w:r>
      <w:r/>
    </w:p>
    <w:p>
      <w:pPr>
        <w:ind w:firstLine="60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rPr>
        <w:t xml:space="preserve">七、残疾人福利性单位声明函格式</w:t>
      </w:r>
      <w:r/>
    </w:p>
    <w:p>
      <w:pPr>
        <w:jc w:val="cente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（如投标人不属于残疾人福利性单位不需要提供此声明函）</w:t>
      </w:r>
      <w:r/>
    </w:p>
    <w:p>
      <w:pPr>
        <w:spacing w:line="360" w:lineRule="auto"/>
        <w:rPr>
          <w:rFonts w:ascii="宋体" w:hAnsi="宋体" w:cs="宋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8"/>
          <w:szCs w:val="28"/>
          <w:highlight w:val="none"/>
        </w:rPr>
      </w:r>
      <w:r/>
    </w:p>
    <w:p>
      <w:pPr>
        <w:spacing w:line="360" w:lineRule="auto"/>
        <w:rPr>
          <w:rFonts w:ascii="宋体" w:hAnsi="宋体" w:cs="宋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项目编号：</w:t>
      </w:r>
      <w:r/>
    </w:p>
    <w:p>
      <w:pPr>
        <w:spacing w:line="360" w:lineRule="auto"/>
        <w:rPr>
          <w:rFonts w:ascii="宋体" w:hAnsi="宋体" w:cs="宋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项目名称：</w:t>
      </w:r>
      <w:r/>
    </w:p>
    <w:p>
      <w:pPr>
        <w:ind w:firstLine="624"/>
        <w:spacing w:line="360" w:lineRule="auto"/>
        <w:rPr>
          <w:rFonts w:ascii="宋体" w:hAnsi="宋体" w:cs="宋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8"/>
          <w:szCs w:val="28"/>
          <w:highlight w:val="none"/>
        </w:rPr>
      </w:r>
      <w:r/>
    </w:p>
    <w:p>
      <w:pPr>
        <w:ind w:firstLine="624"/>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 141</w:t>
      </w:r>
      <w:r>
        <w:rPr>
          <w:rFonts w:hint="eastAsia" w:ascii="宋体" w:hAnsi="宋体" w:cs="宋体"/>
          <w:color w:val="auto"/>
          <w:spacing w:val="6"/>
          <w:sz w:val="28"/>
          <w:szCs w:val="28"/>
          <w:highlight w:val="none"/>
        </w:rPr>
        <w:t xml:space="preserve">号）的规定，本单位为符合条件的残疾人福利性单位，且本单位参加</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pacing w:val="6"/>
          <w:sz w:val="28"/>
          <w:szCs w:val="28"/>
          <w:highlight w:val="none"/>
        </w:rPr>
        <w:t xml:space="preserve">单位的</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本单位对上述声明的真实性负责。如有虚假，将依法承担相应责任。</w:t>
      </w:r>
      <w:r/>
    </w:p>
    <w:p>
      <w:pPr>
        <w:ind w:firstLine="624"/>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 </w:t>
      </w:r>
      <w:r/>
    </w:p>
    <w:p>
      <w:pPr>
        <w:ind w:firstLine="624"/>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 </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45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日期：年 月 日</w:t>
      </w:r>
      <w:r/>
    </w:p>
    <w:p>
      <w:pPr>
        <w:ind w:firstLine="45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ind w:firstLine="6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ind w:firstLine="600"/>
        <w:jc w:val="cente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br w:type="page" w:clear="all"/>
      </w:r>
      <w:r/>
    </w:p>
    <w:p>
      <w:pPr>
        <w:jc w:val="center"/>
        <w:spacing w:line="360" w:lineRule="auto"/>
        <w:rPr>
          <w:rFonts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八、投标人参加政府采购活动前3年内在经营活动中没有重大违法记录的书面声明格式</w:t>
      </w:r>
      <w:r/>
    </w:p>
    <w:p>
      <w:pPr>
        <w:ind w:firstLine="600"/>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通用硬件设备运维项目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我单位对上述声明的真实性负责。如有虚假，将依法承担相应责任。</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45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日期：年 月 日</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ind w:firstLine="600"/>
        <w:jc w:val="cente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color w:val="auto"/>
          <w:sz w:val="28"/>
          <w:szCs w:val="28"/>
          <w:highlight w:val="none"/>
        </w:rPr>
      </w:r>
      <w:r/>
    </w:p>
    <w:p>
      <w:pPr>
        <w:jc w:val="cente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九、具备履行合同所必需的设备和专业技术能力的书面声明（附证明材料扫描件）格式（投标人可自行拟定）</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郑重声明：投标人具备履行合同（项目名称：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所必需的设备和专业技术能力， 具体为：</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设备：</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（证明材料扫描件附后）</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（证明材料扫描件附后）</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（证明材料扫描件附后）</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专业技术能力：</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（证明材料扫描件附后）</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（证明材料扫描件附后）</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（证明材料扫描件附后）</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特此声明。</w:t>
      </w:r>
      <w:r/>
    </w:p>
    <w:p>
      <w:pPr>
        <w:spacing w:line="360" w:lineRule="auto"/>
        <w:rPr>
          <w:rFonts w:ascii="宋体" w:hAnsi="宋体" w:cs="宋体"/>
          <w:color w:val="auto"/>
          <w:spacing w:val="6"/>
          <w:sz w:val="24"/>
          <w:szCs w:val="24"/>
          <w:highlight w:val="none"/>
        </w:rPr>
      </w:pPr>
      <w:r>
        <w:rPr>
          <w:rFonts w:hint="eastAsia" w:ascii="宋体" w:hAnsi="宋体" w:cs="宋体"/>
          <w:color w:val="auto"/>
          <w:sz w:val="24"/>
          <w:szCs w:val="24"/>
          <w:highlight w:val="none"/>
        </w:rPr>
        <w:t xml:space="preserve">供应商对上述声明的真实性负责。如有虚假，将依法承担相应责任。</w:t>
      </w:r>
      <w:r/>
    </w:p>
    <w:p>
      <w:pPr>
        <w:pStyle w:val="753"/>
        <w:rPr>
          <w:rFonts w:ascii="宋体" w:hAnsi="宋体" w:cs="宋体"/>
          <w:color w:val="auto"/>
          <w:sz w:val="24"/>
          <w:szCs w:val="24"/>
          <w:highlight w:val="none"/>
        </w:rPr>
      </w:pPr>
      <w:r>
        <w:rPr>
          <w:rFonts w:ascii="宋体" w:hAnsi="宋体" w:cs="宋体"/>
          <w:color w:val="auto"/>
          <w:sz w:val="24"/>
          <w:szCs w:val="24"/>
          <w:highlight w:val="none"/>
        </w:rPr>
      </w:r>
      <w:r/>
    </w:p>
    <w:p>
      <w:pPr>
        <w:ind w:right="29"/>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投标人：</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（电子签章）</w:t>
      </w:r>
      <w:r/>
    </w:p>
    <w:p>
      <w:pPr>
        <w:ind w:right="29"/>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日期：  年  月  日</w:t>
      </w:r>
      <w:r/>
    </w:p>
    <w:p>
      <w:pPr>
        <w:jc w:val="center"/>
        <w:pageBreakBefore/>
        <w:spacing w:line="360" w:lineRule="auto"/>
        <w:rPr>
          <w:rFonts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十、预付款保函支付条款模板</w:t>
      </w:r>
      <w:r/>
    </w:p>
    <w:p>
      <w:pPr>
        <w:ind w:firstLine="605"/>
        <w:spacing w:line="479" w:lineRule="atLeast"/>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8"/>
          <w:highlight w:val="none"/>
        </w:rPr>
      </w:r>
      <w:r/>
    </w:p>
    <w:p>
      <w:pPr>
        <w:ind w:firstLine="605"/>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符合条件一：提交预付款保函的</w:t>
      </w:r>
      <w:r/>
    </w:p>
    <w:p>
      <w:pPr>
        <w:ind w:firstLine="602"/>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（1）合同签订且乙方向甲方出具预付款保函后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  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140" w:firstLine="602"/>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乙方需提交的支付文件：乙方出具的全额正式发票。</w:t>
      </w:r>
      <w:r/>
    </w:p>
    <w:p>
      <w:pPr>
        <w:ind w:left="140" w:firstLine="602"/>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605"/>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w:t>
      </w:r>
      <w:r/>
    </w:p>
    <w:p>
      <w:pPr>
        <w:ind w:firstLine="605"/>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符合条件二：不提交预付款保函的</w:t>
      </w:r>
      <w:r/>
    </w:p>
    <w:p>
      <w:pPr>
        <w:ind w:firstLine="602"/>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（1）合同签订后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140" w:firstLine="602"/>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乙方需提交的支付文件：乙方出具的全额正式发票。</w:t>
      </w:r>
      <w:r/>
    </w:p>
    <w:p>
      <w:pPr>
        <w:ind w:left="140" w:firstLine="602"/>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605"/>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w:t>
      </w:r>
      <w:r/>
    </w:p>
    <w:p>
      <w:pPr>
        <w:ind w:left="140" w:firstLine="605"/>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注:</w:t>
      </w:r>
      <w:r/>
    </w:p>
    <w:p>
      <w:pPr>
        <w:ind w:left="140" w:firstLine="602"/>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1、付款条件一中，出具预付款保函后支付的合同款应当与保函金额一致。</w:t>
      </w:r>
      <w:r/>
    </w:p>
    <w:p>
      <w:pPr>
        <w:ind w:left="140" w:firstLine="602"/>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2、付款条件二中，预付款比例设定应符合《关于做好政府采购支持企业发展有关事项的通知》(苏财购〔2020〕52号)要求。</w:t>
      </w:r>
      <w:r/>
    </w:p>
    <w:p>
      <w:pPr>
        <w:rPr>
          <w:highlight w:val="none"/>
        </w:rPr>
      </w:pPr>
      <w:r>
        <w:rPr>
          <w:highlight w:val="none"/>
        </w:rPr>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PMingLiU">
    <w:panose1 w:val="02020500000000000000"/>
  </w:font>
  <w:font w:name="Tahom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Symbol">
    <w:panose1 w:val="05050102010706020507"/>
  </w:font>
  <w:font w:name="新宋体">
    <w:panose1 w:val="02010609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right"/>
      <w:pBdr>
        <w:bottom w:val="single" w:color="auto" w:sz="4" w:space="0"/>
      </w:pBdr>
    </w:pPr>
    <w:r>
      <w:rPr>
        <w:rFonts w:hint="eastAsia"/>
        <w:lang w:eastAsia="zh-CN"/>
      </w:rPr>
      <w:t xml:space="preserve">通用硬件设备运维项目</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lang w:eastAsia="zh-CN"/>
      </w:rPr>
      <w:t xml:space="preserve">通用硬件设备运维项目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08"/>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link w:val="10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7">
    <w:name w:val="Heading 1"/>
    <w:basedOn w:val="736"/>
    <w:next w:val="736"/>
    <w:link w:val="997"/>
    <w:uiPriority w:val="0"/>
    <w:qFormat/>
    <w:pPr>
      <w:jc w:val="center"/>
      <w:keepLines/>
      <w:keepNext/>
      <w:spacing w:line="578" w:lineRule="auto"/>
      <w:outlineLvl w:val="0"/>
    </w:pPr>
    <w:rPr>
      <w:rFonts w:eastAsia="新宋体"/>
      <w:b/>
      <w:bCs/>
      <w:sz w:val="30"/>
      <w:szCs w:val="44"/>
    </w:rPr>
  </w:style>
  <w:style w:type="paragraph" w:styleId="738">
    <w:name w:val="Heading 2"/>
    <w:basedOn w:val="736"/>
    <w:next w:val="736"/>
    <w:link w:val="99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39">
    <w:name w:val="Heading 3"/>
    <w:basedOn w:val="736"/>
    <w:next w:val="736"/>
    <w:link w:val="996"/>
    <w:uiPriority w:val="9"/>
    <w:unhideWhenUsed/>
    <w:qFormat/>
    <w:pPr>
      <w:keepLines/>
      <w:keepNext/>
      <w:spacing w:before="260" w:after="260" w:line="416" w:lineRule="auto"/>
      <w:outlineLvl w:val="2"/>
    </w:pPr>
    <w:rPr>
      <w:b/>
      <w:bCs/>
      <w:sz w:val="32"/>
      <w:szCs w:val="32"/>
    </w:rPr>
  </w:style>
  <w:style w:type="paragraph" w:styleId="740">
    <w:name w:val="Heading 4"/>
    <w:basedOn w:val="736"/>
    <w:next w:val="736"/>
    <w:link w:val="859"/>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860"/>
    <w:uiPriority w:val="9"/>
    <w:unhideWhenUsed/>
    <w:qFormat/>
    <w:pPr>
      <w:keepLines/>
      <w:keepNext/>
      <w:spacing w:before="320" w:after="200"/>
      <w:outlineLvl w:val="4"/>
    </w:pPr>
    <w:rPr>
      <w:rFonts w:ascii="Arial" w:hAnsi="Arial" w:eastAsia="Arial" w:cs="Arial"/>
      <w:b/>
      <w:bCs/>
      <w:sz w:val="24"/>
    </w:rPr>
  </w:style>
  <w:style w:type="paragraph" w:styleId="742">
    <w:name w:val="Heading 6"/>
    <w:basedOn w:val="736"/>
    <w:next w:val="736"/>
    <w:link w:val="861"/>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862"/>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863"/>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864"/>
    <w:uiPriority w:val="9"/>
    <w:unhideWhenUsed/>
    <w:qFormat/>
    <w:pPr>
      <w:keepLines/>
      <w:keepNext/>
      <w:spacing w:before="320" w:after="200"/>
      <w:outlineLvl w:val="8"/>
    </w:pPr>
    <w:rPr>
      <w:rFonts w:ascii="Arial" w:hAnsi="Arial" w:eastAsia="Arial" w:cs="Arial"/>
      <w:i/>
      <w:iCs/>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toc 7"/>
    <w:basedOn w:val="736"/>
    <w:next w:val="736"/>
    <w:uiPriority w:val="39"/>
    <w:unhideWhenUsed/>
    <w:qFormat/>
    <w:pPr>
      <w:ind w:left="1701"/>
      <w:spacing w:after="57"/>
    </w:pPr>
  </w:style>
  <w:style w:type="paragraph" w:styleId="749">
    <w:name w:val="Normal Indent"/>
    <w:basedOn w:val="736"/>
    <w:uiPriority w:val="0"/>
    <w:qFormat/>
    <w:pPr>
      <w:ind w:firstLine="420"/>
    </w:pPr>
  </w:style>
  <w:style w:type="paragraph" w:styleId="750">
    <w:name w:val="Caption"/>
    <w:basedOn w:val="736"/>
    <w:next w:val="73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1">
    <w:name w:val="index 5"/>
    <w:basedOn w:val="736"/>
    <w:next w:val="736"/>
    <w:uiPriority w:val="0"/>
    <w:qFormat/>
    <w:pPr>
      <w:ind w:left="798"/>
      <w:jc w:val="left"/>
    </w:pPr>
    <w:rPr>
      <w:rFonts w:ascii="Calibri" w:hAnsi="Calibri"/>
    </w:rPr>
  </w:style>
  <w:style w:type="paragraph" w:styleId="752">
    <w:name w:val="annotation text"/>
    <w:basedOn w:val="736"/>
    <w:link w:val="993"/>
    <w:uiPriority w:val="99"/>
    <w:semiHidden/>
    <w:unhideWhenUsed/>
    <w:qFormat/>
    <w:pPr>
      <w:jc w:val="left"/>
    </w:pPr>
  </w:style>
  <w:style w:type="paragraph" w:styleId="753">
    <w:name w:val="Body Text"/>
    <w:basedOn w:val="736"/>
    <w:next w:val="736"/>
    <w:link w:val="999"/>
    <w:uiPriority w:val="99"/>
    <w:qFormat/>
    <w:pPr>
      <w:spacing w:after="120"/>
    </w:pPr>
    <w:rPr>
      <w:rFonts w:ascii="Calibri" w:hAnsi="Calibri"/>
    </w:rPr>
  </w:style>
  <w:style w:type="paragraph" w:styleId="754">
    <w:name w:val="Body Text Indent"/>
    <w:basedOn w:val="736"/>
    <w:next w:val="755"/>
    <w:uiPriority w:val="0"/>
    <w:qFormat/>
    <w:pPr>
      <w:ind w:left="420"/>
      <w:spacing w:after="120"/>
    </w:pPr>
    <w:rPr>
      <w:rFonts w:ascii="Calibri" w:hAnsi="Calibri"/>
    </w:rPr>
  </w:style>
  <w:style w:type="paragraph" w:styleId="755">
    <w:name w:val="envelope return"/>
    <w:basedOn w:val="736"/>
    <w:uiPriority w:val="99"/>
    <w:unhideWhenUsed/>
    <w:qFormat/>
    <w:rPr>
      <w:rFonts w:ascii="Arial" w:hAnsi="Arial"/>
    </w:rPr>
  </w:style>
  <w:style w:type="paragraph" w:styleId="756">
    <w:name w:val="Block Text"/>
    <w:basedOn w:val="736"/>
    <w:uiPriority w:val="99"/>
    <w:unhideWhenUsed/>
    <w:qFormat/>
    <w:pPr>
      <w:ind w:left="1440" w:right="1440"/>
      <w:spacing w:after="120"/>
    </w:pPr>
  </w:style>
  <w:style w:type="paragraph" w:styleId="757">
    <w:name w:val="toc 5"/>
    <w:basedOn w:val="736"/>
    <w:next w:val="736"/>
    <w:uiPriority w:val="39"/>
    <w:unhideWhenUsed/>
    <w:qFormat/>
    <w:pPr>
      <w:ind w:left="1134"/>
      <w:spacing w:after="57"/>
    </w:pPr>
  </w:style>
  <w:style w:type="paragraph" w:styleId="758">
    <w:name w:val="toc 3"/>
    <w:basedOn w:val="736"/>
    <w:next w:val="736"/>
    <w:uiPriority w:val="39"/>
    <w:unhideWhenUsed/>
    <w:qFormat/>
    <w:pPr>
      <w:ind w:left="567"/>
      <w:spacing w:after="57"/>
    </w:pPr>
  </w:style>
  <w:style w:type="paragraph" w:styleId="759">
    <w:name w:val="Plain Text"/>
    <w:basedOn w:val="736"/>
    <w:uiPriority w:val="0"/>
    <w:qFormat/>
    <w:rPr>
      <w:rFonts w:ascii="宋体" w:hAnsi="Courier New"/>
      <w:sz w:val="20"/>
      <w:szCs w:val="20"/>
    </w:rPr>
  </w:style>
  <w:style w:type="paragraph" w:styleId="760">
    <w:name w:val="toc 8"/>
    <w:basedOn w:val="736"/>
    <w:next w:val="736"/>
    <w:uiPriority w:val="39"/>
    <w:unhideWhenUsed/>
    <w:qFormat/>
    <w:pPr>
      <w:ind w:left="1984"/>
      <w:spacing w:after="57"/>
    </w:pPr>
  </w:style>
  <w:style w:type="paragraph" w:styleId="761">
    <w:name w:val="Date"/>
    <w:basedOn w:val="736"/>
    <w:next w:val="736"/>
    <w:uiPriority w:val="0"/>
    <w:qFormat/>
    <w:rPr>
      <w:rFonts w:eastAsia="仿宋_GB2312"/>
      <w:sz w:val="28"/>
      <w:szCs w:val="20"/>
    </w:rPr>
  </w:style>
  <w:style w:type="paragraph" w:styleId="762">
    <w:name w:val="endnote text"/>
    <w:basedOn w:val="736"/>
    <w:link w:val="982"/>
    <w:uiPriority w:val="99"/>
    <w:semiHidden/>
    <w:unhideWhenUsed/>
    <w:qFormat/>
    <w:rPr>
      <w:sz w:val="20"/>
    </w:rPr>
  </w:style>
  <w:style w:type="paragraph" w:styleId="763">
    <w:name w:val="Balloon Text"/>
    <w:basedOn w:val="736"/>
    <w:link w:val="986"/>
    <w:uiPriority w:val="0"/>
    <w:qFormat/>
    <w:rPr>
      <w:sz w:val="18"/>
      <w:szCs w:val="18"/>
    </w:rPr>
  </w:style>
  <w:style w:type="paragraph" w:styleId="764">
    <w:name w:val="Footer"/>
    <w:basedOn w:val="736"/>
    <w:link w:val="988"/>
    <w:uiPriority w:val="99"/>
    <w:qFormat/>
    <w:pPr>
      <w:jc w:val="left"/>
      <w:tabs>
        <w:tab w:val="center" w:pos="4153" w:leader="none"/>
        <w:tab w:val="right" w:pos="8306" w:leader="none"/>
      </w:tabs>
    </w:pPr>
    <w:rPr>
      <w:sz w:val="18"/>
      <w:szCs w:val="18"/>
    </w:rPr>
  </w:style>
  <w:style w:type="paragraph" w:styleId="765">
    <w:name w:val="Header"/>
    <w:basedOn w:val="736"/>
    <w:link w:val="998"/>
    <w:uiPriority w:val="99"/>
    <w:qFormat/>
    <w:pPr>
      <w:jc w:val="center"/>
      <w:tabs>
        <w:tab w:val="center" w:pos="4153" w:leader="none"/>
        <w:tab w:val="right" w:pos="8306" w:leader="none"/>
      </w:tabs>
      <w:pBdr>
        <w:bottom w:val="single" w:color="auto" w:sz="6" w:space="1"/>
      </w:pBdr>
    </w:pPr>
    <w:rPr>
      <w:sz w:val="18"/>
      <w:szCs w:val="18"/>
    </w:rPr>
  </w:style>
  <w:style w:type="paragraph" w:styleId="766">
    <w:name w:val="toc 1"/>
    <w:basedOn w:val="736"/>
    <w:next w:val="736"/>
    <w:uiPriority w:val="39"/>
    <w:qFormat/>
  </w:style>
  <w:style w:type="paragraph" w:styleId="767">
    <w:name w:val="toc 4"/>
    <w:basedOn w:val="736"/>
    <w:next w:val="736"/>
    <w:uiPriority w:val="39"/>
    <w:unhideWhenUsed/>
    <w:qFormat/>
    <w:pPr>
      <w:ind w:left="850"/>
      <w:spacing w:after="57"/>
    </w:pPr>
  </w:style>
  <w:style w:type="paragraph" w:styleId="768">
    <w:name w:val="Subtitle"/>
    <w:basedOn w:val="736"/>
    <w:next w:val="736"/>
    <w:link w:val="867"/>
    <w:uiPriority w:val="11"/>
    <w:qFormat/>
    <w:pPr>
      <w:spacing w:before="200" w:after="200"/>
    </w:pPr>
    <w:rPr>
      <w:sz w:val="24"/>
    </w:rPr>
  </w:style>
  <w:style w:type="paragraph" w:styleId="769">
    <w:name w:val="footnote text"/>
    <w:basedOn w:val="736"/>
    <w:next w:val="751"/>
    <w:uiPriority w:val="0"/>
    <w:qFormat/>
    <w:pPr>
      <w:jc w:val="left"/>
    </w:pPr>
    <w:rPr>
      <w:rFonts w:ascii="宋体" w:eastAsia="Times New Roman"/>
      <w:sz w:val="18"/>
      <w:szCs w:val="18"/>
    </w:rPr>
  </w:style>
  <w:style w:type="paragraph" w:styleId="770">
    <w:name w:val="toc 6"/>
    <w:basedOn w:val="736"/>
    <w:next w:val="736"/>
    <w:uiPriority w:val="39"/>
    <w:unhideWhenUsed/>
    <w:qFormat/>
    <w:pPr>
      <w:ind w:left="1417"/>
      <w:spacing w:after="57"/>
    </w:pPr>
  </w:style>
  <w:style w:type="paragraph" w:styleId="771">
    <w:name w:val="table of figures"/>
    <w:basedOn w:val="736"/>
    <w:next w:val="736"/>
    <w:uiPriority w:val="99"/>
    <w:unhideWhenUsed/>
    <w:qFormat/>
  </w:style>
  <w:style w:type="paragraph" w:styleId="772">
    <w:name w:val="toc 2"/>
    <w:basedOn w:val="736"/>
    <w:next w:val="736"/>
    <w:uiPriority w:val="39"/>
    <w:unhideWhenUsed/>
    <w:qFormat/>
    <w:pPr>
      <w:ind w:left="283"/>
      <w:spacing w:after="57"/>
    </w:pPr>
  </w:style>
  <w:style w:type="paragraph" w:styleId="773">
    <w:name w:val="toc 9"/>
    <w:basedOn w:val="736"/>
    <w:next w:val="736"/>
    <w:uiPriority w:val="39"/>
    <w:unhideWhenUsed/>
    <w:qFormat/>
    <w:pPr>
      <w:ind w:left="2268"/>
      <w:spacing w:after="57"/>
    </w:pPr>
  </w:style>
  <w:style w:type="paragraph" w:styleId="774">
    <w:name w:val="Body Text 2"/>
    <w:basedOn w:val="736"/>
    <w:uiPriority w:val="99"/>
    <w:qFormat/>
    <w:pPr>
      <w:jc w:val="center"/>
    </w:pPr>
    <w:rPr>
      <w:rFonts w:ascii="Arial" w:hAnsi="Arial"/>
      <w:sz w:val="16"/>
      <w:szCs w:val="20"/>
      <w:lang w:val="zh-CN"/>
    </w:rPr>
  </w:style>
  <w:style w:type="paragraph" w:styleId="775">
    <w:name w:val="Normal (Web)"/>
    <w:basedOn w:val="736"/>
    <w:uiPriority w:val="0"/>
    <w:qFormat/>
    <w:pPr>
      <w:jc w:val="left"/>
      <w:spacing w:before="100" w:beforeAutospacing="1" w:after="100" w:afterAutospacing="1"/>
      <w:widowControl/>
    </w:pPr>
    <w:rPr>
      <w:rFonts w:ascii="宋体" w:hAnsi="宋体" w:cs="宋体"/>
      <w:sz w:val="24"/>
    </w:rPr>
  </w:style>
  <w:style w:type="paragraph" w:styleId="776">
    <w:name w:val="Title"/>
    <w:basedOn w:val="736"/>
    <w:next w:val="736"/>
    <w:link w:val="866"/>
    <w:uiPriority w:val="10"/>
    <w:qFormat/>
    <w:pPr>
      <w:contextualSpacing/>
      <w:spacing w:before="300" w:after="200"/>
    </w:pPr>
    <w:rPr>
      <w:sz w:val="48"/>
      <w:szCs w:val="48"/>
    </w:rPr>
  </w:style>
  <w:style w:type="paragraph" w:styleId="777">
    <w:name w:val="annotation subject"/>
    <w:basedOn w:val="752"/>
    <w:next w:val="752"/>
    <w:link w:val="994"/>
    <w:uiPriority w:val="0"/>
    <w:semiHidden/>
    <w:unhideWhenUsed/>
    <w:qFormat/>
    <w:rPr>
      <w:b/>
      <w:bCs/>
    </w:rPr>
  </w:style>
  <w:style w:type="paragraph" w:styleId="778">
    <w:name w:val="Body Text First Indent"/>
    <w:basedOn w:val="753"/>
    <w:next w:val="779"/>
    <w:uiPriority w:val="0"/>
    <w:qFormat/>
    <w:pPr>
      <w:ind w:firstLine="420"/>
    </w:pPr>
  </w:style>
  <w:style w:type="paragraph" w:styleId="779">
    <w:name w:val="Body Text First Indent 2"/>
    <w:basedOn w:val="754"/>
    <w:uiPriority w:val="0"/>
    <w:qFormat/>
    <w:pPr>
      <w:ind w:firstLine="420"/>
      <w:spacing w:line="360" w:lineRule="auto"/>
    </w:pPr>
    <w:rPr>
      <w:color w:val="000000"/>
      <w:sz w:val="20"/>
    </w:rPr>
  </w:style>
  <w:style w:type="table" w:styleId="780">
    <w:name w:val="Table Grid"/>
    <w:basedOn w:val="74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1">
    <w:name w:val="endnote reference"/>
    <w:basedOn w:val="746"/>
    <w:uiPriority w:val="99"/>
    <w:semiHidden/>
    <w:unhideWhenUsed/>
    <w:qFormat/>
    <w:rPr>
      <w:vertAlign w:val="superscript"/>
    </w:rPr>
  </w:style>
  <w:style w:type="character" w:styleId="782">
    <w:name w:val="page number"/>
    <w:basedOn w:val="746"/>
    <w:uiPriority w:val="0"/>
    <w:qFormat/>
  </w:style>
  <w:style w:type="character" w:styleId="783">
    <w:name w:val="Emphasis"/>
    <w:basedOn w:val="746"/>
    <w:uiPriority w:val="20"/>
    <w:qFormat/>
    <w:rPr>
      <w:i/>
    </w:rPr>
  </w:style>
  <w:style w:type="character" w:styleId="784">
    <w:name w:val="Hyperlink"/>
    <w:basedOn w:val="746"/>
    <w:uiPriority w:val="99"/>
    <w:unhideWhenUsed/>
    <w:qFormat/>
    <w:rPr>
      <w:color w:val="0000ff"/>
      <w:u w:val="single"/>
    </w:rPr>
  </w:style>
  <w:style w:type="character" w:styleId="785">
    <w:name w:val="annotation reference"/>
    <w:basedOn w:val="746"/>
    <w:uiPriority w:val="0"/>
    <w:semiHidden/>
    <w:unhideWhenUsed/>
    <w:qFormat/>
    <w:rPr>
      <w:sz w:val="21"/>
      <w:szCs w:val="21"/>
    </w:rPr>
  </w:style>
  <w:style w:type="character" w:styleId="786">
    <w:name w:val="footnote reference"/>
    <w:basedOn w:val="746"/>
    <w:uiPriority w:val="99"/>
    <w:unhideWhenUsed/>
    <w:qFormat/>
    <w:rPr>
      <w:vertAlign w:val="superscript"/>
    </w:rPr>
  </w:style>
  <w:style w:type="paragraph" w:styleId="787" w:customStyle="1">
    <w:name w:val="文本块11"/>
    <w:basedOn w:val="788"/>
    <w:uiPriority w:val="0"/>
    <w:qFormat/>
    <w:pPr>
      <w:ind w:left="420" w:right="33"/>
      <w:jc w:val="left"/>
    </w:pPr>
    <w:rPr>
      <w:sz w:val="24"/>
      <w:szCs w:val="20"/>
    </w:rPr>
  </w:style>
  <w:style w:type="paragraph" w:styleId="788" w:customStyle="1">
    <w:name w:val="正文12"/>
    <w:next w:val="787"/>
    <w:uiPriority w:val="0"/>
    <w:qFormat/>
    <w:pPr>
      <w:jc w:val="both"/>
      <w:widowControl w:val="off"/>
    </w:pPr>
    <w:rPr>
      <w:rFonts w:hint="default" w:ascii="Calibri" w:hAnsi="Calibri" w:eastAsia="宋体" w:cs="Times New Roman"/>
      <w:sz w:val="21"/>
      <w:szCs w:val="24"/>
      <w:lang w:val="en-US" w:eastAsia="zh-CN" w:bidi="ar-SA"/>
    </w:rPr>
  </w:style>
  <w:style w:type="table" w:styleId="789" w:customStyle="1">
    <w:name w:val="Plain Table 1"/>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basedOn w:val="7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basedOn w:val="7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2"/>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3"/>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basedOn w:val="7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5 Dark"/>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6 Colorful"/>
    <w:basedOn w:val="7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7 Colorful"/>
    <w:basedOn w:val="7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List Table 1 Light"/>
    <w:basedOn w:val="7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2"/>
    <w:basedOn w:val="7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3"/>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5 Dark"/>
    <w:basedOn w:val="7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6 Colorful"/>
    <w:basedOn w:val="7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List Table 7 Colorful"/>
    <w:basedOn w:val="7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8" w:customStyle="1">
    <w:name w:val="TOC Heading"/>
    <w:uiPriority w:val="39"/>
    <w:unhideWhenUsed/>
    <w:qFormat/>
    <w:rPr>
      <w:rFonts w:hint="default" w:ascii="Times New Roman" w:hAnsi="Times New Roman" w:eastAsia="宋体" w:cs="Times New Roman"/>
    </w:rPr>
  </w:style>
  <w:style w:type="paragraph" w:styleId="809" w:customStyle="1">
    <w:name w:val="列表段落1"/>
    <w:basedOn w:val="810"/>
    <w:next w:val="736"/>
    <w:uiPriority w:val="99"/>
    <w:qFormat/>
    <w:pPr>
      <w:ind w:firstLine="420"/>
    </w:pPr>
  </w:style>
  <w:style w:type="paragraph" w:styleId="810" w:customStyle="1">
    <w:name w:val="正文1"/>
    <w:basedOn w:val="811"/>
    <w:next w:val="812"/>
    <w:uiPriority w:val="0"/>
    <w:qFormat/>
    <w:pPr>
      <w:jc w:val="left"/>
      <w:spacing w:line="360" w:lineRule="atLeast"/>
    </w:pPr>
    <w:rPr>
      <w:rFonts w:ascii="宋体" w:hAnsiTheme="minorHAnsi" w:eastAsiaTheme="minorEastAsia" w:cstheme="minorBidi"/>
      <w:sz w:val="24"/>
      <w:szCs w:val="20"/>
    </w:rPr>
  </w:style>
  <w:style w:type="paragraph" w:styleId="811" w:customStyle="1">
    <w:name w:val="正文111"/>
    <w:next w:val="7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2" w:customStyle="1">
    <w:name w:val="目录 11"/>
    <w:basedOn w:val="788"/>
    <w:next w:val="813"/>
    <w:uiPriority w:val="0"/>
    <w:qFormat/>
    <w:pPr>
      <w:jc w:val="left"/>
      <w:spacing w:before="120" w:after="120"/>
      <w:widowControl/>
    </w:pPr>
    <w:rPr>
      <w:rFonts w:cs="Calibri"/>
      <w:b/>
      <w:bCs/>
      <w:caps/>
      <w:sz w:val="20"/>
      <w:szCs w:val="20"/>
    </w:rPr>
  </w:style>
  <w:style w:type="paragraph" w:styleId="813" w:customStyle="1">
    <w:name w:val="正文11"/>
    <w:next w:val="8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customStyle="1">
    <w:name w:val="正文文本111"/>
    <w:basedOn w:val="788"/>
    <w:next w:val="788"/>
    <w:uiPriority w:val="0"/>
    <w:qFormat/>
  </w:style>
  <w:style w:type="paragraph" w:styleId="815" w:customStyle="1">
    <w:name w:val="正文文本11"/>
    <w:basedOn w:val="816"/>
    <w:next w:val="817"/>
    <w:uiPriority w:val="0"/>
    <w:qFormat/>
    <w:pPr>
      <w:spacing w:after="120"/>
    </w:pPr>
  </w:style>
  <w:style w:type="paragraph" w:styleId="816" w:customStyle="1">
    <w:name w:val="正文112"/>
    <w:next w:val="8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customStyle="1">
    <w:name w:val="一级条标题"/>
    <w:basedOn w:val="818"/>
    <w:next w:val="81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8" w:customStyle="1">
    <w:name w:val="章标题"/>
    <w:next w:val="81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19" w:customStyle="1">
    <w:name w:val="段"/>
    <w:basedOn w:val="810"/>
    <w:next w:val="736"/>
    <w:uiPriority w:val="0"/>
    <w:qFormat/>
    <w:pPr>
      <w:ind w:firstLine="200"/>
      <w:widowControl/>
    </w:pPr>
    <w:rPr>
      <w:sz w:val="20"/>
    </w:rPr>
  </w:style>
  <w:style w:type="paragraph" w:styleId="820" w:customStyle="1">
    <w:name w:val="正文文本1"/>
    <w:basedOn w:val="810"/>
    <w:next w:val="810"/>
    <w:uiPriority w:val="0"/>
    <w:qFormat/>
    <w:pPr>
      <w:spacing w:after="120"/>
    </w:pPr>
    <w:rPr>
      <w:lang w:eastAsia="en-US"/>
    </w:rPr>
  </w:style>
  <w:style w:type="table" w:styleId="821" w:customStyle="1">
    <w:name w:val="无格式表格 11"/>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basedOn w:val="7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basedOn w:val="7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basedOn w:val="7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basedOn w:val="7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basedOn w:val="74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网格表 21"/>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网格表 31"/>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网格表 41"/>
    <w:basedOn w:val="74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网格表 5 深色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网格表 6 彩色1"/>
    <w:basedOn w:val="74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网格表 7 彩色1"/>
    <w:basedOn w:val="74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清单表 1 浅色1"/>
    <w:basedOn w:val="74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清单表 21"/>
    <w:basedOn w:val="74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清单表 3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清单表 4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清单表 5 深色1"/>
    <w:basedOn w:val="74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清单表 6 彩色1"/>
    <w:basedOn w:val="74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清单表 7 彩色1"/>
    <w:basedOn w:val="74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0" w:customStyle="1">
    <w:name w:val="TOC 标题1"/>
    <w:uiPriority w:val="39"/>
    <w:unhideWhenUsed/>
    <w:qFormat/>
    <w:rPr>
      <w:rFonts w:hint="default" w:ascii="Times New Roman" w:hAnsi="Times New Roman" w:eastAsia="宋体" w:cs="Times New Roman"/>
      <w:lang w:val="en-US" w:eastAsia="zh-CN" w:bidi="ar-SA"/>
    </w:rPr>
  </w:style>
  <w:style w:type="paragraph" w:styleId="841" w:customStyle="1">
    <w:name w:val="正文缩进1"/>
    <w:basedOn w:val="736"/>
    <w:uiPriority w:val="0"/>
    <w:qFormat/>
    <w:pPr>
      <w:ind w:firstLine="420"/>
    </w:pPr>
  </w:style>
  <w:style w:type="character" w:styleId="842" w:customStyle="1">
    <w:name w:val="Heading 4 Char"/>
    <w:basedOn w:val="746"/>
    <w:uiPriority w:val="9"/>
    <w:qFormat/>
    <w:rPr>
      <w:rFonts w:ascii="Arial" w:hAnsi="Arial" w:eastAsia="Arial" w:cs="Arial"/>
      <w:b/>
      <w:bCs/>
      <w:sz w:val="26"/>
      <w:szCs w:val="26"/>
    </w:rPr>
  </w:style>
  <w:style w:type="character" w:styleId="843" w:customStyle="1">
    <w:name w:val="Heading 5 Char"/>
    <w:basedOn w:val="746"/>
    <w:uiPriority w:val="9"/>
    <w:qFormat/>
    <w:rPr>
      <w:rFonts w:ascii="Arial" w:hAnsi="Arial" w:eastAsia="Arial" w:cs="Arial"/>
      <w:b/>
      <w:bCs/>
      <w:sz w:val="24"/>
      <w:szCs w:val="24"/>
    </w:rPr>
  </w:style>
  <w:style w:type="character" w:styleId="844" w:customStyle="1">
    <w:name w:val="Heading 6 Char"/>
    <w:basedOn w:val="746"/>
    <w:uiPriority w:val="9"/>
    <w:qFormat/>
    <w:rPr>
      <w:rFonts w:ascii="Arial" w:hAnsi="Arial" w:eastAsia="Arial" w:cs="Arial"/>
      <w:b/>
      <w:bCs/>
      <w:sz w:val="22"/>
      <w:szCs w:val="22"/>
    </w:rPr>
  </w:style>
  <w:style w:type="character" w:styleId="845" w:customStyle="1">
    <w:name w:val="Heading 7 Char"/>
    <w:basedOn w:val="746"/>
    <w:uiPriority w:val="9"/>
    <w:qFormat/>
    <w:rPr>
      <w:rFonts w:ascii="Arial" w:hAnsi="Arial" w:eastAsia="Arial" w:cs="Arial"/>
      <w:b/>
      <w:bCs/>
      <w:i/>
      <w:iCs/>
      <w:sz w:val="22"/>
      <w:szCs w:val="22"/>
    </w:rPr>
  </w:style>
  <w:style w:type="character" w:styleId="846" w:customStyle="1">
    <w:name w:val="Heading 8 Char"/>
    <w:basedOn w:val="746"/>
    <w:uiPriority w:val="9"/>
    <w:qFormat/>
    <w:rPr>
      <w:rFonts w:ascii="Arial" w:hAnsi="Arial" w:eastAsia="Arial" w:cs="Arial"/>
      <w:i/>
      <w:iCs/>
      <w:sz w:val="22"/>
      <w:szCs w:val="22"/>
    </w:rPr>
  </w:style>
  <w:style w:type="character" w:styleId="847" w:customStyle="1">
    <w:name w:val="Heading 9 Char"/>
    <w:basedOn w:val="746"/>
    <w:uiPriority w:val="9"/>
    <w:qFormat/>
    <w:rPr>
      <w:rFonts w:ascii="Arial" w:hAnsi="Arial" w:eastAsia="Arial" w:cs="Arial"/>
      <w:i/>
      <w:iCs/>
      <w:sz w:val="21"/>
      <w:szCs w:val="21"/>
    </w:rPr>
  </w:style>
  <w:style w:type="character" w:styleId="848" w:customStyle="1">
    <w:name w:val="Title Char"/>
    <w:basedOn w:val="746"/>
    <w:uiPriority w:val="10"/>
    <w:qFormat/>
    <w:rPr>
      <w:sz w:val="48"/>
      <w:szCs w:val="48"/>
    </w:rPr>
  </w:style>
  <w:style w:type="character" w:styleId="849" w:customStyle="1">
    <w:name w:val="Subtitle Char"/>
    <w:basedOn w:val="746"/>
    <w:uiPriority w:val="11"/>
    <w:qFormat/>
    <w:rPr>
      <w:sz w:val="24"/>
      <w:szCs w:val="24"/>
    </w:rPr>
  </w:style>
  <w:style w:type="character" w:styleId="850" w:customStyle="1">
    <w:name w:val="Quote Char"/>
    <w:uiPriority w:val="29"/>
    <w:qFormat/>
    <w:rPr>
      <w:i/>
    </w:rPr>
  </w:style>
  <w:style w:type="character" w:styleId="851" w:customStyle="1">
    <w:name w:val="Intense Quote Char"/>
    <w:uiPriority w:val="30"/>
    <w:qFormat/>
    <w:rPr>
      <w:i/>
    </w:rPr>
  </w:style>
  <w:style w:type="character" w:styleId="852" w:customStyle="1">
    <w:name w:val="Endnote Text Char"/>
    <w:uiPriority w:val="99"/>
    <w:qFormat/>
    <w:rPr>
      <w:sz w:val="20"/>
    </w:rPr>
  </w:style>
  <w:style w:type="paragraph" w:styleId="853" w:customStyle="1">
    <w:name w:val="TOC 标题111"/>
    <w:uiPriority w:val="39"/>
    <w:unhideWhenUsed/>
    <w:qFormat/>
    <w:rPr>
      <w:rFonts w:hint="default" w:ascii="Times New Roman" w:hAnsi="Times New Roman" w:eastAsia="宋体" w:cs="Times New Roman"/>
      <w:lang w:val="en-US" w:eastAsia="zh-CN" w:bidi="ar-SA"/>
    </w:rPr>
  </w:style>
  <w:style w:type="paragraph" w:styleId="854" w:customStyle="1">
    <w:name w:val="脚注文本1"/>
    <w:basedOn w:val="810"/>
    <w:next w:val="855"/>
    <w:uiPriority w:val="0"/>
    <w:qFormat/>
    <w:rPr>
      <w:rFonts w:eastAsia="Times New Roman"/>
      <w:sz w:val="18"/>
      <w:szCs w:val="18"/>
    </w:rPr>
  </w:style>
  <w:style w:type="paragraph" w:styleId="855" w:customStyle="1">
    <w:name w:val="索引 51"/>
    <w:basedOn w:val="810"/>
    <w:next w:val="810"/>
    <w:uiPriority w:val="0"/>
    <w:qFormat/>
    <w:pPr>
      <w:ind w:left="798"/>
    </w:pPr>
    <w:rPr>
      <w:rFonts w:ascii="Calibri" w:hAnsi="Calibri"/>
    </w:rPr>
  </w:style>
  <w:style w:type="character" w:styleId="856" w:customStyle="1">
    <w:name w:val="Heading 1 Char"/>
    <w:basedOn w:val="746"/>
    <w:uiPriority w:val="9"/>
    <w:qFormat/>
    <w:rPr>
      <w:rFonts w:ascii="Arial" w:hAnsi="Arial" w:eastAsia="Arial" w:cs="Arial"/>
      <w:sz w:val="40"/>
      <w:szCs w:val="40"/>
    </w:rPr>
  </w:style>
  <w:style w:type="character" w:styleId="857" w:customStyle="1">
    <w:name w:val="Heading 2 Char"/>
    <w:basedOn w:val="746"/>
    <w:uiPriority w:val="9"/>
    <w:qFormat/>
    <w:rPr>
      <w:rFonts w:ascii="Arial" w:hAnsi="Arial" w:eastAsia="Arial" w:cs="Arial"/>
      <w:sz w:val="34"/>
    </w:rPr>
  </w:style>
  <w:style w:type="character" w:styleId="858" w:customStyle="1">
    <w:name w:val="Heading 3 Char"/>
    <w:basedOn w:val="746"/>
    <w:uiPriority w:val="9"/>
    <w:qFormat/>
    <w:rPr>
      <w:rFonts w:ascii="Arial" w:hAnsi="Arial" w:eastAsia="Arial" w:cs="Arial"/>
      <w:sz w:val="30"/>
      <w:szCs w:val="30"/>
    </w:rPr>
  </w:style>
  <w:style w:type="character" w:styleId="859" w:customStyle="1">
    <w:name w:val="标题 4 字符"/>
    <w:basedOn w:val="746"/>
    <w:link w:val="740"/>
    <w:uiPriority w:val="9"/>
    <w:qFormat/>
    <w:rPr>
      <w:rFonts w:ascii="Arial" w:hAnsi="Arial" w:eastAsia="Arial" w:cs="Arial"/>
      <w:b/>
      <w:bCs/>
      <w:sz w:val="26"/>
      <w:szCs w:val="26"/>
    </w:rPr>
  </w:style>
  <w:style w:type="character" w:styleId="860" w:customStyle="1">
    <w:name w:val="标题 5 字符"/>
    <w:basedOn w:val="746"/>
    <w:link w:val="741"/>
    <w:uiPriority w:val="9"/>
    <w:qFormat/>
    <w:rPr>
      <w:rFonts w:ascii="Arial" w:hAnsi="Arial" w:eastAsia="Arial" w:cs="Arial"/>
      <w:b/>
      <w:bCs/>
      <w:sz w:val="24"/>
      <w:szCs w:val="24"/>
    </w:rPr>
  </w:style>
  <w:style w:type="character" w:styleId="861" w:customStyle="1">
    <w:name w:val="标题 6 字符"/>
    <w:basedOn w:val="746"/>
    <w:link w:val="742"/>
    <w:uiPriority w:val="9"/>
    <w:qFormat/>
    <w:rPr>
      <w:rFonts w:ascii="Arial" w:hAnsi="Arial" w:eastAsia="Arial" w:cs="Arial"/>
      <w:b/>
      <w:bCs/>
      <w:sz w:val="22"/>
      <w:szCs w:val="22"/>
    </w:rPr>
  </w:style>
  <w:style w:type="character" w:styleId="862" w:customStyle="1">
    <w:name w:val="标题 7 字符"/>
    <w:basedOn w:val="746"/>
    <w:link w:val="743"/>
    <w:uiPriority w:val="9"/>
    <w:qFormat/>
    <w:rPr>
      <w:rFonts w:ascii="Arial" w:hAnsi="Arial" w:eastAsia="Arial" w:cs="Arial"/>
      <w:b/>
      <w:bCs/>
      <w:i/>
      <w:iCs/>
      <w:sz w:val="22"/>
      <w:szCs w:val="22"/>
    </w:rPr>
  </w:style>
  <w:style w:type="character" w:styleId="863" w:customStyle="1">
    <w:name w:val="标题 8 字符"/>
    <w:basedOn w:val="746"/>
    <w:link w:val="744"/>
    <w:uiPriority w:val="9"/>
    <w:qFormat/>
    <w:rPr>
      <w:rFonts w:ascii="Arial" w:hAnsi="Arial" w:eastAsia="Arial" w:cs="Arial"/>
      <w:i/>
      <w:iCs/>
      <w:sz w:val="22"/>
      <w:szCs w:val="22"/>
    </w:rPr>
  </w:style>
  <w:style w:type="character" w:styleId="864" w:customStyle="1">
    <w:name w:val="标题 9 字符"/>
    <w:basedOn w:val="746"/>
    <w:link w:val="745"/>
    <w:uiPriority w:val="9"/>
    <w:qFormat/>
    <w:rPr>
      <w:rFonts w:ascii="Arial" w:hAnsi="Arial" w:eastAsia="Arial" w:cs="Arial"/>
      <w:i/>
      <w:iCs/>
      <w:sz w:val="21"/>
      <w:szCs w:val="21"/>
    </w:rPr>
  </w:style>
  <w:style w:type="paragraph" w:styleId="865">
    <w:name w:val="No Spacing"/>
    <w:uiPriority w:val="1"/>
    <w:qFormat/>
    <w:rPr>
      <w:rFonts w:hint="default" w:ascii="Times New Roman" w:hAnsi="Times New Roman" w:eastAsia="宋体" w:cs="Times New Roman"/>
      <w:lang w:val="en-US" w:eastAsia="zh-CN" w:bidi="ar-SA"/>
    </w:rPr>
  </w:style>
  <w:style w:type="character" w:styleId="866" w:customStyle="1">
    <w:name w:val="标题 字符"/>
    <w:basedOn w:val="746"/>
    <w:link w:val="776"/>
    <w:uiPriority w:val="10"/>
    <w:qFormat/>
    <w:rPr>
      <w:sz w:val="48"/>
      <w:szCs w:val="48"/>
    </w:rPr>
  </w:style>
  <w:style w:type="character" w:styleId="867" w:customStyle="1">
    <w:name w:val="副标题 字符"/>
    <w:basedOn w:val="746"/>
    <w:link w:val="768"/>
    <w:uiPriority w:val="11"/>
    <w:qFormat/>
    <w:rPr>
      <w:sz w:val="24"/>
      <w:szCs w:val="24"/>
    </w:rPr>
  </w:style>
  <w:style w:type="paragraph" w:styleId="868">
    <w:name w:val="Quote"/>
    <w:basedOn w:val="736"/>
    <w:next w:val="736"/>
    <w:link w:val="869"/>
    <w:uiPriority w:val="29"/>
    <w:qFormat/>
    <w:pPr>
      <w:ind w:left="720" w:right="720"/>
    </w:pPr>
    <w:rPr>
      <w:i/>
    </w:rPr>
  </w:style>
  <w:style w:type="character" w:styleId="869" w:customStyle="1">
    <w:name w:val="引用 字符"/>
    <w:link w:val="868"/>
    <w:uiPriority w:val="29"/>
    <w:qFormat/>
    <w:rPr>
      <w:i/>
    </w:rPr>
  </w:style>
  <w:style w:type="paragraph" w:styleId="870">
    <w:name w:val="Intense Quote"/>
    <w:basedOn w:val="736"/>
    <w:next w:val="736"/>
    <w:link w:val="8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明显引用 字符"/>
    <w:link w:val="870"/>
    <w:uiPriority w:val="30"/>
    <w:qFormat/>
    <w:rPr>
      <w:i/>
    </w:rPr>
  </w:style>
  <w:style w:type="character" w:styleId="872" w:customStyle="1">
    <w:name w:val="Header Char"/>
    <w:basedOn w:val="746"/>
    <w:uiPriority w:val="99"/>
    <w:qFormat/>
  </w:style>
  <w:style w:type="character" w:styleId="873" w:customStyle="1">
    <w:name w:val="Footer Char"/>
    <w:basedOn w:val="746"/>
    <w:uiPriority w:val="99"/>
    <w:qFormat/>
  </w:style>
  <w:style w:type="character" w:styleId="874" w:customStyle="1">
    <w:name w:val="Caption Char"/>
    <w:uiPriority w:val="99"/>
    <w:qFormat/>
  </w:style>
  <w:style w:type="table" w:styleId="875" w:customStyle="1">
    <w:name w:val="Table Grid Light"/>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6" w:customStyle="1">
    <w:name w:val="Grid Table 1 Light - Accent 1"/>
    <w:basedOn w:val="74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2"/>
    <w:basedOn w:val="74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3"/>
    <w:basedOn w:val="74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4"/>
    <w:basedOn w:val="74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5"/>
    <w:basedOn w:val="74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6"/>
    <w:basedOn w:val="74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2" w:customStyle="1">
    <w:name w:val="Grid Table 2 - Accent 1"/>
    <w:basedOn w:val="74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basedOn w:val="74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basedOn w:val="74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basedOn w:val="74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basedOn w:val="74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7" w:customStyle="1">
    <w:name w:val="Grid Table 2 - Accent 6"/>
    <w:basedOn w:val="74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8" w:customStyle="1">
    <w:name w:val="Grid Table 3 - Accent 1"/>
    <w:basedOn w:val="74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basedOn w:val="74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basedOn w:val="74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basedOn w:val="74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basedOn w:val="74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basedOn w:val="74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4 - Accent 1"/>
    <w:basedOn w:val="74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5" w:customStyle="1">
    <w:name w:val="Grid Table 4 - Accent 2"/>
    <w:basedOn w:val="74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6" w:customStyle="1">
    <w:name w:val="Grid Table 4 - Accent 3"/>
    <w:basedOn w:val="74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7" w:customStyle="1">
    <w:name w:val="Grid Table 4 - Accent 4"/>
    <w:basedOn w:val="74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8" w:customStyle="1">
    <w:name w:val="Grid Table 4 - Accent 5"/>
    <w:basedOn w:val="74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9" w:customStyle="1">
    <w:name w:val="Grid Table 4 - Accent 6"/>
    <w:basedOn w:val="74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0" w:customStyle="1">
    <w:name w:val="Grid Table 5 Dark- Accent 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1" w:customStyle="1">
    <w:name w:val="Grid Table 5 Dark - Accent 2"/>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2" w:customStyle="1">
    <w:name w:val="Grid Table 5 Dark - Accent 3"/>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3" w:customStyle="1">
    <w:name w:val="Grid Table 5 Dark- Accent 4"/>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4" w:customStyle="1">
    <w:name w:val="Grid Table 5 Dark - Accent 5"/>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5" w:customStyle="1">
    <w:name w:val="Grid Table 5 Dark - Accent 6"/>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6" w:customStyle="1">
    <w:name w:val="Grid Table 6 Colorful - Accent 1"/>
    <w:basedOn w:val="74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7" w:customStyle="1">
    <w:name w:val="Grid Table 6 Colorful - Accent 2"/>
    <w:basedOn w:val="74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8" w:customStyle="1">
    <w:name w:val="Grid Table 6 Colorful - Accent 3"/>
    <w:basedOn w:val="74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09" w:customStyle="1">
    <w:name w:val="Grid Table 6 Colorful - Accent 4"/>
    <w:basedOn w:val="74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0" w:customStyle="1">
    <w:name w:val="Grid Table 6 Colorful - Accent 5"/>
    <w:basedOn w:val="74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1" w:customStyle="1">
    <w:name w:val="Grid Table 6 Colorful - Accent 6"/>
    <w:basedOn w:val="74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2" w:customStyle="1">
    <w:name w:val="Grid Table 7 Colorful - Accent 1"/>
    <w:basedOn w:val="74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3" w:customStyle="1">
    <w:name w:val="Grid Table 7 Colorful - Accent 2"/>
    <w:basedOn w:val="74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4" w:customStyle="1">
    <w:name w:val="Grid Table 7 Colorful - Accent 3"/>
    <w:basedOn w:val="74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5" w:customStyle="1">
    <w:name w:val="Grid Table 7 Colorful - Accent 4"/>
    <w:basedOn w:val="74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6" w:customStyle="1">
    <w:name w:val="Grid Table 7 Colorful - Accent 5"/>
    <w:basedOn w:val="74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7" w:customStyle="1">
    <w:name w:val="Grid Table 7 Colorful - Accent 6"/>
    <w:basedOn w:val="74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8" w:customStyle="1">
    <w:name w:val="List Table 1 Light - Accent 1"/>
    <w:basedOn w:val="74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9" w:customStyle="1">
    <w:name w:val="List Table 1 Light - Accent 2"/>
    <w:basedOn w:val="74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0" w:customStyle="1">
    <w:name w:val="List Table 1 Light - Accent 3"/>
    <w:basedOn w:val="74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1" w:customStyle="1">
    <w:name w:val="List Table 1 Light - Accent 4"/>
    <w:basedOn w:val="74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2" w:customStyle="1">
    <w:name w:val="List Table 1 Light - Accent 5"/>
    <w:basedOn w:val="74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3" w:customStyle="1">
    <w:name w:val="List Table 1 Light - Accent 6"/>
    <w:basedOn w:val="74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4" w:customStyle="1">
    <w:name w:val="List Table 2 - Accent 1"/>
    <w:basedOn w:val="74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5" w:customStyle="1">
    <w:name w:val="List Table 2 - Accent 2"/>
    <w:basedOn w:val="74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6" w:customStyle="1">
    <w:name w:val="List Table 2 - Accent 3"/>
    <w:basedOn w:val="74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7" w:customStyle="1">
    <w:name w:val="List Table 2 - Accent 4"/>
    <w:basedOn w:val="74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8" w:customStyle="1">
    <w:name w:val="List Table 2 - Accent 5"/>
    <w:basedOn w:val="74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9" w:customStyle="1">
    <w:name w:val="List Table 2 - Accent 6"/>
    <w:basedOn w:val="74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0" w:customStyle="1">
    <w:name w:val="List Table 3 - Accent 1"/>
    <w:basedOn w:val="74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1" w:customStyle="1">
    <w:name w:val="List Table 3 - Accent 2"/>
    <w:basedOn w:val="74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2" w:customStyle="1">
    <w:name w:val="List Table 3 - Accent 3"/>
    <w:basedOn w:val="74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3" w:customStyle="1">
    <w:name w:val="List Table 3 - Accent 4"/>
    <w:basedOn w:val="74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4" w:customStyle="1">
    <w:name w:val="List Table 3 - Accent 5"/>
    <w:basedOn w:val="74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35" w:customStyle="1">
    <w:name w:val="List Table 3 - Accent 6"/>
    <w:basedOn w:val="74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6" w:customStyle="1">
    <w:name w:val="List Table 4 - Accent 1"/>
    <w:basedOn w:val="74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7" w:customStyle="1">
    <w:name w:val="List Table 4 - Accent 2"/>
    <w:basedOn w:val="74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8" w:customStyle="1">
    <w:name w:val="List Table 4 - Accent 3"/>
    <w:basedOn w:val="74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9" w:customStyle="1">
    <w:name w:val="List Table 4 - Accent 4"/>
    <w:basedOn w:val="74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0" w:customStyle="1">
    <w:name w:val="List Table 4 - Accent 5"/>
    <w:basedOn w:val="74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1" w:customStyle="1">
    <w:name w:val="List Table 4 - Accent 6"/>
    <w:basedOn w:val="74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2" w:customStyle="1">
    <w:name w:val="List Table 5 Dark - Accent 1"/>
    <w:basedOn w:val="74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2"/>
    <w:basedOn w:val="74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3"/>
    <w:basedOn w:val="74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4"/>
    <w:basedOn w:val="74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5"/>
    <w:basedOn w:val="74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6"/>
    <w:basedOn w:val="74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6 Colorful - Accent 1"/>
    <w:basedOn w:val="74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49" w:customStyle="1">
    <w:name w:val="List Table 6 Colorful - Accent 2"/>
    <w:basedOn w:val="74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0" w:customStyle="1">
    <w:name w:val="List Table 6 Colorful - Accent 3"/>
    <w:basedOn w:val="74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1" w:customStyle="1">
    <w:name w:val="List Table 6 Colorful - Accent 4"/>
    <w:basedOn w:val="74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2" w:customStyle="1">
    <w:name w:val="List Table 6 Colorful - Accent 5"/>
    <w:basedOn w:val="74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3" w:customStyle="1">
    <w:name w:val="List Table 6 Colorful - Accent 6"/>
    <w:basedOn w:val="74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4" w:customStyle="1">
    <w:name w:val="List Table 7 Colorful - Accent 1"/>
    <w:basedOn w:val="74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5" w:customStyle="1">
    <w:name w:val="List Table 7 Colorful - Accent 2"/>
    <w:basedOn w:val="74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6" w:customStyle="1">
    <w:name w:val="List Table 7 Colorful - Accent 3"/>
    <w:basedOn w:val="74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7" w:customStyle="1">
    <w:name w:val="List Table 7 Colorful - Accent 4"/>
    <w:basedOn w:val="74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8" w:customStyle="1">
    <w:name w:val="List Table 7 Colorful - Accent 5"/>
    <w:basedOn w:val="74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59" w:customStyle="1">
    <w:name w:val="List Table 7 Colorful - Accent 6"/>
    <w:basedOn w:val="74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0" w:customStyle="1">
    <w:name w:val="Lined - Accent"/>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Lined - Accent 1"/>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2" w:customStyle="1">
    <w:name w:val="Lined - Accent 2"/>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3" w:customStyle="1">
    <w:name w:val="Lined - Accent 3"/>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4" w:customStyle="1">
    <w:name w:val="Lined - Accent 4"/>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5" w:customStyle="1">
    <w:name w:val="Lined - Accent 5"/>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6" w:customStyle="1">
    <w:name w:val="Lined - Accent 6"/>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7" w:customStyle="1">
    <w:name w:val="Bordered &amp; Lined - Accent"/>
    <w:basedOn w:val="74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Bordered &amp; Lined - Accent 1"/>
    <w:basedOn w:val="74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9" w:customStyle="1">
    <w:name w:val="Bordered &amp; Lined - Accent 2"/>
    <w:basedOn w:val="74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0" w:customStyle="1">
    <w:name w:val="Bordered &amp; Lined - Accent 3"/>
    <w:basedOn w:val="74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1" w:customStyle="1">
    <w:name w:val="Bordered &amp; Lined - Accent 4"/>
    <w:basedOn w:val="74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2" w:customStyle="1">
    <w:name w:val="Bordered &amp; Lined - Accent 5"/>
    <w:basedOn w:val="74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3" w:customStyle="1">
    <w:name w:val="Bordered &amp; Lined - Accent 6"/>
    <w:basedOn w:val="74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4" w:customStyle="1">
    <w:name w:val="Bordered"/>
    <w:basedOn w:val="74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5" w:customStyle="1">
    <w:name w:val="Bordered - Accent 1"/>
    <w:basedOn w:val="74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6" w:customStyle="1">
    <w:name w:val="Bordered - Accent 2"/>
    <w:basedOn w:val="74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7" w:customStyle="1">
    <w:name w:val="Bordered - Accent 3"/>
    <w:basedOn w:val="74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8" w:customStyle="1">
    <w:name w:val="Bordered - Accent 4"/>
    <w:basedOn w:val="74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9" w:customStyle="1">
    <w:name w:val="Bordered - Accent 5"/>
    <w:basedOn w:val="74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0" w:customStyle="1">
    <w:name w:val="Bordered - Accent 6"/>
    <w:basedOn w:val="74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1" w:customStyle="1">
    <w:name w:val="Footnote Text Char"/>
    <w:uiPriority w:val="99"/>
    <w:qFormat/>
    <w:rPr>
      <w:sz w:val="18"/>
    </w:rPr>
  </w:style>
  <w:style w:type="character" w:styleId="982" w:customStyle="1">
    <w:name w:val="尾注文本 字符"/>
    <w:link w:val="762"/>
    <w:uiPriority w:val="99"/>
    <w:qFormat/>
    <w:rPr>
      <w:sz w:val="20"/>
    </w:rPr>
  </w:style>
  <w:style w:type="paragraph" w:styleId="983" w:customStyle="1">
    <w:name w:val="TOC 标题11"/>
    <w:uiPriority w:val="39"/>
    <w:unhideWhenUsed/>
    <w:qFormat/>
    <w:rPr>
      <w:rFonts w:hint="default" w:ascii="Times New Roman" w:hAnsi="Times New Roman" w:eastAsia="宋体" w:cs="Times New Roman"/>
      <w:lang w:val="en-US" w:eastAsia="zh-CN" w:bidi="ar-SA"/>
    </w:rPr>
  </w:style>
  <w:style w:type="paragraph" w:styleId="984" w:customStyle="1">
    <w:name w:val="p0"/>
    <w:basedOn w:val="736"/>
    <w:uiPriority w:val="0"/>
    <w:qFormat/>
    <w:pPr>
      <w:widowControl/>
    </w:pPr>
    <w:rPr>
      <w:szCs w:val="21"/>
    </w:rPr>
  </w:style>
  <w:style w:type="paragraph" w:styleId="985">
    <w:name w:val="List Paragraph"/>
    <w:basedOn w:val="736"/>
    <w:uiPriority w:val="1"/>
    <w:qFormat/>
    <w:pPr>
      <w:ind w:firstLine="420"/>
    </w:pPr>
  </w:style>
  <w:style w:type="character" w:styleId="986" w:customStyle="1">
    <w:name w:val="批注框文本 字符"/>
    <w:basedOn w:val="746"/>
    <w:link w:val="763"/>
    <w:uiPriority w:val="0"/>
    <w:qFormat/>
    <w:rPr>
      <w:rFonts w:ascii="Times New Roman" w:hAnsi="Times New Roman" w:eastAsia="宋体" w:cs="Times New Roman"/>
      <w:sz w:val="18"/>
      <w:szCs w:val="18"/>
    </w:rPr>
  </w:style>
  <w:style w:type="paragraph" w:styleId="98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988" w:customStyle="1">
    <w:name w:val="页脚 字符"/>
    <w:basedOn w:val="746"/>
    <w:link w:val="764"/>
    <w:uiPriority w:val="99"/>
    <w:qFormat/>
    <w:rPr>
      <w:rFonts w:ascii="Times New Roman" w:hAnsi="Times New Roman" w:eastAsia="宋体" w:cs="Times New Roman"/>
      <w:sz w:val="18"/>
      <w:szCs w:val="18"/>
    </w:rPr>
  </w:style>
  <w:style w:type="character" w:styleId="989" w:customStyle="1">
    <w:name w:val="NormalCharacter"/>
    <w:uiPriority w:val="0"/>
    <w:semiHidden/>
    <w:qFormat/>
    <w:rPr>
      <w:sz w:val="28"/>
      <w:lang w:val="en-US" w:eastAsia="zh-CN" w:bidi="ar-SA"/>
    </w:rPr>
  </w:style>
  <w:style w:type="paragraph" w:styleId="990" w:customStyle="1">
    <w:name w:val="179"/>
    <w:basedOn w:val="736"/>
    <w:uiPriority w:val="0"/>
    <w:qFormat/>
    <w:pPr>
      <w:ind w:firstLine="420"/>
      <w:jc w:val="left"/>
      <w:widowControl/>
    </w:pPr>
    <w:rPr>
      <w:rFonts w:ascii="宋体" w:hAnsi="宋体"/>
      <w:sz w:val="24"/>
    </w:rPr>
  </w:style>
  <w:style w:type="paragraph" w:styleId="991"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92" w:customStyle="1">
    <w:name w:val="标准"/>
    <w:basedOn w:val="736"/>
    <w:uiPriority w:val="0"/>
    <w:qFormat/>
    <w:pPr>
      <w:ind w:firstLine="200"/>
      <w:spacing w:line="360" w:lineRule="auto"/>
    </w:pPr>
    <w:rPr>
      <w:rFonts w:cs="宋体"/>
      <w:sz w:val="20"/>
      <w:szCs w:val="20"/>
    </w:rPr>
  </w:style>
  <w:style w:type="character" w:styleId="993" w:customStyle="1">
    <w:name w:val="批注文字 字符"/>
    <w:basedOn w:val="746"/>
    <w:link w:val="752"/>
    <w:uiPriority w:val="0"/>
    <w:semiHidden/>
    <w:qFormat/>
    <w:rPr>
      <w:rFonts w:ascii="Times New Roman" w:hAnsi="Times New Roman" w:eastAsia="宋体" w:cs="Times New Roman"/>
      <w:sz w:val="21"/>
      <w:szCs w:val="24"/>
    </w:rPr>
  </w:style>
  <w:style w:type="character" w:styleId="994" w:customStyle="1">
    <w:name w:val="批注主题 字符"/>
    <w:basedOn w:val="993"/>
    <w:link w:val="777"/>
    <w:uiPriority w:val="0"/>
    <w:semiHidden/>
    <w:qFormat/>
    <w:rPr>
      <w:rFonts w:ascii="Times New Roman" w:hAnsi="Times New Roman" w:eastAsia="宋体" w:cs="Times New Roman"/>
      <w:b/>
      <w:bCs/>
      <w:sz w:val="21"/>
      <w:szCs w:val="24"/>
    </w:rPr>
  </w:style>
  <w:style w:type="character" w:styleId="995" w:customStyle="1">
    <w:name w:val="标题 2 字符"/>
    <w:basedOn w:val="746"/>
    <w:link w:val="738"/>
    <w:uiPriority w:val="9"/>
    <w:qFormat/>
    <w:rPr>
      <w:rFonts w:asciiTheme="majorHAnsi" w:hAnsiTheme="majorHAnsi" w:eastAsiaTheme="majorEastAsia" w:cstheme="majorBidi"/>
      <w:b/>
      <w:bCs/>
      <w:sz w:val="32"/>
      <w:szCs w:val="32"/>
    </w:rPr>
  </w:style>
  <w:style w:type="character" w:styleId="996" w:customStyle="1">
    <w:name w:val="标题 3 字符"/>
    <w:basedOn w:val="746"/>
    <w:link w:val="739"/>
    <w:uiPriority w:val="9"/>
    <w:qFormat/>
    <w:rPr>
      <w:rFonts w:ascii="Times New Roman" w:hAnsi="Times New Roman" w:eastAsia="宋体" w:cs="Times New Roman"/>
      <w:b/>
      <w:bCs/>
      <w:sz w:val="32"/>
      <w:szCs w:val="32"/>
    </w:rPr>
  </w:style>
  <w:style w:type="character" w:styleId="997" w:customStyle="1">
    <w:name w:val="标题 1 字符"/>
    <w:basedOn w:val="746"/>
    <w:link w:val="737"/>
    <w:uiPriority w:val="0"/>
    <w:qFormat/>
    <w:rPr>
      <w:rFonts w:ascii="Times New Roman" w:hAnsi="Times New Roman" w:eastAsia="新宋体" w:cs="Times New Roman"/>
      <w:b/>
      <w:bCs/>
      <w:sz w:val="30"/>
      <w:szCs w:val="44"/>
    </w:rPr>
  </w:style>
  <w:style w:type="character" w:styleId="998" w:customStyle="1">
    <w:name w:val="页眉 字符"/>
    <w:basedOn w:val="746"/>
    <w:link w:val="765"/>
    <w:uiPriority w:val="99"/>
    <w:qFormat/>
    <w:rPr>
      <w:rFonts w:ascii="Times New Roman" w:hAnsi="Times New Roman" w:eastAsia="宋体" w:cs="Times New Roman"/>
      <w:sz w:val="18"/>
      <w:szCs w:val="18"/>
    </w:rPr>
  </w:style>
  <w:style w:type="character" w:styleId="999" w:customStyle="1">
    <w:name w:val="正文文本 字符"/>
    <w:basedOn w:val="746"/>
    <w:link w:val="753"/>
    <w:uiPriority w:val="99"/>
    <w:qFormat/>
    <w:rPr>
      <w:rFonts w:ascii="Calibri" w:hAnsi="Calibri" w:eastAsia="宋体" w:cs="Times New Roman"/>
      <w:sz w:val="21"/>
      <w:szCs w:val="24"/>
    </w:rPr>
  </w:style>
  <w:style w:type="paragraph" w:styleId="1000" w:customStyle="1">
    <w:name w:val="_Style 11"/>
    <w:basedOn w:val="736"/>
    <w:next w:val="985"/>
    <w:uiPriority w:val="34"/>
    <w:qFormat/>
    <w:pPr>
      <w:ind w:firstLine="420"/>
    </w:pPr>
    <w:rPr>
      <w:color w:val="000000"/>
      <w:szCs w:val="21"/>
    </w:rPr>
  </w:style>
  <w:style w:type="paragraph" w:styleId="1001" w:customStyle="1">
    <w:name w:val="BodyText1I2"/>
    <w:basedOn w:val="736"/>
    <w:uiPriority w:val="0"/>
    <w:qFormat/>
    <w:pPr>
      <w:ind w:firstLine="420"/>
      <w:spacing w:line="360" w:lineRule="auto"/>
      <w:widowControl/>
    </w:pPr>
    <w:rPr>
      <w:rFonts w:ascii="宋体" w:hAnsi="宋体" w:cstheme="minorBidi"/>
      <w:sz w:val="20"/>
      <w:szCs w:val="20"/>
    </w:rPr>
  </w:style>
  <w:style w:type="paragraph" w:styleId="1002" w:customStyle="1">
    <w:name w:val="UserStyle_133"/>
    <w:basedOn w:val="736"/>
    <w:uiPriority w:val="0"/>
    <w:qFormat/>
    <w:pPr>
      <w:widowControl/>
    </w:pPr>
    <w:rPr>
      <w:rFonts w:ascii="Tahoma" w:hAnsi="Tahoma" w:cstheme="minorBidi"/>
      <w:sz w:val="24"/>
    </w:rPr>
  </w:style>
  <w:style w:type="paragraph" w:styleId="1003" w:customStyle="1">
    <w:name w:val="AnnotationText"/>
    <w:basedOn w:val="736"/>
    <w:link w:val="1004"/>
    <w:uiPriority w:val="0"/>
    <w:qFormat/>
    <w:pPr>
      <w:jc w:val="left"/>
      <w:widowControl/>
    </w:pPr>
    <w:rPr>
      <w:rFonts w:cstheme="minorBidi"/>
    </w:rPr>
  </w:style>
  <w:style w:type="character" w:styleId="1004" w:customStyle="1">
    <w:name w:val="UserStyle_12"/>
    <w:link w:val="1003"/>
    <w:uiPriority w:val="0"/>
    <w:qFormat/>
    <w:rPr>
      <w:rFonts w:ascii="Times New Roman" w:hAnsi="Times New Roman" w:eastAsia="宋体"/>
      <w:sz w:val="21"/>
      <w:szCs w:val="24"/>
    </w:rPr>
  </w:style>
  <w:style w:type="paragraph" w:styleId="1005"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06" w:customStyle="1">
    <w:name w:val="*正文-表格"/>
    <w:basedOn w:val="736"/>
    <w:uiPriority w:val="0"/>
    <w:qFormat/>
    <w:rPr>
      <w:sz w:val="24"/>
      <w:szCs w:val="20"/>
    </w:rPr>
  </w:style>
  <w:style w:type="character" w:styleId="1007" w:customStyle="1">
    <w:name w:val="font21"/>
    <w:basedOn w:val="746"/>
    <w:uiPriority w:val="0"/>
    <w:qFormat/>
    <w:rPr>
      <w:rFonts w:hint="eastAsia" w:ascii="宋体" w:hAnsi="宋体" w:eastAsia="宋体" w:cs="宋体"/>
      <w:b/>
      <w:bCs/>
      <w:color w:val="000000"/>
      <w:sz w:val="28"/>
      <w:szCs w:val="28"/>
      <w:u w:val="none"/>
    </w:rPr>
  </w:style>
  <w:style w:type="paragraph" w:styleId="1008" w:customStyle="1">
    <w:name w:val="标题 5（有编号）（绿盟科技）"/>
    <w:basedOn w:val="736"/>
    <w:next w:val="1009"/>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09"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10" w:customStyle="1">
    <w:name w:val="投标文件正文"/>
    <w:basedOn w:val="736"/>
    <w:uiPriority w:val="0"/>
    <w:qFormat/>
    <w:pPr>
      <w:ind w:firstLine="200"/>
      <w:spacing w:before="40" w:after="40" w:line="400" w:lineRule="exact"/>
    </w:pPr>
    <w:rPr>
      <w:sz w:val="24"/>
    </w:rPr>
  </w:style>
  <w:style w:type="paragraph" w:styleId="1011" w:customStyle="1">
    <w:name w:val="标题 21"/>
    <w:basedOn w:val="736"/>
    <w:next w:val="736"/>
    <w:uiPriority w:val="0"/>
    <w:qFormat/>
    <w:pPr>
      <w:jc w:val="left"/>
      <w:keepLines/>
      <w:keepNext/>
      <w:spacing w:before="50"/>
      <w:tabs>
        <w:tab w:val="left" w:pos="0" w:leader="none"/>
      </w:tabs>
    </w:pPr>
    <w:rPr>
      <w:rFonts w:ascii="Arial" w:hAnsi="Arial" w:eastAsia="黑体"/>
      <w:sz w:val="32"/>
      <w:szCs w:val="20"/>
    </w:rPr>
  </w:style>
  <w:style w:type="paragraph" w:styleId="1012" w:customStyle="1">
    <w:name w:val="BodyTextIndent"/>
    <w:basedOn w:val="736"/>
    <w:next w:val="1013"/>
    <w:uiPriority w:val="0"/>
    <w:qFormat/>
    <w:pPr>
      <w:ind w:left="420"/>
      <w:spacing w:after="120"/>
    </w:pPr>
  </w:style>
  <w:style w:type="paragraph" w:styleId="1013" w:customStyle="1">
    <w:name w:val="EnvelopeReturn"/>
    <w:basedOn w:val="736"/>
    <w:uiPriority w:val="0"/>
    <w:qFormat/>
    <w:rPr>
      <w:rFonts w:ascii="Arial" w:hAnsi="Arial"/>
    </w:rPr>
  </w:style>
  <w:style w:type="paragraph" w:styleId="1014" w:customStyle="1">
    <w:name w:val="Table Paragraph"/>
    <w:basedOn w:val="736"/>
    <w:uiPriority w:val="1"/>
    <w:qFormat/>
    <w:pPr>
      <w:ind w:left="107"/>
    </w:pPr>
    <w:rPr>
      <w:rFonts w:ascii="宋体" w:hAnsi="宋体" w:cs="宋体"/>
    </w:rPr>
  </w:style>
  <w:style w:type="paragraph" w:styleId="1015" w:customStyle="1">
    <w:name w:val="列出段落1"/>
    <w:basedOn w:val="736"/>
    <w:uiPriority w:val="34"/>
    <w:qFormat/>
    <w:pPr>
      <w:ind w:left="480"/>
      <w:jc w:val="left"/>
    </w:pPr>
    <w:rPr>
      <w:rFonts w:ascii="Calibri" w:hAnsi="Calibri" w:eastAsia="PMingLiU"/>
      <w:sz w:val="24"/>
      <w:szCs w:val="20"/>
      <w:lang w:eastAsia="zh-TW"/>
    </w:rPr>
  </w:style>
  <w:style w:type="paragraph" w:styleId="1016"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017" w:customStyle="1">
    <w:name w:val="font51"/>
    <w:uiPriority w:val="0"/>
    <w:qFormat/>
    <w:rPr>
      <w:rFonts w:hint="eastAsia" w:ascii="微软雅黑" w:hAnsi="微软雅黑" w:eastAsia="微软雅黑" w:cs="微软雅黑"/>
      <w:color w:val="000000"/>
      <w:sz w:val="16"/>
      <w:szCs w:val="16"/>
      <w:u w:val="none"/>
    </w:rPr>
  </w:style>
  <w:style w:type="character" w:styleId="1018" w:customStyle="1">
    <w:name w:val="font01"/>
    <w:basedOn w:val="746"/>
    <w:uiPriority w:val="0"/>
    <w:qFormat/>
    <w:rPr>
      <w:rFonts w:hint="eastAsia" w:ascii="微软雅黑" w:hAnsi="微软雅黑" w:eastAsia="微软雅黑" w:cs="微软雅黑"/>
      <w:color w:val="000000"/>
      <w:sz w:val="16"/>
      <w:szCs w:val="16"/>
      <w:u w:val="none"/>
    </w:rPr>
  </w:style>
  <w:style w:type="character" w:styleId="1019" w:customStyle="1">
    <w:name w:val="font31"/>
    <w:basedOn w:val="746"/>
    <w:uiPriority w:val="0"/>
    <w:qFormat/>
    <w:rPr>
      <w:rFonts w:hint="eastAsia" w:ascii="微软雅黑" w:hAnsi="微软雅黑" w:eastAsia="微软雅黑" w:cs="微软雅黑"/>
      <w:color w:val="000000"/>
      <w:sz w:val="16"/>
      <w:szCs w:val="16"/>
      <w:u w:val="none"/>
    </w:rPr>
  </w:style>
  <w:style w:type="paragraph" w:styleId="1020" w:customStyle="1">
    <w:name w:val="BlockQuote"/>
    <w:basedOn w:val="811"/>
    <w:uiPriority w:val="0"/>
    <w:qFormat/>
    <w:pPr>
      <w:ind w:left="256" w:right="6" w:firstLine="624"/>
    </w:pPr>
    <w:rPr>
      <w:rFonts w:eastAsia="仿宋_GB2312"/>
      <w:sz w:val="28"/>
    </w:rPr>
  </w:style>
  <w:style w:type="paragraph" w:styleId="1021" w:customStyle="1">
    <w:name w:val="目录 111"/>
    <w:basedOn w:val="788"/>
    <w:next w:val="736"/>
    <w:uiPriority w:val="0"/>
    <w:qFormat/>
    <w:pPr>
      <w:spacing w:after="100" w:line="259" w:lineRule="auto"/>
      <w:widowControl/>
    </w:pPr>
    <w:rPr>
      <w:rFonts w:ascii="Calibri" w:hAnsi="Calibri"/>
      <w:sz w:val="22"/>
      <w:szCs w:val="22"/>
    </w:rPr>
  </w:style>
  <w:style w:type="paragraph" w:styleId="1022" w:customStyle="1">
    <w:name w:val="纯文本1"/>
    <w:basedOn w:val="811"/>
    <w:uiPriority w:val="0"/>
    <w:qFormat/>
    <w:rPr>
      <w:rFonts w:ascii="宋体" w:hAnsi="Courier New"/>
      <w:szCs w:val="21"/>
    </w:rPr>
  </w:style>
  <w:style w:type="paragraph" w:styleId="1023" w:customStyle="1">
    <w:name w:val="文本块1"/>
    <w:basedOn w:val="811"/>
    <w:uiPriority w:val="0"/>
    <w:qFormat/>
    <w:pPr>
      <w:ind w:left="256" w:right="6" w:firstLine="624"/>
    </w:pPr>
    <w:rPr>
      <w:rFonts w:eastAsia="仿宋"/>
      <w:sz w:val="28"/>
      <w:szCs w:val="20"/>
    </w:rPr>
  </w:style>
  <w:style w:type="paragraph" w:styleId="1024" w:customStyle="1">
    <w:name w:val="目录 1112"/>
    <w:basedOn w:val="736"/>
    <w:next w:val="736"/>
    <w:uiPriority w:val="39"/>
    <w:qFormat/>
  </w:style>
  <w:style w:type="paragraph" w:styleId="1025" w:customStyle="1">
    <w:name w:val="页眉11"/>
    <w:basedOn w:val="736"/>
    <w:uiPriority w:val="0"/>
    <w:qFormat/>
    <w:pPr>
      <w:jc w:val="center"/>
      <w:tabs>
        <w:tab w:val="center" w:pos="4153" w:leader="none"/>
        <w:tab w:val="right" w:pos="8306" w:leader="none"/>
      </w:tabs>
      <w:pBdr>
        <w:bottom w:val="single" w:color="000000" w:sz="6" w:space="1"/>
      </w:pBdr>
    </w:pPr>
    <w:rPr>
      <w:sz w:val="18"/>
      <w:szCs w:val="18"/>
    </w:rPr>
  </w:style>
  <w:style w:type="paragraph" w:styleId="1026" w:customStyle="1">
    <w:name w:val="页脚11"/>
    <w:basedOn w:val="736"/>
    <w:uiPriority w:val="99"/>
    <w:qFormat/>
    <w:pPr>
      <w:jc w:val="left"/>
      <w:tabs>
        <w:tab w:val="center" w:pos="4153" w:leader="none"/>
        <w:tab w:val="right" w:pos="8306" w:leader="none"/>
      </w:tabs>
    </w:pPr>
    <w:rPr>
      <w:sz w:val="18"/>
      <w:szCs w:val="18"/>
    </w:rPr>
  </w:style>
  <w:style w:type="character" w:styleId="1027" w:customStyle="1">
    <w:name w:val="页码1"/>
    <w:uiPriority w:val="0"/>
    <w:qFormat/>
  </w:style>
  <w:style w:type="character" w:styleId="1028" w:customStyle="1">
    <w:name w:val="NormalCharacter1"/>
    <w:link w:val="736"/>
    <w:uiPriority w:val="0"/>
    <w:semiHidden/>
    <w:qFormat/>
    <w:rPr>
      <w:rFonts w:hint="default" w:ascii="Times New Roman" w:hAnsi="Times New Roman" w:eastAsia="宋体" w:cs="Times New Roman"/>
      <w:sz w:val="21"/>
      <w:szCs w:val="24"/>
      <w:lang w:val="en-US" w:eastAsia="zh-CN" w:bidi="ar-SA"/>
    </w:rPr>
  </w:style>
  <w:style w:type="numbering" w:styleId="10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李振</cp:lastModifiedBy>
  <cp:revision>298</cp:revision>
  <dcterms:created xsi:type="dcterms:W3CDTF">2021-06-29T06:28:00Z</dcterms:created>
  <dcterms:modified xsi:type="dcterms:W3CDTF">2026-07-28T01:46:48Z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091144ADB0574B9AAF64E4DDC57CCBAA_13</vt:lpwstr>
  </property>
  <property fmtid="{D5CDD505-2E9C-101B-9397-08002B2CF9AE}" pid="4" name="KSOTemplateDocerSaveRecord">
    <vt:lpwstr>eyJoZGlkIjoiMDljYzUzMWQ4OWI0YzBkYjYzMDRhZTY5ZjZkYmFmYTgiLCJ1c2VySWQiOiIxMzc1NTQ2OTE2In0=</vt:lpwstr>
  </property>
</Properties>
</file>