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r>
      <w:r/>
    </w:p>
    <w:p>
      <w:pPr>
        <w:jc w:val="both"/>
        <w:pageBreakBefore w:val="0"/>
        <w:spacing w:line="480" w:lineRule="auto"/>
        <w:rPr>
          <w:rFonts w:hint="eastAsia"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 xml:space="preserve">项目名称：</w:t>
      </w:r>
      <w:r>
        <w:rPr>
          <w:rFonts w:hint="eastAsia" w:ascii="宋体" w:hAnsi="宋体" w:cs="宋体"/>
          <w:b w:val="0"/>
          <w:bCs w:val="0"/>
          <w:color w:val="auto"/>
          <w:sz w:val="30"/>
          <w:szCs w:val="30"/>
          <w:highlight w:val="none"/>
          <w:lang w:val="en-US" w:eastAsia="zh-CN"/>
        </w:rPr>
        <w:t xml:space="preserve">睢宁县魏集中学食堂操作间改扩建及餐厅顶棚维修</w:t>
      </w:r>
      <w:r/>
    </w:p>
    <w:p>
      <w:pPr>
        <w:pStyle w:val="842"/>
        <w:ind w:left="0" w:firstLine="0"/>
        <w:spacing w:line="480" w:lineRule="auto"/>
        <w:rPr>
          <w:rFonts w:hint="default"/>
          <w:sz w:val="30"/>
          <w:szCs w:val="30"/>
          <w:highlight w:val="none"/>
          <w:lang w:val="en-US" w:eastAsia="zh-CN"/>
        </w:rPr>
      </w:pPr>
      <w:r>
        <w:rPr>
          <w:rFonts w:hint="eastAsia" w:ascii="宋体" w:hAnsi="宋体" w:eastAsia="宋体" w:cs="宋体"/>
          <w:b w:val="0"/>
          <w:bCs w:val="0"/>
          <w:color w:val="auto"/>
          <w:sz w:val="30"/>
          <w:szCs w:val="30"/>
          <w:highlight w:val="none"/>
          <w:lang w:val="en-US" w:eastAsia="zh-CN"/>
        </w:rPr>
        <w:t xml:space="preserve">项目编号：</w:t>
      </w:r>
      <w:r>
        <w:rPr>
          <w:rFonts w:hint="eastAsia" w:ascii="宋体" w:hAnsi="宋体" w:cs="宋体"/>
          <w:b w:val="0"/>
          <w:bCs w:val="0"/>
          <w:color w:val="auto"/>
          <w:sz w:val="30"/>
          <w:szCs w:val="30"/>
          <w:highlight w:val="none"/>
          <w:lang w:val="en-US" w:eastAsia="zh-CN"/>
        </w:rPr>
        <w:t xml:space="preserve">JSZC-320324-JSBD-C2026-0007</w:t>
      </w:r>
      <w:r/>
    </w:p>
    <w:p>
      <w:pPr>
        <w:jc w:val="both"/>
        <w:pageBreakBefore w:val="0"/>
        <w:spacing w:line="480" w:lineRule="auto"/>
        <w:rPr>
          <w:rFonts w:hint="eastAsia" w:ascii="宋体" w:hAnsi="宋体" w:eastAsia="宋体" w:cs="宋体"/>
          <w:b w:val="0"/>
          <w:bCs w:val="0"/>
          <w:color w:val="auto"/>
          <w:sz w:val="30"/>
          <w:szCs w:val="30"/>
          <w:highlight w:val="none"/>
          <w:lang w:val="en-US" w:eastAsia="zh-CN"/>
        </w:rPr>
      </w:pPr>
      <w:r>
        <w:rPr>
          <w:rFonts w:hint="eastAsia" w:ascii="宋体" w:hAnsi="宋体" w:eastAsia="宋体" w:cs="宋体"/>
          <w:b w:val="0"/>
          <w:bCs w:val="0"/>
          <w:color w:val="auto"/>
          <w:sz w:val="30"/>
          <w:szCs w:val="30"/>
          <w:highlight w:val="none"/>
          <w:lang w:eastAsia="zh-CN"/>
        </w:rPr>
        <w:t xml:space="preserve">采</w:t>
      </w:r>
      <w:r>
        <w:rPr>
          <w:rFonts w:hint="eastAsia" w:ascii="宋体" w:hAnsi="宋体" w:eastAsia="宋体" w:cs="宋体"/>
          <w:b w:val="0"/>
          <w:bCs w:val="0"/>
          <w:color w:val="auto"/>
          <w:sz w:val="30"/>
          <w:szCs w:val="30"/>
          <w:highlight w:val="none"/>
          <w:lang w:val="en-US" w:eastAsia="zh-CN"/>
        </w:rPr>
        <w:t xml:space="preserve"> </w:t>
      </w:r>
      <w:r>
        <w:rPr>
          <w:rFonts w:hint="eastAsia" w:ascii="宋体" w:hAnsi="宋体" w:eastAsia="宋体" w:cs="宋体"/>
          <w:b w:val="0"/>
          <w:bCs w:val="0"/>
          <w:color w:val="auto"/>
          <w:sz w:val="30"/>
          <w:szCs w:val="30"/>
          <w:highlight w:val="none"/>
          <w:lang w:eastAsia="zh-CN"/>
        </w:rPr>
        <w:t xml:space="preserve">购</w:t>
      </w:r>
      <w:r>
        <w:rPr>
          <w:rFonts w:hint="eastAsia" w:ascii="宋体" w:hAnsi="宋体" w:eastAsia="宋体" w:cs="宋体"/>
          <w:b w:val="0"/>
          <w:bCs w:val="0"/>
          <w:color w:val="auto"/>
          <w:sz w:val="30"/>
          <w:szCs w:val="30"/>
          <w:highlight w:val="none"/>
          <w:lang w:val="en-US" w:eastAsia="zh-CN"/>
        </w:rPr>
        <w:t xml:space="preserve"> </w:t>
      </w:r>
      <w:r>
        <w:rPr>
          <w:rFonts w:hint="eastAsia" w:ascii="宋体" w:hAnsi="宋体" w:eastAsia="宋体" w:cs="宋体"/>
          <w:b w:val="0"/>
          <w:bCs w:val="0"/>
          <w:color w:val="auto"/>
          <w:sz w:val="30"/>
          <w:szCs w:val="30"/>
          <w:highlight w:val="none"/>
          <w:lang w:eastAsia="zh-CN"/>
        </w:rPr>
        <w:t xml:space="preserve">人</w:t>
      </w:r>
      <w:r>
        <w:rPr>
          <w:rFonts w:hint="eastAsia" w:ascii="宋体" w:hAnsi="宋体" w:eastAsia="宋体" w:cs="宋体"/>
          <w:b w:val="0"/>
          <w:bCs w:val="0"/>
          <w:color w:val="auto"/>
          <w:sz w:val="30"/>
          <w:szCs w:val="30"/>
          <w:highlight w:val="none"/>
        </w:rPr>
        <w:t xml:space="preserve">：</w:t>
      </w:r>
      <w:r>
        <w:rPr>
          <w:rFonts w:hint="eastAsia" w:ascii="宋体" w:hAnsi="宋体" w:cs="宋体"/>
          <w:b w:val="0"/>
          <w:bCs w:val="0"/>
          <w:color w:val="auto"/>
          <w:sz w:val="30"/>
          <w:szCs w:val="30"/>
          <w:highlight w:val="none"/>
          <w:lang w:val="en-US" w:eastAsia="zh-CN"/>
        </w:rPr>
        <w:t xml:space="preserve">睢宁县魏集中学</w:t>
      </w:r>
      <w:r/>
    </w:p>
    <w:p>
      <w:pPr>
        <w:jc w:val="both"/>
        <w:pageBreakBefore w:val="0"/>
        <w:spacing w:line="480" w:lineRule="auto"/>
        <w:rPr>
          <w:rFonts w:hint="eastAsia" w:ascii="宋体" w:hAnsi="宋体" w:eastAsia="宋体" w:cs="宋体"/>
          <w:b w:val="0"/>
          <w:bCs w:val="0"/>
          <w:color w:val="auto"/>
          <w:sz w:val="30"/>
          <w:szCs w:val="30"/>
          <w:highlight w:val="none"/>
          <w:lang w:eastAsia="zh-CN"/>
        </w:rPr>
      </w:pPr>
      <w:r>
        <w:rPr>
          <w:rFonts w:hint="eastAsia" w:ascii="宋体" w:hAnsi="宋体" w:eastAsia="宋体" w:cs="宋体"/>
          <w:b w:val="0"/>
          <w:bCs w:val="0"/>
          <w:color w:val="auto"/>
          <w:sz w:val="30"/>
          <w:szCs w:val="30"/>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睢宁县魏集中学食堂操作间改扩建及餐厅顶棚维修</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睢宁县魏集中学</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睢宁县魏集中学食堂操作间改扩建及餐厅顶棚维修</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JSZC-320324-JSBD-C2026-0007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rPr>
        <w:t xml:space="preserve">具备</w:t>
      </w:r>
      <w:r>
        <w:rPr>
          <w:rFonts w:hint="eastAsia" w:ascii="宋体" w:hAnsi="宋体" w:eastAsia="宋体" w:cs="宋体"/>
          <w:b/>
          <w:bCs/>
          <w:color w:val="auto"/>
          <w:sz w:val="24"/>
          <w:szCs w:val="24"/>
          <w:highlight w:val="none"/>
          <w:lang w:val="en-US" w:eastAsia="zh-CN"/>
        </w:rPr>
        <w:t xml:space="preserve">建筑工程施工总承包叁级(含)以上资质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建筑工程专业贰级（含）以上注册建造师</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val="en-US" w:eastAsia="zh-CN"/>
        </w:rPr>
        <w:t xml:space="preserve">且无在建工程</w:t>
      </w:r>
      <w:r>
        <w:rPr>
          <w:rFonts w:hint="eastAsia" w:ascii="宋体" w:hAnsi="宋体" w:eastAsia="宋体" w:cs="宋体"/>
          <w:b/>
          <w:bCs/>
          <w:color w:val="000000"/>
          <w:sz w:val="24"/>
          <w:highlight w:val="none"/>
        </w:rPr>
        <w:t xml:space="preserve">(</w:t>
      </w:r>
      <w:r>
        <w:rPr>
          <w:rFonts w:hint="eastAsia" w:ascii="宋体" w:hAnsi="宋体" w:cs="宋体"/>
          <w:b/>
          <w:bCs/>
          <w:color w:val="000000"/>
          <w:sz w:val="24"/>
          <w:highlight w:val="none"/>
          <w:lang w:eastAsia="zh-CN"/>
        </w:rPr>
        <w:t xml:space="preserve">提供</w:t>
      </w:r>
      <w:r>
        <w:rPr>
          <w:rFonts w:hint="eastAsia" w:ascii="宋体" w:hAnsi="宋体" w:eastAsia="宋体" w:cs="宋体"/>
          <w:b/>
          <w:bCs/>
          <w:color w:val="000000"/>
          <w:sz w:val="24"/>
          <w:highlight w:val="none"/>
        </w:rPr>
        <w:t xml:space="preserve">承诺书</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w:t>
      </w:r>
      <w:r>
        <w:rPr>
          <w:rFonts w:hint="eastAsia" w:ascii="宋体" w:hAnsi="宋体" w:eastAsia="宋体" w:cs="宋体"/>
          <w:b/>
          <w:color w:val="000000"/>
          <w:sz w:val="24"/>
          <w:highlight w:val="none"/>
        </w:rPr>
        <w:t xml:space="preserve">间：</w:t>
      </w:r>
      <w:r>
        <w:rPr>
          <w:rFonts w:hint="eastAsia" w:ascii="宋体" w:hAnsi="宋体" w:cs="宋体"/>
          <w:b/>
          <w:color w:val="000000"/>
          <w:sz w:val="24"/>
          <w:highlight w:val="none"/>
          <w:lang w:eastAsia="zh-CN"/>
        </w:rPr>
        <w:t xml:space="preserve">2026年8</w:t>
      </w:r>
      <w:r>
        <w:rPr>
          <w:rFonts w:hint="eastAsia" w:ascii="宋体" w:hAnsi="宋体" w:cs="宋体"/>
          <w:b/>
          <w:color w:val="000000"/>
          <w:sz w:val="24"/>
          <w:highlight w:val="none"/>
          <w:lang w:eastAsia="zh-CN"/>
        </w:rPr>
        <w:t xml:space="preserve">月3</w:t>
      </w:r>
      <w:r>
        <w:rPr>
          <w:rFonts w:hint="eastAsia" w:ascii="宋体" w:hAnsi="宋体" w:cs="宋体"/>
          <w:b/>
          <w:color w:val="000000"/>
          <w:sz w:val="24"/>
          <w:highlight w:val="none"/>
          <w:lang w:eastAsia="zh-CN"/>
        </w:rPr>
        <w:t xml:space="preserve">日</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color w:val="000000"/>
          <w:sz w:val="24"/>
          <w:highlight w:val="none"/>
        </w:rPr>
        <w:t xml:space="preserve">，在截止</w:t>
      </w:r>
      <w:r>
        <w:rPr>
          <w:rFonts w:hint="eastAsia" w:ascii="宋体" w:hAnsi="宋体" w:eastAsia="宋体" w:cs="宋体"/>
          <w:color w:val="000000"/>
          <w:sz w:val="24"/>
          <w:highlight w:val="none"/>
        </w:rPr>
        <w:t xml:space="preserve">时间后提交的首次响应文件为无效文件，将被拒收。</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w:t>
      </w:r>
      <w:r>
        <w:rPr>
          <w:rFonts w:hint="eastAsia" w:ascii="宋体" w:hAnsi="宋体" w:eastAsia="宋体" w:cs="宋体"/>
          <w:b/>
          <w:bCs/>
          <w:sz w:val="24"/>
          <w:szCs w:val="24"/>
          <w:highlight w:val="none"/>
        </w:rPr>
        <w:t xml:space="preserve">间：</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lang w:eastAsia="zh-CN"/>
        </w:rPr>
        <w:t xml:space="preserve">月</w:t>
      </w:r>
      <w:r>
        <w:rPr>
          <w:rFonts w:hint="eastAsia" w:ascii="宋体" w:hAnsi="宋体" w:cs="宋体"/>
          <w:b/>
          <w:bCs/>
          <w:sz w:val="24"/>
          <w:szCs w:val="24"/>
          <w:highlight w:val="none"/>
          <w:lang w:eastAsia="zh-CN"/>
        </w:rPr>
        <w:t xml:space="preserve">3日</w:t>
      </w:r>
      <w:r>
        <w:rPr>
          <w:rFonts w:hint="eastAsia" w:ascii="宋体" w:hAnsi="宋体" w:eastAsia="宋体" w:cs="宋体"/>
          <w:b/>
          <w:bCs/>
          <w:sz w:val="24"/>
          <w:szCs w:val="24"/>
          <w:highlight w:val="none"/>
          <w:lang w:eastAsia="zh-CN"/>
        </w:rPr>
        <w:t xml:space="preserve">北京时</w:t>
      </w:r>
      <w:r>
        <w:rPr>
          <w:rFonts w:hint="eastAsia" w:ascii="宋体" w:hAnsi="宋体" w:eastAsia="宋体" w:cs="宋体"/>
          <w:b/>
          <w:bCs/>
          <w:sz w:val="24"/>
          <w:szCs w:val="24"/>
          <w:highlight w:val="none"/>
          <w:lang w:eastAsia="zh-CN"/>
        </w:rPr>
        <w:t xml:space="preserve">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10前。</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eastAsia="宋体" w:cs="宋体"/>
          <w:b/>
          <w:bCs/>
          <w:sz w:val="24"/>
          <w:szCs w:val="24"/>
          <w:highlight w:val="none"/>
        </w:rPr>
        <w:t xml:space="preserve">：</w:t>
      </w:r>
      <w:r>
        <w:rPr>
          <w:rFonts w:hint="eastAsia" w:ascii="宋体" w:hAnsi="宋体" w:cs="宋体"/>
          <w:b/>
          <w:bCs/>
          <w:sz w:val="24"/>
          <w:szCs w:val="24"/>
          <w:highlight w:val="none"/>
          <w:lang w:eastAsia="zh-CN"/>
        </w:rPr>
        <w:t xml:space="preserve">2026年</w:t>
      </w:r>
      <w:r>
        <w:rPr>
          <w:rFonts w:hint="eastAsia" w:ascii="宋体" w:hAnsi="宋体" w:cs="宋体"/>
          <w:b/>
          <w:bCs/>
          <w:sz w:val="24"/>
          <w:szCs w:val="24"/>
          <w:highlight w:val="none"/>
          <w:lang w:eastAsia="zh-CN"/>
        </w:rPr>
        <w:t xml:space="preserve">8月</w:t>
      </w:r>
      <w:r>
        <w:rPr>
          <w:rFonts w:hint="eastAsia" w:ascii="宋体" w:hAnsi="宋体" w:cs="宋体"/>
          <w:b/>
          <w:bCs/>
          <w:sz w:val="24"/>
          <w:szCs w:val="24"/>
          <w:highlight w:val="none"/>
          <w:lang w:eastAsia="zh-CN"/>
        </w:rPr>
        <w:t xml:space="preserve">3日</w:t>
      </w:r>
      <w:r>
        <w:rPr>
          <w:rFonts w:hint="eastAsia" w:ascii="宋体" w:hAnsi="宋体" w:eastAsia="宋体" w:cs="宋体"/>
          <w:b/>
          <w:bCs/>
          <w:sz w:val="24"/>
          <w:szCs w:val="24"/>
          <w:highlight w:val="none"/>
          <w:lang w:eastAsia="zh-CN"/>
        </w:rPr>
        <w:t xml:space="preserve">北京</w:t>
      </w:r>
      <w:r>
        <w:rPr>
          <w:rFonts w:hint="eastAsia" w:ascii="宋体" w:hAnsi="宋体" w:eastAsia="宋体" w:cs="宋体"/>
          <w:b/>
          <w:bCs/>
          <w:sz w:val="24"/>
          <w:szCs w:val="24"/>
          <w:highlight w:val="none"/>
          <w:lang w:eastAsia="zh-CN"/>
        </w:rPr>
        <w:t xml:space="preserve">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w:t>
      </w:r>
      <w:bookmarkStart w:id="25" w:name="_GoBack"/>
      <w:r/>
      <w:bookmarkEnd w:id="25"/>
      <w:r>
        <w:rPr>
          <w:rFonts w:hint="eastAsia" w:ascii="宋体" w:hAnsi="宋体" w:eastAsia="宋体" w:cs="宋体"/>
          <w:bCs/>
          <w:sz w:val="24"/>
          <w:szCs w:val="24"/>
          <w:highlight w:val="none"/>
        </w:rPr>
        <w:t xml:space="preserve">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5"/>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5"/>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5"/>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default"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  </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b/>
          <w:bCs/>
          <w:color w:val="auto"/>
          <w:sz w:val="24"/>
          <w:szCs w:val="24"/>
          <w:highlight w:val="none"/>
        </w:rPr>
        <w:t xml:space="preserve">具备</w:t>
      </w:r>
      <w:r>
        <w:rPr>
          <w:rFonts w:hint="eastAsia" w:ascii="宋体" w:hAnsi="宋体" w:eastAsia="宋体" w:cs="宋体"/>
          <w:b/>
          <w:bCs/>
          <w:color w:val="auto"/>
          <w:sz w:val="24"/>
          <w:szCs w:val="24"/>
          <w:highlight w:val="none"/>
          <w:lang w:val="en-US" w:eastAsia="zh-CN"/>
        </w:rPr>
        <w:t xml:space="preserve">建筑工程施工总承包叁级(含)以上资质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具备建筑工程专业贰级（含）以上注册建造师</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8"/>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8"/>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8"/>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杨钰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睢宁县魏集中学</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睢宁县魏集镇育才路</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董军</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15252298001</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杨钰</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0516-88300766/13775924985</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8"/>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15</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8"/>
              <w:numPr>
                <w:ilvl w:val="0"/>
                <w:numId w:val="0"/>
              </w:numPr>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采用低价优先法计算，即满足磋商文件要求且最后报价最低的</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的价格为磋商基准价，其价格分为满分。其他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b/>
                <w:color w:val="000000"/>
                <w:sz w:val="24"/>
                <w:szCs w:val="24"/>
                <w:highlight w:val="none"/>
              </w:rPr>
              <w:t xml:space="preserve">磋商报价得分=（磋商基准价/最后磋商报价）×</w:t>
            </w:r>
            <w:r>
              <w:rPr>
                <w:rFonts w:hint="eastAsia" w:ascii="宋体" w:hAnsi="宋体" w:cs="宋体"/>
                <w:b/>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（得分四舍五入保留小数点后2</w:t>
            </w:r>
            <w:r>
              <w:rPr>
                <w:rFonts w:hint="eastAsia" w:ascii="宋体" w:hAnsi="宋体" w:cs="宋体"/>
                <w:color w:val="000000"/>
                <w:sz w:val="24"/>
                <w:szCs w:val="24"/>
                <w:highlight w:val="none"/>
                <w:lang w:val="en-US" w:eastAsia="zh-CN"/>
              </w:rPr>
              <w:t xml:space="preserve">位</w:t>
            </w:r>
            <w:r>
              <w:rPr>
                <w:rFonts w:hint="eastAsia" w:ascii="宋体" w:hAnsi="宋体" w:eastAsia="宋体" w:cs="宋体"/>
                <w:color w:val="000000"/>
                <w:sz w:val="24"/>
                <w:szCs w:val="24"/>
                <w:highlight w:val="none"/>
              </w:rPr>
              <w:t xml:space="preserve">）</w:t>
            </w:r>
            <w:r/>
          </w:p>
        </w:tc>
      </w:tr>
      <w:tr>
        <w:trPr>
          <w:cantSplit/>
          <w:jc w:val="center"/>
          <w:trHeight w:val="1318"/>
        </w:trPr>
        <w:tc>
          <w:tcPr>
            <w:tcW w:w="1210" w:type="dxa"/>
            <w:vAlign w:val="center"/>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p>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7"/>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工程</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pStyle w:val="837"/>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81</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1037"/>
              <w:jc w:val="center"/>
              <w:rPr>
                <w:rFonts w:hint="eastAsia" w:ascii="宋体" w:hAnsi="宋体" w:cs="宋体"/>
                <w:color w:val="auto"/>
                <w:highlight w:val="none"/>
              </w:rPr>
            </w:pPr>
            <w:r>
              <w:rPr>
                <w:rFonts w:hint="eastAsia" w:ascii="宋体" w:hAnsi="宋体" w:cs="宋体"/>
                <w:color w:val="auto"/>
                <w:highlight w:val="none"/>
              </w:rPr>
              <w:t xml:space="preserve">总体施工方案</w:t>
            </w:r>
            <w:r/>
          </w:p>
          <w:p>
            <w:pPr>
              <w:jc w:val="center"/>
              <w:spacing w:line="360" w:lineRule="auto"/>
              <w:rPr>
                <w:rFonts w:hint="eastAsia" w:ascii="宋体" w:hAnsi="宋体" w:eastAsia="宋体" w:cs="宋体"/>
                <w:color w:val="000000"/>
                <w:sz w:val="24"/>
                <w:szCs w:val="24"/>
                <w:highlight w:val="none"/>
                <w:lang w:val="en-US" w:eastAsia="zh-CN" w:bidi="ar-SA"/>
              </w:rPr>
            </w:pPr>
            <w:r>
              <w:rPr>
                <w:rStyle w:val="1041"/>
                <w:rFonts w:hint="eastAsia" w:ascii="宋体" w:hAnsi="宋体" w:eastAsia="宋体" w:cs="宋体"/>
                <w:color w:val="000000"/>
                <w:sz w:val="24"/>
                <w:szCs w:val="24"/>
                <w:highlight w:val="none"/>
                <w:lang w:val="en-US" w:eastAsia="en-US"/>
              </w:rPr>
              <w:t xml:space="preserve">（</w:t>
            </w:r>
            <w:r>
              <w:rPr>
                <w:rStyle w:val="1041"/>
                <w:rFonts w:hint="eastAsia" w:ascii="宋体" w:hAnsi="宋体" w:cs="宋体"/>
                <w:color w:val="000000"/>
                <w:sz w:val="24"/>
                <w:szCs w:val="24"/>
                <w:highlight w:val="none"/>
                <w:lang w:val="en-US" w:eastAsia="zh-CN"/>
              </w:rPr>
              <w:t xml:space="preserve">10</w:t>
            </w:r>
            <w:r>
              <w:rPr>
                <w:rStyle w:val="1041"/>
                <w:rFonts w:hint="eastAsia" w:ascii="宋体" w:hAnsi="宋体" w:eastAsia="宋体" w:cs="宋体"/>
                <w:color w:val="000000"/>
                <w:sz w:val="24"/>
                <w:szCs w:val="24"/>
                <w:highlight w:val="none"/>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根据响应文件中的总体施工方案，对工程总体及重点部分施工方案及工艺方法进行综合评分。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分）：全面、具体、详实得4分；较全面得3分；基本全面得2分；不全面得1分。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分；可行性欠缺得1分。</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项目部组成、主要技术人员、机械配置、劳动力配置及保障措施</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7"/>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项目部组成、主要技术人员、机械配置、劳动力配置及保障措施投入计划的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7"/>
              <w:ind w:left="477" w:firstLine="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施工程序及总体组织部署</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对施工程序及总体组织部署的全面性、可行性、针对性进行评价：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firstLine="513"/>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957"/>
        </w:trPr>
        <w:tc>
          <w:tcPr>
            <w:tcW w:w="1210" w:type="dxa"/>
            <w:vAlign w:val="center"/>
            <w:vMerge w:val="continue"/>
            <w:textDirection w:val="lrTb"/>
            <w:noWrap w:val="false"/>
          </w:tcPr>
          <w:p>
            <w:pPr>
              <w:pStyle w:val="878"/>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安全文明施工保证措施</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bidi="hi-IN"/>
              </w:rPr>
              <w:t xml:space="preserve">根据响应文件中安全文明施工及环境保护措施</w:t>
            </w:r>
            <w:r>
              <w:rPr>
                <w:rFonts w:hint="eastAsia" w:ascii="宋体" w:hAnsi="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hi-IN"/>
              </w:rPr>
              <w:t xml:space="preserve">进行评分。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工程进度计划安排及保证措施</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工程进度计划安排及保证措施</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施工质量保证措施及目标</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根据响应文件中</w:t>
            </w:r>
            <w:r>
              <w:rPr>
                <w:rFonts w:hint="eastAsia" w:ascii="宋体" w:hAnsi="宋体" w:eastAsia="宋体" w:cs="宋体"/>
                <w:color w:val="auto"/>
                <w:sz w:val="24"/>
                <w:szCs w:val="24"/>
                <w:highlight w:val="none"/>
                <w:lang w:bidi="hi-IN"/>
              </w:rPr>
              <w:t xml:space="preserve">施工质量保证措施及目标</w:t>
            </w:r>
            <w:r>
              <w:rPr>
                <w:rFonts w:hint="eastAsia" w:ascii="宋体" w:hAnsi="宋体" w:eastAsia="宋体" w:cs="宋体"/>
                <w:color w:val="auto"/>
                <w:sz w:val="24"/>
                <w:szCs w:val="24"/>
                <w:highlight w:val="none"/>
                <w:lang w:val="en-US" w:eastAsia="zh-CN" w:bidi="hi-IN"/>
              </w:rPr>
              <w:t xml:space="preserve">的</w:t>
            </w:r>
            <w:r>
              <w:rPr>
                <w:rFonts w:hint="eastAsia" w:ascii="宋体" w:hAnsi="宋体" w:eastAsia="宋体" w:cs="宋体"/>
                <w:color w:val="auto"/>
                <w:sz w:val="24"/>
                <w:szCs w:val="24"/>
                <w:highlight w:val="none"/>
                <w:lang w:val="en-US" w:eastAsia="zh-CN" w:bidi="ar-SA"/>
              </w:rPr>
              <w:t xml:space="preserve">全面性、可行性、</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进行综合评价：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firstLine="513"/>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关键施工技术、工艺及工程项目实施的重点、难点和解决方</w:t>
            </w:r>
            <w:r/>
          </w:p>
          <w:p>
            <w:pPr>
              <w:pStyle w:val="835"/>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w:t>
            </w:r>
            <w:r>
              <w:rPr>
                <w:rFonts w:hint="eastAsia" w:ascii="宋体" w:hAnsi="宋体" w:cs="宋体"/>
                <w:color w:val="auto"/>
                <w:sz w:val="24"/>
                <w:szCs w:val="24"/>
                <w:highlight w:val="none"/>
                <w:lang w:val="en-US" w:eastAsia="zh-CN" w:bidi="hi-IN"/>
              </w:rPr>
              <w:t xml:space="preserve">10</w:t>
            </w:r>
            <w:r>
              <w:rPr>
                <w:rFonts w:hint="eastAsia" w:ascii="宋体" w:hAnsi="宋体" w:eastAsia="宋体" w:cs="宋体"/>
                <w:color w:val="auto"/>
                <w:sz w:val="24"/>
                <w:szCs w:val="24"/>
                <w:highlight w:val="none"/>
                <w:lang w:bidi="hi-IN"/>
              </w:rPr>
              <w:t xml:space="preserve">分）</w:t>
            </w:r>
            <w:r/>
          </w:p>
        </w:tc>
        <w:tc>
          <w:tcPr>
            <w:shd w:val="clear" w:color="auto" w:fill="auto"/>
            <w:tcW w:w="6779" w:type="dxa"/>
            <w:vAlign w:val="center"/>
            <w:textDirection w:val="lrTb"/>
            <w:noWrap w:val="false"/>
          </w:tcPr>
          <w:p>
            <w:pPr>
              <w:pStyle w:val="835"/>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bidi="hi-IN"/>
              </w:rPr>
            </w:pPr>
            <w:r>
              <w:rPr>
                <w:rFonts w:hint="eastAsia" w:ascii="宋体" w:hAnsi="宋体" w:eastAsia="宋体" w:cs="宋体"/>
                <w:color w:val="auto"/>
                <w:sz w:val="24"/>
                <w:szCs w:val="24"/>
                <w:highlight w:val="none"/>
                <w:lang w:bidi="hi-IN"/>
              </w:rPr>
              <w:t xml:space="preserve">对关键施工技术、工艺及工程项目实施的重难点和解决方案的</w:t>
            </w:r>
            <w:r>
              <w:rPr>
                <w:rFonts w:hint="eastAsia" w:ascii="宋体" w:hAnsi="宋体" w:eastAsia="宋体" w:cs="宋体"/>
                <w:color w:val="auto"/>
                <w:sz w:val="24"/>
                <w:szCs w:val="24"/>
                <w:highlight w:val="none"/>
                <w:lang w:val="en-US" w:eastAsia="zh-CN" w:bidi="ar-SA"/>
              </w:rPr>
              <w:t xml:space="preserve">全面性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color w:val="auto"/>
                <w:sz w:val="24"/>
                <w:szCs w:val="24"/>
                <w:highlight w:val="none"/>
                <w:lang w:val="en-US" w:eastAsia="zh-CN" w:bidi="ar-SA"/>
              </w:rPr>
              <w:t xml:space="preserve">可行性</w:t>
            </w:r>
            <w:r>
              <w:rPr>
                <w:rFonts w:hint="eastAsia" w:ascii="宋体" w:hAnsi="宋体" w:eastAsia="宋体" w:cs="宋体"/>
                <w:color w:val="auto"/>
                <w:sz w:val="24"/>
                <w:szCs w:val="24"/>
                <w:highlight w:val="none"/>
                <w:lang w:bidi="hi-IN"/>
              </w:rPr>
              <w:t xml:space="preserve">、</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bidi="hi-IN"/>
              </w:rPr>
              <w:t xml:space="preserve">进行评价：</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（1）全面性（4分）：全面、具体、详实得4分；较全面得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分；基本全面得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分；不全面得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（2）可行性（3分）：切实可行得3分；较切实可行得2分；基本可行得1分；可行性欠缺得0分。</w:t>
            </w:r>
            <w:r/>
          </w:p>
          <w:p>
            <w:pPr>
              <w:ind w:firstLine="480"/>
              <w:keepLines w:val="0"/>
              <w:keepNext w:val="0"/>
              <w:pageBreakBefore w:val="0"/>
              <w:spacing w:line="312" w:lineRule="auto"/>
              <w:tabs>
                <w:tab w:val="left" w:pos="945" w:leader="none"/>
                <w:tab w:val="left" w:pos="987"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rPr>
                <w:rFonts w:hint="eastAsia" w:ascii="宋体" w:hAnsi="宋体" w:eastAsia="宋体" w:cs="宋体"/>
                <w:bCs/>
                <w:caps w:val="0"/>
                <w:spacing w:val="0"/>
                <w:sz w:val="24"/>
                <w:szCs w:val="24"/>
                <w:highlight w:val="none"/>
                <w:lang w:eastAsia="zh-CN"/>
              </w:rPr>
              <w:t xml:space="preserve">针对性</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分）：切实可行得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分；较切实可行得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分；基本可行得1分；可行性欠缺得0分。</w:t>
            </w:r>
            <w:r/>
          </w:p>
          <w:p>
            <w:pPr>
              <w:pStyle w:val="835"/>
              <w:ind w:left="239" w:firstLine="24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rPr>
              <w:t xml:space="preserve">（4）未提供得0分。</w:t>
            </w:r>
            <w:r/>
          </w:p>
        </w:tc>
      </w:tr>
      <w:tr>
        <w:trPr>
          <w:cantSplit/>
          <w:jc w:val="center"/>
          <w:trHeight w:val="1356"/>
        </w:trPr>
        <w:tc>
          <w:tcPr>
            <w:tcW w:w="1210" w:type="dxa"/>
            <w:vAlign w:val="center"/>
            <w:vMerge w:val="continue"/>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售后服务方案</w:t>
            </w:r>
            <w:r/>
          </w:p>
          <w:p>
            <w:pPr>
              <w:pStyle w:val="835"/>
              <w:jc w:val="center"/>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bidi="ar-SA"/>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ind w:left="0" w:right="0" w:firstLine="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rPr>
                <w:rFonts w:hint="eastAsia" w:ascii="宋体" w:hAnsi="宋体" w:eastAsia="宋体" w:cs="宋体"/>
                <w:color w:val="auto"/>
                <w:sz w:val="24"/>
                <w:szCs w:val="24"/>
                <w:highlight w:val="none"/>
                <w:lang w:val="en-US" w:eastAsia="zh-CN" w:bidi="ar-SA"/>
              </w:rPr>
              <w:t xml:space="preserve">缺陷责任期内的服务方案，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内容详细具体、科学合理、针对性强、内容完整的得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内容基本完整、针对性较强、基本符合要求的得</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内容一般、基本可行的得</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p>
          <w:p>
            <w:pPr>
              <w:ind w:left="0" w:right="0" w:firstLine="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无具体内容的，得</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p>
          <w:p>
            <w:pPr>
              <w:pStyle w:val="1037"/>
              <w:jc w:val="both"/>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auto"/>
                <w:sz w:val="24"/>
                <w:szCs w:val="24"/>
                <w:highlight w:val="none"/>
                <w:lang w:val="en-US" w:eastAsia="zh-CN" w:bidi="ar-SA"/>
              </w:rPr>
              <w:t xml:space="preserve">缺陷责任期外的服务方案，</w:t>
            </w:r>
            <w:r>
              <w:rPr>
                <w:rFonts w:hint="eastAsia" w:ascii="宋体" w:hAnsi="宋体" w:cs="宋体"/>
                <w:color w:val="auto"/>
                <w:sz w:val="24"/>
                <w:szCs w:val="24"/>
                <w:highlight w:val="none"/>
                <w:lang w:eastAsia="zh-CN"/>
              </w:rPr>
              <w:t xml:space="preserve">对方案内容的完整性、合理性、可行性进行评价</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eastAsia="zh-CN"/>
              </w:rPr>
              <w:t xml:space="preserve">（满分</w:t>
            </w:r>
            <w:r>
              <w:rPr>
                <w:rFonts w:hint="eastAsia" w:ascii="宋体" w:hAnsi="宋体" w:cs="宋体"/>
                <w:color w:val="000000"/>
                <w:sz w:val="24"/>
                <w:highlight w:val="none"/>
                <w:lang w:val="en-US" w:eastAsia="zh-CN"/>
              </w:rPr>
              <w:t xml:space="preserve">4分</w:t>
            </w:r>
            <w:r>
              <w:rPr>
                <w:rFonts w:hint="eastAsia" w:ascii="宋体" w:hAnsi="宋体" w:cs="宋体"/>
                <w:color w:val="000000"/>
                <w:sz w:val="24"/>
                <w:highlight w:val="none"/>
                <w:lang w:eastAsia="zh-CN"/>
              </w:rPr>
              <w:t xml:space="preserve">）</w:t>
            </w:r>
            <w:r/>
          </w:p>
          <w:p>
            <w:pPr>
              <w:pStyle w:val="835"/>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详细具体、科学合理、措施可靠，组织严谨、针对性强的得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分；</w:t>
            </w:r>
            <w:r/>
          </w:p>
          <w:p>
            <w:pPr>
              <w:pStyle w:val="835"/>
              <w:numPr>
                <w:ilvl w:val="0"/>
                <w:numId w:val="0"/>
              </w:numPr>
              <w:jc w:val="left"/>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(2)较完整合理的得3分</w:t>
            </w:r>
            <w:r>
              <w:rPr>
                <w:rFonts w:hint="eastAsia" w:ascii="宋体" w:hAnsi="宋体" w:cs="宋体"/>
                <w:color w:val="auto"/>
                <w:sz w:val="24"/>
                <w:szCs w:val="24"/>
                <w:highlight w:val="none"/>
                <w:lang w:eastAsia="zh-CN"/>
              </w:rPr>
              <w:t xml:space="preserve">；</w:t>
            </w:r>
            <w:r/>
          </w:p>
          <w:p>
            <w:pPr>
              <w:ind w:left="0" w:right="0" w:firstLine="0"/>
              <w:spacing w:before="0" w:after="0" w:line="360" w:lineRule="auto"/>
              <w:rPr>
                <w:rFonts w:hint="eastAsia"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内容</w:t>
            </w:r>
            <w:r>
              <w:rPr>
                <w:rFonts w:hint="eastAsia" w:ascii="宋体" w:hAnsi="宋体" w:cs="宋体"/>
                <w:color w:val="auto"/>
                <w:sz w:val="24"/>
                <w:szCs w:val="24"/>
                <w:highlight w:val="none"/>
                <w:lang w:val="en-US" w:eastAsia="zh-CN"/>
              </w:rPr>
              <w:t xml:space="preserve">较差</w:t>
            </w:r>
            <w:r>
              <w:rPr>
                <w:rFonts w:hint="eastAsia" w:ascii="宋体" w:hAnsi="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分；</w:t>
            </w:r>
            <w:r/>
          </w:p>
          <w:p>
            <w:pPr>
              <w:pStyle w:val="835"/>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TW" w:bidi="ar-SA"/>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无具体内容的得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w:t>
            </w:r>
            <w:r/>
          </w:p>
        </w:tc>
      </w:tr>
      <w:tr>
        <w:trPr>
          <w:cantSplit/>
          <w:jc w:val="center"/>
          <w:trHeight w:val="1356"/>
        </w:trPr>
        <w:tc>
          <w:tcPr>
            <w:tcW w:w="1210" w:type="dxa"/>
            <w:vAlign w:val="center"/>
            <w:textDirection w:val="lrTb"/>
            <w:noWrap w:val="false"/>
          </w:tcPr>
          <w:p>
            <w:pPr>
              <w:pStyle w:val="878"/>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工期</w:t>
            </w:r>
            <w:r/>
          </w:p>
          <w:p>
            <w:pPr>
              <w:pStyle w:val="835"/>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shd w:val="clear" w:color="auto" w:fill="auto"/>
            <w:tcW w:w="6779" w:type="dxa"/>
            <w:vAlign w:val="center"/>
            <w:textDirection w:val="lrTb"/>
            <w:noWrap w:val="false"/>
          </w:tcPr>
          <w:p>
            <w:pPr>
              <w:pStyle w:val="835"/>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hi-IN"/>
              </w:rPr>
            </w:pPr>
            <w:r>
              <w:rPr>
                <w:rFonts w:hint="eastAsia" w:ascii="宋体" w:hAnsi="宋体" w:eastAsia="宋体" w:cs="宋体"/>
                <w:color w:val="auto"/>
                <w:sz w:val="24"/>
                <w:szCs w:val="24"/>
                <w:highlight w:val="none"/>
                <w:lang w:val="en-US" w:eastAsia="zh-CN"/>
              </w:rPr>
              <w:t xml:space="preserve">满足基本工期要求前提下，每提前</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天完成，增加</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cs="宋体"/>
          <w:b/>
          <w:color w:val="000000"/>
          <w:sz w:val="24"/>
          <w:highlight w:val="none"/>
          <w:u w:val="single"/>
          <w:lang w:eastAsia="zh-CN"/>
        </w:rPr>
        <w:t xml:space="preserve">1199832.86</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rPr>
          <w:rFonts w:hint="eastAsia" w:ascii="宋体" w:hAnsi="宋体" w:cs="宋体"/>
          <w:b w:val="0"/>
          <w:bCs w:val="0"/>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睢宁县魏集中学食堂操作间改扩建及餐厅顶棚维修</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睢宁县魏集中学</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食堂、操作间、改扩建、餐厅、顶棚维修及线路改造等，</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JSZC-320324-JSBD-C2026-0007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睢宁县魏集中学食堂操作间改扩建及餐厅顶棚维修</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睢宁县魏集中学食堂操作间改扩建及餐厅顶棚维修</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3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35"/>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3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35"/>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35"/>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睢宁县魏集中学食堂操作间改扩建及餐厅顶棚维修</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睢宁县魏集中学食堂操作间改扩建及餐厅顶棚维修</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203"/>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0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JSZC-320324-JSBD-C2026-0007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睢宁县魏集中学食堂操作间改扩建及餐厅顶棚维修</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85" w:lineRule="atLeast"/>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睢宁县魏集中学</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睢宁县魏集中学食堂操作间改扩建及餐厅顶棚维修</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睢宁县魏集中学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食堂、操作间、改扩建、餐厅、顶棚维修及线路改造等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p>
    <w:p>
      <w:pPr>
        <w:ind w:left="0" w:right="0" w:firstLine="480"/>
        <w:keepLines w:val="0"/>
        <w:keepNext w:val="0"/>
        <w:pageBreakBefore w:val="0"/>
        <w:spacing w:line="360" w:lineRule="auto"/>
        <w:widowControl w:val="off"/>
        <w:rPr>
          <w:rFonts w:hint="eastAsia" w:ascii="宋体" w:hAnsi="宋体" w:cs="宋体"/>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食堂、操作间、改扩建、餐厅、顶棚维修及线路改造等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，具体详见磋商文件工程量清单及图纸所含全部内容。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35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36"/>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w:t>
      </w:r>
      <w:r>
        <w:rPr>
          <w:rFonts w:hint="eastAsia" w:ascii="宋体" w:hAnsi="宋体" w:cs="宋体"/>
          <w:b/>
          <w:bCs/>
          <w:color w:val="auto"/>
          <w:sz w:val="24"/>
          <w:szCs w:val="24"/>
          <w:highlight w:val="none"/>
          <w:lang w:val="en-US" w:eastAsia="zh-CN"/>
        </w:rPr>
        <w:t xml:space="preserve">且财政资金已到后</w:t>
      </w:r>
      <w:r>
        <w:rPr>
          <w:rFonts w:hint="eastAsia" w:ascii="宋体" w:hAnsi="宋体" w:eastAsia="宋体" w:cs="宋体"/>
          <w:b/>
          <w:bCs/>
          <w:color w:val="auto"/>
          <w:sz w:val="24"/>
          <w:szCs w:val="24"/>
          <w:highlight w:val="none"/>
          <w:lang w:val="en-US" w:eastAsia="zh-CN"/>
        </w:rPr>
        <w:t xml:space="preserve">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35"/>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35"/>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35"/>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lang w:val="en-US" w:eastAsia="zh-CN"/>
        </w:rPr>
        <w:t xml:space="preserve">财政资金到位，</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21433"/>
      <w:r/>
      <w:bookmarkStart w:id="4" w:name="_Toc27550107"/>
      <w:r/>
      <w:bookmarkStart w:id="5" w:name="_Toc5820"/>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27550108"/>
      <w:r/>
      <w:bookmarkStart w:id="7" w:name="_Toc8863"/>
      <w:r/>
      <w:bookmarkStart w:id="8" w:name="_Toc4885"/>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35"/>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39"/>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睢宁县魏集中学</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35"/>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347226"/>
      <w:r/>
      <w:bookmarkStart w:id="10" w:name="_Toc296346728"/>
      <w:r/>
      <w:bookmarkStart w:id="11" w:name="_Toc296891055"/>
      <w:r/>
      <w:bookmarkStart w:id="12" w:name="_Toc296891267"/>
      <w:r/>
      <w:bookmarkStart w:id="13" w:name="_Toc296503227"/>
      <w:r/>
      <w:bookmarkStart w:id="14" w:name="_Toc296944566"/>
      <w:r/>
      <w:bookmarkStart w:id="15" w:name="_Toc267261698"/>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35"/>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83"/>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35"/>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83"/>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35"/>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6"/>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5"/>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944567"/>
      <w:r/>
      <w:bookmarkStart w:id="17" w:name="_Toc296503228"/>
      <w:r/>
      <w:bookmarkStart w:id="18" w:name="_Toc296347227"/>
      <w:r/>
      <w:bookmarkStart w:id="19" w:name="_Toc267261699"/>
      <w:r/>
      <w:bookmarkStart w:id="20" w:name="_Toc296891056"/>
      <w:r/>
      <w:bookmarkStart w:id="21" w:name="_Toc296346729"/>
      <w:r/>
      <w:bookmarkStart w:id="22" w:name="_Toc296891268"/>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35"/>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83"/>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8"/>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9"/>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0"/>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8"/>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7"/>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7"/>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7"/>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JSZC-320324-JSBD-C2026-0007</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睢宁县魏集中学食堂操作间改扩建及餐厅顶棚维修</w:t>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JSZC-320324-JSBD-C2026-0007 </w:t>
      </w:r>
      <w:r/>
    </w:p>
    <w:p>
      <w:pPr>
        <w:ind w:left="0" w:right="0" w:firstLine="504"/>
        <w:jc w:val="both"/>
        <w:keepLines w:val="0"/>
        <w:keepNext w:val="0"/>
        <w:pageBreakBefore w:val="0"/>
        <w:spacing w:before="0" w:after="0" w:line="360" w:lineRule="auto"/>
        <w:widowControl w:val="off"/>
        <w:rPr>
          <w:rFonts w:hint="eastAsia" w:ascii="宋体" w:hAnsi="宋体" w:eastAsia="宋体" w:cs="宋体"/>
          <w:color w:val="000000"/>
          <w:spacing w:val="6"/>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睢宁县魏集中学</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keepLines w:val="0"/>
        <w:keepNext w:val="0"/>
        <w:pageBreakBefore w:val="0"/>
        <w:spacing w:before="0" w:after="0" w:line="360" w:lineRule="auto"/>
        <w:widowControl w:val="off"/>
        <w:rPr>
          <w:rFonts w:hint="eastAsia" w:ascii="宋体" w:hAnsi="宋体" w:eastAsia="宋体" w:cs="宋体"/>
          <w:color w:val="000000"/>
          <w:spacing w:val="6"/>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r>
      <w:r/>
    </w:p>
    <w:p>
      <w:pPr>
        <w:ind w:left="0" w:right="0" w:firstLine="504"/>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睢宁县魏集中学食堂操作间改扩建及餐厅顶棚维修</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keepLines w:val="0"/>
        <w:keepNext w:val="0"/>
        <w:pageBreakBefore w:val="0"/>
        <w:spacing w:before="0" w:after="0"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7"/>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睢宁县魏集中学食堂操作间改扩建及餐厅顶棚维修</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u w:val="none"/>
        </w:rPr>
        <w:t xml:space="preserve">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睢宁县魏集中学食堂操作间改扩建及餐厅顶棚维修</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JSZC-320324-JSBD-C2026-0007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7"/>
        <w:rPr>
          <w:highlight w:val="none"/>
        </w:rPr>
      </w:pPr>
      <w:r>
        <w:rPr>
          <w:highlight w:val="none"/>
        </w:rPr>
      </w:r>
      <w:r/>
    </w:p>
    <w:p>
      <w:pPr>
        <w:pStyle w:val="877"/>
        <w:rPr>
          <w:highlight w:val="none"/>
        </w:rPr>
      </w:pPr>
      <w:r>
        <w:rPr>
          <w:highlight w:val="none"/>
        </w:rPr>
      </w:r>
      <w:r/>
    </w:p>
    <w:p>
      <w:pPr>
        <w:pStyle w:val="877"/>
        <w:rPr>
          <w:highlight w:val="none"/>
        </w:rPr>
      </w:pPr>
      <w:r>
        <w:rPr>
          <w:highlight w:val="none"/>
        </w:rPr>
      </w:r>
      <w:r/>
    </w:p>
    <w:p>
      <w:pPr>
        <w:pStyle w:val="877"/>
        <w:rPr>
          <w:highlight w:val="none"/>
        </w:rPr>
      </w:pPr>
      <w:r>
        <w:rPr>
          <w:highlight w:val="none"/>
        </w:rPr>
      </w:r>
      <w:r/>
    </w:p>
    <w:p>
      <w:pPr>
        <w:pStyle w:val="877"/>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val="en-US" w:eastAsia="zh-CN"/>
        </w:rPr>
        <w:t xml:space="preserve">睢宁县魏集中学食堂操作间改扩建及餐厅顶棚维修</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项目编号：JSZC-320324-JSBD-C2026-0007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睢宁县魏集中学食堂操作间改扩建及餐厅顶棚维修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JSZC-320324-JSBD-C2026-0007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7"/>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3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35"/>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eastAsia="宋体" w:cs="宋体"/>
          <w:color w:val="000000"/>
          <w:sz w:val="24"/>
          <w:szCs w:val="24"/>
        </w:rPr>
        <w:t xml:space="preserve">根据《关于进一步规范政府采购活动相关费用管理的通知》（苏财规〔2026〕1号）规定，本项目代理服务费由采购人支付。</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decimal"/>
      <w:pStyle w:val="870"/>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6"/>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67"/>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90"/>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1"/>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2"/>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3"/>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1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标题 41"/>
    <w:basedOn w:val="833"/>
    <w:next w:val="835"/>
    <w:uiPriority w:val="9"/>
    <w:unhideWhenUsed/>
    <w:qFormat/>
    <w:pPr>
      <w:keepLines/>
      <w:keepNext/>
      <w:spacing w:before="320"/>
      <w:outlineLvl w:val="3"/>
    </w:pPr>
    <w:rPr>
      <w:rFonts w:ascii="Arial" w:hAnsi="Arial" w:eastAsia="Arial" w:cs="Arial"/>
      <w:b/>
      <w:bCs/>
      <w:sz w:val="26"/>
      <w:szCs w:val="26"/>
    </w:rPr>
  </w:style>
  <w:style w:type="paragraph" w:styleId="833" w:customStyle="1">
    <w:name w:val="正文12"/>
    <w:next w:val="834"/>
    <w:uiPriority w:val="0"/>
    <w:qFormat/>
    <w:rPr>
      <w:rFonts w:hint="default" w:ascii="Times New Roman" w:hAnsi="Times New Roman" w:eastAsia="宋体" w:cs="Times New Roman"/>
      <w:lang w:val="en-US" w:eastAsia="zh-CN" w:bidi="ar-SA"/>
    </w:rPr>
  </w:style>
  <w:style w:type="paragraph" w:styleId="834" w:customStyle="1">
    <w:name w:val="正文文本111"/>
    <w:basedOn w:val="833"/>
    <w:next w:val="833"/>
    <w:uiPriority w:val="0"/>
    <w:qFormat/>
  </w:style>
  <w:style w:type="paragraph" w:styleId="835" w:customStyle="1">
    <w:name w:val="正文11"/>
    <w:next w:val="8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6" w:customStyle="1">
    <w:name w:val="文本块1"/>
    <w:basedOn w:val="831"/>
    <w:next w:val="832"/>
    <w:uiPriority w:val="0"/>
    <w:qFormat/>
    <w:pPr>
      <w:ind w:left="420" w:right="33"/>
      <w:jc w:val="left"/>
    </w:pPr>
    <w:rPr>
      <w:rFonts w:ascii="Times New Roman" w:hAnsi="Times New Roman" w:eastAsia="宋体"/>
      <w:sz w:val="24"/>
      <w:szCs w:val="20"/>
    </w:rPr>
  </w:style>
  <w:style w:type="paragraph" w:styleId="837" w:customStyle="1">
    <w:name w:val="段"/>
    <w:basedOn w:val="838"/>
    <w:next w:val="813"/>
    <w:uiPriority w:val="0"/>
    <w:qFormat/>
    <w:pPr>
      <w:ind w:firstLine="200"/>
      <w:widowControl/>
    </w:pPr>
    <w:rPr>
      <w:sz w:val="20"/>
    </w:rPr>
  </w:style>
  <w:style w:type="paragraph" w:styleId="838" w:customStyle="1">
    <w:name w:val="正文1"/>
    <w:basedOn w:val="831"/>
    <w:next w:val="839"/>
    <w:uiPriority w:val="0"/>
    <w:qFormat/>
    <w:pPr>
      <w:jc w:val="left"/>
      <w:spacing w:line="360" w:lineRule="atLeast"/>
    </w:pPr>
    <w:rPr>
      <w:rFonts w:ascii="宋体" w:hAnsiTheme="minorHAnsi" w:eastAsiaTheme="minorEastAsia" w:cstheme="minorBidi"/>
      <w:sz w:val="24"/>
      <w:szCs w:val="20"/>
    </w:rPr>
  </w:style>
  <w:style w:type="paragraph" w:styleId="839" w:customStyle="1">
    <w:name w:val="目录 11"/>
    <w:basedOn w:val="833"/>
    <w:next w:val="833"/>
    <w:uiPriority w:val="0"/>
    <w:qFormat/>
    <w:pPr>
      <w:jc w:val="left"/>
      <w:spacing w:before="120" w:after="120"/>
    </w:pPr>
    <w:rPr>
      <w:rFonts w:ascii="Calibri" w:hAnsi="Calibri"/>
      <w:b/>
      <w:bCs/>
      <w:caps/>
      <w:sz w:val="20"/>
      <w:szCs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1"/>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7"/>
    <w:uiPriority w:val="11"/>
    <w:qFormat/>
    <w:pPr>
      <w:spacing w:before="200" w:after="200"/>
    </w:pPr>
    <w:rPr>
      <w:sz w:val="24"/>
      <w:szCs w:val="24"/>
    </w:rPr>
  </w:style>
  <w:style w:type="paragraph" w:styleId="852">
    <w:name w:val="footnote text"/>
    <w:basedOn w:val="813"/>
    <w:next w:val="827"/>
    <w:link w:val="1030"/>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6"/>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character" w:styleId="867" w:customStyle="1">
    <w:name w:val="Heading 3 Char"/>
    <w:basedOn w:val="823"/>
    <w:link w:val="816"/>
    <w:uiPriority w:val="9"/>
    <w:qFormat/>
    <w:rPr>
      <w:rFonts w:ascii="Arial" w:hAnsi="Arial" w:eastAsia="Arial" w:cs="Arial"/>
      <w:sz w:val="30"/>
      <w:szCs w:val="30"/>
    </w:rPr>
  </w:style>
  <w:style w:type="paragraph" w:styleId="868" w:customStyle="1">
    <w:name w:val="正文文本缩进1"/>
    <w:basedOn w:val="838"/>
    <w:next w:val="869"/>
    <w:uiPriority w:val="0"/>
    <w:qFormat/>
    <w:pPr>
      <w:ind w:left="420"/>
      <w:spacing w:after="120"/>
    </w:pPr>
  </w:style>
  <w:style w:type="paragraph" w:styleId="869" w:customStyle="1">
    <w:name w:val="寄信人地址1"/>
    <w:basedOn w:val="833"/>
    <w:uiPriority w:val="0"/>
    <w:qFormat/>
    <w:rPr>
      <w:rFonts w:ascii="Arial" w:hAnsi="Arial" w:eastAsia="Arial"/>
    </w:rPr>
  </w:style>
  <w:style w:type="paragraph" w:styleId="870" w:customStyle="1">
    <w:name w:val="标题 21"/>
    <w:basedOn w:val="831"/>
    <w:next w:val="871"/>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71" w:customStyle="1">
    <w:name w:val="正文1111"/>
    <w:next w:val="8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2" w:customStyle="1">
    <w:name w:val="正文文本1"/>
    <w:basedOn w:val="831"/>
    <w:next w:val="829"/>
    <w:uiPriority w:val="0"/>
    <w:qFormat/>
    <w:pPr>
      <w:spacing w:after="120"/>
    </w:pPr>
  </w:style>
  <w:style w:type="paragraph" w:styleId="873" w:customStyle="1">
    <w:name w:val="文本块11"/>
    <w:basedOn w:val="833"/>
    <w:uiPriority w:val="0"/>
    <w:qFormat/>
    <w:pPr>
      <w:ind w:left="256" w:right="6" w:firstLine="624"/>
    </w:pPr>
    <w:rPr>
      <w:rFonts w:ascii="Arial" w:hAnsi="Arial" w:eastAsia="仿宋"/>
      <w:sz w:val="28"/>
    </w:rPr>
  </w:style>
  <w:style w:type="paragraph" w:styleId="874" w:customStyle="1">
    <w:name w:val="标题 111"/>
    <w:basedOn w:val="835"/>
    <w:next w:val="835"/>
    <w:uiPriority w:val="0"/>
    <w:qFormat/>
    <w:pPr>
      <w:jc w:val="center"/>
      <w:keepLines/>
      <w:keepNext/>
      <w:spacing w:line="578" w:lineRule="auto"/>
      <w:outlineLvl w:val="0"/>
    </w:pPr>
    <w:rPr>
      <w:rFonts w:eastAsia="新宋体"/>
      <w:b/>
      <w:bCs/>
      <w:sz w:val="30"/>
      <w:szCs w:val="44"/>
    </w:rPr>
  </w:style>
  <w:style w:type="paragraph" w:styleId="875" w:customStyle="1">
    <w:name w:val="脚注文本1"/>
    <w:basedOn w:val="838"/>
    <w:next w:val="876"/>
    <w:uiPriority w:val="0"/>
    <w:qFormat/>
    <w:pPr>
      <w:jc w:val="left"/>
    </w:pPr>
    <w:rPr>
      <w:rFonts w:ascii="宋体" w:hAnsi="Arial" w:eastAsia="Times New Roman"/>
      <w:sz w:val="18"/>
      <w:szCs w:val="18"/>
    </w:rPr>
  </w:style>
  <w:style w:type="paragraph" w:styleId="876" w:customStyle="1">
    <w:name w:val="索引 51"/>
    <w:basedOn w:val="831"/>
    <w:next w:val="838"/>
    <w:uiPriority w:val="0"/>
    <w:qFormat/>
    <w:pPr>
      <w:ind w:left="800"/>
    </w:pPr>
    <w:rPr>
      <w:rFonts w:ascii="Calibri" w:hAnsi="Calibri"/>
      <w:sz w:val="22"/>
      <w:szCs w:val="22"/>
    </w:rPr>
  </w:style>
  <w:style w:type="paragraph" w:styleId="877" w:customStyle="1">
    <w:name w:val="样式 首行缩进:  2 字符"/>
    <w:basedOn w:val="813"/>
    <w:uiPriority w:val="99"/>
    <w:qFormat/>
    <w:pPr>
      <w:ind w:firstLine="560"/>
    </w:pPr>
    <w:rPr>
      <w:sz w:val="24"/>
    </w:rPr>
  </w:style>
  <w:style w:type="paragraph" w:styleId="878" w:customStyle="1">
    <w:name w:val="正文112"/>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正文首行缩进11"/>
    <w:basedOn w:val="872"/>
    <w:next w:val="880"/>
    <w:uiPriority w:val="0"/>
    <w:qFormat/>
    <w:pPr>
      <w:ind w:firstLine="420"/>
    </w:pPr>
    <w:rPr>
      <w:rFonts w:ascii="仿宋_GB2312" w:hAnsi="Times New Roman" w:eastAsia="仿宋_GB2312"/>
      <w:sz w:val="30"/>
      <w:szCs w:val="30"/>
    </w:rPr>
  </w:style>
  <w:style w:type="paragraph" w:styleId="880" w:customStyle="1">
    <w:name w:val="正文首行缩进 22"/>
    <w:basedOn w:val="881"/>
    <w:next w:val="878"/>
    <w:uiPriority w:val="0"/>
    <w:qFormat/>
    <w:pPr>
      <w:ind w:left="0" w:firstLine="420"/>
      <w:spacing w:after="0" w:line="360" w:lineRule="auto"/>
    </w:pPr>
    <w:rPr>
      <w:rFonts w:ascii="宋体" w:hAnsi="宋体"/>
      <w:sz w:val="20"/>
      <w:szCs w:val="20"/>
    </w:rPr>
  </w:style>
  <w:style w:type="paragraph" w:styleId="881" w:customStyle="1">
    <w:name w:val="正文文本缩进2"/>
    <w:basedOn w:val="878"/>
    <w:uiPriority w:val="0"/>
    <w:qFormat/>
    <w:pPr>
      <w:ind w:left="420"/>
      <w:spacing w:after="120"/>
    </w:pPr>
  </w:style>
  <w:style w:type="paragraph" w:styleId="882" w:customStyle="1">
    <w:name w:val="正文首行缩进1"/>
    <w:basedOn w:val="883"/>
    <w:next w:val="884"/>
    <w:uiPriority w:val="0"/>
    <w:qFormat/>
    <w:pPr>
      <w:ind w:firstLine="420"/>
      <w:spacing w:after="120" w:line="240" w:lineRule="auto"/>
    </w:pPr>
    <w:rPr>
      <w:rFonts w:eastAsia="宋体"/>
      <w:sz w:val="21"/>
    </w:rPr>
  </w:style>
  <w:style w:type="paragraph" w:styleId="883" w:customStyle="1">
    <w:name w:val="正文文本11"/>
    <w:basedOn w:val="833"/>
    <w:next w:val="831"/>
    <w:uiPriority w:val="0"/>
    <w:qFormat/>
    <w:rPr>
      <w:rFonts w:ascii="仿宋_GB2312" w:eastAsia="仿宋_GB2312"/>
      <w:color w:val="000000"/>
      <w:sz w:val="24"/>
      <w:u w:val="single"/>
    </w:rPr>
  </w:style>
  <w:style w:type="paragraph" w:styleId="884" w:customStyle="1">
    <w:name w:val="正文首行缩进 211"/>
    <w:basedOn w:val="885"/>
    <w:next w:val="878"/>
    <w:uiPriority w:val="0"/>
    <w:qFormat/>
    <w:pPr>
      <w:ind w:firstLine="420"/>
    </w:pPr>
    <w:rPr>
      <w:sz w:val="24"/>
    </w:rPr>
  </w:style>
  <w:style w:type="paragraph" w:styleId="885" w:customStyle="1">
    <w:name w:val="正文文本缩进11"/>
    <w:basedOn w:val="878"/>
    <w:next w:val="878"/>
    <w:uiPriority w:val="0"/>
    <w:qFormat/>
    <w:pPr>
      <w:ind w:firstLine="425"/>
      <w:spacing w:line="360" w:lineRule="auto"/>
    </w:pPr>
  </w:style>
  <w:style w:type="character" w:styleId="886" w:customStyle="1">
    <w:name w:val="Heading 1 Char"/>
    <w:basedOn w:val="823"/>
    <w:link w:val="814"/>
    <w:uiPriority w:val="9"/>
    <w:qFormat/>
    <w:rPr>
      <w:rFonts w:ascii="Arial" w:hAnsi="Arial" w:eastAsia="Arial" w:cs="Arial"/>
      <w:sz w:val="40"/>
      <w:szCs w:val="40"/>
    </w:rPr>
  </w:style>
  <w:style w:type="character" w:styleId="887" w:customStyle="1">
    <w:name w:val="Heading 2 Char"/>
    <w:basedOn w:val="823"/>
    <w:uiPriority w:val="9"/>
    <w:qFormat/>
    <w:rPr>
      <w:rFonts w:ascii="Arial" w:hAnsi="Arial" w:eastAsia="Arial" w:cs="Arial"/>
      <w:sz w:val="34"/>
    </w:rPr>
  </w:style>
  <w:style w:type="character" w:styleId="888" w:customStyle="1">
    <w:name w:val="Heading 4 Char"/>
    <w:basedOn w:val="823"/>
    <w:uiPriority w:val="9"/>
    <w:qFormat/>
    <w:rPr>
      <w:rFonts w:ascii="Arial" w:hAnsi="Arial" w:eastAsia="Arial" w:cs="Arial"/>
      <w:b/>
      <w:bCs/>
      <w:sz w:val="26"/>
      <w:szCs w:val="26"/>
    </w:rPr>
  </w:style>
  <w:style w:type="character" w:styleId="889" w:customStyle="1">
    <w:name w:val="Heading 5 Char"/>
    <w:basedOn w:val="823"/>
    <w:uiPriority w:val="9"/>
    <w:qFormat/>
    <w:rPr>
      <w:rFonts w:ascii="Arial" w:hAnsi="Arial" w:eastAsia="Arial" w:cs="Arial"/>
      <w:b/>
      <w:bCs/>
      <w:sz w:val="24"/>
      <w:szCs w:val="24"/>
    </w:rPr>
  </w:style>
  <w:style w:type="character" w:styleId="890" w:customStyle="1">
    <w:name w:val="Heading 6 Char"/>
    <w:basedOn w:val="823"/>
    <w:link w:val="819"/>
    <w:uiPriority w:val="9"/>
    <w:qFormat/>
    <w:rPr>
      <w:rFonts w:ascii="Arial" w:hAnsi="Arial" w:eastAsia="Arial" w:cs="Arial"/>
      <w:b/>
      <w:bCs/>
      <w:sz w:val="22"/>
      <w:szCs w:val="22"/>
    </w:rPr>
  </w:style>
  <w:style w:type="character" w:styleId="891" w:customStyle="1">
    <w:name w:val="Heading 7 Char"/>
    <w:basedOn w:val="823"/>
    <w:link w:val="820"/>
    <w:uiPriority w:val="9"/>
    <w:qFormat/>
    <w:rPr>
      <w:rFonts w:ascii="Arial" w:hAnsi="Arial" w:eastAsia="Arial" w:cs="Arial"/>
      <w:b/>
      <w:bCs/>
      <w:i/>
      <w:iCs/>
      <w:sz w:val="22"/>
      <w:szCs w:val="22"/>
    </w:rPr>
  </w:style>
  <w:style w:type="character" w:styleId="892" w:customStyle="1">
    <w:name w:val="Heading 8 Char"/>
    <w:basedOn w:val="823"/>
    <w:link w:val="821"/>
    <w:uiPriority w:val="9"/>
    <w:qFormat/>
    <w:rPr>
      <w:rFonts w:ascii="Arial" w:hAnsi="Arial" w:eastAsia="Arial" w:cs="Arial"/>
      <w:i/>
      <w:iCs/>
      <w:sz w:val="22"/>
      <w:szCs w:val="22"/>
    </w:rPr>
  </w:style>
  <w:style w:type="character" w:styleId="893" w:customStyle="1">
    <w:name w:val="Heading 9 Char"/>
    <w:basedOn w:val="823"/>
    <w:link w:val="822"/>
    <w:uiPriority w:val="9"/>
    <w:qFormat/>
    <w:rPr>
      <w:rFonts w:ascii="Arial" w:hAnsi="Arial" w:eastAsia="Arial" w:cs="Arial"/>
      <w:i/>
      <w:iCs/>
      <w:sz w:val="21"/>
      <w:szCs w:val="21"/>
    </w:rPr>
  </w:style>
  <w:style w:type="paragraph" w:styleId="894">
    <w:name w:val="List Paragraph"/>
    <w:basedOn w:val="813"/>
    <w:uiPriority w:val="34"/>
    <w:qFormat/>
    <w:pPr>
      <w:contextualSpacing/>
      <w:ind w:left="720"/>
    </w:pPr>
  </w:style>
  <w:style w:type="paragraph" w:styleId="895">
    <w:name w:val="No Spacing"/>
    <w:uiPriority w:val="1"/>
    <w:qFormat/>
    <w:pPr>
      <w:spacing w:before="0" w:after="0" w:line="240" w:lineRule="auto"/>
    </w:pPr>
    <w:rPr>
      <w:rFonts w:hint="default" w:asciiTheme="minorHAnsi" w:hAnsiTheme="minorHAnsi" w:eastAsiaTheme="minorEastAsia" w:cstheme="minorBidi"/>
    </w:rPr>
  </w:style>
  <w:style w:type="character" w:styleId="896" w:customStyle="1">
    <w:name w:val="Title Char"/>
    <w:basedOn w:val="823"/>
    <w:link w:val="859"/>
    <w:uiPriority w:val="10"/>
    <w:qFormat/>
    <w:rPr>
      <w:sz w:val="48"/>
      <w:szCs w:val="48"/>
    </w:rPr>
  </w:style>
  <w:style w:type="character" w:styleId="897" w:customStyle="1">
    <w:name w:val="Subtitle Char"/>
    <w:basedOn w:val="823"/>
    <w:link w:val="851"/>
    <w:uiPriority w:val="11"/>
    <w:qFormat/>
    <w:rPr>
      <w:sz w:val="24"/>
      <w:szCs w:val="24"/>
    </w:rPr>
  </w:style>
  <w:style w:type="paragraph" w:styleId="898">
    <w:name w:val="Quote"/>
    <w:basedOn w:val="813"/>
    <w:next w:val="813"/>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13"/>
    <w:next w:val="813"/>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23"/>
    <w:uiPriority w:val="99"/>
    <w:qFormat/>
  </w:style>
  <w:style w:type="character" w:styleId="903" w:customStyle="1">
    <w:name w:val="Footer Char"/>
    <w:basedOn w:val="823"/>
    <w:uiPriority w:val="99"/>
    <w:qFormat/>
  </w:style>
  <w:style w:type="character" w:styleId="904" w:customStyle="1">
    <w:name w:val="Caption Char"/>
    <w:uiPriority w:val="99"/>
    <w:qFormat/>
  </w:style>
  <w:style w:type="table" w:styleId="905"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5"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4"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5"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6"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7"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8"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9"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1"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2"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3"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4"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5"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6"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3"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7"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9"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0"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1"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2"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3"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4"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6"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1"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3"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4"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5"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6"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7"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8"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7"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8"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9"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0"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1"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2"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1"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2"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3"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4"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5"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6"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8"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9"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0"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1"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2"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3"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5"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6"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7"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8"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9"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0" w:customStyle="1">
    <w:name w:val="Footnote Text Char"/>
    <w:link w:val="852"/>
    <w:uiPriority w:val="99"/>
    <w:qFormat/>
    <w:rPr>
      <w:sz w:val="18"/>
    </w:rPr>
  </w:style>
  <w:style w:type="character" w:styleId="1031" w:customStyle="1">
    <w:name w:val="Endnote Text Char"/>
    <w:link w:val="846"/>
    <w:uiPriority w:val="99"/>
    <w:qFormat/>
    <w:rPr>
      <w:sz w:val="20"/>
    </w:rPr>
  </w:style>
  <w:style w:type="paragraph" w:styleId="1032" w:customStyle="1">
    <w:name w:val="TOC Heading"/>
    <w:uiPriority w:val="39"/>
    <w:unhideWhenUsed/>
    <w:qFormat/>
    <w:rPr>
      <w:rFonts w:hint="default" w:asciiTheme="minorHAnsi" w:hAnsiTheme="minorHAnsi" w:eastAsiaTheme="minorEastAsia" w:cstheme="minorBidi"/>
    </w:rPr>
  </w:style>
  <w:style w:type="paragraph" w:styleId="1033" w:customStyle="1">
    <w:name w:val="正文首行缩进 21"/>
    <w:basedOn w:val="868"/>
    <w:next w:val="831"/>
    <w:uiPriority w:val="0"/>
    <w:qFormat/>
    <w:pPr>
      <w:ind w:firstLine="420"/>
    </w:pPr>
  </w:style>
  <w:style w:type="paragraph" w:styleId="1034" w:customStyle="1">
    <w:name w:val="WPSOffice手动目录 1"/>
    <w:uiPriority w:val="0"/>
    <w:qFormat/>
    <w:rPr>
      <w:rFonts w:hint="default" w:ascii="Times New Roman" w:hAnsi="Times New Roman" w:eastAsia="宋体" w:cs="Times New Roman"/>
      <w:sz w:val="20"/>
      <w:szCs w:val="20"/>
    </w:rPr>
  </w:style>
  <w:style w:type="character" w:styleId="1035"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6" w:customStyle="1">
    <w:name w:val="文本块111"/>
    <w:basedOn w:val="813"/>
    <w:uiPriority w:val="99"/>
    <w:unhideWhenUsed/>
    <w:qFormat/>
    <w:pPr>
      <w:ind w:left="1440" w:right="1440"/>
      <w:spacing w:after="120"/>
    </w:pPr>
  </w:style>
  <w:style w:type="paragraph" w:styleId="103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8" w:customStyle="1">
    <w:name w:val="信息标题1"/>
    <w:basedOn w:val="813"/>
    <w:next w:val="103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9" w:customStyle="1">
    <w:name w:val="正文文本12"/>
    <w:basedOn w:val="813"/>
    <w:next w:val="813"/>
    <w:uiPriority w:val="99"/>
    <w:qFormat/>
    <w:pPr>
      <w:spacing w:after="120"/>
    </w:pPr>
  </w:style>
  <w:style w:type="paragraph" w:styleId="1040" w:customStyle="1">
    <w:name w:val="寄信人地址11"/>
    <w:basedOn w:val="835"/>
    <w:uiPriority w:val="0"/>
    <w:qFormat/>
    <w:rPr>
      <w:rFonts w:ascii="Arial" w:hAnsi="Arial"/>
    </w:rPr>
  </w:style>
  <w:style w:type="character" w:styleId="1041" w:customStyle="1">
    <w:name w:val="NormalCharacter1"/>
    <w:link w:val="813"/>
    <w:uiPriority w:val="0"/>
    <w:semiHidden/>
    <w:qFormat/>
    <w:rPr>
      <w:rFonts w:ascii="Times New Roman" w:hAnsi="Times New Roman" w:eastAsia="宋体" w:cs="Times New Roman"/>
      <w:sz w:val="21"/>
      <w:szCs w:val="24"/>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18</cp:revision>
  <dcterms:created xsi:type="dcterms:W3CDTF">2023-07-07T07:59:00Z</dcterms:created>
  <dcterms:modified xsi:type="dcterms:W3CDTF">2026-07-23T07:42:52Z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C7EF3F5DC7F549CA8C6996B41BBCA9F0_13</vt:lpwstr>
  </property>
  <property fmtid="{D5CDD505-2E9C-101B-9397-08002B2CF9AE}" pid="4" name="KSOTemplateDocerSaveRecord">
    <vt:lpwstr>eyJoZGlkIjoiZjYzYmFlNWI2NjFkOGFlOTZjNWI4NjYyZGEyMWExYmUiLCJ1c2VySWQiOiIxMTI0NDc5MzIxIn0=</vt:lpwstr>
  </property>
</Properties>
</file>