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4"/>
          <w:highlight w:val="none"/>
          <w:lang w:eastAsia="zh-CN"/>
        </w:rPr>
      </w:pPr>
      <w:r>
        <w:rPr>
          <w:rFonts w:ascii="仿宋" w:hAnsi="仿宋" w:eastAsia="仿宋" w:cs="仿宋"/>
          <w:color w:val="auto"/>
          <w:sz w:val="24"/>
          <w:highlight w:val="none"/>
        </w:rPr>
        <w:fldChar w:fldCharType="begin"/>
      </w:r>
      <w:r>
        <w:rPr>
          <w:rFonts w:hint="eastAsia" w:ascii="仿宋" w:hAnsi="仿宋" w:eastAsia="仿宋" w:cs="仿宋"/>
          <w:color w:val="auto"/>
          <w:sz w:val="24"/>
          <w:highlight w:val="none"/>
          <w:lang w:eastAsia="zh-CN"/>
        </w:rPr>
        <w:instrText xml:space="preserve">ADDIN CNKISM.UserStyle</w:instrText>
      </w:r>
      <w:r>
        <w:rPr>
          <w:rFonts w:ascii="仿宋" w:hAnsi="仿宋" w:eastAsia="仿宋" w:cs="仿宋"/>
          <w:color w:val="auto"/>
          <w:sz w:val="24"/>
          <w:highlight w:val="none"/>
        </w:rPr>
        <w:fldChar w:fldCharType="separate"/>
      </w:r>
      <w:r>
        <w:rPr>
          <w:rFonts w:ascii="仿宋" w:hAnsi="仿宋" w:eastAsia="仿宋" w:cs="仿宋"/>
          <w:color w:val="auto"/>
          <w:sz w:val="24"/>
          <w:highlight w:val="none"/>
        </w:rPr>
        <w:fldChar w:fldCharType="end"/>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olor w:val="auto"/>
          <w:spacing w:val="76"/>
          <w:sz w:val="156"/>
          <w:highlight w:val="none"/>
        </w:rPr>
      </w:pPr>
      <w:r>
        <w:rPr>
          <w:rFonts w:hint="eastAsia" w:ascii="仿宋" w:hAnsi="仿宋" w:eastAsia="仿宋"/>
          <w:color w:val="auto"/>
          <w:spacing w:val="76"/>
          <w:sz w:val="156"/>
          <w:highlight w:val="none"/>
        </w:rPr>
        <w:t xml:space="preserve">招标文件</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947"/>
        <w:keepLines w:val="0"/>
        <w:keepNext w:val="0"/>
        <w:pageBreakBefore w:val="0"/>
        <w:spacing w:line="360" w:lineRule="auto"/>
        <w:widowControl w:val="off"/>
        <w:rPr>
          <w:rFonts w:hint="eastAsia" w:ascii="仿宋" w:hAnsi="仿宋" w:eastAsia="仿宋"/>
          <w:color w:val="auto"/>
          <w:sz w:val="32"/>
          <w:highlight w:val="none"/>
        </w:rPr>
      </w:pPr>
      <w:r>
        <w:rPr>
          <w:rFonts w:hint="eastAsia" w:ascii="仿宋" w:hAnsi="仿宋" w:eastAsia="仿宋"/>
          <w:color w:val="auto"/>
          <w:sz w:val="32"/>
          <w:highlight w:val="none"/>
        </w:rPr>
      </w:r>
      <w:r/>
    </w:p>
    <w:p>
      <w:pPr>
        <w:ind w:firstLine="947"/>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项目名称：</w:t>
      </w:r>
      <w:r>
        <w:rPr>
          <w:rFonts w:hint="eastAsia" w:ascii="仿宋" w:hAnsi="仿宋" w:eastAsia="仿宋"/>
          <w:color w:val="auto"/>
          <w:sz w:val="32"/>
          <w:highlight w:val="none"/>
          <w:lang w:eastAsia="zh-CN"/>
        </w:rPr>
        <w:t xml:space="preserve">纪念场馆及烈士陵园物业安保服务项目</w:t>
      </w:r>
      <w:r/>
    </w:p>
    <w:p>
      <w:pPr>
        <w:ind w:firstLine="947"/>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项目编号：</w:t>
      </w:r>
      <w:r>
        <w:rPr>
          <w:rFonts w:hint="eastAsia" w:ascii="仿宋" w:hAnsi="仿宋" w:eastAsia="仿宋"/>
          <w:color w:val="auto"/>
          <w:sz w:val="32"/>
          <w:highlight w:val="none"/>
          <w:lang w:eastAsia="zh-CN"/>
        </w:rPr>
        <w:t xml:space="preserve">JSZC-320382-PZZC-G2026-0005</w:t>
      </w:r>
      <w:r/>
    </w:p>
    <w:p>
      <w:pPr>
        <w:ind w:firstLine="947"/>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采 购 人：</w:t>
      </w:r>
      <w:r>
        <w:rPr>
          <w:rFonts w:hint="eastAsia" w:ascii="仿宋" w:hAnsi="仿宋" w:eastAsia="仿宋"/>
          <w:color w:val="auto"/>
          <w:sz w:val="32"/>
          <w:highlight w:val="none"/>
          <w:lang w:eastAsia="zh-CN"/>
        </w:rPr>
        <w:t xml:space="preserve">邳州市纪念场馆管理处</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ind w:firstLine="960"/>
        <w:jc w:val="both"/>
        <w:keepLines w:val="0"/>
        <w:keepNext w:val="0"/>
        <w:pageBreakBefore w:val="0"/>
        <w:spacing w:line="360" w:lineRule="auto"/>
        <w:widowControl w:val="off"/>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采购代理机构：</w:t>
      </w:r>
      <w:r>
        <w:rPr>
          <w:rFonts w:hint="eastAsia" w:ascii="仿宋" w:hAnsi="仿宋" w:eastAsia="仿宋"/>
          <w:color w:val="auto"/>
          <w:sz w:val="32"/>
          <w:szCs w:val="32"/>
          <w:highlight w:val="none"/>
          <w:lang w:eastAsia="zh-CN"/>
        </w:rPr>
        <w:t xml:space="preserve">邳州市公共资源交易中心</w:t>
      </w:r>
      <w:r/>
    </w:p>
    <w:p>
      <w:pPr>
        <w:ind w:firstLine="630"/>
        <w:jc w:val="center"/>
        <w:keepLines w:val="0"/>
        <w:keepNext w:val="0"/>
        <w:pageBreakBefore w:val="0"/>
        <w:spacing w:line="360" w:lineRule="auto"/>
        <w:widowControl w:val="off"/>
        <w:rPr>
          <w:rFonts w:ascii="仿宋" w:hAnsi="仿宋" w:eastAsia="仿宋" w:cs="仿宋"/>
          <w:color w:val="auto"/>
          <w:sz w:val="24"/>
          <w:highlight w:val="none"/>
        </w:rPr>
      </w:pPr>
      <w:r>
        <w:rPr>
          <w:rFonts w:hint="eastAsia" w:ascii="仿宋" w:hAnsi="仿宋" w:eastAsia="仿宋"/>
          <w:color w:val="auto"/>
          <w:sz w:val="32"/>
          <w:szCs w:val="32"/>
          <w:highlight w:val="none"/>
        </w:rPr>
        <w:t xml:space="preserve">二〇二</w:t>
      </w:r>
      <w:r>
        <w:rPr>
          <w:rFonts w:hint="eastAsia" w:ascii="仿宋" w:hAnsi="仿宋" w:eastAsia="仿宋"/>
          <w:color w:val="auto"/>
          <w:sz w:val="32"/>
          <w:szCs w:val="32"/>
          <w:highlight w:val="none"/>
          <w:lang w:val="en-US" w:eastAsia="zh-CN"/>
        </w:rPr>
        <w:t xml:space="preserve">六</w:t>
      </w:r>
      <w:r>
        <w:rPr>
          <w:rFonts w:hint="eastAsia" w:ascii="仿宋" w:hAnsi="仿宋" w:eastAsia="仿宋"/>
          <w:color w:val="auto"/>
          <w:sz w:val="32"/>
          <w:szCs w:val="32"/>
          <w:highlight w:val="none"/>
        </w:rPr>
        <w:t xml:space="preserve">年</w:t>
      </w:r>
      <w:r>
        <w:rPr>
          <w:rFonts w:hint="eastAsia" w:ascii="仿宋" w:hAnsi="仿宋" w:eastAsia="仿宋"/>
          <w:color w:val="auto"/>
          <w:sz w:val="32"/>
          <w:szCs w:val="32"/>
          <w:highlight w:val="none"/>
          <w:lang w:val="en-US" w:eastAsia="zh-CN"/>
        </w:rPr>
        <w:t xml:space="preserve">六</w:t>
      </w:r>
      <w:r>
        <w:rPr>
          <w:rFonts w:hint="eastAsia" w:ascii="仿宋" w:hAnsi="仿宋" w:eastAsia="仿宋"/>
          <w:color w:val="auto"/>
          <w:sz w:val="32"/>
          <w:szCs w:val="32"/>
          <w:highlight w:val="none"/>
        </w:rPr>
        <w:t xml:space="preserve">月</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02"/>
        <w:jc w:val="center"/>
        <w:keepLines/>
        <w:keepNext/>
        <w:pageBreakBefore w:val="0"/>
        <w:spacing w:line="240" w:lineRule="atLeast"/>
        <w:widowControl w:val="off"/>
        <w:rPr>
          <w:rFonts w:hint="eastAsia" w:ascii="仿宋" w:hAnsi="仿宋" w:eastAsia="仿宋" w:cs="仿宋"/>
          <w:color w:val="auto"/>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auto"/>
          <w:highlight w:val="none"/>
        </w:rPr>
      </w:r>
      <w:r/>
    </w:p>
    <w:p>
      <w:pPr>
        <w:ind w:firstLine="640"/>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总目录</w:t>
      </w:r>
      <w:r/>
    </w:p>
    <w:p>
      <w:pP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投标邀请</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投标人须知</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第三章 投标资料表</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第四章 评标标准</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第五章 拟签订的合同文本</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第六章 采购需求</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第七章 投标文件相关格式</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left"/>
        <w:widowControl/>
        <w:rPr>
          <w:rFonts w:ascii="仿宋" w:hAnsi="仿宋" w:eastAsia="仿宋" w:cs="仿宋"/>
          <w:color w:val="auto"/>
          <w:sz w:val="32"/>
          <w:szCs w:val="32"/>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s="仿宋"/>
          <w:color w:val="auto"/>
          <w:sz w:val="32"/>
          <w:szCs w:val="32"/>
          <w:highlight w:val="none"/>
        </w:rPr>
      </w:r>
      <w:r/>
    </w:p>
    <w:p>
      <w:pPr>
        <w:pStyle w:val="702"/>
        <w:jc w:val="center"/>
        <w:keepLines/>
        <w:keepNext/>
        <w:pageBreakBefore w:val="0"/>
        <w:spacing w:line="240" w:lineRule="atLeast"/>
        <w:widowControl w:val="off"/>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第一章  投标邀请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邳州市公共资源交易中心</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lang w:eastAsia="zh-CN"/>
        </w:rPr>
        <w:t xml:space="preserve">纪念场馆及烈士陵园物业安保服务项目</w:t>
      </w:r>
      <w:r>
        <w:rPr>
          <w:rFonts w:hint="eastAsia" w:ascii="仿宋" w:hAnsi="仿宋" w:eastAsia="仿宋" w:cs="仿宋"/>
          <w:color w:val="auto"/>
          <w:sz w:val="24"/>
          <w:highlight w:val="none"/>
        </w:rPr>
        <w:t xml:space="preserve">进行公开招标采购，现欢迎符合相关条件的供应商投标。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一、项目名称和项目编号</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纪念场馆及烈士陵园物业安保服务项目</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JSZC-320382-PZZC-G2026-0005</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二、投标人的资格要求：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见本项目公开招标公告。</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三、获取招标文件的时间期限、地点、方式及招标文件售价</w:t>
      </w:r>
      <w:r/>
    </w:p>
    <w:p>
      <w:pPr>
        <w:ind w:left="42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时间（时间期限）、地点、方式：</w:t>
      </w:r>
      <w:r/>
    </w:p>
    <w:p>
      <w:pPr>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时间（时间期限）</w:t>
      </w:r>
      <w:r>
        <w:rPr>
          <w:rFonts w:hint="eastAsia" w:ascii="仿宋" w:hAnsi="仿宋" w:eastAsia="仿宋" w:cs="仿宋"/>
          <w:color w:val="auto"/>
          <w:sz w:val="24"/>
          <w:highlight w:val="none"/>
        </w:rPr>
        <w:t xml:space="preserve">：自招标公告发布之日起5个工作日；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地点：“苏采云”系统（网址： http://jszfcg.jsczt.cn/）； </w:t>
      </w:r>
      <w:r/>
    </w:p>
    <w:p>
      <w:pPr>
        <w:ind w:firstLine="480"/>
        <w:rPr>
          <w:rFonts w:hint="eastAsia" w:ascii="仿宋" w:hAnsi="仿宋" w:eastAsia="仿宋" w:cs="仿宋"/>
          <w:color w:val="auto"/>
          <w:sz w:val="24"/>
          <w:highlight w:val="none"/>
        </w:rPr>
      </w:pPr>
      <w:r>
        <w:rPr>
          <w:rFonts w:hint="eastAsia" w:ascii="仿宋" w:hAnsi="仿宋" w:eastAsia="仿宋"/>
          <w:color w:val="auto"/>
          <w:sz w:val="24"/>
          <w:highlight w:val="none"/>
        </w:rPr>
        <w:t xml:space="preserve">方式：自行</w:t>
      </w:r>
      <w:r>
        <w:rPr>
          <w:rFonts w:ascii="仿宋" w:hAnsi="仿宋" w:eastAsia="仿宋"/>
          <w:color w:val="auto"/>
          <w:sz w:val="24"/>
          <w:highlight w:val="none"/>
        </w:rPr>
        <w:t xml:space="preserve">下载</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2．招标文件售价：免费。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四、投标有关信息</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color w:val="auto"/>
          <w:sz w:val="24"/>
          <w:highlight w:val="none"/>
          <w:lang w:eastAsia="zh-CN"/>
        </w:rPr>
        <w:t xml:space="preserve">2026年7月31日</w:t>
      </w:r>
      <w:r>
        <w:rPr>
          <w:rFonts w:hint="eastAsia" w:ascii="仿宋" w:hAnsi="仿宋" w:eastAsia="仿宋" w:cs="仿宋"/>
          <w:color w:val="auto"/>
          <w:sz w:val="24"/>
          <w:highlight w:val="none"/>
        </w:rPr>
        <w:t xml:space="preserve">9：30（电子招标投标交易平台（即“苏采云”系统）的国家授时中心标准时间，下同）</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color w:val="auto"/>
          <w:sz w:val="24"/>
          <w:highlight w:val="none"/>
          <w:lang w:eastAsia="zh-CN"/>
        </w:rPr>
        <w:t xml:space="preserve">2026年7月31日</w:t>
      </w:r>
      <w:r>
        <w:rPr>
          <w:rFonts w:hint="eastAsia" w:ascii="仿宋" w:hAnsi="仿宋" w:eastAsia="仿宋" w:cs="仿宋"/>
          <w:color w:val="auto"/>
          <w:sz w:val="24"/>
          <w:highlight w:val="none"/>
        </w:rPr>
        <w:t xml:space="preserve">9：30</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3.开标地点：“苏采云”系统（网址： http://jszfcg.jsczt.cn/）“开标大厅”或徐州政府采购网（网址：https://czj.xz.gov.cn/zfcg/index.html）首页，点击“苏采云”登录后，进入系统“开标大厅”。</w:t>
      </w:r>
      <w:r/>
    </w:p>
    <w:p>
      <w:pPr>
        <w:ind w:firstLine="480"/>
        <w:keepLines w:val="0"/>
        <w:keepNext w:val="0"/>
        <w:pageBreakBefore w:val="0"/>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五、采购人</w:t>
      </w:r>
      <w:r/>
    </w:p>
    <w:p>
      <w:pPr>
        <w:ind w:firstLine="480"/>
        <w:rPr>
          <w:rFonts w:hint="eastAsia" w:ascii="仿宋" w:hAnsi="仿宋" w:eastAsia="仿宋" w:cs="宋体"/>
          <w:color w:val="auto"/>
          <w:sz w:val="24"/>
          <w:szCs w:val="24"/>
          <w:highlight w:val="none"/>
          <w:lang w:eastAsia="zh-CN"/>
        </w:rPr>
      </w:pPr>
      <w:r>
        <w:rPr>
          <w:rFonts w:hint="eastAsia" w:ascii="仿宋" w:hAnsi="仿宋" w:eastAsia="仿宋"/>
          <w:color w:val="auto"/>
          <w:sz w:val="24"/>
          <w:highlight w:val="none"/>
        </w:rPr>
        <w:t xml:space="preserve">1.名 称：</w:t>
      </w:r>
      <w:r>
        <w:rPr>
          <w:rFonts w:hint="eastAsia" w:ascii="仿宋" w:hAnsi="仿宋" w:eastAsia="仿宋" w:cs="宋体"/>
          <w:color w:val="auto"/>
          <w:sz w:val="24"/>
          <w:szCs w:val="24"/>
          <w:highlight w:val="none"/>
          <w:lang w:eastAsia="zh-CN"/>
        </w:rPr>
        <w:t xml:space="preserve">邳州市纪念场馆管理处</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2.地 址：</w:t>
      </w:r>
      <w:r>
        <w:rPr>
          <w:rFonts w:hint="eastAsia" w:ascii="仿宋" w:hAnsi="仿宋" w:eastAsia="仿宋"/>
          <w:color w:val="auto"/>
          <w:sz w:val="24"/>
          <w:highlight w:val="none"/>
          <w:lang w:val="en-US" w:eastAsia="zh-CN"/>
        </w:rPr>
        <w:t xml:space="preserve">邳州市城建综合商务中心六楼</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3.联系方法：19051635968</w:t>
      </w:r>
      <w:r/>
    </w:p>
    <w:p>
      <w:pPr>
        <w:ind w:firstLine="480"/>
        <w:keepLines w:val="0"/>
        <w:keepNext w:val="0"/>
        <w:pageBreakBefore w:val="0"/>
        <w:widowControl w:val="off"/>
        <w:rPr>
          <w:rFonts w:hint="eastAsia" w:ascii="仿宋" w:hAnsi="仿宋" w:eastAsia="仿宋"/>
          <w:color w:val="auto"/>
          <w:sz w:val="24"/>
          <w:highlight w:val="none"/>
        </w:rPr>
      </w:pPr>
      <w:r>
        <w:rPr>
          <w:rFonts w:hint="eastAsia" w:ascii="仿宋" w:hAnsi="仿宋" w:eastAsia="仿宋"/>
          <w:color w:val="auto"/>
          <w:sz w:val="24"/>
          <w:highlight w:val="none"/>
        </w:rPr>
        <w:t xml:space="preserve">4.采购项目联系人：</w:t>
      </w:r>
      <w:r>
        <w:rPr>
          <w:rFonts w:hint="eastAsia" w:ascii="仿宋" w:hAnsi="仿宋" w:eastAsia="仿宋"/>
          <w:color w:val="auto"/>
          <w:sz w:val="24"/>
          <w:highlight w:val="none"/>
          <w:lang w:val="en-US" w:eastAsia="zh-CN"/>
        </w:rPr>
        <w:t xml:space="preserve">黄从志</w:t>
      </w:r>
      <w:r>
        <w:rPr>
          <w:rFonts w:hint="eastAsia" w:ascii="仿宋" w:hAnsi="仿宋" w:eastAsia="仿宋"/>
          <w:color w:val="auto"/>
          <w:sz w:val="24"/>
          <w:highlight w:val="none"/>
        </w:rPr>
        <w:t xml:space="preserve">       </w:t>
      </w:r>
      <w:r/>
    </w:p>
    <w:p>
      <w:pPr>
        <w:ind w:firstLine="480"/>
        <w:keepLines w:val="0"/>
        <w:keepNext w:val="0"/>
        <w:pageBreakBefore w:val="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六、采购代理机构</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1．名称：邳州市公共资源交易中心</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2．地址：邳州市花园路66号   邮编：221300 </w:t>
      </w:r>
      <w:bookmarkStart w:id="6" w:name="_GoBack"/>
      <w:r/>
      <w:bookmarkEnd w:id="6"/>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3．联系方法：0516-86622836</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4．采购项目联系人： 刘婷       </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02"/>
        <w:jc w:val="center"/>
        <w:keepLines/>
        <w:keepNext/>
        <w:pageBreakBefore w:val="0"/>
        <w:spacing w:line="240" w:lineRule="atLeast"/>
        <w:widowControl w:val="off"/>
        <w:rPr>
          <w:rFonts w:ascii="仿宋" w:hAnsi="仿宋" w:eastAsia="仿宋" w:cs="仿宋"/>
          <w:color w:val="auto"/>
          <w:sz w:val="32"/>
          <w:szCs w:val="32"/>
          <w:highlight w:val="none"/>
        </w:rPr>
      </w:pPr>
      <w:r>
        <w:rPr>
          <w:rFonts w:hint="eastAsia" w:ascii="仿宋" w:hAnsi="仿宋" w:eastAsia="仿宋" w:cs="仿宋"/>
          <w:color w:val="auto"/>
          <w:sz w:val="24"/>
          <w:highlight w:val="none"/>
          <w:u w:val="single"/>
        </w:rPr>
        <w:br w:type="page" w:clear="all"/>
      </w:r>
      <w:r>
        <w:rPr>
          <w:rFonts w:hint="eastAsia" w:ascii="仿宋" w:hAnsi="仿宋" w:eastAsia="仿宋" w:cs="仿宋"/>
          <w:b w:val="0"/>
          <w:bCs w:val="0"/>
          <w:color w:val="auto"/>
          <w:sz w:val="32"/>
          <w:szCs w:val="32"/>
          <w:highlight w:val="none"/>
        </w:rPr>
        <w:t xml:space="preserve">第二章  投标人须知</w:t>
      </w:r>
      <w:r/>
    </w:p>
    <w:p>
      <w:pPr>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ind w:left="420"/>
        <w:spacing w:line="360" w:lineRule="auto"/>
        <w:tabs>
          <w:tab w:val="left" w:pos="5228" w:leader="none"/>
        </w:tabs>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ab/>
      </w:r>
      <w:r/>
    </w:p>
    <w:p>
      <w:pPr>
        <w:ind w:left="420"/>
        <w:jc w:val="both"/>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一、总则</w:t>
      </w:r>
      <w:r/>
    </w:p>
    <w:p>
      <w:pPr>
        <w:ind w:left="420"/>
        <w:jc w:val="both"/>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二、招标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三、投标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四、开标、评标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五、中标和合同</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六、询问和质疑</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七、电子招标投标交易平台</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一、总则</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采购人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1.1采购人是指依法进行政府采购的国家机关、事业单位、团体组织。本项目采购人：见招标文件第三章《投标资料表》。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 政府采购方式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2.1货物服务招标分为公开招标和邀请招标。本次采购采用的政府采购方式：见招标文件第三章《投标资料表》。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 投标费用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6.1 投标人应承担所有与准备和参加投标有关的费用，无论投标的结果如何，采购人和采购代理机构对上述费用不承担任何责任和义务。</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 招标文件的内容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7.1招标文件包括以下内容：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8. 采购需求：见招标文件第六章《采购需求》。</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 采购项目预算金额</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9.1 采购项目预算金额：见招标文件第三章《投标资料表》。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 样品</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10.1本项目对样品的要求：见招标文件第三章《投标资料表》。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 投标有效期</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11.1投标有效期从提交投标文件的截止之日起算。</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11.2投标有效期: 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12. 招标文件售价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12.1招标文件售价：见招标文件第三章《投标资料表》。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13. 采购代理机构代理费用的收取标准和方式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13.1 采购代理机构代理费用的收取标准和方式：见招标文件第三章《投标资料表》。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 现场考察或者开标前答疑会</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14.1 在招标文件提供期限截止后。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14.2 现场考察：见招标文件第三章《投标资料表》。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14.3 开标前答疑会：见招标文件第三章《投标资料表》。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 招标文件的澄清或者修改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16. 终止招标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17. 投标人信用信息查询渠道及截止时点、信用信息查询记录和证据留存的具体方式、信用信息的使用规则等：见招标文件第三章《投标资料表》。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三、投标</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18. 投标人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18.1 投标人，是指响应招标、参加投标竞争的法人、其他组织或者自然人。</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18.3 投标人的资格要求：见招标文件第三章《投标资料表》。</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 投标文件</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  19.2 投标文件编制要求：见招标文件第三章《投标资料表》。</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19.3 投标文件的份数：见招标文件第三章《投标资料表》。</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19.4 投标文件的退还：见招标文件第三章《投标资料表》。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19.5 投标文件的密封、签署、盖章要求：见招标文件第三章《投标资料表》。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19.6投标文件中承诺的投标有效期应当不少于招标文件中载明的投标有效期。</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20. 投标报价要求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20.1 投标人应按照招标文件的要求报出分项价格和总价。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20.2 投标人应按照招标文件的要求进行报价，如有偏离，应在《偏离表》中列出。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20.3 </w:t>
      </w:r>
      <w:r>
        <w:rPr>
          <w:rFonts w:hint="eastAsia" w:ascii="仿宋" w:hAnsi="仿宋" w:eastAsia="仿宋" w:cs="仿宋"/>
          <w:bCs/>
          <w:color w:val="auto"/>
          <w:sz w:val="24"/>
          <w:highlight w:val="none"/>
        </w:rPr>
        <w:t xml:space="preserve">采购人不支付报价以外的任何费用。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20.4 投标人的投标报价在合同执行过程中是固定的，不得以任何理由予以变更。</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20.5</w:t>
      </w:r>
      <w:r>
        <w:rPr>
          <w:rFonts w:hint="eastAsia" w:ascii="仿宋" w:hAnsi="仿宋" w:eastAsia="仿宋" w:cs="仿宋"/>
          <w:b/>
          <w:color w:val="auto"/>
          <w:sz w:val="24"/>
          <w:highlight w:val="none"/>
        </w:rPr>
        <w:t xml:space="preserve">投标人只能提交一个投标报价，提交2个以上投标报价的投标文件在符合性审查时按照投标无效处理。</w:t>
      </w:r>
      <w:r/>
    </w:p>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20.6 </w:t>
      </w:r>
      <w:r>
        <w:rPr>
          <w:rFonts w:hint="eastAsia" w:ascii="仿宋" w:hAnsi="仿宋" w:eastAsia="仿宋" w:cs="仿宋"/>
          <w:bCs/>
          <w:color w:val="auto"/>
          <w:sz w:val="24"/>
          <w:highlight w:val="none"/>
        </w:rPr>
        <w:t xml:space="preserve">不接受超过采购项目预算金额的投标报价。具体</w:t>
      </w:r>
      <w:r>
        <w:rPr>
          <w:rFonts w:hint="eastAsia" w:ascii="仿宋" w:hAnsi="仿宋" w:eastAsia="仿宋" w:cs="仿宋"/>
          <w:color w:val="auto"/>
          <w:sz w:val="24"/>
          <w:highlight w:val="none"/>
        </w:rPr>
        <w:t xml:space="preserve">见招标文件第三章《投标资料表》</w:t>
      </w:r>
      <w:r>
        <w:rPr>
          <w:rFonts w:hint="eastAsia" w:ascii="仿宋" w:hAnsi="仿宋" w:eastAsia="仿宋" w:cs="仿宋"/>
          <w:bCs/>
          <w:color w:val="auto"/>
          <w:sz w:val="24"/>
          <w:highlight w:val="none"/>
        </w:rPr>
        <w:t xml:space="preserve">。</w:t>
      </w:r>
      <w:r/>
    </w:p>
    <w:p>
      <w:pPr>
        <w:ind w:firstLine="480"/>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21.</w:t>
      </w:r>
      <w:r>
        <w:rPr>
          <w:rFonts w:hint="eastAsia" w:ascii="仿宋" w:hAnsi="仿宋" w:eastAsia="仿宋" w:cs="仿宋"/>
          <w:color w:val="auto"/>
          <w:sz w:val="24"/>
          <w:highlight w:val="none"/>
        </w:rPr>
        <w:t xml:space="preserve"> 投标人不需交纳投标保证金。</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22.投标截止时间、投标文件的递交</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22.1投标截止时间：见招标文件第三章《投标资料表》。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22.2投标文件的递交：见招标文件第三章《投标资料表》。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23. 分包</w:t>
      </w:r>
      <w:r/>
    </w:p>
    <w:p>
      <w:pPr>
        <w:ind w:firstLine="36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23.2 招标文件对本项目分包的规定：见招标文件第三章《投标资料表》。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 相同品牌产品投标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25. </w:t>
      </w:r>
      <w:r>
        <w:rPr>
          <w:rFonts w:hint="eastAsia" w:ascii="仿宋" w:hAnsi="仿宋" w:eastAsia="仿宋" w:cs="仿宋"/>
          <w:b/>
          <w:color w:val="auto"/>
          <w:sz w:val="24"/>
          <w:highlight w:val="none"/>
        </w:rPr>
        <w:t xml:space="preserve">有下列情形之一的，视为投标人串通投标，其投标无效：</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（一）不同投标人的投标文件由同一单位或者个人编制；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（二）不同投标人委托同一单位或者个人办理投标事宜；</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（三）不同投标人的投标文件载明的项目管理成员或者联系人员为同一人；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（四）不同投标人的投标文件异常一致或者投标报价呈规律性差异；</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（五）不同投标人的投标文件相互混装。</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四、开标、评标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 开标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26.2 开标由电子招标投标交易平台主持，邀请投标人参加。</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投标人未参加开标的，视同认可开标结果。</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27. 公开招标采购项目开标结束后，采购人依法对投标人的资格进行审查。</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31. 评标方法、评标标准。 </w:t>
      </w:r>
      <w:r/>
    </w:p>
    <w:p>
      <w:pPr>
        <w:ind w:firstLine="480"/>
        <w:jc w:val="left"/>
        <w:widowControl/>
        <w:rPr>
          <w:rFonts w:ascii="仿宋" w:hAnsi="仿宋" w:eastAsia="仿宋"/>
          <w:color w:val="auto"/>
          <w:sz w:val="24"/>
          <w:highlight w:val="none"/>
        </w:rPr>
      </w:pPr>
      <w:r>
        <w:rPr>
          <w:rFonts w:hint="eastAsia" w:ascii="仿宋" w:hAnsi="仿宋" w:eastAsia="仿宋" w:cs="宋体"/>
          <w:color w:val="auto"/>
          <w:sz w:val="24"/>
          <w:highlight w:val="none"/>
        </w:rPr>
        <w:t xml:space="preserve">31.1 评标方法分为最低评标价法和综合评分法。本项目的评标方法：见</w:t>
      </w:r>
      <w:r>
        <w:rPr>
          <w:rFonts w:hint="eastAsia" w:ascii="仿宋" w:hAnsi="仿宋" w:eastAsia="仿宋"/>
          <w:color w:val="auto"/>
          <w:sz w:val="24"/>
          <w:highlight w:val="none"/>
        </w:rPr>
        <w:t xml:space="preserve">招标文件第三章《投标资料表》。</w:t>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31.2 </w:t>
      </w:r>
      <w:r>
        <w:rPr>
          <w:rFonts w:hint="eastAsia" w:ascii="仿宋" w:hAnsi="仿宋" w:eastAsia="仿宋" w:cs="宋体"/>
          <w:color w:val="auto"/>
          <w:sz w:val="24"/>
          <w:highlight w:val="none"/>
        </w:rPr>
        <w:t xml:space="preserve">本项目的评标标准：</w:t>
      </w:r>
      <w:r>
        <w:rPr>
          <w:rFonts w:hint="eastAsia" w:ascii="仿宋" w:hAnsi="仿宋" w:eastAsia="仿宋"/>
          <w:color w:val="auto"/>
          <w:sz w:val="24"/>
          <w:highlight w:val="none"/>
        </w:rPr>
        <w:t xml:space="preserve">见招标文件第四章《评标标准》。</w:t>
      </w:r>
      <w:r/>
    </w:p>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32. </w:t>
      </w:r>
      <w:r>
        <w:rPr>
          <w:rFonts w:hint="eastAsia" w:ascii="仿宋" w:hAnsi="仿宋" w:eastAsia="仿宋" w:cs="宋体"/>
          <w:color w:val="auto"/>
          <w:sz w:val="24"/>
          <w:highlight w:val="none"/>
        </w:rPr>
        <w:t xml:space="preserve">投标文件报价出现前后不一致的，除招标文件另有规定外，按照下列规定修正：</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（二）大写金额和小写金额不一致的，以大写金额为准；</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（三）单价金额小数点或者百分比有明显错位的，以开标一览表的总价为准，并修改单价；</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color w:val="auto"/>
          <w:sz w:val="24"/>
          <w:highlight w:val="none"/>
        </w:rPr>
      </w:pPr>
      <w:r>
        <w:rPr>
          <w:rFonts w:hint="eastAsia" w:ascii="仿宋" w:hAnsi="仿宋" w:eastAsia="仿宋" w:cs="宋体"/>
          <w:color w:val="auto"/>
          <w:sz w:val="24"/>
          <w:highlight w:val="none"/>
        </w:rPr>
        <w:t xml:space="preserve">　　同时出现两种以上不一致的，按照前款规定的顺序修正。</w:t>
      </w:r>
      <w:r>
        <w:rPr>
          <w:rFonts w:hint="eastAsia" w:ascii="仿宋" w:hAnsi="仿宋" w:eastAsia="仿宋" w:cs="宋体"/>
          <w:b/>
          <w:color w:val="auto"/>
          <w:sz w:val="24"/>
          <w:highlight w:val="none"/>
        </w:rPr>
        <w:t xml:space="preserve">修正后的报价按照第29条第二款的规定经投标人确认后产生约束力，投标人不确认的，其投标无效。</w:t>
      </w:r>
      <w:r/>
    </w:p>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33.</w:t>
      </w:r>
      <w:r>
        <w:rPr>
          <w:rFonts w:ascii="仿宋" w:hAnsi="仿宋" w:eastAsia="仿宋" w:cs="宋体"/>
          <w:color w:val="auto"/>
          <w:sz w:val="24"/>
          <w:highlight w:val="none"/>
        </w:rPr>
        <w:t xml:space="preserve"> 实施政府采购异常低价审查的有关要求</w:t>
      </w:r>
      <w:r>
        <w:rPr>
          <w:rFonts w:hint="eastAsia" w:ascii="仿宋" w:hAnsi="仿宋" w:eastAsia="仿宋" w:cs="宋体"/>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（一）评审中出现下列情形之一的，评审（评标）委员会应当启动异常低价投标（响应）审查程序：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1.投标（响应）报价低于全部通过符合性审查供应商投标（响应）报价平均值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2.投标（响应）报价低于通过符合性审查的次低报价供应商投标（响应）报价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3.投标（响应）报价低于采购项目最高限价（未设定最高限价的采购项目，以采购项目预算金额作为最高限价）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的，即投标（响应）报价&lt;采购项目最高限价×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4.评审（评标）委员会基于专业判断，认为供应商报价过低，有可能影响产品质量或者不能诚信履约的其他情形。</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相关法律法规对供应商报价有规定的，从其规定。</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（二）</w:t>
      </w:r>
      <w:r>
        <w:rPr>
          <w:rFonts w:hint="eastAsia" w:ascii="仿宋" w:hAnsi="仿宋" w:eastAsia="仿宋"/>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color w:val="auto"/>
          <w:sz w:val="24"/>
          <w:highlight w:val="none"/>
        </w:rPr>
        <w:t xml:space="preserve">提供项目具体成本测算等与报价合理性相关的书面说明及必要的证明材料，包括但不限于原材料成本、人工成本、制造费用等</w:t>
      </w:r>
      <w:r>
        <w:rPr>
          <w:rFonts w:hint="eastAsia" w:ascii="仿宋" w:hAnsi="仿宋" w:eastAsia="仿宋"/>
          <w:color w:val="auto"/>
          <w:sz w:val="24"/>
          <w:highlight w:val="none"/>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34.</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 xml:space="preserve">投标人存在下列情况之一的，投标无效:</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（一）投标文件未按招标文件要求签署、盖章的；</w:t>
      </w:r>
      <w:r/>
    </w:p>
    <w:p>
      <w:pPr>
        <w:ind w:firstLine="12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（二）不具备招标文件中规定的资格要求的；</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（三）报价超过招标文件中规定的预算金额的；</w:t>
      </w:r>
      <w:r/>
    </w:p>
    <w:p>
      <w:pPr>
        <w:ind w:firstLine="12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（四）投标文件含有采购人不能接受的附加条件的;</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（五）投标文件中承诺的投标有效期少于招标文件中载明的投标有效期。</w:t>
      </w:r>
      <w:r/>
    </w:p>
    <w:p>
      <w:pPr>
        <w:ind w:firstLine="360"/>
        <w:rPr>
          <w:rFonts w:ascii="仿宋" w:hAnsi="仿宋" w:eastAsia="仿宋"/>
          <w:color w:val="auto"/>
          <w:sz w:val="24"/>
          <w:highlight w:val="none"/>
        </w:rPr>
      </w:pPr>
      <w:r>
        <w:rPr>
          <w:rFonts w:hint="eastAsia" w:ascii="仿宋" w:hAnsi="仿宋" w:eastAsia="仿宋" w:cs="宋体"/>
          <w:color w:val="auto"/>
          <w:sz w:val="24"/>
          <w:highlight w:val="none"/>
        </w:rPr>
        <w:t xml:space="preserve">（六）法律、法规和招标文件规定的其他无效情形。</w:t>
      </w:r>
      <w:r/>
    </w:p>
    <w:p>
      <w:pPr>
        <w:jc w:val="left"/>
        <w:widowControl/>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35.</w:t>
      </w:r>
      <w:r>
        <w:rPr>
          <w:rFonts w:hint="eastAsia" w:ascii="仿宋" w:hAnsi="仿宋" w:eastAsia="仿宋" w:cs="宋体"/>
          <w:color w:val="auto"/>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五、中标和合同</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 确定中标人</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36.1 采购代理机构应当在评标结束后2个工作日内将评标报告送采购人。</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40.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left="42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六、询问和质疑</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41. 询问和质疑</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left="42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七、电子招标投标交易平台</w:t>
      </w:r>
      <w:r/>
    </w:p>
    <w:p>
      <w:pPr>
        <w:rPr>
          <w:rFonts w:hint="eastAsia" w:ascii="仿宋" w:hAnsi="仿宋" w:eastAsia="仿宋" w:cs="仿宋"/>
          <w:color w:val="auto"/>
          <w:sz w:val="24"/>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auto"/>
          <w:sz w:val="24"/>
          <w:highlight w:val="none"/>
        </w:rPr>
        <w:t xml:space="preserve">   42. 电子招标投标交易平台（即“苏采云”系统，网址：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）相关要求是本招标文件的组成部分。</w:t>
      </w:r>
      <w:r/>
    </w:p>
    <w:p>
      <w:pPr>
        <w:pStyle w:val="702"/>
        <w:jc w:val="center"/>
        <w:keepLines/>
        <w:keepNext/>
        <w:pageBreakBefore w:val="0"/>
        <w:spacing w:line="240" w:lineRule="atLeast"/>
        <w:widowControl w:val="off"/>
        <w:rPr>
          <w:rFonts w:ascii="仿宋" w:hAnsi="仿宋" w:eastAsia="仿宋" w:cs="仿宋"/>
          <w:color w:val="auto"/>
          <w:highlight w:val="none"/>
        </w:rPr>
      </w:pPr>
      <w:r>
        <w:rPr>
          <w:rFonts w:hint="eastAsia" w:ascii="仿宋" w:hAnsi="仿宋" w:eastAsia="仿宋" w:cs="仿宋"/>
          <w:b w:val="0"/>
          <w:bCs w:val="0"/>
          <w:color w:val="auto"/>
          <w:sz w:val="32"/>
          <w:szCs w:val="32"/>
          <w:highlight w:val="none"/>
        </w:rPr>
        <w:t xml:space="preserve">第三章  投标资料表</w:t>
      </w:r>
      <w:r/>
    </w:p>
    <w:p>
      <w:pPr>
        <w:pStyle w:val="742"/>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s="仿宋"/>
          <w:color w:val="auto"/>
          <w:sz w:val="24"/>
          <w:highlight w:val="none"/>
        </w:rPr>
      </w:pPr>
      <w:r>
        <w:rPr>
          <w:rFonts w:ascii="仿宋" w:hAnsi="仿宋" w:eastAsia="仿宋" w:cs="仿宋"/>
          <w:color w:val="auto"/>
          <w:sz w:val="24"/>
          <w:highlight w:val="none"/>
        </w:rPr>
      </w:r>
      <w:r/>
    </w:p>
    <w:tbl>
      <w:tblPr>
        <w:tblStyle w:val="712"/>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本项目采购人：</w:t>
            </w:r>
            <w:r>
              <w:rPr>
                <w:rFonts w:hint="eastAsia" w:ascii="仿宋" w:hAnsi="仿宋" w:eastAsia="仿宋" w:cs="仿宋"/>
                <w:color w:val="auto"/>
                <w:sz w:val="24"/>
                <w:highlight w:val="none"/>
                <w:lang w:val="en-US" w:eastAsia="zh-CN"/>
              </w:rPr>
              <w:t xml:space="preserve">邳州市纪念场馆管理处</w:t>
            </w:r>
            <w:r>
              <w:rPr>
                <w:rFonts w:hint="eastAsia" w:ascii="仿宋" w:hAnsi="仿宋" w:eastAsia="仿宋" w:cs="仿宋"/>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w:t>
            </w:r>
            <w:r>
              <w:rPr>
                <w:rFonts w:hint="eastAsia" w:ascii="仿宋" w:hAnsi="仿宋" w:eastAsia="仿宋" w:cs="仿宋"/>
                <w:color w:val="auto"/>
                <w:sz w:val="24"/>
                <w:highlight w:val="none"/>
                <w:lang w:val="en-US" w:eastAsia="zh-CN"/>
              </w:rPr>
              <w:t xml:space="preserve">邳州市公共资源交易中心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 xml:space="preserve">采购项目预算金额：</w:t>
            </w:r>
            <w:r>
              <w:rPr>
                <w:rFonts w:hint="eastAsia" w:ascii="仿宋" w:hAnsi="仿宋" w:eastAsia="仿宋" w:cs="仿宋"/>
                <w:color w:val="auto"/>
                <w:sz w:val="24"/>
                <w:highlight w:val="none"/>
                <w:lang w:val="en-US" w:eastAsia="zh-CN"/>
              </w:rPr>
              <w:t xml:space="preserve">采购包一：217.44 万元；采购包二：227.88 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15.1</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color w:val="auto"/>
                <w:sz w:val="24"/>
                <w:highlight w:val="none"/>
              </w:rPr>
              <w:t xml:space="preserve">并通过“苏采云”系统重新下载更正（澄清）后的采购文件（后缀名为“.kedt”），离线编制投标文件，</w:t>
            </w:r>
            <w:r>
              <w:rPr>
                <w:rFonts w:hint="eastAsia" w:ascii="仿宋" w:hAnsi="仿宋" w:eastAsia="仿宋" w:cs="仿宋"/>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auto"/>
                <w:sz w:val="24"/>
                <w:highlight w:val="none"/>
              </w:rPr>
              <w:t xml:space="preserve">发布本项目的“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”后采购代理机构已尽通知义务。敬请各潜在投标人关注本项目的“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一、</w:t>
            </w:r>
            <w:r>
              <w:rPr>
                <w:rFonts w:hint="eastAsia" w:ascii="仿宋" w:hAnsi="仿宋" w:eastAsia="仿宋" w:cs="仿宋"/>
                <w:color w:val="auto"/>
                <w:sz w:val="24"/>
                <w:highlight w:val="none"/>
              </w:rPr>
              <w:t xml:space="preserve">由采购人查询信用信息。</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二、查询渠道包括：</w:t>
            </w:r>
            <w:r/>
          </w:p>
          <w:p>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 xml:space="preserve">1.“信用中国”网（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 xml:space="preserve">2.中国政府采购网（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3.</w:t>
            </w:r>
            <w:r>
              <w:rPr>
                <w:rFonts w:hint="eastAsia" w:ascii="仿宋" w:hAnsi="仿宋" w:eastAsia="仿宋" w:cs="仿宋"/>
                <w:color w:val="auto"/>
                <w:sz w:val="24"/>
                <w:highlight w:val="none"/>
              </w:rPr>
              <w:t xml:space="preserve">“信用江苏”网（http://credit.jiangsu.gov.cn/）</w:t>
            </w:r>
            <w:r>
              <w:rPr>
                <w:rFonts w:hint="eastAsia" w:ascii="仿宋" w:hAnsi="仿宋" w:eastAsia="仿宋" w:cs="仿宋"/>
                <w:bCs/>
                <w:color w:val="auto"/>
                <w:sz w:val="24"/>
                <w:highlight w:val="none"/>
              </w:rPr>
              <w:t xml:space="preserve">；</w:t>
            </w:r>
            <w:r/>
          </w:p>
          <w:p>
            <w:pPr>
              <w:ind w:firstLine="60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4.“信用徐州”网（</w:t>
            </w:r>
            <w:r>
              <w:rPr>
                <w:rFonts w:hint="eastAsia" w:ascii="仿宋" w:hAnsi="仿宋" w:eastAsia="仿宋" w:cs="仿宋"/>
                <w:bCs/>
                <w:color w:val="auto"/>
                <w:sz w:val="24"/>
                <w:highlight w:val="none"/>
              </w:rPr>
              <w:t xml:space="preserve">www.xuzhoucredit.gov.cn/</w:t>
            </w:r>
            <w:r>
              <w:rPr>
                <w:rFonts w:hint="eastAsia" w:ascii="仿宋" w:hAnsi="仿宋" w:eastAsia="仿宋" w:cs="仿宋"/>
                <w:color w:val="auto"/>
                <w:sz w:val="24"/>
                <w:highlight w:val="none"/>
              </w:rPr>
              <w:t xml:space="preserve">）。</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三、截止时点（查询环节）：开标后资格审查结束前。</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四、信用信息查询记录和证据留存的具体方式：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五、信用信息的使用规则：</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仿宋"/>
                <w:strike/>
                <w:color w:val="auto"/>
                <w:sz w:val="24"/>
                <w:highlight w:val="none"/>
              </w:rPr>
            </w:pPr>
            <w:r>
              <w:rPr>
                <w:rFonts w:hint="eastAsia" w:ascii="仿宋" w:hAnsi="仿宋" w:eastAsia="仿宋" w:cs="仿宋"/>
                <w:bCs/>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http://jszfcg.jsc</w:t>
            </w:r>
            <w:bookmarkStart w:id="0" w:name="_Hlt91509263"/>
            <w:r/>
            <w:bookmarkStart w:id="1" w:name="_Hlt91509264"/>
            <w:r>
              <w:rPr>
                <w:rFonts w:hint="eastAsia" w:ascii="仿宋" w:hAnsi="仿宋" w:eastAsia="仿宋" w:cs="仿宋"/>
                <w:color w:val="auto"/>
                <w:sz w:val="24"/>
                <w:highlight w:val="none"/>
              </w:rPr>
              <w:t xml:space="preserve">z</w:t>
            </w:r>
            <w:bookmarkEnd w:id="0"/>
            <w:r/>
            <w:bookmarkEnd w:id="1"/>
            <w:r>
              <w:rPr>
                <w:rFonts w:hint="eastAsia" w:ascii="仿宋" w:hAnsi="仿宋" w:eastAsia="仿宋" w:cs="仿宋"/>
                <w:color w:val="auto"/>
                <w:sz w:val="24"/>
                <w:highlight w:val="none"/>
              </w:rPr>
              <w:t xml:space="preserve">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特别说明：政府采购客户端工具需要导出加密的投标文件（后缀名为zip）。</w:t>
            </w:r>
            <w:r>
              <w:rPr>
                <w:rFonts w:hint="eastAsia" w:ascii="仿宋" w:hAnsi="仿宋" w:eastAsia="仿宋" w:cs="仿宋"/>
                <w:b/>
                <w:bCs/>
                <w:color w:val="auto"/>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投标文件编制要求</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请按照以下要求（包括但不限于以下要求）制作：</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1.《开标一览表》（加盖电子签章，政府采购客户端工具输入报价自动生成）；</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2.《授权委托书》（提供扫描件，格式见招标文件第七章《投标文件相关格式》）；</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二、资格条件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1～7项</w:t>
            </w:r>
            <w:r>
              <w:rPr>
                <w:rFonts w:hint="eastAsia" w:ascii="仿宋" w:hAnsi="仿宋" w:eastAsia="仿宋" w:cs="仿宋"/>
                <w:b/>
                <w:color w:val="auto"/>
                <w:sz w:val="24"/>
                <w:highlight w:val="none"/>
                <w:lang w:eastAsia="zh-CN"/>
              </w:rPr>
              <w:t xml:space="preserve">及</w:t>
            </w:r>
            <w:r>
              <w:rPr>
                <w:rFonts w:hint="eastAsia" w:ascii="仿宋" w:hAnsi="仿宋" w:eastAsia="仿宋" w:cs="仿宋"/>
                <w:b/>
                <w:color w:val="auto"/>
                <w:sz w:val="24"/>
                <w:highlight w:val="none"/>
                <w:lang w:val="en-US" w:eastAsia="zh-CN"/>
              </w:rPr>
              <w:t xml:space="preserve">9项</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1.投标人合法有效的法人或者其他组织的营业执照等证明文件，自然人的身份证明。以上证明文件提供扫描件。</w:t>
            </w:r>
            <w:r/>
          </w:p>
          <w:p>
            <w:pPr>
              <w:ind w:firstLine="240"/>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提供投标人的本项目开标时间前6个月内任一时间截点资产负债表、利润表扫描件各一份；或提供合法有效的经第三方机构审计的上一年度财务审计报告扫描件（应包括审计报告正文、资产负债表、现金流量表、利润表）；</w:t>
            </w:r>
            <w:r/>
          </w:p>
          <w:p>
            <w:pPr>
              <w:ind w:firstLine="240"/>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3.投标人依法缴纳税收和社会保障资金的记录：</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（1）本项目开标时间前6个月内任何1月的依法缴纳税收的相关材料的扫描件；</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（2）本项目开标时间前6个月内任何1月的依法缴纳社会保障资金的相关材料的扫描件。</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color w:val="auto"/>
                <w:sz w:val="24"/>
                <w:highlight w:val="none"/>
              </w:rPr>
              <w:t xml:space="preserve">具备履行合同所必需的设备和专业技术能力的书面声明</w:t>
            </w:r>
            <w:bookmarkEnd w:id="2"/>
            <w:r>
              <w:rPr>
                <w:rFonts w:hint="eastAsia" w:ascii="仿宋" w:hAnsi="仿宋" w:eastAsia="仿宋" w:cs="仿宋"/>
                <w:color w:val="auto"/>
                <w:sz w:val="24"/>
                <w:highlight w:val="none"/>
              </w:rPr>
              <w:t xml:space="preserve">》（加盖电子签章，格式见招标文件第七章《投标文件相关格式》）。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6.投标人关于单位负责人为同一人或者存在直接控股、管理关系的不同供应商，不得参加同一合同项下的政府采购活动的承诺。（加盖电子签章，格式见招标文件第七章《</w:t>
            </w:r>
            <w:r>
              <w:rPr>
                <w:rFonts w:hint="eastAsia" w:ascii="仿宋" w:hAnsi="仿宋" w:eastAsia="仿宋"/>
                <w:color w:val="auto"/>
                <w:sz w:val="24"/>
                <w:szCs w:val="24"/>
                <w:highlight w:val="none"/>
              </w:rPr>
              <w:t xml:space="preserve">投标文件相关格式</w:t>
            </w:r>
            <w:r>
              <w:rPr>
                <w:rFonts w:hint="eastAsia" w:ascii="仿宋" w:hAnsi="仿宋" w:eastAsia="仿宋" w:cs="仿宋"/>
                <w:color w:val="auto"/>
                <w:sz w:val="24"/>
                <w:highlight w:val="none"/>
              </w:rPr>
              <w:t xml:space="preserve">》）。</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pStyle w:val="74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firstLine="480"/>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9.</w:t>
            </w:r>
            <w:r>
              <w:rPr>
                <w:rFonts w:hint="eastAsia" w:ascii="仿宋" w:hAnsi="仿宋" w:eastAsia="仿宋"/>
                <w:color w:val="auto"/>
                <w:sz w:val="24"/>
                <w:highlight w:val="none"/>
              </w:rPr>
              <w:t xml:space="preserve">本项目为专门面向中小企业采购的项目，</w:t>
            </w:r>
            <w:r>
              <w:rPr>
                <w:rFonts w:hint="eastAsia" w:ascii="仿宋" w:hAnsi="仿宋" w:eastAsia="仿宋"/>
                <w:iCs/>
                <w:color w:val="auto"/>
                <w:sz w:val="24"/>
                <w:highlight w:val="none"/>
              </w:rPr>
              <w:t xml:space="preserve">供应商应为中小微企业、监狱企业、残疾人福利性单位。</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pStyle w:val="747"/>
              <w:rPr>
                <w:color w:val="auto"/>
                <w:highlight w:val="none"/>
              </w:rPr>
            </w:pPr>
            <w:r>
              <w:rPr>
                <w:color w:val="auto"/>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三、符合条件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1.报价符合性审查：</w:t>
            </w:r>
            <w:r/>
          </w:p>
          <w:p>
            <w:pPr>
              <w:rPr>
                <w:rFonts w:ascii="仿宋" w:hAnsi="仿宋" w:eastAsia="仿宋" w:cs="仿宋"/>
                <w:color w:val="auto"/>
                <w:sz w:val="24"/>
                <w:highlight w:val="none"/>
              </w:rPr>
            </w:pPr>
            <w:r>
              <w:rPr>
                <w:rFonts w:hint="eastAsia" w:ascii="仿宋" w:hAnsi="仿宋" w:eastAsia="仿宋"/>
                <w:color w:val="auto"/>
                <w:sz w:val="24"/>
                <w:highlight w:val="none"/>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.《采购需求符合性条件响应表》（加盖电子签章，格式见招标文件第七章《投标文件相关格式》。）；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.《偏离表》（加盖电子签章，格式见招标文件第七章《投标文件相关格式》。）；</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default" w:ascii="仿宋" w:hAnsi="仿宋" w:eastAsia="仿宋" w:cs="仿宋"/>
                <w:color w:val="auto"/>
                <w:sz w:val="24"/>
                <w:highlight w:val="none"/>
                <w:lang w:val="en-US" w:eastAsia="zh-CN"/>
              </w:rPr>
              <w:t xml:space="preserve">基本服务方案</w:t>
            </w:r>
            <w:r>
              <w:rPr>
                <w:rFonts w:hint="eastAsia" w:ascii="仿宋" w:hAnsi="仿宋" w:eastAsia="仿宋" w:cs="仿宋"/>
                <w:color w:val="auto"/>
                <w:sz w:val="24"/>
                <w:highlight w:val="none"/>
              </w:rPr>
              <w:t xml:space="preserve">（要求见招标文件第六章《采购需求》）；</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w:t>
            </w:r>
            <w:r>
              <w:rPr>
                <w:rFonts w:hint="default" w:ascii="仿宋" w:hAnsi="仿宋" w:eastAsia="仿宋" w:cs="仿宋"/>
                <w:color w:val="auto"/>
                <w:sz w:val="24"/>
                <w:highlight w:val="none"/>
                <w:lang w:val="en-US" w:eastAsia="zh-CN"/>
              </w:rPr>
              <w:t xml:space="preserve">保洁服务方案</w:t>
            </w:r>
            <w:r>
              <w:rPr>
                <w:rFonts w:hint="eastAsia" w:ascii="仿宋" w:hAnsi="仿宋" w:eastAsia="仿宋" w:cs="仿宋"/>
                <w:color w:val="auto"/>
                <w:sz w:val="24"/>
                <w:highlight w:val="none"/>
              </w:rPr>
              <w:t xml:space="preserve">要求见招标文件第六章《采购需求》）</w:t>
            </w:r>
            <w:r>
              <w:rPr>
                <w:rFonts w:hint="eastAsia" w:ascii="仿宋" w:hAnsi="仿宋" w:eastAsia="仿宋" w:cs="仿宋"/>
                <w:color w:val="auto"/>
                <w:sz w:val="24"/>
                <w:highlight w:val="none"/>
                <w:lang w:eastAsia="zh-CN"/>
              </w:rPr>
              <w:t xml:space="preserve">；</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rPr>
                <w:rFonts w:hint="default" w:ascii="仿宋" w:hAnsi="仿宋" w:eastAsia="仿宋" w:cs="仿宋"/>
                <w:color w:val="auto"/>
                <w:sz w:val="24"/>
                <w:highlight w:val="none"/>
                <w:lang w:val="en-US" w:eastAsia="zh-CN"/>
              </w:rPr>
              <w:t xml:space="preserve">安保服务方案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rPr>
                <w:rFonts w:hint="default" w:ascii="仿宋" w:hAnsi="仿宋" w:eastAsia="仿宋" w:cs="仿宋"/>
                <w:color w:val="auto"/>
                <w:sz w:val="24"/>
                <w:highlight w:val="none"/>
                <w:lang w:val="en-US" w:eastAsia="zh-CN"/>
              </w:rPr>
              <w:t xml:space="preserve">公用设施设备维护服务方案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处理突发事件服务方案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rPr>
                <w:rFonts w:hint="default" w:ascii="仿宋" w:hAnsi="仿宋" w:eastAsia="仿宋" w:cs="仿宋"/>
                <w:color w:val="auto"/>
                <w:sz w:val="24"/>
                <w:highlight w:val="none"/>
                <w:lang w:val="en-US" w:eastAsia="zh-CN"/>
              </w:rPr>
              <w:t xml:space="preserve">公共设施节水、节电、节能管理方案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rPr>
                <w:rFonts w:hint="default" w:ascii="仿宋" w:hAnsi="仿宋" w:eastAsia="仿宋" w:cs="仿宋"/>
                <w:color w:val="auto"/>
                <w:sz w:val="24"/>
                <w:highlight w:val="none"/>
                <w:lang w:val="en-US" w:eastAsia="zh-CN"/>
              </w:rPr>
              <w:t xml:space="preserve">物业移交方案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p>
            <w:pPr>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1.供应商</w:t>
            </w:r>
            <w:r>
              <w:rPr>
                <w:rFonts w:hint="eastAsia" w:ascii="仿宋" w:hAnsi="仿宋" w:eastAsia="仿宋" w:cs="仿宋"/>
                <w:color w:val="auto"/>
                <w:sz w:val="24"/>
                <w:highlight w:val="none"/>
              </w:rPr>
              <w:t xml:space="preserve">业绩（要求见招标文件第四章《评标标准》）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default" w:ascii="仿宋" w:hAnsi="仿宋" w:eastAsia="仿宋" w:cs="仿宋"/>
                <w:color w:val="auto"/>
                <w:sz w:val="24"/>
                <w:highlight w:val="none"/>
                <w:lang w:val="en-US" w:eastAsia="zh-CN"/>
              </w:rPr>
              <w:t xml:space="preserve">组织机构设置及人员配备方案</w:t>
            </w:r>
            <w:r>
              <w:rPr>
                <w:rFonts w:hint="eastAsia" w:ascii="仿宋" w:hAnsi="仿宋" w:eastAsia="仿宋" w:cs="仿宋"/>
                <w:color w:val="auto"/>
                <w:sz w:val="24"/>
                <w:highlight w:val="none"/>
              </w:rPr>
              <w:t xml:space="preserve">（要求见招标文件第四章《评标标准》）</w:t>
            </w:r>
            <w:r>
              <w:rPr>
                <w:rFonts w:hint="eastAsia" w:ascii="仿宋" w:hAnsi="仿宋" w:eastAsia="仿宋" w:cs="仿宋"/>
                <w:color w:val="auto"/>
                <w:sz w:val="24"/>
                <w:highlight w:val="none"/>
                <w:lang w:eastAsia="zh-CN"/>
              </w:rPr>
              <w:t xml:space="preserve">。</w:t>
            </w:r>
            <w:r/>
          </w:p>
          <w:p>
            <w:pPr>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（一）企业报价折扣证明：</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ind w:firstLine="24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本项目为专门面向中小企业采购的项目，投标人在政府采购客户端编制价格折扣文件时，选择享受的报价扣除类型为“无扣除”。</w:t>
            </w:r>
            <w:r/>
          </w:p>
          <w:p>
            <w:pPr>
              <w:pStyle w:val="747"/>
              <w:rPr>
                <w:color w:val="auto"/>
                <w:highlight w:val="none"/>
              </w:rPr>
            </w:pPr>
            <w:r>
              <w:rPr>
                <w:rFonts w:hint="eastAsia" w:ascii="仿宋" w:hAnsi="仿宋" w:eastAsia="仿宋"/>
                <w:color w:val="auto"/>
                <w:sz w:val="24"/>
                <w:highlight w:val="none"/>
              </w:rPr>
              <w:t xml:space="preserve">（二）关于符合本国产品标准的声明函</w:t>
            </w:r>
            <w:r/>
          </w:p>
          <w:p>
            <w:pPr>
              <w:rPr>
                <w:b/>
                <w:bCs/>
                <w:color w:val="auto"/>
                <w:highlight w:val="none"/>
              </w:rPr>
            </w:pPr>
            <w:r>
              <w:rPr>
                <w:rFonts w:hint="eastAsia" w:ascii="仿宋" w:hAnsi="仿宋" w:eastAsia="仿宋"/>
                <w:b/>
                <w:bCs/>
                <w:color w:val="auto"/>
                <w:sz w:val="24"/>
                <w:highlight w:val="none"/>
              </w:rPr>
              <w:t xml:space="preserve">本项目为不涉及货物采购的服务类项目，投标人在政府采购客户端编制价格折扣文件时，选择享受的报价扣除类型为“不享受扣除”。</w:t>
            </w:r>
            <w:r/>
          </w:p>
          <w:p>
            <w:pPr>
              <w:pStyle w:val="747"/>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1.投标人应对以上文件的合法性、真实性负责。</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投标人应当通过“苏采云”系统提交数据电文形式的投标文件（即电子投标）。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特别说明：通过“苏采云”系统提交政府采购客户端工具导出加密的投标文件（后缀名为zip）。投标文件不得超过</w:t>
            </w:r>
            <w:r>
              <w:rPr>
                <w:rFonts w:hint="eastAsia" w:ascii="仿宋" w:hAnsi="仿宋" w:eastAsia="仿宋" w:cs="仿宋"/>
                <w:b/>
                <w:bCs/>
                <w:color w:val="auto"/>
                <w:sz w:val="24"/>
                <w:highlight w:val="none"/>
              </w:rPr>
              <w:t xml:space="preserve">150M</w:t>
            </w:r>
            <w:r>
              <w:rPr>
                <w:rFonts w:hint="eastAsia" w:ascii="仿宋" w:hAnsi="仿宋" w:eastAsia="仿宋" w:cs="仿宋"/>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投标文件的退还：</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投标文件的密封、签署、盖章要求：</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投标人应当在投标截止时间前完成投标文件的传输提交，并可以补充、修改或者撤回投标文件。</w:t>
            </w:r>
            <w:r/>
          </w:p>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补充、修改投标文件的，须先撤回投标文件，重新编制（即补充、修改）投标文件，在投标截止时间前完成投标文件的传输提交。</w:t>
            </w:r>
            <w:r/>
          </w:p>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投标截止时间前未完成投标文件传输的，视为撤回投标文件。投标截止时间后送达的投标文件，“苏采云”系统应当拒收。</w:t>
            </w:r>
            <w:r/>
          </w:p>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b/>
                <w:color w:val="auto"/>
                <w:highlight w:val="none"/>
              </w:rPr>
              <w:t xml:space="preserve">“苏采云”系统收到投标人送达的投标文件，即时向投标人发出确认回执通知（提示），</w:t>
            </w:r>
            <w:r>
              <w:rPr>
                <w:rFonts w:hint="eastAsia" w:ascii="仿宋" w:hAnsi="仿宋" w:eastAsia="仿宋" w:cs="仿宋"/>
                <w:color w:val="auto"/>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bCs/>
                <w:color w:val="auto"/>
                <w:sz w:val="24"/>
                <w:highlight w:val="none"/>
              </w:rPr>
              <w:t xml:space="preserve">本项目不接受超过</w:t>
            </w:r>
            <w:r>
              <w:rPr>
                <w:rFonts w:hint="eastAsia" w:ascii="仿宋" w:hAnsi="仿宋" w:eastAsia="仿宋" w:cs="仿宋"/>
                <w:color w:val="auto"/>
                <w:sz w:val="24"/>
                <w:highlight w:val="none"/>
                <w:lang w:val="en-US" w:eastAsia="zh-CN"/>
              </w:rPr>
              <w:t xml:space="preserve">采购包一：217.44 万元、采购包二：227.88 万元</w:t>
            </w:r>
            <w:r>
              <w:rPr>
                <w:rFonts w:hint="eastAsia" w:ascii="仿宋" w:hAnsi="仿宋" w:eastAsia="仿宋"/>
                <w:bCs/>
                <w:color w:val="auto"/>
                <w:sz w:val="24"/>
                <w:highlight w:val="none"/>
              </w:rPr>
              <w:t xml:space="preserve">（采购项目预算金额）的投标报价。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投标截止时间：</w:t>
            </w:r>
            <w:r>
              <w:rPr>
                <w:rFonts w:hint="eastAsia" w:ascii="仿宋" w:hAnsi="仿宋" w:eastAsia="仿宋" w:cs="仿宋"/>
                <w:color w:val="auto"/>
                <w:sz w:val="24"/>
                <w:highlight w:val="none"/>
                <w:lang w:eastAsia="zh-CN"/>
              </w:rPr>
              <w:t xml:space="preserve">2026年7月31日</w:t>
            </w:r>
            <w:r>
              <w:rPr>
                <w:rFonts w:hint="eastAsia" w:ascii="仿宋" w:hAnsi="仿宋" w:eastAsia="仿宋" w:cs="仿宋"/>
                <w:color w:val="auto"/>
                <w:sz w:val="24"/>
                <w:highlight w:val="none"/>
              </w:rPr>
              <w:t xml:space="preserve">9:30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投标文件的递交：</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1.投标文件递交截止时间：</w:t>
            </w:r>
            <w:r>
              <w:rPr>
                <w:rFonts w:hint="eastAsia" w:ascii="仿宋" w:hAnsi="仿宋" w:eastAsia="仿宋" w:cs="仿宋"/>
                <w:color w:val="auto"/>
                <w:sz w:val="24"/>
                <w:highlight w:val="none"/>
                <w:lang w:eastAsia="zh-CN"/>
              </w:rPr>
              <w:t xml:space="preserve">2026年7月31日</w:t>
            </w:r>
            <w:r>
              <w:rPr>
                <w:rFonts w:hint="eastAsia" w:ascii="仿宋" w:hAnsi="仿宋" w:eastAsia="仿宋" w:cs="仿宋"/>
                <w:color w:val="auto"/>
                <w:sz w:val="24"/>
                <w:highlight w:val="none"/>
              </w:rPr>
              <w:t xml:space="preserve">9：30</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11"/>
              <w:tabs>
                <w:tab w:val="left" w:pos="0" w:leader="none"/>
              </w:tabs>
              <w:rPr>
                <w:rFonts w:ascii="仿宋" w:hAnsi="仿宋" w:eastAsia="仿宋" w:cs="仿宋"/>
                <w:color w:val="auto"/>
                <w:sz w:val="24"/>
                <w:highlight w:val="none"/>
              </w:rPr>
              <w:outlineLvl w:val="2"/>
            </w:pPr>
            <w:r>
              <w:rPr>
                <w:rFonts w:hint="eastAsia" w:ascii="仿宋" w:hAnsi="仿宋" w:eastAsia="仿宋" w:cs="仿宋"/>
                <w:color w:val="auto"/>
                <w:sz w:val="24"/>
                <w:szCs w:val="24"/>
                <w:highlight w:val="none"/>
                <w:lang w:val="en-US" w:eastAsia="zh-CN" w:bidi="ar-SA"/>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报价相同的，招标文件规定的确定一个投标人参加评标的方式：由采购人确定。</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采购人根据采购项目技术构成、产品价格比重等确定核心产品：无。</w:t>
            </w:r>
            <w:r/>
          </w:p>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开标时间及地点：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1.开标时间：</w:t>
            </w:r>
            <w:r>
              <w:rPr>
                <w:rFonts w:hint="eastAsia" w:ascii="仿宋" w:hAnsi="仿宋" w:eastAsia="仿宋" w:cs="仿宋"/>
                <w:color w:val="auto"/>
                <w:sz w:val="24"/>
                <w:highlight w:val="none"/>
                <w:lang w:eastAsia="zh-CN"/>
              </w:rPr>
              <w:t xml:space="preserve">2026年7月31日</w:t>
            </w:r>
            <w:r>
              <w:rPr>
                <w:rFonts w:hint="eastAsia" w:ascii="仿宋" w:hAnsi="仿宋" w:eastAsia="仿宋" w:cs="仿宋"/>
                <w:color w:val="auto"/>
                <w:sz w:val="24"/>
                <w:highlight w:val="none"/>
              </w:rPr>
              <w:t xml:space="preserve">9：30</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2.开标地点：“苏采云”系统（网址： http://jszfcg.jsczt.cn/）“开标大厅”或进入徐州政府采购网（网址：</w:t>
            </w:r>
            <w:r>
              <w:rPr>
                <w:rFonts w:ascii="仿宋" w:hAnsi="仿宋" w:eastAsia="仿宋" w:cs="宋体"/>
                <w:color w:val="auto"/>
                <w:sz w:val="24"/>
                <w:highlight w:val="none"/>
              </w:rPr>
              <w:t xml:space="preserve">https://czj.xz.gov.cn/zfcg/</w:t>
            </w:r>
            <w:r>
              <w:rPr>
                <w:rFonts w:hint="eastAsia" w:ascii="仿宋" w:hAnsi="仿宋" w:eastAsia="仿宋" w:cs="仿宋"/>
                <w:color w:val="auto"/>
                <w:sz w:val="24"/>
                <w:highlight w:val="none"/>
              </w:rPr>
              <w:t xml:space="preserve">）</w:t>
            </w:r>
            <w:r>
              <w:rPr>
                <w:rFonts w:hint="eastAsia" w:ascii="仿宋" w:hAnsi="仿宋" w:eastAsia="仿宋" w:cs="宋体"/>
                <w:color w:val="auto"/>
                <w:sz w:val="24"/>
                <w:highlight w:val="none"/>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auto"/>
                <w:sz w:val="24"/>
                <w:highlight w:val="none"/>
              </w:rPr>
              <w:t xml:space="preserve">开标时间后</w:t>
            </w:r>
            <w:r>
              <w:rPr>
                <w:rFonts w:hint="eastAsia" w:ascii="仿宋" w:hAnsi="仿宋" w:eastAsia="仿宋" w:cs="仿宋"/>
                <w:color w:val="auto"/>
                <w:sz w:val="24"/>
                <w:highlight w:val="none"/>
              </w:rPr>
              <w:t xml:space="preserve">，通过“苏采云”系统（使用“CA数字证书”）解密。解密时限：进入解密环节后，</w:t>
            </w:r>
            <w:r>
              <w:rPr>
                <w:rFonts w:hint="eastAsia" w:ascii="仿宋" w:hAnsi="仿宋" w:eastAsia="仿宋" w:cs="仿宋"/>
                <w:b/>
                <w:bCs/>
                <w:color w:val="auto"/>
                <w:sz w:val="24"/>
                <w:highlight w:val="none"/>
              </w:rPr>
              <w:t xml:space="preserve">30分钟内。</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“苏采云”系统生成开标记录并</w:t>
            </w:r>
            <w:r>
              <w:rPr>
                <w:rFonts w:hint="eastAsia" w:ascii="仿宋" w:hAnsi="仿宋" w:eastAsia="仿宋" w:cs="仿宋"/>
                <w:b/>
                <w:bCs/>
                <w:color w:val="auto"/>
                <w:sz w:val="24"/>
                <w:highlight w:val="none"/>
              </w:rPr>
              <w:t xml:space="preserve">向社会公众公布后5分钟内</w:t>
            </w:r>
            <w:r>
              <w:rPr>
                <w:rFonts w:hint="eastAsia" w:ascii="仿宋" w:hAnsi="仿宋" w:eastAsia="仿宋" w:cs="仿宋"/>
                <w:color w:val="auto"/>
                <w:sz w:val="24"/>
                <w:highlight w:val="none"/>
              </w:rPr>
              <w:t xml:space="preserve">，投标人通过“苏采云”系统（使用“CA数字证书”）</w:t>
            </w:r>
            <w:r>
              <w:rPr>
                <w:rFonts w:hint="eastAsia" w:ascii="仿宋" w:hAnsi="仿宋" w:eastAsia="仿宋" w:cs="仿宋"/>
                <w:b/>
                <w:bCs/>
                <w:color w:val="auto"/>
                <w:sz w:val="24"/>
                <w:highlight w:val="none"/>
              </w:rPr>
              <w:t xml:space="preserve">确认开标过程</w:t>
            </w:r>
            <w:r>
              <w:rPr>
                <w:rFonts w:hint="eastAsia" w:ascii="仿宋" w:hAnsi="仿宋" w:eastAsia="仿宋" w:cs="仿宋"/>
                <w:color w:val="auto"/>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cs="仿宋"/>
                <w:color w:val="auto"/>
                <w:highlight w:val="none"/>
              </w:rPr>
            </w:pPr>
            <w:r>
              <w:rPr>
                <w:rFonts w:ascii="仿宋" w:hAnsi="仿宋" w:eastAsia="仿宋" w:cs="仿宋"/>
                <w:color w:val="auto"/>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w:t>
            </w:r>
            <w:r>
              <w:rPr>
                <w:rFonts w:hint="eastAsia" w:ascii="仿宋" w:hAnsi="仿宋" w:eastAsia="仿宋" w:cs="仿宋"/>
                <w:b/>
                <w:bCs/>
                <w:color w:val="auto"/>
                <w:sz w:val="24"/>
                <w:highlight w:val="none"/>
              </w:rPr>
              <w:t xml:space="preserve">在评标期间，请投标人保持在线</w:t>
            </w:r>
            <w:r>
              <w:rPr>
                <w:rFonts w:hint="eastAsia" w:ascii="仿宋" w:hAnsi="仿宋" w:eastAsia="仿宋" w:cs="仿宋"/>
                <w:color w:val="auto"/>
                <w:sz w:val="24"/>
                <w:highlight w:val="none"/>
              </w:rPr>
              <w:t xml:space="preserve">。</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特别说明：“苏采云”系统通过“江苏省政府采购一体化不见面开标大厅</w:t>
            </w:r>
            <w:r>
              <w:rPr>
                <w:rFonts w:hint="eastAsia" w:ascii="仿宋" w:hAnsi="仿宋" w:eastAsia="仿宋" w:cs="仿宋"/>
                <w:b/>
                <w:bCs/>
                <w:color w:val="auto"/>
                <w:sz w:val="24"/>
                <w:highlight w:val="none"/>
              </w:rPr>
              <w:t xml:space="preserve">”</w:t>
            </w:r>
            <w:r>
              <w:rPr>
                <w:rFonts w:hint="eastAsia" w:ascii="仿宋" w:hAnsi="仿宋" w:eastAsia="仿宋" w:cs="仿宋"/>
                <w:b/>
                <w:color w:val="auto"/>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评审（评标）委员会启动异常低价投标（响应）审查后，</w:t>
            </w:r>
            <w:r>
              <w:rPr>
                <w:rFonts w:hint="eastAsia" w:ascii="仿宋" w:hAnsi="仿宋" w:eastAsia="仿宋" w:cs="宋体"/>
                <w:b/>
                <w:color w:val="auto"/>
                <w:sz w:val="24"/>
                <w:highlight w:val="none"/>
              </w:rPr>
              <w:t xml:space="preserve">通过“苏采云”系统</w:t>
            </w:r>
            <w:r>
              <w:rPr>
                <w:rFonts w:hint="eastAsia" w:ascii="仿宋" w:hAnsi="仿宋" w:eastAsia="仿宋" w:cs="宋体"/>
                <w:color w:val="auto"/>
                <w:sz w:val="24"/>
                <w:highlight w:val="none"/>
              </w:rPr>
              <w:t xml:space="preserve">要求相关供应商在评审现场合理的时间内对投标（响应）价格作出解释，相关供应商</w:t>
            </w:r>
            <w:r>
              <w:rPr>
                <w:rFonts w:hint="eastAsia" w:ascii="仿宋" w:hAnsi="仿宋" w:eastAsia="仿宋" w:cs="宋体"/>
                <w:b/>
                <w:color w:val="auto"/>
                <w:sz w:val="24"/>
                <w:highlight w:val="none"/>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auto"/>
                <w:sz w:val="24"/>
                <w:highlight w:val="none"/>
              </w:rPr>
              <w:t xml:space="preserve">。</w:t>
            </w:r>
            <w:r/>
          </w:p>
          <w:p>
            <w:pPr>
              <w:ind w:firstLine="482"/>
              <w:rPr>
                <w:rFonts w:ascii="仿宋" w:hAnsi="仿宋" w:eastAsia="仿宋" w:cs="仿宋"/>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中标候选人并列的，招标文件规定的确定中标人方式：</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一、确定人：采购人。</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二、确定中标人方式：</w:t>
            </w:r>
            <w:r/>
          </w:p>
          <w:p>
            <w:pPr>
              <w:pStyle w:val="747"/>
              <w:rPr>
                <w:color w:val="auto"/>
                <w:highlight w:val="none"/>
              </w:rPr>
            </w:pPr>
            <w:r>
              <w:rPr>
                <w:rFonts w:hint="eastAsia" w:ascii="仿宋" w:hAnsi="仿宋" w:eastAsia="仿宋" w:cs="宋体"/>
                <w:color w:val="auto"/>
                <w:sz w:val="24"/>
                <w:highlight w:val="none"/>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b/>
                <w:color w:val="auto"/>
                <w:sz w:val="24"/>
                <w:highlight w:val="none"/>
              </w:rPr>
            </w:pPr>
            <w:r>
              <w:rPr>
                <w:rFonts w:hint="eastAsia" w:ascii="仿宋" w:hAnsi="仿宋" w:eastAsia="仿宋" w:cs="仿宋"/>
                <w:color w:val="auto"/>
                <w:sz w:val="24"/>
                <w:highlight w:val="none"/>
              </w:rPr>
              <w:t xml:space="preserve">在公告中标结果的同时，</w:t>
            </w:r>
            <w:r>
              <w:rPr>
                <w:rFonts w:hint="eastAsia" w:ascii="仿宋" w:hAnsi="仿宋" w:eastAsia="仿宋" w:cs="仿宋"/>
                <w:b/>
                <w:color w:val="auto"/>
                <w:sz w:val="24"/>
                <w:highlight w:val="none"/>
              </w:rPr>
              <w:t xml:space="preserve">通过“苏采云”系统以数据电文形式：</w:t>
            </w:r>
            <w:r>
              <w:rPr>
                <w:rFonts w:hint="eastAsia" w:ascii="仿宋" w:hAnsi="仿宋" w:eastAsia="仿宋" w:cs="仿宋"/>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根据</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与</w:t>
            </w:r>
            <w:r>
              <w:rPr>
                <w:rFonts w:hint="eastAsia" w:ascii="仿宋" w:hAnsi="仿宋" w:eastAsia="仿宋" w:cs="仿宋"/>
                <w:color w:val="auto"/>
                <w:sz w:val="24"/>
                <w:highlight w:val="none"/>
                <w:lang w:val="en-US" w:eastAsia="zh-CN"/>
              </w:rPr>
              <w:t xml:space="preserve">邳州市纪念场馆管理处</w:t>
            </w:r>
            <w:r>
              <w:rPr>
                <w:rFonts w:hint="eastAsia" w:ascii="仿宋" w:hAnsi="仿宋" w:eastAsia="仿宋" w:cs="仿宋"/>
                <w:color w:val="auto"/>
                <w:sz w:val="24"/>
                <w:highlight w:val="none"/>
              </w:rPr>
              <w:t xml:space="preserve">（采购人）签订的本采购项目的《委托代理协议》，供应商对政府采购活动事项有疑问的，向</w:t>
            </w:r>
            <w:r>
              <w:rPr>
                <w:rFonts w:hint="eastAsia" w:ascii="仿宋" w:hAnsi="仿宋" w:eastAsia="仿宋" w:cs="仿宋"/>
                <w:color w:val="auto"/>
                <w:sz w:val="24"/>
                <w:highlight w:val="none"/>
                <w:lang w:val="en-US" w:eastAsia="zh-CN"/>
              </w:rPr>
              <w:t xml:space="preserve">邳州市纪念场馆管理处</w:t>
            </w:r>
            <w:r>
              <w:rPr>
                <w:rFonts w:hint="eastAsia" w:ascii="仿宋" w:hAnsi="仿宋" w:eastAsia="仿宋" w:cs="仿宋"/>
                <w:color w:val="auto"/>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highlight w:val="none"/>
                <w:lang w:val="en-US" w:eastAsia="zh-CN"/>
              </w:rPr>
              <w:t xml:space="preserve">邳州市纪念场馆管理处</w:t>
            </w:r>
            <w:r>
              <w:rPr>
                <w:rFonts w:hint="eastAsia" w:ascii="仿宋" w:hAnsi="仿宋" w:eastAsia="仿宋" w:cs="仿宋"/>
                <w:color w:val="auto"/>
                <w:sz w:val="24"/>
                <w:highlight w:val="none"/>
              </w:rPr>
              <w:t xml:space="preserve">（采购人）提出质疑。询问和质疑由</w:t>
            </w:r>
            <w:r>
              <w:rPr>
                <w:rFonts w:hint="eastAsia" w:ascii="仿宋" w:hAnsi="仿宋" w:eastAsia="仿宋" w:cs="仿宋"/>
                <w:color w:val="auto"/>
                <w:sz w:val="24"/>
                <w:highlight w:val="none"/>
                <w:lang w:val="en-US" w:eastAsia="zh-CN"/>
              </w:rPr>
              <w:t xml:space="preserve">邳州市纪念场馆管理处</w:t>
            </w:r>
            <w:r>
              <w:rPr>
                <w:rFonts w:hint="eastAsia" w:ascii="仿宋" w:hAnsi="仿宋" w:eastAsia="仿宋" w:cs="仿宋"/>
                <w:color w:val="auto"/>
                <w:sz w:val="24"/>
                <w:highlight w:val="none"/>
              </w:rPr>
              <w:t xml:space="preserve">（采购人）依法处理。</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 供应商在法定质疑期内一次性提出针对同一采购程序环节的质疑。</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3. 质疑函</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接收质疑函的方式：供应商直接送交或供应商通过EMS邮寄。</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联系部门：</w:t>
            </w:r>
            <w:r>
              <w:rPr>
                <w:rFonts w:hint="eastAsia" w:ascii="仿宋" w:hAnsi="仿宋" w:eastAsia="仿宋" w:cs="仿宋"/>
                <w:color w:val="auto"/>
                <w:sz w:val="24"/>
                <w:highlight w:val="none"/>
                <w:lang w:val="en-US" w:eastAsia="zh-CN"/>
              </w:rPr>
              <w:t xml:space="preserve">邳州市纪念场馆管理处</w:t>
            </w:r>
            <w:r/>
          </w:p>
          <w:p>
            <w:pPr>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联系电话： </w:t>
            </w:r>
            <w:r>
              <w:rPr>
                <w:rFonts w:hint="eastAsia" w:ascii="仿宋" w:hAnsi="仿宋" w:eastAsia="仿宋"/>
                <w:color w:val="auto"/>
                <w:sz w:val="24"/>
                <w:highlight w:val="none"/>
              </w:rPr>
              <w:t xml:space="preserve">19051635968</w:t>
            </w:r>
            <w:r/>
          </w:p>
          <w:p>
            <w:pPr>
              <w:jc w:val="left"/>
              <w:spacing w:line="360" w:lineRule="auto"/>
              <w:widowControl/>
              <w:rPr>
                <w:rFonts w:ascii="仿宋" w:hAnsi="仿宋" w:eastAsia="仿宋" w:cs="宋体"/>
                <w:color w:val="auto"/>
                <w:sz w:val="24"/>
                <w:szCs w:val="24"/>
                <w:highlight w:val="none"/>
              </w:rPr>
            </w:pPr>
            <w:r>
              <w:rPr>
                <w:rFonts w:hint="eastAsia" w:ascii="仿宋" w:hAnsi="仿宋" w:eastAsia="仿宋" w:cs="仿宋"/>
                <w:color w:val="auto"/>
                <w:sz w:val="24"/>
                <w:highlight w:val="none"/>
              </w:rPr>
              <w:t xml:space="preserve">通讯地址：</w:t>
            </w:r>
            <w:r>
              <w:rPr>
                <w:rFonts w:hint="eastAsia" w:ascii="仿宋" w:hAnsi="仿宋" w:eastAsia="仿宋"/>
                <w:color w:val="auto"/>
                <w:sz w:val="24"/>
                <w:highlight w:val="none"/>
                <w:lang w:val="en-US" w:eastAsia="zh-CN"/>
              </w:rPr>
              <w:t xml:space="preserve">邳州市城建综合商务中心六楼</w:t>
            </w:r>
            <w:r/>
          </w:p>
          <w:p>
            <w:pPr>
              <w:jc w:val="lef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pageBreakBefore/>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02"/>
        <w:jc w:val="center"/>
        <w:keepLines/>
        <w:keepNext/>
        <w:pageBreakBefore w:val="0"/>
        <w:spacing w:line="240" w:lineRule="atLeast"/>
        <w:widowControl w:val="off"/>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lang w:val="en-US" w:eastAsia="zh-CN"/>
        </w:rPr>
        <w:t xml:space="preserve">第四章  </w:t>
      </w:r>
      <w:r>
        <w:rPr>
          <w:rFonts w:hint="eastAsia" w:ascii="仿宋" w:hAnsi="仿宋" w:eastAsia="仿宋" w:cs="仿宋"/>
          <w:b w:val="0"/>
          <w:bCs w:val="0"/>
          <w:color w:val="auto"/>
          <w:sz w:val="32"/>
          <w:szCs w:val="32"/>
          <w:highlight w:val="none"/>
        </w:rPr>
        <w:t xml:space="preserve">评标标准</w:t>
      </w:r>
      <w:r/>
    </w:p>
    <w:tbl>
      <w:tblPr>
        <w:tblStyle w:val="712"/>
        <w:tblW w:w="50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119"/>
        <w:gridCol w:w="928"/>
        <w:gridCol w:w="4262"/>
        <w:gridCol w:w="845"/>
        <w:gridCol w:w="461"/>
      </w:tblGrid>
      <w:tr>
        <w:trPr>
          <w:trHeight w:val="808"/>
        </w:trPr>
        <w:tc>
          <w:tcPr>
            <w:gridSpan w:val="2"/>
            <w:shd w:val="clear" w:color="auto" w:fill="auto"/>
            <w:tcBorders>
              <w:top w:val="single" w:color="000000" w:sz="4" w:space="0"/>
              <w:left w:val="single" w:color="000000" w:sz="4" w:space="0"/>
              <w:bottom w:val="single" w:color="000000" w:sz="4" w:space="0"/>
              <w:right w:val="single" w:color="000000" w:sz="4" w:space="0"/>
            </w:tcBorders>
            <w:tcW w:w="1261" w:type="pct"/>
            <w:vAlign w:val="center"/>
            <w:textDirection w:val="lrTb"/>
            <w:noWrap/>
          </w:tcPr>
          <w:p>
            <w:pPr>
              <w:jc w:val="center"/>
              <w:keepLines w:val="0"/>
              <w:keepNext w:val="0"/>
              <w:pageBreakBefore w:val="0"/>
              <w:spacing w:line="340" w:lineRule="exact"/>
              <w:widowControl/>
              <w:rPr>
                <w:rFonts w:hint="eastAsia" w:ascii="方正楷体_GBK" w:hAnsi="方正楷体_GBK" w:eastAsia="方正楷体_GBK" w:cs="方正楷体_GBK"/>
                <w:i w:val="0"/>
                <w:iCs w:val="0"/>
                <w:color w:val="auto"/>
                <w:sz w:val="24"/>
                <w:szCs w:val="24"/>
                <w:highlight w:val="none"/>
                <w:u w:val="none"/>
              </w:rPr>
              <w:suppressLineNumbers w:val="0"/>
            </w:pPr>
            <w:r>
              <w:rPr>
                <w:rFonts w:hint="eastAsia" w:ascii="方正楷体_GBK" w:hAnsi="方正楷体_GBK" w:eastAsia="方正楷体_GBK" w:cs="方正楷体_GBK"/>
                <w:i w:val="0"/>
                <w:iCs w:val="0"/>
                <w:color w:val="auto"/>
                <w:sz w:val="24"/>
                <w:szCs w:val="24"/>
                <w:highlight w:val="none"/>
                <w:u w:val="none"/>
                <w:lang w:val="en-US" w:eastAsia="zh-CN" w:bidi="ar"/>
              </w:rPr>
              <w:t xml:space="preserve">评审因素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center"/>
              <w:keepLines w:val="0"/>
              <w:keepNext w:val="0"/>
              <w:pageBreakBefore w:val="0"/>
              <w:spacing w:line="340" w:lineRule="exact"/>
              <w:widowControl/>
              <w:rPr>
                <w:rFonts w:hint="eastAsia" w:ascii="方正楷体_GBK" w:hAnsi="方正楷体_GBK" w:eastAsia="方正楷体_GBK" w:cs="方正楷体_GBK"/>
                <w:i w:val="0"/>
                <w:iCs w:val="0"/>
                <w:color w:val="auto"/>
                <w:sz w:val="24"/>
                <w:szCs w:val="24"/>
                <w:highlight w:val="none"/>
                <w:u w:val="none"/>
              </w:rPr>
              <w:suppressLineNumbers w:val="0"/>
            </w:pPr>
            <w:r>
              <w:rPr>
                <w:rFonts w:hint="eastAsia" w:ascii="方正楷体_GBK" w:hAnsi="方正楷体_GBK" w:eastAsia="方正楷体_GBK" w:cs="方正楷体_GBK"/>
                <w:i w:val="0"/>
                <w:iCs w:val="0"/>
                <w:color w:val="auto"/>
                <w:sz w:val="24"/>
                <w:szCs w:val="24"/>
                <w:highlight w:val="none"/>
                <w:u w:val="none"/>
                <w:lang w:val="en-US" w:eastAsia="zh-CN" w:bidi="ar"/>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pageBreakBefore w:val="0"/>
              <w:spacing w:line="340" w:lineRule="exact"/>
              <w:widowControl/>
              <w:rPr>
                <w:rFonts w:hint="eastAsia" w:ascii="方正楷体_GBK" w:hAnsi="方正楷体_GBK" w:eastAsia="方正楷体_GBK" w:cs="方正楷体_GBK"/>
                <w:i w:val="0"/>
                <w:iCs w:val="0"/>
                <w:color w:val="auto"/>
                <w:sz w:val="24"/>
                <w:szCs w:val="24"/>
                <w:highlight w:val="none"/>
                <w:u w:val="none"/>
                <w:lang w:val="en-US" w:eastAsia="zh-CN" w:bidi="ar"/>
              </w:rPr>
              <w:suppressLineNumbers w:val="0"/>
            </w:pPr>
            <w:r>
              <w:rPr>
                <w:rFonts w:hint="eastAsia" w:ascii="方正楷体_GBK" w:hAnsi="方正楷体_GBK" w:eastAsia="方正楷体_GBK" w:cs="方正楷体_GBK"/>
                <w:i w:val="0"/>
                <w:iCs w:val="0"/>
                <w:color w:val="auto"/>
                <w:sz w:val="24"/>
                <w:szCs w:val="24"/>
                <w:highlight w:val="none"/>
                <w:u w:val="none"/>
                <w:lang w:val="en-US" w:eastAsia="zh-CN" w:bidi="ar"/>
              </w:rPr>
              <w:t xml:space="preserve">是否</w:t>
            </w:r>
            <w:r/>
          </w:p>
          <w:p>
            <w:pPr>
              <w:jc w:val="center"/>
              <w:keepLines w:val="0"/>
              <w:keepNext w:val="0"/>
              <w:pageBreakBefore w:val="0"/>
              <w:spacing w:line="340" w:lineRule="exact"/>
              <w:widowControl/>
              <w:rPr>
                <w:rFonts w:hint="eastAsia" w:ascii="方正楷体_GBK" w:hAnsi="方正楷体_GBK" w:eastAsia="方正楷体_GBK" w:cs="方正楷体_GBK"/>
                <w:i w:val="0"/>
                <w:iCs w:val="0"/>
                <w:color w:val="auto"/>
                <w:sz w:val="24"/>
                <w:szCs w:val="24"/>
                <w:highlight w:val="none"/>
                <w:u w:val="none"/>
              </w:rPr>
              <w:suppressLineNumbers w:val="0"/>
            </w:pPr>
            <w:r>
              <w:rPr>
                <w:rFonts w:hint="eastAsia" w:ascii="方正楷体_GBK" w:hAnsi="方正楷体_GBK" w:eastAsia="方正楷体_GBK" w:cs="方正楷体_GBK"/>
                <w:i w:val="0"/>
                <w:iCs w:val="0"/>
                <w:color w:val="auto"/>
                <w:sz w:val="24"/>
                <w:szCs w:val="24"/>
                <w:highlight w:val="none"/>
                <w:u w:val="none"/>
                <w:lang w:val="en-US" w:eastAsia="zh-CN" w:bidi="ar"/>
              </w:rPr>
              <w:t xml:space="preserve">客观分</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pageBreakBefore w:val="0"/>
              <w:spacing w:line="340" w:lineRule="exact"/>
              <w:widowControl/>
              <w:rPr>
                <w:rFonts w:hint="eastAsia" w:ascii="方正楷体_GBK" w:hAnsi="方正楷体_GBK" w:eastAsia="方正楷体_GBK" w:cs="方正楷体_GBK"/>
                <w:i w:val="0"/>
                <w:iCs w:val="0"/>
                <w:color w:val="auto"/>
                <w:sz w:val="24"/>
                <w:szCs w:val="24"/>
                <w:highlight w:val="none"/>
                <w:u w:val="none"/>
              </w:rPr>
              <w:suppressLineNumbers w:val="0"/>
            </w:pPr>
            <w:r>
              <w:rPr>
                <w:rFonts w:hint="eastAsia" w:ascii="方正楷体_GBK" w:hAnsi="方正楷体_GBK" w:eastAsia="方正楷体_GBK" w:cs="方正楷体_GBK"/>
                <w:i w:val="0"/>
                <w:iCs w:val="0"/>
                <w:color w:val="auto"/>
                <w:sz w:val="24"/>
                <w:szCs w:val="24"/>
                <w:highlight w:val="none"/>
                <w:u w:val="none"/>
                <w:lang w:val="en-US" w:eastAsia="zh-CN" w:bidi="ar"/>
              </w:rPr>
              <w:t xml:space="preserve">备注</w:t>
            </w:r>
            <w:r/>
          </w:p>
        </w:tc>
      </w:tr>
      <w:tr>
        <w:trPr>
          <w:trHeight w:val="1003"/>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价格部分</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15</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价格</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15</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投标人价格得分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最</w:t>
            </w:r>
            <w:r>
              <w:rPr>
                <w:rStyle w:val="964"/>
                <w:rFonts w:hint="eastAsia" w:cs="Times New Roman" w:eastAsiaTheme="majorEastAsia"/>
                <w:color w:val="auto"/>
                <w:sz w:val="21"/>
                <w:szCs w:val="21"/>
                <w:highlight w:val="none"/>
                <w:lang w:val="en-US" w:eastAsia="zh-CN" w:bidi="ar"/>
              </w:rPr>
              <w:t xml:space="preserve">低</w:t>
            </w:r>
            <w:r>
              <w:rPr>
                <w:rStyle w:val="964"/>
                <w:rFonts w:hint="default" w:ascii="Times New Roman" w:hAnsi="Times New Roman" w:cs="Times New Roman" w:eastAsiaTheme="majorEastAsia"/>
                <w:color w:val="auto"/>
                <w:sz w:val="21"/>
                <w:szCs w:val="21"/>
                <w:highlight w:val="none"/>
                <w:lang w:val="en-US" w:eastAsia="zh-CN" w:bidi="ar"/>
              </w:rPr>
              <w:t xml:space="preserve">报价</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各投标人投标报价</w:t>
            </w:r>
            <w:r>
              <w:rPr>
                <w:rStyle w:val="965"/>
                <w:rFonts w:hint="default" w:ascii="Times New Roman" w:hAnsi="Times New Roman" w:cs="Times New Roman" w:eastAsiaTheme="majorEastAsia"/>
                <w:color w:val="auto"/>
                <w:sz w:val="21"/>
                <w:szCs w:val="21"/>
                <w:highlight w:val="none"/>
                <w:lang w:val="en-US" w:eastAsia="zh-CN" w:bidi="ar"/>
              </w:rPr>
              <w:t xml:space="preserve">×15</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技术部分（</w:t>
            </w:r>
            <w:r>
              <w:rPr>
                <w:rStyle w:val="965"/>
                <w:rFonts w:hint="default" w:ascii="Times New Roman" w:hAnsi="Times New Roman" w:cs="Times New Roman" w:eastAsiaTheme="majorEastAsia"/>
                <w:color w:val="auto"/>
                <w:sz w:val="21"/>
                <w:szCs w:val="21"/>
                <w:highlight w:val="none"/>
                <w:lang w:val="en-US" w:eastAsia="zh-CN" w:bidi="ar"/>
              </w:rPr>
              <w:t xml:space="preserve">66</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物业管理服务方案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66</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基本服务方案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“1. </w:t>
            </w:r>
            <w:r>
              <w:rPr>
                <w:rStyle w:val="964"/>
                <w:rFonts w:hint="default" w:ascii="Times New Roman" w:hAnsi="Times New Roman" w:cs="Times New Roman" w:eastAsiaTheme="majorEastAsia"/>
                <w:color w:val="auto"/>
                <w:sz w:val="21"/>
                <w:szCs w:val="21"/>
                <w:highlight w:val="none"/>
                <w:lang w:val="en-US" w:eastAsia="zh-CN" w:bidi="ar"/>
              </w:rPr>
              <w:t xml:space="preserve">基本服务</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5</w:t>
            </w:r>
            <w:r>
              <w:rPr>
                <w:rStyle w:val="964"/>
                <w:rFonts w:hint="default" w:ascii="Times New Roman" w:hAnsi="Times New Roman" w:cs="Times New Roman" w:eastAsiaTheme="majorEastAsia"/>
                <w:color w:val="auto"/>
                <w:sz w:val="21"/>
                <w:szCs w:val="21"/>
                <w:highlight w:val="none"/>
                <w:lang w:val="en-US" w:eastAsia="zh-CN" w:bidi="ar"/>
              </w:rPr>
              <w:t xml:space="preserve">项）的内容进行完善，且表述具体方案措施。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保洁服务方案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“2. </w:t>
            </w:r>
            <w:r>
              <w:rPr>
                <w:rStyle w:val="964"/>
                <w:rFonts w:hint="default" w:ascii="Times New Roman" w:hAnsi="Times New Roman" w:cs="Times New Roman" w:eastAsiaTheme="majorEastAsia"/>
                <w:color w:val="auto"/>
                <w:sz w:val="21"/>
                <w:szCs w:val="21"/>
                <w:highlight w:val="none"/>
                <w:lang w:val="en-US" w:eastAsia="zh-CN" w:bidi="ar"/>
              </w:rPr>
              <w:t xml:space="preserve">保洁服务</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6</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安保服务方案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“3. </w:t>
            </w:r>
            <w:r>
              <w:rPr>
                <w:rStyle w:val="964"/>
                <w:rFonts w:hint="default" w:ascii="Times New Roman" w:hAnsi="Times New Roman" w:cs="Times New Roman" w:eastAsiaTheme="majorEastAsia"/>
                <w:color w:val="auto"/>
                <w:sz w:val="21"/>
                <w:szCs w:val="21"/>
                <w:highlight w:val="none"/>
                <w:lang w:val="en-US" w:eastAsia="zh-CN" w:bidi="ar"/>
              </w:rPr>
              <w:t xml:space="preserve">安保服务</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5</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公用设施设备维护服务方案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8分</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“4. </w:t>
            </w:r>
            <w:r>
              <w:rPr>
                <w:rStyle w:val="964"/>
                <w:rFonts w:hint="default" w:ascii="Times New Roman" w:hAnsi="Times New Roman" w:cs="Times New Roman" w:eastAsiaTheme="majorEastAsia"/>
                <w:color w:val="auto"/>
                <w:sz w:val="21"/>
                <w:szCs w:val="21"/>
                <w:highlight w:val="none"/>
                <w:lang w:val="en-US" w:eastAsia="zh-CN" w:bidi="ar"/>
              </w:rPr>
              <w:t xml:space="preserve">公用设施设备维护服务</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4</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8</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8</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422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处理突发事件服务方案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“5. </w:t>
            </w:r>
            <w:r>
              <w:rPr>
                <w:rStyle w:val="964"/>
                <w:rFonts w:hint="default" w:ascii="Times New Roman" w:hAnsi="Times New Roman" w:cs="Times New Roman" w:eastAsiaTheme="majorEastAsia"/>
                <w:color w:val="auto"/>
                <w:sz w:val="21"/>
                <w:szCs w:val="21"/>
                <w:highlight w:val="none"/>
                <w:lang w:val="en-US" w:eastAsia="zh-CN" w:bidi="ar"/>
              </w:rPr>
              <w:t xml:space="preserve">处理突发事件服务</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6</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12</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公共设施节水、节电、节能管理方案（</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“6. </w:t>
            </w:r>
            <w:r>
              <w:rPr>
                <w:rStyle w:val="964"/>
                <w:rFonts w:hint="default" w:ascii="Times New Roman" w:hAnsi="Times New Roman" w:cs="Times New Roman" w:eastAsiaTheme="majorEastAsia"/>
                <w:color w:val="auto"/>
                <w:sz w:val="21"/>
                <w:szCs w:val="21"/>
                <w:highlight w:val="none"/>
                <w:lang w:val="en-US" w:eastAsia="zh-CN" w:bidi="ar"/>
              </w:rPr>
              <w:t xml:space="preserve">公共设施节水、节电、节能管理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5</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10</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430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物业移交方案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4</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3"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方案要求对《采购需求》中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四、物业管理服务内容及标准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“7. </w:t>
            </w:r>
            <w:r>
              <w:rPr>
                <w:rStyle w:val="964"/>
                <w:rFonts w:hint="default" w:ascii="Times New Roman" w:hAnsi="Times New Roman" w:cs="Times New Roman" w:eastAsiaTheme="majorEastAsia"/>
                <w:color w:val="auto"/>
                <w:sz w:val="21"/>
                <w:szCs w:val="21"/>
                <w:highlight w:val="none"/>
                <w:lang w:val="en-US" w:eastAsia="zh-CN" w:bidi="ar"/>
              </w:rPr>
              <w:t xml:space="preserve">物业移交要求</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中</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服务内容</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（共</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项）的</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服务标准</w:t>
            </w:r>
            <w:r>
              <w:rPr>
                <w:rStyle w:val="965"/>
                <w:rFonts w:hint="default" w:ascii="Times New Roman" w:hAnsi="Times New Roman" w:cs="Times New Roman" w:eastAsiaTheme="majorEastAsia"/>
                <w:color w:val="auto"/>
                <w:sz w:val="21"/>
                <w:szCs w:val="21"/>
                <w:highlight w:val="none"/>
                <w:lang w:val="en-US" w:eastAsia="zh-CN" w:bidi="ar"/>
              </w:rPr>
              <w:t xml:space="preserve">”</w:t>
            </w:r>
            <w:r>
              <w:rPr>
                <w:rStyle w:val="964"/>
                <w:rFonts w:hint="default" w:ascii="Times New Roman" w:hAnsi="Times New Roman" w:cs="Times New Roman" w:eastAsiaTheme="majorEastAsia"/>
                <w:color w:val="auto"/>
                <w:sz w:val="21"/>
                <w:szCs w:val="21"/>
                <w:highlight w:val="none"/>
                <w:lang w:val="en-US" w:eastAsia="zh-CN" w:bidi="ar"/>
              </w:rPr>
              <w:t xml:space="preserve">进行完善，且表述具体工作措施。</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上述内容齐全，符合实际切实可行且无缺陷（缺陷是指：部分内容与项目无关、逻辑错误、科学原理错误、表述错误、不符合本项目涉及的相关规范或标准要求的任意一种情形）得</w:t>
            </w:r>
            <w:r>
              <w:rPr>
                <w:rStyle w:val="965"/>
                <w:rFonts w:hint="default" w:ascii="Times New Roman" w:hAnsi="Times New Roman" w:cs="Times New Roman" w:eastAsiaTheme="majorEastAsia"/>
                <w:color w:val="auto"/>
                <w:sz w:val="21"/>
                <w:szCs w:val="21"/>
                <w:highlight w:val="none"/>
                <w:lang w:val="en-US" w:eastAsia="zh-CN" w:bidi="ar"/>
              </w:rPr>
              <w:t xml:space="preserve">4</w:t>
            </w:r>
            <w:r>
              <w:rPr>
                <w:rStyle w:val="964"/>
                <w:rFonts w:hint="default" w:ascii="Times New Roman" w:hAnsi="Times New Roman" w:cs="Times New Roman" w:eastAsiaTheme="majorEastAsia"/>
                <w:color w:val="auto"/>
                <w:sz w:val="21"/>
                <w:szCs w:val="21"/>
                <w:highlight w:val="none"/>
                <w:lang w:val="en-US" w:eastAsia="zh-CN" w:bidi="ar"/>
              </w:rPr>
              <w:t xml:space="preserve">分，每缺少一项内容扣</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分，扣完为止；单项内容每存在一处缺陷扣</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分，单项内容分（</w:t>
            </w:r>
            <w:r>
              <w:rPr>
                <w:rStyle w:val="965"/>
                <w:rFonts w:hint="default" w:ascii="Times New Roman" w:hAnsi="Times New Roman" w:cs="Times New Roman" w:eastAsiaTheme="majorEastAsia"/>
                <w:color w:val="auto"/>
                <w:sz w:val="21"/>
                <w:szCs w:val="21"/>
                <w:highlight w:val="none"/>
                <w:lang w:val="en-US" w:eastAsia="zh-CN" w:bidi="ar"/>
              </w:rPr>
              <w:t xml:space="preserve">2</w:t>
            </w:r>
            <w:r>
              <w:rPr>
                <w:rStyle w:val="964"/>
                <w:rFonts w:hint="default" w:ascii="Times New Roman" w:hAnsi="Times New Roman" w:cs="Times New Roman" w:eastAsiaTheme="majorEastAsia"/>
                <w:color w:val="auto"/>
                <w:sz w:val="21"/>
                <w:szCs w:val="21"/>
                <w:highlight w:val="none"/>
                <w:lang w:val="en-US" w:eastAsia="zh-CN" w:bidi="ar"/>
              </w:rPr>
              <w:t xml:space="preserve">分）扣完为止。</w:t>
            </w:r>
            <w:r>
              <w:rPr>
                <w:rStyle w:val="965"/>
                <w:rFonts w:hint="default" w:ascii="Times New Roman" w:hAnsi="Times New Roman" w:cs="Times New Roman" w:eastAsiaTheme="majorEastAsia"/>
                <w:color w:val="auto"/>
                <w:sz w:val="21"/>
                <w:szCs w:val="21"/>
                <w:highlight w:val="none"/>
                <w:lang w:val="en-US" w:eastAsia="zh-CN" w:bidi="ar"/>
              </w:rPr>
              <w:br/>
            </w:r>
            <w:r>
              <w:rPr>
                <w:rStyle w:val="964"/>
                <w:rFonts w:hint="default" w:ascii="Times New Roman" w:hAnsi="Times New Roman" w:cs="Times New Roman" w:eastAsiaTheme="majorEastAsia"/>
                <w:color w:val="auto"/>
                <w:sz w:val="21"/>
                <w:szCs w:val="21"/>
                <w:highlight w:val="none"/>
                <w:lang w:val="en-US" w:eastAsia="zh-CN" w:bidi="ar"/>
              </w:rPr>
              <w:t xml:space="preserve">未提供的得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分，本项最高得</w:t>
            </w:r>
            <w:r>
              <w:rPr>
                <w:rStyle w:val="965"/>
                <w:rFonts w:hint="default" w:ascii="Times New Roman" w:hAnsi="Times New Roman" w:cs="Times New Roman" w:eastAsiaTheme="majorEastAsia"/>
                <w:color w:val="auto"/>
                <w:sz w:val="21"/>
                <w:szCs w:val="21"/>
                <w:highlight w:val="none"/>
                <w:lang w:val="en-US" w:eastAsia="zh-CN" w:bidi="ar"/>
              </w:rPr>
              <w:t xml:space="preserve">4</w:t>
            </w:r>
            <w:r>
              <w:rPr>
                <w:rStyle w:val="964"/>
                <w:rFonts w:hint="default" w:ascii="Times New Roman" w:hAnsi="Times New Roman" w:cs="Times New Roman" w:eastAsiaTheme="majorEastAsia"/>
                <w:color w:val="auto"/>
                <w:sz w:val="21"/>
                <w:szCs w:val="21"/>
                <w:highlight w:val="none"/>
                <w:lang w:val="en-US" w:eastAsia="zh-CN" w:bidi="ar"/>
              </w:rPr>
              <w:t xml:space="preserve">分，最低得</w:t>
            </w:r>
            <w:r>
              <w:rPr>
                <w:rStyle w:val="965"/>
                <w:rFonts w:hint="default" w:ascii="Times New Roman" w:hAnsi="Times New Roman" w:cs="Times New Roman" w:eastAsiaTheme="majorEastAsia"/>
                <w:color w:val="auto"/>
                <w:sz w:val="21"/>
                <w:szCs w:val="21"/>
                <w:highlight w:val="none"/>
                <w:lang w:val="en-US" w:eastAsia="zh-CN" w:bidi="ar"/>
              </w:rPr>
              <w:t xml:space="preserve">0</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205"/>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商务部分</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w:t>
            </w:r>
            <w:r>
              <w:rPr>
                <w:rStyle w:val="965"/>
                <w:rFonts w:hint="default" w:ascii="Times New Roman" w:hAnsi="Times New Roman" w:cs="Times New Roman" w:eastAsiaTheme="majorEastAsia"/>
                <w:color w:val="auto"/>
                <w:sz w:val="21"/>
                <w:szCs w:val="21"/>
                <w:highlight w:val="none"/>
                <w:lang w:val="en-US" w:eastAsia="zh-CN" w:bidi="ar"/>
              </w:rPr>
              <w:t xml:space="preserve">19</w:t>
            </w:r>
            <w:r>
              <w:rPr>
                <w:rStyle w:val="964"/>
                <w:rFonts w:hint="default" w:ascii="Times New Roman" w:hAnsi="Times New Roman" w:cs="Times New Roman" w:eastAsiaTheme="majorEastAsia"/>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lang w:val="en-US" w:eastAsia="zh-CN" w:bidi="ar"/>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供应商</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lang w:val="en-US" w:eastAsia="zh-CN" w:bidi="ar"/>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业绩</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提供供应商合同签订日期在</w:t>
            </w:r>
            <w:r>
              <w:rPr>
                <w:rStyle w:val="965"/>
                <w:rFonts w:hint="default" w:ascii="Times New Roman" w:hAnsi="Times New Roman" w:cs="Times New Roman" w:eastAsiaTheme="majorEastAsia"/>
                <w:color w:val="auto"/>
                <w:sz w:val="21"/>
                <w:szCs w:val="21"/>
                <w:highlight w:val="none"/>
                <w:lang w:val="en-US" w:eastAsia="zh-CN" w:bidi="ar"/>
              </w:rPr>
              <w:t xml:space="preserve">2023</w:t>
            </w:r>
            <w:r>
              <w:rPr>
                <w:rStyle w:val="964"/>
                <w:rFonts w:hint="default" w:ascii="Times New Roman" w:hAnsi="Times New Roman" w:cs="Times New Roman" w:eastAsiaTheme="majorEastAsia"/>
                <w:color w:val="auto"/>
                <w:sz w:val="21"/>
                <w:szCs w:val="21"/>
                <w:highlight w:val="none"/>
                <w:lang w:val="en-US" w:eastAsia="zh-CN" w:bidi="ar"/>
              </w:rPr>
              <w:t xml:space="preserve">年</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月</w:t>
            </w:r>
            <w:r>
              <w:rPr>
                <w:rStyle w:val="965"/>
                <w:rFonts w:hint="default" w:ascii="Times New Roman" w:hAnsi="Times New Roman" w:cs="Times New Roman" w:eastAsiaTheme="majorEastAsia"/>
                <w:color w:val="auto"/>
                <w:sz w:val="21"/>
                <w:szCs w:val="21"/>
                <w:highlight w:val="none"/>
                <w:lang w:val="en-US" w:eastAsia="zh-CN" w:bidi="ar"/>
              </w:rPr>
              <w:t xml:space="preserve">1</w:t>
            </w:r>
            <w:r>
              <w:rPr>
                <w:rStyle w:val="964"/>
                <w:rFonts w:hint="default" w:ascii="Times New Roman" w:hAnsi="Times New Roman" w:cs="Times New Roman" w:eastAsiaTheme="majorEastAsia"/>
                <w:color w:val="auto"/>
                <w:sz w:val="21"/>
                <w:szCs w:val="21"/>
                <w:highlight w:val="none"/>
                <w:lang w:val="en-US" w:eastAsia="zh-CN" w:bidi="ar"/>
              </w:rPr>
              <w:t xml:space="preserve">日后的同类项目业绩（（非居住类物业），每提供一项得</w:t>
            </w:r>
            <w:r>
              <w:rPr>
                <w:rStyle w:val="965"/>
                <w:rFonts w:hint="default" w:ascii="Times New Roman" w:hAnsi="Times New Roman" w:cs="Times New Roman" w:eastAsiaTheme="majorEastAsia"/>
                <w:color w:val="auto"/>
                <w:sz w:val="21"/>
                <w:szCs w:val="21"/>
                <w:highlight w:val="none"/>
                <w:lang w:val="en-US" w:eastAsia="zh-CN" w:bidi="ar"/>
              </w:rPr>
              <w:t xml:space="preserve">1.5</w:t>
            </w:r>
            <w:r>
              <w:rPr>
                <w:rStyle w:val="964"/>
                <w:rFonts w:hint="default" w:ascii="Times New Roman" w:hAnsi="Times New Roman" w:cs="Times New Roman" w:eastAsiaTheme="majorEastAsia"/>
                <w:color w:val="auto"/>
                <w:sz w:val="21"/>
                <w:szCs w:val="21"/>
                <w:highlight w:val="none"/>
                <w:lang w:val="en-US" w:eastAsia="zh-CN" w:bidi="ar"/>
              </w:rPr>
              <w:t xml:space="preserve">分，最高得3分。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widowControl/>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jc w:val="center"/>
              <w:keepLines w:val="0"/>
              <w:keepNext w:val="0"/>
              <w:pageBreakBefore w:val="0"/>
              <w:spacing w:line="340" w:lineRule="exact"/>
              <w:widowControl/>
              <w:rPr>
                <w:rStyle w:val="964"/>
                <w:rFonts w:hint="default" w:ascii="Times New Roman" w:hAnsi="Times New Roman" w:cs="Times New Roman" w:eastAsiaTheme="majorEastAsia"/>
                <w:color w:val="auto"/>
                <w:sz w:val="21"/>
                <w:szCs w:val="21"/>
                <w:highlight w:val="none"/>
                <w:lang w:val="en-US" w:eastAsia="zh-CN" w:bidi="ar"/>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组织机构设置及</w:t>
            </w:r>
            <w:r>
              <w:rPr>
                <w:rStyle w:val="964"/>
                <w:rFonts w:hint="default" w:ascii="Times New Roman" w:hAnsi="Times New Roman" w:cs="Times New Roman" w:eastAsiaTheme="majorEastAsia"/>
                <w:color w:val="auto"/>
                <w:sz w:val="21"/>
                <w:szCs w:val="21"/>
                <w:highlight w:val="none"/>
                <w:lang w:val="en-US" w:eastAsia="zh-CN" w:bidi="ar"/>
              </w:rPr>
              <w:t xml:space="preserve">人员配备方案</w:t>
            </w:r>
            <w:r/>
          </w:p>
          <w:p>
            <w:pPr>
              <w:jc w:val="center"/>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Style w:val="964"/>
                <w:rFonts w:hint="default" w:ascii="Times New Roman" w:hAnsi="Times New Roman" w:cs="Times New Roman" w:eastAsiaTheme="majorEastAsia"/>
                <w:color w:val="auto"/>
                <w:sz w:val="21"/>
                <w:szCs w:val="21"/>
                <w:highlight w:val="none"/>
                <w:lang w:val="en-US" w:eastAsia="zh-CN" w:bidi="ar"/>
              </w:rPr>
              <w:t xml:space="preserve">（16分）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lang w:val="en-US" w:eastAsia="zh-CN" w:bidi="ar"/>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针对本项目</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采购</w:t>
            </w:r>
            <w:r>
              <w:rPr>
                <w:rFonts w:hint="default" w:ascii="Times New Roman" w:hAnsi="Times New Roman" w:cs="Times New Roman" w:eastAsiaTheme="majorEastAsia"/>
                <w:i w:val="0"/>
                <w:iCs w:val="0"/>
                <w:color w:val="auto"/>
                <w:sz w:val="21"/>
                <w:szCs w:val="21"/>
                <w:highlight w:val="none"/>
                <w:u w:val="none"/>
                <w:lang w:val="en-US" w:eastAsia="zh-CN" w:bidi="ar"/>
              </w:rPr>
              <w:t xml:space="preserve">需求，对人员职责、工作流程等要求进行详细描述。</w:t>
            </w:r>
            <w:r>
              <w:rPr>
                <w:rFonts w:hint="default" w:ascii="Times New Roman" w:hAnsi="Times New Roman" w:cs="Times New Roman" w:eastAsiaTheme="majorEastAsia"/>
                <w:i w:val="0"/>
                <w:iCs w:val="0"/>
                <w:color w:val="auto"/>
                <w:sz w:val="21"/>
                <w:szCs w:val="21"/>
                <w:highlight w:val="none"/>
                <w:u w:val="none"/>
                <w:lang w:val="en-US" w:eastAsia="zh-CN" w:bidi="ar"/>
              </w:rPr>
              <w:br/>
            </w:r>
            <w:r>
              <w:rPr>
                <w:rFonts w:hint="default" w:ascii="Times New Roman" w:hAnsi="Times New Roman" w:cs="Times New Roman" w:eastAsiaTheme="majorEastAsia"/>
                <w:i w:val="0"/>
                <w:iCs w:val="0"/>
                <w:color w:val="auto"/>
                <w:sz w:val="21"/>
                <w:szCs w:val="21"/>
                <w:highlight w:val="none"/>
                <w:u w:val="none"/>
                <w:lang w:val="en-US" w:eastAsia="zh-CN" w:bidi="ar"/>
              </w:rPr>
              <w:t xml:space="preserve">职责、工作流程内容齐全，符合实际切实可行且无缺陷（缺陷是指：部分内容与项目无关、逻辑错误、科学原理错误、表述错误、不符合本项目涉及的相关规范或标准要求的任意一种情形）得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8</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。每缺少一项内容的扣4分。</w:t>
            </w:r>
            <w:r/>
          </w:p>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各人员职责</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或</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工作流程内容每存在一处缺陷扣</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2</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分，单项内容</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4</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w:t>
            </w:r>
            <w:r>
              <w:rPr>
                <w:rFonts w:hint="default" w:ascii="Times New Roman" w:hAnsi="Times New Roman" w:cs="Times New Roman" w:eastAsiaTheme="majorEastAsia"/>
                <w:i w:val="0"/>
                <w:iCs w:val="0"/>
                <w:color w:val="auto"/>
                <w:sz w:val="21"/>
                <w:szCs w:val="21"/>
                <w:highlight w:val="none"/>
                <w:u w:val="none"/>
                <w:lang w:val="en-US" w:eastAsia="zh-CN" w:bidi="ar"/>
              </w:rPr>
              <w:t xml:space="preserve">扣完为止。</w:t>
            </w:r>
            <w:r>
              <w:rPr>
                <w:rFonts w:hint="default" w:ascii="Times New Roman" w:hAnsi="Times New Roman" w:cs="Times New Roman" w:eastAsiaTheme="majorEastAsia"/>
                <w:i w:val="0"/>
                <w:iCs w:val="0"/>
                <w:color w:val="auto"/>
                <w:sz w:val="21"/>
                <w:szCs w:val="21"/>
                <w:highlight w:val="none"/>
                <w:u w:val="none"/>
                <w:lang w:val="en-US" w:eastAsia="zh-CN" w:bidi="ar"/>
              </w:rPr>
              <w:br/>
            </w:r>
            <w:r>
              <w:rPr>
                <w:rFonts w:hint="default" w:ascii="Times New Roman" w:hAnsi="Times New Roman" w:cs="Times New Roman" w:eastAsiaTheme="majorEastAsia"/>
                <w:i w:val="0"/>
                <w:iCs w:val="0"/>
                <w:color w:val="auto"/>
                <w:sz w:val="21"/>
                <w:szCs w:val="21"/>
                <w:highlight w:val="none"/>
                <w:u w:val="none"/>
                <w:lang w:val="en-US" w:eastAsia="zh-CN" w:bidi="ar"/>
              </w:rPr>
              <w:t xml:space="preserve">未提供的得0分，本项最高得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8</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lang w:val="en-US" w:eastAsia="zh-CN" w:bidi="ar"/>
              </w:rPr>
              <w:suppressLineNumbers w:val="0"/>
            </w:pPr>
            <w:r>
              <w:rPr>
                <w:rFonts w:hint="eastAsia" w:ascii="Times New Roman" w:hAnsi="Times New Roman" w:cs="Times New Roman" w:eastAsiaTheme="majorEastAsia"/>
                <w:i w:val="0"/>
                <w:iCs w:val="0"/>
                <w:color w:val="auto"/>
                <w:sz w:val="21"/>
                <w:szCs w:val="21"/>
                <w:highlight w:val="none"/>
                <w:u w:val="none"/>
                <w:lang w:val="en-US" w:eastAsia="zh-CN" w:bidi="ar"/>
              </w:rPr>
              <w:t xml:space="preserve">项目经理</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年龄在</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50</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周岁（含）以下，满足1人得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1</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分，最高得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2</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分，需提供身份证；</w:t>
            </w:r>
            <w:r/>
          </w:p>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管理人员具有</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物业</w:t>
            </w:r>
            <w:r>
              <w:rPr>
                <w:rFonts w:hint="default" w:ascii="Times New Roman" w:hAnsi="Times New Roman" w:cs="Times New Roman" w:eastAsiaTheme="majorEastAsia"/>
                <w:i w:val="0"/>
                <w:iCs w:val="0"/>
                <w:color w:val="auto"/>
                <w:sz w:val="21"/>
                <w:szCs w:val="21"/>
                <w:highlight w:val="none"/>
                <w:u w:val="none"/>
                <w:lang w:val="en-US" w:eastAsia="zh-CN" w:bidi="ar"/>
              </w:rPr>
              <w:t xml:space="preserve">项目经理证书，且本科及以上学历的，满足1人得0.5分，最高得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1</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分，需提供</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物业</w:t>
            </w:r>
            <w:r>
              <w:rPr>
                <w:rFonts w:hint="default" w:ascii="Times New Roman" w:hAnsi="Times New Roman" w:cs="Times New Roman" w:eastAsiaTheme="majorEastAsia"/>
                <w:i w:val="0"/>
                <w:iCs w:val="0"/>
                <w:color w:val="auto"/>
                <w:sz w:val="21"/>
                <w:szCs w:val="21"/>
                <w:highlight w:val="none"/>
                <w:u w:val="none"/>
                <w:lang w:val="en-US" w:eastAsia="zh-CN" w:bidi="ar"/>
              </w:rPr>
              <w:t xml:space="preserve">项目经理证书</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（复印件并加盖公司公章）</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和学历证明</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（复印件并加盖公司公章）</w:t>
            </w:r>
            <w:r>
              <w:rPr>
                <w:rFonts w:hint="default" w:ascii="Times New Roman" w:hAnsi="Times New Roman" w:cs="Times New Roman" w:eastAsiaTheme="majorEastAsia"/>
                <w:i w:val="0"/>
                <w:iCs w:val="0"/>
                <w:color w:val="auto"/>
                <w:sz w:val="21"/>
                <w:szCs w:val="21"/>
                <w:highlight w:val="none"/>
                <w:u w:val="none"/>
                <w:lang w:val="en-US" w:eastAsia="zh-CN" w:bidi="ar"/>
              </w:rPr>
              <w:t xml:space="preserve">相关资料。</w:t>
            </w:r>
            <w:r>
              <w:rPr>
                <w:rFonts w:hint="default" w:ascii="Times New Roman" w:hAnsi="Times New Roman" w:cs="Times New Roman" w:eastAsiaTheme="majorEastAsia"/>
                <w:i w:val="0"/>
                <w:iCs w:val="0"/>
                <w:color w:val="auto"/>
                <w:sz w:val="21"/>
                <w:szCs w:val="21"/>
                <w:highlight w:val="none"/>
                <w:u w:val="none"/>
                <w:lang w:val="en-US" w:eastAsia="zh-CN" w:bidi="ar"/>
              </w:rPr>
              <w:br/>
            </w:r>
            <w:r>
              <w:rPr>
                <w:rFonts w:hint="eastAsia" w:ascii="Times New Roman" w:hAnsi="Times New Roman" w:cs="Times New Roman" w:eastAsiaTheme="majorEastAsia"/>
                <w:i w:val="0"/>
                <w:iCs w:val="0"/>
                <w:color w:val="auto"/>
                <w:sz w:val="21"/>
                <w:szCs w:val="21"/>
                <w:highlight w:val="none"/>
                <w:u w:val="none"/>
                <w:lang w:val="en-US" w:eastAsia="zh-CN" w:bidi="ar"/>
              </w:rPr>
              <w:t xml:space="preserve"> </w:t>
            </w:r>
            <w:r>
              <w:rPr>
                <w:rFonts w:hint="default" w:ascii="Times New Roman" w:hAnsi="Times New Roman" w:cs="Times New Roman" w:eastAsiaTheme="majorEastAsia"/>
                <w:i w:val="0"/>
                <w:iCs w:val="0"/>
                <w:color w:val="auto"/>
                <w:sz w:val="21"/>
                <w:szCs w:val="21"/>
                <w:highlight w:val="none"/>
                <w:u w:val="none"/>
                <w:lang w:val="en-US" w:eastAsia="zh-CN" w:bidi="ar"/>
              </w:rPr>
              <w:t xml:space="preserve">本项最高得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3</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r>
        <w:trPr>
          <w:trHeight w:val="2620"/>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jc w:val="center"/>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7" w:type="pct"/>
            <w:vAlign w:val="center"/>
            <w:textDirection w:val="lrTb"/>
            <w:noWrap w:val="false"/>
          </w:tcPr>
          <w:p>
            <w:pPr>
              <w:jc w:val="left"/>
              <w:keepLines w:val="0"/>
              <w:keepNext w:val="0"/>
              <w:pageBreakBefore w:val="0"/>
              <w:spacing w:line="340" w:lineRule="exact"/>
              <w:widowControl/>
              <w:rPr>
                <w:rFonts w:hint="default" w:ascii="Times New Roman" w:hAnsi="Times New Roman" w:cs="Times New Roman" w:eastAsiaTheme="majorEastAsia"/>
                <w:i w:val="0"/>
                <w:iCs w:val="0"/>
                <w:color w:val="auto"/>
                <w:sz w:val="21"/>
                <w:szCs w:val="21"/>
                <w:highlight w:val="none"/>
                <w:u w:val="none"/>
              </w:rPr>
              <w:suppressLineNumbers w:val="0"/>
            </w:pPr>
            <w:r>
              <w:rPr>
                <w:rFonts w:hint="default" w:ascii="Times New Roman" w:hAnsi="Times New Roman" w:cs="Times New Roman" w:eastAsiaTheme="majorEastAsia"/>
                <w:i w:val="0"/>
                <w:iCs w:val="0"/>
                <w:color w:val="auto"/>
                <w:sz w:val="21"/>
                <w:szCs w:val="21"/>
                <w:highlight w:val="none"/>
                <w:u w:val="none"/>
                <w:lang w:val="en-US" w:eastAsia="zh-CN" w:bidi="ar"/>
              </w:rPr>
              <w:t xml:space="preserve">保安人员</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要</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具有保安员证书，满足1人得1分，最高得</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5</w:t>
            </w:r>
            <w:r>
              <w:rPr>
                <w:rFonts w:hint="default" w:ascii="Times New Roman" w:hAnsi="Times New Roman" w:cs="Times New Roman" w:eastAsiaTheme="majorEastAsia"/>
                <w:i w:val="0"/>
                <w:iCs w:val="0"/>
                <w:color w:val="auto"/>
                <w:sz w:val="21"/>
                <w:szCs w:val="21"/>
                <w:highlight w:val="none"/>
                <w:u w:val="none"/>
                <w:lang w:val="en-US" w:eastAsia="zh-CN" w:bidi="ar"/>
              </w:rPr>
              <w:t xml:space="preserve">分，需提供相关证书</w:t>
            </w:r>
            <w:r>
              <w:rPr>
                <w:rFonts w:hint="eastAsia" w:ascii="Times New Roman" w:hAnsi="Times New Roman" w:cs="Times New Roman" w:eastAsiaTheme="majorEastAsia"/>
                <w:i w:val="0"/>
                <w:iCs w:val="0"/>
                <w:color w:val="auto"/>
                <w:sz w:val="21"/>
                <w:szCs w:val="21"/>
                <w:highlight w:val="none"/>
                <w:u w:val="none"/>
                <w:lang w:val="en-US" w:eastAsia="zh-CN" w:bidi="ar"/>
              </w:rPr>
              <w:t xml:space="preserve">（复印件并加盖公司公章）</w:t>
            </w:r>
            <w:r>
              <w:rPr>
                <w:rFonts w:hint="default" w:ascii="Times New Roman" w:hAnsi="Times New Roman" w:cs="Times New Roman" w:eastAsiaTheme="majorEastAsia"/>
                <w:i w:val="0"/>
                <w:iCs w:val="0"/>
                <w:color w:val="auto"/>
                <w:sz w:val="21"/>
                <w:szCs w:val="21"/>
                <w:highlight w:val="none"/>
                <w:u w:val="none"/>
                <w:lang w:val="en-US" w:eastAsia="zh-CN" w:bidi="ar"/>
              </w:rPr>
              <w:t xml:space="preserve">。</w:t>
            </w:r>
            <w:r>
              <w:rPr>
                <w:rFonts w:hint="default" w:ascii="Times New Roman" w:hAnsi="Times New Roman" w:cs="Times New Roman" w:eastAsiaTheme="majorEastAsia"/>
                <w:i w:val="0"/>
                <w:iCs w:val="0"/>
                <w:color w:val="auto"/>
                <w:sz w:val="21"/>
                <w:szCs w:val="21"/>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both"/>
              <w:keepLines w:val="0"/>
              <w:keepNext w:val="0"/>
              <w:pageBreakBefore w:val="0"/>
              <w:spacing w:line="340" w:lineRule="exact"/>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both"/>
              <w:keepLines w:val="0"/>
              <w:keepNext w:val="0"/>
              <w:pageBreakBefore w:val="0"/>
              <w:spacing w:line="340" w:lineRule="exact"/>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sz w:val="21"/>
                <w:szCs w:val="21"/>
                <w:highlight w:val="none"/>
                <w:u w:val="none"/>
              </w:rPr>
            </w:r>
            <w:r/>
          </w:p>
        </w:tc>
      </w:tr>
    </w:tbl>
    <w:p>
      <w:pPr>
        <w:rPr>
          <w:rFonts w:hint="eastAsia"/>
          <w:color w:val="auto"/>
          <w:highlight w:val="none"/>
          <w:lang w:val="en-US" w:eastAsia="zh-CN"/>
        </w:rPr>
      </w:pPr>
      <w:r>
        <w:rPr>
          <w:rFonts w:hint="eastAsia"/>
          <w:color w:val="auto"/>
          <w:highlight w:val="none"/>
          <w:lang w:val="en-US" w:eastAsia="zh-CN"/>
        </w:rPr>
      </w:r>
      <w:r/>
    </w:p>
    <w:p>
      <w:pPr>
        <w:pStyle w:val="702"/>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702"/>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747"/>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747"/>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747"/>
        <w:rPr>
          <w:rFonts w:hint="eastAsia"/>
          <w:color w:val="auto"/>
          <w:highlight w:val="none"/>
          <w:lang w:val="en-US" w:eastAsia="zh-CN"/>
        </w:rPr>
      </w:pPr>
      <w:r>
        <w:rPr>
          <w:rFonts w:hint="eastAsia"/>
          <w:color w:val="auto"/>
          <w:highlight w:val="none"/>
          <w:lang w:val="en-US" w:eastAsia="zh-CN"/>
        </w:rPr>
      </w:r>
      <w:r/>
    </w:p>
    <w:p>
      <w:pPr>
        <w:jc w:val="center"/>
        <w:pageBreakBefore/>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第五章  拟签订的合同文本</w:t>
      </w:r>
      <w:r/>
    </w:p>
    <w:p>
      <w:pPr>
        <w:contextualSpacing/>
        <w:ind w:left="5049" w:right="-624" w:hanging="5160"/>
        <w:rPr>
          <w:rFonts w:hint="eastAsia" w:ascii="仿宋" w:hAnsi="仿宋" w:eastAsia="仿宋"/>
          <w:color w:val="auto"/>
          <w:sz w:val="24"/>
          <w:highlight w:val="none"/>
          <w:lang w:eastAsia="zh-CN"/>
        </w:rPr>
      </w:pPr>
      <w:r>
        <w:rPr>
          <w:rFonts w:hint="eastAsia" w:ascii="仿宋" w:hAnsi="仿宋" w:eastAsia="仿宋"/>
          <w:color w:val="auto"/>
          <w:sz w:val="24"/>
          <w:szCs w:val="21"/>
          <w:highlight w:val="none"/>
        </w:rPr>
        <w:t xml:space="preserve">甲方：</w:t>
      </w:r>
      <w:r>
        <w:rPr>
          <w:rFonts w:hint="eastAsia" w:ascii="仿宋" w:hAnsi="仿宋" w:eastAsia="仿宋"/>
          <w:color w:val="auto"/>
          <w:sz w:val="24"/>
          <w:highlight w:val="none"/>
          <w:lang w:eastAsia="zh-CN"/>
        </w:rPr>
        <w:t xml:space="preserve">邳州市纪念场馆管理处</w:t>
      </w:r>
      <w:r>
        <w:rPr>
          <w:rFonts w:hint="eastAsia" w:ascii="仿宋" w:hAnsi="仿宋" w:eastAsia="仿宋"/>
          <w:color w:val="auto"/>
          <w:sz w:val="24"/>
          <w:highlight w:val="none"/>
        </w:rPr>
        <w:t xml:space="preserve">   </w:t>
      </w:r>
      <w:r>
        <w:rPr>
          <w:rFonts w:hint="eastAsia" w:ascii="仿宋" w:hAnsi="仿宋" w:eastAsia="仿宋"/>
          <w:color w:val="auto"/>
          <w:sz w:val="24"/>
          <w:szCs w:val="21"/>
          <w:highlight w:val="none"/>
        </w:rPr>
        <w:t xml:space="preserve">项目名称：</w:t>
      </w:r>
      <w:r>
        <w:rPr>
          <w:rFonts w:hint="eastAsia" w:ascii="仿宋" w:hAnsi="仿宋" w:eastAsia="仿宋"/>
          <w:color w:val="auto"/>
          <w:sz w:val="24"/>
          <w:highlight w:val="none"/>
          <w:lang w:eastAsia="zh-CN"/>
        </w:rPr>
        <w:t xml:space="preserve">纪念场馆及烈士陵园物业安保服务项目</w:t>
      </w:r>
      <w:r/>
    </w:p>
    <w:p>
      <w:pPr>
        <w:contextualSpacing/>
        <w:ind w:left="-111" w:right="-624"/>
        <w:rPr>
          <w:rFonts w:hint="eastAsia" w:ascii="仿宋" w:hAnsi="仿宋" w:eastAsia="仿宋"/>
          <w:color w:val="auto"/>
          <w:sz w:val="24"/>
          <w:szCs w:val="21"/>
          <w:highlight w:val="none"/>
          <w:lang w:eastAsia="zh-CN"/>
        </w:rPr>
      </w:pPr>
      <w:r>
        <w:rPr>
          <w:rFonts w:hint="eastAsia" w:ascii="仿宋" w:hAnsi="仿宋" w:eastAsia="仿宋"/>
          <w:color w:val="auto"/>
          <w:sz w:val="24"/>
          <w:szCs w:val="21"/>
          <w:highlight w:val="none"/>
        </w:rPr>
        <w:t xml:space="preserve">乙方：                           </w:t>
      </w:r>
      <w:bookmarkStart w:id="3" w:name="OLE_LINK46"/>
      <w:r>
        <w:rPr>
          <w:rFonts w:hint="eastAsia" w:ascii="仿宋" w:hAnsi="仿宋" w:eastAsia="仿宋"/>
          <w:color w:val="auto"/>
          <w:sz w:val="24"/>
          <w:highlight w:val="none"/>
        </w:rPr>
        <w:t xml:space="preserve">项目编号：</w:t>
      </w:r>
      <w:bookmarkEnd w:id="3"/>
      <w:r>
        <w:rPr>
          <w:rFonts w:hint="eastAsia" w:ascii="仿宋" w:hAnsi="仿宋" w:eastAsia="仿宋"/>
          <w:color w:val="auto"/>
          <w:sz w:val="24"/>
          <w:highlight w:val="none"/>
          <w:lang w:eastAsia="zh-CN"/>
        </w:rPr>
        <w:t xml:space="preserve">JSZC-320382-PZZC-G2026-0005</w:t>
      </w:r>
      <w:r/>
    </w:p>
    <w:p>
      <w:pPr>
        <w:contextualSpacing/>
        <w:ind w:left="-111" w:right="-624"/>
        <w:rPr>
          <w:rFonts w:ascii="仿宋" w:hAnsi="仿宋" w:eastAsia="仿宋"/>
          <w:color w:val="auto"/>
          <w:sz w:val="24"/>
          <w:highlight w:val="none"/>
        </w:rPr>
      </w:pPr>
      <w:r>
        <w:rPr>
          <w:rFonts w:hint="eastAsia" w:ascii="仿宋" w:hAnsi="仿宋" w:eastAsia="仿宋"/>
          <w:color w:val="auto"/>
          <w:sz w:val="24"/>
          <w:szCs w:val="21"/>
          <w:highlight w:val="none"/>
        </w:rPr>
        <w:t xml:space="preserve">签订时间：                       签订地点：</w:t>
      </w:r>
      <w:r/>
    </w:p>
    <w:p>
      <w:pPr>
        <w:contextualSpacing/>
        <w:jc w:val="center"/>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甲、乙双方根据《中华人民共和国政府采购法》《中华人民共和国民法典》，按照</w:t>
      </w:r>
      <w:r>
        <w:rPr>
          <w:rFonts w:hint="eastAsia" w:ascii="仿宋" w:hAnsi="仿宋" w:eastAsia="仿宋"/>
          <w:color w:val="auto"/>
          <w:sz w:val="24"/>
          <w:highlight w:val="none"/>
          <w:lang w:eastAsia="zh-CN"/>
        </w:rPr>
        <w:t xml:space="preserve">纪念场馆及烈士陵园物业安保服务项目</w:t>
      </w:r>
      <w:r>
        <w:rPr>
          <w:rFonts w:hint="eastAsia" w:ascii="仿宋" w:hAnsi="仿宋" w:eastAsia="仿宋" w:cs="宋体"/>
          <w:color w:val="auto"/>
          <w:sz w:val="24"/>
          <w:highlight w:val="none"/>
        </w:rPr>
        <w:t xml:space="preserve">发出的中标通知书、招标文件及乙方的投标文件等，按照平等、自愿的原则，经友好协商，签订本合同。</w:t>
      </w:r>
      <w:r/>
    </w:p>
    <w:p>
      <w:pPr>
        <w:contextualSpacing/>
        <w:ind w:left="-426" w:right="-624" w:firstLine="600"/>
        <w:spacing w:line="380" w:lineRule="exact"/>
        <w:rPr>
          <w:rFonts w:ascii="仿宋" w:hAnsi="仿宋" w:eastAsia="仿宋"/>
          <w:color w:val="auto"/>
          <w:sz w:val="24"/>
          <w:highlight w:val="none"/>
        </w:rPr>
      </w:pPr>
      <w:r>
        <w:rPr>
          <w:rFonts w:ascii="仿宋" w:hAnsi="仿宋" w:eastAsia="仿宋"/>
          <w:color w:val="auto"/>
          <w:sz w:val="24"/>
          <w:highlight w:val="none"/>
        </w:rPr>
      </w:r>
      <w:r/>
    </w:p>
    <w:p>
      <w:pPr>
        <w:numPr>
          <w:ilvl w:val="0"/>
          <w:numId w:val="3"/>
        </w:numPr>
        <w:rPr>
          <w:rFonts w:ascii="仿宋" w:hAnsi="仿宋" w:eastAsia="仿宋"/>
          <w:color w:val="auto"/>
          <w:sz w:val="24"/>
          <w:highlight w:val="none"/>
        </w:rPr>
      </w:pPr>
      <w:r>
        <w:rPr>
          <w:rFonts w:hint="eastAsia" w:ascii="仿宋" w:hAnsi="仿宋" w:eastAsia="仿宋"/>
          <w:color w:val="auto"/>
          <w:sz w:val="24"/>
          <w:highlight w:val="none"/>
        </w:rPr>
        <w:t xml:space="preserve">物业管理服务基本情况</w:t>
      </w:r>
      <w:r/>
    </w:p>
    <w:p>
      <w:pPr>
        <w:pStyle w:val="911"/>
        <w:numPr>
          <w:ilvl w:val="0"/>
          <w:numId w:val="4"/>
        </w:numPr>
        <w:ind w:right="0"/>
        <w:jc w:val="left"/>
        <w:spacing w:after="100" w:line="259" w:lineRule="auto"/>
        <w:widowControl/>
        <w:rPr>
          <w:rFonts w:ascii="仿宋" w:hAnsi="仿宋" w:eastAsia="仿宋"/>
          <w:color w:val="auto"/>
          <w:sz w:val="24"/>
          <w:highlight w:val="none"/>
        </w:rPr>
      </w:pPr>
      <w:r>
        <w:rPr>
          <w:rFonts w:hint="eastAsia" w:ascii="仿宋" w:hAnsi="仿宋" w:eastAsia="仿宋"/>
          <w:color w:val="auto"/>
          <w:sz w:val="24"/>
          <w:highlight w:val="none"/>
        </w:rPr>
        <w:t xml:space="preserve">物业管理服务区域</w:t>
      </w:r>
      <w:r/>
    </w:p>
    <w:tbl>
      <w:tblPr>
        <w:tblStyle w:val="712"/>
        <w:tblW w:w="55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90"/>
        <w:gridCol w:w="4090"/>
        <w:gridCol w:w="1127"/>
      </w:tblGrid>
      <w:tr>
        <w:trPr>
          <w:jc w:val="center"/>
          <w:trHeight w:val="455"/>
        </w:trPr>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tcPr>
          <w:p>
            <w:pPr>
              <w:jc w:val="center"/>
              <w:spacing w:before="61"/>
              <w:rPr>
                <w:rFonts w:ascii="仿宋" w:hAnsi="仿宋" w:eastAsia="仿宋" w:cs="宋体"/>
                <w:color w:val="auto"/>
                <w:sz w:val="24"/>
                <w:highlight w:val="none"/>
                <w:lang w:val="zh-CN" w:bidi="zh-CN"/>
              </w:rPr>
            </w:pPr>
            <w:r>
              <w:rPr>
                <w:rFonts w:hint="eastAsia" w:ascii="仿宋" w:hAnsi="仿宋" w:eastAsia="仿宋" w:cs="宋体"/>
                <w:color w:val="auto"/>
                <w:sz w:val="24"/>
                <w:highlight w:val="none"/>
                <w:lang w:val="zh-CN" w:bidi="zh-CN"/>
              </w:rPr>
              <w:t xml:space="preserve">项目名称</w:t>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jc w:val="center"/>
              <w:spacing w:before="61"/>
              <w:rPr>
                <w:rFonts w:ascii="仿宋" w:hAnsi="仿宋" w:eastAsia="仿宋" w:cs="宋体"/>
                <w:color w:val="auto"/>
                <w:sz w:val="24"/>
                <w:highlight w:val="none"/>
                <w:lang w:val="zh-CN" w:bidi="zh-CN"/>
              </w:rPr>
            </w:pPr>
            <w:r>
              <w:rPr>
                <w:rFonts w:ascii="仿宋" w:hAnsi="仿宋" w:eastAsia="仿宋" w:cs="宋体"/>
                <w:color w:val="auto"/>
                <w:sz w:val="24"/>
                <w:highlight w:val="none"/>
                <w:lang w:val="zh-CN" w:bidi="zh-CN"/>
              </w:rPr>
              <w:t xml:space="preserve">物业名称</w:t>
            </w:r>
            <w:r/>
          </w:p>
        </w:tc>
        <w:tc>
          <w:tcPr>
            <w:tcBorders>
              <w:top w:val="single" w:color="000000" w:sz="4" w:space="0"/>
              <w:left w:val="single" w:color="000000" w:sz="4" w:space="0"/>
              <w:bottom w:val="single" w:color="000000" w:sz="4" w:space="0"/>
              <w:right w:val="single" w:color="000000" w:sz="4" w:space="0"/>
            </w:tcBorders>
            <w:tcW w:w="2065" w:type="pct"/>
            <w:textDirection w:val="lrTb"/>
            <w:noWrap/>
          </w:tcPr>
          <w:p>
            <w:pPr>
              <w:jc w:val="center"/>
              <w:spacing w:before="61"/>
              <w:rPr>
                <w:rFonts w:ascii="仿宋" w:hAnsi="仿宋" w:eastAsia="仿宋" w:cs="宋体"/>
                <w:color w:val="auto"/>
                <w:sz w:val="24"/>
                <w:highlight w:val="none"/>
                <w:lang w:val="zh-CN" w:bidi="zh-CN"/>
              </w:rPr>
            </w:pPr>
            <w:r>
              <w:rPr>
                <w:rFonts w:ascii="仿宋" w:hAnsi="仿宋" w:eastAsia="仿宋" w:cs="宋体"/>
                <w:color w:val="auto"/>
                <w:sz w:val="24"/>
                <w:highlight w:val="none"/>
                <w:lang w:val="zh-CN" w:bidi="zh-CN"/>
              </w:rPr>
              <w:t xml:space="preserve">物业地址</w:t>
            </w:r>
            <w:r/>
          </w:p>
        </w:tc>
      </w:tr>
      <w:tr>
        <w:trPr>
          <w:jc w:val="center"/>
          <w:trHeight w:val="1006"/>
        </w:trPr>
        <w:tc>
          <w:tcPr>
            <w:tcBorders>
              <w:top w:val="single" w:color="000000" w:sz="4" w:space="0"/>
              <w:left w:val="single" w:color="000000" w:sz="4" w:space="0"/>
              <w:right w:val="single" w:color="000000" w:sz="4" w:space="0"/>
            </w:tcBorders>
            <w:tcW w:w="1107" w:type="pct"/>
            <w:vAlign w:val="center"/>
            <w:textDirection w:val="lrTb"/>
            <w:noWrap/>
          </w:tcPr>
          <w:p>
            <w:pPr>
              <w:jc w:val="center"/>
              <w:spacing w:before="61"/>
              <w:rPr>
                <w:rFonts w:hint="eastAsia" w:ascii="仿宋" w:hAnsi="仿宋" w:eastAsia="仿宋" w:cs="宋体"/>
                <w:color w:val="auto"/>
                <w:sz w:val="24"/>
                <w:highlight w:val="none"/>
                <w:lang w:val="zh-CN" w:eastAsia="zh-CN" w:bidi="zh-CN"/>
              </w:rPr>
            </w:pPr>
            <w:r>
              <w:rPr>
                <w:rFonts w:hint="eastAsia" w:ascii="仿宋" w:hAnsi="仿宋" w:eastAsia="仿宋"/>
                <w:color w:val="auto"/>
                <w:sz w:val="24"/>
                <w:highlight w:val="none"/>
                <w:lang w:eastAsia="zh-CN"/>
              </w:rPr>
              <w:t xml:space="preserve">纪念场馆及烈士陵园物业安保服务项目</w:t>
            </w:r>
            <w:r/>
          </w:p>
        </w:tc>
        <w:tc>
          <w:tcPr>
            <w:tcBorders>
              <w:top w:val="single" w:color="000000" w:sz="4" w:space="0"/>
              <w:left w:val="single" w:color="000000" w:sz="4" w:space="0"/>
              <w:right w:val="single" w:color="000000" w:sz="4" w:space="0"/>
            </w:tcBorders>
            <w:tcW w:w="1828" w:type="pct"/>
            <w:vAlign w:val="center"/>
            <w:textDirection w:val="lrTb"/>
            <w:noWrap/>
          </w:tcPr>
          <w:p>
            <w:pPr>
              <w:jc w:val="center"/>
              <w:spacing w:before="61"/>
              <w:rPr>
                <w:rFonts w:hint="eastAsia" w:ascii="仿宋" w:hAnsi="仿宋" w:eastAsia="仿宋" w:cs="宋体"/>
                <w:color w:val="auto"/>
                <w:sz w:val="24"/>
                <w:highlight w:val="none"/>
                <w:lang w:val="zh-CN" w:eastAsia="zh-CN" w:bidi="zh-CN"/>
              </w:rPr>
            </w:pPr>
            <w:r>
              <w:rPr>
                <w:rFonts w:hint="eastAsia" w:ascii="仿宋" w:hAnsi="仿宋" w:eastAsia="仿宋"/>
                <w:color w:val="auto"/>
                <w:sz w:val="24"/>
                <w:highlight w:val="none"/>
                <w:lang w:eastAsia="zh-CN"/>
              </w:rPr>
              <w:t xml:space="preserve">纪念场馆及烈士陵园物业安保服务项目</w:t>
            </w:r>
            <w:r/>
          </w:p>
        </w:tc>
        <w:tc>
          <w:tcPr>
            <w:tcBorders>
              <w:top w:val="single" w:color="000000" w:sz="4" w:space="0"/>
              <w:left w:val="single" w:color="000000" w:sz="4" w:space="0"/>
              <w:right w:val="single" w:color="000000" w:sz="4" w:space="0"/>
            </w:tcBorders>
            <w:tcW w:w="2065" w:type="pct"/>
            <w:vAlign w:val="center"/>
            <w:textDirection w:val="lrTb"/>
            <w:noWrap/>
          </w:tcPr>
          <w:p>
            <w:pPr>
              <w:jc w:val="center"/>
              <w:spacing w:before="61"/>
              <w:rPr>
                <w:rFonts w:ascii="仿宋" w:hAnsi="仿宋" w:eastAsia="仿宋" w:cs="宋体"/>
                <w:color w:val="auto"/>
                <w:sz w:val="24"/>
                <w:highlight w:val="none"/>
                <w:lang w:val="zh-CN" w:bidi="zh-CN"/>
              </w:rPr>
            </w:pPr>
            <w:r>
              <w:rPr>
                <w:rFonts w:ascii="仿宋" w:hAnsi="仿宋" w:eastAsia="仿宋" w:cs="宋体"/>
                <w:color w:val="auto"/>
                <w:sz w:val="24"/>
                <w:highlight w:val="none"/>
                <w:lang w:val="zh-CN" w:bidi="zh-CN"/>
              </w:rPr>
            </w:r>
            <w:r/>
          </w:p>
        </w:tc>
      </w:tr>
    </w:tbl>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第二条 </w:t>
      </w:r>
      <w:r>
        <w:rPr>
          <w:rFonts w:ascii="仿宋" w:hAnsi="仿宋" w:eastAsia="仿宋" w:cs="宋体"/>
          <w:color w:val="auto"/>
          <w:sz w:val="24"/>
          <w:highlight w:val="none"/>
        </w:rPr>
        <w:t xml:space="preserve">物业管理服务</w:t>
      </w:r>
      <w:r>
        <w:rPr>
          <w:rFonts w:hint="eastAsia" w:ascii="仿宋" w:hAnsi="仿宋" w:eastAsia="仿宋" w:cs="宋体"/>
          <w:color w:val="auto"/>
          <w:sz w:val="24"/>
          <w:highlight w:val="none"/>
        </w:rPr>
        <w:t xml:space="preserve">内容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详见合同附件1</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第三条 物业管理服务要求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1.物业管理服务工作要求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1.1物业管理服务工作原则：统一、规范、高效、安全。</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1.2物业管理服务工作要求：见合同附件2。</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t xml:space="preserve">2.物业管理服务人员要求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w:t>
      </w:r>
      <w:r>
        <w:rPr>
          <w:rFonts w:ascii="仿宋" w:hAnsi="仿宋" w:eastAsia="仿宋" w:cs="宋体"/>
          <w:color w:val="auto"/>
          <w:sz w:val="24"/>
          <w:highlight w:val="none"/>
        </w:rPr>
        <w:t xml:space="preserve">物业管理服务人员配备原则：精干、专业、敬业、健康。</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w:t>
      </w:r>
      <w:r>
        <w:rPr>
          <w:rFonts w:ascii="仿宋" w:hAnsi="仿宋" w:eastAsia="仿宋" w:cs="宋体"/>
          <w:color w:val="auto"/>
          <w:sz w:val="24"/>
          <w:highlight w:val="none"/>
        </w:rPr>
        <w:t xml:space="preserve">物业管理服务人员均需同时具备以下条件：</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2.2.1</w:t>
      </w:r>
      <w:r>
        <w:rPr>
          <w:rFonts w:ascii="仿宋" w:hAnsi="仿宋" w:eastAsia="仿宋" w:cs="宋体"/>
          <w:color w:val="auto"/>
          <w:sz w:val="24"/>
          <w:highlight w:val="none"/>
        </w:rPr>
        <w:t xml:space="preserve">无犯罪记录、无恶习、无复杂社会关系；</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2.2.2</w:t>
      </w:r>
      <w:r>
        <w:rPr>
          <w:rFonts w:ascii="仿宋" w:hAnsi="仿宋" w:eastAsia="仿宋" w:cs="宋体"/>
          <w:color w:val="auto"/>
          <w:sz w:val="24"/>
          <w:highlight w:val="none"/>
        </w:rPr>
        <w:t xml:space="preserve">有医院出具的健康证明，无重大疾病和传染病，具备正常从事物业管理服务工作所需要的身体条件；</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2.2.3</w:t>
      </w:r>
      <w:r>
        <w:rPr>
          <w:rFonts w:ascii="仿宋" w:hAnsi="仿宋" w:eastAsia="仿宋" w:cs="宋体"/>
          <w:color w:val="auto"/>
          <w:sz w:val="24"/>
          <w:highlight w:val="none"/>
        </w:rPr>
        <w:t xml:space="preserve">岗前培训合格率100％。</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2.3</w:t>
      </w:r>
      <w:r>
        <w:rPr>
          <w:rFonts w:ascii="仿宋" w:hAnsi="仿宋" w:eastAsia="仿宋" w:cs="宋体"/>
          <w:color w:val="auto"/>
          <w:sz w:val="24"/>
          <w:highlight w:val="none"/>
        </w:rPr>
        <w:t xml:space="preserve">按照乙方投标文件中《</w:t>
      </w:r>
      <w:r>
        <w:rPr>
          <w:rFonts w:ascii="仿宋" w:hAnsi="仿宋" w:eastAsia="仿宋"/>
          <w:color w:val="auto"/>
          <w:sz w:val="24"/>
          <w:highlight w:val="none"/>
        </w:rPr>
        <w:t xml:space="preserve">物业管理服务人员</w:t>
      </w:r>
      <w:r>
        <w:rPr>
          <w:rFonts w:hint="eastAsia" w:ascii="仿宋" w:hAnsi="仿宋" w:eastAsia="仿宋"/>
          <w:color w:val="auto"/>
          <w:sz w:val="24"/>
          <w:highlight w:val="none"/>
        </w:rPr>
        <w:t xml:space="preserve">方案</w:t>
      </w:r>
      <w:r>
        <w:rPr>
          <w:rFonts w:ascii="仿宋" w:hAnsi="仿宋" w:eastAsia="仿宋" w:cs="宋体"/>
          <w:color w:val="auto"/>
          <w:sz w:val="24"/>
          <w:highlight w:val="none"/>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t xml:space="preserve">3.</w:t>
      </w:r>
      <w:r>
        <w:rPr>
          <w:rFonts w:hint="eastAsia" w:ascii="仿宋" w:hAnsi="仿宋" w:eastAsia="仿宋"/>
          <w:color w:val="auto"/>
          <w:sz w:val="24"/>
          <w:highlight w:val="none"/>
        </w:rPr>
        <w:t xml:space="preserve">物业管理服务人员</w:t>
      </w:r>
      <w:r>
        <w:rPr>
          <w:rFonts w:ascii="仿宋" w:hAnsi="仿宋" w:eastAsia="仿宋" w:cs="宋体"/>
          <w:color w:val="auto"/>
          <w:sz w:val="24"/>
          <w:highlight w:val="none"/>
        </w:rPr>
        <w:t xml:space="preserve">要求：见合同附件</w:t>
      </w: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.采购需求：见合同附件</w:t>
      </w: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5.验收标准（验收要求、验收标准和程序）：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(1)验收标准：见本合同“第二章  物业管理服务质量”。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(2)验收要求、验收程序：乙方提出书面验收要求，甲方接到书面验收要求后5个工作日内出具验收书，如乙方对验收书有异议，在接到验收书后7个工作日内向甲方书面提出。</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（3）验收组织方式：</w:t>
      </w:r>
      <w:r>
        <w:rPr>
          <w:rFonts w:ascii="Wingdings 2" w:hAnsi="Wingdings 2" w:eastAsia="Wingdings 2" w:cs="Wingdings 2"/>
          <w:color w:val="auto"/>
          <w:sz w:val="24"/>
          <w:highlight w:val="none"/>
        </w:rPr>
        <w:t xml:space="preserve">£</w:t>
      </w:r>
      <w:r>
        <w:rPr>
          <w:rFonts w:hint="eastAsia" w:ascii="仿宋" w:hAnsi="仿宋" w:eastAsia="仿宋" w:cs="宋体"/>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委托第三方组织</w:t>
      </w:r>
      <w:r/>
    </w:p>
    <w:p>
      <w:pPr>
        <w:ind w:firstLine="480"/>
        <w:jc w:val="left"/>
        <w:widowControl/>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验收主体：</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否</w:t>
      </w:r>
      <w:r/>
    </w:p>
    <w:p>
      <w:pPr>
        <w:ind w:firstLine="10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是  </w:t>
      </w:r>
      <w:r>
        <w:rPr>
          <w:rFonts w:ascii="Wingdings 2" w:hAnsi="Wingdings 2" w:eastAsia="Wingdings 2" w:cs="Wingdings 2"/>
          <w:color w:val="auto"/>
          <w:sz w:val="24"/>
          <w:highlight w:val="none"/>
        </w:rPr>
        <w:t xml:space="preserve">£</w:t>
      </w:r>
      <w:r>
        <w:rPr>
          <w:rFonts w:hint="eastAsia" w:ascii="仿宋" w:hAnsi="仿宋" w:eastAsia="仿宋" w:cs="宋体"/>
          <w:color w:val="auto"/>
          <w:sz w:val="24"/>
          <w:highlight w:val="none"/>
        </w:rPr>
        <w:t xml:space="preserve">否</w:t>
      </w:r>
      <w:r/>
    </w:p>
    <w:p>
      <w:pPr>
        <w:ind w:firstLine="10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否</w:t>
      </w:r>
      <w:r/>
    </w:p>
    <w:p>
      <w:pPr>
        <w:ind w:firstLine="10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是  </w:t>
      </w:r>
      <w:r>
        <w:rPr>
          <w:rFonts w:ascii="Wingdings 2" w:hAnsi="Wingdings 2" w:eastAsia="Wingdings 2" w:cs="Wingdings 2"/>
          <w:color w:val="auto"/>
          <w:sz w:val="24"/>
          <w:highlight w:val="none"/>
        </w:rPr>
        <w:t xml:space="preserve"></w:t>
      </w:r>
      <w:r>
        <w:rPr>
          <w:rFonts w:hint="eastAsia" w:ascii="仿宋" w:hAnsi="仿宋" w:eastAsia="仿宋" w:cs="宋体"/>
          <w:color w:val="auto"/>
          <w:sz w:val="24"/>
          <w:highlight w:val="none"/>
        </w:rPr>
        <w:t xml:space="preserve">否</w:t>
      </w:r>
      <w:r/>
    </w:p>
    <w:p>
      <w:pPr>
        <w:ind w:firstLine="10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是否进行抽查：</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否</w:t>
      </w:r>
      <w:r/>
    </w:p>
    <w:p>
      <w:pPr>
        <w:ind w:firstLine="10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验收组织的其他事项：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（4）履约验收时间：（计划于何时验收/供应商提出验收申请之日起日内组织验收） </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（5）履约验收方式：</w:t>
      </w: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一次性验收         </w:t>
      </w:r>
      <w:r/>
    </w:p>
    <w:p>
      <w:pPr>
        <w:ind w:firstLine="480"/>
        <w:jc w:val="left"/>
        <w:widowControl/>
        <w:rPr>
          <w:rFonts w:ascii="仿宋" w:hAnsi="仿宋" w:eastAsia="仿宋" w:cs="宋体"/>
          <w:color w:val="auto"/>
          <w:sz w:val="24"/>
          <w:highlight w:val="none"/>
        </w:rPr>
      </w:pPr>
      <w:r>
        <w:rPr>
          <w:rFonts w:ascii="Wingdings" w:hAnsi="Wingdings" w:eastAsia="Wingdings" w:cs="Wingdings"/>
          <w:color w:val="auto"/>
          <w:sz w:val="24"/>
          <w:highlight w:val="none"/>
        </w:rPr>
        <w:t xml:space="preserve"></w:t>
      </w:r>
      <w:r>
        <w:rPr>
          <w:rFonts w:hint="eastAsia" w:ascii="仿宋" w:hAnsi="仿宋" w:eastAsia="仿宋" w:cs="宋体"/>
          <w:color w:val="auto"/>
          <w:sz w:val="24"/>
          <w:highlight w:val="none"/>
        </w:rPr>
        <w:t xml:space="preserve">分期/分项验收：</w:t>
      </w:r>
      <w:r>
        <w:rPr>
          <w:rFonts w:hint="eastAsia" w:ascii="仿宋" w:hAnsi="仿宋" w:eastAsia="仿宋" w:cs="宋体"/>
          <w:color w:val="auto"/>
          <w:sz w:val="24"/>
          <w:highlight w:val="none"/>
          <w:u w:val="single"/>
        </w:rPr>
        <w:t xml:space="preserve">（应明确分期</w:t>
      </w:r>
      <w:r>
        <w:rPr>
          <w:rFonts w:ascii="仿宋" w:hAnsi="仿宋" w:eastAsia="仿宋" w:cs="宋体"/>
          <w:color w:val="auto"/>
          <w:sz w:val="24"/>
          <w:highlight w:val="none"/>
          <w:u w:val="single"/>
        </w:rPr>
        <w:t xml:space="preserve">/</w:t>
      </w:r>
      <w:r>
        <w:rPr>
          <w:rFonts w:hint="eastAsia" w:ascii="仿宋" w:hAnsi="仿宋" w:eastAsia="仿宋" w:cs="宋体"/>
          <w:color w:val="auto"/>
          <w:sz w:val="24"/>
          <w:highlight w:val="none"/>
          <w:u w:val="single"/>
        </w:rPr>
        <w:t xml:space="preserve">分项验收的工作安排）</w:t>
      </w:r>
      <w:r/>
    </w:p>
    <w:p>
      <w:pPr>
        <w:ind w:firstLine="480"/>
        <w:jc w:val="left"/>
        <w:widowControl/>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（6）履约验收程序：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（7）履约验收的内容： </w:t>
      </w:r>
      <w:r>
        <w:rPr>
          <w:rFonts w:hint="eastAsia" w:ascii="仿宋" w:hAnsi="仿宋" w:eastAsia="仿宋" w:cs="宋体"/>
          <w:color w:val="auto"/>
          <w:sz w:val="24"/>
          <w:highlight w:val="none"/>
          <w:u w:val="single"/>
        </w:rPr>
        <w:t xml:space="preserve">（应当包括每一项技术和商务要求的履约情况，特别是落实政府采购扶持中小企业，支持绿色发展和乡村振兴等政策情况。）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6.物业管理服务人员工资要求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 按照法律、法规和国家、省、市的规定，乙方按月足额发放工资；</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(3)工资发放采用银行代发方式。</w:t>
      </w:r>
      <w:r/>
    </w:p>
    <w:p>
      <w:pPr>
        <w:rPr>
          <w:color w:val="auto"/>
          <w:highlight w:val="none"/>
        </w:rPr>
      </w:pPr>
      <w:r>
        <w:rPr>
          <w:color w:val="auto"/>
          <w:highlight w:val="none"/>
        </w:rPr>
      </w:r>
      <w:r/>
    </w:p>
    <w:p>
      <w:pPr>
        <w:jc w:val="cente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第二章  物业管理服务质量</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第四条  物业管理服务质量要求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1.达</w:t>
      </w:r>
      <w:r>
        <w:rPr>
          <w:rFonts w:hint="eastAsia" w:ascii="仿宋" w:hAnsi="仿宋" w:eastAsia="仿宋"/>
          <w:color w:val="auto"/>
          <w:sz w:val="24"/>
          <w:highlight w:val="none"/>
        </w:rPr>
        <w:t xml:space="preserve">到</w:t>
      </w:r>
      <w:r>
        <w:rPr>
          <w:rFonts w:hint="eastAsia" w:ascii="仿宋" w:hAnsi="仿宋" w:eastAsia="仿宋"/>
          <w:color w:val="auto"/>
          <w:sz w:val="24"/>
          <w:highlight w:val="none"/>
          <w:lang w:eastAsia="zh-CN"/>
        </w:rPr>
        <w:t xml:space="preserve">邳州市纪念场馆管理处</w:t>
      </w:r>
      <w:r>
        <w:rPr>
          <w:rFonts w:hint="eastAsia" w:ascii="仿宋" w:hAnsi="仿宋" w:eastAsia="仿宋"/>
          <w:color w:val="auto"/>
          <w:sz w:val="24"/>
          <w:highlight w:val="none"/>
        </w:rPr>
        <w:t xml:space="preserve">《物业管理服务日常考核细则》</w:t>
      </w:r>
      <w:r>
        <w:rPr>
          <w:rFonts w:hint="eastAsia" w:ascii="仿宋" w:hAnsi="仿宋" w:eastAsia="仿宋" w:cs="宋体"/>
          <w:color w:val="auto"/>
          <w:sz w:val="24"/>
          <w:highlight w:val="none"/>
        </w:rPr>
        <w:t xml:space="preserve">（见合同附件5）95分以上。</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2.在有重大接待任务及重要检查时，不出现严重问题。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3.不出现水、电安全事故。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4.严格执行上级有关部门防疫规定，认真履行消毒防疫措施。</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5.日常保洁，同一部位不能出现3次以上问题。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6.要求按时巡视环境、设备，不得造成损失。</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7.要求及时发现水、电设备故障。</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8.要求及时发现空房未上锁并及时处理。</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9.不得做出任何有损公共卫生的事，如随地吐痰、乱丢垃圾或乱写乱画等。</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10.不得迟到、早退、旷工、无故缺勤，或上班时间串岗、空岗等。</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11.不得发生服务态度恶劣，粗言秽语，不按甲方规定保障行为。</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12.物业服务人员要求按规定统一着装。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13.不得工作散漫、粗心大意造成工作差错。</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14.不得消极怠工，态度不端正，工作被动、拖拉、未能按时完成工作。</w:t>
      </w:r>
      <w:r/>
    </w:p>
    <w:p>
      <w:pPr>
        <w:ind w:firstLine="22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firstLine="22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第三章  物业管理服务期限及物业管理服务费</w:t>
      </w:r>
      <w:r/>
    </w:p>
    <w:p>
      <w:pPr>
        <w:ind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第五条 物业管理服务期限（合同期限）</w:t>
      </w:r>
      <w:r/>
    </w:p>
    <w:p>
      <w:pPr>
        <w:ind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自合同签订生效之日起1年，即    年   月   日至   年  月   日。</w:t>
      </w:r>
      <w:r/>
    </w:p>
    <w:p>
      <w:pPr>
        <w:ind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第六条 物业管理服务费</w:t>
      </w:r>
      <w:r/>
    </w:p>
    <w:p>
      <w:pPr>
        <w:ind w:firstLine="425"/>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1.本合同总价: ￥大写：人民币 。  </w:t>
      </w:r>
      <w:r/>
    </w:p>
    <w:p>
      <w:pPr>
        <w:ind w:firstLine="425"/>
        <w:rPr>
          <w:rFonts w:ascii="仿宋" w:hAnsi="仿宋" w:eastAsia="仿宋" w:cs="仿宋"/>
          <w:color w:val="auto"/>
          <w:sz w:val="24"/>
          <w:highlight w:val="none"/>
        </w:rPr>
      </w:pPr>
      <w:r>
        <w:rPr>
          <w:rFonts w:hint="eastAsia" w:ascii="仿宋" w:hAnsi="仿宋" w:eastAsia="仿宋" w:cs="宋体"/>
          <w:color w:val="auto"/>
          <w:sz w:val="24"/>
          <w:highlight w:val="none"/>
        </w:rPr>
        <w:t xml:space="preserve">2.经双方协商一致，选择以下第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rPr>
        <w:t xml:space="preserve">  </w:t>
      </w:r>
      <w:r>
        <w:rPr>
          <w:rFonts w:hint="eastAsia" w:ascii="仿宋" w:hAnsi="仿宋" w:eastAsia="仿宋" w:cs="宋体"/>
          <w:color w:val="auto"/>
          <w:sz w:val="24"/>
          <w:highlight w:val="none"/>
        </w:rPr>
        <w:t xml:space="preserve">种付款方式：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第一种付款方式（不提交预付款保函的）</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(1)合同总价的百分之</w:t>
      </w:r>
      <w:r>
        <w:rPr>
          <w:rFonts w:hint="eastAsia" w:ascii="仿宋" w:hAnsi="仿宋" w:eastAsia="仿宋" w:cs="宋体"/>
          <w:color w:val="auto"/>
          <w:sz w:val="24"/>
          <w:highlight w:val="none"/>
          <w:u w:val="single"/>
        </w:rPr>
        <w:t xml:space="preserve">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)即￥大写：人民币，在合同签订生效，甲方自收到发票（发票金额为合同总价的</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）后10个工作日内，将资金支付到合同约定的乙方账户。</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(2)预付款抵扣后期应支付的物业管理服务费。预付款抵扣完后，每季度物业管理服务费=物业管理服务费（即合同总价）*90% /4”。</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第二种付款方式（（提交预付款保函的）</w:t>
      </w:r>
      <w:r/>
    </w:p>
    <w:p>
      <w:pPr>
        <w:ind w:firstLine="480"/>
        <w:jc w:val="left"/>
        <w:widowControl/>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(1)合同总价的百分之</w:t>
      </w:r>
      <w:r>
        <w:rPr>
          <w:rFonts w:hint="eastAsia" w:ascii="仿宋" w:hAnsi="仿宋" w:eastAsia="仿宋" w:cs="宋体"/>
          <w:color w:val="auto"/>
          <w:sz w:val="24"/>
          <w:highlight w:val="none"/>
          <w:u w:val="single"/>
        </w:rPr>
        <w:t xml:space="preserve">四十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)即￥大写：人民币作为预付款，在合同签订生效且乙方向甲方出具合同总价的百分之</w:t>
      </w:r>
      <w:r>
        <w:rPr>
          <w:rFonts w:hint="eastAsia" w:ascii="仿宋" w:hAnsi="仿宋" w:eastAsia="仿宋" w:cs="宋体"/>
          <w:color w:val="auto"/>
          <w:sz w:val="24"/>
          <w:highlight w:val="none"/>
          <w:u w:val="single"/>
        </w:rPr>
        <w:t xml:space="preserve">四十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)即￥大写：人民币的预付款保函，甲方自收到发票（发票金额为合同总价的</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）后10个工作日内，将资金支付到合同约定的乙方账户。</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(2)预付款抵扣后期应支付的物业管理服务费。预付款抵扣完后，每季度物业管理服务费=物业管理服务费（即合同总价）*60% /4”。</w:t>
      </w:r>
      <w:r/>
    </w:p>
    <w:p>
      <w:pPr>
        <w:ind w:firstLine="480"/>
        <w:jc w:val="left"/>
        <w:widowControl/>
        <w:rPr>
          <w:rFonts w:ascii="仿宋" w:hAnsi="仿宋" w:eastAsia="仿宋"/>
          <w:color w:val="auto"/>
          <w:sz w:val="24"/>
          <w:highlight w:val="none"/>
        </w:rPr>
      </w:pPr>
      <w:r>
        <w:rPr>
          <w:rFonts w:hint="eastAsia" w:ascii="仿宋" w:hAnsi="仿宋" w:eastAsia="仿宋" w:cs="仿宋"/>
          <w:color w:val="auto"/>
          <w:sz w:val="24"/>
          <w:highlight w:val="none"/>
        </w:rPr>
        <w:t xml:space="preserve">第三种付款方式</w:t>
      </w:r>
      <w:r/>
    </w:p>
    <w:p>
      <w:pPr>
        <w:ind w:firstLine="480"/>
        <w:jc w:val="left"/>
        <w:widowControl/>
        <w:rPr>
          <w:rFonts w:ascii="仿宋" w:hAnsi="仿宋" w:eastAsia="仿宋" w:cs="宋体"/>
          <w:color w:val="auto"/>
          <w:sz w:val="24"/>
          <w:highlight w:val="none"/>
        </w:rPr>
      </w:pPr>
      <w:r>
        <w:rPr>
          <w:rFonts w:ascii="仿宋" w:hAnsi="仿宋" w:eastAsia="仿宋"/>
          <w:color w:val="auto"/>
          <w:sz w:val="24"/>
          <w:highlight w:val="none"/>
        </w:rPr>
        <w:t xml:space="preserve">在签订合同时，</w:t>
      </w:r>
      <w:r>
        <w:rPr>
          <w:rFonts w:hint="eastAsia" w:ascii="仿宋" w:hAnsi="仿宋" w:eastAsia="仿宋"/>
          <w:color w:val="auto"/>
          <w:sz w:val="24"/>
          <w:highlight w:val="none"/>
        </w:rPr>
        <w:t xml:space="preserve">如乙方</w:t>
      </w:r>
      <w:r>
        <w:rPr>
          <w:rFonts w:ascii="仿宋" w:hAnsi="仿宋" w:eastAsia="仿宋"/>
          <w:color w:val="auto"/>
          <w:sz w:val="24"/>
          <w:highlight w:val="none"/>
        </w:rPr>
        <w:t xml:space="preserve">明确表示无需预付款的，</w:t>
      </w:r>
      <w:r>
        <w:rPr>
          <w:rFonts w:hint="eastAsia" w:ascii="仿宋" w:hAnsi="仿宋" w:eastAsia="仿宋"/>
          <w:color w:val="auto"/>
          <w:sz w:val="24"/>
          <w:highlight w:val="none"/>
        </w:rPr>
        <w:t xml:space="preserve">甲方可凭考核结果按季度支付乙方服务费。（注：此条符合</w:t>
      </w:r>
      <w:r>
        <w:rPr>
          <w:rFonts w:ascii="仿宋" w:hAnsi="仿宋" w:eastAsia="仿宋"/>
          <w:color w:val="auto"/>
          <w:sz w:val="24"/>
          <w:highlight w:val="none"/>
        </w:rPr>
        <w:t xml:space="preserve">苏财购〔2020〕52号</w:t>
      </w:r>
      <w:r>
        <w:rPr>
          <w:rFonts w:hint="eastAsia" w:ascii="仿宋" w:hAnsi="仿宋" w:eastAsia="仿宋"/>
          <w:color w:val="auto"/>
          <w:sz w:val="24"/>
          <w:highlight w:val="none"/>
        </w:rPr>
        <w:t xml:space="preserve">文件要求）</w:t>
      </w:r>
      <w:r>
        <w:rPr>
          <w:rFonts w:hint="eastAsia" w:ascii="仿宋" w:hAnsi="仿宋" w:eastAsia="仿宋" w:cs="宋体"/>
          <w:color w:val="auto"/>
          <w:sz w:val="24"/>
          <w:highlight w:val="none"/>
        </w:rPr>
        <w:t xml:space="preserve">每季度物业管理服务费=物业管理服务费（即合同总价）/4。</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每月</w:t>
      </w:r>
      <w:r>
        <w:rPr>
          <w:rFonts w:hint="eastAsia" w:ascii="仿宋" w:hAnsi="仿宋" w:eastAsia="仿宋" w:cs="宋体"/>
          <w:color w:val="auto"/>
          <w:sz w:val="24"/>
          <w:highlight w:val="none"/>
        </w:rPr>
        <w:t xml:space="preserve">物业管理服务费的支付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次月</w:t>
      </w:r>
      <w:r>
        <w:rPr>
          <w:rFonts w:hint="eastAsia" w:ascii="仿宋" w:hAnsi="仿宋" w:eastAsia="仿宋" w:cs="宋体"/>
          <w:color w:val="auto"/>
          <w:sz w:val="24"/>
          <w:highlight w:val="none"/>
        </w:rPr>
        <w:t xml:space="preserve">甲方按验收（考核）结果，收到乙方开具发票之日起10个工作日内支付</w:t>
      </w:r>
      <w:r>
        <w:rPr>
          <w:rFonts w:hint="eastAsia" w:ascii="仿宋" w:hAnsi="仿宋" w:eastAsia="仿宋" w:cs="宋体"/>
          <w:color w:val="auto"/>
          <w:sz w:val="24"/>
          <w:highlight w:val="none"/>
          <w:lang w:val="en-US" w:eastAsia="zh-CN"/>
        </w:rPr>
        <w:t xml:space="preserve">当月</w:t>
      </w:r>
      <w:r>
        <w:rPr>
          <w:rFonts w:hint="eastAsia" w:ascii="仿宋" w:hAnsi="仿宋" w:eastAsia="仿宋" w:cs="宋体"/>
          <w:color w:val="auto"/>
          <w:sz w:val="24"/>
          <w:highlight w:val="none"/>
        </w:rPr>
        <w:t xml:space="preserve">物业管理服务费，由甲方办理政府采购资金结算手续，经审核后支付给乙方。具体如下：</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3.1验收（考核）结果按照</w:t>
      </w:r>
      <w:r>
        <w:rPr>
          <w:rFonts w:hint="eastAsia" w:ascii="仿宋" w:hAnsi="仿宋" w:eastAsia="仿宋"/>
          <w:color w:val="auto"/>
          <w:sz w:val="24"/>
          <w:highlight w:val="none"/>
        </w:rPr>
        <w:t xml:space="preserve">《物业管理服务日常考核细则》</w:t>
      </w:r>
      <w:r>
        <w:rPr>
          <w:rFonts w:hint="eastAsia" w:ascii="仿宋" w:hAnsi="仿宋" w:eastAsia="仿宋" w:cs="宋体"/>
          <w:color w:val="auto"/>
          <w:sz w:val="24"/>
          <w:highlight w:val="none"/>
        </w:rPr>
        <w:t xml:space="preserve">考核得分在95分以上（含95分）的，全额支付合同约定的“</w:t>
      </w:r>
      <w:r>
        <w:rPr>
          <w:rFonts w:hint="eastAsia" w:ascii="仿宋" w:hAnsi="仿宋" w:eastAsia="仿宋" w:cs="宋体"/>
          <w:color w:val="auto"/>
          <w:sz w:val="24"/>
          <w:highlight w:val="none"/>
          <w:lang w:val="en-US" w:eastAsia="zh-CN"/>
        </w:rPr>
        <w:t xml:space="preserve">每月</w:t>
      </w:r>
      <w:r>
        <w:rPr>
          <w:rFonts w:hint="eastAsia" w:ascii="仿宋" w:hAnsi="仿宋" w:eastAsia="仿宋" w:cs="宋体"/>
          <w:color w:val="auto"/>
          <w:sz w:val="24"/>
          <w:highlight w:val="none"/>
        </w:rPr>
        <w:t xml:space="preserve">物业管理服务费”；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3.2验收（考核）结果按照《物业管理服务日常考核细则》考核得分在</w:t>
      </w:r>
      <w:r>
        <w:rPr>
          <w:rFonts w:hint="eastAsia" w:ascii="仿宋" w:hAnsi="仿宋" w:eastAsia="仿宋"/>
          <w:color w:val="auto"/>
          <w:sz w:val="24"/>
          <w:highlight w:val="none"/>
        </w:rPr>
        <w:t xml:space="preserve">94—70分（含70分）之间的，实际支付物业管理服务费为：[（实际得分+5）/100]*合同约定的“</w:t>
      </w:r>
      <w:r>
        <w:rPr>
          <w:rFonts w:hint="eastAsia" w:ascii="仿宋" w:hAnsi="仿宋" w:eastAsia="仿宋" w:cs="宋体"/>
          <w:color w:val="auto"/>
          <w:sz w:val="24"/>
          <w:highlight w:val="none"/>
          <w:lang w:val="en-US" w:eastAsia="zh-CN"/>
        </w:rPr>
        <w:t xml:space="preserve">每月</w:t>
      </w:r>
      <w:r>
        <w:rPr>
          <w:rFonts w:hint="eastAsia" w:ascii="仿宋" w:hAnsi="仿宋" w:eastAsia="仿宋"/>
          <w:color w:val="auto"/>
          <w:sz w:val="24"/>
          <w:highlight w:val="none"/>
        </w:rPr>
        <w:t xml:space="preserve">物业管理服务费”；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3.3</w:t>
      </w:r>
      <w:r>
        <w:rPr>
          <w:rFonts w:hint="eastAsia" w:ascii="仿宋" w:hAnsi="仿宋" w:eastAsia="仿宋"/>
          <w:color w:val="auto"/>
          <w:sz w:val="24"/>
          <w:highlight w:val="none"/>
        </w:rPr>
        <w:t xml:space="preserve">验收（考核）结果按照《物业管理服务日常考核细则》考核得分在70分以下的，全额扣除合同约定的“</w:t>
      </w:r>
      <w:r>
        <w:rPr>
          <w:rFonts w:hint="eastAsia" w:ascii="仿宋" w:hAnsi="仿宋" w:eastAsia="仿宋" w:cs="宋体"/>
          <w:color w:val="auto"/>
          <w:sz w:val="24"/>
          <w:highlight w:val="none"/>
          <w:lang w:val="en-US" w:eastAsia="zh-CN"/>
        </w:rPr>
        <w:t xml:space="preserve">每月</w:t>
      </w:r>
      <w:r>
        <w:rPr>
          <w:rFonts w:hint="eastAsia" w:ascii="仿宋" w:hAnsi="仿宋" w:eastAsia="仿宋"/>
          <w:color w:val="auto"/>
          <w:sz w:val="24"/>
          <w:highlight w:val="none"/>
        </w:rPr>
        <w:t xml:space="preserve">物业管理服务费”，甲方有权保留与乙方提前终止合同的权利。</w:t>
      </w:r>
      <w:r/>
    </w:p>
    <w:p>
      <w:pPr>
        <w:ind w:firstLine="480"/>
        <w:jc w:val="center"/>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第四章  物业的承接验收</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第七条 乙方承接物业时，甲方应配合乙方对以下物业共用部位、共用设施设备进行查验：</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1.承重结构部位、外墙面、大厅、楼梯间、走廊通道、管道井等；</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olor w:val="auto"/>
          <w:sz w:val="24"/>
          <w:highlight w:val="none"/>
        </w:rPr>
        <w:t xml:space="preserve">上下水管道、落水管、供电线路、共用照明、化粪池、配电设备（高低压）、中央空调、加压供水设备、消防设备、电梯设备等；</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olor w:val="auto"/>
          <w:sz w:val="24"/>
          <w:highlight w:val="none"/>
        </w:rPr>
        <w:t xml:space="preserve">配电房、水泵房、消防、安全监控室、公共卫生间等。</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第八条 资料移交</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1.乙方承接物业时，甲方应根据乙方需要移交以下相关资料：</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2.合同终止时，乙方应将已经移交给乙方的资料移交给甲方。</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第五章  双方的权利义务</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第九条 甲方的权利义务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1.甲方的权利</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 依据合同约定，对乙方进行检查和考核。</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1.2按照甲方审核认呆的服装式样、颜色，乙方制作和购买乙方物业管理服务人员的服装，所有服装费用均由乙方承担。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1.3乙方如有人员调整应经甲方书面同意。涉及项目经理、项目经理助理等人员的调整应提前1个月告知甲方，保安人员无特殊情况保持在岗不少于6个月。</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1.4甲方有权警告违反本合同规定的乙方人员。按照甲方要求，乙方更换违反本合同规定的人员。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1.5追究乙方违约责任。</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2.甲方的义务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2.1按合同约定支付物业管理服务费。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2.2物业管理服务用房由甲方指定。</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2.3物业管理服务人员的服装及所有服装费用均由甲方承担。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2.4甲方保证交付使用的物业符合国家规定的验收标准，按照国家规定的保修期限和保修范围承担物业的保修责任。 </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第十条 乙方的权利义务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1.乙方的权利</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1.1有权要求甲方按合同约定支付物业管理服务费。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1.2有权要求甲方指定物业管理服务用房。</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2.乙方的义务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 乙方不得分包本项目；</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2.2提供的物业服务符合本合同“第二章  物业管理服务质量”；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2.3按照本合同约定提供物业服务，具体见“第三条  物业管理服务要求”中“1.物业管理服务工作要求”；</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2.4乙方应按响应文件配备人员及到岗，具体见“第三条  物业管理服务要求”中“3.</w:t>
      </w:r>
      <w:r>
        <w:rPr>
          <w:rFonts w:hint="eastAsia" w:ascii="仿宋" w:hAnsi="仿宋" w:eastAsia="仿宋" w:cs="宋体"/>
          <w:color w:val="auto"/>
          <w:sz w:val="24"/>
          <w:szCs w:val="22"/>
          <w:highlight w:val="none"/>
          <w:lang w:val="zh-CN" w:bidi="zh-CN"/>
        </w:rPr>
        <w:t xml:space="preserve"> 物业管理服务人员</w:t>
      </w:r>
      <w:r>
        <w:rPr>
          <w:rFonts w:ascii="仿宋" w:hAnsi="仿宋" w:eastAsia="仿宋" w:cs="宋体"/>
          <w:color w:val="auto"/>
          <w:sz w:val="24"/>
          <w:szCs w:val="22"/>
          <w:highlight w:val="none"/>
          <w:lang w:val="zh-CN" w:bidi="zh-CN"/>
        </w:rPr>
        <w:t xml:space="preserve">要求</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2.5按照甲方要求，乙方更换违反本合同规定的人员；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2.6接受甲方的检查和考核；</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2.7按照甲方审核认可的服装式样、颜色，乙方制作和购买乙方物业管理人员的服装，所有服装费用均由乙方承担；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2.8乙方如有人员调整应经甲方书面同意。涉及项目经理、保洁员等人员的调整应提前1个月告知甲方，秩序维护人员无特殊情况保持在岗不少于6个月；</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2.9不得占用非指定的物业管理用房，不得改变物业管理用房用途；</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2.10不得因乙方原因发生火灾、水灾、伤亡等重大安全事故；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2.11合同终止时，乙方应将物业管理用房、相关资料等交还给甲方；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2.12 乙方应及时向甲方通用通告本物业管理服务区域内有关物业管理服务的重大事项，及时处理投诉，接受甲方监督；</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2.13因维修物业或者公共利益，乙方确需临时占用、挖掘本物业管理服务区域内道路、场地的，应征得甲方的同意。临时占用、挖掘本物业管理服务区域内道路、场地的，应在甲方要求的期限内恢复原状；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2.14乙方未能履行本合同的约定，导致甲方或第三方人身、财产安全受到损害的，依法承担相应的法律责任。乙方对自己管理的范围内因管理不善而造成的一切损失，负相应的赔偿责任；</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2.15乙方对本项目物业管理服务人员进行岗前培训，不得违章指挥、强制冒险作业、违规作业；</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2.16乙方负责处理本公司员工的生病、事故、伤残、死亡以及一切劳务纠纷，甲方不承担任何相关责任。乙方保证如有上述情况发生，积极处理，确保不影响甲方正常办公。</w:t>
      </w:r>
      <w:r/>
    </w:p>
    <w:p>
      <w:pPr>
        <w:jc w:val="left"/>
        <w:spacing w:after="100" w:line="259" w:lineRule="auto"/>
        <w:widowControl/>
        <w:rPr>
          <w:rFonts w:ascii="Calibri" w:hAnsi="Calibri"/>
          <w:color w:val="auto"/>
          <w:sz w:val="22"/>
          <w:szCs w:val="22"/>
          <w:highlight w:val="none"/>
        </w:rPr>
      </w:pPr>
      <w:r>
        <w:rPr>
          <w:rFonts w:ascii="Calibri" w:hAnsi="Calibri"/>
          <w:color w:val="auto"/>
          <w:sz w:val="22"/>
          <w:szCs w:val="22"/>
          <w:highlight w:val="none"/>
        </w:rPr>
      </w:r>
      <w:r/>
    </w:p>
    <w:p>
      <w:pPr>
        <w:ind w:left="360"/>
        <w:jc w:val="center"/>
        <w:rPr>
          <w:rFonts w:ascii="仿宋" w:hAnsi="仿宋" w:eastAsia="仿宋"/>
          <w:color w:val="auto"/>
          <w:sz w:val="24"/>
          <w:highlight w:val="none"/>
        </w:rPr>
      </w:pPr>
      <w:r>
        <w:rPr>
          <w:rFonts w:hint="eastAsia" w:ascii="仿宋" w:hAnsi="仿宋" w:eastAsia="仿宋"/>
          <w:color w:val="auto"/>
          <w:sz w:val="24"/>
          <w:highlight w:val="none"/>
        </w:rPr>
        <w:t xml:space="preserve">第六章  违约责任</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第十一条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一、甲方责任</w:t>
      </w:r>
      <w:r/>
    </w:p>
    <w:p>
      <w:pPr>
        <w:ind w:firstLine="540"/>
        <w:rPr>
          <w:rFonts w:ascii="仿宋" w:hAnsi="仿宋" w:eastAsia="仿宋"/>
          <w:color w:val="auto"/>
          <w:sz w:val="24"/>
          <w:highlight w:val="none"/>
        </w:rPr>
      </w:pPr>
      <w:r>
        <w:rPr>
          <w:rFonts w:hint="eastAsia" w:ascii="仿宋" w:hAnsi="仿宋" w:eastAsia="仿宋"/>
          <w:color w:val="auto"/>
          <w:sz w:val="24"/>
          <w:highlight w:val="none"/>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二、乙方的责任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第一部分</w:t>
      </w:r>
      <w:r/>
    </w:p>
    <w:p>
      <w:pPr>
        <w:ind w:firstLine="470"/>
        <w:rPr>
          <w:rFonts w:ascii="仿宋" w:hAnsi="仿宋" w:eastAsia="仿宋"/>
          <w:color w:val="auto"/>
          <w:sz w:val="24"/>
          <w:highlight w:val="none"/>
        </w:rPr>
      </w:pPr>
      <w:r>
        <w:rPr>
          <w:rFonts w:hint="eastAsia" w:ascii="仿宋" w:hAnsi="仿宋" w:eastAsia="仿宋"/>
          <w:color w:val="auto"/>
          <w:sz w:val="24"/>
          <w:highlight w:val="none"/>
        </w:rPr>
        <w:t xml:space="preserve">乙方有下列情况之一的，全额扣除当季度的合同约定的 “每季度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color w:val="auto"/>
          <w:sz w:val="24"/>
          <w:highlight w:val="none"/>
        </w:rPr>
      </w:pPr>
      <w:r>
        <w:rPr>
          <w:rFonts w:hint="eastAsia" w:ascii="仿宋" w:hAnsi="仿宋" w:eastAsia="仿宋"/>
          <w:color w:val="auto"/>
          <w:sz w:val="24"/>
          <w:highlight w:val="none"/>
        </w:rPr>
        <w:t xml:space="preserve">(1) 乙方分包本项目的；</w:t>
      </w:r>
      <w:r/>
    </w:p>
    <w:p>
      <w:pPr>
        <w:ind w:firstLine="425"/>
        <w:rPr>
          <w:rFonts w:ascii="仿宋" w:hAnsi="仿宋" w:eastAsia="仿宋"/>
          <w:color w:val="auto"/>
          <w:sz w:val="24"/>
          <w:highlight w:val="none"/>
        </w:rPr>
      </w:pPr>
      <w:r>
        <w:rPr>
          <w:rFonts w:hint="eastAsia" w:ascii="仿宋" w:hAnsi="仿宋" w:eastAsia="仿宋"/>
          <w:color w:val="auto"/>
          <w:sz w:val="24"/>
          <w:highlight w:val="none"/>
        </w:rPr>
        <w:t xml:space="preserve">(2) 按照《物业管理服务日常考核细则》考核得分在70分以下的。</w:t>
      </w:r>
      <w:r/>
    </w:p>
    <w:p>
      <w:pPr>
        <w:ind w:firstLine="425"/>
        <w:rPr>
          <w:rFonts w:ascii="仿宋" w:hAnsi="仿宋" w:eastAsia="仿宋"/>
          <w:color w:val="auto"/>
          <w:sz w:val="24"/>
          <w:highlight w:val="none"/>
        </w:rPr>
      </w:pPr>
      <w:r>
        <w:rPr>
          <w:rFonts w:hint="eastAsia" w:ascii="仿宋" w:hAnsi="仿宋" w:eastAsia="仿宋"/>
          <w:color w:val="auto"/>
          <w:sz w:val="24"/>
          <w:highlight w:val="none"/>
        </w:rPr>
        <w:t xml:space="preserve">(3）乙方违反</w:t>
      </w:r>
      <w:r>
        <w:rPr>
          <w:rFonts w:hint="eastAsia" w:ascii="仿宋" w:hAnsi="仿宋" w:eastAsia="仿宋" w:cs="宋体"/>
          <w:color w:val="auto"/>
          <w:sz w:val="24"/>
          <w:highlight w:val="none"/>
        </w:rPr>
        <w:t xml:space="preserve">本合同“</w:t>
      </w:r>
      <w:r>
        <w:rPr>
          <w:rFonts w:hint="eastAsia" w:ascii="仿宋" w:hAnsi="仿宋" w:eastAsia="仿宋"/>
          <w:color w:val="auto"/>
          <w:sz w:val="24"/>
          <w:highlight w:val="none"/>
        </w:rPr>
        <w:t xml:space="preserve">第一章 物业管理服务基本情况</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中“</w:t>
      </w:r>
      <w:r>
        <w:rPr>
          <w:rFonts w:hint="eastAsia" w:ascii="仿宋" w:hAnsi="仿宋" w:eastAsia="仿宋" w:cs="宋体"/>
          <w:color w:val="auto"/>
          <w:sz w:val="24"/>
          <w:highlight w:val="none"/>
        </w:rPr>
        <w:t xml:space="preserve">第三条 物业管理服务要求</w:t>
      </w:r>
      <w:r>
        <w:rPr>
          <w:rFonts w:hint="eastAsia" w:ascii="仿宋" w:hAnsi="仿宋" w:eastAsia="仿宋"/>
          <w:color w:val="auto"/>
          <w:sz w:val="24"/>
          <w:highlight w:val="none"/>
        </w:rPr>
        <w:t xml:space="preserve">”中“6.</w:t>
      </w:r>
      <w:r>
        <w:rPr>
          <w:rFonts w:ascii="仿宋" w:hAnsi="仿宋" w:eastAsia="仿宋" w:cs="宋体"/>
          <w:color w:val="auto"/>
          <w:sz w:val="24"/>
          <w:highlight w:val="none"/>
        </w:rPr>
        <w:t xml:space="preserve">物业管理服务人员工资要求</w:t>
      </w:r>
      <w:r>
        <w:rPr>
          <w:rFonts w:hint="eastAsia" w:ascii="仿宋" w:hAnsi="仿宋" w:eastAsia="仿宋"/>
          <w:color w:val="auto"/>
          <w:sz w:val="24"/>
          <w:highlight w:val="none"/>
        </w:rPr>
        <w:t xml:space="preserve">”的。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第二部分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 乙方违反“第十条 乙方的权利义务”中“2.乙方的义务”中2.3—2.16的，第一次发生（发现）的，甲方有权从</w:t>
      </w:r>
      <w:r>
        <w:rPr>
          <w:rFonts w:hint="eastAsia" w:ascii="仿宋" w:hAnsi="仿宋" w:eastAsia="仿宋" w:cs="宋体"/>
          <w:color w:val="auto"/>
          <w:sz w:val="24"/>
          <w:highlight w:val="none"/>
        </w:rPr>
        <w:t xml:space="preserve">物业管理服务</w:t>
      </w:r>
      <w:r>
        <w:rPr>
          <w:rFonts w:hint="eastAsia" w:ascii="仿宋" w:hAnsi="仿宋" w:eastAsia="仿宋"/>
          <w:color w:val="auto"/>
          <w:sz w:val="24"/>
          <w:highlight w:val="none"/>
        </w:rPr>
        <w:t xml:space="preserve">费中扣10000元。第二次发生（发现）的，甲方有权从</w:t>
      </w:r>
      <w:r>
        <w:rPr>
          <w:rFonts w:hint="eastAsia" w:ascii="仿宋" w:hAnsi="仿宋" w:eastAsia="仿宋" w:cs="宋体"/>
          <w:color w:val="auto"/>
          <w:sz w:val="24"/>
          <w:highlight w:val="none"/>
        </w:rPr>
        <w:t xml:space="preserve">物业管理服务</w:t>
      </w:r>
      <w:r>
        <w:rPr>
          <w:rFonts w:hint="eastAsia" w:ascii="仿宋" w:hAnsi="仿宋" w:eastAsia="仿宋"/>
          <w:color w:val="auto"/>
          <w:sz w:val="24"/>
          <w:highlight w:val="none"/>
        </w:rPr>
        <w:t xml:space="preserve">费中扣20000元，且甲方有权解除合同，由此造成乙方的直接损失和间接损失，甲方不予补偿；造成甲方损失的，甲方有权要求乙方赔偿，赔偿费从物业管理服务费、履约保证金（如有）中直接扣除，不足部分向乙方追索。</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第十二条 本合同在下列条件全部满足后生效，生效日期以下列条件全部满足的最晚日期为准： </w:t>
      </w:r>
      <w:r/>
    </w:p>
    <w:p>
      <w:pPr>
        <w:ind w:left="420"/>
        <w:rPr>
          <w:rFonts w:ascii="仿宋" w:hAnsi="仿宋" w:eastAsia="仿宋"/>
          <w:color w:val="auto"/>
          <w:sz w:val="24"/>
          <w:highlight w:val="none"/>
        </w:rPr>
      </w:pPr>
      <w:r>
        <w:rPr>
          <w:rFonts w:hint="eastAsia" w:ascii="仿宋" w:hAnsi="仿宋" w:eastAsia="仿宋"/>
          <w:color w:val="auto"/>
          <w:sz w:val="24"/>
          <w:highlight w:val="none"/>
        </w:rPr>
        <w:t xml:space="preserve">1.双方加盖公章或合同专用章； </w:t>
      </w:r>
      <w:r/>
    </w:p>
    <w:p>
      <w:pPr>
        <w:ind w:firstLine="420"/>
        <w:rPr>
          <w:rFonts w:ascii="仿宋" w:hAnsi="仿宋" w:eastAsia="仿宋"/>
          <w:color w:val="auto"/>
          <w:sz w:val="24"/>
          <w:highlight w:val="none"/>
        </w:rPr>
      </w:pPr>
      <w:r>
        <w:rPr>
          <w:rFonts w:hint="eastAsia" w:ascii="仿宋" w:hAnsi="仿宋" w:eastAsia="仿宋"/>
          <w:color w:val="auto"/>
          <w:sz w:val="24"/>
          <w:highlight w:val="none"/>
        </w:rPr>
        <w:t xml:space="preserve">2.甲方收到乙方按</w:t>
      </w:r>
      <w:r>
        <w:rPr>
          <w:rFonts w:hint="eastAsia" w:ascii="仿宋" w:hAnsi="仿宋" w:eastAsia="仿宋" w:cs="宋体"/>
          <w:color w:val="auto"/>
          <w:sz w:val="24"/>
          <w:highlight w:val="none"/>
        </w:rPr>
        <w:t xml:space="preserve">政府采购合同金额（</w:t>
      </w:r>
      <w:r>
        <w:rPr>
          <w:rFonts w:hint="eastAsia" w:ascii="仿宋" w:hAnsi="仿宋" w:eastAsia="仿宋"/>
          <w:color w:val="auto"/>
          <w:sz w:val="24"/>
          <w:highlight w:val="none"/>
        </w:rPr>
        <w:t xml:space="preserve">合同总价</w:t>
      </w:r>
      <w:r>
        <w:rPr>
          <w:rFonts w:hint="eastAsia" w:ascii="仿宋" w:hAnsi="仿宋" w:eastAsia="仿宋" w:cs="宋体"/>
          <w:color w:val="auto"/>
          <w:sz w:val="24"/>
          <w:highlight w:val="none"/>
        </w:rPr>
        <w:t xml:space="preserve">）的</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10</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提交的履约保证金</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第十三条 合同的双方当事人不得擅自变更、中止或者终止合同。 </w:t>
      </w:r>
      <w:r/>
    </w:p>
    <w:p>
      <w:pPr>
        <w:ind w:firstLine="480"/>
        <w:jc w:val="left"/>
        <w:spacing w:line="120" w:lineRule="auto"/>
        <w:widowControl/>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第十五条 合同其他未尽事宜及与招标文件有矛盾之处，以招标文件[项目编号：</w:t>
      </w:r>
      <w:r>
        <w:rPr>
          <w:rFonts w:hint="eastAsia" w:ascii="仿宋" w:hAnsi="仿宋" w:eastAsia="仿宋"/>
          <w:color w:val="auto"/>
          <w:sz w:val="24"/>
          <w:highlight w:val="none"/>
          <w:lang w:eastAsia="zh-CN"/>
        </w:rPr>
        <w:t xml:space="preserve">JSZC-320382-PZZC-G2026-0005</w:t>
      </w:r>
      <w:r>
        <w:rPr>
          <w:rFonts w:hint="eastAsia" w:ascii="仿宋" w:hAnsi="仿宋" w:eastAsia="仿宋"/>
          <w:color w:val="auto"/>
          <w:sz w:val="24"/>
          <w:highlight w:val="none"/>
        </w:rPr>
        <w:t xml:space="preserve">]为准。</w:t>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第十六条 合同一式</w:t>
      </w:r>
      <w:r>
        <w:rPr>
          <w:rFonts w:hint="eastAsia" w:ascii="仿宋" w:hAnsi="仿宋" w:eastAsia="仿宋"/>
          <w:color w:val="auto"/>
          <w:sz w:val="24"/>
          <w:highlight w:val="none"/>
          <w:u w:val="single"/>
        </w:rPr>
        <w:t xml:space="preserve">四</w:t>
      </w:r>
      <w:r>
        <w:rPr>
          <w:rFonts w:hint="eastAsia" w:ascii="仿宋" w:hAnsi="仿宋" w:eastAsia="仿宋"/>
          <w:color w:val="auto"/>
          <w:sz w:val="24"/>
          <w:highlight w:val="none"/>
        </w:rPr>
        <w:t xml:space="preserve">份，具有同等法律效力，甲方</w:t>
      </w:r>
      <w:r>
        <w:rPr>
          <w:rFonts w:hint="eastAsia" w:ascii="仿宋" w:hAnsi="仿宋" w:eastAsia="仿宋"/>
          <w:color w:val="auto"/>
          <w:sz w:val="24"/>
          <w:highlight w:val="none"/>
          <w:u w:val="single"/>
        </w:rPr>
        <w:t xml:space="preserve"> 一 </w:t>
      </w:r>
      <w:r>
        <w:rPr>
          <w:rFonts w:hint="eastAsia" w:ascii="仿宋" w:hAnsi="仿宋" w:eastAsia="仿宋"/>
          <w:color w:val="auto"/>
          <w:sz w:val="24"/>
          <w:highlight w:val="none"/>
        </w:rPr>
        <w:t xml:space="preserve">份，乙方</w:t>
      </w:r>
      <w:r>
        <w:rPr>
          <w:rFonts w:hint="eastAsia" w:ascii="仿宋" w:hAnsi="仿宋" w:eastAsia="仿宋"/>
          <w:color w:val="auto"/>
          <w:sz w:val="24"/>
          <w:highlight w:val="none"/>
          <w:u w:val="single"/>
        </w:rPr>
        <w:t xml:space="preserve">一</w:t>
      </w:r>
      <w:r>
        <w:rPr>
          <w:rFonts w:hint="eastAsia" w:ascii="仿宋" w:hAnsi="仿宋" w:eastAsia="仿宋"/>
          <w:color w:val="auto"/>
          <w:sz w:val="24"/>
          <w:highlight w:val="none"/>
        </w:rPr>
        <w:t xml:space="preserve">份，徐州市政府采购中心一份存档，政府采购管理部门一份备案。</w:t>
      </w:r>
      <w:r/>
    </w:p>
    <w:p>
      <w:pPr>
        <w:contextualSpacing/>
        <w:ind w:firstLine="480"/>
        <w:rPr>
          <w:rFonts w:ascii="仿宋" w:hAnsi="仿宋" w:eastAsia="仿宋"/>
          <w:color w:val="auto"/>
          <w:sz w:val="24"/>
          <w:highlight w:val="none"/>
        </w:rPr>
      </w:pPr>
      <w:r>
        <w:rPr>
          <w:rFonts w:ascii="仿宋" w:hAnsi="仿宋" w:eastAsia="仿宋"/>
          <w:color w:val="auto"/>
          <w:sz w:val="24"/>
          <w:highlight w:val="none"/>
        </w:rPr>
      </w:r>
      <w:r/>
    </w:p>
    <w:p>
      <w:pPr>
        <w:contextualSpacing/>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第十七条 按照《财政部关于做好政府采购信息公开工作的通知》（财库〔2015〕135号），甲方依据《保守国家秘密法》等法律制度规定确定本合同</w:t>
      </w:r>
      <w:r>
        <w:rPr>
          <w:rFonts w:hint="eastAsia" w:ascii="仿宋" w:hAnsi="仿宋" w:eastAsia="仿宋"/>
          <w:color w:val="auto"/>
          <w:sz w:val="24"/>
          <w:highlight w:val="none"/>
          <w:u w:val="single"/>
        </w:rPr>
        <w:t xml:space="preserve">          （    ）</w:t>
      </w:r>
      <w:r>
        <w:rPr>
          <w:rFonts w:hint="eastAsia" w:ascii="仿宋" w:hAnsi="仿宋" w:eastAsia="仿宋"/>
          <w:color w:val="auto"/>
          <w:sz w:val="24"/>
          <w:highlight w:val="none"/>
        </w:rPr>
        <w:t xml:space="preserve">部分涉及国家秘密，该涉及国家秘密部分不公告；甲方依据《反不正当竞争法》等法律制度的规定与乙方约定本合同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部分涉及商业秘密，该涉及商业秘密部分不公告。</w:t>
      </w:r>
      <w:r/>
    </w:p>
    <w:p>
      <w:pPr>
        <w:contextualSpacing/>
        <w:rPr>
          <w:rFonts w:ascii="仿宋" w:eastAsia="仿宋"/>
          <w:color w:val="auto"/>
          <w:sz w:val="24"/>
          <w:highlight w:val="none"/>
        </w:rPr>
      </w:pPr>
      <w:r>
        <w:rPr>
          <w:rFonts w:ascii="仿宋" w:eastAsia="仿宋"/>
          <w:color w:val="auto"/>
          <w:sz w:val="24"/>
          <w:highlight w:val="none"/>
        </w:rPr>
      </w:r>
      <w:r/>
    </w:p>
    <w:p>
      <w:pPr>
        <w:contextualSpacing/>
        <w:rPr>
          <w:rFonts w:ascii="仿宋" w:eastAsia="仿宋"/>
          <w:color w:val="auto"/>
          <w:sz w:val="24"/>
          <w:highlight w:val="none"/>
        </w:rPr>
      </w:pPr>
      <w:r>
        <w:rPr>
          <w:rFonts w:ascii="仿宋" w:eastAsia="仿宋"/>
          <w:color w:val="auto"/>
          <w:sz w:val="24"/>
          <w:highlight w:val="none"/>
        </w:rPr>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甲 </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方</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                   乙 </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方 </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单位签章：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单位签章： </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单位地址：                                      单位地址：</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开户银行：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开户银行：</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银行帐号：                                      银行帐号：</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联 系 人：                                      联 系 人：</w:t>
      </w:r>
      <w:r/>
    </w:p>
    <w:p>
      <w:pPr>
        <w:contextualSpacing/>
        <w:ind w:firstLine="240"/>
        <w:rPr>
          <w:rFonts w:ascii="仿宋" w:hAnsi="仿宋" w:eastAsia="仿宋"/>
          <w:color w:val="auto"/>
          <w:sz w:val="24"/>
          <w:highlight w:val="none"/>
        </w:rPr>
      </w:pPr>
      <w:r>
        <w:rPr>
          <w:rFonts w:hint="eastAsia" w:ascii="仿宋" w:hAnsi="仿宋" w:eastAsia="仿宋"/>
          <w:color w:val="auto"/>
          <w:sz w:val="24"/>
          <w:highlight w:val="none"/>
        </w:rPr>
        <w:t xml:space="preserve">联系电话：                                      联系电话：</w:t>
      </w:r>
      <w:r/>
    </w:p>
    <w:p>
      <w:pPr>
        <w:ind w:firstLine="240"/>
        <w:jc w:val="left"/>
        <w:spacing w:after="100" w:line="259" w:lineRule="auto"/>
        <w:widowControl/>
        <w:rPr>
          <w:rFonts w:ascii="Calibri" w:hAnsi="Calibri"/>
          <w:color w:val="auto"/>
          <w:sz w:val="22"/>
          <w:szCs w:val="22"/>
          <w:highlight w:val="none"/>
        </w:rPr>
      </w:pPr>
      <w:r>
        <w:rPr>
          <w:rFonts w:hint="eastAsia" w:ascii="仿宋" w:hAnsi="仿宋" w:eastAsia="仿宋"/>
          <w:color w:val="auto"/>
          <w:sz w:val="24"/>
          <w:szCs w:val="22"/>
          <w:highlight w:val="none"/>
        </w:rPr>
        <w:t xml:space="preserve">日期：                                          日期：</w:t>
      </w:r>
      <w:r/>
    </w:p>
    <w:p>
      <w:pPr>
        <w:rPr>
          <w:color w:val="auto"/>
          <w:highlight w:val="none"/>
        </w:rPr>
      </w:pPr>
      <w:r>
        <w:rPr>
          <w:color w:val="auto"/>
          <w:highlight w:val="none"/>
        </w:rPr>
      </w:r>
      <w:r/>
    </w:p>
    <w:p>
      <w:pPr>
        <w:contextualSpacing/>
        <w:jc w:val="center"/>
        <w:pageBreakBefore/>
        <w:rPr>
          <w:rFonts w:ascii="仿宋" w:hAnsi="仿宋" w:eastAsia="仿宋"/>
          <w:color w:val="auto"/>
          <w:sz w:val="24"/>
          <w:highlight w:val="none"/>
        </w:rPr>
      </w:pPr>
      <w:r>
        <w:rPr>
          <w:rFonts w:hint="eastAsia" w:ascii="仿宋" w:hAnsi="仿宋" w:eastAsia="仿宋"/>
          <w:color w:val="auto"/>
          <w:sz w:val="24"/>
          <w:highlight w:val="none"/>
        </w:rPr>
        <w:t xml:space="preserve">合同附件</w:t>
      </w:r>
      <w:r/>
    </w:p>
    <w:p>
      <w:pPr>
        <w:jc w:val="left"/>
        <w:spacing w:after="100" w:line="259" w:lineRule="auto"/>
        <w:widowControl/>
        <w:rPr>
          <w:rFonts w:ascii="Calibri" w:hAnsi="Calibri"/>
          <w:color w:val="auto"/>
          <w:sz w:val="22"/>
          <w:szCs w:val="22"/>
          <w:highlight w:val="none"/>
        </w:rPr>
      </w:pPr>
      <w:r>
        <w:rPr>
          <w:rFonts w:ascii="Calibri" w:hAnsi="Calibri"/>
          <w:color w:val="auto"/>
          <w:sz w:val="22"/>
          <w:szCs w:val="22"/>
          <w:highlight w:val="none"/>
        </w:rPr>
      </w:r>
      <w:r/>
    </w:p>
    <w:p>
      <w:pPr>
        <w:contextualSpacing/>
        <w:spacing w:before="240"/>
        <w:rPr>
          <w:rFonts w:ascii="仿宋" w:hAnsi="仿宋" w:eastAsia="仿宋"/>
          <w:color w:val="auto"/>
          <w:sz w:val="24"/>
          <w:highlight w:val="none"/>
        </w:rPr>
      </w:pPr>
      <w:r>
        <w:rPr>
          <w:rFonts w:hint="eastAsia" w:ascii="仿宋" w:hAnsi="仿宋" w:eastAsia="仿宋" w:cs="宋体"/>
          <w:color w:val="auto"/>
          <w:sz w:val="24"/>
          <w:highlight w:val="none"/>
        </w:rPr>
        <w:t xml:space="preserve">合同附件1：物业管理服务内容（要求见招标文件第六章《采购需求》。）</w:t>
      </w:r>
      <w:r/>
    </w:p>
    <w:p>
      <w:pPr>
        <w:contextualSpacing/>
        <w:spacing w:before="240"/>
        <w:rPr>
          <w:rFonts w:ascii="仿宋" w:hAnsi="仿宋" w:eastAsia="仿宋"/>
          <w:color w:val="auto"/>
          <w:sz w:val="24"/>
          <w:highlight w:val="none"/>
        </w:rPr>
      </w:pPr>
      <w:r>
        <w:rPr>
          <w:rFonts w:hint="eastAsia" w:ascii="仿宋" w:hAnsi="仿宋" w:eastAsia="仿宋"/>
          <w:color w:val="auto"/>
          <w:sz w:val="24"/>
          <w:highlight w:val="none"/>
        </w:rPr>
        <w:t xml:space="preserve">合同附件2：物业管理服务工作要求（要求见招标文件第六章《采购需求》；合同见乙方投标文件中《</w:t>
      </w:r>
      <w:r>
        <w:rPr>
          <w:rFonts w:hint="eastAsia" w:ascii="仿宋" w:hAnsi="仿宋" w:eastAsia="仿宋"/>
          <w:bCs/>
          <w:color w:val="auto"/>
          <w:sz w:val="24"/>
          <w:highlight w:val="none"/>
        </w:rPr>
        <w:t xml:space="preserve">物业管理服务方案》</w:t>
      </w:r>
      <w:r>
        <w:rPr>
          <w:rFonts w:hint="eastAsia" w:ascii="仿宋" w:hAnsi="仿宋" w:eastAsia="仿宋"/>
          <w:color w:val="auto"/>
          <w:sz w:val="24"/>
          <w:highlight w:val="none"/>
        </w:rPr>
        <w:t xml:space="preserve">。）</w:t>
      </w:r>
      <w:r/>
    </w:p>
    <w:p>
      <w:pPr>
        <w:contextualSpacing/>
        <w:spacing w:before="240"/>
        <w:rPr>
          <w:rFonts w:ascii="仿宋" w:hAnsi="仿宋" w:eastAsia="仿宋"/>
          <w:color w:val="auto"/>
          <w:sz w:val="24"/>
          <w:highlight w:val="none"/>
        </w:rPr>
      </w:pPr>
      <w:r>
        <w:rPr>
          <w:rFonts w:hint="eastAsia" w:ascii="仿宋" w:hAnsi="仿宋" w:eastAsia="仿宋"/>
          <w:color w:val="auto"/>
          <w:sz w:val="24"/>
          <w:highlight w:val="none"/>
        </w:rPr>
        <w:t xml:space="preserve">合同附件3：物业管理服务人员</w:t>
      </w:r>
      <w:r>
        <w:rPr>
          <w:rFonts w:hint="eastAsia" w:ascii="仿宋" w:hAnsi="仿宋" w:eastAsia="仿宋"/>
          <w:bCs/>
          <w:color w:val="auto"/>
          <w:sz w:val="24"/>
          <w:highlight w:val="none"/>
        </w:rPr>
        <w:t xml:space="preserve">要求</w:t>
      </w:r>
      <w:r>
        <w:rPr>
          <w:rFonts w:hint="eastAsia" w:ascii="仿宋" w:hAnsi="仿宋" w:eastAsia="仿宋"/>
          <w:color w:val="auto"/>
          <w:sz w:val="24"/>
          <w:highlight w:val="none"/>
        </w:rPr>
        <w:t xml:space="preserve">（要求见招标文件第六章《采购需求》；合同见乙方投标文件中《</w:t>
      </w:r>
      <w:r>
        <w:rPr>
          <w:rFonts w:ascii="仿宋" w:hAnsi="仿宋" w:eastAsia="仿宋"/>
          <w:color w:val="auto"/>
          <w:sz w:val="24"/>
          <w:highlight w:val="none"/>
        </w:rPr>
        <w:t xml:space="preserve">物业管理服务人员</w:t>
      </w:r>
      <w:r>
        <w:rPr>
          <w:rFonts w:hint="eastAsia" w:ascii="仿宋" w:hAnsi="仿宋" w:eastAsia="仿宋"/>
          <w:color w:val="auto"/>
          <w:sz w:val="24"/>
          <w:highlight w:val="none"/>
        </w:rPr>
        <w:t xml:space="preserve">方案</w:t>
      </w:r>
      <w:r>
        <w:rPr>
          <w:rFonts w:hint="eastAsia" w:ascii="仿宋" w:hAnsi="仿宋" w:eastAsia="仿宋"/>
          <w:bCs/>
          <w:color w:val="auto"/>
          <w:sz w:val="24"/>
          <w:highlight w:val="none"/>
        </w:rPr>
        <w:t xml:space="preserve">》</w:t>
      </w:r>
      <w:r>
        <w:rPr>
          <w:rFonts w:hint="eastAsia" w:ascii="仿宋" w:hAnsi="仿宋" w:eastAsia="仿宋"/>
          <w:color w:val="auto"/>
          <w:sz w:val="24"/>
          <w:highlight w:val="none"/>
        </w:rPr>
        <w:t xml:space="preserve">。）</w:t>
      </w:r>
      <w:r/>
    </w:p>
    <w:p>
      <w:pPr>
        <w:contextualSpacing/>
        <w:spacing w:before="240"/>
        <w:rPr>
          <w:rFonts w:ascii="仿宋" w:hAnsi="仿宋" w:eastAsia="仿宋"/>
          <w:color w:val="auto"/>
          <w:sz w:val="24"/>
          <w:highlight w:val="none"/>
        </w:rPr>
      </w:pPr>
      <w:r>
        <w:rPr>
          <w:rFonts w:hint="eastAsia" w:ascii="仿宋" w:hAnsi="仿宋" w:eastAsia="仿宋"/>
          <w:color w:val="auto"/>
          <w:sz w:val="24"/>
          <w:highlight w:val="none"/>
        </w:rPr>
        <w:t xml:space="preserve">合同附件4：采购需求(要求见招标文件第六章《采购需求》）</w:t>
      </w:r>
      <w:r/>
    </w:p>
    <w:p>
      <w:pPr>
        <w:rPr>
          <w:color w:val="auto"/>
          <w:highlight w:val="none"/>
        </w:rPr>
      </w:pPr>
      <w:r>
        <w:rPr>
          <w:rFonts w:hint="eastAsia" w:ascii="仿宋" w:hAnsi="仿宋" w:eastAsia="仿宋"/>
          <w:color w:val="auto"/>
          <w:sz w:val="24"/>
          <w:highlight w:val="none"/>
        </w:rPr>
        <w:t xml:space="preserve">合同附件5：《物业管理服务日常考核细则》</w:t>
      </w:r>
      <w:r/>
    </w:p>
    <w:p>
      <w:pPr>
        <w:jc w:val="left"/>
        <w:spacing w:after="100" w:line="259" w:lineRule="auto"/>
        <w:widowControl/>
        <w:rPr>
          <w:rFonts w:ascii="Calibri" w:hAnsi="Calibri"/>
          <w:color w:val="auto"/>
          <w:sz w:val="22"/>
          <w:szCs w:val="22"/>
          <w:highlight w:val="none"/>
        </w:rPr>
      </w:pPr>
      <w:r>
        <w:rPr>
          <w:rFonts w:ascii="Calibri" w:hAnsi="Calibri"/>
          <w:color w:val="auto"/>
          <w:sz w:val="22"/>
          <w:szCs w:val="22"/>
          <w:highlight w:val="none"/>
        </w:rPr>
      </w:r>
      <w:r/>
    </w:p>
    <w:p>
      <w:pPr>
        <w:rPr>
          <w:color w:val="auto"/>
          <w:highlight w:val="none"/>
        </w:rPr>
      </w:pPr>
      <w:r>
        <w:rPr>
          <w:color w:val="auto"/>
          <w:highlight w:val="none"/>
        </w:rPr>
      </w:r>
      <w:r/>
    </w:p>
    <w:p>
      <w:pPr>
        <w:ind w:firstLine="240"/>
        <w:widowControl/>
        <w:rPr>
          <w:rFonts w:ascii="仿宋" w:hAnsi="仿宋" w:eastAsia="仿宋"/>
          <w:b/>
          <w:color w:val="auto"/>
          <w:sz w:val="24"/>
          <w:highlight w:val="none"/>
        </w:rPr>
      </w:pPr>
      <w:r>
        <w:rPr>
          <w:rFonts w:ascii="仿宋" w:hAnsi="仿宋" w:eastAsia="仿宋"/>
          <w:color w:val="auto"/>
          <w:sz w:val="24"/>
          <w:highlight w:val="none"/>
        </w:rPr>
        <w:br w:type="page" w:clear="all"/>
      </w:r>
      <w:r>
        <w:rPr>
          <w:rFonts w:hint="eastAsia" w:ascii="仿宋" w:hAnsi="仿宋" w:eastAsia="仿宋"/>
          <w:color w:val="auto"/>
          <w:sz w:val="24"/>
          <w:highlight w:val="none"/>
        </w:rPr>
        <w:t xml:space="preserve">合同附件5：物业管理服务日常考核细则</w:t>
      </w:r>
      <w:r/>
    </w:p>
    <w:tbl>
      <w:tblPr>
        <w:tblStyle w:val="7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983"/>
        <w:gridCol w:w="766"/>
        <w:gridCol w:w="2350"/>
        <w:gridCol w:w="2105"/>
        <w:gridCol w:w="694"/>
        <w:gridCol w:w="835"/>
      </w:tblGrid>
      <w:tr>
        <w:trPr>
          <w:trHeight w:val="270"/>
        </w:trPr>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考核大类</w:t>
            </w:r>
            <w:r/>
          </w:p>
        </w:tc>
        <w:tc>
          <w:tcPr>
            <w:shd w:val="clear" w:color="auto" w:fill="auto"/>
            <w:tcW w:w="57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考核细分项目</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细分项目分值</w:t>
            </w:r>
            <w:r/>
          </w:p>
        </w:tc>
        <w:tc>
          <w:tcPr>
            <w:shd w:val="clear" w:color="auto" w:fill="auto"/>
            <w:tcW w:w="1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详细考核标准</w:t>
            </w:r>
            <w:r/>
          </w:p>
        </w:tc>
        <w:tc>
          <w:tcPr>
            <w:shd w:val="clear" w:color="auto" w:fill="auto"/>
            <w:tcW w:w="12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扣分标准</w:t>
            </w:r>
            <w:r/>
          </w:p>
        </w:tc>
        <w:tc>
          <w:tcPr>
            <w:shd w:val="clear" w:color="auto" w:fill="auto"/>
            <w:tcW w:w="40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现场扣分</w:t>
            </w:r>
            <w:r/>
          </w:p>
        </w:tc>
        <w:tc>
          <w:tcPr>
            <w:shd w:val="clear" w:color="auto" w:fill="auto"/>
            <w:tcW w:w="48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实得分</w:t>
            </w:r>
            <w:r/>
          </w:p>
        </w:tc>
      </w:tr>
      <w:tr>
        <w:trPr>
          <w:trHeight w:val="108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一、项目综合管理（15分）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制度、人员、物资综合管理</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6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物业全套管理制度、人员档案、各类工作台账分类归档完整，可随时查阅；</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2.保洁、安保、维修岗位劳保用品、作业工具配齐到位；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3.全体员工统一着装、文明履职，遵纪守法，服从场馆统一管理，无服务冲突、违规违纪行为。</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存在一处不符合要求扣2分，扣完本大类15分为止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293"/>
        </w:trPr>
        <w:tc>
          <w:tcPr>
            <w:shd w:val="clear" w:color="auto" w:fill="auto"/>
            <w:tcW w:w="45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二、全域环境卫生保洁管理（25分）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会议室保洁</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1.门窗、桌椅、台面无尘土、手印污渍，桌椅摆放规整，布艺椅面无毛发、污渍；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2.地面、踢脚线洁净无杂物，地毯无毛发；墙面、装饰摆件、排风口、灯罩无积尘、蛛网；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3.窗台、窗帘整齐，会前开窗通风，室内无异味；垃圾桶及时清倒，设施损坏第一时间报修。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95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办公区域保洁</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1.每日8:00前完成保洁，不干扰日常办公；门框、桌面、空调、文件柜无积尘污渍；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2.沙发、座椅整洁摆放有序，墙面、天花板、墙角无蛛网垃圾；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3.打印设备、窗台、窗帘洁净；垃圾日产日清，室内无异味，破损设施及时上报维修。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673"/>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廊道、楼梯、中庭、标识、消防栓保洁</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1.地面无积尘杂物，天花灯具无蛛网污渍；墙面、指示牌、各类通道门洁净无尘；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2.楼梯扶手、台阶无垃圾污渍；消防栓玻璃光亮无污渍；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3.垃圾桶外壁干净，桶内垃圾不超过容积1/3，烟灰缸无烟头杂物。</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936"/>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卫生间保洁</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1.门、镜面、洗手台、五金件无水渍、手印，光亮洁净；瓷砖墙面、隔断无积尘污渍；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2.地面干燥无积水杂物，排风、天花板无积尘；定时更换垃圾袋，无异味；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3.便器无堵塞，皂液、卫生纸持续补给，设备损坏立即报修。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电梯保洁（展馆配套电梯）</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62"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电梯门、轿厢内壁、按键、报警电话无积尘污渍；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2.轿厢地面干净。</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3.电梯定期进行消杀，并配备消杀记录</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一处不达标扣0.3分，扣完1.5分止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89"/>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垃圾清运与垃圾分类</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1.垃圾桶定点摆放，张贴合规分类标识，桶身每日清洁；垃圾中转房（或中转箱）整洁无异味；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2.楼层垃圾每日分类袋装清运，做到日产日清；定期消杀灭蚊、蝇、蟑螂等害虫；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3.主动引导参观、祭扫人员规范投放垃圾。</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一处不达标扣0.5分，扣完3.5分止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95"/>
        </w:trPr>
        <w:tc>
          <w:tcPr>
            <w:shd w:val="clear" w:color="auto" w:fill="auto"/>
            <w:tcW w:w="45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三、墓区专项运营管理（15分）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墓区环境卫生</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1.墓位、墓碑、墓盖无尘土、杂草、纸屑、残留祭品；祭扫遗留杂物定期清理，确保墓区整体整洁，无花朵枯萎，祭品腐败的现象；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2.墓区走道无积水、淤泥、散落垃圾。</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一处脏乱扣2分，扣完5分止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0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墓体及附属设施管护</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1362" w:type="pct"/>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墓碑、墓基无倾斜、松动、破损、锈蚀；墓区护栏、台阶、隔离围栏完好，无安全隐患。一经发现损害情况，应及时向场馆负责汇报。</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一处损坏未上报处置扣2分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1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墓区道路与排水管护</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墓区通道平整无坑洼，排水管网通畅，雨天无积水，通道无杂物堆放堵塞。</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553"/>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文明祭扫秩序管控</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墓区全域严禁明火、违规焚烧、燃放祭品；及时劝阻喧哗嬉闹、违规拍摄行为，全程保持肃穆氛围。</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未及时劝阻违规行为1次扣3分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62"/>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祭扫便民服务与墓区绿化</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1.春节、清明、重阳等节日祭扫高峰专人疏导人流，主动帮扶老弱残障群众，指引路线清晰；拥堵混乱扣3分；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2.墓区绿化草丛杂草定期清除；对绿化苗木负有日常监管义务，发现问题要第一时间上报。</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服务缺位扣3分；绿化一处养护不到位扣1分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233"/>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四、安保、消防、秩序管理（20分）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全域安保综合服务（展厅+广场+墓区）</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W w:w="1362" w:type="pct"/>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ascii="仿宋" w:hAnsi="仿宋" w:eastAsia="仿宋" w:cstheme="minorBidi"/>
                <w:color w:val="auto"/>
                <w:sz w:val="20"/>
                <w:szCs w:val="20"/>
                <w:highlight w:val="none"/>
                <w:lang w:val="en-US" w:eastAsia="zh-CN" w:bidi="en-US"/>
              </w:rPr>
              <w:t xml:space="preserve">1.</w:t>
            </w:r>
            <w:r>
              <w:rPr>
                <w:rFonts w:hint="eastAsia" w:ascii="宋体" w:hAnsi="宋体" w:eastAsia="宋体" w:cs="宋体"/>
                <w:i w:val="0"/>
                <w:iCs w:val="0"/>
                <w:color w:val="auto"/>
                <w:sz w:val="20"/>
                <w:szCs w:val="20"/>
                <w:highlight w:val="none"/>
                <w:u w:val="none"/>
                <w:lang w:val="en-US" w:eastAsia="zh-CN" w:bidi="ar"/>
              </w:rPr>
              <w:t xml:space="preserve">全员服从管理、文明执勤，着装规范、精神饱满，维护纪念场馆庄重形象。禁止酒后值岗、上岗期间吸烟等不文明现象，一经发现，严肃处理；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2.工作时间不得擅离职守、确保安保人员在岗在位，严禁造成脱岗现象。</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3.熟练掌握消防基础技能，按期参加消防培训、演练，熟悉疏散通道、灭火器材点位；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4.实行24小时值班，消控室严禁脱岗、睡岗，规范填写交接班、消防巡查记录，无涂改漏填；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5.每日全覆盖巡逻：展厅、广场、墓区、边角点位逐点巡查，排查防火防盗隐患，可疑情况及时上报；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6.严格外来人员、车辆登记管理，引导车辆有序停放，禁止堵塞通道。物业人员车辆有序停放，严禁乱停乱放及馆内进行充电；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7.监控设备每日检查，画面清晰，一经发现故障，第一时间上报，并于故障2小时内报修。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一处落实不到位扣2分，扣完本大类20分为止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16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五、公用设施设备运维（10分）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水电、照明、管网、标识、公共设施维修养护</w:t>
            </w:r>
            <w:r/>
          </w:p>
        </w:tc>
        <w:tc>
          <w:tcPr>
            <w:shd w:val="clear" w:color="auto" w:fill="auto"/>
            <w:tcW w:w="444"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136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重大节假日、恶劣天气前完成全系统巡检；按场馆规定开关水电，设备运行环境合规；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2.小修、急修限时处置，隐患点位设置警示防护；管道阀门无跑冒滴漏；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3.水泵房、水箱间每日巡视并留存记录；停水提前通知场馆负责人；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4.公共照明、馆内应急灯照明、墓区路灯、指示灯具完好，线路接地安全，灯具更换采用节能款；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5.墓区指引牌、警示牌无歪斜、褪色、脱落；休息亭、广播音响等公共设施完好。</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上述设备，一经发现故障或损坏现象，第一时间上报，并及时报修。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一项未落实扣2分，扣完本大类10分为止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六、物业物资配置管理（5分）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服务工具、物资配置</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足额配备保洁、安保、维修等全套作业工具、防护耗材，满足日常运维、祭扫高峰期保障需求。</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每缺少一类必备物资扣1分，扣完5分为止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1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七、节能降耗管理（5分）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节水、节电、节能管控</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1.巡查发现管道漏水、长明灯及时处置上报；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2.劝导人员杜绝开窗开空调浪费行为；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3.卫生间张贴节水标识，配合场馆开展节能宣传。</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一处未落实扣1分，扣完5分为止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5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八、服务礼仪、台账与应急管理5分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服务氛围、台账、应急处置</w:t>
            </w:r>
            <w:r/>
          </w:p>
        </w:tc>
        <w:tc>
          <w:tcPr>
            <w:shd w:val="clear" w:color="auto" w:fill="auto"/>
            <w:tcW w:w="44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1.全体工作人员语言文明礼貌，尊重祭扫习俗，无群众有效投诉；全域杜绝商业广告、嘈杂嬉闹；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2.保洁、安保、维修、巡查、投诉、培训台账完整规范；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3.防火、人流踩踏、极端天气、突发疾病应急预案齐全，每年不少于2次应急演练。</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有效投诉1次扣2分；台账缺项每项扣1分；无预案扣3分、未演练扣2分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1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加分项（上限5分）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优质服务激励项</w:t>
            </w:r>
            <w:r/>
          </w:p>
        </w:tc>
        <w:tc>
          <w:tcPr>
            <w:shd w:val="clear" w:color="auto" w:fill="auto"/>
            <w:tcW w:w="44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1.圆满完成重大纪念活动、集中祭扫保障工作；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2.收到场馆、祭扫家属书面表扬；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3.创新物业服务举措、节能降耗成效突出。</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每项加1～3分，总分累计不超过5分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基础总分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44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考核大类</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考核细分项目</w:t>
            </w:r>
            <w:r/>
          </w:p>
        </w:tc>
        <w:tc>
          <w:tcPr>
            <w:shd w:val="clear" w:color="auto" w:fill="auto"/>
            <w:tcW w:w="44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细分项目分值</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详细考核标准</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扣分标准</w:t>
            </w:r>
            <w:r/>
          </w:p>
        </w:tc>
        <w:tc>
          <w:tcPr>
            <w:shd w:val="clear" w:color="auto" w:fill="auto"/>
            <w:tcW w:w="402"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现场扣分</w:t>
            </w:r>
            <w:r/>
          </w:p>
        </w:tc>
        <w:tc>
          <w:tcPr>
            <w:shd w:val="clear" w:color="auto" w:fill="auto"/>
            <w:tcW w:w="48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实得分</w:t>
            </w:r>
            <w:r/>
          </w:p>
        </w:tc>
      </w:tr>
      <w:tr>
        <w:trPr>
          <w:trHeight w:val="108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一、项目综合管理（15分）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制度、人员、物资综合管理</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6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物业全套管理制度、人员档案、各类工作台账分类归档完整，可随时查阅；</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2.保洁、安保、维修岗位劳保用品、作业工具配齐到位；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3.全体员工统一着装、文明履职，遵纪守法，服从场馆统一管理，无服务冲突、违规违纪行为。</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存在一处不符合要求扣2分，扣完本大类15分为止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293"/>
        </w:trPr>
        <w:tc>
          <w:tcPr>
            <w:shd w:val="clear" w:color="auto" w:fill="auto"/>
            <w:tcW w:w="45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二、全域环境卫生保洁管理（25分）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会议室保洁</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1.门窗、桌椅、台面无尘土、手印污渍，桌椅摆放规整，布艺椅面无毛发、污渍；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2.地面、踢脚线洁净无杂物，地毯无毛发；墙面、装饰摆件、排风口、灯罩无积尘、蛛网；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3.窗台、窗帘整齐，会前开窗通风，室内无异味；垃圾桶及时清倒，设施损坏第一时间报修。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95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办公区域保洁</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1.每日8:00前完成保洁，不干扰日常办公；门框、桌面、空调、文件柜无积尘污渍；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2.沙发、座椅整洁摆放有序，墙面、天花板、墙角无蛛网垃圾；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3.打印设备、窗台、窗帘洁净；垃圾日产日清，室内无异味，破损设施及时上报维修。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673"/>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廊道、楼梯、中庭、标识、消防栓保洁</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1.地面无积尘杂物，天花灯具无蛛网污渍；墙面、指示牌、各类通道门洁净无尘；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2.楼梯扶手、台阶无垃圾污渍；消防栓玻璃光亮无污渍；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3.垃圾桶外壁干净，桶内垃圾不超过容积1/3，烟灰缸无烟头杂物。</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936"/>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卫生间保洁</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1.门、镜面、洗手台、五金件无水渍、手印，光亮洁净；瓷砖墙面、隔断无积尘污渍；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2.地面干燥无积水杂物，排风、天花板无积尘；定时更换垃圾袋，无异味；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3.便器无堵塞，皂液、卫生纸持续补给，设备损坏立即报修。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电梯保洁（展馆配套电梯）</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62"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电梯门、轿厢内壁、按键、报警电话无积尘污渍；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2.轿厢地面干净。</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3.电梯定期进行消杀，并配备消杀记录</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一处不达标扣0.3分，扣完1.5分止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89"/>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垃圾清运与垃圾分类</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1.垃圾桶定点摆放，张贴合规分类标识，桶身每日清洁；垃圾中转房（或中转箱）整洁无异味；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2.楼层垃圾每日分类袋装清运，做到日产日清；定期消杀灭蚊、蝇、蟑螂等害虫；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3.主动引导参观、祭扫人员规范投放垃圾。</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一处不达标扣0.5分，扣完3.5分止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95"/>
        </w:trPr>
        <w:tc>
          <w:tcPr>
            <w:shd w:val="clear" w:color="auto" w:fill="auto"/>
            <w:tcW w:w="45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三、墓区专项运营管理（15分）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墓区环境卫生</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1.墓位、墓碑、墓盖无尘土、杂草、纸屑、残留祭品；祭扫遗留杂物定期清理，确保墓区整体整洁，无花朵枯萎，祭品腐败的现象；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2.墓区走道无积水、淤泥、散落垃圾。</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一处脏乱扣2分，扣完5分止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0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墓体及附属设施管护</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1362" w:type="pct"/>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墓碑、墓基无倾斜、松动、破损、锈蚀；墓区护栏、台阶、隔离围栏完好，无安全隐患。一经发现损害情况，应及时向场馆负责汇报。</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一处损坏未上报处置扣2分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11"/>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墓区道路与排水管护</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墓区通道平整无坑洼，排水管网通畅，雨天无积水，通道无杂物堆放堵塞。</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一处不达标扣2分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553"/>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文明祭扫秩序管控</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墓区全域严禁明火、违规焚烧、燃放祭品；及时劝阻喧哗嬉闹、违规拍摄行为，全程保持肃穆氛围。</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未及时劝阻违规行为1次扣3分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62"/>
        </w:trPr>
        <w:tc>
          <w:tcPr>
            <w:shd w:val="clear" w:color="auto" w:fill="auto"/>
            <w:tcW w:w="45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祭扫便民服务与墓区绿化</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1.春节、清明、重阳等节日祭扫高峰专人疏导人流，主动帮扶老弱残障群众，指引路线清晰；拥堵混乱扣3分；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2.墓区绿化草丛杂草定期清除；对绿化苗木负有日常监管义务，发现问题要第一时间上报。</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服务缺位扣3分；绿化一处养护不到位扣1分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233"/>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四、安保、消防、秩序管理（20分）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全域安保综合服务（展厅+广场+墓区）</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W w:w="1362" w:type="pct"/>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ascii="仿宋" w:hAnsi="仿宋" w:eastAsia="仿宋" w:cstheme="minorBidi"/>
                <w:color w:val="auto"/>
                <w:sz w:val="20"/>
                <w:szCs w:val="20"/>
                <w:highlight w:val="none"/>
                <w:lang w:val="en-US" w:eastAsia="zh-CN" w:bidi="en-US"/>
              </w:rPr>
              <w:t xml:space="preserve">1.</w:t>
            </w:r>
            <w:r>
              <w:rPr>
                <w:rFonts w:hint="eastAsia" w:ascii="宋体" w:hAnsi="宋体" w:eastAsia="宋体" w:cs="宋体"/>
                <w:i w:val="0"/>
                <w:iCs w:val="0"/>
                <w:color w:val="auto"/>
                <w:sz w:val="20"/>
                <w:szCs w:val="20"/>
                <w:highlight w:val="none"/>
                <w:u w:val="none"/>
                <w:lang w:val="en-US" w:eastAsia="zh-CN" w:bidi="ar"/>
              </w:rPr>
              <w:t xml:space="preserve">全员服从管理、文明执勤，着装规范、精神饱满，维护纪念场馆庄重形象。禁止酒后值岗、上岗期间吸烟等不文明现象，一经发现，严肃处理；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2.工作时间不得擅离职守、确保安保人员在岗在位，严禁造成脱岗现象。</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3.熟练掌握消防基础技能，按期参加消防培训、演练，熟悉疏散通道、灭火器材点位；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4.实行24小时值班，消控室严禁脱岗、睡岗，规范填写交接班、消防巡查记录，无涂改漏填；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5.每日全覆盖巡逻：展厅、广场、墓区、边角点位逐点巡查，排查防火防盗隐患，可疑情况及时上报；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6.严格外来人员、车辆登记管理，引导车辆有序停放，禁止堵塞通道。物业人员车辆有序停放，严禁乱停乱放及馆内进行充电；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7.监控设备每日检查，画面清晰，一经发现故障，第一时间上报，并于故障2小时内报修。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一处落实不到位扣2分，扣完本大类20分为止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16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五、公用设施设备运维（10分）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水电、照明、管网、标识、公共设施维修养护</w:t>
            </w:r>
            <w:r/>
          </w:p>
        </w:tc>
        <w:tc>
          <w:tcPr>
            <w:shd w:val="clear" w:color="auto" w:fill="auto"/>
            <w:tcW w:w="444" w:type="pct"/>
            <w:vAlign w:val="center"/>
            <w:textDirection w:val="lrTb"/>
            <w:noWrap/>
          </w:tcPr>
          <w:p>
            <w:pPr>
              <w:jc w:val="righ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136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重大节假日、恶劣天气前完成全系统巡检；按场馆规定开关水电，设备运行环境合规；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2.小修、急修限时处置，隐患点位设置警示防护；管道阀门无跑冒滴漏；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3.水泵房、水箱间每日巡视并留存记录；停水提前通知场馆负责人；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4.公共照明、馆内应急灯照明、墓区路灯、指示灯具完好，线路接地安全，灯具更换采用节能款；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5.墓区指引牌、警示牌无歪斜、褪色、脱落；休息亭、广播音响等公共设施完好。</w:t>
            </w:r>
            <w:r/>
          </w:p>
          <w:p>
            <w:pPr>
              <w:numPr>
                <w:ilvl w:val="0"/>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上述设备，一经发现故障或损坏现象，第一时间上报，并及时报修。</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一项未落实扣2分，扣完本大类10分为止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六、物业物资配置管理（5分）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服务工具、物资配置</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足额配备保洁、安保、维修等全套作业工具、防护耗材，满足日常运维、祭扫高峰期保障需求。</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每缺少一类必备物资扣1分，扣完5分为止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1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七、节能降耗管理（5分）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节水、节电、节能管控</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1.巡查发现管道漏水、长明灯及时处置上报；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2.劝导人员杜绝开窗开空调浪费行为；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3.卫生间张贴节水标识，配合场馆开展节能宣传。</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一处未落实扣1分，扣完5分为止</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5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八、服务礼仪、台账与应急管理5分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服务氛围、台账、应急处置</w:t>
            </w:r>
            <w:r/>
          </w:p>
        </w:tc>
        <w:tc>
          <w:tcPr>
            <w:shd w:val="clear" w:color="auto" w:fill="auto"/>
            <w:tcW w:w="444"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1.全体工作人员语言文明礼貌，尊重祭扫习俗，无群众有效投诉；全域杜绝商业广告、嘈杂嬉闹；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2.保洁、安保、维修、巡查、投诉、培训台账完整规范；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3.防火、人流踩踏、极端天气、突发疾病应急预案齐全，每年不少于2次应急演练。</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有效投诉1次扣2分；台账缺项每项扣1分；无预案扣3分、未演练扣2分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1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加分项（上限5分）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优质服务激励项</w:t>
            </w:r>
            <w:r/>
          </w:p>
        </w:tc>
        <w:tc>
          <w:tcPr>
            <w:shd w:val="clear" w:color="auto" w:fill="auto"/>
            <w:tcW w:w="44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1.圆满完成重大纪念活动、集中祭扫保障工作；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2.收到场馆、祭扫家属书面表扬；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3.创新物业服务举措、节能降耗成效突出。</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每项加1～3分，总分累计不超过5分</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基础总分</w:t>
            </w:r>
            <w:r/>
          </w:p>
        </w:tc>
        <w:tc>
          <w:tcPr>
            <w:shd w:val="clear" w:color="auto" w:fill="auto"/>
            <w:tcW w:w="57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444"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3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122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402"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484"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numPr>
          <w:ilvl w:val="0"/>
          <w:numId w:val="6"/>
        </w:numPr>
        <w:ind w:firstLine="300"/>
        <w:jc w:val="center"/>
        <w:widowControl/>
        <w:rPr>
          <w:rFonts w:hint="eastAsia" w:ascii="仿宋" w:hAnsi="仿宋" w:eastAsia="仿宋"/>
          <w:color w:val="auto"/>
          <w:sz w:val="30"/>
          <w:szCs w:val="30"/>
          <w:highlight w:val="none"/>
        </w:rPr>
      </w:pPr>
      <w:r>
        <w:rPr>
          <w:rFonts w:ascii="仿宋" w:hAnsi="仿宋" w:eastAsia="仿宋"/>
          <w:color w:val="auto"/>
          <w:sz w:val="30"/>
          <w:szCs w:val="30"/>
          <w:highlight w:val="none"/>
        </w:rPr>
        <w:br w:type="page" w:clear="all"/>
      </w:r>
      <w:r>
        <w:rPr>
          <w:rFonts w:hint="eastAsia" w:ascii="仿宋" w:hAnsi="仿宋" w:eastAsia="仿宋"/>
          <w:color w:val="auto"/>
          <w:sz w:val="30"/>
          <w:szCs w:val="30"/>
          <w:highlight w:val="none"/>
        </w:rPr>
        <w:t xml:space="preserve"> 采购需求</w:t>
      </w:r>
      <w:r/>
    </w:p>
    <w:p>
      <w:pPr>
        <w:numPr>
          <w:ilvl w:val="0"/>
          <w:numId w:val="0"/>
        </w:numPr>
        <w:jc w:val="center"/>
        <w:widowControl/>
        <w:rPr>
          <w:rFonts w:ascii="仿宋" w:hAnsi="仿宋" w:eastAsia="仿宋"/>
          <w:color w:val="auto"/>
          <w:sz w:val="30"/>
          <w:szCs w:val="30"/>
          <w:highlight w:val="none"/>
        </w:rPr>
      </w:pPr>
      <w:r>
        <w:rPr>
          <w:rFonts w:hint="eastAsia" w:ascii="仿宋" w:hAnsi="仿宋" w:eastAsia="仿宋" w:cs="仿宋"/>
          <w:b w:val="0"/>
          <w:bCs w:val="0"/>
          <w:color w:val="auto"/>
          <w:sz w:val="32"/>
          <w:szCs w:val="32"/>
          <w:highlight w:val="none"/>
          <w:lang w:val="en-US" w:eastAsia="zh-CN"/>
        </w:rPr>
        <w:t xml:space="preserve">采购包一：</w:t>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一、说明</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rPr>
        <w:t xml:space="preserve">（一）采购人：</w:t>
      </w:r>
      <w:r>
        <w:rPr>
          <w:rFonts w:hint="eastAsia"/>
          <w:color w:val="auto"/>
          <w:sz w:val="24"/>
          <w:szCs w:val="24"/>
          <w:highlight w:val="none"/>
          <w:lang w:val="en-US" w:eastAsia="zh-CN"/>
        </w:rPr>
        <w:t xml:space="preserve">邳州市纪念场馆管理处</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（二）采购项目名称：纪念场馆及烈士陵园物业安保服务项目</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（三）采购标的：纪念场馆及烈士陵园物业安保服务项目</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lang w:val="en-US" w:eastAsia="zh-CN"/>
        </w:rPr>
        <w:t xml:space="preserve">（纪念场馆及烈士陵园物业安保服务项目</w:t>
      </w:r>
      <w:r>
        <w:rPr>
          <w:rFonts w:hint="eastAsia"/>
          <w:color w:val="auto"/>
          <w:sz w:val="24"/>
          <w:szCs w:val="24"/>
          <w:highlight w:val="none"/>
        </w:rPr>
        <w:t xml:space="preserve">）对应的中小企业划分标准所属行业为（物业管理）。</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t xml:space="preserve">（四）本项目为专门面向中小企业采购的项目。</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rPr>
        <w:t xml:space="preserve">（五）本项目不接受超过</w:t>
      </w:r>
      <w:r>
        <w:rPr>
          <w:rFonts w:hint="eastAsia"/>
          <w:color w:val="auto"/>
          <w:sz w:val="24"/>
          <w:szCs w:val="24"/>
          <w:highlight w:val="none"/>
          <w:lang w:val="en-US" w:eastAsia="zh-CN"/>
        </w:rPr>
        <w:t xml:space="preserve">217.44</w:t>
      </w:r>
      <w:r>
        <w:rPr>
          <w:rFonts w:hint="eastAsia"/>
          <w:color w:val="auto"/>
          <w:sz w:val="24"/>
          <w:szCs w:val="24"/>
          <w:highlight w:val="none"/>
        </w:rPr>
        <w:t xml:space="preserve">万元（采购项目预算金额）的投标报价。</w:t>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二、项目概况：</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一</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基本情况：</w:t>
      </w:r>
      <w:r/>
    </w:p>
    <w:tbl>
      <w:tblPr>
        <w:tblStyle w:val="712"/>
        <w:tblpPr w:horzAnchor="page" w:tblpX="1533" w:vertAnchor="text" w:tblpY="294" w:leftFromText="180" w:topFromText="0" w:rightFromText="180" w:bottomFromText="0"/>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11"/>
        <w:gridCol w:w="6212"/>
      </w:tblGrid>
      <w:tr>
        <w:trPr>
          <w:trHeight w:val="447"/>
        </w:trPr>
        <w:tc>
          <w:tcPr>
            <w:tcW w:w="12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物业名称</w:t>
            </w:r>
            <w:r/>
          </w:p>
        </w:tc>
        <w:tc>
          <w:tcPr>
            <w:tcW w:w="373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物业地址</w:t>
            </w:r>
            <w:r/>
          </w:p>
        </w:tc>
      </w:tr>
      <w:tr>
        <w:trPr>
          <w:trHeight w:val="447"/>
        </w:trPr>
        <w:tc>
          <w:tcPr>
            <w:tcW w:w="12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王杰烈士陵园</w:t>
            </w:r>
            <w:r/>
          </w:p>
        </w:tc>
        <w:tc>
          <w:tcPr>
            <w:tcW w:w="3731" w:type="pct"/>
            <w:vAlign w:val="center"/>
            <w:textDirection w:val="lrTb"/>
            <w:noWrap w:val="false"/>
          </w:tcPr>
          <w:p>
            <w:pPr>
              <w:ind w:left="105"/>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邳州市运河街道南京路1号</w:t>
            </w:r>
            <w:r/>
          </w:p>
        </w:tc>
      </w:tr>
      <w:tr>
        <w:trPr>
          <w:trHeight w:val="447"/>
        </w:trPr>
        <w:tc>
          <w:tcPr>
            <w:tcW w:w="12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小萝卜头纪念馆</w:t>
            </w:r>
            <w:r/>
          </w:p>
        </w:tc>
        <w:tc>
          <w:tcPr>
            <w:tcW w:w="3731" w:type="pct"/>
            <w:vAlign w:val="center"/>
            <w:textDirection w:val="lrTb"/>
            <w:noWrap w:val="false"/>
          </w:tcPr>
          <w:p>
            <w:pPr>
              <w:ind w:left="105"/>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邳州市八路镇山北村</w:t>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三、物业服务范围：</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lang w:val="en-US" w:eastAsia="zh-CN"/>
        </w:rPr>
        <w:t xml:space="preserve">（一）王杰烈士陵园</w:t>
      </w:r>
      <w:r>
        <w:rPr>
          <w:rFonts w:hint="eastAsia"/>
          <w:color w:val="auto"/>
          <w:sz w:val="24"/>
          <w:szCs w:val="24"/>
          <w:highlight w:val="none"/>
        </w:rPr>
        <w:t xml:space="preserve">物业管理（建筑物）</w:t>
      </w:r>
      <w:r/>
    </w:p>
    <w:tbl>
      <w:tblPr>
        <w:tblStyle w:val="966"/>
        <w:tblpPr w:horzAnchor="page" w:tblpX="1548" w:vertAnchor="text" w:tblpY="308" w:leftFromText="180" w:topFromText="0" w:rightFromText="180" w:bottomFromText="0"/>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40"/>
        <w:gridCol w:w="1912"/>
        <w:gridCol w:w="2618"/>
        <w:gridCol w:w="2469"/>
      </w:tblGrid>
      <w:tr>
        <w:trPr>
          <w:trHeight w:val="397"/>
        </w:trPr>
        <w:tc>
          <w:tcPr>
            <w:gridSpan w:val="2"/>
            <w:tcW w:w="194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56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14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trHeight w:val="397"/>
        </w:trPr>
        <w:tc>
          <w:tcPr>
            <w:gridSpan w:val="2"/>
            <w:tcW w:w="194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建筑名称</w:t>
            </w:r>
            <w:r/>
          </w:p>
        </w:tc>
        <w:tc>
          <w:tcPr>
            <w:tcW w:w="1569" w:type="pct"/>
            <w:vAlign w:val="center"/>
            <w:textDirection w:val="lrTb"/>
            <w:noWrap w:val="false"/>
          </w:tcPr>
          <w:p>
            <w:pPr>
              <w:ind w:left="105" w:right="105"/>
              <w:jc w:val="both"/>
              <w:keepLines w:val="0"/>
              <w:keepNext w:val="0"/>
              <w:pageBreakBefore w:val="0"/>
              <w:spacing w:line="32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王杰事迹陈列馆、办公用房、纪念亭、烈士墓等</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总面积</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3800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需保洁面积（㎡）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3800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会议室数量（个）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会议室1个，总面积30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报告厅1个，总面积50㎡</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卫生间4个，总面积160㎡</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垃圾存放点</w:t>
            </w:r>
            <w:r/>
          </w:p>
        </w:tc>
        <w:tc>
          <w:tcPr>
            <w:tcW w:w="1146" w:type="pct"/>
            <w:vAlign w:val="center"/>
            <w:textDirection w:val="lrTb"/>
            <w:noWrap w:val="false"/>
          </w:tcPr>
          <w:p>
            <w:pPr>
              <w:ind w:left="105" w:right="105"/>
              <w:jc w:val="center"/>
              <w:keepLines w:val="0"/>
              <w:keepNext w:val="0"/>
              <w:pageBreakBefore w:val="0"/>
              <w:spacing w:line="320" w:lineRule="exact"/>
              <w:widowControl w:val="off"/>
              <w:rPr>
                <w:rFonts w:hint="eastAsia"/>
                <w:color w:val="auto"/>
                <w:sz w:val="22"/>
                <w:szCs w:val="22"/>
                <w:highlight w:val="none"/>
              </w:rPr>
            </w:pPr>
            <w:r>
              <w:rPr>
                <w:rFonts w:hint="eastAsia"/>
                <w:color w:val="auto"/>
                <w:sz w:val="22"/>
                <w:szCs w:val="22"/>
                <w:highlight w:val="none"/>
              </w:rPr>
              <w:t xml:space="preserve">垃圾存放点数量、面积（㎡）</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rPr>
              <w:t xml:space="preserve">垃圾存放点</w:t>
            </w:r>
            <w:r>
              <w:rPr>
                <w:rFonts w:hint="eastAsia"/>
                <w:color w:val="auto"/>
                <w:sz w:val="22"/>
                <w:szCs w:val="22"/>
                <w:highlight w:val="none"/>
                <w:lang w:val="en-US" w:eastAsia="zh-CN"/>
              </w:rPr>
              <w:t xml:space="preserve">2个，</w:t>
            </w:r>
            <w:r>
              <w:rPr>
                <w:rFonts w:hint="eastAsia"/>
                <w:color w:val="auto"/>
                <w:sz w:val="22"/>
                <w:szCs w:val="22"/>
                <w:highlight w:val="none"/>
                <w:lang w:val="en-US"/>
              </w:rPr>
              <w:t xml:space="preserve">面积</w:t>
            </w:r>
            <w:r>
              <w:rPr>
                <w:rFonts w:hint="eastAsia"/>
                <w:color w:val="auto"/>
                <w:sz w:val="22"/>
                <w:szCs w:val="22"/>
                <w:highlight w:val="none"/>
                <w:lang w:val="en-US" w:eastAsia="zh-CN"/>
              </w:rPr>
              <w:t xml:space="preserve">15</w:t>
            </w:r>
            <w:r>
              <w:rPr>
                <w:rFonts w:hint="eastAsia"/>
                <w:color w:val="auto"/>
                <w:sz w:val="22"/>
                <w:szCs w:val="22"/>
                <w:highlight w:val="none"/>
                <w:lang w:val="en-US"/>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2个</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eastAsia="zh-CN"/>
              </w:rPr>
            </w:pPr>
            <w:r>
              <w:rPr>
                <w:rFonts w:hint="eastAsia"/>
                <w:color w:val="auto"/>
                <w:sz w:val="22"/>
                <w:szCs w:val="22"/>
                <w:highlight w:val="none"/>
              </w:rPr>
              <w:t xml:space="preserve">设施设备</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电梯系统</w:t>
            </w:r>
            <w:r/>
          </w:p>
        </w:tc>
        <w:tc>
          <w:tcPr>
            <w:tcW w:w="1569"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rPr>
            </w:pPr>
            <w:r>
              <w:rPr>
                <w:rFonts w:hint="eastAsia"/>
                <w:color w:val="auto"/>
                <w:sz w:val="22"/>
                <w:szCs w:val="22"/>
                <w:highlight w:val="none"/>
                <w:lang w:val="en-US" w:eastAsia="zh-CN"/>
              </w:rPr>
              <w:t xml:space="preserve">客梯数量2个</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（二）</w:t>
      </w:r>
      <w:r>
        <w:rPr>
          <w:rFonts w:hint="eastAsia"/>
          <w:color w:val="auto"/>
          <w:sz w:val="24"/>
          <w:szCs w:val="24"/>
          <w:highlight w:val="none"/>
          <w:lang w:val="en-US" w:eastAsia="zh-CN"/>
        </w:rPr>
        <w:t xml:space="preserve">王杰烈士陵园</w:t>
      </w:r>
      <w:r>
        <w:rPr>
          <w:rFonts w:hint="eastAsia"/>
          <w:color w:val="auto"/>
          <w:sz w:val="24"/>
          <w:szCs w:val="24"/>
          <w:highlight w:val="none"/>
        </w:rPr>
        <w:t xml:space="preserve">物业管理（室外）</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75"/>
        <w:gridCol w:w="2864"/>
        <w:gridCol w:w="3670"/>
      </w:tblGrid>
      <w:tr>
        <w:trPr>
          <w:jc w:val="center"/>
          <w:trHeight w:val="462"/>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72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2207"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jc w:val="center"/>
          <w:trHeight w:val="460"/>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室外面积</w:t>
            </w:r>
            <w:r/>
          </w:p>
        </w:tc>
        <w:tc>
          <w:tcPr>
            <w:tcW w:w="1723"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31820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7"/>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绿化</w:t>
            </w:r>
            <w:r/>
          </w:p>
        </w:tc>
        <w:tc>
          <w:tcPr>
            <w:tcW w:w="172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10200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广场</w:t>
            </w:r>
            <w:r/>
          </w:p>
        </w:tc>
        <w:tc>
          <w:tcPr>
            <w:tcW w:w="172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13320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垃圾箱</w:t>
            </w:r>
            <w:r/>
          </w:p>
        </w:tc>
        <w:tc>
          <w:tcPr>
            <w:tcW w:w="1723"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20个</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（三）小萝卜头纪念馆物业管理（建筑物）</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6"/>
        <w:gridCol w:w="1708"/>
        <w:gridCol w:w="2808"/>
        <w:gridCol w:w="2462"/>
      </w:tblGrid>
      <w:tr>
        <w:trPr>
          <w:trHeight w:val="463"/>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68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14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trHeight w:val="458"/>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建筑名称</w:t>
            </w:r>
            <w:r/>
          </w:p>
        </w:tc>
        <w:tc>
          <w:tcPr>
            <w:tcW w:w="1688" w:type="pct"/>
            <w:vAlign w:val="center"/>
            <w:textDirection w:val="lrTb"/>
            <w:noWrap w:val="false"/>
          </w:tcPr>
          <w:p>
            <w:pPr>
              <w:ind w:left="105" w:right="105"/>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小萝卜头纪念馆、办公用房等</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60"/>
        </w:trPr>
        <w:tc>
          <w:tcPr>
            <w:tcW w:w="803"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总面积</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2600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539"/>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需保洁面积（㎡）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2600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90"/>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会议室数量（个）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会议室1个，总面积40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86"/>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报告厅1个，总面积500㎡</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86"/>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卫生间3个，总面积45㎡</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消防箱数量（个）</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18个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消防及配电室</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rPr>
              <w:t xml:space="preserve">总面积（㎡）</w:t>
            </w:r>
            <w:r/>
          </w:p>
        </w:tc>
        <w:tc>
          <w:tcPr>
            <w:tcW w:w="1688"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500㎡</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（四）小萝卜头纪念馆物业管理物业管理（室外）</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15"/>
        <w:gridCol w:w="2861"/>
        <w:gridCol w:w="3534"/>
      </w:tblGrid>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7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212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jc w:val="center"/>
          <w:trHeight w:val="460"/>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室外面积</w:t>
            </w:r>
            <w:r/>
          </w:p>
        </w:tc>
        <w:tc>
          <w:tcPr>
            <w:tcW w:w="172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46216</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7"/>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绿化</w:t>
            </w:r>
            <w:r/>
          </w:p>
        </w:tc>
        <w:tc>
          <w:tcPr>
            <w:tcW w:w="17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34216</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广场</w:t>
            </w:r>
            <w:r/>
          </w:p>
        </w:tc>
        <w:tc>
          <w:tcPr>
            <w:tcW w:w="17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12000</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消防栓</w:t>
            </w:r>
            <w:r/>
          </w:p>
        </w:tc>
        <w:tc>
          <w:tcPr>
            <w:tcW w:w="172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4个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垃圾箱</w:t>
            </w:r>
            <w:r/>
          </w:p>
        </w:tc>
        <w:tc>
          <w:tcPr>
            <w:tcW w:w="172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四、物业管理服务内容及标准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（一）</w:t>
      </w:r>
      <w:r>
        <w:rPr>
          <w:rFonts w:hint="eastAsia" w:ascii="Times New Roman" w:hAnsi="Times New Roman" w:eastAsia="宋体" w:cs="Times New Roman"/>
          <w:color w:val="auto"/>
          <w:sz w:val="24"/>
          <w:szCs w:val="24"/>
          <w:highlight w:val="none"/>
          <w:lang w:val="en-US" w:eastAsia="zh-CN" w:bidi="ar-SA"/>
        </w:rPr>
        <w:t xml:space="preserve">物业管理服务包括基本服务、保洁服务、安保服务、公用设施设备维护服务、公共设施节水、节电、节能管理、处理突发事件</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物业移交</w:t>
      </w:r>
      <w:r>
        <w:rPr>
          <w:rFonts w:hint="eastAsia" w:cs="Times New Roman"/>
          <w:color w:val="auto"/>
          <w:sz w:val="24"/>
          <w:szCs w:val="24"/>
          <w:highlight w:val="none"/>
          <w:lang w:val="en-US" w:eastAsia="zh-CN" w:bidi="ar-SA"/>
        </w:rPr>
        <w:t xml:space="preserve">等。</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1.基本服务</w:t>
      </w:r>
      <w:r>
        <w:rPr>
          <w:rFonts w:hint="eastAsia" w:cs="Times New Roman"/>
          <w:color w:val="auto"/>
          <w:sz w:val="24"/>
          <w:szCs w:val="24"/>
          <w:highlight w:val="none"/>
          <w:lang w:val="en-US" w:eastAsia="zh-CN" w:bidi="ar-SA"/>
        </w:rPr>
        <w:t xml:space="preserve">。</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1258"/>
        <w:gridCol w:w="6095"/>
      </w:tblGrid>
      <w:tr>
        <w:trPr>
          <w:trHeight w:val="794"/>
        </w:trPr>
        <w:tc>
          <w:tcPr>
            <w:tcW w:w="685"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73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57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794"/>
        </w:trPr>
        <w:tc>
          <w:tcPr>
            <w:tcW w:w="685"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w:t>
            </w:r>
            <w:r/>
          </w:p>
        </w:tc>
        <w:tc>
          <w:tcPr>
            <w:tcW w:w="73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目标与责任</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（1）结合采购人要求及物业服务实际情况，制定年度管理目标，明确责任分工，并制定配套实施方案。</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服务人员</w:t>
            </w:r>
            <w:r/>
          </w:p>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要求</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（1）每</w:t>
            </w:r>
            <w:r>
              <w:rPr>
                <w:rFonts w:hint="eastAsia"/>
                <w:color w:val="auto"/>
                <w:sz w:val="22"/>
                <w:szCs w:val="22"/>
                <w:highlight w:val="none"/>
                <w:lang w:val="en-US" w:eastAsia="zh-CN"/>
              </w:rPr>
              <w:t xml:space="preserve">半年</w:t>
            </w:r>
            <w:r>
              <w:rPr>
                <w:rFonts w:hint="eastAsia"/>
                <w:color w:val="auto"/>
                <w:sz w:val="22"/>
                <w:szCs w:val="22"/>
                <w:highlight w:val="none"/>
                <w:lang w:val="en-US"/>
              </w:rPr>
              <w:t xml:space="preserve">至少开展 1 次岗位技能、职业素质、服务知识、客户文化、绿色节能环保等教育培训，并进行适当形式的考核。</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（2）根据采购人要求对服务人员进行从业资格审查，审查结果向采购人报备。</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（5）着装分类统一，佩戴标识。仪容整洁、姿态端正、举止文明。用语文明礼貌，态度温和耐心。</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档案管理</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（1）建立物业信息，准确、及时地对文件资料和服务记录进行归档保存，并确保其物理安全。</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（2）档案和记录齐全，包括但不限于：①采购人建议与投诉等。教育培训和考核记录。保密、思想 政治教育培训记录。②保洁服务：工作日志、清洁检查表、用品清单、客户反馈表等。 ③保安服务：监控记录、突发事件演习与处置记录等。④公用设施设备维护服务：设备台账、设备卡、使用说明、维保记录、巡查记录、设施设备安全运行、设施设备定期巡检、维护保养、维修档案等。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（3）遵守采购人的信息、档案资料保密要求，未经许可，不得将建筑物平面图等资料转作其他用途或向其他单位、个人提供。</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（4）履约结束后，相关资料交还采购人，采购人按政府采购相关规定存档。</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服务改进</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（1）明确负责人，定期对物业服务过程进行自查，结合反馈意见与评价结果采取改进措施，持续提升管理与服务水平。</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（2）对不合格服务进行控制，对不合格服务的原因进行识别和分析，及时采取纠正措施，消除不合格的原因，防止不合格再发生。</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（3）需整改问题及时整改完成。</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5</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服务方案及工作制度</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（1）制定工作制度，主要包括：人员录用制度、档案管理制度、物业服务管理制度、</w:t>
            </w:r>
            <w:r>
              <w:rPr>
                <w:rFonts w:hint="eastAsia"/>
                <w:color w:val="auto"/>
                <w:sz w:val="22"/>
                <w:szCs w:val="22"/>
                <w:highlight w:val="none"/>
                <w:lang w:val="en-US" w:eastAsia="zh-CN"/>
              </w:rPr>
              <w:t xml:space="preserve">安保服务管理制度、</w:t>
            </w:r>
            <w:r>
              <w:rPr>
                <w:rFonts w:hint="eastAsia"/>
                <w:color w:val="auto"/>
                <w:sz w:val="22"/>
                <w:szCs w:val="22"/>
                <w:highlight w:val="none"/>
                <w:lang w:val="en-US"/>
              </w:rPr>
              <w:t xml:space="preserve">公用设施设备相关管理制度等。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（2）制定项目实施方案，主要包括：交接方案、人员培训方案、人员稳定性方案、保密方案等。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（3）制定物业服务方案 </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2.保洁服务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348"/>
        <w:gridCol w:w="5996"/>
      </w:tblGrid>
      <w:tr>
        <w:trPr>
          <w:trHeight w:val="567"/>
        </w:trPr>
        <w:tc>
          <w:tcPr>
            <w:tcW w:w="69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79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517"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基本要求</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（1）建立保洁服务的工作制度及工作计划，并按照执行。</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（2）做好保洁服务工作记录，记录填写规范、保存完好。</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（3）作业时采取安全防护措施，防止对作业人员或他人造成伤害。相关耗材的环保、安全性等应当符合国家相关规定要求。</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保洁服务时间为</w:t>
            </w:r>
            <w:r>
              <w:rPr>
                <w:rFonts w:hint="eastAsia"/>
                <w:color w:val="auto"/>
                <w:sz w:val="22"/>
                <w:szCs w:val="22"/>
                <w:highlight w:val="none"/>
              </w:rPr>
              <w:t xml:space="preserve">上午7：00-下午17：00。具体保洁工作、保洁程序及休息时间须不影响工作人员正常生活、工作。</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纪念馆及</w:t>
            </w:r>
            <w:r>
              <w:rPr>
                <w:rFonts w:hint="eastAsia"/>
                <w:color w:val="auto"/>
                <w:sz w:val="22"/>
                <w:szCs w:val="22"/>
                <w:highlight w:val="none"/>
                <w:lang w:val="en-US"/>
              </w:rPr>
              <w:t xml:space="preserve">办公用房区域保洁</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（1）办公区域：</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①</w:t>
            </w:r>
            <w:r>
              <w:rPr>
                <w:rFonts w:hint="eastAsia"/>
                <w:color w:val="auto"/>
                <w:sz w:val="22"/>
                <w:szCs w:val="22"/>
                <w:highlight w:val="none"/>
              </w:rPr>
              <w:t xml:space="preserve">灯开关、插座：无污渍、无尘渍。</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②纸篓：垃圾及时清理。</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③地面、墙面、屋面及其附着物无灰尘、无污迹、无杂物、无水迹、无蜘蛛网、表面洁净；</w:t>
            </w:r>
            <w:r/>
          </w:p>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rPr>
              <w:t xml:space="preserve">④家具（桌、椅、凳，橱、柜等）、电器、装饰物及设施无灰尘、无污迹、无水迹、无蜘蛛网、表面洁净干燥；</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楼道与楼层走廊：</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①</w:t>
            </w:r>
            <w:r>
              <w:rPr>
                <w:rFonts w:hint="eastAsia"/>
                <w:color w:val="auto"/>
                <w:sz w:val="22"/>
                <w:szCs w:val="22"/>
                <w:highlight w:val="none"/>
              </w:rPr>
              <w:t xml:space="preserve">台阶、地面无污渍、污迹、脚印、垃圾、灰尘；</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②</w:t>
            </w:r>
            <w:r>
              <w:rPr>
                <w:rFonts w:hint="eastAsia"/>
                <w:color w:val="auto"/>
                <w:sz w:val="22"/>
                <w:szCs w:val="22"/>
                <w:highlight w:val="none"/>
              </w:rPr>
              <w:t xml:space="preserve">扶手、栏杆无灰尘、无污渍、光滑、洁亮；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③</w:t>
            </w:r>
            <w:r>
              <w:rPr>
                <w:rFonts w:hint="eastAsia"/>
                <w:color w:val="auto"/>
                <w:sz w:val="22"/>
                <w:szCs w:val="22"/>
                <w:highlight w:val="none"/>
              </w:rPr>
              <w:t xml:space="preserve">墙面（玻璃墙面）、屋面、门窗无灰尘、无污渍、无指印、无蜘蛛网；</w:t>
            </w:r>
            <w:r/>
          </w:p>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rPr>
              <w:t xml:space="preserve">④开关、灯具及罩内无灰尘、无污迹、无虫尸、无蜘蛛网。</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（3）</w:t>
            </w:r>
            <w:r>
              <w:rPr>
                <w:rFonts w:hint="eastAsia"/>
                <w:color w:val="auto"/>
                <w:sz w:val="22"/>
                <w:szCs w:val="22"/>
                <w:highlight w:val="none"/>
              </w:rPr>
              <w:t xml:space="preserve">机房：</w:t>
            </w:r>
            <w:r/>
          </w:p>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rPr>
              <w:t xml:space="preserve">无灰尘、垃圾、纸屑、烟头、杂物等，门窗洁净光亮</w:t>
            </w:r>
            <w:r>
              <w:rPr>
                <w:rFonts w:hint="eastAsia"/>
                <w:color w:val="auto"/>
                <w:sz w:val="22"/>
                <w:szCs w:val="22"/>
                <w:highlight w:val="none"/>
                <w:lang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4</w:t>
            </w:r>
            <w:r>
              <w:rPr>
                <w:rFonts w:hint="eastAsia"/>
                <w:color w:val="auto"/>
                <w:sz w:val="22"/>
                <w:szCs w:val="22"/>
                <w:highlight w:val="none"/>
                <w:lang w:val="en-US"/>
              </w:rPr>
              <w:t xml:space="preserve">）消防栓（箱）：无尘、无污迹</w:t>
            </w:r>
            <w:r>
              <w:rPr>
                <w:rFonts w:hint="eastAsia"/>
                <w:color w:val="auto"/>
                <w:sz w:val="22"/>
                <w:szCs w:val="22"/>
                <w:highlight w:val="none"/>
                <w:lang w:val="en-US"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5</w:t>
            </w:r>
            <w:r>
              <w:rPr>
                <w:rFonts w:hint="eastAsia"/>
                <w:color w:val="auto"/>
                <w:sz w:val="22"/>
                <w:szCs w:val="22"/>
                <w:highlight w:val="none"/>
                <w:lang w:val="en-US"/>
              </w:rPr>
              <w:t xml:space="preserve">）开水间保持干净、无异味、无杂物、无积水</w:t>
            </w:r>
            <w:r>
              <w:rPr>
                <w:rFonts w:hint="eastAsia"/>
                <w:color w:val="auto"/>
                <w:sz w:val="22"/>
                <w:szCs w:val="22"/>
                <w:highlight w:val="none"/>
                <w:lang w:val="en-US"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6</w:t>
            </w:r>
            <w:r>
              <w:rPr>
                <w:rFonts w:hint="eastAsia"/>
                <w:color w:val="auto"/>
                <w:sz w:val="22"/>
                <w:szCs w:val="22"/>
                <w:highlight w:val="none"/>
                <w:lang w:val="en-US"/>
              </w:rPr>
              <w:t xml:space="preserve">）作业工具间：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①保持干净，无异味、无杂物、无积水。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②作业工具摆放整齐有序，表面干净无渍，每日消毒。</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（7）</w:t>
            </w:r>
            <w:r>
              <w:rPr>
                <w:rFonts w:hint="eastAsia"/>
                <w:color w:val="auto"/>
                <w:sz w:val="22"/>
                <w:szCs w:val="22"/>
                <w:highlight w:val="none"/>
                <w:lang w:val="en-US"/>
              </w:rPr>
              <w:t xml:space="preserve">公共卫生间：</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①</w:t>
            </w:r>
            <w:r>
              <w:rPr>
                <w:rFonts w:hint="eastAsia"/>
                <w:color w:val="auto"/>
                <w:sz w:val="22"/>
                <w:szCs w:val="22"/>
                <w:highlight w:val="none"/>
              </w:rPr>
              <w:t xml:space="preserve">天花板、墙角、灯具：无灰尘、蜘蛛网等；</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②</w:t>
            </w:r>
            <w:r>
              <w:rPr>
                <w:rFonts w:hint="eastAsia"/>
                <w:color w:val="auto"/>
                <w:sz w:val="22"/>
                <w:szCs w:val="22"/>
                <w:highlight w:val="none"/>
              </w:rPr>
              <w:t xml:space="preserve">卫生间大小便器：无污渍、无锈迹、洁净光亮；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③</w:t>
            </w:r>
            <w:r>
              <w:rPr>
                <w:rFonts w:hint="eastAsia"/>
                <w:color w:val="auto"/>
                <w:sz w:val="22"/>
                <w:szCs w:val="22"/>
                <w:highlight w:val="none"/>
              </w:rPr>
              <w:t xml:space="preserve">洗脸盘及面盆、镜面：无水渍、无污迹、洁净光亮；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④大小便器隔断：内外无灰尘、无污渍、无水渍、无蜘蛛网；</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⑤地面：无烟头、纸屑、污渍、脚印、积水。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rPr>
              <w:t xml:space="preserve">⑥墙面、门窗、屋面：无灰尘、无污渍、无蜘蛛网</w:t>
            </w:r>
            <w:r>
              <w:rPr>
                <w:rFonts w:hint="eastAsia"/>
                <w:color w:val="auto"/>
                <w:sz w:val="22"/>
                <w:szCs w:val="22"/>
                <w:highlight w:val="none"/>
                <w:lang w:eastAsia="zh-CN"/>
              </w:rPr>
              <w:t xml:space="preserve">。</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室外</w:t>
            </w:r>
            <w:r>
              <w:rPr>
                <w:rFonts w:hint="eastAsia"/>
                <w:color w:val="auto"/>
                <w:sz w:val="22"/>
                <w:szCs w:val="22"/>
                <w:highlight w:val="none"/>
                <w:lang w:val="en-US"/>
              </w:rPr>
              <w:t xml:space="preserve">区域保洁</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（1）道路地面、广场等公共区域 保持干净、无杂物、无积水、</w:t>
            </w:r>
            <w:r>
              <w:rPr>
                <w:rFonts w:hint="eastAsia"/>
                <w:color w:val="auto"/>
                <w:sz w:val="22"/>
                <w:szCs w:val="22"/>
                <w:highlight w:val="none"/>
              </w:rPr>
              <w:t xml:space="preserve">下水道口保持畅通</w:t>
            </w:r>
            <w:r>
              <w:rPr>
                <w:rFonts w:hint="eastAsia"/>
                <w:color w:val="auto"/>
                <w:sz w:val="22"/>
                <w:szCs w:val="22"/>
                <w:highlight w:val="none"/>
                <w:lang w:val="en-US"/>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（2）雪、冰冻等恶劣天气时及时清扫积水、积雪，并采取安全防护措施。</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（3）各种路标、宣传栏等保持干净。</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（4）垃圾桶：桶体光洁无污迹、无痰迹；桶内垃圾不超过容积</w:t>
            </w:r>
            <w:r>
              <w:rPr>
                <w:rFonts w:hint="eastAsia"/>
                <w:color w:val="auto"/>
                <w:sz w:val="22"/>
                <w:szCs w:val="22"/>
                <w:highlight w:val="none"/>
                <w:lang w:val="en-US" w:eastAsia="zh-CN"/>
              </w:rPr>
              <w:t xml:space="preserve">2</w:t>
            </w:r>
            <w:r>
              <w:rPr>
                <w:rFonts w:hint="eastAsia"/>
                <w:color w:val="auto"/>
                <w:sz w:val="22"/>
                <w:szCs w:val="22"/>
                <w:highlight w:val="none"/>
                <w:lang w:val="en-US"/>
              </w:rPr>
              <w:t xml:space="preserve">/3。</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（5）绿化带、池塘内无杂物。</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垃圾处理</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（1）在指定位置摆放分类垃圾桶，并在显著处张贴垃圾分类标识。分类垃圾桶和垃圾分类标识根据所在城市的要求设置。</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（2）桶身表面干净无污渍。</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rPr>
                <w:rFonts w:hint="eastAsia"/>
                <w:color w:val="auto"/>
                <w:sz w:val="22"/>
                <w:szCs w:val="22"/>
                <w:highlight w:val="none"/>
              </w:rPr>
              <w:t xml:space="preserve">定期清洁、定期喷洒消毒和灭蚊蝇药物。</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4</w:t>
            </w:r>
            <w:r>
              <w:rPr>
                <w:rFonts w:hint="eastAsia"/>
                <w:color w:val="auto"/>
                <w:sz w:val="22"/>
                <w:szCs w:val="22"/>
                <w:highlight w:val="none"/>
                <w:lang w:val="en-US"/>
              </w:rPr>
              <w:t xml:space="preserve">）垃圾装袋，日产日清。</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5</w:t>
            </w:r>
            <w:r>
              <w:rPr>
                <w:rFonts w:hint="eastAsia"/>
                <w:color w:val="auto"/>
                <w:sz w:val="22"/>
                <w:szCs w:val="22"/>
                <w:highlight w:val="none"/>
                <w:lang w:val="en-US"/>
              </w:rPr>
              <w:t xml:space="preserve">）做好垃圾分类管理的宣传工作，督促并引导全员参与垃圾分类投放。</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卫生消毒</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（1）办公用房区域、公共场所区域和周围环境预防性卫生消毒，消毒后及时通风。</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（2）采取综合措施消灭老鼠、蟑螂，控制室内外蚊虫孳生，达到基本无蝇。</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（3）发生公共卫生事件时，邀请专业单位开展消毒、检测等工作。</w:t>
            </w:r>
            <w:r/>
          </w:p>
        </w:tc>
      </w:tr>
      <w:tr>
        <w:trPr>
          <w:trHeight w:val="567"/>
        </w:trPr>
        <w:tc>
          <w:tcPr>
            <w:tcW w:w="69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6</w:t>
            </w:r>
            <w:r/>
          </w:p>
        </w:tc>
        <w:tc>
          <w:tcPr>
            <w:tcW w:w="79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w:t>
            </w:r>
            <w:r/>
          </w:p>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及会议室保洁</w:t>
            </w:r>
            <w:r/>
          </w:p>
        </w:tc>
        <w:tc>
          <w:tcPr>
            <w:tcW w:w="351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rPr>
              <w:t xml:space="preserve">报告厅及会议室音视频设备、消防栓及开关插座、地面、门窗等保持表面干净，无尘无污迹。</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3、安保服务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1"/>
        <w:gridCol w:w="1826"/>
        <w:gridCol w:w="5357"/>
      </w:tblGrid>
      <w:tr>
        <w:trPr>
          <w:jc w:val="center"/>
          <w:trHeight w:val="454"/>
        </w:trPr>
        <w:tc>
          <w:tcPr>
            <w:tcW w:w="6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序号</w:t>
            </w:r>
            <w:r/>
          </w:p>
        </w:tc>
        <w:tc>
          <w:tcPr>
            <w:tcW w:w="109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w:t>
            </w:r>
            <w:r/>
          </w:p>
        </w:tc>
        <w:tc>
          <w:tcPr>
            <w:tcW w:w="322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服务标准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基本要求</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（1）建立保安服务相关制度，并按照执行。</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（2）对巡查、值守及异常情况等做好相关记录，填写规范，保存完好。</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（3）配备保安服务必要的器材。</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出入管理</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rPr>
                <w:rFonts w:hint="eastAsia"/>
                <w:color w:val="auto"/>
                <w:sz w:val="22"/>
                <w:szCs w:val="22"/>
                <w:highlight w:val="none"/>
                <w:lang w:val="en-US" w:eastAsia="zh-CN"/>
              </w:rPr>
              <w:t xml:space="preserve">纪念馆（园）</w:t>
            </w:r>
            <w:r>
              <w:rPr>
                <w:rFonts w:hint="eastAsia"/>
                <w:color w:val="auto"/>
                <w:sz w:val="22"/>
                <w:szCs w:val="22"/>
                <w:highlight w:val="none"/>
              </w:rPr>
              <w:t xml:space="preserve">主出入口应当实行 24 小时值班制。</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（2）设置门岗。</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（3）在出入口对携带大件物品、外来车辆进行询问和记录，并与相关部门取得联系， 同意后方可进入。</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（4）大件物品搬出有相关部门开具的证明和清单，经核实后放行。</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（5）排查可疑人员， 对于不出示证件、不按规定登记、不听劝阻而强行闯入者，及时劝离， 必要时 通知公安机关进行处理。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值班巡查</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（1）建立 24 小时值班巡查制度。</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（2）制定巡查路线， 按照指定时间执行，加强重点区域、重点部位及装修区域的巡查。</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（3）巡查期间保持通信设施设备畅通，遇到异常情况立即上报并在现场采取相应措施。</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（4）收到</w:t>
            </w:r>
            <w:r>
              <w:rPr>
                <w:rFonts w:hint="eastAsia"/>
                <w:color w:val="auto"/>
                <w:sz w:val="22"/>
                <w:szCs w:val="22"/>
                <w:highlight w:val="none"/>
                <w:lang w:val="en-US" w:eastAsia="zh-CN"/>
              </w:rPr>
              <w:t xml:space="preserve">场馆负责人</w:t>
            </w:r>
            <w:r>
              <w:rPr>
                <w:rFonts w:hint="eastAsia"/>
                <w:color w:val="auto"/>
                <w:sz w:val="22"/>
                <w:szCs w:val="22"/>
                <w:highlight w:val="none"/>
              </w:rPr>
              <w:t xml:space="preserve">指令后，巡查人员及时到达指定地点并迅速采取相应措施。</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监控值守</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1</w:t>
            </w:r>
            <w:r>
              <w:rPr>
                <w:rFonts w:hint="eastAsia"/>
                <w:color w:val="auto"/>
                <w:sz w:val="22"/>
                <w:szCs w:val="22"/>
                <w:highlight w:val="none"/>
              </w:rPr>
              <w:t xml:space="preserve">）监控设备 24 小时正常运行， 监控室实行 24 小时值班制度。</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2</w:t>
            </w:r>
            <w:r>
              <w:rPr>
                <w:rFonts w:hint="eastAsia"/>
                <w:color w:val="auto"/>
                <w:sz w:val="22"/>
                <w:szCs w:val="22"/>
                <w:highlight w:val="none"/>
              </w:rPr>
              <w:t xml:space="preserve">）值班期间遵守操作规程和保密制度， 做好监控记录的保存工作。</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3</w:t>
            </w:r>
            <w:r>
              <w:rPr>
                <w:rFonts w:hint="eastAsia"/>
                <w:color w:val="auto"/>
                <w:sz w:val="22"/>
                <w:szCs w:val="22"/>
                <w:highlight w:val="none"/>
              </w:rPr>
              <w:t xml:space="preserve">）无关人员进入监控室或查阅监控记录，经</w:t>
            </w:r>
            <w:r>
              <w:rPr>
                <w:rFonts w:hint="eastAsia"/>
                <w:color w:val="auto"/>
                <w:sz w:val="22"/>
                <w:szCs w:val="22"/>
                <w:highlight w:val="none"/>
                <w:lang w:val="en-US" w:eastAsia="zh-CN"/>
              </w:rPr>
              <w:t xml:space="preserve">场馆负责</w:t>
            </w:r>
            <w:r>
              <w:rPr>
                <w:rFonts w:hint="eastAsia"/>
                <w:color w:val="auto"/>
                <w:sz w:val="22"/>
                <w:szCs w:val="22"/>
                <w:highlight w:val="none"/>
              </w:rPr>
              <w:t xml:space="preserve">人批准并做好相关记录。</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4</w:t>
            </w:r>
            <w:r>
              <w:rPr>
                <w:rFonts w:hint="eastAsia"/>
                <w:color w:val="auto"/>
                <w:sz w:val="22"/>
                <w:szCs w:val="22"/>
                <w:highlight w:val="none"/>
              </w:rPr>
              <w:t xml:space="preserve">）监控室收到火情等报警信号、其他异常情况信号后， 及时报警并安排其他安保人员前往现场进 行处理。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车辆停放</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1</w:t>
            </w:r>
            <w:r>
              <w:rPr>
                <w:rFonts w:hint="eastAsia"/>
                <w:color w:val="auto"/>
                <w:sz w:val="22"/>
                <w:szCs w:val="22"/>
                <w:highlight w:val="none"/>
              </w:rPr>
              <w:t xml:space="preserve">）对车辆及停放区域实行规范管理。</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2</w:t>
            </w:r>
            <w:r>
              <w:rPr>
                <w:rFonts w:hint="eastAsia"/>
                <w:color w:val="auto"/>
                <w:sz w:val="22"/>
                <w:szCs w:val="22"/>
                <w:highlight w:val="none"/>
              </w:rPr>
              <w:t xml:space="preserve">）严禁在办公楼的公用走道、楼梯间、安全出口处等公共区域停放</w:t>
            </w:r>
            <w:r>
              <w:rPr>
                <w:rFonts w:hint="eastAsia"/>
                <w:color w:val="auto"/>
                <w:sz w:val="22"/>
                <w:szCs w:val="22"/>
                <w:highlight w:val="none"/>
                <w:lang w:val="en-US" w:eastAsia="zh-CN"/>
              </w:rPr>
              <w:t xml:space="preserve">非机动车</w:t>
            </w:r>
            <w:r>
              <w:rPr>
                <w:rFonts w:hint="eastAsia"/>
                <w:color w:val="auto"/>
                <w:sz w:val="22"/>
                <w:szCs w:val="22"/>
                <w:highlight w:val="none"/>
              </w:rPr>
              <w:t xml:space="preserve">或充电。</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3</w:t>
            </w:r>
            <w:r>
              <w:rPr>
                <w:rFonts w:hint="eastAsia"/>
                <w:color w:val="auto"/>
                <w:sz w:val="22"/>
                <w:szCs w:val="22"/>
                <w:highlight w:val="none"/>
              </w:rPr>
              <w:t xml:space="preserve">）非机动车定点有序停放。</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4</w:t>
            </w:r>
            <w:r>
              <w:rPr>
                <w:rFonts w:hint="eastAsia"/>
                <w:color w:val="auto"/>
                <w:sz w:val="22"/>
                <w:szCs w:val="22"/>
                <w:highlight w:val="none"/>
              </w:rPr>
              <w:t xml:space="preserve">）发现车辆异常情况及时通知车主，并做好登记；发生交通事故、自然灾害等意外事故时及时赶赴现场疏导和协助处理， 响应时间不超过 3 分钟。</w:t>
            </w:r>
            <w:r/>
          </w:p>
        </w:tc>
      </w:tr>
    </w:tbl>
    <w:p>
      <w:p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.公用设施设备维护服务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132"/>
        <w:gridCol w:w="6232"/>
      </w:tblGrid>
      <w:tr>
        <w:trPr>
          <w:trHeight w:val="680"/>
        </w:trPr>
        <w:tc>
          <w:tcPr>
            <w:tcW w:w="67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664"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65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基本要求</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（1）重大节假日及恶劣天气前后，组织系统巡检 1 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rPr>
                <w:rFonts w:hint="eastAsia"/>
                <w:color w:val="auto"/>
                <w:sz w:val="22"/>
                <w:szCs w:val="22"/>
                <w:highlight w:val="none"/>
              </w:rPr>
              <w:t xml:space="preserve">按规定时间开关</w:t>
            </w:r>
            <w:r>
              <w:rPr>
                <w:rFonts w:hint="eastAsia"/>
                <w:color w:val="auto"/>
                <w:sz w:val="22"/>
                <w:szCs w:val="22"/>
                <w:highlight w:val="none"/>
                <w:lang w:val="en-US" w:eastAsia="zh-CN"/>
              </w:rPr>
              <w:t xml:space="preserve">纪念场馆</w:t>
            </w:r>
            <w:r>
              <w:rPr>
                <w:rFonts w:hint="eastAsia"/>
                <w:color w:val="auto"/>
                <w:sz w:val="22"/>
                <w:szCs w:val="22"/>
                <w:highlight w:val="none"/>
              </w:rPr>
              <w:t xml:space="preserve">水电，</w:t>
            </w:r>
            <w:r>
              <w:rPr>
                <w:rFonts w:hint="eastAsia"/>
                <w:color w:val="auto"/>
                <w:sz w:val="22"/>
                <w:szCs w:val="22"/>
                <w:highlight w:val="none"/>
                <w:lang w:val="en-US"/>
              </w:rPr>
              <w:t xml:space="preserve">具备设施设备安全、稳定运行的环境和场所（含有限空间），温湿度、照度、粉尘和烟雾浓度等符合相关安全规范。</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给排水系统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（1）设施设备、阀门、管道等运行正常，无跑、冒、滴、漏现象。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（2）水泵房、水箱间，每日至少巡视 1 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（3）遇供水单位限水、停水，按规定时间通知采购人。</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供配电系统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 24 小时运行值班制度。</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（2）公共使用的照明、指示灯具线路、开关、接地等保持完好，确保用电安全。</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（3）发生非计划性停电的，应当在事件发生后及时通知采购人，快速恢复或启用应急电源，并做好应急事件上报及处理工作。</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照明系统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（1）外观整洁无缺损、无松落。</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（2）更换的照明灯具应当选用节能环保产品，亮度与更换前保持一致。</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5.处理突发事件</w:t>
      </w:r>
      <w:r>
        <w:rPr>
          <w:rFonts w:hint="eastAsia" w:cs="Times New Roman"/>
          <w:color w:val="auto"/>
          <w:sz w:val="24"/>
          <w:szCs w:val="24"/>
          <w:highlight w:val="none"/>
          <w:lang w:val="en-US" w:eastAsia="zh-CN" w:bidi="ar-SA"/>
        </w:rPr>
        <w:t xml:space="preserve">服务</w:t>
      </w:r>
      <w:r>
        <w:rPr>
          <w:rFonts w:hint="eastAsia" w:ascii="Times New Roman" w:hAnsi="Times New Roman" w:eastAsia="宋体" w:cs="Times New Roman"/>
          <w:color w:val="auto"/>
          <w:sz w:val="24"/>
          <w:szCs w:val="24"/>
          <w:highlight w:val="none"/>
          <w:lang w:val="en-US" w:eastAsia="zh-CN" w:bidi="ar-SA"/>
        </w:rPr>
        <w:t xml:space="preserve">：</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（1）配合采购人制订应急保障措施，需对任务进行详细了解，并根据工作安排制定详细的应急保障措施。</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根据馆（园）隐患排查的结果和实际情况，制定专项预案，包括但不限于：重大活动应急预案、上级突击检查应急预案、火警紧急处理应急预案、紧急疏散应急预案、停水停电应急预案、恶劣天气应对应急预案等。</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）建立消防安全责任制， 确定各级消防安全责任人及其职责。</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）应急预案定期培训和演练，组织相关岗定期开展专项应急预案演练，留存培训及演练记录和影像资料，并对预案进行评价，确保与实际情况相结合。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（5）消火栓、应急照明、消防及人员逃生通道、消防车通道可随时正常使用。</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（6）定期组织消防安全宣传，每半年至少开展 1 次消防演练。</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.公共设施节水、节电、节能管理：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（1）定期巡查及时统计损坏的设备设施并报给采购人，消耗品及时供应保证物业正常运行。</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（2）巡查卫生间，发现跑、冒、滴、漏水情况迅速处理或报告；</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（3）卫生间粘贴节水标识；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（4）发现房间无人时开空调的情况及时提醒；</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（5）发现长明灯的情况要及时采取相应措施。</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.物业移交要求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二</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投标文件要求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1、投标文件中提供《物业管理服务方案》文件。</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2、《物业管理服务方案》需包括以下内容:</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（1）基本服务方案;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（2）保洁服务方案;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（3）保安服务方案;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（4）公用设施设备维护服务;</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（5）处理突发事件服务方案;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（6）公共设施节水、节电、节能管理方案;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（7）物业移交衔接方案。</w:t>
      </w:r>
      <w:r/>
    </w:p>
    <w:p>
      <w:pPr>
        <w:numPr>
          <w:ilvl w:val="0"/>
          <w:numId w:val="0"/>
        </w:num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bidi="ar-SA"/>
        </w:rPr>
      </w:pPr>
      <w:r>
        <w:rPr>
          <w:rFonts w:hint="eastAsia" w:ascii="方正黑体_GBK" w:hAnsi="方正黑体_GBK" w:eastAsia="方正黑体_GBK" w:cs="方正黑体_GBK"/>
          <w:color w:val="auto"/>
          <w:sz w:val="24"/>
          <w:szCs w:val="24"/>
          <w:highlight w:val="none"/>
          <w:lang w:val="en-US" w:eastAsia="zh-CN" w:bidi="ar-SA"/>
        </w:rPr>
        <w:t xml:space="preserve">五、组织机构设置方案及人员配备方案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（一）物业管理服务人员具体需求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王杰烈士陵园、小萝卜纪念馆物业服务人员22人，人员岗位设置如下：</w:t>
      </w:r>
      <w:r/>
    </w:p>
    <w:tbl>
      <w:tblPr>
        <w:tblStyle w:val="712"/>
        <w:tblpPr w:horzAnchor="page" w:tblpX="1543" w:vertAnchor="text" w:tblpY="300"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16"/>
        <w:gridCol w:w="1602"/>
        <w:gridCol w:w="1370"/>
        <w:gridCol w:w="4243"/>
      </w:tblGrid>
      <w:tr>
        <w:trPr>
          <w:trHeight w:val="707"/>
        </w:trPr>
        <w:tc>
          <w:tcPr>
            <w:tcW w:w="67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序号</w:t>
            </w:r>
            <w:r/>
          </w:p>
        </w:tc>
        <w:tc>
          <w:tcPr>
            <w:tcW w:w="96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岗位</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人员数量</w:t>
            </w:r>
            <w:r/>
          </w:p>
        </w:tc>
        <w:tc>
          <w:tcPr>
            <w:tcW w:w="254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备注</w:t>
            </w:r>
            <w:r/>
          </w:p>
        </w:tc>
      </w:tr>
      <w:tr>
        <w:trPr>
          <w:trHeight w:val="817"/>
        </w:trPr>
        <w:tc>
          <w:tcPr>
            <w:tcW w:w="67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96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项目经理</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eastAsia="zh-CN"/>
              </w:rPr>
            </w:pPr>
            <w:r>
              <w:rPr>
                <w:rFonts w:hint="eastAsia"/>
                <w:color w:val="auto"/>
                <w:sz w:val="22"/>
                <w:szCs w:val="22"/>
                <w:highlight w:val="none"/>
                <w:lang w:val="en-US" w:eastAsia="zh-CN"/>
              </w:rPr>
              <w:t xml:space="preserve">2</w:t>
            </w:r>
            <w:r/>
          </w:p>
        </w:tc>
        <w:tc>
          <w:tcPr>
            <w:tcW w:w="2546"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其中，王杰烈士陵园1名，小萝卜头纪念馆1名。</w:t>
            </w:r>
            <w:r/>
          </w:p>
        </w:tc>
      </w:tr>
      <w:tr>
        <w:trPr>
          <w:trHeight w:val="380"/>
        </w:trPr>
        <w:tc>
          <w:tcPr>
            <w:tcW w:w="67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96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水电工</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2546"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须持有初级以上</w:t>
            </w:r>
            <w:r>
              <w:rPr>
                <w:rFonts w:hint="eastAsia"/>
                <w:color w:val="auto"/>
                <w:sz w:val="22"/>
                <w:szCs w:val="22"/>
                <w:highlight w:val="none"/>
              </w:rPr>
              <w:t xml:space="preserve">电工证。</w:t>
            </w:r>
            <w:r>
              <w:rPr>
                <w:rFonts w:hint="eastAsia"/>
                <w:color w:val="auto"/>
                <w:sz w:val="22"/>
                <w:szCs w:val="22"/>
                <w:highlight w:val="none"/>
                <w:lang w:val="en-US" w:eastAsia="zh-CN"/>
              </w:rPr>
              <w:t xml:space="preserve">王杰烈士陵园、小萝卜头纪念馆共用。</w:t>
            </w:r>
            <w:r/>
          </w:p>
        </w:tc>
      </w:tr>
      <w:tr>
        <w:trPr>
          <w:trHeight w:val="545"/>
        </w:trPr>
        <w:tc>
          <w:tcPr>
            <w:tcW w:w="67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960"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rPr>
              <w:t xml:space="preserve">保安</w:t>
            </w:r>
            <w:r>
              <w:rPr>
                <w:rFonts w:hint="eastAsia"/>
                <w:color w:val="auto"/>
                <w:sz w:val="22"/>
                <w:szCs w:val="22"/>
                <w:highlight w:val="none"/>
                <w:lang w:val="en-US" w:eastAsia="zh-CN"/>
              </w:rPr>
              <w:t xml:space="preserve">人员</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eastAsia="zh-CN"/>
              </w:rPr>
            </w:pPr>
            <w:r>
              <w:rPr>
                <w:rFonts w:hint="eastAsia"/>
                <w:color w:val="auto"/>
                <w:sz w:val="22"/>
                <w:szCs w:val="22"/>
                <w:highlight w:val="none"/>
                <w:lang w:val="en-US" w:eastAsia="zh-CN"/>
              </w:rPr>
              <w:t xml:space="preserve">9</w:t>
            </w:r>
            <w:r/>
          </w:p>
        </w:tc>
        <w:tc>
          <w:tcPr>
            <w:tcW w:w="2546"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rPr>
              <w:t xml:space="preserve">须持初级保安员</w:t>
            </w:r>
            <w:r>
              <w:rPr>
                <w:rFonts w:hint="eastAsia"/>
                <w:color w:val="auto"/>
                <w:sz w:val="22"/>
                <w:szCs w:val="22"/>
                <w:highlight w:val="none"/>
                <w:lang w:val="en-US" w:eastAsia="zh-CN"/>
              </w:rPr>
              <w:t xml:space="preserve">及以上保安证</w:t>
            </w:r>
            <w:r>
              <w:rPr>
                <w:rFonts w:hint="eastAsia"/>
                <w:color w:val="auto"/>
                <w:sz w:val="22"/>
                <w:szCs w:val="22"/>
                <w:highlight w:val="none"/>
              </w:rPr>
              <w:t xml:space="preserve">。</w:t>
            </w:r>
            <w:r>
              <w:rPr>
                <w:rFonts w:hint="eastAsia"/>
                <w:color w:val="auto"/>
                <w:sz w:val="22"/>
                <w:szCs w:val="22"/>
                <w:highlight w:val="none"/>
                <w:lang w:val="en-US" w:eastAsia="zh-CN"/>
              </w:rPr>
              <w:t xml:space="preserve">其中，王杰烈士陵园5名，小萝卜头纪念馆4名。</w:t>
            </w:r>
            <w:r/>
          </w:p>
        </w:tc>
      </w:tr>
      <w:tr>
        <w:trPr>
          <w:trHeight w:val="729"/>
        </w:trPr>
        <w:tc>
          <w:tcPr>
            <w:tcW w:w="67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960"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eastAsia="zh-CN"/>
              </w:rPr>
            </w:pPr>
            <w:r>
              <w:rPr>
                <w:rFonts w:hint="eastAsia"/>
                <w:color w:val="auto"/>
                <w:sz w:val="22"/>
                <w:szCs w:val="22"/>
                <w:highlight w:val="none"/>
              </w:rPr>
              <w:t xml:space="preserve">保洁</w:t>
            </w:r>
            <w:r>
              <w:rPr>
                <w:rFonts w:hint="eastAsia"/>
                <w:color w:val="auto"/>
                <w:sz w:val="22"/>
                <w:szCs w:val="22"/>
                <w:highlight w:val="none"/>
                <w:lang w:val="en-US" w:eastAsia="zh-CN"/>
              </w:rPr>
              <w:t xml:space="preserve">人员</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10</w:t>
            </w:r>
            <w:r/>
          </w:p>
        </w:tc>
        <w:tc>
          <w:tcPr>
            <w:tcW w:w="2546"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其中，王杰烈士陵园5名，小萝卜头纪念馆5名。</w:t>
            </w:r>
            <w:r/>
          </w:p>
        </w:tc>
      </w:tr>
      <w:tr>
        <w:trPr>
          <w:trHeight w:val="439"/>
        </w:trPr>
        <w:tc>
          <w:tcPr>
            <w:gridSpan w:val="2"/>
            <w:tcW w:w="163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合计</w:t>
            </w:r>
            <w:r/>
          </w:p>
        </w:tc>
        <w:tc>
          <w:tcPr>
            <w:tcW w:w="82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22</w:t>
            </w:r>
            <w:r/>
          </w:p>
        </w:tc>
        <w:tc>
          <w:tcPr>
            <w:tcW w:w="2546"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r>
    </w:tbl>
    <w:p>
      <w:pPr>
        <w:ind w:firstLine="480"/>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注： 1.供应商应当按国家相关法律法规，合理确定服务人员工资标准、工作时间等。供应商应当自行为服务人员办理必需的保险，有关人员伤亡及第三者责任险均应当考虑在报价因素中。</w:t>
      </w:r>
      <w:r/>
    </w:p>
    <w:p>
      <w:pPr>
        <w:ind w:firstLine="480"/>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zh-CN" w:eastAsia="zh-CN"/>
        </w:rPr>
        <w:t xml:space="preserve">验收后</w:t>
      </w:r>
      <w:r>
        <w:rPr>
          <w:rFonts w:hint="eastAsia" w:ascii="宋体" w:hAnsi="宋体" w:eastAsia="宋体" w:cs="宋体"/>
          <w:color w:val="auto"/>
          <w:spacing w:val="0"/>
          <w:sz w:val="24"/>
          <w:szCs w:val="24"/>
          <w:highlight w:val="none"/>
          <w:lang w:val="en-US" w:eastAsia="zh-CN"/>
        </w:rPr>
        <w:t xml:space="preserve">项目经理</w:t>
      </w:r>
      <w:r>
        <w:rPr>
          <w:rFonts w:hint="eastAsia" w:ascii="宋体" w:hAnsi="宋体" w:eastAsia="宋体" w:cs="宋体"/>
          <w:color w:val="auto"/>
          <w:spacing w:val="0"/>
          <w:sz w:val="24"/>
          <w:szCs w:val="24"/>
          <w:highlight w:val="none"/>
          <w:lang w:val="zh-CN" w:eastAsia="zh-CN"/>
        </w:rPr>
        <w:t xml:space="preserve">必须</w:t>
      </w:r>
      <w:r>
        <w:rPr>
          <w:rFonts w:hint="eastAsia" w:ascii="宋体" w:hAnsi="宋体" w:eastAsia="宋体" w:cs="宋体"/>
          <w:color w:val="auto"/>
          <w:spacing w:val="0"/>
          <w:sz w:val="24"/>
          <w:szCs w:val="24"/>
          <w:highlight w:val="none"/>
          <w:lang w:val="en-US" w:eastAsia="zh-CN"/>
        </w:rPr>
        <w:t xml:space="preserve">长期在本项目工作，如因故无法长期在本项目工作，需在甲方允许的情况下，更换同等资历工作人员，且需支付5万元/人违约金。</w:t>
      </w:r>
      <w:r/>
    </w:p>
    <w:p>
      <w:pPr>
        <w:pStyle w:val="717"/>
        <w:ind w:firstLine="482"/>
        <w:spacing w:before="72"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说明：上表中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人员数量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为不允许负偏离的实质性要求和条件，如有偏离，在符合性审查时按照响应无效处理。</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（二）投标文件要求</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1.投标文件中提供《物业管理服务人员方案》文件。</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2.《物业管理服务人员方案》对照“（一）物业管理服务人员具体需求”编制。包含但不限于组织机构设置方案、人员配备具体方案。</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组织机构设置方案包含但不限于:</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rPr>
        <w:t xml:space="preserve">的职责和工作流程。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水电工</w:t>
      </w:r>
      <w:r>
        <w:rPr>
          <w:rFonts w:hint="eastAsia" w:ascii="宋体" w:hAnsi="宋体" w:eastAsia="宋体" w:cs="宋体"/>
          <w:color w:val="auto"/>
          <w:sz w:val="24"/>
          <w:szCs w:val="24"/>
          <w:highlight w:val="none"/>
        </w:rPr>
        <w:t xml:space="preserve">的职责和工作流程。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保安人员</w:t>
      </w:r>
      <w:r>
        <w:rPr>
          <w:rFonts w:hint="eastAsia" w:ascii="宋体" w:hAnsi="宋体" w:eastAsia="宋体" w:cs="宋体"/>
          <w:color w:val="auto"/>
          <w:sz w:val="24"/>
          <w:szCs w:val="24"/>
          <w:highlight w:val="none"/>
        </w:rPr>
        <w:t xml:space="preserve">的职责和工作流程。</w:t>
      </w:r>
      <w:r/>
    </w:p>
    <w:p>
      <w:pPr>
        <w:pStyle w:val="747"/>
        <w:ind w:firstLine="480"/>
        <w:spacing w:line="240" w:lineRule="auto"/>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en-US" w:eastAsia="zh-CN"/>
        </w:rPr>
        <w:t xml:space="preserve">保洁人员职责和工作流程。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人员配备具体方案包含但不限于按照岗位配备人员，详细描述各岗位职责。</w:t>
      </w:r>
      <w:r/>
    </w:p>
    <w:p>
      <w:p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六、服务期限：自合同签订生效之日起3年。</w:t>
      </w:r>
      <w:r/>
    </w:p>
    <w:p>
      <w:pPr>
        <w:ind w:firstLine="484"/>
        <w:keepLines w:val="0"/>
        <w:keepNext w:val="0"/>
        <w:pageBreakBefore w:val="0"/>
        <w:spacing w:before="0" w:after="0"/>
        <w:widowControl/>
        <w:tabs>
          <w:tab w:val="left" w:pos="0" w:leader="none"/>
        </w:tabs>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 xml:space="preserve">七、付款方式:见招标文件第五章《拟签订的合同文本》中“第六条 物业管理服务费用”。</w:t>
      </w:r>
      <w:r/>
    </w:p>
    <w:p>
      <w:pPr>
        <w:pStyle w:val="911"/>
        <w:ind w:left="0" w:right="-107" w:firstLine="482"/>
        <w:jc w:val="both"/>
        <w:spacing w:line="240" w:lineRule="auto"/>
        <w:rPr>
          <w:rFonts w:hint="eastAsia" w:ascii="宋体" w:hAnsi="宋体" w:eastAsia="宋体" w:cs="宋体"/>
          <w:b/>
          <w:color w:val="auto"/>
          <w:sz w:val="24"/>
          <w:szCs w:val="24"/>
          <w:highlight w:val="none"/>
          <w:lang w:val="en-US" w:bidi="ar-SA"/>
        </w:rPr>
      </w:pPr>
      <w:r>
        <w:rPr>
          <w:rFonts w:hint="eastAsia" w:ascii="宋体" w:hAnsi="宋体" w:eastAsia="宋体" w:cs="宋体"/>
          <w:b/>
          <w:color w:val="auto"/>
          <w:sz w:val="24"/>
          <w:szCs w:val="24"/>
          <w:highlight w:val="none"/>
          <w:lang w:val="en-US" w:bidi="ar-SA"/>
        </w:rPr>
        <w:t xml:space="preserve">说明：本“付款方式”为不允许偏离的实质性要求和条件，如有偏离，在符合性审查时按照响应无效处理。</w:t>
      </w:r>
      <w:r/>
    </w:p>
    <w:p>
      <w:p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eastAsia="zh-CN"/>
        </w:rPr>
        <w:t xml:space="preserve">、投标报价的相关说明</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217.44</w:t>
      </w:r>
      <w:r>
        <w:rPr>
          <w:rFonts w:hint="eastAsia" w:ascii="宋体" w:hAnsi="宋体" w:eastAsia="宋体" w:cs="宋体"/>
          <w:color w:val="auto"/>
          <w:sz w:val="24"/>
          <w:szCs w:val="24"/>
          <w:highlight w:val="none"/>
        </w:rPr>
        <w:t xml:space="preserve">万元</w:t>
      </w:r>
      <w:r>
        <w:rPr>
          <w:rFonts w:hint="eastAsia" w:ascii="宋体" w:hAnsi="宋体" w:eastAsia="宋体" w:cs="宋体"/>
          <w:bCs/>
          <w:color w:val="auto"/>
          <w:sz w:val="24"/>
          <w:szCs w:val="24"/>
          <w:highlight w:val="none"/>
        </w:rPr>
        <w:t xml:space="preserve">人民币（采购项目预算金额）</w:t>
      </w:r>
      <w:r>
        <w:rPr>
          <w:rFonts w:hint="eastAsia" w:ascii="宋体" w:hAnsi="宋体" w:eastAsia="宋体" w:cs="宋体"/>
          <w:color w:val="auto"/>
          <w:sz w:val="24"/>
          <w:szCs w:val="24"/>
          <w:highlight w:val="none"/>
        </w:rPr>
        <w:t xml:space="preserve">的投标报价。</w:t>
      </w:r>
      <w:r/>
    </w:p>
    <w:p>
      <w:pPr>
        <w:contextualSpacing/>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报价不得违反</w:t>
      </w:r>
      <w:r>
        <w:rPr>
          <w:rFonts w:hint="eastAsia" w:ascii="宋体" w:hAnsi="宋体" w:eastAsia="宋体" w:cs="宋体"/>
          <w:bCs/>
          <w:color w:val="auto"/>
          <w:sz w:val="24"/>
          <w:szCs w:val="24"/>
          <w:highlight w:val="none"/>
          <w:lang w:val="en-US" w:eastAsia="zh-CN"/>
        </w:rPr>
        <w:t xml:space="preserve">邳州市</w:t>
      </w:r>
      <w:r>
        <w:rPr>
          <w:rFonts w:hint="eastAsia" w:ascii="宋体" w:hAnsi="宋体" w:eastAsia="宋体" w:cs="宋体"/>
          <w:bCs/>
          <w:color w:val="auto"/>
          <w:sz w:val="24"/>
          <w:szCs w:val="24"/>
          <w:highlight w:val="none"/>
        </w:rPr>
        <w:t xml:space="preserve">关于最低工资标准的相关规定和社会保险基数的相关规定。</w:t>
      </w:r>
      <w:r>
        <w:rPr>
          <w:rFonts w:hint="eastAsia" w:ascii="宋体" w:hAnsi="宋体" w:eastAsia="宋体" w:cs="宋体"/>
          <w:color w:val="auto"/>
          <w:sz w:val="24"/>
          <w:szCs w:val="24"/>
          <w:highlight w:val="none"/>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报价须充分考虑服务期限（合同期限）</w:t>
      </w:r>
      <w:r>
        <w:rPr>
          <w:rFonts w:hint="eastAsia" w:ascii="宋体" w:hAnsi="宋体" w:eastAsia="宋体" w:cs="宋体"/>
          <w:bCs/>
          <w:color w:val="auto"/>
          <w:sz w:val="24"/>
          <w:szCs w:val="24"/>
          <w:highlight w:val="none"/>
        </w:rPr>
        <w:t xml:space="preserve">内最低工资标准调整因素和社会保险基数调整因素。</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报价需充分考虑</w:t>
      </w:r>
      <w:r>
        <w:rPr>
          <w:rFonts w:hint="eastAsia" w:ascii="宋体" w:hAnsi="宋体" w:eastAsia="宋体" w:cs="宋体"/>
          <w:color w:val="auto"/>
          <w:sz w:val="24"/>
          <w:szCs w:val="24"/>
          <w:highlight w:val="none"/>
        </w:rPr>
        <w:t xml:space="preserve">服务期限（合同期限）</w:t>
      </w:r>
      <w:r>
        <w:rPr>
          <w:rFonts w:hint="eastAsia" w:ascii="宋体" w:hAnsi="宋体" w:eastAsia="宋体" w:cs="宋体"/>
          <w:bCs/>
          <w:color w:val="auto"/>
          <w:sz w:val="24"/>
          <w:szCs w:val="24"/>
          <w:highlight w:val="none"/>
        </w:rPr>
        <w:t xml:space="preserve">内的市场因素和成本变化状况的风险。</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采购人不支付投标报价以外的任何费用。</w:t>
      </w:r>
      <w:r/>
    </w:p>
    <w:p>
      <w:pPr>
        <w:ind w:firstLine="480"/>
        <w:spacing w:line="240" w:lineRule="auto"/>
        <w:tabs>
          <w:tab w:val="left" w:pos="0" w:leader="none"/>
          <w:tab w:val="left" w:pos="28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报价在合同执行过程中是固定的，不得以任何理由予以变更。</w:t>
      </w:r>
      <w:r/>
    </w:p>
    <w:p>
      <w:pPr>
        <w:pStyle w:val="747"/>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说明：本“投标报价的相关说明”为不允许偏离的实质性要求和条件，如有偏离，在符合性审查时按照响应无效处理。</w:t>
      </w:r>
      <w:r/>
    </w:p>
    <w:p>
      <w:pPr>
        <w:ind w:firstLine="480"/>
        <w:rPr>
          <w:rFonts w:hint="default" w:eastAsia="宋体"/>
          <w:color w:val="auto"/>
          <w:highlight w:val="none"/>
          <w:lang w:val="en-US" w:eastAsia="zh-CN"/>
        </w:rPr>
      </w:pPr>
      <w:r>
        <w:rPr>
          <w:rFonts w:hint="eastAsia" w:ascii="宋体" w:hAnsi="宋体" w:eastAsia="宋体" w:cs="宋体"/>
          <w:b w:val="0"/>
          <w:bCs w:val="0"/>
          <w:color w:val="auto"/>
          <w:sz w:val="24"/>
          <w:highlight w:val="none"/>
          <w:lang w:val="en-US" w:eastAsia="zh-CN"/>
        </w:rPr>
        <w:t xml:space="preserve">九</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其他要求：见招标文件第五章《拟签订的合同文本》。</w:t>
      </w:r>
      <w:r/>
    </w:p>
    <w:p>
      <w:pPr>
        <w:ind w:firstLine="480"/>
        <w:keepLines w:val="0"/>
        <w:keepNext w:val="0"/>
        <w:pageBreakBefore w:val="0"/>
        <w:spacing w:before="0" w:after="0"/>
        <w:widowControl/>
        <w:tabs>
          <w:tab w:val="left" w:pos="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pStyle w:val="702"/>
        <w:jc w:val="center"/>
        <w:keepLines/>
        <w:keepNext/>
        <w:pageBreakBefore w:val="0"/>
        <w:spacing w:line="240" w:lineRule="atLeast"/>
        <w:widowControl w:val="off"/>
        <w:rPr>
          <w:rFonts w:hint="eastAsia" w:ascii="宋体" w:hAnsi="宋体" w:cs="新宋体"/>
          <w:b/>
          <w:color w:val="auto"/>
          <w:sz w:val="36"/>
          <w:szCs w:val="36"/>
          <w:highlight w:val="none"/>
          <w:lang w:val="en-US" w:eastAsia="zh-CN"/>
        </w:rPr>
      </w:pPr>
      <w:r>
        <w:rPr>
          <w:rFonts w:hint="eastAsia" w:ascii="宋体" w:hAnsi="宋体" w:cs="新宋体"/>
          <w:b/>
          <w:color w:val="auto"/>
          <w:sz w:val="36"/>
          <w:szCs w:val="36"/>
          <w:highlight w:val="none"/>
          <w:lang w:val="en-US" w:eastAsia="zh-CN"/>
        </w:rPr>
        <w:t xml:space="preserve">采购包二</w:t>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一、说明</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rPr>
        <w:t xml:space="preserve">（一）采购人：</w:t>
      </w:r>
      <w:r>
        <w:rPr>
          <w:rFonts w:hint="eastAsia"/>
          <w:color w:val="auto"/>
          <w:sz w:val="24"/>
          <w:szCs w:val="24"/>
          <w:highlight w:val="none"/>
          <w:lang w:val="en-US" w:eastAsia="zh-CN"/>
        </w:rPr>
        <w:t xml:space="preserve">邳州市纪念场馆管理处</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（二）采购项目名称：纪念场馆及烈士陵园物业安保服务项目</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（三）采购标的：纪念场馆及烈士陵园物业安保服务项目</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lang w:val="en-US" w:eastAsia="zh-CN"/>
        </w:rPr>
        <w:t xml:space="preserve">（纪念场馆及烈士陵园物业安保服务项目</w:t>
      </w:r>
      <w:r>
        <w:rPr>
          <w:rFonts w:hint="eastAsia"/>
          <w:color w:val="auto"/>
          <w:sz w:val="24"/>
          <w:szCs w:val="24"/>
          <w:highlight w:val="none"/>
        </w:rPr>
        <w:t xml:space="preserve">）对应的中小企业划分标准所属行业为（物业管理）。</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t xml:space="preserve">（四）本项目为专门面向中小企业采购的项目。</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rPr>
        <w:t xml:space="preserve">（五）本项目不接受超过</w:t>
      </w:r>
      <w:r>
        <w:rPr>
          <w:rFonts w:hint="eastAsia"/>
          <w:color w:val="auto"/>
          <w:sz w:val="24"/>
          <w:szCs w:val="24"/>
          <w:highlight w:val="none"/>
          <w:lang w:val="en-US" w:eastAsia="zh-CN"/>
        </w:rPr>
        <w:t xml:space="preserve">227.88</w:t>
      </w:r>
      <w:r>
        <w:rPr>
          <w:rFonts w:hint="eastAsia"/>
          <w:color w:val="auto"/>
          <w:sz w:val="24"/>
          <w:szCs w:val="24"/>
          <w:highlight w:val="none"/>
        </w:rPr>
        <w:t xml:space="preserve">万元（采购项目预算金额）的投标报价。</w:t>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二、项目概况：</w:t>
      </w:r>
      <w:r/>
    </w:p>
    <w:p>
      <w:pPr>
        <w:ind w:firstLine="48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一</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基本情况：</w:t>
      </w:r>
      <w:r/>
    </w:p>
    <w:tbl>
      <w:tblPr>
        <w:tblStyle w:val="712"/>
        <w:tblpPr w:horzAnchor="page" w:tblpX="1533" w:vertAnchor="text" w:tblpY="294" w:leftFromText="180" w:topFromText="0" w:rightFromText="180" w:bottomFromText="0"/>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172"/>
        <w:gridCol w:w="5171"/>
      </w:tblGrid>
      <w:tr>
        <w:trPr>
          <w:trHeight w:val="447"/>
        </w:trPr>
        <w:tc>
          <w:tcPr>
            <w:tcW w:w="190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物业名称</w:t>
            </w:r>
            <w:r/>
          </w:p>
        </w:tc>
        <w:tc>
          <w:tcPr>
            <w:tcW w:w="309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物业地址</w:t>
            </w:r>
            <w:r/>
          </w:p>
        </w:tc>
      </w:tr>
      <w:tr>
        <w:trPr>
          <w:trHeight w:val="447"/>
        </w:trPr>
        <w:tc>
          <w:tcPr>
            <w:tcW w:w="190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rPr>
            </w:pPr>
            <w:r>
              <w:rPr>
                <w:rFonts w:hint="eastAsia"/>
                <w:color w:val="auto"/>
                <w:sz w:val="22"/>
                <w:szCs w:val="22"/>
                <w:highlight w:val="none"/>
                <w:lang w:val="en-US" w:eastAsia="zh-CN"/>
              </w:rPr>
              <w:t xml:space="preserve">淮海战役碾庄圩战斗纪念馆</w:t>
            </w:r>
            <w:r/>
          </w:p>
        </w:tc>
        <w:tc>
          <w:tcPr>
            <w:tcW w:w="3098" w:type="pct"/>
            <w:vAlign w:val="center"/>
            <w:textDirection w:val="lrTb"/>
            <w:noWrap w:val="false"/>
          </w:tcPr>
          <w:p>
            <w:pPr>
              <w:ind w:left="105"/>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邳州市碾庄镇新街居委会</w:t>
            </w:r>
            <w:r/>
          </w:p>
        </w:tc>
      </w:tr>
      <w:tr>
        <w:trPr>
          <w:trHeight w:val="447"/>
        </w:trPr>
        <w:tc>
          <w:tcPr>
            <w:tcW w:w="190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rPr>
            </w:pPr>
            <w:r>
              <w:rPr>
                <w:rFonts w:hint="eastAsia"/>
                <w:color w:val="auto"/>
                <w:sz w:val="22"/>
                <w:szCs w:val="22"/>
                <w:highlight w:val="none"/>
                <w:lang w:val="en-US" w:eastAsia="zh-CN"/>
              </w:rPr>
              <w:t xml:space="preserve">李超时纪念馆</w:t>
            </w:r>
            <w:r/>
          </w:p>
        </w:tc>
        <w:tc>
          <w:tcPr>
            <w:tcW w:w="3098" w:type="pct"/>
            <w:vAlign w:val="center"/>
            <w:textDirection w:val="lrTb"/>
            <w:noWrap w:val="false"/>
          </w:tcPr>
          <w:p>
            <w:pPr>
              <w:ind w:left="105"/>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邳州市碾庄镇才庄村</w:t>
            </w:r>
            <w:r/>
          </w:p>
        </w:tc>
      </w:tr>
      <w:tr>
        <w:trPr>
          <w:trHeight w:val="447"/>
        </w:trPr>
        <w:tc>
          <w:tcPr>
            <w:tcW w:w="190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石山烈士陵园</w:t>
            </w:r>
            <w:r/>
          </w:p>
        </w:tc>
        <w:tc>
          <w:tcPr>
            <w:tcW w:w="3098" w:type="pct"/>
            <w:vAlign w:val="center"/>
            <w:textDirection w:val="lrTb"/>
            <w:noWrap w:val="false"/>
          </w:tcPr>
          <w:p>
            <w:pPr>
              <w:ind w:left="105"/>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邳州市八义集镇石山村</w:t>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三、物业服务范围：</w:t>
      </w:r>
      <w:r/>
    </w:p>
    <w:p>
      <w:pPr>
        <w:ind w:firstLine="480"/>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lang w:val="en-US" w:eastAsia="zh-CN"/>
        </w:rPr>
        <w:t xml:space="preserve">（一）</w:t>
      </w:r>
      <w:r>
        <w:rPr>
          <w:rFonts w:hint="eastAsia"/>
          <w:color w:val="auto"/>
          <w:sz w:val="22"/>
          <w:szCs w:val="22"/>
          <w:highlight w:val="none"/>
          <w:lang w:val="en-US" w:eastAsia="zh-CN"/>
        </w:rPr>
        <w:t xml:space="preserve">淮海战役碾庄圩战斗纪念馆</w:t>
      </w:r>
      <w:r>
        <w:rPr>
          <w:rFonts w:hint="eastAsia"/>
          <w:color w:val="auto"/>
          <w:sz w:val="24"/>
          <w:szCs w:val="24"/>
          <w:highlight w:val="none"/>
        </w:rPr>
        <w:t xml:space="preserve">物业管理（建筑物）</w:t>
      </w:r>
      <w:r/>
    </w:p>
    <w:tbl>
      <w:tblPr>
        <w:tblStyle w:val="966"/>
        <w:tblpPr w:horzAnchor="page" w:tblpX="1548" w:vertAnchor="text" w:tblpY="308" w:leftFromText="180" w:topFromText="0" w:rightFromText="180" w:bottomFromText="0"/>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40"/>
        <w:gridCol w:w="1912"/>
        <w:gridCol w:w="2618"/>
        <w:gridCol w:w="2469"/>
      </w:tblGrid>
      <w:tr>
        <w:trPr>
          <w:trHeight w:val="397"/>
        </w:trPr>
        <w:tc>
          <w:tcPr>
            <w:gridSpan w:val="2"/>
            <w:tcW w:w="194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56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14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trHeight w:val="397"/>
        </w:trPr>
        <w:tc>
          <w:tcPr>
            <w:gridSpan w:val="2"/>
            <w:tcW w:w="1949"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建筑名称</w:t>
            </w:r>
            <w:r/>
          </w:p>
        </w:tc>
        <w:tc>
          <w:tcPr>
            <w:tcW w:w="1569" w:type="pct"/>
            <w:vAlign w:val="center"/>
            <w:textDirection w:val="lrTb"/>
            <w:noWrap w:val="false"/>
          </w:tcPr>
          <w:p>
            <w:pPr>
              <w:ind w:left="105" w:right="105"/>
              <w:jc w:val="both"/>
              <w:keepLines w:val="0"/>
              <w:keepNext w:val="0"/>
              <w:pageBreakBefore w:val="0"/>
              <w:spacing w:line="32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战役纪念馆、办公用房等</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总面积</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7000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需保洁面积（㎡）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7000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会议室数量（个）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会议室1个，总面积30</w:t>
            </w:r>
            <w:r>
              <w:rPr>
                <w:rFonts w:hint="eastAsia"/>
                <w:color w:val="auto"/>
                <w:sz w:val="22"/>
                <w:szCs w:val="22"/>
                <w:highlight w:val="none"/>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报告厅1个，总面积50㎡</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卫生间数量（个）</w:t>
            </w:r>
            <w:r/>
          </w:p>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卫生间4个，总面积160㎡</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垃圾存放点</w:t>
            </w:r>
            <w:r/>
          </w:p>
        </w:tc>
        <w:tc>
          <w:tcPr>
            <w:tcW w:w="1146" w:type="pct"/>
            <w:vAlign w:val="center"/>
            <w:textDirection w:val="lrTb"/>
            <w:noWrap w:val="false"/>
          </w:tcPr>
          <w:p>
            <w:pPr>
              <w:ind w:left="105" w:right="105"/>
              <w:jc w:val="center"/>
              <w:keepLines w:val="0"/>
              <w:keepNext w:val="0"/>
              <w:pageBreakBefore w:val="0"/>
              <w:spacing w:line="320" w:lineRule="exact"/>
              <w:widowControl w:val="off"/>
              <w:rPr>
                <w:rFonts w:hint="eastAsia"/>
                <w:color w:val="auto"/>
                <w:sz w:val="22"/>
                <w:szCs w:val="22"/>
                <w:highlight w:val="none"/>
              </w:rPr>
            </w:pPr>
            <w:r>
              <w:rPr>
                <w:rFonts w:hint="eastAsia"/>
                <w:color w:val="auto"/>
                <w:sz w:val="22"/>
                <w:szCs w:val="22"/>
                <w:highlight w:val="none"/>
              </w:rPr>
              <w:t xml:space="preserve">垃圾存放点数量、面积（㎡）</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rPr>
              <w:t xml:space="preserve">垃圾存放点</w:t>
            </w:r>
            <w:r>
              <w:rPr>
                <w:rFonts w:hint="eastAsia"/>
                <w:color w:val="auto"/>
                <w:sz w:val="22"/>
                <w:szCs w:val="22"/>
                <w:highlight w:val="none"/>
                <w:lang w:val="en-US" w:eastAsia="zh-CN"/>
              </w:rPr>
              <w:t xml:space="preserve">2个，</w:t>
            </w:r>
            <w:r>
              <w:rPr>
                <w:rFonts w:hint="eastAsia"/>
                <w:color w:val="auto"/>
                <w:sz w:val="22"/>
                <w:szCs w:val="22"/>
                <w:highlight w:val="none"/>
                <w:lang w:val="en-US"/>
              </w:rPr>
              <w:t xml:space="preserve">面积</w:t>
            </w:r>
            <w:r>
              <w:rPr>
                <w:rFonts w:hint="eastAsia"/>
                <w:color w:val="auto"/>
                <w:sz w:val="22"/>
                <w:szCs w:val="22"/>
                <w:highlight w:val="none"/>
                <w:lang w:val="en-US" w:eastAsia="zh-CN"/>
              </w:rPr>
              <w:t xml:space="preserve">15</w:t>
            </w:r>
            <w:r>
              <w:rPr>
                <w:rFonts w:hint="eastAsia"/>
                <w:color w:val="auto"/>
                <w:sz w:val="22"/>
                <w:szCs w:val="22"/>
                <w:highlight w:val="none"/>
                <w:lang w:val="en-US"/>
              </w:rPr>
              <w:t xml:space="preserve">㎡</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2个</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397"/>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eastAsia="zh-CN"/>
              </w:rPr>
            </w:pPr>
            <w:r>
              <w:rPr>
                <w:rFonts w:hint="eastAsia"/>
                <w:color w:val="auto"/>
                <w:sz w:val="22"/>
                <w:szCs w:val="22"/>
                <w:highlight w:val="none"/>
              </w:rPr>
              <w:t xml:space="preserve">设施设备</w:t>
            </w:r>
            <w:r/>
          </w:p>
        </w:tc>
        <w:tc>
          <w:tcPr>
            <w:tcW w:w="1146"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电梯系统</w:t>
            </w:r>
            <w:r/>
          </w:p>
        </w:tc>
        <w:tc>
          <w:tcPr>
            <w:tcW w:w="261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rPr>
            </w:pPr>
            <w:r>
              <w:rPr>
                <w:rFonts w:hint="eastAsia"/>
                <w:color w:val="auto"/>
                <w:sz w:val="22"/>
                <w:szCs w:val="22"/>
                <w:highlight w:val="none"/>
                <w:lang w:val="en-US" w:eastAsia="zh-CN"/>
              </w:rPr>
              <w:t xml:space="preserve">垂直电梯2个，手扶梯1个</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（二）</w:t>
      </w:r>
      <w:r>
        <w:rPr>
          <w:rFonts w:hint="eastAsia"/>
          <w:color w:val="auto"/>
          <w:sz w:val="22"/>
          <w:szCs w:val="22"/>
          <w:highlight w:val="none"/>
          <w:lang w:val="en-US" w:eastAsia="zh-CN"/>
        </w:rPr>
        <w:t xml:space="preserve">淮海战役碾庄圩战斗纪念馆</w:t>
      </w:r>
      <w:r>
        <w:rPr>
          <w:rFonts w:hint="eastAsia"/>
          <w:color w:val="auto"/>
          <w:sz w:val="24"/>
          <w:szCs w:val="24"/>
          <w:highlight w:val="none"/>
        </w:rPr>
        <w:t xml:space="preserve">物业管理（室外）</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75"/>
        <w:gridCol w:w="2864"/>
        <w:gridCol w:w="3670"/>
      </w:tblGrid>
      <w:tr>
        <w:trPr>
          <w:jc w:val="center"/>
          <w:trHeight w:val="462"/>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72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2207"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jc w:val="center"/>
          <w:trHeight w:val="460"/>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室外面积</w:t>
            </w:r>
            <w:r/>
          </w:p>
        </w:tc>
        <w:tc>
          <w:tcPr>
            <w:tcW w:w="2864"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66600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7"/>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绿化</w:t>
            </w:r>
            <w:r/>
          </w:p>
        </w:tc>
        <w:tc>
          <w:tcPr>
            <w:tcW w:w="2864"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10200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广场</w:t>
            </w:r>
            <w:r/>
          </w:p>
        </w:tc>
        <w:tc>
          <w:tcPr>
            <w:tcW w:w="2864"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13320</w:t>
            </w:r>
            <w:r>
              <w:rPr>
                <w:rFonts w:hint="eastAsia"/>
                <w:color w:val="auto"/>
                <w:sz w:val="22"/>
                <w:szCs w:val="22"/>
                <w:highlight w:val="none"/>
              </w:rPr>
              <w:t xml:space="preserve">㎡</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0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垃圾箱</w:t>
            </w:r>
            <w:r/>
          </w:p>
        </w:tc>
        <w:tc>
          <w:tcPr>
            <w:tcW w:w="2864"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20个</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068"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墓区</w:t>
            </w:r>
            <w:r/>
          </w:p>
        </w:tc>
        <w:tc>
          <w:tcPr>
            <w:tcW w:w="2864"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1000</w:t>
            </w:r>
            <w:r>
              <w:rPr>
                <w:rFonts w:hint="eastAsia"/>
                <w:color w:val="auto"/>
                <w:sz w:val="22"/>
                <w:szCs w:val="22"/>
                <w:highlight w:val="none"/>
              </w:rPr>
              <w:t xml:space="preserve">㎡</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650座</w:t>
            </w:r>
            <w:r/>
          </w:p>
        </w:tc>
        <w:tc>
          <w:tcPr>
            <w:tcW w:w="220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r>
    </w:tbl>
    <w:p>
      <w:pPr>
        <w:ind w:firstLine="0"/>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w:t>
      </w:r>
      <w:r>
        <w:rPr>
          <w:rFonts w:hint="eastAsia" w:cs="Times New Roman"/>
          <w:color w:val="auto"/>
          <w:sz w:val="24"/>
          <w:szCs w:val="24"/>
          <w:highlight w:val="none"/>
          <w:lang w:val="en-US" w:eastAsia="zh-CN" w:bidi="ar-SA"/>
        </w:rPr>
        <w:t xml:space="preserve">李超时</w:t>
      </w:r>
      <w:r>
        <w:rPr>
          <w:rFonts w:hint="eastAsia" w:ascii="Times New Roman" w:hAnsi="Times New Roman" w:eastAsia="宋体" w:cs="Times New Roman"/>
          <w:color w:val="auto"/>
          <w:sz w:val="24"/>
          <w:szCs w:val="24"/>
          <w:highlight w:val="none"/>
          <w:lang w:val="en-US" w:eastAsia="zh-CN" w:bidi="ar-SA"/>
        </w:rPr>
        <w:t xml:space="preserve">纪念馆物业管理（建筑物）</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6"/>
        <w:gridCol w:w="1708"/>
        <w:gridCol w:w="2808"/>
        <w:gridCol w:w="2462"/>
      </w:tblGrid>
      <w:tr>
        <w:trPr>
          <w:trHeight w:val="463"/>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68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14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trHeight w:val="458"/>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建筑名称</w:t>
            </w:r>
            <w:r/>
          </w:p>
        </w:tc>
        <w:tc>
          <w:tcPr>
            <w:tcW w:w="1688" w:type="pct"/>
            <w:vAlign w:val="center"/>
            <w:textDirection w:val="lrTb"/>
            <w:noWrap w:val="false"/>
          </w:tcPr>
          <w:p>
            <w:pPr>
              <w:ind w:left="105" w:right="105"/>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李超时纪念馆、办公用房等</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60"/>
        </w:trPr>
        <w:tc>
          <w:tcPr>
            <w:tcW w:w="803"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总面积</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建筑面积（㎡）</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539"/>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需保洁面积（㎡）</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90"/>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会议室数量（个）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会议室1个，总面积40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86"/>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报告厅1个，总面积60㎡</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86"/>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卫生间3个，总面积45㎡</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消防箱数量（个）</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18个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2808"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（四）</w:t>
      </w:r>
      <w:r>
        <w:rPr>
          <w:rFonts w:hint="eastAsia" w:cs="Times New Roman"/>
          <w:color w:val="auto"/>
          <w:sz w:val="24"/>
          <w:szCs w:val="24"/>
          <w:highlight w:val="none"/>
          <w:lang w:val="en-US" w:eastAsia="zh-CN" w:bidi="ar-SA"/>
        </w:rPr>
        <w:t xml:space="preserve">李超时</w:t>
      </w:r>
      <w:r>
        <w:rPr>
          <w:rFonts w:hint="eastAsia" w:ascii="Times New Roman" w:hAnsi="Times New Roman" w:eastAsia="宋体" w:cs="Times New Roman"/>
          <w:color w:val="auto"/>
          <w:sz w:val="24"/>
          <w:szCs w:val="24"/>
          <w:highlight w:val="none"/>
          <w:lang w:val="en-US" w:eastAsia="zh-CN" w:bidi="ar-SA"/>
        </w:rPr>
        <w:t xml:space="preserve">纪念馆物业管理（室外）</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15"/>
        <w:gridCol w:w="2861"/>
        <w:gridCol w:w="3534"/>
      </w:tblGrid>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7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212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jc w:val="center"/>
          <w:trHeight w:val="460"/>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室外面积</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13320</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7"/>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绿化</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8000</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广场</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500</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消防栓</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4个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垃圾箱</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烈士墓</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60</w:t>
            </w:r>
            <w:r>
              <w:rPr>
                <w:rFonts w:hint="eastAsia"/>
                <w:color w:val="auto"/>
                <w:sz w:val="22"/>
                <w:szCs w:val="22"/>
                <w:highlight w:val="none"/>
              </w:rPr>
              <w:t xml:space="preserve">㎡</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1座</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r>
    </w:tbl>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五</w:t>
      </w: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石山烈士陵园</w:t>
      </w:r>
      <w:r>
        <w:rPr>
          <w:rFonts w:hint="eastAsia" w:ascii="Times New Roman" w:hAnsi="Times New Roman" w:eastAsia="宋体" w:cs="Times New Roman"/>
          <w:color w:val="auto"/>
          <w:sz w:val="24"/>
          <w:szCs w:val="24"/>
          <w:highlight w:val="none"/>
          <w:lang w:val="en-US" w:eastAsia="zh-CN" w:bidi="ar-SA"/>
        </w:rPr>
        <w:t xml:space="preserve">物业管理（建筑物）</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7"/>
        <w:gridCol w:w="1710"/>
        <w:gridCol w:w="2811"/>
        <w:gridCol w:w="2465"/>
      </w:tblGrid>
      <w:tr>
        <w:trPr>
          <w:trHeight w:val="463"/>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68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14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trHeight w:val="458"/>
        </w:trPr>
        <w:tc>
          <w:tcPr>
            <w:gridSpan w:val="2"/>
            <w:tcW w:w="18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建筑名称</w:t>
            </w:r>
            <w:r/>
          </w:p>
        </w:tc>
        <w:tc>
          <w:tcPr>
            <w:tcW w:w="1688" w:type="pct"/>
            <w:vAlign w:val="center"/>
            <w:textDirection w:val="lrTb"/>
            <w:noWrap w:val="false"/>
          </w:tcPr>
          <w:p>
            <w:pPr>
              <w:ind w:left="105" w:right="105"/>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办公用房、卫生间等</w:t>
            </w:r>
            <w:r/>
          </w:p>
        </w:tc>
        <w:tc>
          <w:tcPr>
            <w:tcW w:w="1480" w:type="pct"/>
            <w:vAlign w:val="center"/>
            <w:textDirection w:val="lrTb"/>
            <w:noWrap w:val="false"/>
          </w:tcPr>
          <w:p>
            <w:pPr>
              <w:ind w:left="105" w:right="105"/>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60"/>
        </w:trPr>
        <w:tc>
          <w:tcPr>
            <w:tcW w:w="803"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总面积</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建筑面积（㎡）</w:t>
            </w:r>
            <w:r/>
          </w:p>
        </w:tc>
        <w:tc>
          <w:tcPr>
            <w:tcW w:w="2811"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539"/>
        </w:trPr>
        <w:tc>
          <w:tcPr>
            <w:tcW w:w="803"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需保洁面积（㎡）</w:t>
            </w:r>
            <w:r/>
          </w:p>
        </w:tc>
        <w:tc>
          <w:tcPr>
            <w:tcW w:w="2811"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200</w:t>
            </w:r>
            <w:r>
              <w:rPr>
                <w:rFonts w:hint="eastAsia"/>
                <w:color w:val="auto"/>
                <w:sz w:val="22"/>
                <w:szCs w:val="22"/>
                <w:highlight w:val="none"/>
              </w:rPr>
              <w:t xml:space="preserve">㎡</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686"/>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卫生间数量（个）</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及总面积（㎡）</w:t>
            </w:r>
            <w:r/>
          </w:p>
        </w:tc>
        <w:tc>
          <w:tcPr>
            <w:tcW w:w="2811" w:type="dxa"/>
            <w:vAlign w:val="center"/>
            <w:textDirection w:val="lrTb"/>
            <w:noWrap w:val="false"/>
          </w:tcPr>
          <w:p>
            <w:pPr>
              <w:ind w:left="105" w:right="105" w:firstLine="0"/>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卫生间1个，总面积45㎡</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消防箱数量（个）</w:t>
            </w:r>
            <w:r/>
          </w:p>
        </w:tc>
        <w:tc>
          <w:tcPr>
            <w:tcW w:w="2811"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18个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trHeight w:val="458"/>
        </w:trPr>
        <w:tc>
          <w:tcPr>
            <w:tcW w:w="803"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1027"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人行口</w:t>
            </w:r>
            <w:r/>
          </w:p>
        </w:tc>
        <w:tc>
          <w:tcPr>
            <w:tcW w:w="2811" w:type="dxa"/>
            <w:vAlign w:val="center"/>
            <w:textDirection w:val="lrTb"/>
            <w:noWrap w:val="false"/>
          </w:tcPr>
          <w:p>
            <w:pPr>
              <w:ind w:left="105" w:right="105" w:firstLine="0"/>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2个</w:t>
            </w:r>
            <w:r/>
          </w:p>
        </w:tc>
        <w:tc>
          <w:tcPr>
            <w:tcW w:w="148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（四）</w:t>
      </w:r>
      <w:r>
        <w:rPr>
          <w:rFonts w:hint="eastAsia" w:cs="Times New Roman"/>
          <w:color w:val="auto"/>
          <w:sz w:val="24"/>
          <w:szCs w:val="24"/>
          <w:highlight w:val="none"/>
          <w:lang w:val="en-US" w:eastAsia="zh-CN" w:bidi="ar-SA"/>
        </w:rPr>
        <w:t xml:space="preserve">石山烈士陵园</w:t>
      </w:r>
      <w:r>
        <w:rPr>
          <w:rFonts w:hint="eastAsia" w:ascii="Times New Roman" w:hAnsi="Times New Roman" w:eastAsia="宋体" w:cs="Times New Roman"/>
          <w:color w:val="auto"/>
          <w:sz w:val="24"/>
          <w:szCs w:val="24"/>
          <w:highlight w:val="none"/>
          <w:lang w:val="en-US" w:eastAsia="zh-CN" w:bidi="ar-SA"/>
        </w:rPr>
        <w:t xml:space="preserve">物业管理（室外）</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15"/>
        <w:gridCol w:w="2861"/>
        <w:gridCol w:w="3534"/>
      </w:tblGrid>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名称</w:t>
            </w:r>
            <w:r/>
          </w:p>
        </w:tc>
        <w:tc>
          <w:tcPr>
            <w:tcW w:w="17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明细</w:t>
            </w:r>
            <w:r/>
          </w:p>
        </w:tc>
        <w:tc>
          <w:tcPr>
            <w:tcW w:w="212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服务内容及标准</w:t>
            </w:r>
            <w:r/>
          </w:p>
        </w:tc>
      </w:tr>
      <w:tr>
        <w:trPr>
          <w:jc w:val="center"/>
          <w:trHeight w:val="460"/>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室外面积</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17316</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7"/>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绿化</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12121</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广场</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2000</w:t>
            </w:r>
            <w:r>
              <w:rPr>
                <w:rFonts w:hint="eastAsia"/>
                <w:color w:val="auto"/>
                <w:sz w:val="22"/>
                <w:szCs w:val="22"/>
                <w:highlight w:val="none"/>
              </w:rPr>
              <w:t xml:space="preserve">㎡</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58"/>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消防栓</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4个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垃圾箱</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5个</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见“</w:t>
            </w:r>
            <w:r>
              <w:rPr>
                <w:rFonts w:hint="eastAsia"/>
                <w:color w:val="auto"/>
                <w:sz w:val="22"/>
                <w:szCs w:val="22"/>
                <w:highlight w:val="none"/>
                <w:lang w:val="en-US" w:eastAsia="zh-CN"/>
              </w:rPr>
              <w:t xml:space="preserve">保洁服务、保安服务</w:t>
            </w:r>
            <w:r>
              <w:rPr>
                <w:rFonts w:hint="eastAsia"/>
                <w:color w:val="auto"/>
                <w:sz w:val="22"/>
                <w:szCs w:val="22"/>
                <w:highlight w:val="none"/>
              </w:rPr>
              <w:t xml:space="preserve">”</w:t>
            </w:r>
            <w:r/>
          </w:p>
        </w:tc>
      </w:tr>
      <w:tr>
        <w:trPr>
          <w:jc w:val="center"/>
          <w:trHeight w:val="462"/>
        </w:trPr>
        <w:tc>
          <w:tcPr>
            <w:tcW w:w="1152"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烈士墓</w:t>
            </w:r>
            <w:r/>
          </w:p>
        </w:tc>
        <w:tc>
          <w:tcPr>
            <w:tcW w:w="2861" w:type="dxa"/>
            <w:vAlign w:val="center"/>
            <w:textDirection w:val="lrTb"/>
            <w:noWrap w:val="false"/>
          </w:tcPr>
          <w:p>
            <w:pPr>
              <w:ind w:firstLine="0"/>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2000</w:t>
            </w:r>
            <w:r>
              <w:rPr>
                <w:rFonts w:hint="eastAsia"/>
                <w:color w:val="auto"/>
                <w:sz w:val="22"/>
                <w:szCs w:val="22"/>
                <w:highlight w:val="none"/>
              </w:rPr>
              <w:t xml:space="preserve">㎡</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550座</w:t>
            </w:r>
            <w:r/>
          </w:p>
        </w:tc>
        <w:tc>
          <w:tcPr>
            <w:tcW w:w="2126"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r>
    </w:tbl>
    <w:p>
      <w:p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四、物业管理服务内容及标准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（一）</w:t>
      </w:r>
      <w:r>
        <w:rPr>
          <w:rFonts w:hint="eastAsia" w:ascii="Times New Roman" w:hAnsi="Times New Roman" w:eastAsia="宋体" w:cs="Times New Roman"/>
          <w:color w:val="auto"/>
          <w:sz w:val="24"/>
          <w:szCs w:val="24"/>
          <w:highlight w:val="none"/>
          <w:lang w:val="en-US" w:eastAsia="zh-CN" w:bidi="ar-SA"/>
        </w:rPr>
        <w:t xml:space="preserve">物业管理服务包括基本服务、保洁服务、安保服务、公用设施设备维护服务、公共设施节水、节电、节能管理、处理突发事件</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物业移交</w:t>
      </w:r>
      <w:r>
        <w:rPr>
          <w:rFonts w:hint="eastAsia" w:cs="Times New Roman"/>
          <w:color w:val="auto"/>
          <w:sz w:val="24"/>
          <w:szCs w:val="24"/>
          <w:highlight w:val="none"/>
          <w:lang w:val="en-US" w:eastAsia="zh-CN" w:bidi="ar-SA"/>
        </w:rPr>
        <w:t xml:space="preserve">等。</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1.基本服务</w:t>
      </w:r>
      <w:r>
        <w:rPr>
          <w:rFonts w:hint="eastAsia" w:cs="Times New Roman"/>
          <w:color w:val="auto"/>
          <w:sz w:val="24"/>
          <w:szCs w:val="24"/>
          <w:highlight w:val="none"/>
          <w:lang w:val="en-US" w:eastAsia="zh-CN" w:bidi="ar-SA"/>
        </w:rPr>
        <w:t xml:space="preserve">。</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1258"/>
        <w:gridCol w:w="6095"/>
      </w:tblGrid>
      <w:tr>
        <w:trPr>
          <w:trHeight w:val="794"/>
        </w:trPr>
        <w:tc>
          <w:tcPr>
            <w:tcW w:w="685"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73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57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794"/>
        </w:trPr>
        <w:tc>
          <w:tcPr>
            <w:tcW w:w="685"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w:t>
            </w:r>
            <w:r/>
          </w:p>
        </w:tc>
        <w:tc>
          <w:tcPr>
            <w:tcW w:w="73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目标与责任</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（1）结合采购人要求及物业服务实际情况，制定年度管理目标，明确责任分工，并制定配套实施方案。</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服务人员</w:t>
            </w:r>
            <w:r/>
          </w:p>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要求</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（1）每</w:t>
            </w:r>
            <w:r>
              <w:rPr>
                <w:rFonts w:hint="eastAsia"/>
                <w:color w:val="auto"/>
                <w:sz w:val="22"/>
                <w:szCs w:val="22"/>
                <w:highlight w:val="none"/>
                <w:lang w:val="en-US" w:eastAsia="zh-CN"/>
              </w:rPr>
              <w:t xml:space="preserve">半年</w:t>
            </w:r>
            <w:r>
              <w:rPr>
                <w:rFonts w:hint="eastAsia"/>
                <w:color w:val="auto"/>
                <w:sz w:val="22"/>
                <w:szCs w:val="22"/>
                <w:highlight w:val="none"/>
                <w:lang w:val="en-US"/>
              </w:rPr>
              <w:t xml:space="preserve">至少开展 1 次岗位技能、职业素质、服务知识、客户文化、绿色节能环保等教育培训，并进行适当形式的考核。</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（2）根据采购人要求对服务人员进行从业资格审查，审查结果向采购人报备。</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（5）着装分类统一，佩戴标识。仪容整洁、姿态端正、举止文明。用语文明礼貌，态度温和耐心。</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档案管理</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（1）建立物业信息，准确、及时地对文件资料和服务记录进行归档保存，并确保其物理安全。</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（2）档案和记录齐全，包括但不限于：①采购人建议与投诉等。教育培训和考核记录。保密、思想 政治教育培训记录。②保洁服务：工作日志、清洁检查表、用品清单、客户反馈表等。 ③保安服务：监控记录、突发事件演习与处置记录等。④公用设施设备维护服务：设备台账、设备卡、使用说明、维保记录、巡查记录、设施设备安全运行、设施设备定期巡检、维护保养、维修档案等。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（3）遵守采购人的信息、档案资料保密要求，未经许可，不得将建筑物平面图等资料转作其他用途或向其他单位、个人提供。</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（4）履约结束后，相关资料交还采购人，采购人按政府采购相关规定存档。</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服务改进</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（1）明确负责人，定期对物业服务过程进行自查，结合反馈意见与评价结果采取改进措施，持续提升管理与服务水平。</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（2）对不合格服务进行控制，对不合格服务的原因进行识别和分析，及时采取纠正措施，消除不合格的原因，防止不合格再发生。</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（3）需整改问题及时整改完成。</w:t>
            </w:r>
            <w:r/>
          </w:p>
        </w:tc>
      </w:tr>
      <w:tr>
        <w:trPr>
          <w:trHeight w:val="794"/>
        </w:trPr>
        <w:tc>
          <w:tcPr>
            <w:tcW w:w="685" w:type="pct"/>
            <w:vAlign w:val="center"/>
            <w:vMerge w:val="restart"/>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5</w:t>
            </w:r>
            <w:r/>
          </w:p>
        </w:tc>
        <w:tc>
          <w:tcPr>
            <w:tcW w:w="73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服务方案及工作制度</w:t>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（1）制定工作制度，主要包括：人员录用制度、档案管理制度、物业服务管理制度、</w:t>
            </w:r>
            <w:r>
              <w:rPr>
                <w:rFonts w:hint="eastAsia"/>
                <w:color w:val="auto"/>
                <w:sz w:val="22"/>
                <w:szCs w:val="22"/>
                <w:highlight w:val="none"/>
                <w:lang w:val="en-US" w:eastAsia="zh-CN"/>
              </w:rPr>
              <w:t xml:space="preserve">安保服务管理制度、</w:t>
            </w:r>
            <w:r>
              <w:rPr>
                <w:rFonts w:hint="eastAsia"/>
                <w:color w:val="auto"/>
                <w:sz w:val="22"/>
                <w:szCs w:val="22"/>
                <w:highlight w:val="none"/>
                <w:lang w:val="en-US"/>
              </w:rPr>
              <w:t xml:space="preserve">公用设施设备相关管理制度等。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（2）制定项目实施方案，主要包括：交接方案、人员培训方案、人员稳定性方案、保密方案等。</w:t>
            </w:r>
            <w:r/>
          </w:p>
        </w:tc>
      </w:tr>
      <w:tr>
        <w:trPr>
          <w:trHeight w:val="794"/>
        </w:trPr>
        <w:tc>
          <w:tcPr>
            <w:tcW w:w="685"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3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76" w:type="pct"/>
            <w:vAlign w:val="center"/>
            <w:textDirection w:val="lrTb"/>
            <w:noWrap w:val="false"/>
          </w:tcPr>
          <w:p>
            <w:pPr>
              <w:ind w:left="105" w:right="105"/>
              <w:jc w:val="both"/>
              <w:keepLines w:val="0"/>
              <w:keepNext w:val="0"/>
              <w:pageBreakBefore w:val="0"/>
              <w:spacing w:line="32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（3）制定物业服务方案 </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2.保洁服务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348"/>
        <w:gridCol w:w="5995"/>
      </w:tblGrid>
      <w:tr>
        <w:trPr>
          <w:trHeight w:val="567"/>
        </w:trPr>
        <w:tc>
          <w:tcPr>
            <w:tcW w:w="69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79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51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基本要求</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（1）建立保洁服务的工作制度及工作计划，并按照执行。</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（2）做好保洁服务工作记录，记录填写规范、保存完好。</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（3）作业时采取安全防护措施，防止对作业人员或他人造成伤害。相关耗材的环保、安全性等应当符合国家相关规定要求。</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保洁服务时间为</w:t>
            </w:r>
            <w:r>
              <w:rPr>
                <w:rFonts w:hint="eastAsia"/>
                <w:color w:val="auto"/>
                <w:sz w:val="22"/>
                <w:szCs w:val="22"/>
                <w:highlight w:val="none"/>
              </w:rPr>
              <w:t xml:space="preserve">上午7：00-下午17：00。具体保洁工作、保洁程序及休息时间须不影响工作人员正常生活、工作。</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纪念馆及</w:t>
            </w:r>
            <w:r>
              <w:rPr>
                <w:rFonts w:hint="eastAsia"/>
                <w:color w:val="auto"/>
                <w:sz w:val="22"/>
                <w:szCs w:val="22"/>
                <w:highlight w:val="none"/>
                <w:lang w:val="en-US"/>
              </w:rPr>
              <w:t xml:space="preserve">办公用房区域保洁</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（1）办公区域：</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①</w:t>
            </w:r>
            <w:r>
              <w:rPr>
                <w:rFonts w:hint="eastAsia"/>
                <w:color w:val="auto"/>
                <w:sz w:val="22"/>
                <w:szCs w:val="22"/>
                <w:highlight w:val="none"/>
              </w:rPr>
              <w:t xml:space="preserve">灯开关、插座：无污渍、无尘渍。</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②纸篓：垃圾及时清理。</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③地面、墙面、屋面及其附着物无灰尘、无污迹、无杂物、无水迹、无蜘蛛网、表面洁净；</w:t>
            </w:r>
            <w:r/>
          </w:p>
          <w:p>
            <w:pPr>
              <w:ind w:left="105" w:right="105"/>
              <w:jc w:val="both"/>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rPr>
              <w:t xml:space="preserve">④家具（桌、椅、凳，橱、柜等）、电器、装饰物及设施无灰尘、无污迹、无水迹、无蜘蛛网、表面洁净干燥；</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（2）</w:t>
            </w:r>
            <w:r>
              <w:rPr>
                <w:rFonts w:hint="eastAsia"/>
                <w:color w:val="auto"/>
                <w:sz w:val="22"/>
                <w:szCs w:val="22"/>
                <w:highlight w:val="none"/>
              </w:rPr>
              <w:t xml:space="preserve">楼道与楼层走廊：</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①</w:t>
            </w:r>
            <w:r>
              <w:rPr>
                <w:rFonts w:hint="eastAsia"/>
                <w:color w:val="auto"/>
                <w:sz w:val="22"/>
                <w:szCs w:val="22"/>
                <w:highlight w:val="none"/>
              </w:rPr>
              <w:t xml:space="preserve">台阶、地面无污渍、污迹、脚印、垃圾、灰尘；</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②</w:t>
            </w:r>
            <w:r>
              <w:rPr>
                <w:rFonts w:hint="eastAsia"/>
                <w:color w:val="auto"/>
                <w:sz w:val="22"/>
                <w:szCs w:val="22"/>
                <w:highlight w:val="none"/>
              </w:rPr>
              <w:t xml:space="preserve">扶手、栏杆无灰尘、无污渍、光滑、洁亮；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③</w:t>
            </w:r>
            <w:r>
              <w:rPr>
                <w:rFonts w:hint="eastAsia"/>
                <w:color w:val="auto"/>
                <w:sz w:val="22"/>
                <w:szCs w:val="22"/>
                <w:highlight w:val="none"/>
              </w:rPr>
              <w:t xml:space="preserve">墙面（玻璃墙面）、屋面、门窗无灰尘、无污渍、无指印、无蜘蛛网；</w:t>
            </w:r>
            <w:r/>
          </w:p>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rPr>
              <w:t xml:space="preserve">④开关、灯具及罩内无灰尘、无污迹、无虫尸、无蜘蛛网。</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（3）</w:t>
            </w:r>
            <w:r>
              <w:rPr>
                <w:rFonts w:hint="eastAsia"/>
                <w:color w:val="auto"/>
                <w:sz w:val="22"/>
                <w:szCs w:val="22"/>
                <w:highlight w:val="none"/>
              </w:rPr>
              <w:t xml:space="preserve">机房：</w:t>
            </w:r>
            <w:r/>
          </w:p>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rPr>
              <w:t xml:space="preserve">无灰尘、垃圾、纸屑、烟头、杂物等，门窗洁净光亮</w:t>
            </w:r>
            <w:r>
              <w:rPr>
                <w:rFonts w:hint="eastAsia"/>
                <w:color w:val="auto"/>
                <w:sz w:val="22"/>
                <w:szCs w:val="22"/>
                <w:highlight w:val="none"/>
                <w:lang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4</w:t>
            </w:r>
            <w:r>
              <w:rPr>
                <w:rFonts w:hint="eastAsia"/>
                <w:color w:val="auto"/>
                <w:sz w:val="22"/>
                <w:szCs w:val="22"/>
                <w:highlight w:val="none"/>
                <w:lang w:val="en-US"/>
              </w:rPr>
              <w:t xml:space="preserve">）消防栓（箱）：无尘、无污迹</w:t>
            </w:r>
            <w:r>
              <w:rPr>
                <w:rFonts w:hint="eastAsia"/>
                <w:color w:val="auto"/>
                <w:sz w:val="22"/>
                <w:szCs w:val="22"/>
                <w:highlight w:val="none"/>
                <w:lang w:val="en-US"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5</w:t>
            </w:r>
            <w:r>
              <w:rPr>
                <w:rFonts w:hint="eastAsia"/>
                <w:color w:val="auto"/>
                <w:sz w:val="22"/>
                <w:szCs w:val="22"/>
                <w:highlight w:val="none"/>
                <w:lang w:val="en-US"/>
              </w:rPr>
              <w:t xml:space="preserve">）开水间保持干净、无异味、无杂物、无积水</w:t>
            </w:r>
            <w:r>
              <w:rPr>
                <w:rFonts w:hint="eastAsia"/>
                <w:color w:val="auto"/>
                <w:sz w:val="22"/>
                <w:szCs w:val="22"/>
                <w:highlight w:val="none"/>
                <w:lang w:val="en-US" w:eastAsia="zh-CN"/>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6</w:t>
            </w:r>
            <w:r>
              <w:rPr>
                <w:rFonts w:hint="eastAsia"/>
                <w:color w:val="auto"/>
                <w:sz w:val="22"/>
                <w:szCs w:val="22"/>
                <w:highlight w:val="none"/>
                <w:lang w:val="en-US"/>
              </w:rPr>
              <w:t xml:space="preserve">）作业工具间：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①保持干净，无异味、无杂物、无积水。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②作业工具摆放整齐有序，表面干净无渍，每日消毒。</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（7）</w:t>
            </w:r>
            <w:r>
              <w:rPr>
                <w:rFonts w:hint="eastAsia"/>
                <w:color w:val="auto"/>
                <w:sz w:val="22"/>
                <w:szCs w:val="22"/>
                <w:highlight w:val="none"/>
                <w:lang w:val="en-US"/>
              </w:rPr>
              <w:t xml:space="preserve">公共卫生间：</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①</w:t>
            </w:r>
            <w:r>
              <w:rPr>
                <w:rFonts w:hint="eastAsia"/>
                <w:color w:val="auto"/>
                <w:sz w:val="22"/>
                <w:szCs w:val="22"/>
                <w:highlight w:val="none"/>
              </w:rPr>
              <w:t xml:space="preserve">天花板、墙角、灯具：无灰尘、蜘蛛网等；</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②</w:t>
            </w:r>
            <w:r>
              <w:rPr>
                <w:rFonts w:hint="eastAsia"/>
                <w:color w:val="auto"/>
                <w:sz w:val="22"/>
                <w:szCs w:val="22"/>
                <w:highlight w:val="none"/>
              </w:rPr>
              <w:t xml:space="preserve">卫生间大小便器：无污渍、无锈迹、洁净光亮；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default"/>
                <w:color w:val="auto"/>
                <w:sz w:val="22"/>
                <w:szCs w:val="22"/>
                <w:highlight w:val="none"/>
              </w:rPr>
              <w:t xml:space="preserve">③</w:t>
            </w:r>
            <w:r>
              <w:rPr>
                <w:rFonts w:hint="eastAsia"/>
                <w:color w:val="auto"/>
                <w:sz w:val="22"/>
                <w:szCs w:val="22"/>
                <w:highlight w:val="none"/>
              </w:rPr>
              <w:t xml:space="preserve">洗脸盘及面盆、镜面：无水渍、无污迹、洁净光亮；</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④大小便器隔断：内外无灰尘、无污渍、无水渍、无蜘蛛网；</w:t>
            </w:r>
            <w:r/>
          </w:p>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⑤地面：无烟头、纸屑、污渍、脚印、积水。</w:t>
            </w:r>
            <w:r/>
          </w:p>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rPr>
              <w:t xml:space="preserve">⑥墙面、门窗、屋面：无灰尘、无污渍、无蜘蛛网</w:t>
            </w:r>
            <w:r>
              <w:rPr>
                <w:rFonts w:hint="eastAsia"/>
                <w:color w:val="auto"/>
                <w:sz w:val="22"/>
                <w:szCs w:val="22"/>
                <w:highlight w:val="none"/>
                <w:lang w:eastAsia="zh-CN"/>
              </w:rPr>
              <w:t xml:space="preserve">。</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eastAsia="zh-CN"/>
              </w:rPr>
              <w:t xml:space="preserve">室外</w:t>
            </w:r>
            <w:r>
              <w:rPr>
                <w:rFonts w:hint="eastAsia"/>
                <w:color w:val="auto"/>
                <w:sz w:val="22"/>
                <w:szCs w:val="22"/>
                <w:highlight w:val="none"/>
                <w:lang w:val="en-US"/>
              </w:rPr>
              <w:t xml:space="preserve">区域保洁</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（1）道路地面、广场等公共区域 保持干净、无杂物、无积水、</w:t>
            </w:r>
            <w:r>
              <w:rPr>
                <w:rFonts w:hint="eastAsia"/>
                <w:color w:val="auto"/>
                <w:sz w:val="22"/>
                <w:szCs w:val="22"/>
                <w:highlight w:val="none"/>
              </w:rPr>
              <w:t xml:space="preserve">下水道口保持畅通</w:t>
            </w:r>
            <w:r>
              <w:rPr>
                <w:rFonts w:hint="eastAsia"/>
                <w:color w:val="auto"/>
                <w:sz w:val="22"/>
                <w:szCs w:val="22"/>
                <w:highlight w:val="none"/>
                <w:lang w:val="en-US"/>
              </w:rPr>
              <w:t xml:space="preserve">。</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（2）雪、冰冻等恶劣天气时及时清扫积水、积雪，并采取安全防护措施。</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（3）各种路标、宣传栏等保持干净。</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（4）垃圾桶：桶体光洁无污迹、无痰迹；桶内垃圾不超过容积</w:t>
            </w:r>
            <w:r>
              <w:rPr>
                <w:rFonts w:hint="eastAsia"/>
                <w:color w:val="auto"/>
                <w:sz w:val="22"/>
                <w:szCs w:val="22"/>
                <w:highlight w:val="none"/>
                <w:lang w:val="en-US" w:eastAsia="zh-CN"/>
              </w:rPr>
              <w:t xml:space="preserve">2</w:t>
            </w:r>
            <w:r>
              <w:rPr>
                <w:rFonts w:hint="eastAsia"/>
                <w:color w:val="auto"/>
                <w:sz w:val="22"/>
                <w:szCs w:val="22"/>
                <w:highlight w:val="none"/>
                <w:lang w:val="en-US"/>
              </w:rPr>
              <w:t xml:space="preserve">/3。</w:t>
            </w:r>
            <w:r/>
          </w:p>
        </w:tc>
      </w:tr>
      <w:tr>
        <w:trPr>
          <w:trHeight w:val="662"/>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（5）墓区墓碑</w:t>
            </w:r>
            <w:r>
              <w:rPr>
                <w:rFonts w:hint="eastAsia"/>
                <w:color w:val="auto"/>
                <w:sz w:val="22"/>
                <w:szCs w:val="22"/>
                <w:highlight w:val="none"/>
                <w:lang w:val="en-US"/>
              </w:rPr>
              <w:t xml:space="preserve">无灰尘、无污迹、无杂物、无水迹、无蜘蛛网、表面洁净；</w:t>
            </w:r>
            <w:r>
              <w:rPr>
                <w:rFonts w:hint="eastAsia"/>
                <w:color w:val="auto"/>
                <w:sz w:val="22"/>
                <w:szCs w:val="22"/>
                <w:highlight w:val="none"/>
                <w:lang w:val="en-US" w:eastAsia="zh-CN"/>
              </w:rPr>
              <w:t xml:space="preserve">祭扫鲜花及贡品要有序排放，不得随意放置、私自占有。</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6</w:t>
            </w:r>
            <w:r>
              <w:rPr>
                <w:rFonts w:hint="eastAsia"/>
                <w:color w:val="auto"/>
                <w:sz w:val="22"/>
                <w:szCs w:val="22"/>
                <w:highlight w:val="none"/>
                <w:lang w:val="en-US"/>
              </w:rPr>
              <w:t xml:space="preserve">）绿化带、池塘内无杂物。</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垃圾处理</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（1）在指定位置摆放分类垃圾桶，并在显著处张贴垃圾分类标识。分类垃圾桶和垃圾分类标识根据所在城市的要求设置。</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（2）桶身表面干净无污渍。</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rPr>
                <w:rFonts w:hint="eastAsia"/>
                <w:color w:val="auto"/>
                <w:sz w:val="22"/>
                <w:szCs w:val="22"/>
                <w:highlight w:val="none"/>
              </w:rPr>
              <w:t xml:space="preserve">定期清洁、定期喷洒消毒和灭蚊蝇药物。</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4</w:t>
            </w:r>
            <w:r>
              <w:rPr>
                <w:rFonts w:hint="eastAsia"/>
                <w:color w:val="auto"/>
                <w:sz w:val="22"/>
                <w:szCs w:val="22"/>
                <w:highlight w:val="none"/>
                <w:lang w:val="en-US"/>
              </w:rPr>
              <w:t xml:space="preserve">）垃圾装袋，日产日清。</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w:t>
            </w:r>
            <w:r>
              <w:rPr>
                <w:rFonts w:hint="eastAsia"/>
                <w:color w:val="auto"/>
                <w:sz w:val="22"/>
                <w:szCs w:val="22"/>
                <w:highlight w:val="none"/>
                <w:lang w:val="en-US" w:eastAsia="zh-CN"/>
              </w:rPr>
              <w:t xml:space="preserve">5</w:t>
            </w:r>
            <w:r>
              <w:rPr>
                <w:rFonts w:hint="eastAsia"/>
                <w:color w:val="auto"/>
                <w:sz w:val="22"/>
                <w:szCs w:val="22"/>
                <w:highlight w:val="none"/>
                <w:lang w:val="en-US"/>
              </w:rPr>
              <w:t xml:space="preserve">）做好垃圾分类管理的宣传工作，督促并引导全员参与垃圾分类投放。</w:t>
            </w:r>
            <w:r/>
          </w:p>
        </w:tc>
      </w:tr>
      <w:tr>
        <w:trPr>
          <w:trHeight w:val="567"/>
        </w:trPr>
        <w:tc>
          <w:tcPr>
            <w:tcW w:w="69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w:t>
            </w:r>
            <w:r/>
          </w:p>
        </w:tc>
        <w:tc>
          <w:tcPr>
            <w:tcW w:w="791"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卫生消毒</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（1）办公用房区域、公共场所区域和周围环境预防性卫生消毒，消毒后及时通风。</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（2）采取综合措施消灭老鼠、蟑螂，控制室内外蚊虫孳生，达到基本无蝇。</w:t>
            </w:r>
            <w:r/>
          </w:p>
        </w:tc>
      </w:tr>
      <w:tr>
        <w:trPr>
          <w:trHeight w:val="567"/>
        </w:trPr>
        <w:tc>
          <w:tcPr>
            <w:tcW w:w="69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791"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（3）发生公共卫生事件时，邀请专业单位开展消毒、检测等工作。</w:t>
            </w:r>
            <w:r/>
          </w:p>
        </w:tc>
      </w:tr>
      <w:tr>
        <w:trPr>
          <w:trHeight w:val="567"/>
        </w:trPr>
        <w:tc>
          <w:tcPr>
            <w:tcW w:w="69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6</w:t>
            </w:r>
            <w:r/>
          </w:p>
        </w:tc>
        <w:tc>
          <w:tcPr>
            <w:tcW w:w="79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报告厅</w:t>
            </w:r>
            <w:r/>
          </w:p>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及会议室保洁</w:t>
            </w:r>
            <w:r/>
          </w:p>
        </w:tc>
        <w:tc>
          <w:tcPr>
            <w:tcW w:w="3518"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rPr>
              <w:t xml:space="preserve">报告厅及会议室音视频设备、消防栓及开关插座、地面、门窗等保持表面干净，无尘无污迹。</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3、安保服务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96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1"/>
        <w:gridCol w:w="1826"/>
        <w:gridCol w:w="5357"/>
      </w:tblGrid>
      <w:tr>
        <w:trPr>
          <w:jc w:val="center"/>
          <w:trHeight w:val="454"/>
        </w:trPr>
        <w:tc>
          <w:tcPr>
            <w:tcW w:w="68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序号</w:t>
            </w:r>
            <w:r/>
          </w:p>
        </w:tc>
        <w:tc>
          <w:tcPr>
            <w:tcW w:w="109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服务内容</w:t>
            </w:r>
            <w:r/>
          </w:p>
        </w:tc>
        <w:tc>
          <w:tcPr>
            <w:tcW w:w="322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服务标准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基本要求</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（1）建立保安服务相关制度，并按照执行。</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（2）对巡查、值守及异常情况等做好相关记录，填写规范，保存完好。</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（3）配备保安服务必要的器材。</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出入管理</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rPr>
                <w:rFonts w:hint="eastAsia"/>
                <w:color w:val="auto"/>
                <w:sz w:val="22"/>
                <w:szCs w:val="22"/>
                <w:highlight w:val="none"/>
                <w:lang w:val="en-US" w:eastAsia="zh-CN"/>
              </w:rPr>
              <w:t xml:space="preserve">纪念馆（园）</w:t>
            </w:r>
            <w:r>
              <w:rPr>
                <w:rFonts w:hint="eastAsia"/>
                <w:color w:val="auto"/>
                <w:sz w:val="22"/>
                <w:szCs w:val="22"/>
                <w:highlight w:val="none"/>
              </w:rPr>
              <w:t xml:space="preserve">主出入口应当实行 24 小时值班制。</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（2）设置门岗。</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（3）在出入口对携带大件物品、外来车辆进行询问和记录，并与相关部门取得联系， 同意后方可进入。</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（4）大件物品搬出有相关部门开具的证明和清单，经核实后放行。</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（5）排查可疑人员， 对于不出示证件、不按规定登记、不听劝阻而强行闯入者，及时劝离， 必要时 通知公安机关进行处理。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值班巡查</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（1）建立 24 小时值班巡查制度。</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（2）制定巡查路线， 按照指定时间执行，加强重点区域、重点部位及装修区域的巡查。</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（3）巡查期间保持通信设施设备畅通，遇到异常情况立即上报并在现场采取相应措施。</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（4）收到</w:t>
            </w:r>
            <w:r>
              <w:rPr>
                <w:rFonts w:hint="eastAsia"/>
                <w:color w:val="auto"/>
                <w:sz w:val="22"/>
                <w:szCs w:val="22"/>
                <w:highlight w:val="none"/>
                <w:lang w:val="en-US" w:eastAsia="zh-CN"/>
              </w:rPr>
              <w:t xml:space="preserve">场馆负责人</w:t>
            </w:r>
            <w:r>
              <w:rPr>
                <w:rFonts w:hint="eastAsia"/>
                <w:color w:val="auto"/>
                <w:sz w:val="22"/>
                <w:szCs w:val="22"/>
                <w:highlight w:val="none"/>
              </w:rPr>
              <w:t xml:space="preserve">指令后，巡查人员及时到达指定地点并迅速采取相应措施。</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监控值守</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1</w:t>
            </w:r>
            <w:r>
              <w:rPr>
                <w:rFonts w:hint="eastAsia"/>
                <w:color w:val="auto"/>
                <w:sz w:val="22"/>
                <w:szCs w:val="22"/>
                <w:highlight w:val="none"/>
              </w:rPr>
              <w:t xml:space="preserve">）监控设备 24 小时正常运行， 监控室实行 24 小时值班制度。</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2</w:t>
            </w:r>
            <w:r>
              <w:rPr>
                <w:rFonts w:hint="eastAsia"/>
                <w:color w:val="auto"/>
                <w:sz w:val="22"/>
                <w:szCs w:val="22"/>
                <w:highlight w:val="none"/>
              </w:rPr>
              <w:t xml:space="preserve">）值班期间遵守操作规程和保密制度， 做好监控记录的保存工作。</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3</w:t>
            </w:r>
            <w:r>
              <w:rPr>
                <w:rFonts w:hint="eastAsia"/>
                <w:color w:val="auto"/>
                <w:sz w:val="22"/>
                <w:szCs w:val="22"/>
                <w:highlight w:val="none"/>
              </w:rPr>
              <w:t xml:space="preserve">）无关人员进入监控室或查阅监控记录，经</w:t>
            </w:r>
            <w:r>
              <w:rPr>
                <w:rFonts w:hint="eastAsia"/>
                <w:color w:val="auto"/>
                <w:sz w:val="22"/>
                <w:szCs w:val="22"/>
                <w:highlight w:val="none"/>
                <w:lang w:val="en-US" w:eastAsia="zh-CN"/>
              </w:rPr>
              <w:t xml:space="preserve">场馆负责</w:t>
            </w:r>
            <w:r>
              <w:rPr>
                <w:rFonts w:hint="eastAsia"/>
                <w:color w:val="auto"/>
                <w:sz w:val="22"/>
                <w:szCs w:val="22"/>
                <w:highlight w:val="none"/>
              </w:rPr>
              <w:t xml:space="preserve">人批准并做好相关记录。</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4</w:t>
            </w:r>
            <w:r>
              <w:rPr>
                <w:rFonts w:hint="eastAsia"/>
                <w:color w:val="auto"/>
                <w:sz w:val="22"/>
                <w:szCs w:val="22"/>
                <w:highlight w:val="none"/>
              </w:rPr>
              <w:t xml:space="preserve">）监控室收到火情等报警信号、其他异常情况信号后， 及时报警并安排其他安保人员前往现场进 行处理。</w:t>
            </w:r>
            <w:r/>
          </w:p>
        </w:tc>
      </w:tr>
      <w:tr>
        <w:trPr>
          <w:jc w:val="center"/>
          <w:trHeight w:val="454"/>
        </w:trPr>
        <w:tc>
          <w:tcPr>
            <w:tcW w:w="680"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5</w:t>
            </w:r>
            <w:r/>
          </w:p>
        </w:tc>
        <w:tc>
          <w:tcPr>
            <w:tcW w:w="109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车辆停放</w:t>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1</w:t>
            </w:r>
            <w:r>
              <w:rPr>
                <w:rFonts w:hint="eastAsia"/>
                <w:color w:val="auto"/>
                <w:sz w:val="22"/>
                <w:szCs w:val="22"/>
                <w:highlight w:val="none"/>
              </w:rPr>
              <w:t xml:space="preserve">）对车辆及停放区域实行规范管理。</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2</w:t>
            </w:r>
            <w:r>
              <w:rPr>
                <w:rFonts w:hint="eastAsia"/>
                <w:color w:val="auto"/>
                <w:sz w:val="22"/>
                <w:szCs w:val="22"/>
                <w:highlight w:val="none"/>
              </w:rPr>
              <w:t xml:space="preserve">）严禁在办公楼的公用走道、楼梯间、安全出口处等公共区域停放</w:t>
            </w:r>
            <w:r>
              <w:rPr>
                <w:rFonts w:hint="eastAsia"/>
                <w:color w:val="auto"/>
                <w:sz w:val="22"/>
                <w:szCs w:val="22"/>
                <w:highlight w:val="none"/>
                <w:lang w:val="en-US" w:eastAsia="zh-CN"/>
              </w:rPr>
              <w:t xml:space="preserve">非机动车</w:t>
            </w:r>
            <w:r>
              <w:rPr>
                <w:rFonts w:hint="eastAsia"/>
                <w:color w:val="auto"/>
                <w:sz w:val="22"/>
                <w:szCs w:val="22"/>
                <w:highlight w:val="none"/>
              </w:rPr>
              <w:t xml:space="preserve">或充电。</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3</w:t>
            </w:r>
            <w:r>
              <w:rPr>
                <w:rFonts w:hint="eastAsia"/>
                <w:color w:val="auto"/>
                <w:sz w:val="22"/>
                <w:szCs w:val="22"/>
                <w:highlight w:val="none"/>
              </w:rPr>
              <w:t xml:space="preserve">）非机动车定点有序停放。</w:t>
            </w:r>
            <w:r/>
          </w:p>
        </w:tc>
      </w:tr>
      <w:tr>
        <w:trPr>
          <w:jc w:val="center"/>
          <w:trHeight w:val="454"/>
        </w:trPr>
        <w:tc>
          <w:tcPr>
            <w:tcW w:w="680"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109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220" w:type="pct"/>
            <w:vAlign w:val="center"/>
            <w:textDirection w:val="lrTb"/>
            <w:noWrap w:val="false"/>
          </w:tcPr>
          <w:p>
            <w:pPr>
              <w:ind w:left="105" w:right="105"/>
              <w:jc w:val="both"/>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w:t>
            </w:r>
            <w:r>
              <w:rPr>
                <w:rFonts w:hint="eastAsia"/>
                <w:color w:val="auto"/>
                <w:sz w:val="22"/>
                <w:szCs w:val="22"/>
                <w:highlight w:val="none"/>
                <w:lang w:val="en-US" w:eastAsia="zh-CN"/>
              </w:rPr>
              <w:t xml:space="preserve">4</w:t>
            </w:r>
            <w:r>
              <w:rPr>
                <w:rFonts w:hint="eastAsia"/>
                <w:color w:val="auto"/>
                <w:sz w:val="22"/>
                <w:szCs w:val="22"/>
                <w:highlight w:val="none"/>
              </w:rPr>
              <w:t xml:space="preserve">）发现车辆异常情况及时通知车主，并做好登记；发生交通事故、自然灾害等意外事故时及时赶赴现场疏导和协助处理， 响应时间不超过 3 分钟。</w:t>
            </w:r>
            <w:r/>
          </w:p>
        </w:tc>
      </w:tr>
    </w:tbl>
    <w:p>
      <w:p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.公用设施设备维护服务</w:t>
      </w:r>
      <w:r/>
    </w:p>
    <w:p>
      <w:pPr>
        <w:numPr>
          <w:ilvl w:val="0"/>
          <w:numId w:val="0"/>
        </w:numPr>
        <w:keepLines w:val="0"/>
        <w:keepNext w:val="0"/>
        <w:pageBreakBefore w:val="0"/>
        <w:spacing w:line="360" w:lineRule="exact"/>
        <w:widowControl w:val="off"/>
        <w:rPr>
          <w:rFonts w:hint="eastAsia"/>
          <w:color w:val="auto"/>
          <w:sz w:val="24"/>
          <w:szCs w:val="24"/>
          <w:highlight w:val="none"/>
        </w:rPr>
      </w:pPr>
      <w:r>
        <w:rPr>
          <w:rFonts w:hint="eastAsia"/>
          <w:color w:val="auto"/>
          <w:sz w:val="24"/>
          <w:szCs w:val="24"/>
          <w:highlight w:val="none"/>
        </w:rPr>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132"/>
        <w:gridCol w:w="6232"/>
      </w:tblGrid>
      <w:tr>
        <w:trPr>
          <w:trHeight w:val="680"/>
        </w:trPr>
        <w:tc>
          <w:tcPr>
            <w:tcW w:w="67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序号</w:t>
            </w:r>
            <w:r/>
          </w:p>
        </w:tc>
        <w:tc>
          <w:tcPr>
            <w:tcW w:w="664"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服务内容</w:t>
            </w:r>
            <w:r/>
          </w:p>
        </w:tc>
        <w:tc>
          <w:tcPr>
            <w:tcW w:w="3656"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服务标准</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基本要求</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（1）重大节假日及恶劣天气前后，组织系统巡检 1 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rPr>
                <w:rFonts w:hint="eastAsia"/>
                <w:color w:val="auto"/>
                <w:sz w:val="22"/>
                <w:szCs w:val="22"/>
                <w:highlight w:val="none"/>
              </w:rPr>
              <w:t xml:space="preserve">按规定时间开关</w:t>
            </w:r>
            <w:r>
              <w:rPr>
                <w:rFonts w:hint="eastAsia"/>
                <w:color w:val="auto"/>
                <w:sz w:val="22"/>
                <w:szCs w:val="22"/>
                <w:highlight w:val="none"/>
                <w:lang w:val="en-US" w:eastAsia="zh-CN"/>
              </w:rPr>
              <w:t xml:space="preserve">纪念场馆</w:t>
            </w:r>
            <w:r>
              <w:rPr>
                <w:rFonts w:hint="eastAsia"/>
                <w:color w:val="auto"/>
                <w:sz w:val="22"/>
                <w:szCs w:val="22"/>
                <w:highlight w:val="none"/>
              </w:rPr>
              <w:t xml:space="preserve">水电，</w:t>
            </w:r>
            <w:r>
              <w:rPr>
                <w:rFonts w:hint="eastAsia"/>
                <w:color w:val="auto"/>
                <w:sz w:val="22"/>
                <w:szCs w:val="22"/>
                <w:highlight w:val="none"/>
                <w:lang w:val="en-US"/>
              </w:rPr>
              <w:t xml:space="preserve">具备设施设备安全、稳定运行的环境和场所（含有限空间），温湿度、照度、粉尘和烟雾浓度等符合相关安全规范。</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给排水系统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（1）设施设备、阀门、管道等运行正常，无跑、冒、滴、漏现象。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（2）水泵房、水箱间，每日至少巡视 1 次。</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（3）遇供水单位限水、停水，按规定时间通知采购人。</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lang w:val="en-US" w:eastAsia="zh-CN"/>
              </w:rPr>
              <w:t xml:space="preserve">供配电系统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（1）建立 24 小时运行值班制度。</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（2）公共使用的照明、指示灯具线路、开关、接地等保持完好，确保用电安全。</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（3）发生非计划性停电的，应当在事件发生后及时通知采购人，快速恢复或启用应急电源，并做好应急事件上报及处理工作。</w:t>
            </w:r>
            <w:r/>
          </w:p>
        </w:tc>
      </w:tr>
      <w:tr>
        <w:trPr>
          <w:trHeight w:val="680"/>
        </w:trPr>
        <w:tc>
          <w:tcPr>
            <w:tcW w:w="678"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664" w:type="pct"/>
            <w:vAlign w:val="center"/>
            <w:vMerge w:val="restart"/>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照明系统</w:t>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（1）外观整洁无缺损、无松落。</w:t>
            </w:r>
            <w:r/>
          </w:p>
        </w:tc>
      </w:tr>
      <w:tr>
        <w:trPr>
          <w:trHeight w:val="680"/>
        </w:trPr>
        <w:tc>
          <w:tcPr>
            <w:tcW w:w="678"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664" w:type="pct"/>
            <w:vAlign w:val="center"/>
            <w:vMerge w:val="continue"/>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c>
          <w:tcPr>
            <w:tcW w:w="3656" w:type="pct"/>
            <w:vAlign w:val="center"/>
            <w:textDirection w:val="lrTb"/>
            <w:noWrap w:val="false"/>
          </w:tcPr>
          <w:p>
            <w:pPr>
              <w:jc w:val="left"/>
              <w:keepLines w:val="0"/>
              <w:keepNext w:val="0"/>
              <w:pageBreakBefore w:val="0"/>
              <w:spacing w:line="360" w:lineRule="exact"/>
              <w:widowControl w:val="off"/>
              <w:rPr>
                <w:rFonts w:hint="eastAsia"/>
                <w:color w:val="auto"/>
                <w:sz w:val="22"/>
                <w:szCs w:val="22"/>
                <w:highlight w:val="none"/>
                <w:lang w:val="en-US"/>
              </w:rPr>
            </w:pPr>
            <w:r>
              <w:rPr>
                <w:rFonts w:hint="eastAsia"/>
                <w:color w:val="auto"/>
                <w:sz w:val="22"/>
                <w:szCs w:val="22"/>
                <w:highlight w:val="none"/>
                <w:lang w:val="en-US"/>
              </w:rPr>
              <w:t xml:space="preserve">（2）更换的照明灯具应当选用节能环保产品，亮度与更换前保持一致。</w:t>
            </w:r>
            <w:r/>
          </w:p>
        </w:tc>
      </w:tr>
    </w:tbl>
    <w:p>
      <w:pPr>
        <w:keepLines w:val="0"/>
        <w:keepNext w:val="0"/>
        <w:pageBreakBefore w:val="0"/>
        <w:spacing w:line="36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5.处理突发事件</w:t>
      </w:r>
      <w:r>
        <w:rPr>
          <w:rFonts w:hint="eastAsia" w:cs="Times New Roman"/>
          <w:color w:val="auto"/>
          <w:sz w:val="24"/>
          <w:szCs w:val="24"/>
          <w:highlight w:val="none"/>
          <w:lang w:val="en-US" w:eastAsia="zh-CN" w:bidi="ar-SA"/>
        </w:rPr>
        <w:t xml:space="preserve">服务</w:t>
      </w:r>
      <w:r>
        <w:rPr>
          <w:rFonts w:hint="eastAsia" w:ascii="Times New Roman" w:hAnsi="Times New Roman" w:eastAsia="宋体" w:cs="Times New Roman"/>
          <w:color w:val="auto"/>
          <w:sz w:val="24"/>
          <w:szCs w:val="24"/>
          <w:highlight w:val="none"/>
          <w:lang w:val="en-US" w:eastAsia="zh-CN" w:bidi="ar-SA"/>
        </w:rPr>
        <w:t xml:space="preserve">：</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（1）配合采购人制订应急保障措施，需对任务进行详细了解，并根据工作安排制定详细的应急保障措施。</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根据馆（园）隐患排查的结果和实际情况，制定专项预案，包括但不限于：重大活动应急预案、上级突击检查应急预案、火警紧急处理应急预案、紧急疏散应急预案、停水停电应急预案、恶劣天气应对应急预案等。</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）建立消防安全责任制， 确定各级消防安全责任人及其职责。</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）应急预案定期培训和演练，组织相关岗定期开展专项应急预案演练，留存培训及演练记录和影像资料，并对预案进行评价，确保与实际情况相结合。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（5）消火栓、应急照明、消防及人员逃生通道、消防车通道可随时正常使用。</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（6）定期组织消防安全宣传，每半年至少开展 1 次消防演练。</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.公共设施节水、节电、节能管理：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（1）定期巡查及时统计损坏的设备设施并报给采购人，消耗品及时供应保证物业正常运行。</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（2）巡查卫生间，发现跑、冒、滴、漏水情况迅速处理或报告；</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（3）卫生间粘贴节水标识；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（4）发现房间无人时开空调的情况及时提醒；</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（5）发现长明灯的情况要及时采取相应措施。</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.物业移交要求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二</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投标文件要求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1、投标文件中提供《物业管理服务方案》文件。</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2、《物业管理服务方案》需包括以下内容:</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（1）基本服务方案;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（2）保洁服务方案;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（3）保安服务方案;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（4）公用设施设备维护服务;</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（5）处理突发事件服务方案;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（6）公共设施节水、节电、节能管理方案;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（7）物业移交衔接方案。</w:t>
      </w:r>
      <w:r/>
    </w:p>
    <w:p>
      <w:pPr>
        <w:ind w:firstLine="480"/>
        <w:keepLines w:val="0"/>
        <w:keepNext w:val="0"/>
        <w:pageBreakBefore w:val="0"/>
        <w:spacing w:line="360" w:lineRule="exact"/>
        <w:widowControl w:val="off"/>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 xml:space="preserve">五、组织机构设置方案及人员配备方案</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（一）物业管理服务人员具体需求</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淮海战役碾庄圩战斗纪念馆</w:t>
      </w:r>
      <w:r>
        <w:rPr>
          <w:rFonts w:hint="eastAsia" w:ascii="Times New Roman" w:hAnsi="Times New Roman" w:eastAsia="宋体" w:cs="Times New Roman"/>
          <w:color w:val="auto"/>
          <w:sz w:val="24"/>
          <w:szCs w:val="24"/>
          <w:highlight w:val="none"/>
          <w:lang w:val="en-US" w:eastAsia="zh-CN" w:bidi="ar-SA"/>
        </w:rPr>
        <w:t xml:space="preserve">物业服务人员</w:t>
      </w:r>
      <w:r>
        <w:rPr>
          <w:rFonts w:hint="eastAsia" w:cs="Times New Roman"/>
          <w:color w:val="auto"/>
          <w:sz w:val="24"/>
          <w:szCs w:val="24"/>
          <w:highlight w:val="none"/>
          <w:lang w:val="en-US" w:eastAsia="zh-CN" w:bidi="ar-SA"/>
        </w:rPr>
        <w:t xml:space="preserve">23</w:t>
      </w:r>
      <w:r>
        <w:rPr>
          <w:rFonts w:hint="eastAsia" w:ascii="Times New Roman" w:hAnsi="Times New Roman" w:eastAsia="宋体" w:cs="Times New Roman"/>
          <w:color w:val="auto"/>
          <w:sz w:val="24"/>
          <w:szCs w:val="24"/>
          <w:highlight w:val="none"/>
          <w:lang w:val="en-US" w:eastAsia="zh-CN" w:bidi="ar-SA"/>
        </w:rPr>
        <w:t xml:space="preserve">人，人员岗位设置如下：</w:t>
      </w:r>
      <w:r/>
    </w:p>
    <w:tbl>
      <w:tblPr>
        <w:tblStyle w:val="712"/>
        <w:tblpPr w:horzAnchor="page" w:tblpX="1543" w:vertAnchor="text" w:tblpY="300"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14"/>
        <w:gridCol w:w="1604"/>
        <w:gridCol w:w="1369"/>
        <w:gridCol w:w="4246"/>
      </w:tblGrid>
      <w:tr>
        <w:trPr>
          <w:trHeight w:val="707"/>
        </w:trPr>
        <w:tc>
          <w:tcPr>
            <w:tcW w:w="6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序号</w:t>
            </w:r>
            <w:r/>
          </w:p>
        </w:tc>
        <w:tc>
          <w:tcPr>
            <w:tcW w:w="96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岗位</w:t>
            </w:r>
            <w:r/>
          </w:p>
        </w:tc>
        <w:tc>
          <w:tcPr>
            <w:tcW w:w="8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人员数量</w:t>
            </w:r>
            <w:r/>
          </w:p>
        </w:tc>
        <w:tc>
          <w:tcPr>
            <w:tcW w:w="2547"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备注</w:t>
            </w:r>
            <w:r/>
          </w:p>
        </w:tc>
      </w:tr>
      <w:tr>
        <w:trPr>
          <w:trHeight w:val="817"/>
        </w:trPr>
        <w:tc>
          <w:tcPr>
            <w:tcW w:w="6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96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项目经理</w:t>
            </w:r>
            <w:r/>
          </w:p>
        </w:tc>
        <w:tc>
          <w:tcPr>
            <w:tcW w:w="8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eastAsia="zh-CN"/>
              </w:rPr>
            </w:pPr>
            <w:r>
              <w:rPr>
                <w:rFonts w:hint="eastAsia"/>
                <w:color w:val="auto"/>
                <w:sz w:val="22"/>
                <w:szCs w:val="22"/>
                <w:highlight w:val="none"/>
                <w:lang w:val="en-US" w:eastAsia="zh-CN"/>
              </w:rPr>
              <w:t xml:space="preserve">2</w:t>
            </w:r>
            <w:r/>
          </w:p>
        </w:tc>
        <w:tc>
          <w:tcPr>
            <w:tcW w:w="2547" w:type="pct"/>
            <w:vAlign w:val="center"/>
            <w:textDirection w:val="lrTb"/>
            <w:noWrap w:val="false"/>
          </w:tcPr>
          <w:p>
            <w:pPr>
              <w:ind w:left="105" w:right="105"/>
              <w:keepLines w:val="0"/>
              <w:keepNext w:val="0"/>
              <w:pageBreakBefore w:val="0"/>
              <w:spacing w:line="400" w:lineRule="exact"/>
              <w:widowControl w:val="off"/>
              <w:rPr>
                <w:rFonts w:hint="eastAsia"/>
                <w:color w:val="auto"/>
                <w:sz w:val="22"/>
                <w:szCs w:val="22"/>
                <w:highlight w:val="none"/>
                <w:lang w:val="en-US" w:eastAsia="zh-CN"/>
              </w:rPr>
            </w:pPr>
            <w:r>
              <w:rPr>
                <w:rFonts w:hint="eastAsia" w:ascii="仿宋" w:hAnsi="仿宋" w:eastAsia="仿宋" w:cs="仿宋"/>
                <w:color w:val="auto"/>
                <w:sz w:val="24"/>
                <w:szCs w:val="24"/>
                <w:highlight w:val="none"/>
                <w:lang w:val="en-US" w:eastAsia="zh-CN"/>
              </w:rPr>
              <w:t xml:space="preserve">其中，</w:t>
            </w:r>
            <w:r>
              <w:rPr>
                <w:rFonts w:hint="eastAsia" w:ascii="Times New Roman" w:hAnsi="Times New Roman" w:eastAsia="方正仿宋_GBK" w:cs="Times New Roman"/>
                <w:color w:val="auto"/>
                <w:sz w:val="24"/>
                <w:szCs w:val="24"/>
                <w:highlight w:val="none"/>
                <w:lang w:val="en-US" w:eastAsia="zh-CN"/>
              </w:rPr>
              <w:t xml:space="preserve">淮海战役碾庄圩战斗纪念馆1名，李超时纪念馆、石山烈士陵园共用</w:t>
            </w:r>
            <w:r>
              <w:rPr>
                <w:rFonts w:hint="eastAsia" w:ascii="仿宋" w:hAnsi="仿宋" w:eastAsia="仿宋" w:cs="仿宋"/>
                <w:color w:val="auto"/>
                <w:sz w:val="24"/>
                <w:szCs w:val="24"/>
                <w:highlight w:val="none"/>
                <w:lang w:val="en-US" w:eastAsia="zh-CN"/>
              </w:rPr>
              <w:t xml:space="preserve">1名。</w:t>
            </w:r>
            <w:r/>
          </w:p>
        </w:tc>
      </w:tr>
      <w:tr>
        <w:trPr>
          <w:trHeight w:val="380"/>
        </w:trPr>
        <w:tc>
          <w:tcPr>
            <w:tcW w:w="6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2</w:t>
            </w:r>
            <w:r/>
          </w:p>
        </w:tc>
        <w:tc>
          <w:tcPr>
            <w:tcW w:w="96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水电工</w:t>
            </w:r>
            <w:r/>
          </w:p>
        </w:tc>
        <w:tc>
          <w:tcPr>
            <w:tcW w:w="8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w:t>
            </w:r>
            <w:r/>
          </w:p>
        </w:tc>
        <w:tc>
          <w:tcPr>
            <w:tcW w:w="2547" w:type="pct"/>
            <w:vAlign w:val="center"/>
            <w:textDirection w:val="lrTb"/>
            <w:noWrap w:val="false"/>
          </w:tcPr>
          <w:p>
            <w:pPr>
              <w:ind w:left="105" w:right="105"/>
              <w:keepLines w:val="0"/>
              <w:keepNext w:val="0"/>
              <w:pageBreakBefore w:val="0"/>
              <w:spacing w:line="400" w:lineRule="exact"/>
              <w:widowControl w:val="off"/>
              <w:rPr>
                <w:rFonts w:hint="eastAsia"/>
                <w:color w:val="auto"/>
                <w:sz w:val="22"/>
                <w:szCs w:val="22"/>
                <w:highlight w:val="none"/>
                <w:lang w:val="en-US" w:eastAsia="zh-CN"/>
              </w:rPr>
            </w:pPr>
            <w:r>
              <w:rPr>
                <w:rFonts w:hint="eastAsia" w:ascii="仿宋" w:hAnsi="仿宋" w:eastAsia="仿宋" w:cs="仿宋"/>
                <w:color w:val="auto"/>
                <w:sz w:val="24"/>
                <w:szCs w:val="24"/>
                <w:highlight w:val="none"/>
                <w:lang w:val="en-US" w:eastAsia="zh-CN"/>
              </w:rPr>
              <w:t xml:space="preserve">须持有初级以上</w:t>
            </w:r>
            <w:r>
              <w:rPr>
                <w:rFonts w:hint="eastAsia" w:ascii="仿宋" w:hAnsi="仿宋" w:eastAsia="仿宋" w:cs="仿宋"/>
                <w:color w:val="auto"/>
                <w:sz w:val="24"/>
                <w:szCs w:val="24"/>
                <w:highlight w:val="none"/>
              </w:rPr>
              <w:t xml:space="preserve">电工证。</w:t>
            </w:r>
            <w:r>
              <w:rPr>
                <w:rFonts w:hint="eastAsia" w:ascii="Times New Roman" w:hAnsi="Times New Roman" w:eastAsia="方正仿宋_GBK" w:cs="Times New Roman"/>
                <w:color w:val="auto"/>
                <w:sz w:val="24"/>
                <w:szCs w:val="24"/>
                <w:highlight w:val="none"/>
                <w:lang w:val="en-US" w:eastAsia="zh-CN"/>
              </w:rPr>
              <w:t xml:space="preserve">淮海战役碾庄圩战斗纪念馆、李超时纪念馆、石山烈士陵园</w:t>
            </w:r>
            <w:r>
              <w:rPr>
                <w:rFonts w:hint="eastAsia" w:ascii="仿宋" w:hAnsi="仿宋" w:eastAsia="仿宋" w:cs="仿宋"/>
                <w:color w:val="auto"/>
                <w:sz w:val="24"/>
                <w:szCs w:val="24"/>
                <w:highlight w:val="none"/>
                <w:lang w:val="en-US" w:eastAsia="zh-CN"/>
              </w:rPr>
              <w:t xml:space="preserve">共用。</w:t>
            </w:r>
            <w:r/>
          </w:p>
        </w:tc>
      </w:tr>
      <w:tr>
        <w:trPr>
          <w:trHeight w:val="545"/>
        </w:trPr>
        <w:tc>
          <w:tcPr>
            <w:tcW w:w="6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3</w:t>
            </w:r>
            <w:r/>
          </w:p>
        </w:tc>
        <w:tc>
          <w:tcPr>
            <w:tcW w:w="962" w:type="pct"/>
            <w:vAlign w:val="center"/>
            <w:textDirection w:val="lrTb"/>
            <w:noWrap w:val="false"/>
          </w:tcPr>
          <w:p>
            <w:pPr>
              <w:jc w:val="center"/>
              <w:keepLines w:val="0"/>
              <w:keepNext w:val="0"/>
              <w:pageBreakBefore w:val="0"/>
              <w:spacing w:line="360" w:lineRule="exact"/>
              <w:widowControl w:val="off"/>
              <w:rPr>
                <w:rFonts w:hint="eastAsia" w:eastAsia="宋体"/>
                <w:color w:val="auto"/>
                <w:sz w:val="22"/>
                <w:szCs w:val="22"/>
                <w:highlight w:val="none"/>
                <w:lang w:val="en-US" w:eastAsia="zh-CN"/>
              </w:rPr>
            </w:pPr>
            <w:r>
              <w:rPr>
                <w:rFonts w:hint="eastAsia"/>
                <w:color w:val="auto"/>
                <w:sz w:val="22"/>
                <w:szCs w:val="22"/>
                <w:highlight w:val="none"/>
              </w:rPr>
              <w:t xml:space="preserve">保安</w:t>
            </w:r>
            <w:r>
              <w:rPr>
                <w:rFonts w:hint="eastAsia"/>
                <w:color w:val="auto"/>
                <w:sz w:val="22"/>
                <w:szCs w:val="22"/>
                <w:highlight w:val="none"/>
                <w:lang w:val="en-US" w:eastAsia="zh-CN"/>
              </w:rPr>
              <w:t xml:space="preserve">人员</w:t>
            </w:r>
            <w:r/>
          </w:p>
        </w:tc>
        <w:tc>
          <w:tcPr>
            <w:tcW w:w="821" w:type="pct"/>
            <w:vAlign w:val="center"/>
            <w:textDirection w:val="lrTb"/>
            <w:noWrap w:val="false"/>
          </w:tcPr>
          <w:p>
            <w:pPr>
              <w:jc w:val="center"/>
              <w:keepLines w:val="0"/>
              <w:keepNext w:val="0"/>
              <w:pageBreakBefore w:val="0"/>
              <w:spacing w:line="360" w:lineRule="exact"/>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10</w:t>
            </w:r>
            <w:r/>
          </w:p>
        </w:tc>
        <w:tc>
          <w:tcPr>
            <w:tcW w:w="2547" w:type="pct"/>
            <w:vAlign w:val="center"/>
            <w:textDirection w:val="lrTb"/>
            <w:noWrap w:val="false"/>
          </w:tcPr>
          <w:p>
            <w:pPr>
              <w:ind w:left="105" w:right="105"/>
              <w:keepLines w:val="0"/>
              <w:keepNext w:val="0"/>
              <w:pageBreakBefore w:val="0"/>
              <w:spacing w:line="400" w:lineRule="exact"/>
              <w:widowControl w:val="off"/>
              <w:rPr>
                <w:rFonts w:hint="eastAsia"/>
                <w:color w:val="auto"/>
                <w:sz w:val="22"/>
                <w:szCs w:val="22"/>
                <w:highlight w:val="none"/>
                <w:lang w:val="en-US" w:eastAsia="zh-CN"/>
              </w:rPr>
            </w:pPr>
            <w:r>
              <w:rPr>
                <w:rFonts w:hint="eastAsia" w:ascii="仿宋" w:hAnsi="仿宋" w:eastAsia="仿宋" w:cs="仿宋"/>
                <w:color w:val="auto"/>
                <w:sz w:val="24"/>
                <w:szCs w:val="24"/>
                <w:highlight w:val="none"/>
              </w:rPr>
              <w:t xml:space="preserve">须持初级保安员</w:t>
            </w:r>
            <w:r>
              <w:rPr>
                <w:rFonts w:hint="eastAsia" w:ascii="仿宋" w:hAnsi="仿宋" w:eastAsia="仿宋" w:cs="仿宋"/>
                <w:color w:val="auto"/>
                <w:sz w:val="24"/>
                <w:szCs w:val="24"/>
                <w:highlight w:val="none"/>
                <w:lang w:val="en-US" w:eastAsia="zh-CN"/>
              </w:rPr>
              <w:t xml:space="preserve">及以上保安证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其中，</w:t>
            </w:r>
            <w:r>
              <w:rPr>
                <w:rFonts w:hint="eastAsia" w:ascii="Times New Roman" w:hAnsi="Times New Roman" w:eastAsia="方正仿宋_GBK" w:cs="Times New Roman"/>
                <w:color w:val="auto"/>
                <w:sz w:val="24"/>
                <w:szCs w:val="24"/>
                <w:highlight w:val="none"/>
                <w:lang w:val="en-US" w:eastAsia="zh-CN"/>
              </w:rPr>
              <w:t xml:space="preserve">淮海战役碾庄圩战斗纪念馆6名、李超时纪念馆2名、石山烈士陵园2名。</w:t>
            </w:r>
            <w:r/>
          </w:p>
        </w:tc>
      </w:tr>
      <w:tr>
        <w:trPr>
          <w:trHeight w:val="729"/>
        </w:trPr>
        <w:tc>
          <w:tcPr>
            <w:tcW w:w="668"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4</w:t>
            </w:r>
            <w:r/>
          </w:p>
        </w:tc>
        <w:tc>
          <w:tcPr>
            <w:tcW w:w="962"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保洁</w:t>
            </w:r>
            <w:r>
              <w:rPr>
                <w:rFonts w:hint="eastAsia"/>
                <w:color w:val="auto"/>
                <w:sz w:val="22"/>
                <w:szCs w:val="22"/>
                <w:highlight w:val="none"/>
                <w:lang w:val="en-US" w:eastAsia="zh-CN"/>
              </w:rPr>
              <w:t xml:space="preserve">人</w:t>
            </w:r>
            <w:r>
              <w:rPr>
                <w:rFonts w:hint="eastAsia"/>
                <w:color w:val="auto"/>
                <w:sz w:val="22"/>
                <w:szCs w:val="22"/>
                <w:highlight w:val="none"/>
              </w:rPr>
              <w:t xml:space="preserve">员</w:t>
            </w:r>
            <w:r/>
          </w:p>
        </w:tc>
        <w:tc>
          <w:tcPr>
            <w:tcW w:w="8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10</w:t>
            </w:r>
            <w:r/>
          </w:p>
        </w:tc>
        <w:tc>
          <w:tcPr>
            <w:tcW w:w="2547" w:type="pct"/>
            <w:vAlign w:val="center"/>
            <w:textDirection w:val="lrTb"/>
            <w:noWrap w:val="false"/>
          </w:tcPr>
          <w:p>
            <w:pPr>
              <w:ind w:left="105" w:right="105"/>
              <w:keepLines w:val="0"/>
              <w:keepNext w:val="0"/>
              <w:pageBreakBefore w:val="0"/>
              <w:spacing w:line="400" w:lineRule="exact"/>
              <w:widowControl w:val="off"/>
              <w:rPr>
                <w:rFonts w:hint="eastAsia"/>
                <w:color w:val="auto"/>
                <w:sz w:val="22"/>
                <w:szCs w:val="22"/>
                <w:highlight w:val="none"/>
              </w:rPr>
            </w:pPr>
            <w:r>
              <w:rPr>
                <w:rFonts w:hint="eastAsia" w:ascii="仿宋" w:hAnsi="仿宋" w:eastAsia="仿宋" w:cs="仿宋"/>
                <w:color w:val="auto"/>
                <w:sz w:val="24"/>
                <w:szCs w:val="24"/>
                <w:highlight w:val="none"/>
                <w:lang w:val="en-US" w:eastAsia="zh-CN"/>
              </w:rPr>
              <w:t xml:space="preserve">其中，</w:t>
            </w:r>
            <w:r>
              <w:rPr>
                <w:rFonts w:hint="eastAsia" w:ascii="Times New Roman" w:hAnsi="Times New Roman" w:eastAsia="方正仿宋_GBK" w:cs="Times New Roman"/>
                <w:color w:val="auto"/>
                <w:sz w:val="24"/>
                <w:szCs w:val="24"/>
                <w:highlight w:val="none"/>
                <w:lang w:val="en-US" w:eastAsia="zh-CN"/>
              </w:rPr>
              <w:t xml:space="preserve">淮海战役碾庄圩战斗纪念馆7名、李超时纪念馆1名、石山烈士陵园2名。</w:t>
            </w:r>
            <w:r/>
          </w:p>
        </w:tc>
      </w:tr>
      <w:tr>
        <w:trPr>
          <w:trHeight w:val="439"/>
        </w:trPr>
        <w:tc>
          <w:tcPr>
            <w:gridSpan w:val="2"/>
            <w:tcW w:w="1630"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t xml:space="preserve">合计</w:t>
            </w:r>
            <w:r/>
          </w:p>
        </w:tc>
        <w:tc>
          <w:tcPr>
            <w:tcW w:w="821" w:type="pct"/>
            <w:vAlign w:val="center"/>
            <w:textDirection w:val="lrTb"/>
            <w:noWrap w:val="false"/>
          </w:tcPr>
          <w:p>
            <w:pPr>
              <w:jc w:val="center"/>
              <w:keepLines w:val="0"/>
              <w:keepNext w:val="0"/>
              <w:pageBreakBefore w:val="0"/>
              <w:spacing w:line="360" w:lineRule="exact"/>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23</w:t>
            </w:r>
            <w:r/>
          </w:p>
        </w:tc>
        <w:tc>
          <w:tcPr>
            <w:tcW w:w="2547" w:type="pct"/>
            <w:vAlign w:val="center"/>
            <w:textDirection w:val="lrTb"/>
            <w:noWrap w:val="false"/>
          </w:tcPr>
          <w:p>
            <w:pPr>
              <w:ind w:left="105" w:right="105"/>
              <w:jc w:val="left"/>
              <w:keepLines w:val="0"/>
              <w:keepNext w:val="0"/>
              <w:pageBreakBefore w:val="0"/>
              <w:spacing w:line="360" w:lineRule="exact"/>
              <w:widowControl w:val="off"/>
              <w:rPr>
                <w:rFonts w:hint="eastAsia"/>
                <w:color w:val="auto"/>
                <w:sz w:val="22"/>
                <w:szCs w:val="22"/>
                <w:highlight w:val="none"/>
              </w:rPr>
            </w:pPr>
            <w:r>
              <w:rPr>
                <w:rFonts w:hint="eastAsia"/>
                <w:color w:val="auto"/>
                <w:sz w:val="22"/>
                <w:szCs w:val="22"/>
                <w:highlight w:val="none"/>
              </w:rPr>
            </w:r>
            <w:r/>
          </w:p>
        </w:tc>
      </w:tr>
    </w:tbl>
    <w:p>
      <w:pPr>
        <w:ind w:firstLine="480"/>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注： 1.供应商应当按国家相关法律法规，合理确定服务人员工资标准、工作时间等。供应商应当自行为服务人员办理必需的保险，有关人员伤亡及第三者责任险均应当考虑在报价因素中。</w:t>
      </w:r>
      <w:r/>
    </w:p>
    <w:p>
      <w:pPr>
        <w:ind w:firstLine="480"/>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zh-CN" w:eastAsia="zh-CN"/>
        </w:rPr>
        <w:t xml:space="preserve">验收后</w:t>
      </w:r>
      <w:r>
        <w:rPr>
          <w:rFonts w:hint="eastAsia" w:ascii="宋体" w:hAnsi="宋体" w:eastAsia="宋体" w:cs="宋体"/>
          <w:color w:val="auto"/>
          <w:spacing w:val="0"/>
          <w:sz w:val="24"/>
          <w:szCs w:val="24"/>
          <w:highlight w:val="none"/>
          <w:lang w:val="en-US" w:eastAsia="zh-CN"/>
        </w:rPr>
        <w:t xml:space="preserve">项目经理</w:t>
      </w:r>
      <w:r>
        <w:rPr>
          <w:rFonts w:hint="eastAsia" w:ascii="宋体" w:hAnsi="宋体" w:eastAsia="宋体" w:cs="宋体"/>
          <w:color w:val="auto"/>
          <w:spacing w:val="0"/>
          <w:sz w:val="24"/>
          <w:szCs w:val="24"/>
          <w:highlight w:val="none"/>
          <w:lang w:val="zh-CN" w:eastAsia="zh-CN"/>
        </w:rPr>
        <w:t xml:space="preserve">必须</w:t>
      </w:r>
      <w:r>
        <w:rPr>
          <w:rFonts w:hint="eastAsia" w:ascii="宋体" w:hAnsi="宋体" w:eastAsia="宋体" w:cs="宋体"/>
          <w:color w:val="auto"/>
          <w:spacing w:val="0"/>
          <w:sz w:val="24"/>
          <w:szCs w:val="24"/>
          <w:highlight w:val="none"/>
          <w:lang w:val="en-US" w:eastAsia="zh-CN"/>
        </w:rPr>
        <w:t xml:space="preserve">长期在本项目工作，如因故无法长期在本项目工作，需在甲方允许的情况下，更换同等资历工作人员，且需支付5万元/人违约金。</w:t>
      </w:r>
      <w:r/>
    </w:p>
    <w:p>
      <w:pPr>
        <w:pStyle w:val="717"/>
        <w:ind w:firstLine="482"/>
        <w:spacing w:before="72"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说明：上表中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人员数量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为不允许负偏离的实质性要求和条件，如有偏离，在符合性审查时按照响应无效处理。</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（二）投标文件要求</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1.投标文件中提供《物业管理服务人员方案》文件。</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2.《物业管理服务人员方案》对照“（一）物业管理服务人员具体需求”编制。包含但不限于组织机构设置方案、人员配备具体方案。</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组织机构设置方案包含但不限于:</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rPr>
        <w:t xml:space="preserve">的职责和工作流程。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水电工</w:t>
      </w:r>
      <w:r>
        <w:rPr>
          <w:rFonts w:hint="eastAsia" w:ascii="宋体" w:hAnsi="宋体" w:eastAsia="宋体" w:cs="宋体"/>
          <w:color w:val="auto"/>
          <w:sz w:val="24"/>
          <w:szCs w:val="24"/>
          <w:highlight w:val="none"/>
        </w:rPr>
        <w:t xml:space="preserve">的职责和工作流程。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保安人员</w:t>
      </w:r>
      <w:r>
        <w:rPr>
          <w:rFonts w:hint="eastAsia" w:ascii="宋体" w:hAnsi="宋体" w:eastAsia="宋体" w:cs="宋体"/>
          <w:color w:val="auto"/>
          <w:sz w:val="24"/>
          <w:szCs w:val="24"/>
          <w:highlight w:val="none"/>
        </w:rPr>
        <w:t xml:space="preserve">的职责和工作流程。</w:t>
      </w:r>
      <w:r/>
    </w:p>
    <w:p>
      <w:pPr>
        <w:pStyle w:val="747"/>
        <w:ind w:firstLine="480"/>
        <w:spacing w:line="240" w:lineRule="auto"/>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en-US" w:eastAsia="zh-CN"/>
        </w:rPr>
        <w:t xml:space="preserve">保洁人员职责和工作流程。</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人员配备具体方案包含但不限于按照岗位配备人员，详细描述各岗位职责。</w:t>
      </w:r>
      <w:r/>
    </w:p>
    <w:p>
      <w:p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六、服务期限：自合同签订生效之日起3年。</w:t>
      </w:r>
      <w:r/>
    </w:p>
    <w:p>
      <w:pPr>
        <w:ind w:firstLine="484"/>
        <w:keepLines w:val="0"/>
        <w:keepNext w:val="0"/>
        <w:pageBreakBefore w:val="0"/>
        <w:spacing w:before="0" w:after="0"/>
        <w:widowControl/>
        <w:tabs>
          <w:tab w:val="left" w:pos="0" w:leader="none"/>
        </w:tabs>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 xml:space="preserve">七、付款方式:见招标文件第五章《拟签订的合同文本》中“第六条 物业管理服务费用”。</w:t>
      </w:r>
      <w:r/>
    </w:p>
    <w:p>
      <w:pPr>
        <w:pStyle w:val="911"/>
        <w:ind w:left="0" w:right="-107" w:firstLine="482"/>
        <w:jc w:val="both"/>
        <w:spacing w:line="240" w:lineRule="auto"/>
        <w:rPr>
          <w:rFonts w:hint="eastAsia" w:ascii="宋体" w:hAnsi="宋体" w:eastAsia="宋体" w:cs="宋体"/>
          <w:b/>
          <w:color w:val="auto"/>
          <w:sz w:val="24"/>
          <w:szCs w:val="24"/>
          <w:highlight w:val="none"/>
          <w:lang w:val="en-US" w:bidi="ar-SA"/>
        </w:rPr>
      </w:pPr>
      <w:r>
        <w:rPr>
          <w:rFonts w:hint="eastAsia" w:ascii="宋体" w:hAnsi="宋体" w:eastAsia="宋体" w:cs="宋体"/>
          <w:b/>
          <w:color w:val="auto"/>
          <w:sz w:val="24"/>
          <w:szCs w:val="24"/>
          <w:highlight w:val="none"/>
          <w:lang w:val="en-US" w:bidi="ar-SA"/>
        </w:rPr>
        <w:t xml:space="preserve">说明：本“付款方式”为不允许偏离的实质性要求和条件，如有偏离，在符合性审查时按照响应无效处理。</w:t>
      </w:r>
      <w:r/>
    </w:p>
    <w:p>
      <w:p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eastAsia="zh-CN"/>
        </w:rPr>
        <w:t xml:space="preserve">、投标报价的相关说明</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227.88</w:t>
      </w:r>
      <w:r>
        <w:rPr>
          <w:rFonts w:hint="eastAsia" w:ascii="宋体" w:hAnsi="宋体" w:eastAsia="宋体" w:cs="宋体"/>
          <w:bCs/>
          <w:color w:val="auto"/>
          <w:sz w:val="24"/>
          <w:szCs w:val="24"/>
          <w:highlight w:val="none"/>
        </w:rPr>
        <w:t xml:space="preserve">万元人民币（采购项目预算金额）</w:t>
      </w:r>
      <w:r>
        <w:rPr>
          <w:rFonts w:hint="eastAsia" w:ascii="宋体" w:hAnsi="宋体" w:eastAsia="宋体" w:cs="宋体"/>
          <w:color w:val="auto"/>
          <w:sz w:val="24"/>
          <w:szCs w:val="24"/>
          <w:highlight w:val="none"/>
        </w:rPr>
        <w:t xml:space="preserve">的投标报价。</w:t>
      </w:r>
      <w:r/>
    </w:p>
    <w:p>
      <w:pPr>
        <w:contextualSpacing/>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报价不得违反</w:t>
      </w:r>
      <w:r>
        <w:rPr>
          <w:rFonts w:hint="eastAsia" w:ascii="宋体" w:hAnsi="宋体" w:eastAsia="宋体" w:cs="宋体"/>
          <w:bCs/>
          <w:color w:val="auto"/>
          <w:sz w:val="24"/>
          <w:szCs w:val="24"/>
          <w:highlight w:val="none"/>
          <w:lang w:val="en-US" w:eastAsia="zh-CN"/>
        </w:rPr>
        <w:t xml:space="preserve">邳州市</w:t>
      </w:r>
      <w:r>
        <w:rPr>
          <w:rFonts w:hint="eastAsia" w:ascii="宋体" w:hAnsi="宋体" w:eastAsia="宋体" w:cs="宋体"/>
          <w:bCs/>
          <w:color w:val="auto"/>
          <w:sz w:val="24"/>
          <w:szCs w:val="24"/>
          <w:highlight w:val="none"/>
        </w:rPr>
        <w:t xml:space="preserve">关于最低工资标准的相关规定和社会保险基数的相关规定。</w:t>
      </w:r>
      <w:r>
        <w:rPr>
          <w:rFonts w:hint="eastAsia" w:ascii="宋体" w:hAnsi="宋体" w:eastAsia="宋体" w:cs="宋体"/>
          <w:color w:val="auto"/>
          <w:sz w:val="24"/>
          <w:szCs w:val="24"/>
          <w:highlight w:val="none"/>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报价须充分考虑服务期限（合同期限）</w:t>
      </w:r>
      <w:r>
        <w:rPr>
          <w:rFonts w:hint="eastAsia" w:ascii="宋体" w:hAnsi="宋体" w:eastAsia="宋体" w:cs="宋体"/>
          <w:bCs/>
          <w:color w:val="auto"/>
          <w:sz w:val="24"/>
          <w:szCs w:val="24"/>
          <w:highlight w:val="none"/>
        </w:rPr>
        <w:t xml:space="preserve">内最低工资标准调整因素和社会保险基数调整因素。</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报价需充分考虑</w:t>
      </w:r>
      <w:r>
        <w:rPr>
          <w:rFonts w:hint="eastAsia" w:ascii="宋体" w:hAnsi="宋体" w:eastAsia="宋体" w:cs="宋体"/>
          <w:color w:val="auto"/>
          <w:sz w:val="24"/>
          <w:szCs w:val="24"/>
          <w:highlight w:val="none"/>
        </w:rPr>
        <w:t xml:space="preserve">服务期限（合同期限）</w:t>
      </w:r>
      <w:r>
        <w:rPr>
          <w:rFonts w:hint="eastAsia" w:ascii="宋体" w:hAnsi="宋体" w:eastAsia="宋体" w:cs="宋体"/>
          <w:bCs/>
          <w:color w:val="auto"/>
          <w:sz w:val="24"/>
          <w:szCs w:val="24"/>
          <w:highlight w:val="none"/>
        </w:rPr>
        <w:t xml:space="preserve">内的市场因素和成本变化状况的风险。</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采购人不支付投标报价以外的任何费用。</w:t>
      </w:r>
      <w:r/>
    </w:p>
    <w:p>
      <w:pPr>
        <w:ind w:firstLine="480"/>
        <w:spacing w:line="240" w:lineRule="auto"/>
        <w:tabs>
          <w:tab w:val="left" w:pos="0" w:leader="none"/>
          <w:tab w:val="left" w:pos="28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报价在合同执行过程中是固定的，不得以任何理由予以变更。</w:t>
      </w:r>
      <w:r/>
    </w:p>
    <w:p>
      <w:pPr>
        <w:pStyle w:val="747"/>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说明：本“投标报价的相关说明”为不允许偏离的实质性要求和条件，如有偏离，在符合性审查时按照响应无效处理。</w:t>
      </w:r>
      <w:r/>
    </w:p>
    <w:p>
      <w:pPr>
        <w:ind w:firstLine="480"/>
        <w:rPr>
          <w:rFonts w:hint="eastAsia"/>
          <w:color w:val="auto"/>
          <w:highlight w:val="none"/>
        </w:rPr>
      </w:pPr>
      <w:r>
        <w:rPr>
          <w:rFonts w:hint="eastAsia" w:ascii="宋体" w:hAnsi="宋体" w:eastAsia="宋体" w:cs="宋体"/>
          <w:b w:val="0"/>
          <w:bCs w:val="0"/>
          <w:color w:val="auto"/>
          <w:sz w:val="24"/>
          <w:highlight w:val="none"/>
          <w:lang w:val="en-US" w:eastAsia="zh-CN"/>
        </w:rPr>
        <w:t xml:space="preserve">九</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其他要求：见招标文件第五章《拟签订的合同文本》。</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color w:val="auto"/>
          <w:highlight w:val="none"/>
        </w:rPr>
      </w:pPr>
      <w:r>
        <w:rPr>
          <w:color w:val="auto"/>
          <w:highlight w:val="none"/>
        </w:rPr>
      </w:r>
      <w:r/>
    </w:p>
    <w:p>
      <w:pPr>
        <w:rPr>
          <w:rFonts w:hint="eastAsia"/>
          <w:color w:val="auto"/>
          <w:highlight w:val="none"/>
          <w:lang w:val="en-US" w:eastAsia="zh-CN"/>
        </w:rPr>
      </w:pPr>
      <w:r>
        <w:rPr>
          <w:rFonts w:hint="eastAsia"/>
          <w:color w:val="auto"/>
          <w:highlight w:val="none"/>
          <w:lang w:val="en-US" w:eastAsia="zh-CN"/>
        </w:rPr>
      </w:r>
      <w:r/>
    </w:p>
    <w:p>
      <w:pPr>
        <w:pStyle w:val="702"/>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第七章  投标文件相关格式</w:t>
      </w:r>
      <w:r/>
    </w:p>
    <w:p>
      <w:pPr>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 投标函</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开标一览表</w:t>
      </w:r>
      <w:r/>
    </w:p>
    <w:p>
      <w:pP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3．分项价格表</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4.</w:t>
      </w:r>
      <w:r>
        <w:rPr>
          <w:rFonts w:hint="eastAsia" w:ascii="仿宋" w:hAnsi="仿宋" w:eastAsia="仿宋" w:cs="仿宋"/>
          <w:color w:val="auto"/>
          <w:sz w:val="32"/>
          <w:szCs w:val="32"/>
          <w:highlight w:val="none"/>
        </w:rPr>
        <w:t xml:space="preserve">偏离表</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5</w:t>
      </w:r>
      <w:r>
        <w:rPr>
          <w:rFonts w:hint="eastAsia" w:ascii="仿宋" w:hAnsi="仿宋" w:eastAsia="仿宋" w:cs="仿宋"/>
          <w:color w:val="auto"/>
          <w:sz w:val="32"/>
          <w:szCs w:val="32"/>
          <w:highlight w:val="none"/>
        </w:rPr>
        <w:t xml:space="preserve">. 授权委托书</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6</w:t>
      </w:r>
      <w:r>
        <w:rPr>
          <w:rFonts w:hint="eastAsia" w:ascii="仿宋" w:hAnsi="仿宋" w:eastAsia="仿宋" w:cs="仿宋"/>
          <w:color w:val="auto"/>
          <w:sz w:val="32"/>
          <w:szCs w:val="32"/>
          <w:highlight w:val="none"/>
        </w:rPr>
        <w:t xml:space="preserve">. 中小企业声明函</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7</w:t>
      </w:r>
      <w:r>
        <w:rPr>
          <w:rFonts w:hint="eastAsia" w:ascii="仿宋" w:hAnsi="仿宋" w:eastAsia="仿宋" w:cs="仿宋"/>
          <w:color w:val="auto"/>
          <w:sz w:val="32"/>
          <w:szCs w:val="32"/>
          <w:highlight w:val="none"/>
        </w:rPr>
        <w:t xml:space="preserve">. 投标人参加政府采购活动前3年内在经营活动中没有重大违法记录的书面声明</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8</w:t>
      </w:r>
      <w:r>
        <w:rPr>
          <w:rFonts w:hint="eastAsia" w:ascii="仿宋" w:hAnsi="仿宋" w:eastAsia="仿宋" w:cs="仿宋"/>
          <w:color w:val="auto"/>
          <w:sz w:val="32"/>
          <w:szCs w:val="32"/>
          <w:highlight w:val="none"/>
        </w:rPr>
        <w:t xml:space="preserve">. 残疾人福利性单位声明函</w:t>
      </w:r>
      <w:r/>
    </w:p>
    <w:p>
      <w:pPr>
        <w:keepLines w:val="0"/>
        <w:keepNext w:val="0"/>
        <w:pageBreakBefore w:val="0"/>
        <w:spacing w:line="360" w:lineRule="auto"/>
        <w:rPr>
          <w:rFonts w:ascii="仿宋" w:hAnsi="仿宋" w:eastAsia="仿宋" w:cs="仿宋"/>
          <w:bCs/>
          <w:color w:val="auto"/>
          <w:sz w:val="32"/>
          <w:szCs w:val="32"/>
          <w:highlight w:val="none"/>
        </w:rPr>
      </w:pPr>
      <w:r>
        <w:rPr>
          <w:rFonts w:hint="eastAsia" w:ascii="仿宋" w:hAnsi="仿宋" w:eastAsia="仿宋" w:cs="仿宋"/>
          <w:color w:val="auto"/>
          <w:sz w:val="32"/>
          <w:szCs w:val="32"/>
          <w:highlight w:val="none"/>
          <w:lang w:val="en-US" w:eastAsia="zh-CN"/>
        </w:rPr>
        <w:t xml:space="preserve">9</w:t>
      </w: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32"/>
          <w:szCs w:val="32"/>
          <w:highlight w:val="none"/>
        </w:rPr>
        <w:t xml:space="preserve">具备履行合同所必需的设备和专业技术能力的书面声明（附证明材料的扫描件）</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10</w:t>
      </w:r>
      <w:r>
        <w:rPr>
          <w:rFonts w:hint="eastAsia" w:ascii="仿宋" w:hAnsi="仿宋" w:eastAsia="仿宋" w:cs="仿宋"/>
          <w:color w:val="auto"/>
          <w:sz w:val="32"/>
          <w:szCs w:val="32"/>
          <w:highlight w:val="none"/>
        </w:rPr>
        <w:t xml:space="preserve">.投标人相关承诺</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lang w:val="en-US" w:eastAsia="zh-CN"/>
        </w:rPr>
        <w:t xml:space="preserve">1</w:t>
      </w:r>
      <w:r>
        <w:rPr>
          <w:rFonts w:hint="eastAsia" w:ascii="仿宋" w:hAnsi="仿宋" w:eastAsia="仿宋" w:cs="仿宋"/>
          <w:color w:val="auto"/>
          <w:sz w:val="32"/>
          <w:szCs w:val="32"/>
          <w:highlight w:val="none"/>
        </w:rPr>
        <w:t xml:space="preserve">.投标人书面声明</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lang w:val="en-US" w:eastAsia="zh-CN"/>
        </w:rPr>
        <w:t xml:space="preserve">2</w:t>
      </w:r>
      <w:r>
        <w:rPr>
          <w:rFonts w:hint="eastAsia" w:ascii="仿宋" w:hAnsi="仿宋" w:eastAsia="仿宋" w:cs="仿宋"/>
          <w:color w:val="auto"/>
          <w:sz w:val="32"/>
          <w:szCs w:val="32"/>
          <w:highlight w:val="none"/>
        </w:rPr>
        <w:t xml:space="preserve">.采购需求符合性条件响应表</w:t>
      </w:r>
      <w:r/>
    </w:p>
    <w:p>
      <w:pPr>
        <w:pStyle w:val="747"/>
        <w:keepLines w:val="0"/>
        <w:keepNext w:val="0"/>
        <w:pageBreakBefore w:val="0"/>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47"/>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47"/>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47"/>
        <w:rPr>
          <w:color w:val="auto"/>
          <w:highlight w:val="none"/>
        </w:rPr>
      </w:pPr>
      <w:r>
        <w:rPr>
          <w:color w:val="auto"/>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1. 投标函</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邳州市公共资源交易中心</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u w:val="single"/>
          <w:lang w:eastAsia="zh-CN"/>
        </w:rPr>
        <w:t xml:space="preserve">JSZC-320382-PZZC-G2026-0005</w:t>
      </w:r>
      <w:r>
        <w:rPr>
          <w:rFonts w:hint="eastAsia" w:ascii="仿宋" w:hAnsi="仿宋" w:eastAsia="仿宋" w:cs="仿宋"/>
          <w:color w:val="auto"/>
          <w:sz w:val="24"/>
          <w:highlight w:val="none"/>
        </w:rPr>
        <w:t xml:space="preserve">]招标文件，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(姓名)代表我方______________（投标人的名称）全权处理本次投标的有关事宜。</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本项目由投标人本企业提供服务，投标人唯一投标报价见《开标一览表》。</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投标人将按招标文件的规定履行合同责任和义务。</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投标有效期为90天。</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6.招标文件中关于“投标文件的密封要求”的规定由</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解释，投标人完全理解招标文件中关于“投标文件的密封要求”的规定。</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 </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有权将我单位本项目投标文件中的《开标一览表》予以公示，公示的方式由</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确定。如我单位被确定为中标、成交供应商，</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有权将我单位本项目投标文件中的《中小企业声明函》（如有）和《残疾人福利性单位声明函》（如有）作为《中标（成交）结果公告》的附件予以公告。</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 与本投标有关的一切正式往来信函请寄：</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手机号码： </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firstLine="312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12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2．开标一览表</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ind w:firstLine="6240"/>
        <w:rPr>
          <w:rFonts w:ascii="仿宋" w:hAnsi="仿宋" w:eastAsia="仿宋" w:cs="仿宋"/>
          <w:color w:val="auto"/>
          <w:sz w:val="24"/>
          <w:highlight w:val="none"/>
        </w:rPr>
      </w:pPr>
      <w:r>
        <w:rPr>
          <w:rFonts w:ascii="仿宋" w:hAnsi="仿宋" w:eastAsia="仿宋" w:cs="仿宋"/>
          <w:color w:val="auto"/>
          <w:sz w:val="24"/>
          <w:highlight w:val="none"/>
        </w:rPr>
      </w:r>
      <w:r/>
    </w:p>
    <w:tbl>
      <w:tblPr>
        <w:tblStyle w:val="712"/>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纪念场馆及烈士陵园物业安保服务项目</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olor w:val="auto"/>
                <w:sz w:val="24"/>
                <w:highlight w:val="none"/>
              </w:rPr>
              <w:t xml:space="preserve">总价（大写）：</w:t>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color w:val="auto"/>
          <w:highlight w:val="none"/>
        </w:rPr>
      </w:pPr>
      <w:r>
        <w:rPr>
          <w:rFonts w:hint="eastAsia"/>
          <w:color w:val="auto"/>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3．分项价格表</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ind w:firstLine="156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                    货币单位：人民币元</w:t>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080"/>
        <w:rPr>
          <w:rFonts w:ascii="仿宋" w:hAnsi="仿宋" w:eastAsia="仿宋"/>
          <w:color w:val="auto"/>
          <w:sz w:val="24"/>
          <w:highlight w:val="none"/>
        </w:rPr>
      </w:pPr>
      <w:r>
        <w:rPr>
          <w:rFonts w:hint="eastAsia" w:ascii="仿宋" w:hAnsi="仿宋" w:eastAsia="仿宋"/>
          <w:color w:val="auto"/>
          <w:sz w:val="24"/>
          <w:highlight w:val="none"/>
        </w:rPr>
        <w:t xml:space="preserve">（详细分项报价内容自制）</w:t>
      </w:r>
      <w:r/>
    </w:p>
    <w:p>
      <w:pPr>
        <w:pStyle w:val="747"/>
        <w:rPr>
          <w:color w:val="auto"/>
          <w:highlight w:val="none"/>
        </w:rPr>
      </w:pPr>
      <w:r>
        <w:rPr>
          <w:color w:val="auto"/>
          <w:highlight w:val="none"/>
        </w:rPr>
      </w:r>
      <w:r/>
    </w:p>
    <w:p>
      <w:pPr>
        <w:rPr>
          <w:color w:val="auto"/>
          <w:highlight w:val="none"/>
        </w:rPr>
      </w:pPr>
      <w:r>
        <w:rPr>
          <w:color w:val="auto"/>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ind w:firstLine="312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（电子签章）  </w:t>
      </w:r>
      <w:r/>
    </w:p>
    <w:p>
      <w:pPr>
        <w:ind w:firstLine="3120"/>
        <w:spacing w:line="360" w:lineRule="auto"/>
        <w:rPr>
          <w:color w:val="auto"/>
          <w:highlight w:val="none"/>
        </w:rPr>
      </w:pPr>
      <w:r>
        <w:rPr>
          <w:rFonts w:hint="eastAsia" w:ascii="仿宋" w:hAnsi="仿宋" w:eastAsia="仿宋"/>
          <w:color w:val="auto"/>
          <w:sz w:val="24"/>
          <w:highlight w:val="none"/>
        </w:rPr>
        <w:t xml:space="preserve">日期：   年  月  日</w:t>
      </w:r>
      <w:r/>
    </w:p>
    <w:p>
      <w:pPr>
        <w:rPr>
          <w:rFonts w:ascii="仿宋" w:hAnsi="仿宋" w:eastAsia="仿宋"/>
          <w:color w:val="auto"/>
          <w:sz w:val="24"/>
          <w:highlight w:val="none"/>
        </w:rPr>
      </w:pPr>
      <w:r>
        <w:rPr>
          <w:rFonts w:hint="eastAsia" w:ascii="仿宋" w:hAnsi="仿宋" w:eastAsia="仿宋"/>
          <w:b w:val="0"/>
          <w:bCs w:val="0"/>
          <w:color w:val="auto"/>
          <w:sz w:val="24"/>
          <w:highlight w:val="none"/>
        </w:rPr>
        <w:t xml:space="preserve">注：</w:t>
      </w:r>
      <w:r>
        <w:rPr>
          <w:rFonts w:hint="eastAsia" w:ascii="仿宋" w:hAnsi="仿宋" w:eastAsia="仿宋"/>
          <w:b/>
          <w:bCs/>
          <w:color w:val="auto"/>
          <w:sz w:val="24"/>
          <w:highlight w:val="none"/>
        </w:rPr>
        <w:t xml:space="preserve">1.如果不提供详细分项报价将视为没有实质性响应招标文件。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2.本表的总价合计与《开标一览表》中的“总价”以及按单价汇总金额应保持一致。</w:t>
      </w:r>
      <w:r/>
    </w:p>
    <w:p>
      <w:pPr>
        <w:ind w:firstLine="480"/>
        <w:rPr>
          <w:color w:val="auto"/>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投标人对以上数据的真实性负责。</w:t>
      </w:r>
      <w:r/>
    </w:p>
    <w:p>
      <w:pPr>
        <w:ind w:firstLine="480"/>
        <w:rPr>
          <w:rFonts w:ascii="仿宋" w:hAnsi="仿宋" w:eastAsia="仿宋"/>
          <w:i/>
          <w:color w:val="auto"/>
          <w:sz w:val="24"/>
          <w:highlight w:val="none"/>
          <w:u w:val="single"/>
        </w:rPr>
      </w:pPr>
      <w:r>
        <w:rPr>
          <w:rFonts w:hint="eastAsia" w:ascii="仿宋" w:hAnsi="仿宋" w:eastAsia="仿宋"/>
          <w:i/>
          <w:color w:val="auto"/>
          <w:sz w:val="24"/>
          <w:highlight w:val="none"/>
          <w:u w:val="single"/>
          <w:lang w:val="en-US" w:eastAsia="zh-CN"/>
        </w:rPr>
        <w:t xml:space="preserve">邳州市公共资源交易中心</w:t>
      </w:r>
      <w:r>
        <w:rPr>
          <w:rFonts w:hint="eastAsia" w:ascii="仿宋" w:hAnsi="仿宋" w:eastAsia="仿宋"/>
          <w:i/>
          <w:color w:val="auto"/>
          <w:sz w:val="24"/>
          <w:highlight w:val="none"/>
          <w:u w:val="single"/>
        </w:rPr>
        <w:t xml:space="preserve">有权将以上内容进行公示。</w:t>
      </w:r>
      <w:r/>
    </w:p>
    <w:p>
      <w:pPr>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．偏离表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tbl>
      <w:tblPr>
        <w:tblStyle w:val="712"/>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1404"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W w:w="1476"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W w:w="162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W w:w="126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W w:w="234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747"/>
        <w:rPr>
          <w:rFonts w:ascii="仿宋" w:hAnsi="仿宋" w:eastAsia="仿宋" w:cs="仿宋"/>
          <w:bCs/>
          <w:color w:val="auto"/>
          <w:sz w:val="24"/>
          <w:highlight w:val="none"/>
        </w:rPr>
      </w:pPr>
      <w:r>
        <w:rPr>
          <w:rFonts w:ascii="仿宋" w:hAnsi="仿宋" w:eastAsia="仿宋" w:cs="仿宋"/>
          <w:bCs/>
          <w:color w:val="auto"/>
          <w:sz w:val="24"/>
          <w:highlight w:val="none"/>
        </w:rPr>
      </w:r>
      <w:r/>
    </w:p>
    <w:p>
      <w:pPr>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747"/>
        <w:rPr>
          <w:color w:val="auto"/>
          <w:highlight w:val="none"/>
        </w:rPr>
      </w:pPr>
      <w:r>
        <w:rPr>
          <w:color w:val="auto"/>
          <w:highlight w:val="none"/>
        </w:rPr>
      </w:r>
      <w:r/>
    </w:p>
    <w:p>
      <w:pPr>
        <w:pStyle w:val="747"/>
        <w:rPr>
          <w:rFonts w:ascii="仿宋" w:hAnsi="仿宋" w:eastAsia="仿宋" w:cs="仿宋"/>
          <w:bCs/>
          <w:color w:val="auto"/>
          <w:sz w:val="24"/>
          <w:highlight w:val="none"/>
        </w:rPr>
      </w:pPr>
      <w:r>
        <w:rPr>
          <w:rFonts w:ascii="仿宋" w:hAnsi="仿宋" w:eastAsia="仿宋" w:cs="仿宋"/>
          <w:bCs/>
          <w:color w:val="auto"/>
          <w:sz w:val="24"/>
          <w:highlight w:val="none"/>
        </w:rPr>
      </w:r>
      <w:r/>
    </w:p>
    <w:p>
      <w:pPr>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5. 授权委托书</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职务：</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                   性别：男（女）  </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年龄：  岁                 民族：   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lang w:eastAsia="zh-CN"/>
        </w:rPr>
        <w:t xml:space="preserve">JSZC-320382-PZZC-G2026-0005</w:t>
      </w:r>
      <w:r>
        <w:rPr>
          <w:rFonts w:hint="eastAsia" w:ascii="仿宋" w:hAnsi="仿宋" w:eastAsia="仿宋" w:cs="仿宋"/>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特此授权委托。</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委托人（公章）：                      受托人（签字）：</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 </w:t>
      </w:r>
      <w:r/>
    </w:p>
    <w:p>
      <w:pPr>
        <w:ind w:firstLine="419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(受托人身份证扫描件附后)</w:t>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6. 中小企业声明函</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highlight w:val="none"/>
          <w:u w:val="single"/>
          <w:lang w:val="en-US" w:eastAsia="zh-CN"/>
        </w:rPr>
        <w:t xml:space="preserve">邳州市纪念场馆管理处</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rPr>
        <w:t xml:space="preserve">）采购活动，服务全部由符合政策要求的中小企业承接。相关企业的具体情况如下：</w:t>
      </w:r>
      <w:r/>
    </w:p>
    <w:p>
      <w:pPr>
        <w:pStyle w:val="735"/>
        <w:ind w:left="0"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rPr>
        <w:t xml:space="preserve">），属于（ </w:t>
      </w:r>
      <w:r>
        <w:rPr>
          <w:rFonts w:hint="eastAsia" w:ascii="仿宋" w:hAnsi="仿宋" w:eastAsia="仿宋" w:cs="宋体"/>
          <w:color w:val="auto"/>
          <w:sz w:val="24"/>
          <w:highlight w:val="none"/>
        </w:rPr>
        <w:t xml:space="preserve">物业管理</w:t>
      </w:r>
      <w:r>
        <w:rPr>
          <w:rFonts w:hint="eastAsia" w:ascii="仿宋" w:hAnsi="仿宋" w:eastAsia="仿宋" w:cs="仿宋"/>
          <w:color w:val="auto"/>
          <w:sz w:val="24"/>
          <w:highlight w:val="none"/>
        </w:rPr>
        <w:t xml:space="preserve">）；承接企业为（    ），从业人员（  ）人，营业收入为（   万元），资产总额为（  万元）①，属于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（中型企业、小型企业、微型企业）；</w:t>
      </w:r>
      <w:r/>
    </w:p>
    <w:p>
      <w:pPr>
        <w:pStyle w:val="735"/>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w:t>
      </w:r>
      <w:r/>
    </w:p>
    <w:p>
      <w:pPr>
        <w:pStyle w:val="735"/>
        <w:ind w:left="0"/>
        <w:rPr>
          <w:rFonts w:ascii="仿宋" w:hAnsi="仿宋" w:eastAsia="仿宋" w:cs="仿宋"/>
          <w:color w:val="auto"/>
          <w:sz w:val="24"/>
          <w:highlight w:val="none"/>
        </w:rPr>
      </w:pPr>
      <w:r>
        <w:rPr>
          <w:rFonts w:hint="eastAsia" w:ascii="仿宋" w:hAnsi="仿宋" w:eastAsia="仿宋" w:cs="仿宋"/>
          <w:color w:val="auto"/>
          <w:sz w:val="24"/>
          <w:highlight w:val="none"/>
        </w:rPr>
        <w:t xml:space="preserve">不存在与大企业的负责人为同一人的情形。</w:t>
      </w:r>
      <w:r/>
    </w:p>
    <w:p>
      <w:pPr>
        <w:pStyle w:val="735"/>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pStyle w:val="735"/>
        <w:ind w:right="480" w:firstLine="360"/>
        <w:rPr>
          <w:rFonts w:ascii="仿宋" w:hAnsi="仿宋" w:eastAsia="仿宋" w:cs="仿宋"/>
          <w:color w:val="auto"/>
          <w:sz w:val="24"/>
          <w:highlight w:val="none"/>
        </w:rPr>
      </w:pPr>
      <w:r>
        <w:rPr>
          <w:rFonts w:ascii="仿宋" w:hAnsi="仿宋" w:eastAsia="仿宋" w:cs="仿宋"/>
          <w:color w:val="auto"/>
          <w:sz w:val="24"/>
          <w:highlight w:val="none"/>
        </w:rPr>
      </w:r>
      <w:r/>
    </w:p>
    <w:p>
      <w:pPr>
        <w:pStyle w:val="735"/>
        <w:ind w:right="480" w:firstLine="264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企业名称（电子签章）：</w:t>
      </w:r>
      <w:r>
        <w:rPr>
          <w:rFonts w:hint="eastAsia" w:ascii="仿宋" w:hAnsi="仿宋" w:eastAsia="仿宋" w:cs="仿宋"/>
          <w:color w:val="auto"/>
          <w:sz w:val="24"/>
          <w:highlight w:val="none"/>
          <w:u w:val="single"/>
        </w:rPr>
        <w:t xml:space="preserve">                  </w:t>
      </w:r>
      <w:r/>
    </w:p>
    <w:p>
      <w:pPr>
        <w:ind w:firstLine="36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735"/>
        <w:ind w:right="480" w:firstLine="3240"/>
        <w:rPr>
          <w:rFonts w:ascii="仿宋" w:hAnsi="仿宋" w:eastAsia="仿宋" w:cs="仿宋"/>
          <w:color w:val="auto"/>
          <w:sz w:val="24"/>
          <w:highlight w:val="none"/>
        </w:rPr>
      </w:pPr>
      <w:r>
        <w:rPr>
          <w:rFonts w:ascii="仿宋" w:hAnsi="仿宋" w:eastAsia="仿宋" w:cs="仿宋"/>
          <w:color w:val="auto"/>
          <w:sz w:val="24"/>
          <w:highlight w:val="none"/>
        </w:rPr>
      </w:r>
      <w:r/>
    </w:p>
    <w:p>
      <w:pPr>
        <w:pStyle w:val="735"/>
        <w:rPr>
          <w:rFonts w:ascii="仿宋" w:hAnsi="仿宋" w:eastAsia="仿宋" w:cs="仿宋"/>
          <w:color w:val="auto"/>
          <w:sz w:val="24"/>
          <w:highlight w:val="none"/>
        </w:rPr>
      </w:pPr>
      <w:r>
        <w:rPr>
          <w:rFonts w:ascii="仿宋" w:hAnsi="仿宋" w:eastAsia="仿宋" w:cs="仿宋"/>
          <w:color w:val="auto"/>
          <w:sz w:val="24"/>
          <w:highlight w:val="none"/>
        </w:rPr>
      </w:r>
      <w:r/>
    </w:p>
    <w:p>
      <w:pPr>
        <w:pStyle w:val="735"/>
        <w:rPr>
          <w:rFonts w:ascii="仿宋" w:hAnsi="仿宋" w:eastAsia="仿宋" w:cs="仿宋"/>
          <w:color w:val="auto"/>
          <w:sz w:val="24"/>
          <w:highlight w:val="none"/>
        </w:rPr>
      </w:pPr>
      <w:r>
        <w:rPr>
          <w:rFonts w:ascii="仿宋" w:hAnsi="仿宋" w:eastAsia="仿宋" w:cs="仿宋"/>
          <w:color w:val="auto"/>
          <w:sz w:val="24"/>
          <w:highlight w:val="none"/>
        </w:rPr>
      </w:r>
      <w:r/>
    </w:p>
    <w:p>
      <w:pPr>
        <w:pStyle w:val="735"/>
        <w:rPr>
          <w:rFonts w:ascii="仿宋" w:hAnsi="仿宋" w:eastAsia="仿宋" w:cs="仿宋"/>
          <w:color w:val="auto"/>
          <w:sz w:val="24"/>
          <w:highlight w:val="none"/>
        </w:rPr>
      </w:pPr>
      <w:r>
        <w:rPr>
          <w:rFonts w:ascii="仿宋" w:hAnsi="仿宋" w:eastAsia="仿宋" w:cs="仿宋"/>
          <w:color w:val="auto"/>
          <w:sz w:val="24"/>
          <w:highlight w:val="none"/>
        </w:rPr>
      </w:r>
      <w:r/>
    </w:p>
    <w:p>
      <w:pPr>
        <w:pStyle w:val="735"/>
        <w:rPr>
          <w:rFonts w:ascii="仿宋" w:hAnsi="仿宋" w:eastAsia="仿宋" w:cs="仿宋"/>
          <w:color w:val="auto"/>
          <w:sz w:val="24"/>
          <w:highlight w:val="none"/>
        </w:rPr>
      </w:pPr>
      <w:r>
        <w:rPr>
          <w:rFonts w:ascii="仿宋" w:hAnsi="仿宋" w:eastAsia="仿宋" w:cs="仿宋"/>
          <w:color w:val="auto"/>
          <w:sz w:val="24"/>
          <w:highlight w:val="none"/>
        </w:rPr>
      </w:r>
      <w:r/>
    </w:p>
    <w:p>
      <w:pPr>
        <w:pStyle w:val="735"/>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①：从业人员、营业收入、资产总额填报上一年度数据，无上一年度数据的新成立企业可不填报。</w:t>
      </w:r>
      <w:r/>
    </w:p>
    <w:p>
      <w:pPr>
        <w:ind w:firstLine="2400"/>
        <w:rPr>
          <w:rFonts w:ascii="仿宋" w:hAnsi="仿宋" w:eastAsia="仿宋" w:cs="仿宋"/>
          <w:color w:val="auto"/>
          <w:sz w:val="24"/>
          <w:highlight w:val="none"/>
        </w:rPr>
      </w:pPr>
      <w:r>
        <w:rPr>
          <w:rFonts w:ascii="仿宋" w:hAnsi="仿宋" w:eastAsia="仿宋" w:cs="仿宋"/>
          <w:color w:val="auto"/>
          <w:sz w:val="24"/>
          <w:highlight w:val="none"/>
        </w:rPr>
      </w:r>
      <w:r/>
    </w:p>
    <w:p>
      <w:pPr>
        <w:ind w:firstLine="24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7. 投标人参加政府采购活动前3年内在经营活动中没有重大违法记录的书面声明</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u w:val="single"/>
          <w:lang w:eastAsia="zh-CN"/>
        </w:rPr>
        <w:t xml:space="preserve">JSZC-320382-PZZC-G2026-0005</w:t>
      </w:r>
      <w:r>
        <w:rPr>
          <w:rFonts w:hint="eastAsia" w:ascii="仿宋" w:hAnsi="仿宋" w:eastAsia="仿宋"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55"/>
        <w:ind w:firstLine="600"/>
        <w:rPr>
          <w:rFonts w:ascii="仿宋" w:hAnsi="仿宋" w:eastAsia="仿宋" w:cs="仿宋"/>
          <w:color w:val="auto"/>
          <w:highlight w:val="none"/>
        </w:rPr>
      </w:pPr>
      <w:r>
        <w:rPr>
          <w:rFonts w:hint="eastAsia" w:ascii="仿宋" w:hAnsi="仿宋" w:eastAsia="仿宋" w:cs="仿宋"/>
          <w:color w:val="auto"/>
          <w:highlight w:val="none"/>
        </w:rPr>
        <w:t xml:space="preserve">我单位对上述声明的真实性负责。如有虚假，将依法承担相应责任。</w:t>
      </w:r>
      <w:r/>
    </w:p>
    <w:p>
      <w:pPr>
        <w:ind w:firstLine="60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84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8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8.</w:t>
      </w:r>
      <w:bookmarkStart w:id="4" w:name="OLE_LINK13"/>
      <w:r/>
      <w:bookmarkStart w:id="5" w:name="OLE_LINK14"/>
      <w:r>
        <w:rPr>
          <w:rFonts w:hint="eastAsia" w:ascii="仿宋" w:hAnsi="仿宋" w:eastAsia="仿宋"/>
          <w:color w:val="auto"/>
          <w:sz w:val="24"/>
          <w:highlight w:val="none"/>
          <w:lang w:val="en-US" w:eastAsia="zh-CN"/>
        </w:rPr>
        <w:t xml:space="preserve"> 残疾人福利性单位声明函</w:t>
      </w:r>
      <w:bookmarkEnd w:id="4"/>
      <w:r/>
      <w:bookmarkEnd w:id="5"/>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pacing w:val="6"/>
          <w:sz w:val="24"/>
          <w:highlight w:val="none"/>
          <w:u w:val="single"/>
          <w:lang w:val="en-US" w:eastAsia="zh-CN"/>
        </w:rPr>
        <w:t xml:space="preserve">邳州市纪念场馆管理处</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pacing w:val="6"/>
          <w:sz w:val="24"/>
          <w:highlight w:val="none"/>
          <w:u w:val="single"/>
          <w:lang w:val="en-US" w:eastAsia="zh-CN"/>
        </w:rPr>
        <w:t xml:space="preserve">纪念场馆及烈士陵园物业安保服务项目</w:t>
      </w:r>
      <w:r>
        <w:rPr>
          <w:rFonts w:hint="eastAsia" w:ascii="仿宋" w:hAnsi="仿宋" w:eastAsia="仿宋" w:cs="仿宋"/>
          <w:color w:val="auto"/>
          <w:spacing w:val="6"/>
          <w:sz w:val="24"/>
          <w:highlight w:val="none"/>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right="-58"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 xml:space="preserve">（电子签章）：</w:t>
      </w:r>
      <w:r/>
    </w:p>
    <w:p>
      <w:pPr>
        <w:ind w:right="1560"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pacing w:val="6"/>
          <w:sz w:val="24"/>
          <w:highlight w:val="none"/>
          <w:lang w:val="en-US" w:eastAsia="zh-CN"/>
        </w:rPr>
        <w:t xml:space="preserve">  </w:t>
      </w:r>
      <w:r>
        <w:rPr>
          <w:rFonts w:hint="eastAsia" w:ascii="仿宋" w:hAnsi="仿宋" w:eastAsia="仿宋" w:cs="仿宋"/>
          <w:color w:val="auto"/>
          <w:spacing w:val="6"/>
          <w:sz w:val="24"/>
          <w:highlight w:val="none"/>
        </w:rPr>
        <w:t xml:space="preserve"> 日  期：</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9. 具备履行合同所必需的设备和专业技术能力的书面声明</w:t>
      </w:r>
      <w:r/>
    </w:p>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（附证明材料的扫描件）</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投标人郑重声明：投标人具备履行合同（项目名称： </w:t>
      </w:r>
      <w:r>
        <w:rPr>
          <w:rFonts w:hint="eastAsia" w:ascii="仿宋" w:hAnsi="仿宋" w:eastAsia="仿宋" w:cs="仿宋"/>
          <w:color w:val="auto"/>
          <w:sz w:val="24"/>
          <w:highlight w:val="none"/>
          <w:u w:val="single"/>
          <w:lang w:val="en-US" w:eastAsia="zh-CN"/>
        </w:rPr>
        <w:t xml:space="preserve">纪念场馆及烈士陵园物业安保服务项目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strike w:val="0"/>
          <w:color w:val="auto"/>
          <w:sz w:val="24"/>
          <w:highlight w:val="none"/>
          <w:u w:val="single"/>
          <w:lang w:eastAsia="zh-CN"/>
        </w:rPr>
        <w:t xml:space="preserve">JSZC-320382-PZZC-G2026-0005</w:t>
      </w:r>
      <w:r>
        <w:rPr>
          <w:rFonts w:hint="eastAsia" w:ascii="仿宋" w:hAnsi="仿宋" w:eastAsia="仿宋" w:cs="仿宋"/>
          <w:color w:val="auto"/>
          <w:sz w:val="24"/>
          <w:highlight w:val="none"/>
        </w:rPr>
        <w:t xml:space="preserve">）所必需的设备和专业技术能力，具体为：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专业技术能力：</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color w:val="auto"/>
          <w:highlight w:val="none"/>
        </w:rPr>
      </w:pPr>
      <w:r>
        <w:rPr>
          <w:color w:val="auto"/>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10.投标人相关承诺</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我单位承诺：</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我单位对上述承诺负责，并依法承担相应责任。</w:t>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11.投标人书面声明</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我单位不是为本采购项目提供整体设计、规范编制或者项目管理、监理、检测等服务的供应商。</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特此声明。</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757"/>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pStyle w:val="736"/>
        <w:ind w:firstLine="2880"/>
        <w:rPr>
          <w:rFonts w:ascii="仿宋" w:hAnsi="仿宋" w:cs="仿宋"/>
          <w:color w:val="auto"/>
          <w:sz w:val="24"/>
          <w:szCs w:val="24"/>
          <w:highlight w:val="none"/>
        </w:rPr>
      </w:pPr>
      <w:r>
        <w:rPr>
          <w:rFonts w:hint="eastAsia" w:ascii="仿宋" w:hAnsi="仿宋" w:cs="仿宋"/>
          <w:color w:val="auto"/>
          <w:sz w:val="24"/>
          <w:szCs w:val="24"/>
          <w:highlight w:val="none"/>
        </w:rPr>
        <w:t xml:space="preserve">日期：   年  月  日</w:t>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pStyle w:val="736"/>
        <w:rPr>
          <w:rFonts w:ascii="仿宋" w:hAnsi="仿宋" w:cs="仿宋"/>
          <w:color w:val="auto"/>
          <w:sz w:val="24"/>
          <w:szCs w:val="24"/>
          <w:highlight w:val="none"/>
        </w:rPr>
      </w:pPr>
      <w:r>
        <w:rPr>
          <w:rFonts w:ascii="仿宋" w:hAnsi="仿宋" w:cs="仿宋"/>
          <w:color w:val="auto"/>
          <w:sz w:val="24"/>
          <w:szCs w:val="24"/>
          <w:highlight w:val="none"/>
        </w:rPr>
      </w:r>
      <w:r/>
    </w:p>
    <w:p>
      <w:pPr>
        <w:ind w:right="29"/>
        <w:rPr>
          <w:rFonts w:ascii="仿宋" w:hAnsi="仿宋" w:eastAsia="仿宋" w:cs="仿宋"/>
          <w:color w:val="auto"/>
          <w:sz w:val="24"/>
          <w:highlight w:val="none"/>
        </w:rPr>
      </w:pPr>
      <w:r>
        <w:rPr>
          <w:rFonts w:ascii="仿宋" w:hAnsi="仿宋" w:eastAsia="仿宋" w:cs="仿宋"/>
          <w:color w:val="auto"/>
          <w:sz w:val="24"/>
          <w:highlight w:val="none"/>
        </w:rPr>
      </w:r>
      <w:r/>
    </w:p>
    <w:p>
      <w:pPr>
        <w:pStyle w:val="747"/>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both"/>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12.采购需求符合性条件响应表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纪念场馆及烈士陵园物业安保服务项目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JSZC-320382-PZZC-G2026-0005</w:t>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tbl>
      <w:tblPr>
        <w:tblStyle w:val="712"/>
        <w:tblpPr w:horzAnchor="page" w:tblpX="1334" w:vertAnchor="text" w:tblpY="323" w:leftFromText="180" w:topFromText="0" w:rightFromText="180" w:bottomFromText="0"/>
        <w:tblW w:w="1006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2977"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采购需求符合性条件</w:t>
            </w:r>
            <w:r/>
          </w:p>
        </w:tc>
        <w:tc>
          <w:tcPr>
            <w:tcW w:w="2268"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投标文件中的响应情况</w:t>
            </w:r>
            <w:r/>
          </w:p>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（完全响应/未完全响应）</w:t>
            </w:r>
            <w:r/>
          </w:p>
        </w:tc>
        <w:tc>
          <w:tcPr>
            <w:tcW w:w="1276"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 xml:space="preserve">关于“人员数量”</w:t>
            </w:r>
            <w:r>
              <w:rPr>
                <w:rFonts w:hint="eastAsia" w:ascii="仿宋" w:hAnsi="仿宋" w:eastAsia="仿宋" w:cs="仿宋"/>
                <w:color w:val="auto"/>
                <w:sz w:val="24"/>
                <w:highlight w:val="none"/>
              </w:rPr>
              <w:t xml:space="preserve">的响应情况</w:t>
            </w:r>
            <w:r/>
          </w:p>
        </w:tc>
        <w:tc>
          <w:tcPr>
            <w:tcW w:w="226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567"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 xml:space="preserve">关于“</w:t>
            </w:r>
            <w:r>
              <w:rPr>
                <w:rFonts w:hint="eastAsia" w:ascii="仿宋" w:hAnsi="仿宋" w:eastAsia="仿宋" w:cs="仿宋"/>
                <w:caps/>
                <w:color w:val="auto"/>
                <w:sz w:val="24"/>
                <w:highlight w:val="none"/>
                <w:lang w:val="en-US"/>
              </w:rPr>
              <w:t xml:space="preserve">付款方式</w:t>
            </w:r>
            <w:r>
              <w:rPr>
                <w:rFonts w:hint="eastAsia" w:ascii="仿宋" w:hAnsi="仿宋" w:eastAsia="仿宋" w:cs="仿宋"/>
                <w:caps/>
                <w:color w:val="auto"/>
                <w:sz w:val="24"/>
                <w:highlight w:val="none"/>
                <w:lang w:val="en-US" w:eastAsia="zh-CN"/>
              </w:rPr>
              <w:t xml:space="preserve">”</w:t>
            </w:r>
            <w:r>
              <w:rPr>
                <w:rFonts w:hint="eastAsia" w:ascii="仿宋" w:hAnsi="仿宋" w:eastAsia="仿宋" w:cs="仿宋"/>
                <w:color w:val="auto"/>
                <w:sz w:val="24"/>
                <w:highlight w:val="none"/>
              </w:rPr>
              <w:t xml:space="preserve">的响应情况</w:t>
            </w:r>
            <w:r/>
          </w:p>
        </w:tc>
        <w:tc>
          <w:tcPr>
            <w:tcW w:w="226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567" w:type="dxa"/>
            <w:vAlign w:val="center"/>
            <w:textDirection w:val="lrTb"/>
            <w:noWrap w:val="false"/>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 xml:space="preserve">关于“</w:t>
            </w:r>
            <w:r>
              <w:rPr>
                <w:rFonts w:hint="eastAsia" w:ascii="仿宋" w:hAnsi="仿宋" w:eastAsia="仿宋" w:cs="仿宋"/>
                <w:caps/>
                <w:color w:val="auto"/>
                <w:sz w:val="24"/>
                <w:highlight w:val="none"/>
              </w:rPr>
              <w:t xml:space="preserve">投标报价</w:t>
            </w:r>
            <w:r>
              <w:rPr>
                <w:rFonts w:hint="eastAsia" w:ascii="仿宋" w:hAnsi="仿宋" w:eastAsia="仿宋" w:cs="仿宋"/>
                <w:caps/>
                <w:color w:val="auto"/>
                <w:sz w:val="24"/>
                <w:highlight w:val="none"/>
                <w:lang w:eastAsia="zh-CN"/>
              </w:rPr>
              <w:t xml:space="preserve">”</w:t>
            </w:r>
            <w:r>
              <w:rPr>
                <w:rFonts w:hint="eastAsia" w:ascii="仿宋" w:hAnsi="仿宋" w:eastAsia="仿宋" w:cs="仿宋"/>
                <w:caps/>
                <w:color w:val="auto"/>
                <w:sz w:val="24"/>
                <w:highlight w:val="none"/>
              </w:rPr>
              <w:t xml:space="preserve">的相关说明</w:t>
            </w:r>
            <w:r>
              <w:rPr>
                <w:rFonts w:hint="eastAsia" w:ascii="仿宋" w:hAnsi="仿宋" w:eastAsia="仿宋" w:cs="仿宋"/>
                <w:color w:val="auto"/>
                <w:sz w:val="24"/>
                <w:highlight w:val="none"/>
              </w:rPr>
              <w:t xml:space="preserve">的响应情况</w:t>
            </w:r>
            <w:r/>
          </w:p>
        </w:tc>
        <w:tc>
          <w:tcPr>
            <w:tcW w:w="226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1.上表</w:t>
      </w:r>
      <w:r>
        <w:rPr>
          <w:rFonts w:hint="eastAsia" w:ascii="仿宋" w:hAnsi="仿宋" w:eastAsia="仿宋" w:cs="仿宋"/>
          <w:b/>
          <w:color w:val="auto"/>
          <w:sz w:val="24"/>
          <w:highlight w:val="none"/>
          <w:u w:val="single"/>
        </w:rPr>
        <w:t xml:space="preserve">响应情况栏为必填内容</w:t>
      </w:r>
      <w:r>
        <w:rPr>
          <w:rFonts w:hint="eastAsia" w:ascii="仿宋" w:hAnsi="仿宋" w:eastAsia="仿宋" w:cs="仿宋"/>
          <w:color w:val="auto"/>
          <w:sz w:val="24"/>
          <w:highlight w:val="none"/>
          <w:u w:val="single"/>
        </w:rPr>
        <w:t xml:space="preserve">，说明栏为选填内容。</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w:t>
      </w:r>
      <w:r>
        <w:rPr>
          <w:rFonts w:hint="eastAsia" w:ascii="仿宋" w:hAnsi="仿宋" w:eastAsia="仿宋" w:cs="仿宋"/>
          <w:b/>
          <w:color w:val="auto"/>
          <w:sz w:val="24"/>
          <w:highlight w:val="none"/>
          <w:u w:val="single"/>
        </w:rPr>
        <w:t xml:space="preserve">如响应情况栏未填写或填写“未完全响应”，在符合性审查时均按照投标无效处理。</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楷体_GBK">
    <w:panose1 w:val="020B0503020202020204"/>
  </w:font>
  <w:font w:name="隶书">
    <w:panose1 w:val="02010509060101010101"/>
  </w:font>
  <w:font w:name="新宋体">
    <w:panose1 w:val="02010609030101010101"/>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Calibri (西文正文)">
    <w:panose1 w:val="020F0502020204030204"/>
  </w:font>
  <w:font w:name="Calibri Light">
    <w:panose1 w:val="020F0302020204030204"/>
  </w:font>
  <w:font w:name="Arial">
    <w:panose1 w:val="020B0604020202020204"/>
  </w:font>
  <w:font w:name="Verdana">
    <w:panose1 w:val="020B0604030504040204"/>
  </w:font>
  <w:font w:name="仿宋_GB2312">
    <w:panose1 w:val="02010609060101010101"/>
  </w:font>
  <w:font w:name="黑体">
    <w:panose1 w:val="02010609060101010101"/>
  </w:font>
  <w:font w:name="方正黑体_GBK">
    <w:panose1 w:val="020B0503020202020204"/>
  </w:font>
  <w:font w:name="方正仿宋_GBK">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hint="default" w:eastAsia="宋体"/>
        <w:lang w:val="en-US" w:eastAsia="zh-CN"/>
      </w:rPr>
    </w:pPr>
    <w:r>
      <w:rPr>
        <w:rFonts w:hint="eastAsia" w:ascii="隶书" w:eastAsia="隶书"/>
        <w:b/>
        <w:i/>
        <w:lang w:eastAsia="zh-CN"/>
      </w:rPr>
      <w:t xml:space="preserve">邳州市公共资源交易中心</w:t>
    </w:r>
    <w:r>
      <w:rPr>
        <w:rFonts w:hint="eastAsia" w:ascii="隶书" w:eastAsia="隶书"/>
        <w:b/>
        <w:i/>
      </w:rPr>
      <w:t xml:space="preserve">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hint="default" w:eastAsia="宋体"/>
        <w:lang w:val="en-US" w:eastAsia="zh-CN"/>
      </w:rPr>
    </w:pPr>
    <w:r>
      <w:rPr>
        <w:rFonts w:hint="eastAsia" w:ascii="隶书" w:eastAsia="隶书"/>
        <w:b/>
        <w:i/>
        <w:lang w:eastAsia="zh-CN"/>
      </w:rPr>
      <w:t xml:space="preserve">邳州市公共资源交易中心</w:t>
    </w:r>
    <w:r>
      <w:rPr>
        <w:rFonts w:hint="eastAsia" w:ascii="隶书" w:eastAsia="隶书"/>
        <w:b/>
        <w:i/>
      </w:rPr>
      <w:t xml:space="preserve">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ascii="隶书" w:eastAsia="隶书"/>
        <w:b/>
        <w:i/>
        <w:lang w:eastAsia="zh-CN"/>
      </w:rPr>
      <w:t xml:space="preserve">邳州市公共资源交易中心</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Thousand"/>
      <w:isLgl w:val="false"/>
      <w:suff w:val="space"/>
      <w:lvlText w:val="%1、"/>
      <w:lvlJc w:val="left"/>
      <w:pPr>
        <w:ind w:left="425" w:hanging="425"/>
      </w:pPr>
      <w:rPr>
        <w:rFonts w:hint="eastAsia"/>
        <w:b/>
        <w:bCs/>
      </w:rPr>
    </w:lvl>
    <w:lvl w:ilvl="1">
      <w:start w:val="1"/>
      <w:numFmt w:val="decimal"/>
      <w:pStyle w:val="703"/>
      <w:isLgl/>
      <w:suff w:val="space"/>
      <w:lvlText w:val="%1.%2"/>
      <w:lvlJc w:val="left"/>
      <w:pPr>
        <w:ind w:left="425" w:hanging="425"/>
      </w:pPr>
      <w:rPr>
        <w:rFonts w:hint="default" w:ascii="Calibri" w:hAnsi="Calibri" w:cs="Calibri"/>
        <w:sz w:val="32"/>
        <w:szCs w:val="32"/>
      </w:rPr>
    </w:lvl>
    <w:lvl w:ilvl="2">
      <w:start w:val="1"/>
      <w:numFmt w:val="decimal"/>
      <w:isLgl/>
      <w:suff w:val="space"/>
      <w:lvlText w:val="%1.%2.%3"/>
      <w:lvlJc w:val="left"/>
      <w:pPr>
        <w:ind w:left="2836" w:hanging="425"/>
      </w:pPr>
      <w:rPr>
        <w:rFonts w:hint="eastAsia"/>
      </w:rPr>
    </w:lvl>
    <w:lvl w:ilvl="3">
      <w:start w:val="1"/>
      <w:numFmt w:val="decimal"/>
      <w:isLgl/>
      <w:suff w:val="space"/>
      <w:lvlText w:val="%1.%2.%3.%4"/>
      <w:lvlJc w:val="left"/>
      <w:pPr>
        <w:ind w:left="425" w:hanging="425"/>
      </w:pPr>
      <w:rPr>
        <w:rFonts w:hint="default" w:ascii="Calibri" w:hAnsi="Calibri" w:cs="Calibri"/>
        <w:color w:val="auto"/>
      </w:rPr>
    </w:lvl>
    <w:lvl w:ilvl="4">
      <w:start w:val="1"/>
      <w:numFmt w:val="decimal"/>
      <w:pStyle w:val="706"/>
      <w:isLgl/>
      <w:suff w:val="space"/>
      <w:lvlText w:val="%1.%2.%3.%4.%5"/>
      <w:lvlJc w:val="left"/>
      <w:pPr>
        <w:ind w:left="425" w:hanging="425"/>
      </w:pPr>
      <w:rPr>
        <w:rFonts w:hint="eastAsia"/>
      </w:rPr>
    </w:lvl>
    <w:lvl w:ilvl="5">
      <w:start w:val="1"/>
      <w:numFmt w:val="decimal"/>
      <w:pStyle w:val="707"/>
      <w:isLgl/>
      <w:suff w:val="space"/>
      <w:lvlText w:val="%1.%2.%3.%4.%5.%6"/>
      <w:lvlJc w:val="left"/>
      <w:pPr>
        <w:ind w:left="425" w:hanging="425"/>
      </w:pPr>
      <w:rPr>
        <w:rFonts w:hint="eastAsia" w:ascii="Calibri (西文正文)" w:eastAsia="黑体" w:cs="Cambria"/>
        <w:b/>
        <w:i w:val="0"/>
        <w:sz w:val="24"/>
      </w:rPr>
    </w:lvl>
    <w:lvl w:ilvl="6">
      <w:start w:val="1"/>
      <w:numFmt w:val="decimal"/>
      <w:isLgl/>
      <w:suff w:val="space"/>
      <w:lvlText w:val="%1.%2.%3.%4.%5.%6.%7"/>
      <w:lvlJc w:val="left"/>
      <w:pPr>
        <w:ind w:left="0" w:firstLine="0"/>
      </w:pPr>
      <w:rPr>
        <w:rFonts w:hint="eastAsia" w:ascii="宋体" w:hAnsi="宋体" w:eastAsia="宋体"/>
        <w:b/>
        <w:i w:val="0"/>
      </w:rPr>
    </w:lvl>
    <w:lvl w:ilvl="7">
      <w:start w:val="1"/>
      <w:numFmt w:val="decimal"/>
      <w:isLgl/>
      <w:suff w:val="space"/>
      <w:lvlText w:val="%1.%2.%3.%4.%5.%6.%7.%8"/>
      <w:lvlJc w:val="left"/>
      <w:pPr>
        <w:ind w:left="0" w:firstLine="0"/>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1305" w:hanging="82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962"/>
    <w:uiPriority w:val="0"/>
    <w:qFormat/>
    <w:pPr>
      <w:keepLines/>
      <w:keepNext/>
      <w:spacing w:before="340" w:after="330" w:line="578" w:lineRule="auto"/>
      <w:outlineLvl w:val="0"/>
    </w:pPr>
    <w:rPr>
      <w:b/>
      <w:bCs/>
      <w:sz w:val="44"/>
      <w:szCs w:val="44"/>
    </w:rPr>
  </w:style>
  <w:style w:type="paragraph" w:styleId="703">
    <w:name w:val="Heading 2"/>
    <w:basedOn w:val="701"/>
    <w:next w:val="701"/>
    <w:uiPriority w:val="0"/>
    <w:unhideWhenUsed/>
    <w:qFormat/>
    <w:pPr>
      <w:numPr>
        <w:ilvl w:val="1"/>
        <w:numId w:val="1"/>
      </w:numPr>
      <w:keepLines/>
      <w:keepNext/>
      <w:spacing w:before="50" w:after="50" w:line="360" w:lineRule="auto"/>
      <w:outlineLvl w:val="1"/>
    </w:pPr>
    <w:rPr>
      <w:rFonts w:ascii="Cambria" w:hAnsi="Cambria" w:eastAsia="黑体"/>
      <w:b/>
      <w:bCs/>
      <w:sz w:val="32"/>
      <w:szCs w:val="32"/>
    </w:rPr>
  </w:style>
  <w:style w:type="paragraph" w:styleId="704">
    <w:name w:val="Heading 3"/>
    <w:basedOn w:val="701"/>
    <w:next w:val="701"/>
    <w:link w:val="924"/>
    <w:uiPriority w:val="0"/>
    <w:unhideWhenUsed/>
    <w:qFormat/>
    <w:pPr>
      <w:keepLines/>
      <w:keepNext/>
      <w:spacing w:before="260" w:after="260" w:line="416" w:lineRule="auto"/>
      <w:outlineLvl w:val="2"/>
    </w:pPr>
    <w:rPr>
      <w:b/>
      <w:bCs/>
      <w:sz w:val="32"/>
      <w:szCs w:val="32"/>
    </w:rPr>
  </w:style>
  <w:style w:type="paragraph" w:styleId="705">
    <w:name w:val="Heading 4"/>
    <w:basedOn w:val="701"/>
    <w:next w:val="701"/>
    <w:link w:val="963"/>
    <w:uiPriority w:val="0"/>
    <w:qFormat/>
    <w:pPr>
      <w:numPr>
        <w:ilvl w:val="3"/>
        <w:numId w:val="2"/>
      </w:numPr>
      <w:keepLines/>
      <w:keepNext/>
      <w:spacing w:before="60" w:after="20" w:line="376" w:lineRule="auto"/>
      <w:outlineLvl w:val="3"/>
    </w:pPr>
    <w:rPr>
      <w:rFonts w:ascii="黑体" w:hAnsi="Arial" w:eastAsia="黑体"/>
      <w:sz w:val="24"/>
      <w:szCs w:val="20"/>
    </w:rPr>
  </w:style>
  <w:style w:type="paragraph" w:styleId="706">
    <w:name w:val="Heading 5"/>
    <w:basedOn w:val="701"/>
    <w:next w:val="701"/>
    <w:uiPriority w:val="9"/>
    <w:unhideWhenUsed/>
    <w:qFormat/>
    <w:pPr>
      <w:numPr>
        <w:ilvl w:val="4"/>
        <w:numId w:val="1"/>
      </w:numPr>
      <w:keepLines/>
      <w:keepNext/>
      <w:spacing w:line="360" w:lineRule="auto"/>
      <w:outlineLvl w:val="4"/>
    </w:pPr>
    <w:rPr>
      <w:rFonts w:eastAsia="黑体"/>
      <w:b/>
      <w:bCs/>
      <w:sz w:val="24"/>
      <w:szCs w:val="28"/>
    </w:rPr>
  </w:style>
  <w:style w:type="paragraph" w:styleId="707">
    <w:name w:val="Heading 6"/>
    <w:basedOn w:val="701"/>
    <w:next w:val="701"/>
    <w:uiPriority w:val="9"/>
    <w:unhideWhenUsed/>
    <w:qFormat/>
    <w:pPr>
      <w:numPr>
        <w:ilvl w:val="5"/>
        <w:numId w:val="1"/>
      </w:numPr>
      <w:keepLines/>
      <w:keepNext/>
      <w:spacing w:line="360" w:lineRule="auto"/>
      <w:outlineLvl w:val="5"/>
    </w:pPr>
    <w:rPr>
      <w:rFonts w:ascii="Cambria" w:hAnsi="Cambria"/>
      <w:b/>
      <w:bCs/>
      <w:sz w:val="24"/>
    </w:rPr>
  </w:style>
  <w:style w:type="paragraph" w:styleId="708">
    <w:name w:val="Heading 7"/>
    <w:basedOn w:val="701"/>
    <w:next w:val="701"/>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7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73"/>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uiPriority w:val="0"/>
    <w:qFormat/>
    <w:pPr>
      <w:ind w:firstLine="420"/>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unhideWhenUsed/>
    <w:qFormat/>
    <w:pPr>
      <w:jc w:val="left"/>
      <w:widowControl/>
    </w:pPr>
    <w:rPr>
      <w:rFonts w:ascii="Calibri Light" w:hAnsi="Calibri Light" w:eastAsia="仿宋" w:cs="Calibri Light"/>
      <w:sz w:val="28"/>
      <w:szCs w:val="28"/>
    </w:rPr>
  </w:style>
  <w:style w:type="paragraph" w:styleId="717">
    <w:name w:val="Body Text"/>
    <w:basedOn w:val="701"/>
    <w:next w:val="718"/>
    <w:uiPriority w:val="0"/>
    <w:qFormat/>
    <w:pPr>
      <w:spacing w:after="120"/>
    </w:pPr>
  </w:style>
  <w:style w:type="paragraph" w:styleId="718" w:customStyle="1">
    <w:name w:val="一级条标题"/>
    <w:basedOn w:val="719"/>
    <w:next w:val="7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9"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0" w:customStyle="1">
    <w:name w:val="段"/>
    <w:basedOn w:val="721"/>
    <w:next w:val="701"/>
    <w:uiPriority w:val="0"/>
    <w:qFormat/>
    <w:pPr>
      <w:ind w:firstLine="200"/>
      <w:widowControl/>
    </w:pPr>
    <w:rPr>
      <w:rFonts w:hint="eastAsia" w:ascii="宋体"/>
      <w:sz w:val="20"/>
      <w:szCs w:val="20"/>
    </w:rPr>
  </w:style>
  <w:style w:type="paragraph" w:styleId="721" w:customStyle="1">
    <w:name w:val="正文1"/>
    <w:basedOn w:val="722"/>
    <w:next w:val="734"/>
    <w:uiPriority w:val="0"/>
    <w:qFormat/>
    <w:pPr>
      <w:jc w:val="both"/>
      <w:widowControl w:val="off"/>
    </w:pPr>
    <w:rPr>
      <w:rFonts w:ascii="Calibri" w:hAnsi="Calibri" w:eastAsia="宋体" w:cs="Times New Roman"/>
      <w:sz w:val="21"/>
      <w:szCs w:val="24"/>
      <w:lang w:val="en-US" w:eastAsia="zh-CN" w:bidi="ar-SA"/>
    </w:rPr>
  </w:style>
  <w:style w:type="paragraph" w:styleId="722" w:customStyle="1">
    <w:name w:val="正文111"/>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customStyle="1">
    <w:name w:val="正文首行缩进11"/>
    <w:basedOn w:val="724"/>
    <w:next w:val="727"/>
    <w:uiPriority w:val="0"/>
    <w:qFormat/>
    <w:pPr>
      <w:ind w:firstLine="420"/>
    </w:pPr>
  </w:style>
  <w:style w:type="paragraph" w:styleId="724" w:customStyle="1">
    <w:name w:val="正文文本11"/>
    <w:basedOn w:val="725"/>
    <w:next w:val="722"/>
    <w:uiPriority w:val="0"/>
    <w:qFormat/>
    <w:pPr>
      <w:spacing w:after="120"/>
    </w:pPr>
  </w:style>
  <w:style w:type="paragraph" w:styleId="725" w:customStyle="1">
    <w:name w:val="正文11"/>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文本块1"/>
    <w:basedOn w:val="721"/>
    <w:uiPriority w:val="0"/>
    <w:qFormat/>
    <w:pPr>
      <w:ind w:left="256" w:right="6" w:firstLine="624"/>
    </w:pPr>
    <w:rPr>
      <w:rFonts w:ascii="Times New Roman" w:hAnsi="Times New Roman" w:eastAsia="仿宋" w:cs="Times New Roman"/>
      <w:sz w:val="28"/>
      <w:szCs w:val="20"/>
    </w:rPr>
  </w:style>
  <w:style w:type="paragraph" w:styleId="727" w:customStyle="1">
    <w:name w:val="正文首行缩进 211"/>
    <w:basedOn w:val="728"/>
    <w:next w:val="729"/>
    <w:uiPriority w:val="0"/>
    <w:qFormat/>
    <w:pPr>
      <w:ind w:firstLine="420"/>
      <w:tabs>
        <w:tab w:val="left" w:pos="0" w:leader="none"/>
        <w:tab w:val="left" w:pos="993" w:leader="none"/>
        <w:tab w:val="left" w:pos="1134" w:leader="none"/>
      </w:tabs>
    </w:pPr>
  </w:style>
  <w:style w:type="paragraph" w:styleId="728" w:customStyle="1">
    <w:name w:val="正文文本缩进11"/>
    <w:basedOn w:val="729"/>
    <w:next w:val="730"/>
    <w:uiPriority w:val="0"/>
    <w:qFormat/>
    <w:pPr>
      <w:ind w:left="420"/>
      <w:spacing w:after="120"/>
    </w:pPr>
  </w:style>
  <w:style w:type="paragraph" w:styleId="729"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寄信人地址11"/>
    <w:basedOn w:val="731"/>
    <w:uiPriority w:val="0"/>
    <w:qFormat/>
    <w:rPr>
      <w:rFonts w:ascii="Arial" w:hAnsi="Arial"/>
    </w:rPr>
  </w:style>
  <w:style w:type="paragraph" w:styleId="731" w:customStyle="1">
    <w:name w:val="正文112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文本块11"/>
    <w:basedOn w:val="733"/>
    <w:uiPriority w:val="0"/>
    <w:qFormat/>
    <w:pPr>
      <w:ind w:left="420" w:right="33"/>
      <w:jc w:val="left"/>
    </w:pPr>
    <w:rPr>
      <w:szCs w:val="20"/>
    </w:rPr>
  </w:style>
  <w:style w:type="paragraph" w:styleId="733" w:customStyle="1">
    <w:name w:val="正文12"/>
    <w:next w:val="73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34" w:customStyle="1">
    <w:name w:val="正文文本1"/>
    <w:basedOn w:val="721"/>
    <w:next w:val="733"/>
    <w:uiPriority w:val="0"/>
    <w:qFormat/>
    <w:pPr>
      <w:spacing w:after="120"/>
    </w:pPr>
    <w:rPr>
      <w:rFonts w:ascii="Calibri" w:hAnsi="Calibri"/>
    </w:rPr>
  </w:style>
  <w:style w:type="paragraph" w:styleId="735">
    <w:name w:val="Body Text Indent"/>
    <w:basedOn w:val="701"/>
    <w:link w:val="913"/>
    <w:uiPriority w:val="0"/>
    <w:qFormat/>
    <w:pPr>
      <w:ind w:left="420"/>
      <w:spacing w:after="120"/>
    </w:pPr>
  </w:style>
  <w:style w:type="paragraph" w:styleId="736">
    <w:name w:val="Block Text"/>
    <w:basedOn w:val="701"/>
    <w:uiPriority w:val="6"/>
    <w:qFormat/>
    <w:pPr>
      <w:ind w:left="256" w:right="6" w:firstLine="624"/>
    </w:pPr>
    <w:rPr>
      <w:rFonts w:eastAsia="仿宋"/>
      <w:sz w:val="28"/>
      <w:szCs w:val="20"/>
    </w:rPr>
  </w:style>
  <w:style w:type="paragraph" w:styleId="737">
    <w:name w:val="index 4"/>
    <w:basedOn w:val="701"/>
    <w:next w:val="701"/>
    <w:uiPriority w:val="99"/>
    <w:unhideWhenUsed/>
    <w:qFormat/>
    <w:pPr>
      <w:ind w:left="600"/>
    </w:pPr>
    <w:rPr>
      <w:rFonts w:ascii="Verdana" w:hAnsi="Verdana" w:eastAsia="微软雅黑"/>
      <w:szCs w:val="20"/>
    </w:rPr>
  </w:style>
  <w:style w:type="paragraph" w:styleId="738">
    <w:name w:val="toc 5"/>
    <w:basedOn w:val="701"/>
    <w:next w:val="701"/>
    <w:uiPriority w:val="39"/>
    <w:unhideWhenUsed/>
    <w:qFormat/>
    <w:pPr>
      <w:ind w:left="1134" w:right="0" w:firstLine="0"/>
      <w:spacing w:after="57"/>
    </w:pPr>
  </w:style>
  <w:style w:type="paragraph" w:styleId="739">
    <w:name w:val="toc 3"/>
    <w:basedOn w:val="701"/>
    <w:next w:val="701"/>
    <w:uiPriority w:val="39"/>
    <w:unhideWhenUsed/>
    <w:qFormat/>
    <w:pPr>
      <w:ind w:left="567" w:right="0" w:firstLine="0"/>
      <w:spacing w:after="57"/>
    </w:pPr>
  </w:style>
  <w:style w:type="paragraph" w:styleId="740">
    <w:name w:val="Plain Text"/>
    <w:basedOn w:val="701"/>
    <w:uiPriority w:val="0"/>
    <w:qFormat/>
    <w:rPr>
      <w:rFonts w:ascii="宋体" w:hAnsi="Courier New"/>
      <w:szCs w:val="21"/>
    </w:rPr>
  </w:style>
  <w:style w:type="paragraph" w:styleId="741">
    <w:name w:val="toc 8"/>
    <w:basedOn w:val="701"/>
    <w:next w:val="701"/>
    <w:uiPriority w:val="39"/>
    <w:unhideWhenUsed/>
    <w:qFormat/>
    <w:pPr>
      <w:ind w:left="1984" w:right="0" w:firstLine="0"/>
      <w:spacing w:after="57"/>
    </w:pPr>
  </w:style>
  <w:style w:type="paragraph" w:styleId="742">
    <w:name w:val="Date"/>
    <w:basedOn w:val="701"/>
    <w:next w:val="701"/>
    <w:uiPriority w:val="0"/>
    <w:qFormat/>
    <w:rPr>
      <w:rFonts w:eastAsia="仿宋_GB2312"/>
      <w:sz w:val="28"/>
      <w:szCs w:val="20"/>
    </w:rPr>
  </w:style>
  <w:style w:type="paragraph" w:styleId="743">
    <w:name w:val="Body Text Indent 2"/>
    <w:basedOn w:val="701"/>
    <w:uiPriority w:val="0"/>
    <w:qFormat/>
    <w:pPr>
      <w:ind w:firstLine="475"/>
      <w:spacing w:line="10" w:lineRule="atLeast"/>
    </w:pPr>
    <w:rPr>
      <w:rFonts w:ascii="仿宋_GB2312" w:eastAsia="仿宋_GB2312"/>
      <w:sz w:val="24"/>
    </w:rPr>
  </w:style>
  <w:style w:type="paragraph" w:styleId="744">
    <w:name w:val="endnote text"/>
    <w:basedOn w:val="701"/>
    <w:link w:val="909"/>
    <w:uiPriority w:val="99"/>
    <w:semiHidden/>
    <w:unhideWhenUsed/>
    <w:qFormat/>
    <w:pPr>
      <w:spacing w:after="0" w:line="240" w:lineRule="auto"/>
    </w:pPr>
    <w:rPr>
      <w:sz w:val="20"/>
    </w:rPr>
  </w:style>
  <w:style w:type="paragraph" w:styleId="745">
    <w:name w:val="Footer"/>
    <w:basedOn w:val="701"/>
    <w:uiPriority w:val="0"/>
    <w:qFormat/>
    <w:pPr>
      <w:jc w:val="left"/>
      <w:tabs>
        <w:tab w:val="center" w:pos="4153" w:leader="none"/>
        <w:tab w:val="right" w:pos="8306" w:leader="none"/>
      </w:tabs>
    </w:pPr>
    <w:rPr>
      <w:sz w:val="18"/>
      <w:szCs w:val="18"/>
    </w:rPr>
  </w:style>
  <w:style w:type="paragraph" w:styleId="746">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1"/>
    <w:next w:val="701"/>
    <w:uiPriority w:val="39"/>
    <w:unhideWhenUsed/>
    <w:qFormat/>
    <w:pPr>
      <w:jc w:val="left"/>
      <w:spacing w:after="100" w:line="259" w:lineRule="auto"/>
      <w:widowControl/>
    </w:pPr>
    <w:rPr>
      <w:rFonts w:ascii="Calibri" w:hAnsi="Calibri"/>
      <w:sz w:val="22"/>
      <w:szCs w:val="22"/>
    </w:rPr>
  </w:style>
  <w:style w:type="paragraph" w:styleId="748">
    <w:name w:val="toc 4"/>
    <w:basedOn w:val="701"/>
    <w:next w:val="701"/>
    <w:uiPriority w:val="39"/>
    <w:unhideWhenUsed/>
    <w:qFormat/>
    <w:pPr>
      <w:ind w:left="850" w:right="0" w:firstLine="0"/>
      <w:spacing w:after="57"/>
    </w:pPr>
  </w:style>
  <w:style w:type="paragraph" w:styleId="749">
    <w:name w:val="Subtitle"/>
    <w:basedOn w:val="701"/>
    <w:next w:val="701"/>
    <w:link w:val="775"/>
    <w:uiPriority w:val="11"/>
    <w:qFormat/>
    <w:pPr>
      <w:spacing w:before="200" w:after="200"/>
    </w:pPr>
    <w:rPr>
      <w:sz w:val="24"/>
      <w:szCs w:val="24"/>
    </w:rPr>
  </w:style>
  <w:style w:type="paragraph" w:styleId="750">
    <w:name w:val="footnote text"/>
    <w:basedOn w:val="701"/>
    <w:link w:val="908"/>
    <w:uiPriority w:val="99"/>
    <w:semiHidden/>
    <w:unhideWhenUsed/>
    <w:qFormat/>
    <w:pPr>
      <w:spacing w:after="40" w:line="240" w:lineRule="auto"/>
    </w:pPr>
    <w:rPr>
      <w:sz w:val="18"/>
    </w:rPr>
  </w:style>
  <w:style w:type="paragraph" w:styleId="751">
    <w:name w:val="toc 6"/>
    <w:basedOn w:val="701"/>
    <w:next w:val="701"/>
    <w:uiPriority w:val="39"/>
    <w:unhideWhenUsed/>
    <w:qFormat/>
    <w:pPr>
      <w:ind w:left="1417" w:right="0" w:firstLine="0"/>
      <w:spacing w:after="57"/>
    </w:pPr>
  </w:style>
  <w:style w:type="paragraph" w:styleId="752">
    <w:name w:val="table of figures"/>
    <w:basedOn w:val="701"/>
    <w:next w:val="701"/>
    <w:uiPriority w:val="99"/>
    <w:unhideWhenUsed/>
    <w:qFormat/>
    <w:pPr>
      <w:spacing w:after="0" w:afterAutospacing="0"/>
    </w:pPr>
  </w:style>
  <w:style w:type="paragraph" w:styleId="753">
    <w:name w:val="toc 2"/>
    <w:basedOn w:val="701"/>
    <w:next w:val="701"/>
    <w:uiPriority w:val="39"/>
    <w:unhideWhenUsed/>
    <w:qFormat/>
    <w:pPr>
      <w:ind w:left="283" w:right="0" w:firstLine="0"/>
      <w:spacing w:after="57"/>
    </w:pPr>
  </w:style>
  <w:style w:type="paragraph" w:styleId="754">
    <w:name w:val="toc 9"/>
    <w:basedOn w:val="701"/>
    <w:next w:val="701"/>
    <w:uiPriority w:val="39"/>
    <w:unhideWhenUsed/>
    <w:qFormat/>
    <w:pPr>
      <w:ind w:left="2268" w:right="0" w:firstLine="0"/>
      <w:spacing w:after="57"/>
    </w:pPr>
  </w:style>
  <w:style w:type="paragraph" w:styleId="755">
    <w:name w:val="Normal (Web)"/>
    <w:basedOn w:val="701"/>
    <w:uiPriority w:val="0"/>
    <w:qFormat/>
    <w:pPr>
      <w:jc w:val="left"/>
      <w:spacing w:before="100" w:beforeAutospacing="1" w:after="100" w:afterAutospacing="1"/>
      <w:widowControl/>
    </w:pPr>
    <w:rPr>
      <w:rFonts w:ascii="宋体" w:hAnsi="宋体" w:cs="宋体"/>
      <w:sz w:val="24"/>
    </w:rPr>
  </w:style>
  <w:style w:type="paragraph" w:styleId="756">
    <w:name w:val="Title"/>
    <w:basedOn w:val="701"/>
    <w:next w:val="701"/>
    <w:link w:val="774"/>
    <w:uiPriority w:val="10"/>
    <w:qFormat/>
    <w:pPr>
      <w:contextualSpacing/>
      <w:spacing w:before="300" w:after="200"/>
    </w:pPr>
    <w:rPr>
      <w:sz w:val="48"/>
      <w:szCs w:val="48"/>
    </w:rPr>
  </w:style>
  <w:style w:type="paragraph" w:styleId="757">
    <w:name w:val="Body Text First Indent 2"/>
    <w:basedOn w:val="735"/>
    <w:link w:val="925"/>
    <w:uiPriority w:val="0"/>
    <w:qFormat/>
    <w:pPr>
      <w:ind w:firstLine="420"/>
    </w:pPr>
  </w:style>
  <w:style w:type="table" w:styleId="758">
    <w:name w:val="Table Grid"/>
    <w:basedOn w:val="7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endnote reference"/>
    <w:basedOn w:val="711"/>
    <w:uiPriority w:val="99"/>
    <w:semiHidden/>
    <w:unhideWhenUsed/>
    <w:qFormat/>
    <w:rPr>
      <w:vertAlign w:val="superscript"/>
    </w:rPr>
  </w:style>
  <w:style w:type="character" w:styleId="760">
    <w:name w:val="page number"/>
    <w:basedOn w:val="711"/>
    <w:uiPriority w:val="0"/>
    <w:qFormat/>
  </w:style>
  <w:style w:type="character" w:styleId="761">
    <w:name w:val="FollowedHyperlink"/>
    <w:uiPriority w:val="99"/>
    <w:qFormat/>
    <w:rPr>
      <w:color w:val="800080"/>
      <w:u w:val="single"/>
    </w:rPr>
  </w:style>
  <w:style w:type="character" w:styleId="762">
    <w:name w:val="Hyperlink"/>
    <w:uiPriority w:val="99"/>
    <w:qFormat/>
    <w:rPr>
      <w:color w:val="0000ff"/>
      <w:u w:val="single"/>
    </w:rPr>
  </w:style>
  <w:style w:type="character" w:styleId="763">
    <w:name w:val="annotation reference"/>
    <w:uiPriority w:val="99"/>
    <w:unhideWhenUsed/>
    <w:qFormat/>
    <w:rPr>
      <w:sz w:val="21"/>
      <w:szCs w:val="21"/>
    </w:rPr>
  </w:style>
  <w:style w:type="character" w:styleId="764">
    <w:name w:val="footnote reference"/>
    <w:basedOn w:val="711"/>
    <w:uiPriority w:val="99"/>
    <w:unhideWhenUsed/>
    <w:qFormat/>
    <w:rPr>
      <w:vertAlign w:val="superscript"/>
    </w:rPr>
  </w:style>
  <w:style w:type="character" w:styleId="765" w:customStyle="1">
    <w:name w:val="Heading 1 Char"/>
    <w:basedOn w:val="711"/>
    <w:uiPriority w:val="9"/>
    <w:qFormat/>
    <w:rPr>
      <w:rFonts w:ascii="Arial" w:hAnsi="Arial" w:eastAsia="Arial" w:cs="Arial"/>
      <w:sz w:val="40"/>
      <w:szCs w:val="40"/>
    </w:rPr>
  </w:style>
  <w:style w:type="character" w:styleId="766" w:customStyle="1">
    <w:name w:val="Heading 2 Char"/>
    <w:basedOn w:val="711"/>
    <w:uiPriority w:val="9"/>
    <w:qFormat/>
    <w:rPr>
      <w:rFonts w:ascii="Arial" w:hAnsi="Arial" w:eastAsia="Arial" w:cs="Arial"/>
      <w:sz w:val="34"/>
    </w:rPr>
  </w:style>
  <w:style w:type="character" w:styleId="767" w:customStyle="1">
    <w:name w:val="Heading 3 Char"/>
    <w:basedOn w:val="711"/>
    <w:uiPriority w:val="9"/>
    <w:qFormat/>
    <w:rPr>
      <w:rFonts w:ascii="Arial" w:hAnsi="Arial" w:eastAsia="Arial" w:cs="Arial"/>
      <w:sz w:val="30"/>
      <w:szCs w:val="30"/>
    </w:rPr>
  </w:style>
  <w:style w:type="character" w:styleId="768" w:customStyle="1">
    <w:name w:val="Heading 4 Char"/>
    <w:basedOn w:val="711"/>
    <w:uiPriority w:val="9"/>
    <w:qFormat/>
    <w:rPr>
      <w:rFonts w:ascii="Arial" w:hAnsi="Arial" w:eastAsia="Arial" w:cs="Arial"/>
      <w:b/>
      <w:bCs/>
      <w:sz w:val="26"/>
      <w:szCs w:val="26"/>
    </w:rPr>
  </w:style>
  <w:style w:type="character" w:styleId="769" w:customStyle="1">
    <w:name w:val="Heading 5 Char"/>
    <w:basedOn w:val="711"/>
    <w:uiPriority w:val="9"/>
    <w:qFormat/>
    <w:rPr>
      <w:rFonts w:ascii="Arial" w:hAnsi="Arial" w:eastAsia="Arial" w:cs="Arial"/>
      <w:b/>
      <w:bCs/>
      <w:sz w:val="24"/>
      <w:szCs w:val="24"/>
    </w:rPr>
  </w:style>
  <w:style w:type="character" w:styleId="770" w:customStyle="1">
    <w:name w:val="Heading 6 Char"/>
    <w:basedOn w:val="711"/>
    <w:uiPriority w:val="9"/>
    <w:qFormat/>
    <w:rPr>
      <w:rFonts w:ascii="Arial" w:hAnsi="Arial" w:eastAsia="Arial" w:cs="Arial"/>
      <w:b/>
      <w:bCs/>
      <w:sz w:val="22"/>
      <w:szCs w:val="22"/>
    </w:rPr>
  </w:style>
  <w:style w:type="character" w:styleId="771" w:customStyle="1">
    <w:name w:val="Heading 7 Char"/>
    <w:basedOn w:val="711"/>
    <w:link w:val="708"/>
    <w:uiPriority w:val="9"/>
    <w:qFormat/>
    <w:rPr>
      <w:rFonts w:ascii="Arial" w:hAnsi="Arial" w:eastAsia="Arial" w:cs="Arial"/>
      <w:b/>
      <w:bCs/>
      <w:i/>
      <w:iCs/>
      <w:sz w:val="22"/>
      <w:szCs w:val="22"/>
    </w:rPr>
  </w:style>
  <w:style w:type="character" w:styleId="772" w:customStyle="1">
    <w:name w:val="Heading 8 Char"/>
    <w:basedOn w:val="711"/>
    <w:link w:val="709"/>
    <w:uiPriority w:val="9"/>
    <w:qFormat/>
    <w:rPr>
      <w:rFonts w:ascii="Arial" w:hAnsi="Arial" w:eastAsia="Arial" w:cs="Arial"/>
      <w:i/>
      <w:iCs/>
      <w:sz w:val="22"/>
      <w:szCs w:val="22"/>
    </w:rPr>
  </w:style>
  <w:style w:type="character" w:styleId="773" w:customStyle="1">
    <w:name w:val="Heading 9 Char"/>
    <w:basedOn w:val="711"/>
    <w:link w:val="710"/>
    <w:uiPriority w:val="9"/>
    <w:qFormat/>
    <w:rPr>
      <w:rFonts w:ascii="Arial" w:hAnsi="Arial" w:eastAsia="Arial" w:cs="Arial"/>
      <w:i/>
      <w:iCs/>
      <w:sz w:val="21"/>
      <w:szCs w:val="21"/>
    </w:rPr>
  </w:style>
  <w:style w:type="character" w:styleId="774" w:customStyle="1">
    <w:name w:val="Title Char"/>
    <w:basedOn w:val="711"/>
    <w:link w:val="756"/>
    <w:uiPriority w:val="10"/>
    <w:qFormat/>
    <w:rPr>
      <w:sz w:val="48"/>
      <w:szCs w:val="48"/>
    </w:rPr>
  </w:style>
  <w:style w:type="character" w:styleId="775" w:customStyle="1">
    <w:name w:val="Subtitle Char"/>
    <w:basedOn w:val="711"/>
    <w:link w:val="749"/>
    <w:uiPriority w:val="11"/>
    <w:qFormat/>
    <w:rPr>
      <w:sz w:val="24"/>
      <w:szCs w:val="24"/>
    </w:rPr>
  </w:style>
  <w:style w:type="paragraph" w:styleId="776">
    <w:name w:val="Quote"/>
    <w:basedOn w:val="701"/>
    <w:next w:val="701"/>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1"/>
    <w:next w:val="701"/>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1"/>
    <w:uiPriority w:val="99"/>
    <w:qFormat/>
  </w:style>
  <w:style w:type="character" w:styleId="781" w:customStyle="1">
    <w:name w:val="Footer Char"/>
    <w:basedOn w:val="711"/>
    <w:uiPriority w:val="99"/>
    <w:qFormat/>
  </w:style>
  <w:style w:type="character" w:styleId="782" w:customStyle="1">
    <w:name w:val="Caption Char"/>
    <w:uiPriority w:val="99"/>
    <w:qFormat/>
  </w:style>
  <w:style w:type="table" w:styleId="783"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0"/>
    <w:uiPriority w:val="99"/>
    <w:qFormat/>
    <w:rPr>
      <w:sz w:val="18"/>
    </w:rPr>
  </w:style>
  <w:style w:type="character" w:styleId="909" w:customStyle="1">
    <w:name w:val="Endnote Text Char"/>
    <w:link w:val="74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name w:val="List Paragraph"/>
    <w:basedOn w:val="701"/>
    <w:uiPriority w:val="1"/>
    <w:qFormat/>
    <w:pPr>
      <w:ind w:right="-107"/>
    </w:pPr>
  </w:style>
  <w:style w:type="paragraph" w:styleId="912" w:customStyle="1">
    <w:name w:val="正文文本111"/>
    <w:basedOn w:val="733"/>
    <w:next w:val="733"/>
    <w:uiPriority w:val="0"/>
    <w:qFormat/>
  </w:style>
  <w:style w:type="character" w:styleId="913" w:customStyle="1">
    <w:name w:val="正文文本缩进 字符"/>
    <w:link w:val="735"/>
    <w:uiPriority w:val="0"/>
    <w:qFormat/>
    <w:rPr>
      <w:sz w:val="21"/>
      <w:szCs w:val="24"/>
    </w:rPr>
  </w:style>
  <w:style w:type="paragraph" w:styleId="914" w:customStyle="1">
    <w:name w:val="默认段落字体 Para Char Char Char Char Char Char Char"/>
    <w:basedOn w:val="701"/>
    <w:uiPriority w:val="0"/>
    <w:qFormat/>
    <w:rPr>
      <w:rFonts w:ascii="Tahoma" w:hAnsi="Tahoma"/>
      <w:sz w:val="24"/>
      <w:szCs w:val="20"/>
    </w:rPr>
  </w:style>
  <w:style w:type="paragraph" w:styleId="915" w:customStyle="1">
    <w:name w:val="Char"/>
    <w:basedOn w:val="701"/>
    <w:uiPriority w:val="0"/>
    <w:qFormat/>
    <w:pPr>
      <w:tabs>
        <w:tab w:val="left" w:pos="360" w:leader="none"/>
      </w:tabs>
    </w:pPr>
    <w:rPr>
      <w:sz w:val="24"/>
    </w:rPr>
  </w:style>
  <w:style w:type="paragraph" w:styleId="916" w:customStyle="1">
    <w:name w:val="普通正文"/>
    <w:basedOn w:val="701"/>
    <w:uiPriority w:val="0"/>
    <w:qFormat/>
    <w:pPr>
      <w:ind w:firstLine="480"/>
      <w:jc w:val="left"/>
      <w:spacing w:before="120" w:after="120" w:line="360" w:lineRule="auto"/>
    </w:pPr>
    <w:rPr>
      <w:rFonts w:ascii="Arial" w:hAnsi="Arial"/>
      <w:sz w:val="24"/>
    </w:rPr>
  </w:style>
  <w:style w:type="paragraph" w:styleId="917" w:customStyle="1">
    <w:name w:val="p0"/>
    <w:basedOn w:val="701"/>
    <w:uiPriority w:val="0"/>
    <w:qFormat/>
    <w:pPr>
      <w:widowControl/>
    </w:pPr>
    <w:rPr>
      <w:szCs w:val="21"/>
    </w:rPr>
  </w:style>
  <w:style w:type="paragraph" w:styleId="918" w:customStyle="1">
    <w:name w:val="Default"/>
    <w:basedOn w:val="701"/>
    <w:uiPriority w:val="0"/>
    <w:qFormat/>
    <w:rPr>
      <w:rFonts w:ascii="宋体" w:hAnsi="宋体" w:cs="宋体"/>
      <w:color w:val="000000"/>
      <w:sz w:val="24"/>
    </w:rPr>
  </w:style>
  <w:style w:type="paragraph" w:styleId="919" w:customStyle="1">
    <w:name w:val="目录 111"/>
    <w:basedOn w:val="701"/>
    <w:next w:val="722"/>
    <w:uiPriority w:val="39"/>
    <w:unhideWhenUsed/>
    <w:qFormat/>
    <w:pPr>
      <w:spacing w:after="100" w:line="259" w:lineRule="auto"/>
    </w:pPr>
    <w:rPr>
      <w:rFonts w:ascii="Calibri" w:hAnsi="Calibri"/>
      <w:sz w:val="22"/>
      <w:szCs w:val="22"/>
    </w:rPr>
  </w:style>
  <w:style w:type="paragraph" w:styleId="920" w:customStyle="1">
    <w:name w:val="目录 11"/>
    <w:basedOn w:val="733"/>
    <w:next w:val="721"/>
    <w:uiPriority w:val="0"/>
    <w:qFormat/>
  </w:style>
  <w:style w:type="character" w:styleId="921" w:customStyle="1">
    <w:name w:val="16"/>
    <w:uiPriority w:val="0"/>
    <w:qFormat/>
    <w:rPr>
      <w:rFonts w:hint="eastAsia" w:ascii="黑体" w:hAnsi="宋体" w:eastAsia="黑体" w:cs="黑体"/>
      <w:color w:val="000000"/>
      <w:sz w:val="44"/>
      <w:szCs w:val="44"/>
    </w:rPr>
  </w:style>
  <w:style w:type="character" w:styleId="922" w:customStyle="1">
    <w:name w:val="15"/>
    <w:uiPriority w:val="0"/>
    <w:qFormat/>
    <w:rPr>
      <w:rFonts w:hint="eastAsia" w:ascii="仿宋" w:hAnsi="仿宋" w:eastAsia="仿宋" w:cs="仿宋"/>
      <w:color w:val="000000"/>
      <w:sz w:val="18"/>
      <w:szCs w:val="18"/>
    </w:rPr>
  </w:style>
  <w:style w:type="paragraph" w:styleId="923" w:customStyle="1">
    <w:name w:val="Table Paragraph"/>
    <w:basedOn w:val="701"/>
    <w:uiPriority w:val="1"/>
    <w:qFormat/>
    <w:rPr>
      <w:rFonts w:ascii="宋体" w:hAnsi="宋体" w:cs="宋体"/>
      <w:lang w:val="zh-CN" w:bidi="zh-CN"/>
    </w:rPr>
  </w:style>
  <w:style w:type="character" w:styleId="924" w:customStyle="1">
    <w:name w:val="标题 3 字符"/>
    <w:link w:val="704"/>
    <w:uiPriority w:val="0"/>
    <w:qFormat/>
    <w:rPr>
      <w:b/>
      <w:bCs/>
      <w:sz w:val="32"/>
      <w:szCs w:val="32"/>
    </w:rPr>
  </w:style>
  <w:style w:type="character" w:styleId="925" w:customStyle="1">
    <w:name w:val="正文文本首行缩进 2 字符"/>
    <w:link w:val="757"/>
    <w:uiPriority w:val="0"/>
    <w:qFormat/>
    <w:rPr>
      <w:sz w:val="21"/>
      <w:szCs w:val="24"/>
    </w:rPr>
  </w:style>
  <w:style w:type="paragraph" w:styleId="9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7" w:customStyle="1">
    <w:name w:val="正文_模板"/>
    <w:basedOn w:val="701"/>
    <w:uiPriority w:val="0"/>
    <w:qFormat/>
    <w:pPr>
      <w:ind w:firstLine="200"/>
      <w:spacing w:line="360" w:lineRule="auto"/>
    </w:pPr>
    <w:rPr>
      <w:sz w:val="24"/>
    </w:rPr>
  </w:style>
  <w:style w:type="paragraph" w:styleId="928" w:customStyle="1">
    <w:name w:val="※正文"/>
    <w:basedOn w:val="701"/>
    <w:next w:val="701"/>
    <w:uiPriority w:val="0"/>
    <w:qFormat/>
    <w:pPr>
      <w:ind w:left="1131"/>
      <w:spacing w:line="400" w:lineRule="exact"/>
      <w:widowControl/>
    </w:pPr>
    <w:rPr>
      <w:rFonts w:ascii="Calibri Light" w:hAnsi="Calibri Light" w:eastAsia="华文仿宋"/>
      <w:sz w:val="28"/>
      <w:szCs w:val="28"/>
    </w:rPr>
  </w:style>
  <w:style w:type="table" w:styleId="929" w:customStyle="1">
    <w:name w:val="网格型4"/>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0" w:customStyle="1">
    <w:name w:val="msonormal"/>
    <w:basedOn w:val="701"/>
    <w:uiPriority w:val="0"/>
    <w:qFormat/>
    <w:pPr>
      <w:jc w:val="left"/>
      <w:spacing w:before="100" w:beforeAutospacing="1" w:after="100" w:afterAutospacing="1"/>
      <w:widowControl/>
    </w:pPr>
    <w:rPr>
      <w:rFonts w:ascii="宋体" w:hAnsi="宋体" w:cs="宋体"/>
      <w:sz w:val="24"/>
    </w:rPr>
  </w:style>
  <w:style w:type="paragraph" w:styleId="931"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932" w:customStyle="1">
    <w:name w:val="font6"/>
    <w:basedOn w:val="701"/>
    <w:uiPriority w:val="0"/>
    <w:qFormat/>
    <w:pPr>
      <w:jc w:val="left"/>
      <w:spacing w:before="100" w:beforeAutospacing="1" w:after="100" w:afterAutospacing="1"/>
      <w:widowControl/>
    </w:pPr>
    <w:rPr>
      <w:rFonts w:ascii="宋体" w:hAnsi="宋体" w:cs="宋体"/>
      <w:sz w:val="18"/>
      <w:szCs w:val="18"/>
    </w:rPr>
  </w:style>
  <w:style w:type="paragraph" w:styleId="933" w:customStyle="1">
    <w:name w:val="xl65"/>
    <w:basedOn w:val="701"/>
    <w:uiPriority w:val="0"/>
    <w:qFormat/>
    <w:pPr>
      <w:jc w:val="left"/>
      <w:spacing w:before="100" w:beforeAutospacing="1" w:after="100" w:afterAutospacing="1"/>
      <w:widowControl/>
    </w:pPr>
    <w:rPr>
      <w:rFonts w:ascii="宋体" w:hAnsi="宋体" w:cs="宋体"/>
      <w:sz w:val="24"/>
    </w:rPr>
  </w:style>
  <w:style w:type="paragraph" w:styleId="934" w:customStyle="1">
    <w:name w:val="xl66"/>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5" w:customStyle="1">
    <w:name w:val="xl67"/>
    <w:basedOn w:val="701"/>
    <w:uiPriority w:val="0"/>
    <w:qFormat/>
    <w:pPr>
      <w:jc w:val="center"/>
      <w:spacing w:before="100" w:beforeAutospacing="1" w:after="100" w:afterAutospacing="1"/>
      <w:widowControl/>
    </w:pPr>
    <w:rPr>
      <w:rFonts w:ascii="宋体" w:hAnsi="宋体" w:cs="宋体"/>
      <w:sz w:val="24"/>
    </w:rPr>
  </w:style>
  <w:style w:type="paragraph" w:styleId="936" w:customStyle="1">
    <w:name w:val="xl68"/>
    <w:basedOn w:val="701"/>
    <w:uiPriority w:val="0"/>
    <w:qFormat/>
    <w:pPr>
      <w:jc w:val="left"/>
      <w:spacing w:before="100" w:beforeAutospacing="1" w:after="100" w:afterAutospacing="1"/>
      <w:widowControl/>
    </w:pPr>
    <w:rPr>
      <w:rFonts w:ascii="宋体" w:hAnsi="宋体" w:cs="宋体"/>
      <w:sz w:val="24"/>
    </w:rPr>
  </w:style>
  <w:style w:type="paragraph" w:styleId="937" w:customStyle="1">
    <w:name w:val="xl69"/>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38" w:customStyle="1">
    <w:name w:val="xl70"/>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39" w:customStyle="1">
    <w:name w:val="xl7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40" w:customStyle="1">
    <w:name w:val="xl72"/>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41" w:customStyle="1">
    <w:name w:val="xl73"/>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42" w:customStyle="1">
    <w:name w:val="xl74"/>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43" w:customStyle="1">
    <w:name w:val="xl75"/>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rPr>
  </w:style>
  <w:style w:type="paragraph" w:styleId="944" w:customStyle="1">
    <w:name w:val="xl76"/>
    <w:basedOn w:val="7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ff0000"/>
      <w:sz w:val="24"/>
    </w:rPr>
  </w:style>
  <w:style w:type="paragraph" w:styleId="945" w:customStyle="1">
    <w:name w:val="xl77"/>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4"/>
    </w:rPr>
  </w:style>
  <w:style w:type="paragraph" w:styleId="946" w:customStyle="1">
    <w:name w:val="xl78"/>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47" w:customStyle="1">
    <w:name w:val="xl79"/>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48" w:customStyle="1">
    <w:name w:val="xl80"/>
    <w:basedOn w:val="7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49" w:customStyle="1">
    <w:name w:val="xl8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50" w:customStyle="1">
    <w:name w:val="xl82"/>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51" w:customStyle="1">
    <w:name w:val="xl83"/>
    <w:basedOn w:val="701"/>
    <w:uiPriority w:val="0"/>
    <w:qFormat/>
    <w:pPr>
      <w:jc w:val="left"/>
      <w:spacing w:before="100" w:beforeAutospacing="1" w:after="100" w:afterAutospacing="1"/>
      <w:widowControl/>
    </w:pPr>
    <w:rPr>
      <w:rFonts w:ascii="宋体" w:hAnsi="宋体" w:cs="宋体"/>
      <w:b/>
      <w:bCs/>
      <w:sz w:val="24"/>
    </w:rPr>
  </w:style>
  <w:style w:type="paragraph" w:styleId="952" w:customStyle="1">
    <w:name w:val="xl84"/>
    <w:basedOn w:val="701"/>
    <w:uiPriority w:val="0"/>
    <w:qFormat/>
    <w:pPr>
      <w:jc w:val="left"/>
      <w:spacing w:before="100" w:beforeAutospacing="1" w:after="100" w:afterAutospacing="1"/>
      <w:widowControl/>
    </w:pPr>
    <w:rPr>
      <w:rFonts w:ascii="宋体" w:hAnsi="宋体" w:cs="宋体"/>
      <w:color w:val="ff0000"/>
      <w:sz w:val="24"/>
    </w:rPr>
  </w:style>
  <w:style w:type="paragraph" w:styleId="953" w:customStyle="1">
    <w:name w:val="xl85"/>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954" w:customStyle="1">
    <w:name w:val="xl86"/>
    <w:basedOn w:val="70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rPr>
  </w:style>
  <w:style w:type="paragraph" w:styleId="955" w:customStyle="1">
    <w:name w:val="xl87"/>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956" w:customStyle="1">
    <w:name w:val="xl88"/>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7" w:customStyle="1">
    <w:name w:val="xl8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58" w:customStyle="1">
    <w:name w:val="xl90"/>
    <w:basedOn w:val="701"/>
    <w:uiPriority w:val="0"/>
    <w:qFormat/>
    <w:pPr>
      <w:jc w:val="center"/>
      <w:spacing w:before="100" w:beforeAutospacing="1" w:after="100" w:afterAutospacing="1"/>
      <w:widowControl/>
    </w:pPr>
    <w:rPr>
      <w:rFonts w:ascii="宋体" w:hAnsi="宋体" w:cs="宋体"/>
      <w:sz w:val="24"/>
    </w:rPr>
  </w:style>
  <w:style w:type="paragraph" w:styleId="959" w:customStyle="1">
    <w:name w:val="标书正文"/>
    <w:basedOn w:val="701"/>
    <w:uiPriority w:val="0"/>
    <w:qFormat/>
    <w:rPr>
      <w:lang w:val="zh-CN"/>
    </w:rPr>
  </w:style>
  <w:style w:type="paragraph" w:styleId="960" w:customStyle="1">
    <w:name w:val="*正文"/>
    <w:basedOn w:val="701"/>
    <w:uiPriority w:val="0"/>
    <w:qFormat/>
    <w:pPr>
      <w:ind w:firstLine="560"/>
      <w:spacing w:line="360" w:lineRule="auto"/>
    </w:pPr>
    <w:rPr>
      <w:rFonts w:ascii="仿宋_GB2312" w:eastAsia="仿宋_GB2312"/>
      <w:sz w:val="28"/>
      <w:szCs w:val="28"/>
      <w:lang w:val="zh-CN"/>
    </w:rPr>
  </w:style>
  <w:style w:type="paragraph" w:styleId="961">
    <w:name w:val="No Spacing"/>
    <w:uiPriority w:val="1"/>
    <w:qFormat/>
    <w:rPr>
      <w:rFonts w:hint="default" w:ascii="Times New Roman" w:hAnsi="Times New Roman" w:eastAsia="宋体" w:cs="Times New Roman"/>
      <w:lang w:val="en-US" w:eastAsia="zh-CN" w:bidi="ar-SA"/>
    </w:rPr>
  </w:style>
  <w:style w:type="character" w:styleId="962" w:customStyle="1">
    <w:name w:val="标题 1 Char"/>
    <w:link w:val="702"/>
    <w:uiPriority w:val="0"/>
    <w:qFormat/>
    <w:rPr>
      <w:b/>
      <w:bCs/>
      <w:sz w:val="44"/>
      <w:szCs w:val="44"/>
    </w:rPr>
  </w:style>
  <w:style w:type="character" w:styleId="963" w:customStyle="1">
    <w:name w:val="标题 4 Char"/>
    <w:link w:val="705"/>
    <w:uiPriority w:val="0"/>
    <w:qFormat/>
    <w:rPr>
      <w:rFonts w:ascii="黑体" w:hAnsi="Arial" w:eastAsia="黑体"/>
      <w:sz w:val="24"/>
      <w:szCs w:val="20"/>
    </w:rPr>
  </w:style>
  <w:style w:type="character" w:styleId="964" w:customStyle="1">
    <w:name w:val="font61"/>
    <w:basedOn w:val="711"/>
    <w:uiPriority w:val="0"/>
    <w:qFormat/>
    <w:rPr>
      <w:rFonts w:hint="eastAsia" w:ascii="方正仿宋_GBK" w:hAnsi="方正仿宋_GBK" w:eastAsia="方正仿宋_GBK" w:cs="方正仿宋_GBK"/>
      <w:color w:val="000000"/>
      <w:sz w:val="24"/>
      <w:szCs w:val="24"/>
      <w:u w:val="none"/>
    </w:rPr>
  </w:style>
  <w:style w:type="character" w:styleId="965" w:customStyle="1">
    <w:name w:val="font21"/>
    <w:basedOn w:val="711"/>
    <w:uiPriority w:val="0"/>
    <w:qFormat/>
    <w:rPr>
      <w:rFonts w:hint="default" w:ascii="Times New Roman" w:hAnsi="Times New Roman" w:cs="Times New Roman"/>
      <w:color w:val="000000"/>
      <w:sz w:val="24"/>
      <w:szCs w:val="24"/>
      <w:u w:val="none"/>
    </w:rPr>
  </w:style>
  <w:style w:type="table" w:styleId="966" w:customStyle="1">
    <w:name w:val="Table Normal"/>
    <w:uiPriority w:val="0"/>
    <w:semiHidden/>
    <w:unhideWhenUsed/>
    <w:qFormat/>
    <w:tblPr>
      <w:tblCellMar>
        <w:left w:w="0" w:type="dxa"/>
        <w:top w:w="0" w:type="dxa"/>
        <w:right w:w="0" w:type="dxa"/>
        <w:bottom w:w="0" w:type="dxa"/>
      </w:tblCellMar>
    </w:tblPr>
  </w:style>
  <w:style w:type="numbering" w:styleId="2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邳州市公共资源交易中心-刘婷</cp:lastModifiedBy>
  <cp:revision>141</cp:revision>
  <dcterms:created xsi:type="dcterms:W3CDTF">2024-01-26T07:00:00Z</dcterms:created>
  <dcterms:modified xsi:type="dcterms:W3CDTF">2026-07-03T08:35:29Z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9CA3D51ED28445B0A1D1C73CAEF0307D_13</vt:lpwstr>
  </property>
  <property fmtid="{D5CDD505-2E9C-101B-9397-08002B2CF9AE}" pid="4" name="KSOTemplateDocerSaveRecord">
    <vt:lpwstr>eyJoZGlkIjoiODY0NzJiZTNkZGZhYmM0M2I2ZmFhZjE4MWEzMDJhNGMiLCJ1c2VySWQiOiI1NDgwNDQwNDcifQ==</vt:lpwstr>
  </property>
</Properties>
</file>